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54DF6" w14:textId="5C71C1B1" w:rsidR="00A430E4" w:rsidRPr="00A430E4" w:rsidRDefault="00A430E4" w:rsidP="00A430E4">
      <w:r w:rsidRPr="00757705">
        <w:rPr>
          <w:rFonts w:cs="Arial"/>
          <w:noProof/>
          <w:sz w:val="22"/>
          <w:szCs w:val="22"/>
          <w:lang w:eastAsia="en-AU"/>
        </w:rPr>
        <mc:AlternateContent>
          <mc:Choice Requires="wps">
            <w:drawing>
              <wp:anchor distT="0" distB="0" distL="114300" distR="114300" simplePos="0" relativeHeight="251663360" behindDoc="0" locked="0" layoutInCell="1" allowOverlap="1" wp14:anchorId="3457069B" wp14:editId="5979166A">
                <wp:simplePos x="0" y="0"/>
                <wp:positionH relativeFrom="column">
                  <wp:posOffset>609600</wp:posOffset>
                </wp:positionH>
                <wp:positionV relativeFrom="paragraph">
                  <wp:posOffset>-392430</wp:posOffset>
                </wp:positionV>
                <wp:extent cx="1647825" cy="29654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6B173B"/>
                                <w:sz w:val="22"/>
                              </w:rPr>
                              <w:id w:val="-817952452"/>
                            </w:sdtPr>
                            <w:sdtContent>
                              <w:p w14:paraId="3EB7CDDE" w14:textId="0493EC31" w:rsidR="00A430E4" w:rsidRPr="00F26F31" w:rsidRDefault="00A430E4" w:rsidP="006A7683">
                                <w:pPr>
                                  <w:rPr>
                                    <w:rFonts w:ascii="Arial Bold" w:hAnsi="Arial Bold" w:hint="eastAsia"/>
                                    <w:b/>
                                    <w:color w:val="6B173B"/>
                                    <w:sz w:val="22"/>
                                  </w:rPr>
                                </w:pPr>
                                <w:r>
                                  <w:rPr>
                                    <w:rFonts w:ascii="Arial Bold" w:hAnsi="Arial Bold"/>
                                    <w:b/>
                                    <w:color w:val="6B173B"/>
                                    <w:sz w:val="22"/>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7069B" id="_x0000_t202" coordsize="21600,21600" o:spt="202" path="m,l,21600r21600,l21600,xe">
                <v:stroke joinstyle="miter"/>
                <v:path gradientshapeok="t" o:connecttype="rect"/>
              </v:shapetype>
              <v:shape id="Text Box 2" o:spid="_x0000_s1026" type="#_x0000_t202" style="position:absolute;left:0;text-align:left;margin-left:48pt;margin-top:-30.9pt;width:129.75pt;height:2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" filled="f" stroked="f">
                <v:textbox>
                  <w:txbxContent>
                    <w:sdt>
                      <w:sdtPr>
                        <w:rPr>
                          <w:rFonts w:ascii="Arial Bold" w:hAnsi="Arial Bold"/>
                          <w:b/>
                          <w:color w:val="6B173B"/>
                          <w:sz w:val="22"/>
                        </w:rPr>
                        <w:id w:val="-817952452"/>
                      </w:sdtPr>
                      <w:sdtContent>
                        <w:p w14:paraId="3EB7CDDE" w14:textId="0493EC31" w:rsidR="00A430E4" w:rsidRPr="00F26F31" w:rsidRDefault="00A430E4" w:rsidP="006A7683">
                          <w:pPr>
                            <w:rPr>
                              <w:rFonts w:ascii="Arial Bold" w:hAnsi="Arial Bold" w:hint="eastAsia"/>
                              <w:b/>
                              <w:color w:val="6B173B"/>
                              <w:sz w:val="22"/>
                            </w:rPr>
                          </w:pPr>
                          <w:r>
                            <w:rPr>
                              <w:rFonts w:ascii="Arial Bold" w:hAnsi="Arial Bold"/>
                              <w:b/>
                              <w:color w:val="6B173B"/>
                              <w:sz w:val="22"/>
                            </w:rPr>
                            <w:t>Corrective Services</w:t>
                          </w:r>
                        </w:p>
                      </w:sdtContent>
                    </w:sdt>
                  </w:txbxContent>
                </v:textbox>
              </v:shape>
            </w:pict>
          </mc:Fallback>
        </mc:AlternateContent>
      </w:r>
    </w:p>
    <w:p w14:paraId="33A92DC3" w14:textId="0B1C6C41" w:rsidR="00146739" w:rsidRPr="009962C0" w:rsidRDefault="00C574B8" w:rsidP="009962C0">
      <w:pPr>
        <w:pStyle w:val="Title"/>
      </w:pPr>
      <w:r>
        <w:t>Annual Report 201</w:t>
      </w:r>
      <w:r w:rsidR="00B12C12">
        <w:t>8/19</w:t>
      </w:r>
    </w:p>
    <w:p w14:paraId="7C4D5AE4" w14:textId="77777777" w:rsidR="000D69A3" w:rsidRPr="00A430E4" w:rsidRDefault="00C574B8" w:rsidP="00A430E4">
      <w:pPr>
        <w:pStyle w:val="Subtitle"/>
      </w:pPr>
      <w:r w:rsidRPr="00A430E4">
        <w:t>Court Security and Custodial Services Contract</w:t>
      </w:r>
    </w:p>
    <w:tbl>
      <w:tblPr>
        <w:tblW w:w="9848" w:type="dxa"/>
        <w:tblLook w:val="04A0" w:firstRow="1" w:lastRow="0" w:firstColumn="1" w:lastColumn="0" w:noHBand="0" w:noVBand="1"/>
      </w:tblPr>
      <w:tblGrid>
        <w:gridCol w:w="3060"/>
        <w:gridCol w:w="6788"/>
      </w:tblGrid>
      <w:tr w:rsidR="00C801D9" w:rsidRPr="007D3C6F" w14:paraId="4579D852" w14:textId="77777777" w:rsidTr="00A430E4">
        <w:trPr>
          <w:trHeight w:val="576"/>
        </w:trPr>
        <w:tc>
          <w:tcPr>
            <w:tcW w:w="3060" w:type="dxa"/>
            <w:shd w:val="clear" w:color="auto" w:fill="auto"/>
            <w:vAlign w:val="center"/>
          </w:tcPr>
          <w:p w14:paraId="3EA4E0DA" w14:textId="77777777" w:rsidR="00C801D9" w:rsidRPr="007D3C6F" w:rsidRDefault="00C801D9" w:rsidP="00A430E4">
            <w:pPr>
              <w:pStyle w:val="Documentdetails"/>
              <w:rPr>
                <w:b/>
              </w:rPr>
            </w:pPr>
            <w:r w:rsidRPr="007D3C6F">
              <w:rPr>
                <w:b/>
              </w:rPr>
              <w:t>Document status</w:t>
            </w:r>
            <w:r>
              <w:rPr>
                <w:b/>
              </w:rPr>
              <w:t>:</w:t>
            </w:r>
          </w:p>
        </w:tc>
        <w:sdt>
          <w:sdtPr>
            <w:id w:val="1506784414"/>
            <w:placeholder>
              <w:docPart w:val="F60B23839ED04181BF3EFF6662D253C7"/>
            </w:placeholder>
            <w:comboBox>
              <w:listItem w:value="Select document status"/>
              <w:listItem w:displayText="Draft" w:value="Draft"/>
              <w:listItem w:displayText="Final unapproved" w:value="Final unapproved"/>
              <w:listItem w:displayText="Final approved" w:value="Final approved"/>
            </w:comboBox>
          </w:sdtPr>
          <w:sdtContent>
            <w:tc>
              <w:tcPr>
                <w:tcW w:w="6788" w:type="dxa"/>
                <w:shd w:val="clear" w:color="auto" w:fill="auto"/>
                <w:vAlign w:val="center"/>
              </w:tcPr>
              <w:p w14:paraId="5652E722" w14:textId="77777777" w:rsidR="00C801D9" w:rsidRPr="007D3C6F" w:rsidRDefault="00C801D9" w:rsidP="00A430E4">
                <w:pPr>
                  <w:pStyle w:val="Documentdetails"/>
                </w:pPr>
                <w:r>
                  <w:t>Final approved</w:t>
                </w:r>
              </w:p>
            </w:tc>
          </w:sdtContent>
        </w:sdt>
      </w:tr>
      <w:tr w:rsidR="00C801D9" w:rsidRPr="007D3C6F" w14:paraId="2B5F7861" w14:textId="77777777" w:rsidTr="00A430E4">
        <w:trPr>
          <w:trHeight w:val="576"/>
        </w:trPr>
        <w:tc>
          <w:tcPr>
            <w:tcW w:w="3060" w:type="dxa"/>
            <w:shd w:val="clear" w:color="auto" w:fill="auto"/>
            <w:vAlign w:val="center"/>
          </w:tcPr>
          <w:p w14:paraId="6E6C9AE0" w14:textId="77777777" w:rsidR="00C801D9" w:rsidRPr="007D3C6F" w:rsidRDefault="00C801D9" w:rsidP="00A430E4">
            <w:pPr>
              <w:pStyle w:val="Documentdetails"/>
              <w:rPr>
                <w:b/>
              </w:rPr>
            </w:pPr>
            <w:r w:rsidRPr="007D3C6F">
              <w:rPr>
                <w:b/>
              </w:rPr>
              <w:t>Date</w:t>
            </w:r>
            <w:r>
              <w:rPr>
                <w:b/>
              </w:rPr>
              <w:t>:</w:t>
            </w:r>
          </w:p>
        </w:tc>
        <w:tc>
          <w:tcPr>
            <w:tcW w:w="6788" w:type="dxa"/>
            <w:shd w:val="clear" w:color="auto" w:fill="auto"/>
            <w:vAlign w:val="center"/>
          </w:tcPr>
          <w:sdt>
            <w:sdtPr>
              <w:id w:val="1801958833"/>
              <w:placeholder>
                <w:docPart w:val="35E47D86177542E0956FDE6948AA54AD"/>
              </w:placeholder>
              <w:date w:fullDate="2019-09-30T00:00:00Z">
                <w:dateFormat w:val="d MMMM yyyy"/>
                <w:lid w:val="en-AU"/>
                <w:storeMappedDataAs w:val="dateTime"/>
                <w:calendar w:val="gregorian"/>
              </w:date>
            </w:sdtPr>
            <w:sdtContent>
              <w:p w14:paraId="577E8274" w14:textId="77777777" w:rsidR="00C801D9" w:rsidRPr="007D3C6F" w:rsidRDefault="00C801D9" w:rsidP="00A430E4">
                <w:pPr>
                  <w:pStyle w:val="Documentdetails"/>
                </w:pPr>
                <w:r>
                  <w:t>30 September 2019</w:t>
                </w:r>
              </w:p>
            </w:sdtContent>
          </w:sdt>
        </w:tc>
      </w:tr>
      <w:tr w:rsidR="00C801D9" w:rsidRPr="007D3C6F" w14:paraId="70A2ED88" w14:textId="77777777" w:rsidTr="00A430E4">
        <w:trPr>
          <w:trHeight w:val="576"/>
        </w:trPr>
        <w:tc>
          <w:tcPr>
            <w:tcW w:w="3060" w:type="dxa"/>
            <w:shd w:val="clear" w:color="auto" w:fill="auto"/>
            <w:vAlign w:val="center"/>
          </w:tcPr>
          <w:p w14:paraId="17C2DF62" w14:textId="77777777" w:rsidR="00C801D9" w:rsidRPr="007D3C6F" w:rsidRDefault="00C801D9" w:rsidP="00A430E4">
            <w:pPr>
              <w:pStyle w:val="Documentdetails"/>
              <w:rPr>
                <w:b/>
              </w:rPr>
            </w:pPr>
            <w:r>
              <w:rPr>
                <w:b/>
              </w:rPr>
              <w:t>Division:</w:t>
            </w:r>
          </w:p>
        </w:tc>
        <w:tc>
          <w:tcPr>
            <w:tcW w:w="6788" w:type="dxa"/>
            <w:shd w:val="clear" w:color="auto" w:fill="auto"/>
            <w:vAlign w:val="center"/>
          </w:tcPr>
          <w:sdt>
            <w:sdtPr>
              <w:id w:val="1747069394"/>
              <w:placeholder>
                <w:docPart w:val="8289F2EFBA784D998DC4CDA48E791D57"/>
              </w:placeholder>
              <w:text/>
            </w:sdtPr>
            <w:sdtContent>
              <w:p w14:paraId="2A0082B4" w14:textId="77777777" w:rsidR="00C801D9" w:rsidRPr="007D3C6F" w:rsidRDefault="00C801D9" w:rsidP="00A430E4">
                <w:pPr>
                  <w:pStyle w:val="Documentdetails"/>
                </w:pPr>
                <w:r>
                  <w:t>Operational Support</w:t>
                </w:r>
              </w:p>
            </w:sdtContent>
          </w:sdt>
        </w:tc>
      </w:tr>
      <w:tr w:rsidR="00C801D9" w:rsidRPr="007D3C6F" w14:paraId="3D7A0B25" w14:textId="77777777" w:rsidTr="00A430E4">
        <w:trPr>
          <w:trHeight w:val="576"/>
        </w:trPr>
        <w:tc>
          <w:tcPr>
            <w:tcW w:w="3060" w:type="dxa"/>
            <w:shd w:val="clear" w:color="auto" w:fill="auto"/>
          </w:tcPr>
          <w:p w14:paraId="357F78D0" w14:textId="77777777" w:rsidR="00C801D9" w:rsidRPr="007D3C6F" w:rsidRDefault="00C801D9" w:rsidP="00A430E4">
            <w:pPr>
              <w:pStyle w:val="Documentdetails"/>
              <w:rPr>
                <w:b/>
              </w:rPr>
            </w:pPr>
            <w:r w:rsidRPr="007D3C6F">
              <w:rPr>
                <w:b/>
              </w:rPr>
              <w:t>Approved by</w:t>
            </w:r>
            <w:r>
              <w:rPr>
                <w:b/>
              </w:rPr>
              <w:t>:</w:t>
            </w:r>
          </w:p>
        </w:tc>
        <w:tc>
          <w:tcPr>
            <w:tcW w:w="6788" w:type="dxa"/>
            <w:shd w:val="clear" w:color="auto" w:fill="auto"/>
            <w:vAlign w:val="center"/>
          </w:tcPr>
          <w:sdt>
            <w:sdtPr>
              <w:id w:val="2012014564"/>
              <w:placeholder>
                <w:docPart w:val="EA4F8D53F8AB49C488643FA73B754248"/>
              </w:placeholder>
              <w:text/>
            </w:sdtPr>
            <w:sdtContent>
              <w:p w14:paraId="764A8785" w14:textId="77777777" w:rsidR="00C801D9" w:rsidRPr="007D3C6F" w:rsidRDefault="00C801D9" w:rsidP="00A430E4">
                <w:pPr>
                  <w:pStyle w:val="Documentdetails"/>
                </w:pPr>
                <w:r>
                  <w:t>Tony Hassall</w:t>
                </w:r>
              </w:p>
            </w:sdtContent>
          </w:sdt>
          <w:sdt>
            <w:sdtPr>
              <w:id w:val="-596092442"/>
              <w:placeholder>
                <w:docPart w:val="EA4F8D53F8AB49C488643FA73B754248"/>
              </w:placeholder>
              <w:text/>
            </w:sdtPr>
            <w:sdtContent>
              <w:p w14:paraId="243DEFDB" w14:textId="77777777" w:rsidR="00C801D9" w:rsidRPr="007D3C6F" w:rsidRDefault="00C801D9" w:rsidP="00A430E4">
                <w:pPr>
                  <w:pStyle w:val="Documentdetails"/>
                </w:pPr>
                <w:r>
                  <w:t>Commissioner</w:t>
                </w:r>
              </w:p>
            </w:sdtContent>
          </w:sdt>
          <w:sdt>
            <w:sdtPr>
              <w:id w:val="69934820"/>
              <w:placeholder>
                <w:docPart w:val="9B152486D8F445C4AEE2A44410A23418"/>
              </w:placeholder>
              <w:date w:fullDate="2019-09-30T00:00:00Z">
                <w:dateFormat w:val="d MMMM yyyy"/>
                <w:lid w:val="en-AU"/>
                <w:storeMappedDataAs w:val="dateTime"/>
                <w:calendar w:val="gregorian"/>
              </w:date>
            </w:sdtPr>
            <w:sdtContent>
              <w:p w14:paraId="772765D1" w14:textId="77777777" w:rsidR="00C801D9" w:rsidRPr="007D3C6F" w:rsidRDefault="00C801D9" w:rsidP="00A430E4">
                <w:pPr>
                  <w:pStyle w:val="Documentdetails"/>
                </w:pPr>
                <w:r>
                  <w:t>30 September 2019</w:t>
                </w:r>
              </w:p>
            </w:sdtContent>
          </w:sdt>
        </w:tc>
      </w:tr>
      <w:tr w:rsidR="00C801D9" w:rsidRPr="007D3C6F" w14:paraId="39A66CB9" w14:textId="77777777" w:rsidTr="00A430E4">
        <w:trPr>
          <w:trHeight w:val="576"/>
        </w:trPr>
        <w:tc>
          <w:tcPr>
            <w:tcW w:w="3060" w:type="dxa"/>
            <w:shd w:val="clear" w:color="auto" w:fill="auto"/>
            <w:vAlign w:val="center"/>
          </w:tcPr>
          <w:p w14:paraId="0E0A6CFA" w14:textId="77777777" w:rsidR="00C801D9" w:rsidRPr="007D3C6F" w:rsidRDefault="00C801D9" w:rsidP="00A430E4">
            <w:pPr>
              <w:pStyle w:val="Documentdetails"/>
              <w:rPr>
                <w:b/>
              </w:rPr>
            </w:pPr>
            <w:r>
              <w:rPr>
                <w:b/>
              </w:rPr>
              <w:t>HPR</w:t>
            </w:r>
            <w:r w:rsidRPr="00B479AF">
              <w:rPr>
                <w:b/>
              </w:rPr>
              <w:t xml:space="preserve">M </w:t>
            </w:r>
            <w:r>
              <w:rPr>
                <w:b/>
              </w:rPr>
              <w:t>reference:</w:t>
            </w:r>
          </w:p>
        </w:tc>
        <w:tc>
          <w:tcPr>
            <w:tcW w:w="6788" w:type="dxa"/>
            <w:shd w:val="clear" w:color="auto" w:fill="auto"/>
            <w:vAlign w:val="center"/>
          </w:tcPr>
          <w:sdt>
            <w:sdtPr>
              <w:id w:val="-1618051470"/>
              <w:placeholder>
                <w:docPart w:val="DAF295994B534015A2A647E4F8885987"/>
              </w:placeholder>
              <w:text/>
            </w:sdtPr>
            <w:sdtContent>
              <w:p w14:paraId="410360D4" w14:textId="77777777" w:rsidR="00C801D9" w:rsidRPr="007D3C6F" w:rsidRDefault="00C801D9" w:rsidP="00A430E4">
                <w:pPr>
                  <w:pStyle w:val="Documentdetails"/>
                </w:pPr>
                <w:r>
                  <w:t>AD2019/103042</w:t>
                </w:r>
              </w:p>
            </w:sdtContent>
          </w:sdt>
        </w:tc>
      </w:tr>
    </w:tbl>
    <w:p w14:paraId="40A5C887" w14:textId="77777777" w:rsidR="00C801D9" w:rsidRDefault="00C801D9"/>
    <w:p w14:paraId="330ABC49" w14:textId="77777777" w:rsidR="00D06E62" w:rsidRDefault="00D06E62" w:rsidP="0091065E">
      <w:pPr>
        <w:sectPr w:rsidR="00D06E62" w:rsidSect="00464E72">
          <w:headerReference w:type="default" r:id="rId12"/>
          <w:pgSz w:w="11900" w:h="16840"/>
          <w:pgMar w:top="-1702" w:right="1440" w:bottom="1440" w:left="1440" w:header="720" w:footer="706" w:gutter="0"/>
          <w:cols w:space="708"/>
          <w:docGrid w:linePitch="360"/>
        </w:sectPr>
      </w:pPr>
    </w:p>
    <w:p w14:paraId="3DE5FCCF" w14:textId="370B7F42" w:rsidR="003D631B" w:rsidRPr="005A33FD" w:rsidRDefault="003D631B" w:rsidP="00A430E4"/>
    <w:p w14:paraId="3B206532" w14:textId="77777777" w:rsidR="00C574B8" w:rsidRDefault="00C574B8" w:rsidP="00C574B8">
      <w:r>
        <w:br w:type="page"/>
      </w:r>
    </w:p>
    <w:p w14:paraId="64D6FA64" w14:textId="77777777" w:rsidR="00FA1D8B" w:rsidRPr="00AF7DDC" w:rsidRDefault="00FA1D8B" w:rsidP="00AF7DDC">
      <w:pPr>
        <w:pStyle w:val="Heading"/>
      </w:pPr>
      <w:r w:rsidRPr="00AF7DDC">
        <w:lastRenderedPageBreak/>
        <w:t>Contents</w:t>
      </w:r>
    </w:p>
    <w:p w14:paraId="7A0ECBBE" w14:textId="77777777" w:rsidR="00A430E4" w:rsidRDefault="00FA1D8B">
      <w:pPr>
        <w:pStyle w:val="TOC1"/>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21946115" w:history="1">
        <w:r w:rsidR="00A430E4" w:rsidRPr="004E7B8B">
          <w:rPr>
            <w:rStyle w:val="Hyperlink"/>
            <w:noProof/>
          </w:rPr>
          <w:t>1</w:t>
        </w:r>
        <w:r w:rsidR="00A430E4">
          <w:rPr>
            <w:rFonts w:asciiTheme="minorHAnsi" w:eastAsiaTheme="minorEastAsia" w:hAnsiTheme="minorHAnsi" w:cstheme="minorBidi"/>
            <w:noProof/>
            <w:sz w:val="22"/>
            <w:szCs w:val="22"/>
            <w:lang w:eastAsia="en-AU"/>
          </w:rPr>
          <w:tab/>
        </w:r>
        <w:r w:rsidR="00A430E4" w:rsidRPr="004E7B8B">
          <w:rPr>
            <w:rStyle w:val="Hyperlink"/>
            <w:noProof/>
          </w:rPr>
          <w:t>Key Areas of Focus and Achievements 2018/19</w:t>
        </w:r>
        <w:r w:rsidR="00A430E4">
          <w:rPr>
            <w:noProof/>
            <w:webHidden/>
          </w:rPr>
          <w:tab/>
        </w:r>
        <w:r w:rsidR="00A430E4">
          <w:rPr>
            <w:noProof/>
            <w:webHidden/>
          </w:rPr>
          <w:fldChar w:fldCharType="begin"/>
        </w:r>
        <w:r w:rsidR="00A430E4">
          <w:rPr>
            <w:noProof/>
            <w:webHidden/>
          </w:rPr>
          <w:instrText xml:space="preserve"> PAGEREF _Toc21946115 \h </w:instrText>
        </w:r>
        <w:r w:rsidR="00A430E4">
          <w:rPr>
            <w:noProof/>
            <w:webHidden/>
          </w:rPr>
        </w:r>
        <w:r w:rsidR="00A430E4">
          <w:rPr>
            <w:noProof/>
            <w:webHidden/>
          </w:rPr>
          <w:fldChar w:fldCharType="separate"/>
        </w:r>
        <w:r w:rsidR="00A430E4">
          <w:rPr>
            <w:noProof/>
            <w:webHidden/>
          </w:rPr>
          <w:t>4</w:t>
        </w:r>
        <w:r w:rsidR="00A430E4">
          <w:rPr>
            <w:noProof/>
            <w:webHidden/>
          </w:rPr>
          <w:fldChar w:fldCharType="end"/>
        </w:r>
      </w:hyperlink>
    </w:p>
    <w:p w14:paraId="24AB3588" w14:textId="77777777" w:rsidR="00A430E4" w:rsidRDefault="00A430E4">
      <w:pPr>
        <w:pStyle w:val="TOC1"/>
        <w:rPr>
          <w:rFonts w:asciiTheme="minorHAnsi" w:eastAsiaTheme="minorEastAsia" w:hAnsiTheme="minorHAnsi" w:cstheme="minorBidi"/>
          <w:noProof/>
          <w:sz w:val="22"/>
          <w:szCs w:val="22"/>
          <w:lang w:eastAsia="en-AU"/>
        </w:rPr>
      </w:pPr>
      <w:hyperlink w:anchor="_Toc21946116" w:history="1">
        <w:r w:rsidRPr="004E7B8B">
          <w:rPr>
            <w:rStyle w:val="Hyperlink"/>
            <w:noProof/>
          </w:rPr>
          <w:t>2</w:t>
        </w:r>
        <w:r>
          <w:rPr>
            <w:rFonts w:asciiTheme="minorHAnsi" w:eastAsiaTheme="minorEastAsia" w:hAnsiTheme="minorHAnsi" w:cstheme="minorBidi"/>
            <w:noProof/>
            <w:sz w:val="22"/>
            <w:szCs w:val="22"/>
            <w:lang w:eastAsia="en-AU"/>
          </w:rPr>
          <w:tab/>
        </w:r>
        <w:r w:rsidRPr="004E7B8B">
          <w:rPr>
            <w:rStyle w:val="Hyperlink"/>
            <w:noProof/>
          </w:rPr>
          <w:t>Contract Background and History</w:t>
        </w:r>
        <w:r>
          <w:rPr>
            <w:noProof/>
            <w:webHidden/>
          </w:rPr>
          <w:tab/>
        </w:r>
        <w:r>
          <w:rPr>
            <w:noProof/>
            <w:webHidden/>
          </w:rPr>
          <w:fldChar w:fldCharType="begin"/>
        </w:r>
        <w:r>
          <w:rPr>
            <w:noProof/>
            <w:webHidden/>
          </w:rPr>
          <w:instrText xml:space="preserve"> PAGEREF _Toc21946116 \h </w:instrText>
        </w:r>
        <w:r>
          <w:rPr>
            <w:noProof/>
            <w:webHidden/>
          </w:rPr>
        </w:r>
        <w:r>
          <w:rPr>
            <w:noProof/>
            <w:webHidden/>
          </w:rPr>
          <w:fldChar w:fldCharType="separate"/>
        </w:r>
        <w:r>
          <w:rPr>
            <w:noProof/>
            <w:webHidden/>
          </w:rPr>
          <w:t>5</w:t>
        </w:r>
        <w:r>
          <w:rPr>
            <w:noProof/>
            <w:webHidden/>
          </w:rPr>
          <w:fldChar w:fldCharType="end"/>
        </w:r>
      </w:hyperlink>
    </w:p>
    <w:p w14:paraId="57315F79" w14:textId="77777777" w:rsidR="00A430E4" w:rsidRDefault="00A430E4">
      <w:pPr>
        <w:pStyle w:val="TOC1"/>
        <w:rPr>
          <w:rFonts w:asciiTheme="minorHAnsi" w:eastAsiaTheme="minorEastAsia" w:hAnsiTheme="minorHAnsi" w:cstheme="minorBidi"/>
          <w:noProof/>
          <w:sz w:val="22"/>
          <w:szCs w:val="22"/>
          <w:lang w:eastAsia="en-AU"/>
        </w:rPr>
      </w:pPr>
      <w:hyperlink w:anchor="_Toc21946117" w:history="1">
        <w:r w:rsidRPr="004E7B8B">
          <w:rPr>
            <w:rStyle w:val="Hyperlink"/>
            <w:noProof/>
          </w:rPr>
          <w:t>3</w:t>
        </w:r>
        <w:r>
          <w:rPr>
            <w:rFonts w:asciiTheme="minorHAnsi" w:eastAsiaTheme="minorEastAsia" w:hAnsiTheme="minorHAnsi" w:cstheme="minorBidi"/>
            <w:noProof/>
            <w:sz w:val="22"/>
            <w:szCs w:val="22"/>
            <w:lang w:eastAsia="en-AU"/>
          </w:rPr>
          <w:tab/>
        </w:r>
        <w:r w:rsidRPr="004E7B8B">
          <w:rPr>
            <w:rStyle w:val="Hyperlink"/>
            <w:noProof/>
          </w:rPr>
          <w:t>Overview of Contract Cost of Service</w:t>
        </w:r>
        <w:r>
          <w:rPr>
            <w:noProof/>
            <w:webHidden/>
          </w:rPr>
          <w:tab/>
        </w:r>
        <w:r>
          <w:rPr>
            <w:noProof/>
            <w:webHidden/>
          </w:rPr>
          <w:fldChar w:fldCharType="begin"/>
        </w:r>
        <w:r>
          <w:rPr>
            <w:noProof/>
            <w:webHidden/>
          </w:rPr>
          <w:instrText xml:space="preserve"> PAGEREF _Toc21946117 \h </w:instrText>
        </w:r>
        <w:r>
          <w:rPr>
            <w:noProof/>
            <w:webHidden/>
          </w:rPr>
        </w:r>
        <w:r>
          <w:rPr>
            <w:noProof/>
            <w:webHidden/>
          </w:rPr>
          <w:fldChar w:fldCharType="separate"/>
        </w:r>
        <w:r>
          <w:rPr>
            <w:noProof/>
            <w:webHidden/>
          </w:rPr>
          <w:t>6</w:t>
        </w:r>
        <w:r>
          <w:rPr>
            <w:noProof/>
            <w:webHidden/>
          </w:rPr>
          <w:fldChar w:fldCharType="end"/>
        </w:r>
      </w:hyperlink>
    </w:p>
    <w:p w14:paraId="1C288039" w14:textId="77777777" w:rsidR="00A430E4" w:rsidRDefault="00A430E4">
      <w:pPr>
        <w:pStyle w:val="TOC1"/>
        <w:rPr>
          <w:rFonts w:asciiTheme="minorHAnsi" w:eastAsiaTheme="minorEastAsia" w:hAnsiTheme="minorHAnsi" w:cstheme="minorBidi"/>
          <w:noProof/>
          <w:sz w:val="22"/>
          <w:szCs w:val="22"/>
          <w:lang w:eastAsia="en-AU"/>
        </w:rPr>
      </w:pPr>
      <w:hyperlink w:anchor="_Toc21946118" w:history="1">
        <w:r w:rsidRPr="004E7B8B">
          <w:rPr>
            <w:rStyle w:val="Hyperlink"/>
            <w:noProof/>
          </w:rPr>
          <w:t>4</w:t>
        </w:r>
        <w:r>
          <w:rPr>
            <w:rFonts w:asciiTheme="minorHAnsi" w:eastAsiaTheme="minorEastAsia" w:hAnsiTheme="minorHAnsi" w:cstheme="minorBidi"/>
            <w:noProof/>
            <w:sz w:val="22"/>
            <w:szCs w:val="22"/>
            <w:lang w:eastAsia="en-AU"/>
          </w:rPr>
          <w:tab/>
        </w:r>
        <w:r w:rsidRPr="004E7B8B">
          <w:rPr>
            <w:rStyle w:val="Hyperlink"/>
            <w:noProof/>
          </w:rPr>
          <w:t>Custody Movement Services</w:t>
        </w:r>
        <w:r>
          <w:rPr>
            <w:noProof/>
            <w:webHidden/>
          </w:rPr>
          <w:tab/>
        </w:r>
        <w:r>
          <w:rPr>
            <w:noProof/>
            <w:webHidden/>
          </w:rPr>
          <w:fldChar w:fldCharType="begin"/>
        </w:r>
        <w:r>
          <w:rPr>
            <w:noProof/>
            <w:webHidden/>
          </w:rPr>
          <w:instrText xml:space="preserve"> PAGEREF _Toc21946118 \h </w:instrText>
        </w:r>
        <w:r>
          <w:rPr>
            <w:noProof/>
            <w:webHidden/>
          </w:rPr>
        </w:r>
        <w:r>
          <w:rPr>
            <w:noProof/>
            <w:webHidden/>
          </w:rPr>
          <w:fldChar w:fldCharType="separate"/>
        </w:r>
        <w:r>
          <w:rPr>
            <w:noProof/>
            <w:webHidden/>
          </w:rPr>
          <w:t>7</w:t>
        </w:r>
        <w:r>
          <w:rPr>
            <w:noProof/>
            <w:webHidden/>
          </w:rPr>
          <w:fldChar w:fldCharType="end"/>
        </w:r>
      </w:hyperlink>
    </w:p>
    <w:p w14:paraId="58CBC753" w14:textId="77777777" w:rsidR="00A430E4" w:rsidRDefault="00A430E4">
      <w:pPr>
        <w:pStyle w:val="TOC2"/>
        <w:rPr>
          <w:rFonts w:asciiTheme="minorHAnsi" w:eastAsiaTheme="minorEastAsia" w:hAnsiTheme="minorHAnsi" w:cstheme="minorBidi"/>
          <w:noProof/>
          <w:sz w:val="22"/>
          <w:szCs w:val="22"/>
          <w:lang w:eastAsia="en-AU"/>
        </w:rPr>
      </w:pPr>
      <w:hyperlink w:anchor="_Toc21946119" w:history="1">
        <w:r w:rsidRPr="004E7B8B">
          <w:rPr>
            <w:rStyle w:val="Hyperlink"/>
            <w:noProof/>
          </w:rPr>
          <w:t>4.1</w:t>
        </w:r>
        <w:r>
          <w:rPr>
            <w:rFonts w:asciiTheme="minorHAnsi" w:eastAsiaTheme="minorEastAsia" w:hAnsiTheme="minorHAnsi" w:cstheme="minorBidi"/>
            <w:noProof/>
            <w:sz w:val="22"/>
            <w:szCs w:val="22"/>
            <w:lang w:eastAsia="en-AU"/>
          </w:rPr>
          <w:tab/>
        </w:r>
        <w:r w:rsidRPr="004E7B8B">
          <w:rPr>
            <w:rStyle w:val="Hyperlink"/>
            <w:noProof/>
          </w:rPr>
          <w:t>Person in Custody Movement Services (Transport)</w:t>
        </w:r>
        <w:r>
          <w:rPr>
            <w:noProof/>
            <w:webHidden/>
          </w:rPr>
          <w:tab/>
        </w:r>
        <w:r>
          <w:rPr>
            <w:noProof/>
            <w:webHidden/>
          </w:rPr>
          <w:fldChar w:fldCharType="begin"/>
        </w:r>
        <w:r>
          <w:rPr>
            <w:noProof/>
            <w:webHidden/>
          </w:rPr>
          <w:instrText xml:space="preserve"> PAGEREF _Toc21946119 \h </w:instrText>
        </w:r>
        <w:r>
          <w:rPr>
            <w:noProof/>
            <w:webHidden/>
          </w:rPr>
        </w:r>
        <w:r>
          <w:rPr>
            <w:noProof/>
            <w:webHidden/>
          </w:rPr>
          <w:fldChar w:fldCharType="separate"/>
        </w:r>
        <w:r>
          <w:rPr>
            <w:noProof/>
            <w:webHidden/>
          </w:rPr>
          <w:t>7</w:t>
        </w:r>
        <w:r>
          <w:rPr>
            <w:noProof/>
            <w:webHidden/>
          </w:rPr>
          <w:fldChar w:fldCharType="end"/>
        </w:r>
      </w:hyperlink>
    </w:p>
    <w:p w14:paraId="1CAA92F9" w14:textId="77777777" w:rsidR="00A430E4" w:rsidRDefault="00A430E4">
      <w:pPr>
        <w:pStyle w:val="TOC3"/>
        <w:rPr>
          <w:rFonts w:asciiTheme="minorHAnsi" w:eastAsiaTheme="minorEastAsia" w:hAnsiTheme="minorHAnsi" w:cstheme="minorBidi"/>
          <w:noProof/>
          <w:sz w:val="22"/>
          <w:szCs w:val="22"/>
          <w:lang w:eastAsia="en-AU"/>
        </w:rPr>
      </w:pPr>
      <w:hyperlink w:anchor="_Toc21946120" w:history="1">
        <w:r w:rsidRPr="004E7B8B">
          <w:rPr>
            <w:rStyle w:val="Hyperlink"/>
            <w:noProof/>
          </w:rPr>
          <w:t>4.1.1</w:t>
        </w:r>
        <w:r>
          <w:rPr>
            <w:rFonts w:asciiTheme="minorHAnsi" w:eastAsiaTheme="minorEastAsia" w:hAnsiTheme="minorHAnsi" w:cstheme="minorBidi"/>
            <w:noProof/>
            <w:sz w:val="22"/>
            <w:szCs w:val="22"/>
            <w:lang w:eastAsia="en-AU"/>
          </w:rPr>
          <w:tab/>
        </w:r>
        <w:r w:rsidRPr="004E7B8B">
          <w:rPr>
            <w:rStyle w:val="Hyperlink"/>
            <w:noProof/>
          </w:rPr>
          <w:t>Description of Service</w:t>
        </w:r>
        <w:r>
          <w:rPr>
            <w:noProof/>
            <w:webHidden/>
          </w:rPr>
          <w:tab/>
        </w:r>
        <w:r>
          <w:rPr>
            <w:noProof/>
            <w:webHidden/>
          </w:rPr>
          <w:fldChar w:fldCharType="begin"/>
        </w:r>
        <w:r>
          <w:rPr>
            <w:noProof/>
            <w:webHidden/>
          </w:rPr>
          <w:instrText xml:space="preserve"> PAGEREF _Toc21946120 \h </w:instrText>
        </w:r>
        <w:r>
          <w:rPr>
            <w:noProof/>
            <w:webHidden/>
          </w:rPr>
        </w:r>
        <w:r>
          <w:rPr>
            <w:noProof/>
            <w:webHidden/>
          </w:rPr>
          <w:fldChar w:fldCharType="separate"/>
        </w:r>
        <w:r>
          <w:rPr>
            <w:noProof/>
            <w:webHidden/>
          </w:rPr>
          <w:t>7</w:t>
        </w:r>
        <w:r>
          <w:rPr>
            <w:noProof/>
            <w:webHidden/>
          </w:rPr>
          <w:fldChar w:fldCharType="end"/>
        </w:r>
      </w:hyperlink>
    </w:p>
    <w:p w14:paraId="56D50970" w14:textId="77777777" w:rsidR="00A430E4" w:rsidRDefault="00A430E4">
      <w:pPr>
        <w:pStyle w:val="TOC3"/>
        <w:rPr>
          <w:rFonts w:asciiTheme="minorHAnsi" w:eastAsiaTheme="minorEastAsia" w:hAnsiTheme="minorHAnsi" w:cstheme="minorBidi"/>
          <w:noProof/>
          <w:sz w:val="22"/>
          <w:szCs w:val="22"/>
          <w:lang w:eastAsia="en-AU"/>
        </w:rPr>
      </w:pPr>
      <w:hyperlink w:anchor="_Toc21946121" w:history="1">
        <w:r w:rsidRPr="004E7B8B">
          <w:rPr>
            <w:rStyle w:val="Hyperlink"/>
            <w:noProof/>
          </w:rPr>
          <w:t>4.1.2</w:t>
        </w:r>
        <w:r>
          <w:rPr>
            <w:rFonts w:asciiTheme="minorHAnsi" w:eastAsiaTheme="minorEastAsia" w:hAnsiTheme="minorHAnsi" w:cstheme="minorBidi"/>
            <w:noProof/>
            <w:sz w:val="22"/>
            <w:szCs w:val="22"/>
            <w:lang w:eastAsia="en-AU"/>
          </w:rPr>
          <w:tab/>
        </w:r>
        <w:r w:rsidRPr="004E7B8B">
          <w:rPr>
            <w:rStyle w:val="Hyperlink"/>
            <w:noProof/>
          </w:rPr>
          <w:t>Total Expenditure: Custody Movement Services</w:t>
        </w:r>
        <w:r>
          <w:rPr>
            <w:noProof/>
            <w:webHidden/>
          </w:rPr>
          <w:tab/>
        </w:r>
        <w:r>
          <w:rPr>
            <w:noProof/>
            <w:webHidden/>
          </w:rPr>
          <w:fldChar w:fldCharType="begin"/>
        </w:r>
        <w:r>
          <w:rPr>
            <w:noProof/>
            <w:webHidden/>
          </w:rPr>
          <w:instrText xml:space="preserve"> PAGEREF _Toc21946121 \h </w:instrText>
        </w:r>
        <w:r>
          <w:rPr>
            <w:noProof/>
            <w:webHidden/>
          </w:rPr>
        </w:r>
        <w:r>
          <w:rPr>
            <w:noProof/>
            <w:webHidden/>
          </w:rPr>
          <w:fldChar w:fldCharType="separate"/>
        </w:r>
        <w:r>
          <w:rPr>
            <w:noProof/>
            <w:webHidden/>
          </w:rPr>
          <w:t>8</w:t>
        </w:r>
        <w:r>
          <w:rPr>
            <w:noProof/>
            <w:webHidden/>
          </w:rPr>
          <w:fldChar w:fldCharType="end"/>
        </w:r>
      </w:hyperlink>
    </w:p>
    <w:p w14:paraId="45D7E341" w14:textId="77777777" w:rsidR="00A430E4" w:rsidRDefault="00A430E4">
      <w:pPr>
        <w:pStyle w:val="TOC2"/>
        <w:rPr>
          <w:rFonts w:asciiTheme="minorHAnsi" w:eastAsiaTheme="minorEastAsia" w:hAnsiTheme="minorHAnsi" w:cstheme="minorBidi"/>
          <w:noProof/>
          <w:sz w:val="22"/>
          <w:szCs w:val="22"/>
          <w:lang w:eastAsia="en-AU"/>
        </w:rPr>
      </w:pPr>
      <w:hyperlink w:anchor="_Toc21946122" w:history="1">
        <w:r w:rsidRPr="004E7B8B">
          <w:rPr>
            <w:rStyle w:val="Hyperlink"/>
            <w:noProof/>
          </w:rPr>
          <w:t>4.2</w:t>
        </w:r>
        <w:r>
          <w:rPr>
            <w:rFonts w:asciiTheme="minorHAnsi" w:eastAsiaTheme="minorEastAsia" w:hAnsiTheme="minorHAnsi" w:cstheme="minorBidi"/>
            <w:noProof/>
            <w:sz w:val="22"/>
            <w:szCs w:val="22"/>
            <w:lang w:eastAsia="en-AU"/>
          </w:rPr>
          <w:tab/>
        </w:r>
        <w:r w:rsidRPr="004E7B8B">
          <w:rPr>
            <w:rStyle w:val="Hyperlink"/>
            <w:noProof/>
          </w:rPr>
          <w:t>Person in Custody who died while in hospital</w:t>
        </w:r>
        <w:r>
          <w:rPr>
            <w:noProof/>
            <w:webHidden/>
          </w:rPr>
          <w:tab/>
        </w:r>
        <w:r>
          <w:rPr>
            <w:noProof/>
            <w:webHidden/>
          </w:rPr>
          <w:fldChar w:fldCharType="begin"/>
        </w:r>
        <w:r>
          <w:rPr>
            <w:noProof/>
            <w:webHidden/>
          </w:rPr>
          <w:instrText xml:space="preserve"> PAGEREF _Toc21946122 \h </w:instrText>
        </w:r>
        <w:r>
          <w:rPr>
            <w:noProof/>
            <w:webHidden/>
          </w:rPr>
        </w:r>
        <w:r>
          <w:rPr>
            <w:noProof/>
            <w:webHidden/>
          </w:rPr>
          <w:fldChar w:fldCharType="separate"/>
        </w:r>
        <w:r>
          <w:rPr>
            <w:noProof/>
            <w:webHidden/>
          </w:rPr>
          <w:t>9</w:t>
        </w:r>
        <w:r>
          <w:rPr>
            <w:noProof/>
            <w:webHidden/>
          </w:rPr>
          <w:fldChar w:fldCharType="end"/>
        </w:r>
      </w:hyperlink>
    </w:p>
    <w:p w14:paraId="06361F17" w14:textId="77777777" w:rsidR="00A430E4" w:rsidRDefault="00A430E4">
      <w:pPr>
        <w:pStyle w:val="TOC2"/>
        <w:rPr>
          <w:rFonts w:asciiTheme="minorHAnsi" w:eastAsiaTheme="minorEastAsia" w:hAnsiTheme="minorHAnsi" w:cstheme="minorBidi"/>
          <w:noProof/>
          <w:sz w:val="22"/>
          <w:szCs w:val="22"/>
          <w:lang w:eastAsia="en-AU"/>
        </w:rPr>
      </w:pPr>
      <w:hyperlink w:anchor="_Toc21946123" w:history="1">
        <w:r w:rsidRPr="004E7B8B">
          <w:rPr>
            <w:rStyle w:val="Hyperlink"/>
            <w:noProof/>
          </w:rPr>
          <w:t>4.3</w:t>
        </w:r>
        <w:r>
          <w:rPr>
            <w:rFonts w:asciiTheme="minorHAnsi" w:eastAsiaTheme="minorEastAsia" w:hAnsiTheme="minorHAnsi" w:cstheme="minorBidi"/>
            <w:noProof/>
            <w:sz w:val="22"/>
            <w:szCs w:val="22"/>
            <w:lang w:eastAsia="en-AU"/>
          </w:rPr>
          <w:tab/>
        </w:r>
        <w:r w:rsidRPr="004E7B8B">
          <w:rPr>
            <w:rStyle w:val="Hyperlink"/>
            <w:noProof/>
          </w:rPr>
          <w:t>Management of Persons in Custody</w:t>
        </w:r>
        <w:r>
          <w:rPr>
            <w:noProof/>
            <w:webHidden/>
          </w:rPr>
          <w:tab/>
        </w:r>
        <w:r>
          <w:rPr>
            <w:noProof/>
            <w:webHidden/>
          </w:rPr>
          <w:fldChar w:fldCharType="begin"/>
        </w:r>
        <w:r>
          <w:rPr>
            <w:noProof/>
            <w:webHidden/>
          </w:rPr>
          <w:instrText xml:space="preserve"> PAGEREF _Toc21946123 \h </w:instrText>
        </w:r>
        <w:r>
          <w:rPr>
            <w:noProof/>
            <w:webHidden/>
          </w:rPr>
        </w:r>
        <w:r>
          <w:rPr>
            <w:noProof/>
            <w:webHidden/>
          </w:rPr>
          <w:fldChar w:fldCharType="separate"/>
        </w:r>
        <w:r>
          <w:rPr>
            <w:noProof/>
            <w:webHidden/>
          </w:rPr>
          <w:t>9</w:t>
        </w:r>
        <w:r>
          <w:rPr>
            <w:noProof/>
            <w:webHidden/>
          </w:rPr>
          <w:fldChar w:fldCharType="end"/>
        </w:r>
      </w:hyperlink>
    </w:p>
    <w:p w14:paraId="65536D1A" w14:textId="77777777" w:rsidR="00A430E4" w:rsidRDefault="00A430E4">
      <w:pPr>
        <w:pStyle w:val="TOC2"/>
        <w:rPr>
          <w:rFonts w:asciiTheme="minorHAnsi" w:eastAsiaTheme="minorEastAsia" w:hAnsiTheme="minorHAnsi" w:cstheme="minorBidi"/>
          <w:noProof/>
          <w:sz w:val="22"/>
          <w:szCs w:val="22"/>
          <w:lang w:eastAsia="en-AU"/>
        </w:rPr>
      </w:pPr>
      <w:hyperlink w:anchor="_Toc21946124" w:history="1">
        <w:r w:rsidRPr="004E7B8B">
          <w:rPr>
            <w:rStyle w:val="Hyperlink"/>
            <w:noProof/>
          </w:rPr>
          <w:t>4.4</w:t>
        </w:r>
        <w:r>
          <w:rPr>
            <w:rFonts w:asciiTheme="minorHAnsi" w:eastAsiaTheme="minorEastAsia" w:hAnsiTheme="minorHAnsi" w:cstheme="minorBidi"/>
            <w:noProof/>
            <w:sz w:val="22"/>
            <w:szCs w:val="22"/>
            <w:lang w:eastAsia="en-AU"/>
          </w:rPr>
          <w:tab/>
        </w:r>
        <w:r w:rsidRPr="004E7B8B">
          <w:rPr>
            <w:rStyle w:val="Hyperlink"/>
            <w:noProof/>
          </w:rPr>
          <w:t>Secure Vehicle Fleet</w:t>
        </w:r>
        <w:r>
          <w:rPr>
            <w:noProof/>
            <w:webHidden/>
          </w:rPr>
          <w:tab/>
        </w:r>
        <w:r>
          <w:rPr>
            <w:noProof/>
            <w:webHidden/>
          </w:rPr>
          <w:fldChar w:fldCharType="begin"/>
        </w:r>
        <w:r>
          <w:rPr>
            <w:noProof/>
            <w:webHidden/>
          </w:rPr>
          <w:instrText xml:space="preserve"> PAGEREF _Toc21946124 \h </w:instrText>
        </w:r>
        <w:r>
          <w:rPr>
            <w:noProof/>
            <w:webHidden/>
          </w:rPr>
        </w:r>
        <w:r>
          <w:rPr>
            <w:noProof/>
            <w:webHidden/>
          </w:rPr>
          <w:fldChar w:fldCharType="separate"/>
        </w:r>
        <w:r>
          <w:rPr>
            <w:noProof/>
            <w:webHidden/>
          </w:rPr>
          <w:t>9</w:t>
        </w:r>
        <w:r>
          <w:rPr>
            <w:noProof/>
            <w:webHidden/>
          </w:rPr>
          <w:fldChar w:fldCharType="end"/>
        </w:r>
      </w:hyperlink>
    </w:p>
    <w:p w14:paraId="4C8D5DAE" w14:textId="77777777" w:rsidR="00A430E4" w:rsidRDefault="00A430E4">
      <w:pPr>
        <w:pStyle w:val="TOC1"/>
        <w:rPr>
          <w:rFonts w:asciiTheme="minorHAnsi" w:eastAsiaTheme="minorEastAsia" w:hAnsiTheme="minorHAnsi" w:cstheme="minorBidi"/>
          <w:noProof/>
          <w:sz w:val="22"/>
          <w:szCs w:val="22"/>
          <w:lang w:eastAsia="en-AU"/>
        </w:rPr>
      </w:pPr>
      <w:hyperlink w:anchor="_Toc21946125" w:history="1">
        <w:r w:rsidRPr="004E7B8B">
          <w:rPr>
            <w:rStyle w:val="Hyperlink"/>
            <w:noProof/>
          </w:rPr>
          <w:t>5</w:t>
        </w:r>
        <w:r>
          <w:rPr>
            <w:rFonts w:asciiTheme="minorHAnsi" w:eastAsiaTheme="minorEastAsia" w:hAnsiTheme="minorHAnsi" w:cstheme="minorBidi"/>
            <w:noProof/>
            <w:sz w:val="22"/>
            <w:szCs w:val="22"/>
            <w:lang w:eastAsia="en-AU"/>
          </w:rPr>
          <w:tab/>
        </w:r>
        <w:r w:rsidRPr="004E7B8B">
          <w:rPr>
            <w:rStyle w:val="Hyperlink"/>
            <w:noProof/>
          </w:rPr>
          <w:t>Court Security and Court Custody</w:t>
        </w:r>
        <w:r>
          <w:rPr>
            <w:noProof/>
            <w:webHidden/>
          </w:rPr>
          <w:tab/>
        </w:r>
        <w:r>
          <w:rPr>
            <w:noProof/>
            <w:webHidden/>
          </w:rPr>
          <w:fldChar w:fldCharType="begin"/>
        </w:r>
        <w:r>
          <w:rPr>
            <w:noProof/>
            <w:webHidden/>
          </w:rPr>
          <w:instrText xml:space="preserve"> PAGEREF _Toc21946125 \h </w:instrText>
        </w:r>
        <w:r>
          <w:rPr>
            <w:noProof/>
            <w:webHidden/>
          </w:rPr>
        </w:r>
        <w:r>
          <w:rPr>
            <w:noProof/>
            <w:webHidden/>
          </w:rPr>
          <w:fldChar w:fldCharType="separate"/>
        </w:r>
        <w:r>
          <w:rPr>
            <w:noProof/>
            <w:webHidden/>
          </w:rPr>
          <w:t>10</w:t>
        </w:r>
        <w:r>
          <w:rPr>
            <w:noProof/>
            <w:webHidden/>
          </w:rPr>
          <w:fldChar w:fldCharType="end"/>
        </w:r>
      </w:hyperlink>
    </w:p>
    <w:p w14:paraId="664FB0E1" w14:textId="77777777" w:rsidR="00A430E4" w:rsidRDefault="00A430E4">
      <w:pPr>
        <w:pStyle w:val="TOC2"/>
        <w:rPr>
          <w:rFonts w:asciiTheme="minorHAnsi" w:eastAsiaTheme="minorEastAsia" w:hAnsiTheme="minorHAnsi" w:cstheme="minorBidi"/>
          <w:noProof/>
          <w:sz w:val="22"/>
          <w:szCs w:val="22"/>
          <w:lang w:eastAsia="en-AU"/>
        </w:rPr>
      </w:pPr>
      <w:hyperlink w:anchor="_Toc21946126" w:history="1">
        <w:r w:rsidRPr="004E7B8B">
          <w:rPr>
            <w:rStyle w:val="Hyperlink"/>
            <w:noProof/>
          </w:rPr>
          <w:t>5.1</w:t>
        </w:r>
        <w:r>
          <w:rPr>
            <w:rFonts w:asciiTheme="minorHAnsi" w:eastAsiaTheme="minorEastAsia" w:hAnsiTheme="minorHAnsi" w:cstheme="minorBidi"/>
            <w:noProof/>
            <w:sz w:val="22"/>
            <w:szCs w:val="22"/>
            <w:lang w:eastAsia="en-AU"/>
          </w:rPr>
          <w:tab/>
        </w:r>
        <w:r w:rsidRPr="004E7B8B">
          <w:rPr>
            <w:rStyle w:val="Hyperlink"/>
            <w:noProof/>
          </w:rPr>
          <w:t>Description of Service</w:t>
        </w:r>
        <w:r>
          <w:rPr>
            <w:noProof/>
            <w:webHidden/>
          </w:rPr>
          <w:tab/>
        </w:r>
        <w:r>
          <w:rPr>
            <w:noProof/>
            <w:webHidden/>
          </w:rPr>
          <w:fldChar w:fldCharType="begin"/>
        </w:r>
        <w:r>
          <w:rPr>
            <w:noProof/>
            <w:webHidden/>
          </w:rPr>
          <w:instrText xml:space="preserve"> PAGEREF _Toc21946126 \h </w:instrText>
        </w:r>
        <w:r>
          <w:rPr>
            <w:noProof/>
            <w:webHidden/>
          </w:rPr>
        </w:r>
        <w:r>
          <w:rPr>
            <w:noProof/>
            <w:webHidden/>
          </w:rPr>
          <w:fldChar w:fldCharType="separate"/>
        </w:r>
        <w:r>
          <w:rPr>
            <w:noProof/>
            <w:webHidden/>
          </w:rPr>
          <w:t>10</w:t>
        </w:r>
        <w:r>
          <w:rPr>
            <w:noProof/>
            <w:webHidden/>
          </w:rPr>
          <w:fldChar w:fldCharType="end"/>
        </w:r>
      </w:hyperlink>
    </w:p>
    <w:p w14:paraId="1A418B52" w14:textId="77777777" w:rsidR="00A430E4" w:rsidRDefault="00A430E4">
      <w:pPr>
        <w:pStyle w:val="TOC2"/>
        <w:rPr>
          <w:rFonts w:asciiTheme="minorHAnsi" w:eastAsiaTheme="minorEastAsia" w:hAnsiTheme="minorHAnsi" w:cstheme="minorBidi"/>
          <w:noProof/>
          <w:sz w:val="22"/>
          <w:szCs w:val="22"/>
          <w:lang w:eastAsia="en-AU"/>
        </w:rPr>
      </w:pPr>
      <w:hyperlink w:anchor="_Toc21946127" w:history="1">
        <w:r w:rsidRPr="004E7B8B">
          <w:rPr>
            <w:rStyle w:val="Hyperlink"/>
            <w:noProof/>
          </w:rPr>
          <w:t>5.2</w:t>
        </w:r>
        <w:r>
          <w:rPr>
            <w:rFonts w:asciiTheme="minorHAnsi" w:eastAsiaTheme="minorEastAsia" w:hAnsiTheme="minorHAnsi" w:cstheme="minorBidi"/>
            <w:noProof/>
            <w:sz w:val="22"/>
            <w:szCs w:val="22"/>
            <w:lang w:eastAsia="en-AU"/>
          </w:rPr>
          <w:tab/>
        </w:r>
        <w:r w:rsidRPr="004E7B8B">
          <w:rPr>
            <w:rStyle w:val="Hyperlink"/>
            <w:noProof/>
          </w:rPr>
          <w:t>Court Custody and Court Security Costs</w:t>
        </w:r>
        <w:r>
          <w:rPr>
            <w:noProof/>
            <w:webHidden/>
          </w:rPr>
          <w:tab/>
        </w:r>
        <w:r>
          <w:rPr>
            <w:noProof/>
            <w:webHidden/>
          </w:rPr>
          <w:fldChar w:fldCharType="begin"/>
        </w:r>
        <w:r>
          <w:rPr>
            <w:noProof/>
            <w:webHidden/>
          </w:rPr>
          <w:instrText xml:space="preserve"> PAGEREF _Toc21946127 \h </w:instrText>
        </w:r>
        <w:r>
          <w:rPr>
            <w:noProof/>
            <w:webHidden/>
          </w:rPr>
        </w:r>
        <w:r>
          <w:rPr>
            <w:noProof/>
            <w:webHidden/>
          </w:rPr>
          <w:fldChar w:fldCharType="separate"/>
        </w:r>
        <w:r>
          <w:rPr>
            <w:noProof/>
            <w:webHidden/>
          </w:rPr>
          <w:t>10</w:t>
        </w:r>
        <w:r>
          <w:rPr>
            <w:noProof/>
            <w:webHidden/>
          </w:rPr>
          <w:fldChar w:fldCharType="end"/>
        </w:r>
      </w:hyperlink>
    </w:p>
    <w:p w14:paraId="5F8A8BA0" w14:textId="77777777" w:rsidR="00A430E4" w:rsidRDefault="00A430E4">
      <w:pPr>
        <w:pStyle w:val="TOC2"/>
        <w:rPr>
          <w:rFonts w:asciiTheme="minorHAnsi" w:eastAsiaTheme="minorEastAsia" w:hAnsiTheme="minorHAnsi" w:cstheme="minorBidi"/>
          <w:noProof/>
          <w:sz w:val="22"/>
          <w:szCs w:val="22"/>
          <w:lang w:eastAsia="en-AU"/>
        </w:rPr>
      </w:pPr>
      <w:hyperlink w:anchor="_Toc21946128" w:history="1">
        <w:r w:rsidRPr="004E7B8B">
          <w:rPr>
            <w:rStyle w:val="Hyperlink"/>
            <w:noProof/>
          </w:rPr>
          <w:t>5.3</w:t>
        </w:r>
        <w:r>
          <w:rPr>
            <w:rFonts w:asciiTheme="minorHAnsi" w:eastAsiaTheme="minorEastAsia" w:hAnsiTheme="minorHAnsi" w:cstheme="minorBidi"/>
            <w:noProof/>
            <w:sz w:val="22"/>
            <w:szCs w:val="22"/>
            <w:lang w:eastAsia="en-AU"/>
          </w:rPr>
          <w:tab/>
        </w:r>
        <w:r w:rsidRPr="004E7B8B">
          <w:rPr>
            <w:rStyle w:val="Hyperlink"/>
            <w:noProof/>
          </w:rPr>
          <w:t>Industrial Dispute</w:t>
        </w:r>
        <w:r>
          <w:rPr>
            <w:noProof/>
            <w:webHidden/>
          </w:rPr>
          <w:tab/>
        </w:r>
        <w:r>
          <w:rPr>
            <w:noProof/>
            <w:webHidden/>
          </w:rPr>
          <w:fldChar w:fldCharType="begin"/>
        </w:r>
        <w:r>
          <w:rPr>
            <w:noProof/>
            <w:webHidden/>
          </w:rPr>
          <w:instrText xml:space="preserve"> PAGEREF _Toc21946128 \h </w:instrText>
        </w:r>
        <w:r>
          <w:rPr>
            <w:noProof/>
            <w:webHidden/>
          </w:rPr>
        </w:r>
        <w:r>
          <w:rPr>
            <w:noProof/>
            <w:webHidden/>
          </w:rPr>
          <w:fldChar w:fldCharType="separate"/>
        </w:r>
        <w:r>
          <w:rPr>
            <w:noProof/>
            <w:webHidden/>
          </w:rPr>
          <w:t>10</w:t>
        </w:r>
        <w:r>
          <w:rPr>
            <w:noProof/>
            <w:webHidden/>
          </w:rPr>
          <w:fldChar w:fldCharType="end"/>
        </w:r>
      </w:hyperlink>
    </w:p>
    <w:p w14:paraId="611B53DD" w14:textId="77777777" w:rsidR="00A430E4" w:rsidRDefault="00A430E4">
      <w:pPr>
        <w:pStyle w:val="TOC1"/>
        <w:rPr>
          <w:rFonts w:asciiTheme="minorHAnsi" w:eastAsiaTheme="minorEastAsia" w:hAnsiTheme="minorHAnsi" w:cstheme="minorBidi"/>
          <w:noProof/>
          <w:sz w:val="22"/>
          <w:szCs w:val="22"/>
          <w:lang w:eastAsia="en-AU"/>
        </w:rPr>
      </w:pPr>
      <w:hyperlink w:anchor="_Toc21946129" w:history="1">
        <w:r w:rsidRPr="004E7B8B">
          <w:rPr>
            <w:rStyle w:val="Hyperlink"/>
            <w:noProof/>
          </w:rPr>
          <w:t>6</w:t>
        </w:r>
        <w:r>
          <w:rPr>
            <w:rFonts w:asciiTheme="minorHAnsi" w:eastAsiaTheme="minorEastAsia" w:hAnsiTheme="minorHAnsi" w:cstheme="minorBidi"/>
            <w:noProof/>
            <w:sz w:val="22"/>
            <w:szCs w:val="22"/>
            <w:lang w:eastAsia="en-AU"/>
          </w:rPr>
          <w:tab/>
        </w:r>
        <w:r w:rsidRPr="004E7B8B">
          <w:rPr>
            <w:rStyle w:val="Hyperlink"/>
            <w:noProof/>
          </w:rPr>
          <w:t>Contract Compliance</w:t>
        </w:r>
        <w:r>
          <w:rPr>
            <w:noProof/>
            <w:webHidden/>
          </w:rPr>
          <w:tab/>
        </w:r>
        <w:r>
          <w:rPr>
            <w:noProof/>
            <w:webHidden/>
          </w:rPr>
          <w:fldChar w:fldCharType="begin"/>
        </w:r>
        <w:r>
          <w:rPr>
            <w:noProof/>
            <w:webHidden/>
          </w:rPr>
          <w:instrText xml:space="preserve"> PAGEREF _Toc21946129 \h </w:instrText>
        </w:r>
        <w:r>
          <w:rPr>
            <w:noProof/>
            <w:webHidden/>
          </w:rPr>
        </w:r>
        <w:r>
          <w:rPr>
            <w:noProof/>
            <w:webHidden/>
          </w:rPr>
          <w:fldChar w:fldCharType="separate"/>
        </w:r>
        <w:r>
          <w:rPr>
            <w:noProof/>
            <w:webHidden/>
          </w:rPr>
          <w:t>11</w:t>
        </w:r>
        <w:r>
          <w:rPr>
            <w:noProof/>
            <w:webHidden/>
          </w:rPr>
          <w:fldChar w:fldCharType="end"/>
        </w:r>
      </w:hyperlink>
    </w:p>
    <w:p w14:paraId="706D1DD9" w14:textId="77777777" w:rsidR="00A430E4" w:rsidRDefault="00A430E4">
      <w:pPr>
        <w:pStyle w:val="TOC2"/>
        <w:rPr>
          <w:rFonts w:asciiTheme="minorHAnsi" w:eastAsiaTheme="minorEastAsia" w:hAnsiTheme="minorHAnsi" w:cstheme="minorBidi"/>
          <w:noProof/>
          <w:sz w:val="22"/>
          <w:szCs w:val="22"/>
          <w:lang w:eastAsia="en-AU"/>
        </w:rPr>
      </w:pPr>
      <w:hyperlink w:anchor="_Toc21946130" w:history="1">
        <w:r w:rsidRPr="004E7B8B">
          <w:rPr>
            <w:rStyle w:val="Hyperlink"/>
            <w:noProof/>
          </w:rPr>
          <w:t>6.1</w:t>
        </w:r>
        <w:r>
          <w:rPr>
            <w:rFonts w:asciiTheme="minorHAnsi" w:eastAsiaTheme="minorEastAsia" w:hAnsiTheme="minorHAnsi" w:cstheme="minorBidi"/>
            <w:noProof/>
            <w:sz w:val="22"/>
            <w:szCs w:val="22"/>
            <w:lang w:eastAsia="en-AU"/>
          </w:rPr>
          <w:tab/>
        </w:r>
        <w:r w:rsidRPr="004E7B8B">
          <w:rPr>
            <w:rStyle w:val="Hyperlink"/>
            <w:noProof/>
          </w:rPr>
          <w:t>Description of Service</w:t>
        </w:r>
        <w:r>
          <w:rPr>
            <w:noProof/>
            <w:webHidden/>
          </w:rPr>
          <w:tab/>
        </w:r>
        <w:r>
          <w:rPr>
            <w:noProof/>
            <w:webHidden/>
          </w:rPr>
          <w:fldChar w:fldCharType="begin"/>
        </w:r>
        <w:r>
          <w:rPr>
            <w:noProof/>
            <w:webHidden/>
          </w:rPr>
          <w:instrText xml:space="preserve"> PAGEREF _Toc21946130 \h </w:instrText>
        </w:r>
        <w:r>
          <w:rPr>
            <w:noProof/>
            <w:webHidden/>
          </w:rPr>
        </w:r>
        <w:r>
          <w:rPr>
            <w:noProof/>
            <w:webHidden/>
          </w:rPr>
          <w:fldChar w:fldCharType="separate"/>
        </w:r>
        <w:r>
          <w:rPr>
            <w:noProof/>
            <w:webHidden/>
          </w:rPr>
          <w:t>11</w:t>
        </w:r>
        <w:r>
          <w:rPr>
            <w:noProof/>
            <w:webHidden/>
          </w:rPr>
          <w:fldChar w:fldCharType="end"/>
        </w:r>
      </w:hyperlink>
    </w:p>
    <w:p w14:paraId="251F027F" w14:textId="77777777" w:rsidR="00A430E4" w:rsidRDefault="00A430E4">
      <w:pPr>
        <w:pStyle w:val="TOC2"/>
        <w:rPr>
          <w:rFonts w:asciiTheme="minorHAnsi" w:eastAsiaTheme="minorEastAsia" w:hAnsiTheme="minorHAnsi" w:cstheme="minorBidi"/>
          <w:noProof/>
          <w:sz w:val="22"/>
          <w:szCs w:val="22"/>
          <w:lang w:eastAsia="en-AU"/>
        </w:rPr>
      </w:pPr>
      <w:hyperlink w:anchor="_Toc21946131" w:history="1">
        <w:r w:rsidRPr="004E7B8B">
          <w:rPr>
            <w:rStyle w:val="Hyperlink"/>
            <w:noProof/>
          </w:rPr>
          <w:t>6.2</w:t>
        </w:r>
        <w:r>
          <w:rPr>
            <w:rFonts w:asciiTheme="minorHAnsi" w:eastAsiaTheme="minorEastAsia" w:hAnsiTheme="minorHAnsi" w:cstheme="minorBidi"/>
            <w:noProof/>
            <w:sz w:val="22"/>
            <w:szCs w:val="22"/>
            <w:lang w:eastAsia="en-AU"/>
          </w:rPr>
          <w:tab/>
        </w:r>
        <w:r w:rsidRPr="004E7B8B">
          <w:rPr>
            <w:rStyle w:val="Hyperlink"/>
            <w:noProof/>
          </w:rPr>
          <w:t>Specified Events and Key Performance Indicators (KPIs)</w:t>
        </w:r>
        <w:r>
          <w:rPr>
            <w:noProof/>
            <w:webHidden/>
          </w:rPr>
          <w:tab/>
        </w:r>
        <w:r>
          <w:rPr>
            <w:noProof/>
            <w:webHidden/>
          </w:rPr>
          <w:fldChar w:fldCharType="begin"/>
        </w:r>
        <w:r>
          <w:rPr>
            <w:noProof/>
            <w:webHidden/>
          </w:rPr>
          <w:instrText xml:space="preserve"> PAGEREF _Toc21946131 \h </w:instrText>
        </w:r>
        <w:r>
          <w:rPr>
            <w:noProof/>
            <w:webHidden/>
          </w:rPr>
        </w:r>
        <w:r>
          <w:rPr>
            <w:noProof/>
            <w:webHidden/>
          </w:rPr>
          <w:fldChar w:fldCharType="separate"/>
        </w:r>
        <w:r>
          <w:rPr>
            <w:noProof/>
            <w:webHidden/>
          </w:rPr>
          <w:t>12</w:t>
        </w:r>
        <w:r>
          <w:rPr>
            <w:noProof/>
            <w:webHidden/>
          </w:rPr>
          <w:fldChar w:fldCharType="end"/>
        </w:r>
      </w:hyperlink>
    </w:p>
    <w:p w14:paraId="31AF94EF" w14:textId="77777777" w:rsidR="00A430E4" w:rsidRDefault="00A430E4">
      <w:pPr>
        <w:pStyle w:val="TOC2"/>
        <w:rPr>
          <w:rFonts w:asciiTheme="minorHAnsi" w:eastAsiaTheme="minorEastAsia" w:hAnsiTheme="minorHAnsi" w:cstheme="minorBidi"/>
          <w:noProof/>
          <w:sz w:val="22"/>
          <w:szCs w:val="22"/>
          <w:lang w:eastAsia="en-AU"/>
        </w:rPr>
      </w:pPr>
      <w:hyperlink w:anchor="_Toc21946132" w:history="1">
        <w:r w:rsidRPr="004E7B8B">
          <w:rPr>
            <w:rStyle w:val="Hyperlink"/>
            <w:noProof/>
          </w:rPr>
          <w:t>6.3</w:t>
        </w:r>
        <w:r>
          <w:rPr>
            <w:rFonts w:asciiTheme="minorHAnsi" w:eastAsiaTheme="minorEastAsia" w:hAnsiTheme="minorHAnsi" w:cstheme="minorBidi"/>
            <w:noProof/>
            <w:sz w:val="22"/>
            <w:szCs w:val="22"/>
            <w:lang w:eastAsia="en-AU"/>
          </w:rPr>
          <w:tab/>
        </w:r>
        <w:r w:rsidRPr="004E7B8B">
          <w:rPr>
            <w:rStyle w:val="Hyperlink"/>
            <w:noProof/>
          </w:rPr>
          <w:t>Performance Improvement Notices</w:t>
        </w:r>
        <w:r>
          <w:rPr>
            <w:noProof/>
            <w:webHidden/>
          </w:rPr>
          <w:tab/>
        </w:r>
        <w:r>
          <w:rPr>
            <w:noProof/>
            <w:webHidden/>
          </w:rPr>
          <w:fldChar w:fldCharType="begin"/>
        </w:r>
        <w:r>
          <w:rPr>
            <w:noProof/>
            <w:webHidden/>
          </w:rPr>
          <w:instrText xml:space="preserve"> PAGEREF _Toc21946132 \h </w:instrText>
        </w:r>
        <w:r>
          <w:rPr>
            <w:noProof/>
            <w:webHidden/>
          </w:rPr>
        </w:r>
        <w:r>
          <w:rPr>
            <w:noProof/>
            <w:webHidden/>
          </w:rPr>
          <w:fldChar w:fldCharType="separate"/>
        </w:r>
        <w:r>
          <w:rPr>
            <w:noProof/>
            <w:webHidden/>
          </w:rPr>
          <w:t>13</w:t>
        </w:r>
        <w:r>
          <w:rPr>
            <w:noProof/>
            <w:webHidden/>
          </w:rPr>
          <w:fldChar w:fldCharType="end"/>
        </w:r>
      </w:hyperlink>
    </w:p>
    <w:p w14:paraId="37F163A6" w14:textId="77777777" w:rsidR="00A430E4" w:rsidRDefault="00A430E4">
      <w:pPr>
        <w:pStyle w:val="TOC1"/>
        <w:rPr>
          <w:rFonts w:asciiTheme="minorHAnsi" w:eastAsiaTheme="minorEastAsia" w:hAnsiTheme="minorHAnsi" w:cstheme="minorBidi"/>
          <w:noProof/>
          <w:sz w:val="22"/>
          <w:szCs w:val="22"/>
          <w:lang w:eastAsia="en-AU"/>
        </w:rPr>
      </w:pPr>
      <w:hyperlink w:anchor="_Toc21946133" w:history="1">
        <w:r w:rsidRPr="004E7B8B">
          <w:rPr>
            <w:rStyle w:val="Hyperlink"/>
            <w:noProof/>
          </w:rPr>
          <w:t>7</w:t>
        </w:r>
        <w:r>
          <w:rPr>
            <w:rFonts w:asciiTheme="minorHAnsi" w:eastAsiaTheme="minorEastAsia" w:hAnsiTheme="minorHAnsi" w:cstheme="minorBidi"/>
            <w:noProof/>
            <w:sz w:val="22"/>
            <w:szCs w:val="22"/>
            <w:lang w:eastAsia="en-AU"/>
          </w:rPr>
          <w:tab/>
        </w:r>
        <w:r w:rsidRPr="004E7B8B">
          <w:rPr>
            <w:rStyle w:val="Hyperlink"/>
            <w:noProof/>
          </w:rPr>
          <w:t>Training</w:t>
        </w:r>
        <w:r>
          <w:rPr>
            <w:noProof/>
            <w:webHidden/>
          </w:rPr>
          <w:tab/>
        </w:r>
        <w:r>
          <w:rPr>
            <w:noProof/>
            <w:webHidden/>
          </w:rPr>
          <w:fldChar w:fldCharType="begin"/>
        </w:r>
        <w:r>
          <w:rPr>
            <w:noProof/>
            <w:webHidden/>
          </w:rPr>
          <w:instrText xml:space="preserve"> PAGEREF _Toc21946133 \h </w:instrText>
        </w:r>
        <w:r>
          <w:rPr>
            <w:noProof/>
            <w:webHidden/>
          </w:rPr>
        </w:r>
        <w:r>
          <w:rPr>
            <w:noProof/>
            <w:webHidden/>
          </w:rPr>
          <w:fldChar w:fldCharType="separate"/>
        </w:r>
        <w:r>
          <w:rPr>
            <w:noProof/>
            <w:webHidden/>
          </w:rPr>
          <w:t>14</w:t>
        </w:r>
        <w:r>
          <w:rPr>
            <w:noProof/>
            <w:webHidden/>
          </w:rPr>
          <w:fldChar w:fldCharType="end"/>
        </w:r>
      </w:hyperlink>
    </w:p>
    <w:p w14:paraId="4288B471" w14:textId="77777777" w:rsidR="00A430E4" w:rsidRDefault="00A430E4">
      <w:pPr>
        <w:pStyle w:val="TOC1"/>
        <w:rPr>
          <w:rFonts w:asciiTheme="minorHAnsi" w:eastAsiaTheme="minorEastAsia" w:hAnsiTheme="minorHAnsi" w:cstheme="minorBidi"/>
          <w:noProof/>
          <w:sz w:val="22"/>
          <w:szCs w:val="22"/>
          <w:lang w:eastAsia="en-AU"/>
        </w:rPr>
      </w:pPr>
      <w:hyperlink w:anchor="_Toc21946134" w:history="1">
        <w:r w:rsidRPr="004E7B8B">
          <w:rPr>
            <w:rStyle w:val="Hyperlink"/>
            <w:noProof/>
          </w:rPr>
          <w:t>8</w:t>
        </w:r>
        <w:r>
          <w:rPr>
            <w:rFonts w:asciiTheme="minorHAnsi" w:eastAsiaTheme="minorEastAsia" w:hAnsiTheme="minorHAnsi" w:cstheme="minorBidi"/>
            <w:noProof/>
            <w:sz w:val="22"/>
            <w:szCs w:val="22"/>
            <w:lang w:eastAsia="en-AU"/>
          </w:rPr>
          <w:tab/>
        </w:r>
        <w:r w:rsidRPr="004E7B8B">
          <w:rPr>
            <w:rStyle w:val="Hyperlink"/>
            <w:noProof/>
          </w:rPr>
          <w:t>Contract Reviews</w:t>
        </w:r>
        <w:r>
          <w:rPr>
            <w:noProof/>
            <w:webHidden/>
          </w:rPr>
          <w:tab/>
        </w:r>
        <w:r>
          <w:rPr>
            <w:noProof/>
            <w:webHidden/>
          </w:rPr>
          <w:fldChar w:fldCharType="begin"/>
        </w:r>
        <w:r>
          <w:rPr>
            <w:noProof/>
            <w:webHidden/>
          </w:rPr>
          <w:instrText xml:space="preserve"> PAGEREF _Toc21946134 \h </w:instrText>
        </w:r>
        <w:r>
          <w:rPr>
            <w:noProof/>
            <w:webHidden/>
          </w:rPr>
        </w:r>
        <w:r>
          <w:rPr>
            <w:noProof/>
            <w:webHidden/>
          </w:rPr>
          <w:fldChar w:fldCharType="separate"/>
        </w:r>
        <w:r>
          <w:rPr>
            <w:noProof/>
            <w:webHidden/>
          </w:rPr>
          <w:t>15</w:t>
        </w:r>
        <w:r>
          <w:rPr>
            <w:noProof/>
            <w:webHidden/>
          </w:rPr>
          <w:fldChar w:fldCharType="end"/>
        </w:r>
      </w:hyperlink>
    </w:p>
    <w:p w14:paraId="117F246D" w14:textId="77777777" w:rsidR="00A430E4" w:rsidRDefault="00A430E4">
      <w:pPr>
        <w:pStyle w:val="TOC2"/>
        <w:rPr>
          <w:rFonts w:asciiTheme="minorHAnsi" w:eastAsiaTheme="minorEastAsia" w:hAnsiTheme="minorHAnsi" w:cstheme="minorBidi"/>
          <w:noProof/>
          <w:sz w:val="22"/>
          <w:szCs w:val="22"/>
          <w:lang w:eastAsia="en-AU"/>
        </w:rPr>
      </w:pPr>
      <w:hyperlink w:anchor="_Toc21946135" w:history="1">
        <w:r w:rsidRPr="004E7B8B">
          <w:rPr>
            <w:rStyle w:val="Hyperlink"/>
            <w:noProof/>
          </w:rPr>
          <w:t>8.1</w:t>
        </w:r>
        <w:r>
          <w:rPr>
            <w:rFonts w:asciiTheme="minorHAnsi" w:eastAsiaTheme="minorEastAsia" w:hAnsiTheme="minorHAnsi" w:cstheme="minorBidi"/>
            <w:noProof/>
            <w:sz w:val="22"/>
            <w:szCs w:val="22"/>
            <w:lang w:eastAsia="en-AU"/>
          </w:rPr>
          <w:tab/>
        </w:r>
        <w:r w:rsidRPr="004E7B8B">
          <w:rPr>
            <w:rStyle w:val="Hyperlink"/>
            <w:noProof/>
          </w:rPr>
          <w:t>Review of Contractor’s Operational Instructions</w:t>
        </w:r>
        <w:r>
          <w:rPr>
            <w:noProof/>
            <w:webHidden/>
          </w:rPr>
          <w:tab/>
        </w:r>
        <w:r>
          <w:rPr>
            <w:noProof/>
            <w:webHidden/>
          </w:rPr>
          <w:fldChar w:fldCharType="begin"/>
        </w:r>
        <w:r>
          <w:rPr>
            <w:noProof/>
            <w:webHidden/>
          </w:rPr>
          <w:instrText xml:space="preserve"> PAGEREF _Toc21946135 \h </w:instrText>
        </w:r>
        <w:r>
          <w:rPr>
            <w:noProof/>
            <w:webHidden/>
          </w:rPr>
        </w:r>
        <w:r>
          <w:rPr>
            <w:noProof/>
            <w:webHidden/>
          </w:rPr>
          <w:fldChar w:fldCharType="separate"/>
        </w:r>
        <w:r>
          <w:rPr>
            <w:noProof/>
            <w:webHidden/>
          </w:rPr>
          <w:t>15</w:t>
        </w:r>
        <w:r>
          <w:rPr>
            <w:noProof/>
            <w:webHidden/>
          </w:rPr>
          <w:fldChar w:fldCharType="end"/>
        </w:r>
      </w:hyperlink>
    </w:p>
    <w:p w14:paraId="55A5271D" w14:textId="77777777" w:rsidR="00A430E4" w:rsidRDefault="00A430E4">
      <w:pPr>
        <w:pStyle w:val="TOC2"/>
        <w:rPr>
          <w:rFonts w:asciiTheme="minorHAnsi" w:eastAsiaTheme="minorEastAsia" w:hAnsiTheme="minorHAnsi" w:cstheme="minorBidi"/>
          <w:noProof/>
          <w:sz w:val="22"/>
          <w:szCs w:val="22"/>
          <w:lang w:eastAsia="en-AU"/>
        </w:rPr>
      </w:pPr>
      <w:hyperlink w:anchor="_Toc21946136" w:history="1">
        <w:r w:rsidRPr="004E7B8B">
          <w:rPr>
            <w:rStyle w:val="Hyperlink"/>
            <w:noProof/>
          </w:rPr>
          <w:t>8.2</w:t>
        </w:r>
        <w:r>
          <w:rPr>
            <w:rFonts w:asciiTheme="minorHAnsi" w:eastAsiaTheme="minorEastAsia" w:hAnsiTheme="minorHAnsi" w:cstheme="minorBidi"/>
            <w:noProof/>
            <w:sz w:val="22"/>
            <w:szCs w:val="22"/>
            <w:lang w:eastAsia="en-AU"/>
          </w:rPr>
          <w:tab/>
        </w:r>
        <w:r w:rsidRPr="004E7B8B">
          <w:rPr>
            <w:rStyle w:val="Hyperlink"/>
            <w:noProof/>
          </w:rPr>
          <w:t>Volume (Band) Changes</w:t>
        </w:r>
        <w:r>
          <w:rPr>
            <w:noProof/>
            <w:webHidden/>
          </w:rPr>
          <w:tab/>
        </w:r>
        <w:r>
          <w:rPr>
            <w:noProof/>
            <w:webHidden/>
          </w:rPr>
          <w:fldChar w:fldCharType="begin"/>
        </w:r>
        <w:r>
          <w:rPr>
            <w:noProof/>
            <w:webHidden/>
          </w:rPr>
          <w:instrText xml:space="preserve"> PAGEREF _Toc21946136 \h </w:instrText>
        </w:r>
        <w:r>
          <w:rPr>
            <w:noProof/>
            <w:webHidden/>
          </w:rPr>
        </w:r>
        <w:r>
          <w:rPr>
            <w:noProof/>
            <w:webHidden/>
          </w:rPr>
          <w:fldChar w:fldCharType="separate"/>
        </w:r>
        <w:r>
          <w:rPr>
            <w:noProof/>
            <w:webHidden/>
          </w:rPr>
          <w:t>15</w:t>
        </w:r>
        <w:r>
          <w:rPr>
            <w:noProof/>
            <w:webHidden/>
          </w:rPr>
          <w:fldChar w:fldCharType="end"/>
        </w:r>
      </w:hyperlink>
    </w:p>
    <w:p w14:paraId="3BDA623F" w14:textId="77777777" w:rsidR="00A430E4" w:rsidRDefault="00A430E4">
      <w:pPr>
        <w:pStyle w:val="TOC1"/>
        <w:rPr>
          <w:rFonts w:asciiTheme="minorHAnsi" w:eastAsiaTheme="minorEastAsia" w:hAnsiTheme="minorHAnsi" w:cstheme="minorBidi"/>
          <w:noProof/>
          <w:sz w:val="22"/>
          <w:szCs w:val="22"/>
          <w:lang w:eastAsia="en-AU"/>
        </w:rPr>
      </w:pPr>
      <w:hyperlink w:anchor="_Toc21946137" w:history="1">
        <w:r w:rsidRPr="004E7B8B">
          <w:rPr>
            <w:rStyle w:val="Hyperlink"/>
            <w:noProof/>
          </w:rPr>
          <w:t>9</w:t>
        </w:r>
        <w:r>
          <w:rPr>
            <w:rFonts w:asciiTheme="minorHAnsi" w:eastAsiaTheme="minorEastAsia" w:hAnsiTheme="minorHAnsi" w:cstheme="minorBidi"/>
            <w:noProof/>
            <w:sz w:val="22"/>
            <w:szCs w:val="22"/>
            <w:lang w:eastAsia="en-AU"/>
          </w:rPr>
          <w:tab/>
        </w:r>
        <w:r w:rsidRPr="004E7B8B">
          <w:rPr>
            <w:rStyle w:val="Hyperlink"/>
            <w:noProof/>
          </w:rPr>
          <w:t>Contract Variations</w:t>
        </w:r>
        <w:r>
          <w:rPr>
            <w:noProof/>
            <w:webHidden/>
          </w:rPr>
          <w:tab/>
        </w:r>
        <w:r>
          <w:rPr>
            <w:noProof/>
            <w:webHidden/>
          </w:rPr>
          <w:fldChar w:fldCharType="begin"/>
        </w:r>
        <w:r>
          <w:rPr>
            <w:noProof/>
            <w:webHidden/>
          </w:rPr>
          <w:instrText xml:space="preserve"> PAGEREF _Toc21946137 \h </w:instrText>
        </w:r>
        <w:r>
          <w:rPr>
            <w:noProof/>
            <w:webHidden/>
          </w:rPr>
        </w:r>
        <w:r>
          <w:rPr>
            <w:noProof/>
            <w:webHidden/>
          </w:rPr>
          <w:fldChar w:fldCharType="separate"/>
        </w:r>
        <w:r>
          <w:rPr>
            <w:noProof/>
            <w:webHidden/>
          </w:rPr>
          <w:t>16</w:t>
        </w:r>
        <w:r>
          <w:rPr>
            <w:noProof/>
            <w:webHidden/>
          </w:rPr>
          <w:fldChar w:fldCharType="end"/>
        </w:r>
      </w:hyperlink>
    </w:p>
    <w:p w14:paraId="43F7D524" w14:textId="77777777" w:rsidR="00A430E4" w:rsidRDefault="00A430E4">
      <w:pPr>
        <w:pStyle w:val="TOC1"/>
        <w:rPr>
          <w:rFonts w:asciiTheme="minorHAnsi" w:eastAsiaTheme="minorEastAsia" w:hAnsiTheme="minorHAnsi" w:cstheme="minorBidi"/>
          <w:noProof/>
          <w:sz w:val="22"/>
          <w:szCs w:val="22"/>
          <w:lang w:eastAsia="en-AU"/>
        </w:rPr>
      </w:pPr>
      <w:hyperlink w:anchor="_Toc21946138" w:history="1">
        <w:r w:rsidRPr="004E7B8B">
          <w:rPr>
            <w:rStyle w:val="Hyperlink"/>
            <w:noProof/>
          </w:rPr>
          <w:t>10</w:t>
        </w:r>
        <w:r>
          <w:rPr>
            <w:rFonts w:asciiTheme="minorHAnsi" w:eastAsiaTheme="minorEastAsia" w:hAnsiTheme="minorHAnsi" w:cstheme="minorBidi"/>
            <w:noProof/>
            <w:sz w:val="22"/>
            <w:szCs w:val="22"/>
            <w:lang w:eastAsia="en-AU"/>
          </w:rPr>
          <w:tab/>
        </w:r>
        <w:r w:rsidRPr="004E7B8B">
          <w:rPr>
            <w:rStyle w:val="Hyperlink"/>
            <w:noProof/>
          </w:rPr>
          <w:t>2018/19: The Year Ahead</w:t>
        </w:r>
        <w:r>
          <w:rPr>
            <w:noProof/>
            <w:webHidden/>
          </w:rPr>
          <w:tab/>
        </w:r>
        <w:r>
          <w:rPr>
            <w:noProof/>
            <w:webHidden/>
          </w:rPr>
          <w:fldChar w:fldCharType="begin"/>
        </w:r>
        <w:r>
          <w:rPr>
            <w:noProof/>
            <w:webHidden/>
          </w:rPr>
          <w:instrText xml:space="preserve"> PAGEREF _Toc21946138 \h </w:instrText>
        </w:r>
        <w:r>
          <w:rPr>
            <w:noProof/>
            <w:webHidden/>
          </w:rPr>
        </w:r>
        <w:r>
          <w:rPr>
            <w:noProof/>
            <w:webHidden/>
          </w:rPr>
          <w:fldChar w:fldCharType="separate"/>
        </w:r>
        <w:r>
          <w:rPr>
            <w:noProof/>
            <w:webHidden/>
          </w:rPr>
          <w:t>17</w:t>
        </w:r>
        <w:r>
          <w:rPr>
            <w:noProof/>
            <w:webHidden/>
          </w:rPr>
          <w:fldChar w:fldCharType="end"/>
        </w:r>
      </w:hyperlink>
    </w:p>
    <w:p w14:paraId="67519DCD" w14:textId="15B8A025" w:rsidR="00634C54" w:rsidRDefault="00FA1D8B" w:rsidP="004E571B">
      <w:r>
        <w:rPr>
          <w:b/>
          <w:bCs/>
          <w:noProof/>
        </w:rPr>
        <w:fldChar w:fldCharType="end"/>
      </w:r>
    </w:p>
    <w:p w14:paraId="411FA294" w14:textId="77777777" w:rsidR="00634C54" w:rsidRDefault="00634C54">
      <w:r>
        <w:br w:type="page"/>
      </w:r>
    </w:p>
    <w:p w14:paraId="75ACF130" w14:textId="77777777" w:rsidR="00634C54" w:rsidRPr="006444FB" w:rsidRDefault="00C574B8" w:rsidP="000755EE">
      <w:pPr>
        <w:pStyle w:val="Heading1"/>
      </w:pPr>
      <w:bookmarkStart w:id="0" w:name="_Toc21946115"/>
      <w:r>
        <w:t>Key Areas of Focus and Achievements 201</w:t>
      </w:r>
      <w:r w:rsidR="00B12C12">
        <w:t>8</w:t>
      </w:r>
      <w:r>
        <w:t>/1</w:t>
      </w:r>
      <w:r w:rsidR="00B12C12">
        <w:t>9</w:t>
      </w:r>
      <w:bookmarkEnd w:id="0"/>
    </w:p>
    <w:p w14:paraId="06ADAE16" w14:textId="77777777" w:rsidR="0018465A" w:rsidRPr="00614943" w:rsidRDefault="0018465A" w:rsidP="00EA1530">
      <w:r w:rsidRPr="00614943">
        <w:t xml:space="preserve">This Annual Report of the Contract for the Provision </w:t>
      </w:r>
      <w:r w:rsidR="00B45CAE" w:rsidRPr="00614943">
        <w:t>of</w:t>
      </w:r>
      <w:r w:rsidRPr="00614943">
        <w:t xml:space="preserve"> Court Security and Custodial Services (‘the Contract’) covers the period 1 July 201</w:t>
      </w:r>
      <w:r w:rsidR="00B12C12">
        <w:t>8</w:t>
      </w:r>
      <w:r w:rsidRPr="00614943">
        <w:t xml:space="preserve"> to 30 June 201</w:t>
      </w:r>
      <w:r w:rsidR="00B12C12">
        <w:t>9</w:t>
      </w:r>
      <w:r w:rsidRPr="00614943">
        <w:t xml:space="preserve"> inclusive. It is the </w:t>
      </w:r>
      <w:r w:rsidR="00B12C12">
        <w:t>second</w:t>
      </w:r>
      <w:r w:rsidRPr="00614943">
        <w:t xml:space="preserve"> full year of service under the current Contract for Broadspectrum </w:t>
      </w:r>
      <w:r w:rsidR="00B45CAE" w:rsidRPr="00614943">
        <w:t xml:space="preserve">(Australia) </w:t>
      </w:r>
      <w:r w:rsidRPr="00614943">
        <w:t>Pty Ltd</w:t>
      </w:r>
      <w:r w:rsidR="00B45CAE" w:rsidRPr="00614943">
        <w:t>.</w:t>
      </w:r>
    </w:p>
    <w:p w14:paraId="4FFC27FB" w14:textId="77777777" w:rsidR="0018465A" w:rsidRPr="00614943" w:rsidRDefault="0018465A" w:rsidP="00EA1530"/>
    <w:p w14:paraId="1796A58C" w14:textId="77777777" w:rsidR="00EA1530" w:rsidRDefault="00167489" w:rsidP="00EA1530">
      <w:r>
        <w:t>The Contractor</w:t>
      </w:r>
      <w:r w:rsidR="005A33FD">
        <w:t xml:space="preserve"> progressively </w:t>
      </w:r>
      <w:r>
        <w:t xml:space="preserve">commenced operation of primary security checkpoints at the following metropolitan courts from </w:t>
      </w:r>
      <w:r w:rsidR="005A33FD">
        <w:t>1 December 2018 as a variation to the contract:</w:t>
      </w:r>
    </w:p>
    <w:p w14:paraId="0959ABC7" w14:textId="77777777" w:rsidR="005A33FD" w:rsidRDefault="005A33FD" w:rsidP="00A430E4">
      <w:pPr>
        <w:pStyle w:val="ListBullet"/>
      </w:pPr>
      <w:r>
        <w:t>Northbridge, which operates on Saturday and Sunday, on 1 December;</w:t>
      </w:r>
    </w:p>
    <w:p w14:paraId="501FA272" w14:textId="77777777" w:rsidR="005A33FD" w:rsidRDefault="005A33FD" w:rsidP="00A430E4">
      <w:pPr>
        <w:pStyle w:val="ListBullet"/>
      </w:pPr>
      <w:r>
        <w:t>Joondalup, Midland and Armadale on 3 December,</w:t>
      </w:r>
    </w:p>
    <w:p w14:paraId="68A7CF3F" w14:textId="77777777" w:rsidR="005A33FD" w:rsidRDefault="005A33FD" w:rsidP="00A430E4">
      <w:pPr>
        <w:pStyle w:val="ListBullet"/>
      </w:pPr>
      <w:r>
        <w:t>State Administrative Tribunal, Rockingham and Mandurah on 10 December, and</w:t>
      </w:r>
    </w:p>
    <w:p w14:paraId="08C689F1" w14:textId="77777777" w:rsidR="005A33FD" w:rsidRPr="00614943" w:rsidRDefault="005A33FD" w:rsidP="00A430E4">
      <w:pPr>
        <w:pStyle w:val="ListBullet"/>
      </w:pPr>
      <w:r>
        <w:t>Fremantle on 17 December.</w:t>
      </w:r>
    </w:p>
    <w:p w14:paraId="43A6A52A" w14:textId="77777777" w:rsidR="00EA1530" w:rsidRPr="00614943" w:rsidRDefault="00EA1530" w:rsidP="00EA1530"/>
    <w:p w14:paraId="31B32F72" w14:textId="16747B8C" w:rsidR="00974E6D" w:rsidRPr="000B58AB" w:rsidRDefault="00974E6D" w:rsidP="000B58AB">
      <w:r w:rsidRPr="000B58AB">
        <w:t xml:space="preserve">The Contractor has progressively </w:t>
      </w:r>
      <w:r w:rsidR="00362FAE" w:rsidRPr="000B58AB">
        <w:t>worked</w:t>
      </w:r>
      <w:r w:rsidRPr="000B58AB">
        <w:t xml:space="preserve"> towards a solution on increasing </w:t>
      </w:r>
      <w:r w:rsidR="00362FAE" w:rsidRPr="000B58AB">
        <w:t xml:space="preserve">their capacity to facilitate a greater </w:t>
      </w:r>
      <w:r w:rsidRPr="000B58AB">
        <w:t>number of hospital sits through the utilisation of its subcontractor Wilson Security. It is anticipated this increased capacity will become available in the first quarter of the next reporting period.</w:t>
      </w:r>
    </w:p>
    <w:p w14:paraId="6B1B0217" w14:textId="77777777" w:rsidR="00EA1530" w:rsidRPr="00614943" w:rsidRDefault="00EA1530" w:rsidP="00614943"/>
    <w:p w14:paraId="062C114A" w14:textId="77777777" w:rsidR="00C574B8" w:rsidRDefault="00C574B8" w:rsidP="00EA1530">
      <w:r>
        <w:br w:type="page"/>
      </w:r>
    </w:p>
    <w:p w14:paraId="639FEAC5" w14:textId="0763111E" w:rsidR="00634C54" w:rsidRPr="00A430E4" w:rsidRDefault="00A430E4" w:rsidP="00A430E4">
      <w:pPr>
        <w:pStyle w:val="Heading1"/>
      </w:pPr>
      <w:bookmarkStart w:id="1" w:name="_Toc21946116"/>
      <w:r>
        <w:t>Contract Background and</w:t>
      </w:r>
      <w:r w:rsidR="00C574B8" w:rsidRPr="00A430E4">
        <w:t xml:space="preserve"> History</w:t>
      </w:r>
      <w:bookmarkEnd w:id="1"/>
    </w:p>
    <w:p w14:paraId="08FE6BD3" w14:textId="77777777" w:rsidR="003506BE" w:rsidRPr="003506BE" w:rsidRDefault="003506BE" w:rsidP="00F40B57">
      <w:pPr>
        <w:rPr>
          <w:color w:val="000000" w:themeColor="text1"/>
        </w:rPr>
      </w:pPr>
      <w:r w:rsidRPr="003506BE">
        <w:rPr>
          <w:color w:val="000000" w:themeColor="text1"/>
        </w:rPr>
        <w:t xml:space="preserve">This Annual Report of the Contract for the Provision of Court Security and Custodial Services (‘the Contract’) covers the period </w:t>
      </w:r>
      <w:r>
        <w:rPr>
          <w:color w:val="000000" w:themeColor="text1"/>
        </w:rPr>
        <w:t>1 July 201</w:t>
      </w:r>
      <w:r w:rsidR="00B12C12">
        <w:rPr>
          <w:color w:val="000000" w:themeColor="text1"/>
        </w:rPr>
        <w:t>8</w:t>
      </w:r>
      <w:r w:rsidRPr="003506BE">
        <w:rPr>
          <w:color w:val="000000" w:themeColor="text1"/>
        </w:rPr>
        <w:t xml:space="preserve"> to </w:t>
      </w:r>
      <w:r>
        <w:rPr>
          <w:color w:val="000000" w:themeColor="text1"/>
        </w:rPr>
        <w:t>30 June 201</w:t>
      </w:r>
      <w:r w:rsidR="00B12C12">
        <w:rPr>
          <w:color w:val="000000" w:themeColor="text1"/>
        </w:rPr>
        <w:t>9</w:t>
      </w:r>
      <w:r w:rsidRPr="003506BE">
        <w:rPr>
          <w:color w:val="000000" w:themeColor="text1"/>
        </w:rPr>
        <w:t xml:space="preserve"> inclusive. </w:t>
      </w:r>
    </w:p>
    <w:p w14:paraId="237B327B" w14:textId="77777777" w:rsidR="003506BE" w:rsidRPr="003506BE" w:rsidRDefault="003506BE" w:rsidP="00F40B57">
      <w:pPr>
        <w:rPr>
          <w:color w:val="000000" w:themeColor="text1"/>
        </w:rPr>
      </w:pPr>
    </w:p>
    <w:p w14:paraId="484C4E55" w14:textId="77777777" w:rsidR="00F40B57" w:rsidRDefault="00F40B57" w:rsidP="00F40B57">
      <w:pPr>
        <w:rPr>
          <w:color w:val="000000" w:themeColor="text1"/>
        </w:rPr>
      </w:pPr>
      <w:r w:rsidRPr="00F40B57">
        <w:rPr>
          <w:color w:val="000000" w:themeColor="text1"/>
        </w:rPr>
        <w:t>A contract for the Provision of Court Security and Custodial Services has been in existence since January 2000.</w:t>
      </w:r>
    </w:p>
    <w:p w14:paraId="3265EED1" w14:textId="77777777" w:rsidR="00F40B57" w:rsidRPr="00F40B57" w:rsidRDefault="00F40B57" w:rsidP="00F40B57">
      <w:pPr>
        <w:rPr>
          <w:color w:val="000000" w:themeColor="text1"/>
        </w:rPr>
      </w:pPr>
    </w:p>
    <w:p w14:paraId="0B879CE6" w14:textId="77777777" w:rsidR="00F40B57" w:rsidRDefault="00F40B57" w:rsidP="00F40B57">
      <w:pPr>
        <w:rPr>
          <w:color w:val="000000" w:themeColor="text1"/>
        </w:rPr>
      </w:pPr>
      <w:r w:rsidRPr="00F40B57">
        <w:rPr>
          <w:color w:val="000000" w:themeColor="text1"/>
        </w:rPr>
        <w:t xml:space="preserve">In 2008, the </w:t>
      </w:r>
      <w:r w:rsidR="004F1019">
        <w:rPr>
          <w:color w:val="000000" w:themeColor="text1"/>
        </w:rPr>
        <w:t xml:space="preserve">Department of Justice (formerly the </w:t>
      </w:r>
      <w:r w:rsidRPr="00F40B57">
        <w:rPr>
          <w:color w:val="000000" w:themeColor="text1"/>
        </w:rPr>
        <w:t>Department of Corrective Services</w:t>
      </w:r>
      <w:r w:rsidR="004F1019">
        <w:rPr>
          <w:color w:val="000000" w:themeColor="text1"/>
        </w:rPr>
        <w:t>)</w:t>
      </w:r>
      <w:r w:rsidRPr="00F40B57">
        <w:rPr>
          <w:color w:val="000000" w:themeColor="text1"/>
        </w:rPr>
        <w:t xml:space="preserve"> became responsible for assisting the Minister for Corrective Services in administering the </w:t>
      </w:r>
      <w:r w:rsidRPr="00C801D9">
        <w:rPr>
          <w:i/>
          <w:color w:val="000000" w:themeColor="text1"/>
        </w:rPr>
        <w:t>Court Services and Custodial Services Act 1999</w:t>
      </w:r>
      <w:r w:rsidRPr="00F40B57">
        <w:rPr>
          <w:color w:val="000000" w:themeColor="text1"/>
        </w:rPr>
        <w:t xml:space="preserve">. As such, the </w:t>
      </w:r>
      <w:r w:rsidR="004F1019">
        <w:rPr>
          <w:color w:val="000000" w:themeColor="text1"/>
        </w:rPr>
        <w:t>Director General</w:t>
      </w:r>
      <w:r w:rsidRPr="00F40B57">
        <w:rPr>
          <w:color w:val="000000" w:themeColor="text1"/>
        </w:rPr>
        <w:t xml:space="preserve"> of the Department is the Principal to the Contract for the Provision of Court Security and Custodial Services.</w:t>
      </w:r>
    </w:p>
    <w:p w14:paraId="6C9AD647" w14:textId="77777777" w:rsidR="00F40B57" w:rsidRPr="00F40B57" w:rsidRDefault="00F40B57" w:rsidP="00F40B57">
      <w:pPr>
        <w:rPr>
          <w:color w:val="000000" w:themeColor="text1"/>
        </w:rPr>
      </w:pPr>
    </w:p>
    <w:p w14:paraId="0B1B60E0" w14:textId="77777777" w:rsidR="00F40B57" w:rsidRDefault="00F40B57" w:rsidP="00F40B57">
      <w:pPr>
        <w:rPr>
          <w:color w:val="000000" w:themeColor="text1"/>
        </w:rPr>
      </w:pPr>
      <w:r w:rsidRPr="00F40B57">
        <w:rPr>
          <w:color w:val="000000" w:themeColor="text1"/>
        </w:rPr>
        <w:t>Under the Contract, the Contractor is responsible for the provision, maintenance and replacement of the Secure Vehicle Fleet, as well as air and coach transportation of persons in custody across the State. Regional Police lock-ups are cleared within 24</w:t>
      </w:r>
      <w:r w:rsidR="00B12C12">
        <w:rPr>
          <w:color w:val="000000" w:themeColor="text1"/>
        </w:rPr>
        <w:t> </w:t>
      </w:r>
      <w:r w:rsidRPr="00F40B57">
        <w:rPr>
          <w:color w:val="000000" w:themeColor="text1"/>
        </w:rPr>
        <w:t>hours and air transport is also used for regional prisoner movements. Contract officers are required to be trained to a specified level of proficiency in order to secure an improved quality of service.</w:t>
      </w:r>
    </w:p>
    <w:p w14:paraId="34602740" w14:textId="77777777" w:rsidR="00F40B57" w:rsidRPr="00F40B57" w:rsidRDefault="00F40B57" w:rsidP="00F40B57">
      <w:pPr>
        <w:rPr>
          <w:color w:val="000000" w:themeColor="text1"/>
        </w:rPr>
      </w:pPr>
    </w:p>
    <w:p w14:paraId="67CE8CBA" w14:textId="77777777" w:rsidR="00F40B57" w:rsidRDefault="00F40B57" w:rsidP="00F40B57">
      <w:pPr>
        <w:rPr>
          <w:color w:val="000000" w:themeColor="text1"/>
        </w:rPr>
      </w:pPr>
      <w:r w:rsidRPr="00F40B57">
        <w:rPr>
          <w:color w:val="000000" w:themeColor="text1"/>
        </w:rPr>
        <w:t>The Contractor’s performance is me</w:t>
      </w:r>
      <w:r w:rsidR="0015149C">
        <w:rPr>
          <w:color w:val="000000" w:themeColor="text1"/>
        </w:rPr>
        <w:t>asured against Key Performance I</w:t>
      </w:r>
      <w:r w:rsidRPr="00F40B57">
        <w:rPr>
          <w:color w:val="000000" w:themeColor="text1"/>
        </w:rPr>
        <w:t>ndicators (KPIs) and Service requirements. The Contract allows for application of an Abatement Regime consisting of Specified Events and KPIs.</w:t>
      </w:r>
    </w:p>
    <w:p w14:paraId="79F9AA89" w14:textId="77777777" w:rsidR="00F40B57" w:rsidRPr="00F40B57" w:rsidRDefault="00F40B57" w:rsidP="00F40B57">
      <w:pPr>
        <w:rPr>
          <w:color w:val="000000" w:themeColor="text1"/>
        </w:rPr>
      </w:pPr>
    </w:p>
    <w:p w14:paraId="7A104A58" w14:textId="77777777" w:rsidR="00F40B57" w:rsidRDefault="00F40B57" w:rsidP="00F40B57">
      <w:pPr>
        <w:rPr>
          <w:color w:val="000000" w:themeColor="text1"/>
        </w:rPr>
      </w:pPr>
      <w:r w:rsidRPr="00F40B57">
        <w:rPr>
          <w:color w:val="000000" w:themeColor="text1"/>
        </w:rPr>
        <w:t>The Contract also provides for a Performance Incentive Payment which is calculated as a percentage of the monthly service fee. The monthly Performance Incentive Payment is reduced based on the total Performance Assessment Points the Contractor accumulates each month for failing to meet a KPI</w:t>
      </w:r>
      <w:r>
        <w:rPr>
          <w:color w:val="000000" w:themeColor="text1"/>
        </w:rPr>
        <w:t>.</w:t>
      </w:r>
    </w:p>
    <w:p w14:paraId="5E01067B" w14:textId="77777777" w:rsidR="00F40B57" w:rsidRPr="00F40B57" w:rsidRDefault="00F40B57" w:rsidP="00F40B57">
      <w:pPr>
        <w:rPr>
          <w:color w:val="000000" w:themeColor="text1"/>
        </w:rPr>
      </w:pPr>
    </w:p>
    <w:p w14:paraId="686287E7" w14:textId="77777777" w:rsidR="00F40B57" w:rsidRDefault="00F40B57" w:rsidP="00F40B57">
      <w:pPr>
        <w:rPr>
          <w:color w:val="000000" w:themeColor="text1"/>
        </w:rPr>
      </w:pPr>
      <w:r w:rsidRPr="00F40B57">
        <w:rPr>
          <w:color w:val="000000" w:themeColor="text1"/>
        </w:rPr>
        <w:t>The Department monitors and reviews the Contractor’s provision of court security and custodial services State-wide. This has resulted in greater scrutiny of service delivery which enables the Department to identify issues in a timely manner, and seek prompt remedy from the Contractor when issues of concern arise.</w:t>
      </w:r>
    </w:p>
    <w:p w14:paraId="2704A65A" w14:textId="77777777" w:rsidR="00F40B57" w:rsidRPr="00F40B57" w:rsidRDefault="00F40B57" w:rsidP="00F40B57">
      <w:pPr>
        <w:rPr>
          <w:color w:val="000000" w:themeColor="text1"/>
        </w:rPr>
      </w:pPr>
    </w:p>
    <w:p w14:paraId="786E80B7" w14:textId="77777777" w:rsidR="00F40B57" w:rsidRDefault="00F40B57" w:rsidP="00F40B57">
      <w:pPr>
        <w:rPr>
          <w:color w:val="000000" w:themeColor="text1"/>
        </w:rPr>
      </w:pPr>
      <w:r w:rsidRPr="00F40B57">
        <w:rPr>
          <w:color w:val="000000" w:themeColor="text1"/>
        </w:rPr>
        <w:t>The Contract focuses on services being carried out with regard to the security of persons in custody, staff, and the general public at the highest levels, within set timeframes and with a high degree of duty of care. The monitoring processes developed, together with the Abatement Regime, support the provision of high levels of service delivery throughout the State.</w:t>
      </w:r>
    </w:p>
    <w:p w14:paraId="424CEB42" w14:textId="77777777" w:rsidR="00245869" w:rsidRDefault="00245869" w:rsidP="00F40B57">
      <w:r>
        <w:br w:type="page"/>
      </w:r>
    </w:p>
    <w:p w14:paraId="1BEA29B5" w14:textId="77777777" w:rsidR="00C574B8" w:rsidRPr="00A430E4" w:rsidRDefault="00C574B8" w:rsidP="00A430E4">
      <w:pPr>
        <w:pStyle w:val="Heading1"/>
      </w:pPr>
      <w:bookmarkStart w:id="2" w:name="_Toc21946117"/>
      <w:r w:rsidRPr="00A430E4">
        <w:t>Overview of Contract Cost of Service</w:t>
      </w:r>
      <w:bookmarkEnd w:id="2"/>
    </w:p>
    <w:p w14:paraId="014EB95C" w14:textId="77777777" w:rsidR="003506BE" w:rsidRDefault="003506BE" w:rsidP="00A430E4">
      <w:r w:rsidRPr="00A430E4">
        <w:t>In total, the cost of delivering the service during the period 1 July 201</w:t>
      </w:r>
      <w:r w:rsidR="00B12C12" w:rsidRPr="00A430E4">
        <w:t>8</w:t>
      </w:r>
      <w:r w:rsidRPr="00A430E4">
        <w:t xml:space="preserve"> to</w:t>
      </w:r>
      <w:r w:rsidR="00B12C12" w:rsidRPr="00A430E4">
        <w:t xml:space="preserve"> </w:t>
      </w:r>
      <w:r w:rsidR="0005090E" w:rsidRPr="00A430E4">
        <w:t>30 June 201</w:t>
      </w:r>
      <w:r w:rsidR="00B12C12" w:rsidRPr="00A430E4">
        <w:t>9</w:t>
      </w:r>
      <w:r w:rsidRPr="00A430E4">
        <w:t xml:space="preserve"> was $</w:t>
      </w:r>
      <w:r w:rsidR="005A33FD" w:rsidRPr="00A430E4">
        <w:t>51,150,978</w:t>
      </w:r>
      <w:r w:rsidR="00D437A2" w:rsidRPr="00A430E4">
        <w:t>.</w:t>
      </w:r>
    </w:p>
    <w:p w14:paraId="5473A950" w14:textId="77777777" w:rsidR="00A430E4" w:rsidRPr="00A430E4" w:rsidRDefault="00A430E4" w:rsidP="00A430E4"/>
    <w:p w14:paraId="44299F2A" w14:textId="77777777" w:rsidR="003506BE" w:rsidRDefault="003506BE" w:rsidP="00A430E4">
      <w:r w:rsidRPr="00A430E4">
        <w:t>A breakdown of the Contract costs associated with the Court Security and Custodial Services Contract is below (rounded to the nearest dollar).</w:t>
      </w:r>
    </w:p>
    <w:p w14:paraId="588E912E" w14:textId="77777777" w:rsidR="00A430E4" w:rsidRPr="00A430E4" w:rsidRDefault="00A430E4" w:rsidP="00A430E4"/>
    <w:tbl>
      <w:tblPr>
        <w:tblW w:w="9011" w:type="dxa"/>
        <w:tblInd w:w="4" w:type="dxa"/>
        <w:tblCellMar>
          <w:left w:w="0" w:type="dxa"/>
          <w:right w:w="0" w:type="dxa"/>
        </w:tblCellMar>
        <w:tblLook w:val="04A0" w:firstRow="1" w:lastRow="0" w:firstColumn="1" w:lastColumn="0" w:noHBand="0" w:noVBand="1"/>
      </w:tblPr>
      <w:tblGrid>
        <w:gridCol w:w="6507"/>
        <w:gridCol w:w="2504"/>
      </w:tblGrid>
      <w:tr w:rsidR="003506BE" w:rsidRPr="00D437A2" w14:paraId="6FBCDE9C" w14:textId="77777777" w:rsidTr="006907D2">
        <w:trPr>
          <w:trHeight w:val="552"/>
        </w:trPr>
        <w:tc>
          <w:tcPr>
            <w:tcW w:w="650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0BCBF690" w14:textId="77777777" w:rsidR="003506BE" w:rsidRPr="00D437A2" w:rsidRDefault="003506BE" w:rsidP="000B58AB">
            <w:pPr>
              <w:pStyle w:val="Tableheading"/>
              <w:rPr>
                <w:rFonts w:eastAsiaTheme="minorHAnsi"/>
              </w:rPr>
            </w:pPr>
            <w:r w:rsidRPr="00D437A2">
              <w:t>Description</w:t>
            </w:r>
          </w:p>
        </w:tc>
        <w:tc>
          <w:tcPr>
            <w:tcW w:w="250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2ABEAB42" w14:textId="77777777" w:rsidR="003506BE" w:rsidRPr="00D437A2" w:rsidRDefault="003506BE" w:rsidP="000B58AB">
            <w:pPr>
              <w:pStyle w:val="Tableheading"/>
              <w:rPr>
                <w:rFonts w:eastAsiaTheme="minorHAnsi"/>
              </w:rPr>
            </w:pPr>
            <w:r w:rsidRPr="00D437A2">
              <w:t>Payment</w:t>
            </w:r>
          </w:p>
        </w:tc>
      </w:tr>
      <w:tr w:rsidR="003506BE" w:rsidRPr="00D437A2" w14:paraId="2CD1184B" w14:textId="77777777" w:rsidTr="006907D2">
        <w:trPr>
          <w:trHeight w:val="552"/>
        </w:trPr>
        <w:tc>
          <w:tcPr>
            <w:tcW w:w="65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50C7F" w14:textId="77777777" w:rsidR="003506BE" w:rsidRPr="00D437A2" w:rsidRDefault="003506BE" w:rsidP="000B58AB">
            <w:pPr>
              <w:pStyle w:val="Tableheading"/>
              <w:rPr>
                <w:rFonts w:eastAsiaTheme="minorHAnsi"/>
              </w:rPr>
            </w:pPr>
            <w:r w:rsidRPr="00D437A2">
              <w:t xml:space="preserve">Custody Movement Services (metropolitan and regional areas) </w:t>
            </w:r>
          </w:p>
        </w:tc>
        <w:tc>
          <w:tcPr>
            <w:tcW w:w="2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D2780" w14:textId="77777777" w:rsidR="003506BE" w:rsidRPr="00D437A2" w:rsidRDefault="0015149C" w:rsidP="00A430E4">
            <w:pPr>
              <w:pStyle w:val="Tableheading"/>
              <w:jc w:val="right"/>
              <w:rPr>
                <w:rFonts w:eastAsiaTheme="minorHAnsi"/>
                <w:sz w:val="16"/>
                <w:szCs w:val="16"/>
              </w:rPr>
            </w:pPr>
            <w:r w:rsidRPr="00D437A2">
              <w:t>$</w:t>
            </w:r>
            <w:r w:rsidR="00310FA1" w:rsidRPr="00D437A2">
              <w:t>24,171,577</w:t>
            </w:r>
            <w:r w:rsidRPr="00D437A2">
              <w:t xml:space="preserve"> </w:t>
            </w:r>
          </w:p>
        </w:tc>
      </w:tr>
      <w:tr w:rsidR="003506BE" w14:paraId="64771B19" w14:textId="77777777" w:rsidTr="006907D2">
        <w:trPr>
          <w:trHeight w:val="552"/>
        </w:trPr>
        <w:tc>
          <w:tcPr>
            <w:tcW w:w="65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9DB0F6" w14:textId="77777777" w:rsidR="003506BE" w:rsidRPr="003506BE" w:rsidRDefault="003506BE" w:rsidP="00CC430C">
            <w:pPr>
              <w:rPr>
                <w:rFonts w:eastAsiaTheme="minorHAnsi" w:cs="Arial"/>
              </w:rPr>
            </w:pPr>
            <w:r w:rsidRPr="003506BE">
              <w:rPr>
                <w:rFonts w:cs="Arial"/>
              </w:rPr>
              <w:t xml:space="preserve">Court Custody and Court Security Services (metropolitan and regional courts) </w:t>
            </w:r>
          </w:p>
        </w:tc>
        <w:tc>
          <w:tcPr>
            <w:tcW w:w="2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9AC4A6" w14:textId="77777777" w:rsidR="003506BE" w:rsidRPr="00310FA1" w:rsidRDefault="003506BE" w:rsidP="00A430E4">
            <w:pPr>
              <w:pStyle w:val="Tabledata"/>
              <w:jc w:val="right"/>
              <w:rPr>
                <w:rFonts w:eastAsiaTheme="minorHAnsi"/>
                <w:sz w:val="16"/>
                <w:szCs w:val="16"/>
              </w:rPr>
            </w:pPr>
            <w:r w:rsidRPr="00310FA1">
              <w:t>$</w:t>
            </w:r>
            <w:r w:rsidR="00310FA1" w:rsidRPr="00310FA1">
              <w:t>26,979,401</w:t>
            </w:r>
          </w:p>
        </w:tc>
      </w:tr>
      <w:tr w:rsidR="003506BE" w14:paraId="642E2DDF" w14:textId="77777777" w:rsidTr="006907D2">
        <w:trPr>
          <w:trHeight w:val="552"/>
        </w:trPr>
        <w:tc>
          <w:tcPr>
            <w:tcW w:w="6507" w:type="dxa"/>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48578598" w14:textId="77777777" w:rsidR="003506BE" w:rsidRPr="003506BE" w:rsidRDefault="003506BE" w:rsidP="000B58AB">
            <w:pPr>
              <w:pStyle w:val="Tableheading"/>
              <w:rPr>
                <w:rFonts w:eastAsiaTheme="minorHAnsi"/>
              </w:rPr>
            </w:pPr>
            <w:r w:rsidRPr="003506BE">
              <w:t>Gross Total</w:t>
            </w:r>
          </w:p>
        </w:tc>
        <w:tc>
          <w:tcPr>
            <w:tcW w:w="2504"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60ACE731" w14:textId="77777777" w:rsidR="003506BE" w:rsidRPr="00A430E4" w:rsidRDefault="003506BE" w:rsidP="00A430E4">
            <w:pPr>
              <w:pStyle w:val="Tableheading"/>
              <w:jc w:val="right"/>
              <w:rPr>
                <w:rFonts w:eastAsiaTheme="minorHAnsi"/>
                <w:bCs/>
                <w:i/>
                <w:sz w:val="16"/>
                <w:szCs w:val="16"/>
              </w:rPr>
            </w:pPr>
            <w:r w:rsidRPr="00A430E4">
              <w:rPr>
                <w:bCs/>
              </w:rPr>
              <w:t>$</w:t>
            </w:r>
            <w:r w:rsidR="00310FA1" w:rsidRPr="00A430E4">
              <w:rPr>
                <w:bCs/>
              </w:rPr>
              <w:t>51,150,978</w:t>
            </w:r>
          </w:p>
        </w:tc>
      </w:tr>
      <w:tr w:rsidR="00A82900" w:rsidRPr="00E925E3" w14:paraId="132FF971" w14:textId="77777777" w:rsidTr="006907D2">
        <w:trPr>
          <w:trHeight w:val="552"/>
        </w:trPr>
        <w:tc>
          <w:tcPr>
            <w:tcW w:w="65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A2B381" w14:textId="77777777" w:rsidR="00A82900" w:rsidRPr="003506BE" w:rsidRDefault="00A82900" w:rsidP="00A82900">
            <w:pPr>
              <w:rPr>
                <w:rFonts w:eastAsiaTheme="minorHAnsi" w:cs="Arial"/>
              </w:rPr>
            </w:pPr>
            <w:r w:rsidRPr="003506BE">
              <w:rPr>
                <w:rFonts w:cs="Arial"/>
              </w:rPr>
              <w:t xml:space="preserve">Abatements applied </w:t>
            </w:r>
          </w:p>
        </w:tc>
        <w:tc>
          <w:tcPr>
            <w:tcW w:w="2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CD407E" w14:textId="77777777" w:rsidR="00A82900" w:rsidRPr="00310FA1" w:rsidRDefault="00A82900" w:rsidP="00A430E4">
            <w:pPr>
              <w:pStyle w:val="Tabledata"/>
              <w:jc w:val="right"/>
              <w:rPr>
                <w:rFonts w:eastAsiaTheme="minorHAnsi"/>
                <w:sz w:val="16"/>
                <w:szCs w:val="16"/>
                <w:highlight w:val="yellow"/>
              </w:rPr>
            </w:pPr>
            <w:r w:rsidRPr="00310FA1">
              <w:t>$</w:t>
            </w:r>
            <w:r w:rsidR="00310FA1" w:rsidRPr="00310FA1">
              <w:t>601,151</w:t>
            </w:r>
          </w:p>
        </w:tc>
      </w:tr>
      <w:tr w:rsidR="00A82900" w14:paraId="1171B7CA" w14:textId="77777777" w:rsidTr="006907D2">
        <w:trPr>
          <w:trHeight w:val="552"/>
        </w:trPr>
        <w:tc>
          <w:tcPr>
            <w:tcW w:w="6507" w:type="dxa"/>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32812B75" w14:textId="77777777" w:rsidR="00A82900" w:rsidRPr="003506BE" w:rsidRDefault="00A82900" w:rsidP="000B58AB">
            <w:pPr>
              <w:pStyle w:val="Tableheading"/>
              <w:rPr>
                <w:rFonts w:eastAsiaTheme="minorHAnsi"/>
              </w:rPr>
            </w:pPr>
            <w:r w:rsidRPr="003506BE">
              <w:t xml:space="preserve">Net Total </w:t>
            </w:r>
          </w:p>
        </w:tc>
        <w:tc>
          <w:tcPr>
            <w:tcW w:w="2504" w:type="dxa"/>
            <w:tcBorders>
              <w:top w:val="nil"/>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206D0551" w14:textId="77777777" w:rsidR="00A82900" w:rsidRPr="00A430E4" w:rsidRDefault="00A82900" w:rsidP="00A430E4">
            <w:pPr>
              <w:pStyle w:val="Tableheading"/>
              <w:jc w:val="right"/>
              <w:rPr>
                <w:rFonts w:eastAsiaTheme="minorHAnsi"/>
                <w:bCs/>
                <w:sz w:val="16"/>
                <w:szCs w:val="16"/>
                <w:highlight w:val="yellow"/>
              </w:rPr>
            </w:pPr>
            <w:r w:rsidRPr="00A430E4">
              <w:rPr>
                <w:bCs/>
              </w:rPr>
              <w:t>$</w:t>
            </w:r>
            <w:r w:rsidR="00310FA1" w:rsidRPr="00A430E4">
              <w:rPr>
                <w:bCs/>
              </w:rPr>
              <w:t>50,549,827</w:t>
            </w:r>
          </w:p>
        </w:tc>
      </w:tr>
    </w:tbl>
    <w:p w14:paraId="52A47F2C" w14:textId="77777777" w:rsidR="00C574B8" w:rsidRDefault="00C574B8" w:rsidP="00D437A2">
      <w:pPr>
        <w:tabs>
          <w:tab w:val="center" w:pos="4515"/>
        </w:tabs>
      </w:pPr>
      <w:r>
        <w:br w:type="page"/>
      </w:r>
    </w:p>
    <w:p w14:paraId="0BAF9D12" w14:textId="77777777" w:rsidR="00C574B8" w:rsidRPr="006444FB" w:rsidRDefault="00C574B8" w:rsidP="00C574B8">
      <w:pPr>
        <w:pStyle w:val="Heading1"/>
      </w:pPr>
      <w:bookmarkStart w:id="3" w:name="_Toc21946118"/>
      <w:r>
        <w:t>Custody Movement Services</w:t>
      </w:r>
      <w:bookmarkEnd w:id="3"/>
    </w:p>
    <w:p w14:paraId="6B296619" w14:textId="77777777" w:rsidR="003506BE" w:rsidRDefault="003506BE" w:rsidP="0095593F">
      <w:pPr>
        <w:pStyle w:val="Heading2"/>
      </w:pPr>
      <w:bookmarkStart w:id="4" w:name="_Toc21946119"/>
      <w:r w:rsidRPr="003506BE">
        <w:t>Person in Custody Movement Services (Transport)</w:t>
      </w:r>
      <w:bookmarkEnd w:id="4"/>
    </w:p>
    <w:p w14:paraId="2E3EAD84" w14:textId="77777777" w:rsidR="003506BE" w:rsidRPr="0095593F" w:rsidRDefault="003506BE" w:rsidP="000E29CF">
      <w:pPr>
        <w:pStyle w:val="Heading3"/>
      </w:pPr>
      <w:bookmarkStart w:id="5" w:name="_Toc21946120"/>
      <w:r w:rsidRPr="0095593F">
        <w:t>Description of Service</w:t>
      </w:r>
      <w:bookmarkEnd w:id="5"/>
    </w:p>
    <w:p w14:paraId="3593721A" w14:textId="77777777" w:rsidR="003506BE" w:rsidRDefault="003506BE" w:rsidP="003506BE">
      <w:r>
        <w:t>The provision of movement services for persons in custody includes the transportation of such individuals between police lock-ups, courts, court custody centres, prisons and remand centres.</w:t>
      </w:r>
    </w:p>
    <w:p w14:paraId="748D1E6B" w14:textId="77777777" w:rsidR="003506BE" w:rsidRPr="000B58AB" w:rsidRDefault="003506BE" w:rsidP="000B58AB"/>
    <w:p w14:paraId="64D4D9F1" w14:textId="77777777" w:rsidR="003506BE" w:rsidRDefault="003506BE" w:rsidP="003506BE">
      <w:r>
        <w:t>Movement services are also provided for persons in custody to attend medical appointments, funerals or other locations for approved purposes. The Contract also provides security services when a person in custody is admitted to a hospital.</w:t>
      </w:r>
    </w:p>
    <w:p w14:paraId="54B9E21E" w14:textId="77777777" w:rsidR="00FE448E" w:rsidRPr="000B58AB" w:rsidRDefault="00FE448E" w:rsidP="000B58AB"/>
    <w:p w14:paraId="7A24847E" w14:textId="51518535" w:rsidR="003506BE" w:rsidRDefault="003506BE" w:rsidP="00C56609">
      <w:pPr>
        <w:pStyle w:val="TableofFigures"/>
      </w:pPr>
      <w:r>
        <w:t>Table 1. Total Individ</w:t>
      </w:r>
      <w:r w:rsidR="000B58AB">
        <w:t>ual Custody Movements Performed</w:t>
      </w:r>
    </w:p>
    <w:tbl>
      <w:tblPr>
        <w:tblW w:w="9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9"/>
        <w:gridCol w:w="1537"/>
        <w:gridCol w:w="5195"/>
      </w:tblGrid>
      <w:tr w:rsidR="003506BE" w:rsidRPr="003506BE" w14:paraId="67A388AD" w14:textId="77777777" w:rsidTr="000B58AB">
        <w:trPr>
          <w:trHeight w:val="628"/>
        </w:trPr>
        <w:tc>
          <w:tcPr>
            <w:tcW w:w="2269" w:type="dxa"/>
            <w:shd w:val="clear" w:color="auto" w:fill="C0C0C0"/>
            <w:noWrap/>
            <w:tcMar>
              <w:top w:w="0" w:type="dxa"/>
              <w:left w:w="108" w:type="dxa"/>
              <w:bottom w:w="0" w:type="dxa"/>
              <w:right w:w="108" w:type="dxa"/>
            </w:tcMar>
            <w:vAlign w:val="center"/>
          </w:tcPr>
          <w:p w14:paraId="2DF74138" w14:textId="5D43184A" w:rsidR="003506BE" w:rsidRPr="000B58AB" w:rsidRDefault="003506BE" w:rsidP="000B58AB">
            <w:pPr>
              <w:pStyle w:val="Tableheading"/>
              <w:rPr>
                <w:bCs/>
                <w:lang w:val="en-US"/>
              </w:rPr>
            </w:pPr>
            <w:r w:rsidRPr="003506BE">
              <w:rPr>
                <w:bCs/>
                <w:lang w:val="en-US"/>
              </w:rPr>
              <w:t>Services</w:t>
            </w:r>
          </w:p>
        </w:tc>
        <w:tc>
          <w:tcPr>
            <w:tcW w:w="1537" w:type="dxa"/>
            <w:shd w:val="clear" w:color="auto" w:fill="C0C0C0"/>
            <w:tcMar>
              <w:top w:w="0" w:type="dxa"/>
              <w:left w:w="108" w:type="dxa"/>
              <w:bottom w:w="0" w:type="dxa"/>
              <w:right w:w="108" w:type="dxa"/>
            </w:tcMar>
            <w:vAlign w:val="center"/>
            <w:hideMark/>
          </w:tcPr>
          <w:p w14:paraId="018DD258" w14:textId="77777777" w:rsidR="003506BE" w:rsidRPr="003506BE" w:rsidRDefault="003506BE" w:rsidP="000B58AB">
            <w:pPr>
              <w:pStyle w:val="Tableheading"/>
              <w:rPr>
                <w:rFonts w:ascii="Calibri" w:eastAsia="Calibri" w:hAnsi="Calibri"/>
                <w:bCs/>
                <w:sz w:val="22"/>
                <w:szCs w:val="22"/>
                <w:lang w:val="en-US"/>
              </w:rPr>
            </w:pPr>
            <w:r w:rsidRPr="003506BE">
              <w:rPr>
                <w:bCs/>
                <w:lang w:val="en-US"/>
              </w:rPr>
              <w:t>Movements</w:t>
            </w:r>
          </w:p>
        </w:tc>
        <w:tc>
          <w:tcPr>
            <w:tcW w:w="5195" w:type="dxa"/>
            <w:shd w:val="clear" w:color="auto" w:fill="C0C0C0"/>
            <w:tcMar>
              <w:top w:w="0" w:type="dxa"/>
              <w:left w:w="108" w:type="dxa"/>
              <w:bottom w:w="0" w:type="dxa"/>
              <w:right w:w="108" w:type="dxa"/>
            </w:tcMar>
            <w:vAlign w:val="center"/>
            <w:hideMark/>
          </w:tcPr>
          <w:p w14:paraId="38CB3B02" w14:textId="77777777" w:rsidR="003506BE" w:rsidRPr="003506BE" w:rsidRDefault="003506BE" w:rsidP="000B58AB">
            <w:pPr>
              <w:pStyle w:val="Tableheading"/>
              <w:rPr>
                <w:rFonts w:ascii="Calibri" w:eastAsia="Calibri" w:hAnsi="Calibri"/>
                <w:bCs/>
                <w:sz w:val="22"/>
                <w:szCs w:val="22"/>
                <w:lang w:val="en-US"/>
              </w:rPr>
            </w:pPr>
            <w:r w:rsidRPr="003506BE">
              <w:rPr>
                <w:bCs/>
                <w:lang w:val="en-US"/>
              </w:rPr>
              <w:t>Comments</w:t>
            </w:r>
          </w:p>
        </w:tc>
      </w:tr>
      <w:tr w:rsidR="003506BE" w:rsidRPr="003506BE" w14:paraId="3C9DABCB" w14:textId="77777777" w:rsidTr="00FE448E">
        <w:trPr>
          <w:trHeight w:val="395"/>
        </w:trPr>
        <w:tc>
          <w:tcPr>
            <w:tcW w:w="2269" w:type="dxa"/>
            <w:noWrap/>
            <w:tcMar>
              <w:top w:w="0" w:type="dxa"/>
              <w:left w:w="108" w:type="dxa"/>
              <w:bottom w:w="0" w:type="dxa"/>
              <w:right w:w="108" w:type="dxa"/>
            </w:tcMar>
            <w:hideMark/>
          </w:tcPr>
          <w:p w14:paraId="07BF4F0F" w14:textId="77777777" w:rsidR="003506BE" w:rsidRPr="003506BE" w:rsidRDefault="003506BE" w:rsidP="000B58AB">
            <w:pPr>
              <w:pStyle w:val="Tabledata"/>
              <w:rPr>
                <w:rFonts w:ascii="Calibri" w:eastAsia="Calibri" w:hAnsi="Calibri"/>
                <w:lang w:val="en-US"/>
              </w:rPr>
            </w:pPr>
            <w:r w:rsidRPr="003506BE">
              <w:rPr>
                <w:lang w:val="en-US"/>
              </w:rPr>
              <w:t>Inter-prison Transfers</w:t>
            </w:r>
          </w:p>
        </w:tc>
        <w:tc>
          <w:tcPr>
            <w:tcW w:w="1537" w:type="dxa"/>
            <w:tcMar>
              <w:top w:w="0" w:type="dxa"/>
              <w:left w:w="108" w:type="dxa"/>
              <w:bottom w:w="0" w:type="dxa"/>
              <w:right w:w="108" w:type="dxa"/>
            </w:tcMar>
          </w:tcPr>
          <w:p w14:paraId="5148AFBD" w14:textId="77777777" w:rsidR="003506BE" w:rsidRPr="000B58AB" w:rsidRDefault="008C54EF" w:rsidP="000B58AB">
            <w:pPr>
              <w:pStyle w:val="Tabledata"/>
              <w:rPr>
                <w:rFonts w:eastAsia="Calibri"/>
              </w:rPr>
            </w:pPr>
            <w:r>
              <w:rPr>
                <w:lang w:val="en-US"/>
              </w:rPr>
              <w:t>9,434</w:t>
            </w:r>
          </w:p>
          <w:p w14:paraId="6C8AD5D3" w14:textId="77777777" w:rsidR="003506BE" w:rsidRPr="000B58AB" w:rsidRDefault="003506BE" w:rsidP="000B58AB">
            <w:pPr>
              <w:pStyle w:val="Tabledata"/>
              <w:rPr>
                <w:rFonts w:eastAsia="Calibri"/>
                <w:highlight w:val="yellow"/>
              </w:rPr>
            </w:pPr>
          </w:p>
        </w:tc>
        <w:tc>
          <w:tcPr>
            <w:tcW w:w="5195" w:type="dxa"/>
            <w:tcMar>
              <w:top w:w="0" w:type="dxa"/>
              <w:left w:w="108" w:type="dxa"/>
              <w:bottom w:w="0" w:type="dxa"/>
              <w:right w:w="108" w:type="dxa"/>
            </w:tcMar>
            <w:hideMark/>
          </w:tcPr>
          <w:p w14:paraId="2539FCA2" w14:textId="77777777" w:rsidR="003506BE" w:rsidRPr="003506BE" w:rsidRDefault="003506BE" w:rsidP="000B58AB">
            <w:pPr>
              <w:pStyle w:val="Tabledata"/>
              <w:rPr>
                <w:rFonts w:ascii="Calibri" w:eastAsia="Calibri" w:hAnsi="Calibri"/>
                <w:highlight w:val="yellow"/>
                <w:lang w:val="en-US"/>
              </w:rPr>
            </w:pPr>
            <w:r w:rsidRPr="003506BE">
              <w:rPr>
                <w:lang w:val="en-US"/>
              </w:rPr>
              <w:t>Inter-prison movements include metropolitan to regional and vice versa, and within regional areas and the metropolitan area. Movements are conducted by coach, air or secure vehicle.</w:t>
            </w:r>
          </w:p>
        </w:tc>
      </w:tr>
      <w:tr w:rsidR="003506BE" w:rsidRPr="003506BE" w14:paraId="6B17F22A" w14:textId="77777777" w:rsidTr="00FE448E">
        <w:trPr>
          <w:trHeight w:val="960"/>
        </w:trPr>
        <w:tc>
          <w:tcPr>
            <w:tcW w:w="2269" w:type="dxa"/>
            <w:noWrap/>
            <w:tcMar>
              <w:top w:w="0" w:type="dxa"/>
              <w:left w:w="108" w:type="dxa"/>
              <w:bottom w:w="0" w:type="dxa"/>
              <w:right w:w="108" w:type="dxa"/>
            </w:tcMar>
          </w:tcPr>
          <w:p w14:paraId="07D45587" w14:textId="77777777" w:rsidR="003506BE" w:rsidRPr="000B58AB" w:rsidRDefault="003506BE" w:rsidP="000B58AB">
            <w:pPr>
              <w:pStyle w:val="Tabledata"/>
              <w:rPr>
                <w:rFonts w:eastAsia="Calibri"/>
              </w:rPr>
            </w:pPr>
            <w:r w:rsidRPr="003506BE">
              <w:rPr>
                <w:lang w:val="en-US"/>
              </w:rPr>
              <w:t>Court to Prison</w:t>
            </w:r>
          </w:p>
          <w:p w14:paraId="77E1DA28" w14:textId="77777777" w:rsidR="003506BE" w:rsidRPr="003506BE" w:rsidRDefault="003506BE" w:rsidP="000B58AB">
            <w:pPr>
              <w:pStyle w:val="Tabledata"/>
              <w:rPr>
                <w:lang w:val="en-US"/>
              </w:rPr>
            </w:pPr>
          </w:p>
          <w:p w14:paraId="2E7B20A0" w14:textId="77777777" w:rsidR="003506BE" w:rsidRPr="003506BE" w:rsidRDefault="003506BE" w:rsidP="000B58AB">
            <w:pPr>
              <w:pStyle w:val="Tabledata"/>
              <w:rPr>
                <w:rFonts w:ascii="Calibri" w:eastAsia="Calibri" w:hAnsi="Calibri"/>
                <w:lang w:val="en-US"/>
              </w:rPr>
            </w:pPr>
            <w:r w:rsidRPr="003506BE">
              <w:rPr>
                <w:lang w:val="en-US"/>
              </w:rPr>
              <w:t>Prison to Court</w:t>
            </w:r>
          </w:p>
        </w:tc>
        <w:tc>
          <w:tcPr>
            <w:tcW w:w="1537" w:type="dxa"/>
            <w:tcMar>
              <w:top w:w="0" w:type="dxa"/>
              <w:left w:w="108" w:type="dxa"/>
              <w:bottom w:w="0" w:type="dxa"/>
              <w:right w:w="108" w:type="dxa"/>
            </w:tcMar>
          </w:tcPr>
          <w:p w14:paraId="449F69C6" w14:textId="77777777" w:rsidR="003506BE" w:rsidRPr="00031230" w:rsidRDefault="008C54EF" w:rsidP="000B58AB">
            <w:pPr>
              <w:pStyle w:val="Tabledata"/>
              <w:rPr>
                <w:lang w:val="en-US"/>
              </w:rPr>
            </w:pPr>
            <w:r>
              <w:rPr>
                <w:lang w:val="en-US"/>
              </w:rPr>
              <w:t>5,770</w:t>
            </w:r>
          </w:p>
          <w:p w14:paraId="32A9ADFE" w14:textId="77777777" w:rsidR="003506BE" w:rsidRPr="000B58AB" w:rsidRDefault="003506BE" w:rsidP="000B58AB">
            <w:pPr>
              <w:pStyle w:val="Tabledata"/>
              <w:rPr>
                <w:rFonts w:eastAsia="Calibri"/>
              </w:rPr>
            </w:pPr>
          </w:p>
          <w:p w14:paraId="3284B3AE" w14:textId="77777777" w:rsidR="003506BE" w:rsidRPr="00031230" w:rsidRDefault="008C54EF" w:rsidP="000B58AB">
            <w:pPr>
              <w:pStyle w:val="Tabledata"/>
              <w:rPr>
                <w:rFonts w:ascii="Calibri" w:eastAsia="Calibri" w:hAnsi="Calibri"/>
                <w:lang w:val="en-US"/>
              </w:rPr>
            </w:pPr>
            <w:r>
              <w:rPr>
                <w:lang w:val="en-US"/>
              </w:rPr>
              <w:t>6,878</w:t>
            </w:r>
          </w:p>
        </w:tc>
        <w:tc>
          <w:tcPr>
            <w:tcW w:w="5195" w:type="dxa"/>
            <w:tcMar>
              <w:top w:w="0" w:type="dxa"/>
              <w:left w:w="108" w:type="dxa"/>
              <w:bottom w:w="0" w:type="dxa"/>
              <w:right w:w="108" w:type="dxa"/>
            </w:tcMar>
            <w:hideMark/>
          </w:tcPr>
          <w:p w14:paraId="27EDDBDA" w14:textId="77777777" w:rsidR="003506BE" w:rsidRPr="003506BE" w:rsidRDefault="003506BE" w:rsidP="000B58AB">
            <w:pPr>
              <w:pStyle w:val="Tabledata"/>
              <w:rPr>
                <w:rFonts w:ascii="Calibri" w:eastAsia="Calibri" w:hAnsi="Calibri"/>
                <w:lang w:val="en-US"/>
              </w:rPr>
            </w:pPr>
            <w:r w:rsidRPr="003506BE">
              <w:rPr>
                <w:lang w:val="en-US"/>
              </w:rPr>
              <w:t>Court to Prison and Prison to Court movements are from court and prison locations specified in the Contract.</w:t>
            </w:r>
          </w:p>
        </w:tc>
      </w:tr>
      <w:tr w:rsidR="003506BE" w:rsidRPr="003506BE" w14:paraId="453CDA0A" w14:textId="77777777" w:rsidTr="00FE448E">
        <w:trPr>
          <w:trHeight w:val="876"/>
        </w:trPr>
        <w:tc>
          <w:tcPr>
            <w:tcW w:w="2269" w:type="dxa"/>
            <w:noWrap/>
            <w:tcMar>
              <w:top w:w="0" w:type="dxa"/>
              <w:left w:w="108" w:type="dxa"/>
              <w:bottom w:w="0" w:type="dxa"/>
              <w:right w:w="108" w:type="dxa"/>
            </w:tcMar>
            <w:hideMark/>
          </w:tcPr>
          <w:p w14:paraId="10B22966" w14:textId="77777777" w:rsidR="003506BE" w:rsidRPr="003506BE" w:rsidRDefault="003506BE" w:rsidP="000B58AB">
            <w:pPr>
              <w:pStyle w:val="Tabledata"/>
              <w:rPr>
                <w:rFonts w:ascii="Calibri" w:eastAsia="Calibri" w:hAnsi="Calibri"/>
                <w:lang w:val="en-US"/>
              </w:rPr>
            </w:pPr>
            <w:r w:rsidRPr="003506BE">
              <w:rPr>
                <w:lang w:val="en-US"/>
              </w:rPr>
              <w:t>Medical Appointments</w:t>
            </w:r>
          </w:p>
        </w:tc>
        <w:tc>
          <w:tcPr>
            <w:tcW w:w="1537" w:type="dxa"/>
            <w:tcMar>
              <w:top w:w="0" w:type="dxa"/>
              <w:left w:w="108" w:type="dxa"/>
              <w:bottom w:w="0" w:type="dxa"/>
              <w:right w:w="108" w:type="dxa"/>
            </w:tcMar>
          </w:tcPr>
          <w:p w14:paraId="1DEAF683" w14:textId="77777777" w:rsidR="003506BE" w:rsidRPr="00031230" w:rsidRDefault="00740F74" w:rsidP="000B58AB">
            <w:pPr>
              <w:pStyle w:val="Tabledata"/>
              <w:rPr>
                <w:rFonts w:ascii="Calibri" w:eastAsia="Calibri" w:hAnsi="Calibri"/>
                <w:lang w:val="en-US"/>
              </w:rPr>
            </w:pPr>
            <w:r>
              <w:rPr>
                <w:lang w:val="en-US"/>
              </w:rPr>
              <w:t>5,8</w:t>
            </w:r>
            <w:r w:rsidR="008C54EF">
              <w:rPr>
                <w:lang w:val="en-US"/>
              </w:rPr>
              <w:t>05</w:t>
            </w:r>
          </w:p>
        </w:tc>
        <w:tc>
          <w:tcPr>
            <w:tcW w:w="5195" w:type="dxa"/>
            <w:tcMar>
              <w:top w:w="0" w:type="dxa"/>
              <w:left w:w="108" w:type="dxa"/>
              <w:bottom w:w="0" w:type="dxa"/>
              <w:right w:w="108" w:type="dxa"/>
            </w:tcMar>
            <w:hideMark/>
          </w:tcPr>
          <w:p w14:paraId="59FFCBDE" w14:textId="77777777" w:rsidR="003506BE" w:rsidRPr="003506BE" w:rsidRDefault="003506BE" w:rsidP="000B58AB">
            <w:pPr>
              <w:pStyle w:val="Tabledata"/>
              <w:rPr>
                <w:rFonts w:ascii="Calibri" w:eastAsia="Calibri" w:hAnsi="Calibri"/>
                <w:lang w:val="en-US"/>
              </w:rPr>
            </w:pPr>
            <w:r w:rsidRPr="003506BE">
              <w:rPr>
                <w:lang w:val="en-US"/>
              </w:rPr>
              <w:t>Medical appointments include scheduled and unscheduled appointments in the metropolitan and regional areas.</w:t>
            </w:r>
          </w:p>
        </w:tc>
      </w:tr>
      <w:tr w:rsidR="003506BE" w:rsidRPr="003506BE" w14:paraId="195BB9C8" w14:textId="77777777" w:rsidTr="00FE448E">
        <w:trPr>
          <w:trHeight w:val="637"/>
        </w:trPr>
        <w:tc>
          <w:tcPr>
            <w:tcW w:w="2269" w:type="dxa"/>
            <w:noWrap/>
            <w:tcMar>
              <w:top w:w="0" w:type="dxa"/>
              <w:left w:w="108" w:type="dxa"/>
              <w:bottom w:w="0" w:type="dxa"/>
              <w:right w:w="108" w:type="dxa"/>
            </w:tcMar>
            <w:hideMark/>
          </w:tcPr>
          <w:p w14:paraId="4A859C08" w14:textId="77777777" w:rsidR="003506BE" w:rsidRPr="003506BE" w:rsidRDefault="003506BE" w:rsidP="000B58AB">
            <w:pPr>
              <w:pStyle w:val="Tabledata"/>
              <w:rPr>
                <w:rFonts w:ascii="Calibri" w:eastAsia="Calibri" w:hAnsi="Calibri"/>
                <w:lang w:val="en-US"/>
              </w:rPr>
            </w:pPr>
            <w:r w:rsidRPr="003506BE">
              <w:rPr>
                <w:lang w:val="en-US"/>
              </w:rPr>
              <w:t>Funerals</w:t>
            </w:r>
          </w:p>
        </w:tc>
        <w:tc>
          <w:tcPr>
            <w:tcW w:w="1537" w:type="dxa"/>
            <w:tcMar>
              <w:top w:w="0" w:type="dxa"/>
              <w:left w:w="108" w:type="dxa"/>
              <w:bottom w:w="0" w:type="dxa"/>
              <w:right w:w="108" w:type="dxa"/>
            </w:tcMar>
          </w:tcPr>
          <w:p w14:paraId="02BFB60D" w14:textId="77777777" w:rsidR="003506BE" w:rsidRPr="00031230" w:rsidRDefault="008C54EF" w:rsidP="000B58AB">
            <w:pPr>
              <w:pStyle w:val="Tabledata"/>
              <w:rPr>
                <w:rFonts w:ascii="Calibri" w:eastAsia="Calibri" w:hAnsi="Calibri"/>
                <w:lang w:val="en-US"/>
              </w:rPr>
            </w:pPr>
            <w:r>
              <w:rPr>
                <w:lang w:val="en-US"/>
              </w:rPr>
              <w:t>216</w:t>
            </w:r>
          </w:p>
        </w:tc>
        <w:tc>
          <w:tcPr>
            <w:tcW w:w="5195" w:type="dxa"/>
            <w:tcMar>
              <w:top w:w="0" w:type="dxa"/>
              <w:left w:w="108" w:type="dxa"/>
              <w:bottom w:w="0" w:type="dxa"/>
              <w:right w:w="108" w:type="dxa"/>
            </w:tcMar>
            <w:hideMark/>
          </w:tcPr>
          <w:p w14:paraId="0FB7CDB8" w14:textId="77777777" w:rsidR="003506BE" w:rsidRPr="005A33FD" w:rsidRDefault="003506BE" w:rsidP="000B58AB">
            <w:pPr>
              <w:pStyle w:val="Tabledata"/>
              <w:rPr>
                <w:rFonts w:ascii="Calibri" w:eastAsia="Calibri" w:hAnsi="Calibri"/>
                <w:highlight w:val="yellow"/>
                <w:lang w:val="en-US"/>
              </w:rPr>
            </w:pPr>
            <w:r w:rsidRPr="005A33FD">
              <w:rPr>
                <w:lang w:val="en-US"/>
              </w:rPr>
              <w:t>Funeral movements include movements to funeral services locations as approved.</w:t>
            </w:r>
          </w:p>
        </w:tc>
      </w:tr>
      <w:tr w:rsidR="003506BE" w:rsidRPr="003506BE" w14:paraId="0B812B68" w14:textId="77777777" w:rsidTr="00FE448E">
        <w:trPr>
          <w:trHeight w:val="624"/>
        </w:trPr>
        <w:tc>
          <w:tcPr>
            <w:tcW w:w="2269" w:type="dxa"/>
            <w:noWrap/>
            <w:tcMar>
              <w:top w:w="0" w:type="dxa"/>
              <w:left w:w="108" w:type="dxa"/>
              <w:bottom w:w="0" w:type="dxa"/>
              <w:right w:w="108" w:type="dxa"/>
            </w:tcMar>
            <w:hideMark/>
          </w:tcPr>
          <w:p w14:paraId="6EF2DF08" w14:textId="77777777" w:rsidR="003506BE" w:rsidRPr="003506BE" w:rsidRDefault="003506BE" w:rsidP="000B58AB">
            <w:pPr>
              <w:pStyle w:val="Tabledata"/>
              <w:rPr>
                <w:rFonts w:ascii="Calibri" w:eastAsia="Calibri" w:hAnsi="Calibri"/>
                <w:lang w:val="en-US"/>
              </w:rPr>
            </w:pPr>
            <w:r w:rsidRPr="003506BE">
              <w:rPr>
                <w:lang w:val="en-US"/>
              </w:rPr>
              <w:t>Day Admissions</w:t>
            </w:r>
          </w:p>
        </w:tc>
        <w:tc>
          <w:tcPr>
            <w:tcW w:w="1537" w:type="dxa"/>
            <w:tcMar>
              <w:top w:w="0" w:type="dxa"/>
              <w:left w:w="108" w:type="dxa"/>
              <w:bottom w:w="0" w:type="dxa"/>
              <w:right w:w="108" w:type="dxa"/>
            </w:tcMar>
          </w:tcPr>
          <w:p w14:paraId="76632AA4" w14:textId="77777777" w:rsidR="003506BE" w:rsidRPr="00031230" w:rsidRDefault="008C54EF" w:rsidP="000B58AB">
            <w:pPr>
              <w:pStyle w:val="Tabledata"/>
              <w:rPr>
                <w:rFonts w:ascii="Calibri" w:eastAsia="Calibri" w:hAnsi="Calibri"/>
                <w:lang w:val="en-US"/>
              </w:rPr>
            </w:pPr>
            <w:r>
              <w:rPr>
                <w:lang w:val="en-US"/>
              </w:rPr>
              <w:t>224</w:t>
            </w:r>
          </w:p>
        </w:tc>
        <w:tc>
          <w:tcPr>
            <w:tcW w:w="5195" w:type="dxa"/>
            <w:tcMar>
              <w:top w:w="0" w:type="dxa"/>
              <w:left w:w="108" w:type="dxa"/>
              <w:bottom w:w="0" w:type="dxa"/>
              <w:right w:w="108" w:type="dxa"/>
            </w:tcMar>
            <w:hideMark/>
          </w:tcPr>
          <w:p w14:paraId="5567D5C8" w14:textId="77777777" w:rsidR="003506BE" w:rsidRPr="005A33FD" w:rsidRDefault="003506BE" w:rsidP="000B58AB">
            <w:pPr>
              <w:pStyle w:val="Tabledata"/>
              <w:rPr>
                <w:rFonts w:ascii="Calibri" w:eastAsia="Calibri" w:hAnsi="Calibri"/>
                <w:lang w:val="en-US"/>
              </w:rPr>
            </w:pPr>
            <w:r w:rsidRPr="005A33FD">
              <w:rPr>
                <w:lang w:val="en-US"/>
              </w:rPr>
              <w:t>These services are for prisoners who are admitted to hospital for surgical or other procedures.</w:t>
            </w:r>
          </w:p>
        </w:tc>
      </w:tr>
      <w:tr w:rsidR="003506BE" w:rsidRPr="003506BE" w14:paraId="5F30E94E" w14:textId="77777777" w:rsidTr="00FE448E">
        <w:trPr>
          <w:trHeight w:val="438"/>
        </w:trPr>
        <w:tc>
          <w:tcPr>
            <w:tcW w:w="2269" w:type="dxa"/>
            <w:noWrap/>
            <w:tcMar>
              <w:top w:w="0" w:type="dxa"/>
              <w:left w:w="108" w:type="dxa"/>
              <w:bottom w:w="0" w:type="dxa"/>
              <w:right w:w="108" w:type="dxa"/>
            </w:tcMar>
            <w:hideMark/>
          </w:tcPr>
          <w:p w14:paraId="756AEEC6" w14:textId="77777777" w:rsidR="003506BE" w:rsidRPr="003506BE" w:rsidRDefault="003506BE" w:rsidP="000B58AB">
            <w:pPr>
              <w:pStyle w:val="Tabledata"/>
              <w:rPr>
                <w:lang w:val="en-US"/>
              </w:rPr>
            </w:pPr>
            <w:r w:rsidRPr="003506BE">
              <w:rPr>
                <w:lang w:val="en-US"/>
              </w:rPr>
              <w:t>Prison to Hospital</w:t>
            </w:r>
          </w:p>
          <w:p w14:paraId="22571266" w14:textId="5BBCFAC4" w:rsidR="003506BE" w:rsidRPr="000B58AB" w:rsidRDefault="003506BE" w:rsidP="000B58AB">
            <w:pPr>
              <w:pStyle w:val="Tabledata"/>
              <w:rPr>
                <w:rFonts w:eastAsia="Calibri"/>
              </w:rPr>
            </w:pPr>
          </w:p>
          <w:p w14:paraId="01699F43" w14:textId="77777777" w:rsidR="003506BE" w:rsidRPr="003506BE" w:rsidRDefault="003506BE" w:rsidP="000B58AB">
            <w:pPr>
              <w:pStyle w:val="Tabledata"/>
              <w:rPr>
                <w:rFonts w:ascii="Calibri" w:eastAsia="Calibri" w:hAnsi="Calibri"/>
                <w:lang w:val="en-US"/>
              </w:rPr>
            </w:pPr>
            <w:r w:rsidRPr="003506BE">
              <w:rPr>
                <w:lang w:val="en-US"/>
              </w:rPr>
              <w:t>Hospital to Prison</w:t>
            </w:r>
          </w:p>
        </w:tc>
        <w:tc>
          <w:tcPr>
            <w:tcW w:w="1537" w:type="dxa"/>
            <w:tcMar>
              <w:top w:w="0" w:type="dxa"/>
              <w:left w:w="108" w:type="dxa"/>
              <w:bottom w:w="0" w:type="dxa"/>
              <w:right w:w="108" w:type="dxa"/>
            </w:tcMar>
            <w:hideMark/>
          </w:tcPr>
          <w:p w14:paraId="4C0F7666" w14:textId="77777777" w:rsidR="003506BE" w:rsidRPr="000B58AB" w:rsidRDefault="008C54EF" w:rsidP="000B58AB">
            <w:pPr>
              <w:pStyle w:val="Tabledata"/>
              <w:rPr>
                <w:rFonts w:eastAsia="Calibri"/>
              </w:rPr>
            </w:pPr>
            <w:r w:rsidRPr="00740F74">
              <w:rPr>
                <w:lang w:val="en-US"/>
              </w:rPr>
              <w:t>187</w:t>
            </w:r>
          </w:p>
          <w:p w14:paraId="083E1594" w14:textId="77777777" w:rsidR="003506BE" w:rsidRPr="00740F74" w:rsidRDefault="003506BE" w:rsidP="000B58AB">
            <w:pPr>
              <w:pStyle w:val="Tabledata"/>
              <w:rPr>
                <w:lang w:val="en-US"/>
              </w:rPr>
            </w:pPr>
          </w:p>
          <w:p w14:paraId="50CE8AA2" w14:textId="77777777" w:rsidR="003506BE" w:rsidRPr="00740F74" w:rsidRDefault="008C54EF" w:rsidP="000B58AB">
            <w:pPr>
              <w:pStyle w:val="Tabledata"/>
              <w:rPr>
                <w:rFonts w:ascii="Calibri" w:eastAsia="Calibri" w:hAnsi="Calibri"/>
                <w:lang w:val="en-US"/>
              </w:rPr>
            </w:pPr>
            <w:r w:rsidRPr="00740F74">
              <w:rPr>
                <w:lang w:val="en-US"/>
              </w:rPr>
              <w:t>118</w:t>
            </w:r>
          </w:p>
        </w:tc>
        <w:tc>
          <w:tcPr>
            <w:tcW w:w="5195" w:type="dxa"/>
            <w:tcMar>
              <w:top w:w="0" w:type="dxa"/>
              <w:left w:w="108" w:type="dxa"/>
              <w:bottom w:w="0" w:type="dxa"/>
              <w:right w:w="108" w:type="dxa"/>
            </w:tcMar>
            <w:hideMark/>
          </w:tcPr>
          <w:p w14:paraId="1EA947B7" w14:textId="77777777" w:rsidR="003506BE" w:rsidRPr="005A33FD" w:rsidRDefault="003506BE" w:rsidP="000B58AB">
            <w:pPr>
              <w:pStyle w:val="Tabledata"/>
              <w:rPr>
                <w:rFonts w:ascii="Calibri" w:eastAsia="Calibri" w:hAnsi="Calibri"/>
                <w:lang w:val="en-US"/>
              </w:rPr>
            </w:pPr>
            <w:r w:rsidRPr="005A33FD">
              <w:rPr>
                <w:lang w:val="en-US"/>
              </w:rPr>
              <w:t>These movements are undertaken to facilitate hospital admissions for longer than a day.</w:t>
            </w:r>
          </w:p>
        </w:tc>
      </w:tr>
      <w:tr w:rsidR="003506BE" w:rsidRPr="003506BE" w14:paraId="734DD6F9" w14:textId="77777777" w:rsidTr="00FE448E">
        <w:trPr>
          <w:trHeight w:val="270"/>
        </w:trPr>
        <w:tc>
          <w:tcPr>
            <w:tcW w:w="2269" w:type="dxa"/>
            <w:noWrap/>
            <w:tcMar>
              <w:top w:w="0" w:type="dxa"/>
              <w:left w:w="108" w:type="dxa"/>
              <w:bottom w:w="0" w:type="dxa"/>
              <w:right w:w="108" w:type="dxa"/>
            </w:tcMar>
            <w:hideMark/>
          </w:tcPr>
          <w:p w14:paraId="72734D85" w14:textId="77777777" w:rsidR="003506BE" w:rsidRPr="003506BE" w:rsidRDefault="003506BE" w:rsidP="000B58AB">
            <w:pPr>
              <w:pStyle w:val="Tabledata"/>
              <w:rPr>
                <w:rFonts w:ascii="Calibri" w:eastAsia="Calibri" w:hAnsi="Calibri"/>
                <w:color w:val="000000"/>
                <w:lang w:val="en-US"/>
              </w:rPr>
            </w:pPr>
            <w:r w:rsidRPr="000B58AB">
              <w:t>Lock-up Clearance (Metropolitan and Regional)</w:t>
            </w:r>
            <w:r w:rsidR="00212CB2">
              <w:rPr>
                <w:rStyle w:val="FootnoteReference"/>
                <w:color w:val="000000"/>
                <w:szCs w:val="22"/>
                <w:lang w:val="en-US"/>
              </w:rPr>
              <w:footnoteReference w:id="1"/>
            </w:r>
          </w:p>
        </w:tc>
        <w:tc>
          <w:tcPr>
            <w:tcW w:w="1537" w:type="dxa"/>
            <w:tcMar>
              <w:top w:w="0" w:type="dxa"/>
              <w:left w:w="108" w:type="dxa"/>
              <w:bottom w:w="0" w:type="dxa"/>
              <w:right w:w="108" w:type="dxa"/>
            </w:tcMar>
          </w:tcPr>
          <w:p w14:paraId="45115600" w14:textId="700904F7" w:rsidR="003506BE" w:rsidRPr="000B58AB" w:rsidRDefault="00B815D1" w:rsidP="000B58AB">
            <w:pPr>
              <w:pStyle w:val="Tabledata"/>
              <w:rPr>
                <w:rFonts w:eastAsia="Calibri"/>
              </w:rPr>
            </w:pPr>
            <w:r>
              <w:rPr>
                <w:lang w:val="en-US"/>
              </w:rPr>
              <w:t>10,741</w:t>
            </w:r>
          </w:p>
        </w:tc>
        <w:tc>
          <w:tcPr>
            <w:tcW w:w="5195" w:type="dxa"/>
            <w:tcMar>
              <w:top w:w="0" w:type="dxa"/>
              <w:left w:w="108" w:type="dxa"/>
              <w:bottom w:w="0" w:type="dxa"/>
              <w:right w:w="108" w:type="dxa"/>
            </w:tcMar>
            <w:hideMark/>
          </w:tcPr>
          <w:p w14:paraId="451D1178" w14:textId="77777777" w:rsidR="003506BE" w:rsidRPr="000B58AB" w:rsidRDefault="003506BE" w:rsidP="000B58AB">
            <w:pPr>
              <w:pStyle w:val="Tabledata"/>
            </w:pPr>
            <w:r w:rsidRPr="000B58AB">
              <w:t xml:space="preserve">For regional areas, this service clears persons in custody from 24 WA Police Hub locations to local regional prisons. This service requires persons in custody to be cleared within 24 hours’ notice.  </w:t>
            </w:r>
          </w:p>
          <w:p w14:paraId="07340FC6" w14:textId="77777777" w:rsidR="003506BE" w:rsidRPr="003506BE" w:rsidRDefault="003506BE" w:rsidP="000B58AB">
            <w:pPr>
              <w:pStyle w:val="Tabledata"/>
              <w:rPr>
                <w:rFonts w:ascii="Calibri" w:eastAsia="Calibri" w:hAnsi="Calibri"/>
                <w:lang w:val="en-US"/>
              </w:rPr>
            </w:pPr>
            <w:r w:rsidRPr="000B58AB">
              <w:t>During this reporting period lock-up clearances from metropolitan areas for persons in custody were cleared from the Perth Police Complex (PPC) in Northbridge.</w:t>
            </w:r>
          </w:p>
        </w:tc>
      </w:tr>
      <w:tr w:rsidR="003506BE" w:rsidRPr="003506BE" w14:paraId="714660DB" w14:textId="77777777" w:rsidTr="00FE448E">
        <w:trPr>
          <w:trHeight w:val="270"/>
        </w:trPr>
        <w:tc>
          <w:tcPr>
            <w:tcW w:w="2269" w:type="dxa"/>
            <w:noWrap/>
            <w:tcMar>
              <w:top w:w="0" w:type="dxa"/>
              <w:left w:w="108" w:type="dxa"/>
              <w:bottom w:w="0" w:type="dxa"/>
              <w:right w:w="108" w:type="dxa"/>
            </w:tcMar>
            <w:hideMark/>
          </w:tcPr>
          <w:p w14:paraId="0C3D0991" w14:textId="77777777" w:rsidR="003506BE" w:rsidRPr="003506BE" w:rsidRDefault="003506BE" w:rsidP="000B58AB">
            <w:pPr>
              <w:pStyle w:val="Tabledata"/>
              <w:rPr>
                <w:rFonts w:ascii="Calibri" w:eastAsia="Calibri" w:hAnsi="Calibri"/>
                <w:lang w:val="en-US"/>
              </w:rPr>
            </w:pPr>
            <w:r w:rsidRPr="003506BE">
              <w:rPr>
                <w:lang w:val="en-US"/>
              </w:rPr>
              <w:t>Visits</w:t>
            </w:r>
          </w:p>
        </w:tc>
        <w:tc>
          <w:tcPr>
            <w:tcW w:w="1537" w:type="dxa"/>
            <w:tcMar>
              <w:top w:w="0" w:type="dxa"/>
              <w:left w:w="108" w:type="dxa"/>
              <w:bottom w:w="0" w:type="dxa"/>
              <w:right w:w="108" w:type="dxa"/>
            </w:tcMar>
          </w:tcPr>
          <w:p w14:paraId="77FD93DE" w14:textId="25107503" w:rsidR="003506BE" w:rsidRPr="000B58AB" w:rsidRDefault="008C54EF" w:rsidP="000B58AB">
            <w:pPr>
              <w:pStyle w:val="Tabledata"/>
              <w:rPr>
                <w:rFonts w:eastAsia="Calibri"/>
              </w:rPr>
            </w:pPr>
            <w:r w:rsidRPr="00740F74">
              <w:rPr>
                <w:lang w:val="en-US"/>
              </w:rPr>
              <w:t>53</w:t>
            </w:r>
          </w:p>
        </w:tc>
        <w:tc>
          <w:tcPr>
            <w:tcW w:w="5195" w:type="dxa"/>
            <w:tcMar>
              <w:top w:w="0" w:type="dxa"/>
              <w:left w:w="108" w:type="dxa"/>
              <w:bottom w:w="0" w:type="dxa"/>
              <w:right w:w="108" w:type="dxa"/>
            </w:tcMar>
            <w:hideMark/>
          </w:tcPr>
          <w:p w14:paraId="561EA901" w14:textId="77777777" w:rsidR="003506BE" w:rsidRPr="003506BE" w:rsidRDefault="003506BE" w:rsidP="000B58AB">
            <w:pPr>
              <w:pStyle w:val="Tabledata"/>
              <w:rPr>
                <w:rFonts w:ascii="Calibri" w:eastAsia="Calibri" w:hAnsi="Calibri"/>
                <w:lang w:val="en-US"/>
              </w:rPr>
            </w:pPr>
            <w:r w:rsidRPr="003506BE">
              <w:rPr>
                <w:lang w:val="en-US"/>
              </w:rPr>
              <w:t>These services include visits to ill relatives and other approved escorts.</w:t>
            </w:r>
          </w:p>
        </w:tc>
      </w:tr>
    </w:tbl>
    <w:p w14:paraId="33FE9510" w14:textId="77777777" w:rsidR="00371432" w:rsidRDefault="00371432" w:rsidP="00371432"/>
    <w:p w14:paraId="48A9690B" w14:textId="77777777" w:rsidR="00714911" w:rsidRDefault="00371432" w:rsidP="00371432">
      <w:r>
        <w:t xml:space="preserve">A total number of </w:t>
      </w:r>
      <w:r w:rsidR="00B815D1">
        <w:t>39,426</w:t>
      </w:r>
      <w:r w:rsidR="002C3D57" w:rsidRPr="00496FD1">
        <w:t xml:space="preserve"> </w:t>
      </w:r>
      <w:r w:rsidRPr="00496FD1">
        <w:t xml:space="preserve">person </w:t>
      </w:r>
      <w:r>
        <w:t>in custody movements occurred by various means (air, coach, secure vehicle, or other vehicles) for the reporting period.</w:t>
      </w:r>
    </w:p>
    <w:p w14:paraId="262FA9DB" w14:textId="77777777" w:rsidR="00BA4176" w:rsidRDefault="00BA4176" w:rsidP="00A81117"/>
    <w:p w14:paraId="27BA0680" w14:textId="77777777" w:rsidR="00A81117" w:rsidRPr="00A81117" w:rsidRDefault="00A81117" w:rsidP="00A81117"/>
    <w:p w14:paraId="0D940EC1" w14:textId="797FCB37" w:rsidR="00371432" w:rsidRPr="00A81117" w:rsidRDefault="00371432" w:rsidP="00A81117">
      <w:pPr>
        <w:pStyle w:val="TableofFigures"/>
      </w:pPr>
      <w:r w:rsidRPr="00A81117">
        <w:t xml:space="preserve">Figure 1. </w:t>
      </w:r>
      <w:r w:rsidR="00A81117">
        <w:t xml:space="preserve"> </w:t>
      </w:r>
      <w:r w:rsidRPr="00A81117">
        <w:t>Monthly Contracted Adult Transport Services</w:t>
      </w:r>
      <w:r w:rsidR="00167655" w:rsidRPr="00A81117">
        <w:t xml:space="preserve"> </w:t>
      </w:r>
    </w:p>
    <w:p w14:paraId="0406AD93" w14:textId="77777777" w:rsidR="00371432" w:rsidRDefault="00412AD4" w:rsidP="00C94F1D">
      <w:r>
        <w:rPr>
          <w:noProof/>
          <w:lang w:eastAsia="en-AU"/>
        </w:rPr>
        <w:drawing>
          <wp:inline distT="0" distB="0" distL="0" distR="0" wp14:anchorId="181DDF88" wp14:editId="5ECAC840">
            <wp:extent cx="5632450" cy="3162300"/>
            <wp:effectExtent l="0" t="0" r="63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645922" w14:textId="77777777" w:rsidR="005A33FD" w:rsidRDefault="005A33FD" w:rsidP="00A81117"/>
    <w:p w14:paraId="0E55E819" w14:textId="77777777" w:rsidR="00A81117" w:rsidRDefault="00A81117" w:rsidP="00A81117"/>
    <w:p w14:paraId="10B5C101" w14:textId="77777777" w:rsidR="00A81117" w:rsidRPr="00A81117" w:rsidRDefault="00A81117" w:rsidP="00A81117"/>
    <w:p w14:paraId="06BC39DB" w14:textId="77777777" w:rsidR="00371432" w:rsidRPr="00B22B5E" w:rsidRDefault="00371432" w:rsidP="00A81117">
      <w:pPr>
        <w:pStyle w:val="TableofFigures"/>
      </w:pPr>
      <w:r w:rsidRPr="00B22B5E">
        <w:t>Figure 2. Annual Service Delivery of Adult Cont</w:t>
      </w:r>
      <w:r w:rsidR="004F1019" w:rsidRPr="00B22B5E">
        <w:t>r</w:t>
      </w:r>
      <w:r w:rsidRPr="00B22B5E">
        <w:t>acted Transport Service</w:t>
      </w:r>
      <w:r w:rsidR="00825077">
        <w:t xml:space="preserve"> </w:t>
      </w:r>
    </w:p>
    <w:p w14:paraId="7E044B7D" w14:textId="77777777" w:rsidR="00371432" w:rsidRDefault="00412AD4" w:rsidP="00B22B5E">
      <w:r>
        <w:rPr>
          <w:noProof/>
          <w:lang w:eastAsia="en-AU"/>
        </w:rPr>
        <w:drawing>
          <wp:inline distT="0" distB="0" distL="0" distR="0" wp14:anchorId="3C1FB7D6" wp14:editId="22AE2F97">
            <wp:extent cx="5734685" cy="3326130"/>
            <wp:effectExtent l="0" t="0" r="18415"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D0FED0" w14:textId="77777777" w:rsidR="00714911" w:rsidRDefault="00714911" w:rsidP="00714911"/>
    <w:p w14:paraId="3DCC238A" w14:textId="77777777" w:rsidR="00371432" w:rsidRPr="0095593F" w:rsidRDefault="00371432" w:rsidP="000E29CF">
      <w:pPr>
        <w:pStyle w:val="Heading3"/>
      </w:pPr>
      <w:bookmarkStart w:id="6" w:name="_Toc21946121"/>
      <w:r w:rsidRPr="0095593F">
        <w:t xml:space="preserve">Total Expenditure: </w:t>
      </w:r>
      <w:r w:rsidRPr="000E29CF">
        <w:t>Custody</w:t>
      </w:r>
      <w:r w:rsidRPr="0095593F">
        <w:t xml:space="preserve"> Movement Services</w:t>
      </w:r>
      <w:bookmarkEnd w:id="6"/>
    </w:p>
    <w:p w14:paraId="5B7C44E4" w14:textId="77777777" w:rsidR="00F40B57" w:rsidRDefault="00F40B57" w:rsidP="00F40B57">
      <w:r>
        <w:t>The cost of providing Custody Movement Services between 1 July 201</w:t>
      </w:r>
      <w:r w:rsidR="005D6C85">
        <w:t>8</w:t>
      </w:r>
      <w:r>
        <w:t xml:space="preserve"> and </w:t>
      </w:r>
      <w:r>
        <w:br/>
        <w:t>30 June 201</w:t>
      </w:r>
      <w:r w:rsidR="005D6C85">
        <w:t>9</w:t>
      </w:r>
      <w:r>
        <w:t xml:space="preserve"> for metropolitan and regional areas </w:t>
      </w:r>
      <w:r w:rsidRPr="00310FA1">
        <w:t>was $</w:t>
      </w:r>
      <w:r w:rsidR="00310FA1" w:rsidRPr="00310FA1">
        <w:rPr>
          <w:rFonts w:cs="Arial"/>
        </w:rPr>
        <w:t>26,979,401</w:t>
      </w:r>
      <w:r w:rsidRPr="00310FA1">
        <w:t>.</w:t>
      </w:r>
    </w:p>
    <w:p w14:paraId="496BBDE9" w14:textId="77777777" w:rsidR="00F40B57" w:rsidRDefault="00F40B57" w:rsidP="00F40B57"/>
    <w:p w14:paraId="456180BD" w14:textId="77777777" w:rsidR="00F40B57" w:rsidRDefault="00031230" w:rsidP="00F40B57">
      <w:r>
        <w:t>The 201</w:t>
      </w:r>
      <w:r w:rsidR="005D6C85">
        <w:t>8</w:t>
      </w:r>
      <w:r>
        <w:t>/1</w:t>
      </w:r>
      <w:r w:rsidR="005D6C85">
        <w:t>9</w:t>
      </w:r>
      <w:r w:rsidR="00F40B57">
        <w:t xml:space="preserve"> cost of Movement Services includes the provision of air ch</w:t>
      </w:r>
      <w:r w:rsidR="008A13BF">
        <w:t>arter, coach movements, Police L</w:t>
      </w:r>
      <w:r w:rsidR="00F40B57">
        <w:t>ock-up Hub Clearances within 24 hours, and the cost of maintaining and managing the Secure Vehicle Fleet.</w:t>
      </w:r>
    </w:p>
    <w:p w14:paraId="4894BE7B" w14:textId="77777777" w:rsidR="00F40B57" w:rsidRDefault="00F40B57" w:rsidP="00CC430C">
      <w:pPr>
        <w:pStyle w:val="Heading2"/>
      </w:pPr>
      <w:bookmarkStart w:id="7" w:name="_Toc21946122"/>
      <w:r w:rsidRPr="003506BE">
        <w:t xml:space="preserve">Person in Custody </w:t>
      </w:r>
      <w:r>
        <w:t>who died while in hospital</w:t>
      </w:r>
      <w:bookmarkEnd w:id="7"/>
    </w:p>
    <w:p w14:paraId="0D5C5D23" w14:textId="77777777" w:rsidR="009B5E55" w:rsidRDefault="008C2E5C" w:rsidP="00F40B57">
      <w:r>
        <w:t>Nine</w:t>
      </w:r>
      <w:r w:rsidR="00F40B57" w:rsidRPr="00507F31">
        <w:t xml:space="preserve"> </w:t>
      </w:r>
      <w:r w:rsidR="00F40B57" w:rsidRPr="00F40B57">
        <w:t xml:space="preserve">deaths in custody occurred while the persons in custody were at hospital under guard between </w:t>
      </w:r>
      <w:r w:rsidR="009B5E55">
        <w:t>1</w:t>
      </w:r>
      <w:r w:rsidR="00F40B57" w:rsidRPr="00F40B57">
        <w:t xml:space="preserve"> </w:t>
      </w:r>
      <w:r w:rsidR="009B5E55">
        <w:t>July 201</w:t>
      </w:r>
      <w:r w:rsidR="00174F73">
        <w:t>8</w:t>
      </w:r>
      <w:r w:rsidR="009B5E55">
        <w:t xml:space="preserve"> and </w:t>
      </w:r>
      <w:r w:rsidR="009B5E55" w:rsidRPr="00F31393">
        <w:t>30 June 201</w:t>
      </w:r>
      <w:r w:rsidR="00174F73" w:rsidRPr="00F31393">
        <w:t>9</w:t>
      </w:r>
      <w:r w:rsidR="00C801D9">
        <w:t>, six of which were from apparent natural causes</w:t>
      </w:r>
      <w:r w:rsidR="00F40B57" w:rsidRPr="00F31393">
        <w:t xml:space="preserve">. The Coroner has yet to conduct inquests for the </w:t>
      </w:r>
      <w:r w:rsidR="00F31393" w:rsidRPr="00F31393">
        <w:t>nine</w:t>
      </w:r>
      <w:r w:rsidR="00F40B57" w:rsidRPr="00F31393">
        <w:t xml:space="preserve"> deaths in custody.</w:t>
      </w:r>
      <w:r w:rsidRPr="00F31393">
        <w:t xml:space="preserve"> </w:t>
      </w:r>
    </w:p>
    <w:p w14:paraId="2B6DC322" w14:textId="77777777" w:rsidR="009B5E55" w:rsidRDefault="009B5E55" w:rsidP="00CC430C">
      <w:pPr>
        <w:pStyle w:val="Heading2"/>
      </w:pPr>
      <w:bookmarkStart w:id="8" w:name="_Toc21946123"/>
      <w:r>
        <w:t>Management of Persons in Custody</w:t>
      </w:r>
      <w:bookmarkEnd w:id="8"/>
    </w:p>
    <w:p w14:paraId="2CE3CAC4" w14:textId="77777777" w:rsidR="009B5E55" w:rsidRDefault="009B5E55" w:rsidP="009B5E55">
      <w:r w:rsidRPr="009B5E55">
        <w:t xml:space="preserve">Broadspectrum utilises the electronic Prisoner </w:t>
      </w:r>
      <w:r w:rsidR="004F2C91">
        <w:t xml:space="preserve">Escort </w:t>
      </w:r>
      <w:r w:rsidRPr="009B5E55">
        <w:t>Management System (ePEMS), a data collection management system, which has been built on a simple Microsoft database platform and operates o</w:t>
      </w:r>
      <w:r w:rsidR="00813A25">
        <w:t>n Windows compatible computers.</w:t>
      </w:r>
    </w:p>
    <w:p w14:paraId="39E68BC2" w14:textId="77777777" w:rsidR="009B5E55" w:rsidRPr="009B5E55" w:rsidRDefault="009B5E55" w:rsidP="009B5E55"/>
    <w:p w14:paraId="5C8C610D" w14:textId="77777777" w:rsidR="009B5E55" w:rsidRDefault="009B5E55" w:rsidP="009B5E55">
      <w:r w:rsidRPr="009B5E55">
        <w:t>ePEMS is an ‘off-the-shelf’ software solution that has been designed and developed to support the deliv</w:t>
      </w:r>
      <w:r w:rsidR="004F1019">
        <w:t>ery of prisoner escort services. ePEMS draws information from the Department’s Total Offender Management System (TOMS)</w:t>
      </w:r>
      <w:r w:rsidR="00813A25">
        <w:t>. This enable</w:t>
      </w:r>
      <w:r w:rsidR="00FE448E">
        <w:t>s</w:t>
      </w:r>
      <w:r w:rsidR="00813A25">
        <w:t xml:space="preserve"> transport requests and</w:t>
      </w:r>
      <w:r w:rsidR="004F1019">
        <w:t xml:space="preserve"> necessary information relating to a person in custody </w:t>
      </w:r>
      <w:r w:rsidR="00813A25">
        <w:t>to be</w:t>
      </w:r>
      <w:r w:rsidR="004F1019">
        <w:t xml:space="preserve"> available to Broadspectrum for appropriate tasking.</w:t>
      </w:r>
    </w:p>
    <w:p w14:paraId="107405D2" w14:textId="77777777" w:rsidR="009B5E55" w:rsidRPr="009B5E55" w:rsidRDefault="009B5E55" w:rsidP="009B5E55"/>
    <w:p w14:paraId="4E0FF173" w14:textId="77777777" w:rsidR="009B5E55" w:rsidRDefault="009B5E55" w:rsidP="009B5E55">
      <w:r w:rsidRPr="009B5E55">
        <w:t>Confidential and sensitive data and information created and held</w:t>
      </w:r>
      <w:r w:rsidR="001D5986">
        <w:t xml:space="preserve"> within the system is encrypted</w:t>
      </w:r>
      <w:r w:rsidRPr="009B5E55">
        <w:t>. Only authorised users with explicit permissions are able to enter, view or amend records.</w:t>
      </w:r>
    </w:p>
    <w:p w14:paraId="54AEB067" w14:textId="77777777" w:rsidR="009B5E55" w:rsidRDefault="009B5E55" w:rsidP="00CC430C">
      <w:pPr>
        <w:pStyle w:val="Heading2"/>
      </w:pPr>
      <w:bookmarkStart w:id="9" w:name="_Toc21946124"/>
      <w:r>
        <w:t>Secure Vehicle Fleet</w:t>
      </w:r>
      <w:bookmarkEnd w:id="9"/>
    </w:p>
    <w:p w14:paraId="4CB24146" w14:textId="77777777" w:rsidR="00813A25" w:rsidRDefault="00CF378C" w:rsidP="009B5E55">
      <w:r w:rsidRPr="00CF378C">
        <w:t>The Secure Vehicle Fleet was transferred to Broadspectrum at service commencement as provided for under the Contract.</w:t>
      </w:r>
    </w:p>
    <w:p w14:paraId="6D7EFCCF" w14:textId="77777777" w:rsidR="00813A25" w:rsidRDefault="00813A25" w:rsidP="009B5E55"/>
    <w:p w14:paraId="3BB57DFF" w14:textId="77777777" w:rsidR="009B5E55" w:rsidRDefault="009B5E55">
      <w:r>
        <w:br w:type="page"/>
      </w:r>
    </w:p>
    <w:p w14:paraId="3CAF6F96" w14:textId="77777777" w:rsidR="009B5E55" w:rsidRDefault="009B5E55" w:rsidP="009B5E55">
      <w:pPr>
        <w:pStyle w:val="Heading1"/>
      </w:pPr>
      <w:bookmarkStart w:id="10" w:name="_Toc21946125"/>
      <w:r>
        <w:t>Court Security and Court Custody</w:t>
      </w:r>
      <w:bookmarkEnd w:id="10"/>
    </w:p>
    <w:p w14:paraId="3158A010" w14:textId="77777777" w:rsidR="009B5E55" w:rsidRDefault="009B5E55" w:rsidP="00CC430C">
      <w:pPr>
        <w:pStyle w:val="Heading2"/>
      </w:pPr>
      <w:bookmarkStart w:id="11" w:name="_Toc21946126"/>
      <w:r w:rsidRPr="009B5E55">
        <w:t>Description of Service</w:t>
      </w:r>
      <w:bookmarkEnd w:id="11"/>
    </w:p>
    <w:p w14:paraId="30016619" w14:textId="77777777" w:rsidR="009B5E55" w:rsidRDefault="009B5E55" w:rsidP="009B5E55">
      <w:r w:rsidRPr="009B5E55">
        <w:t xml:space="preserve">The Contract provides for court security and court custody services at major metropolitan and regional courts throughout WA and in designated jurisdictions. </w:t>
      </w:r>
    </w:p>
    <w:p w14:paraId="40B69038" w14:textId="77777777" w:rsidR="009B5E55" w:rsidRPr="009B5E55" w:rsidRDefault="009B5E55" w:rsidP="009B5E55"/>
    <w:p w14:paraId="36C78498" w14:textId="77777777" w:rsidR="009B5E55" w:rsidRDefault="009B5E55" w:rsidP="009B5E55">
      <w:r w:rsidRPr="009B5E55">
        <w:t xml:space="preserve">Court security is the provision of security services (excluding custody) and generally includes court orderlies, gallery guards, perimeter security to external premises and internal security of public areas within major courts. </w:t>
      </w:r>
    </w:p>
    <w:p w14:paraId="1F36834D" w14:textId="77777777" w:rsidR="009B5E55" w:rsidRPr="009B5E55" w:rsidRDefault="009B5E55" w:rsidP="009B5E55"/>
    <w:p w14:paraId="0957F0C6" w14:textId="77777777" w:rsidR="009B5E55" w:rsidRDefault="009B5E55" w:rsidP="009B5E55">
      <w:r w:rsidRPr="009B5E55">
        <w:t>Court custody is the provision of security services within the court custody centre and the secure circulation paths leading to and from courtrooms. This includes dock guards in courtrooms for the management of persons in custody, and the management of custody centres where one forms part of a court complex.</w:t>
      </w:r>
    </w:p>
    <w:p w14:paraId="0DBCA091" w14:textId="77777777" w:rsidR="009B5E55" w:rsidRDefault="009B5E55" w:rsidP="00CC430C">
      <w:pPr>
        <w:pStyle w:val="Heading2"/>
      </w:pPr>
      <w:bookmarkStart w:id="12" w:name="_Toc21946127"/>
      <w:r>
        <w:t>Court Custody and Court Security Costs</w:t>
      </w:r>
      <w:bookmarkEnd w:id="12"/>
    </w:p>
    <w:p w14:paraId="18689CD7" w14:textId="77777777" w:rsidR="009B5E55" w:rsidRPr="009B5E55" w:rsidRDefault="009B5E55" w:rsidP="009B5E55">
      <w:r w:rsidRPr="009B5E55">
        <w:t xml:space="preserve">The cost of providing court custody and court security </w:t>
      </w:r>
      <w:r w:rsidRPr="00310FA1">
        <w:t>services between 1 July 201</w:t>
      </w:r>
      <w:r w:rsidR="00174F73" w:rsidRPr="00310FA1">
        <w:t>8</w:t>
      </w:r>
      <w:r w:rsidRPr="00310FA1">
        <w:t xml:space="preserve"> and 30 June 201</w:t>
      </w:r>
      <w:r w:rsidR="00174F73" w:rsidRPr="00310FA1">
        <w:t>9</w:t>
      </w:r>
      <w:r w:rsidRPr="00310FA1">
        <w:t xml:space="preserve">, for metropolitan and regional courts was </w:t>
      </w:r>
      <w:r w:rsidR="00031230" w:rsidRPr="00310FA1">
        <w:rPr>
          <w:rFonts w:cs="Arial"/>
        </w:rPr>
        <w:t>$</w:t>
      </w:r>
      <w:r w:rsidR="00310FA1" w:rsidRPr="00310FA1">
        <w:rPr>
          <w:rFonts w:cs="Arial"/>
        </w:rPr>
        <w:t>24,171,577</w:t>
      </w:r>
      <w:r w:rsidRPr="00310FA1">
        <w:t>.</w:t>
      </w:r>
    </w:p>
    <w:p w14:paraId="329260AD" w14:textId="77777777" w:rsidR="00B07F26" w:rsidRPr="00A430E4" w:rsidRDefault="00B07F26" w:rsidP="00A430E4">
      <w:pPr>
        <w:pStyle w:val="Heading2"/>
      </w:pPr>
      <w:bookmarkStart w:id="13" w:name="_Toc21946128"/>
      <w:r w:rsidRPr="00A430E4">
        <w:t>Industrial Dispute</w:t>
      </w:r>
      <w:bookmarkEnd w:id="13"/>
    </w:p>
    <w:p w14:paraId="3493A4D1" w14:textId="77777777" w:rsidR="00B07F26" w:rsidRDefault="00B07F26" w:rsidP="00B07F26">
      <w:r w:rsidRPr="008D0FFD">
        <w:t>Broadspectrum had been engaged with the Transport Workers Union (TWU) over the period February 2018 to January 2019 to establish a new Enterprise Agreement (EA).</w:t>
      </w:r>
      <w:r>
        <w:t xml:space="preserve"> </w:t>
      </w:r>
    </w:p>
    <w:p w14:paraId="1F26A2D8" w14:textId="77777777" w:rsidR="00B07F26" w:rsidRDefault="00B07F26" w:rsidP="00B07F26"/>
    <w:p w14:paraId="284205CC" w14:textId="77777777" w:rsidR="00B07F26" w:rsidRDefault="00B07F26" w:rsidP="00B07F26">
      <w:r w:rsidRPr="008D0FFD">
        <w:t>A number of protected actions had been proposed by the TWU ov</w:t>
      </w:r>
      <w:r>
        <w:t>er the period most of which w</w:t>
      </w:r>
      <w:r w:rsidRPr="008D0FFD">
        <w:t>ere suspended in the Fair Work Commission (FWC).</w:t>
      </w:r>
    </w:p>
    <w:p w14:paraId="07E527F9" w14:textId="77777777" w:rsidR="00B07F26" w:rsidRPr="008D0FFD" w:rsidRDefault="00B07F26" w:rsidP="00B07F26"/>
    <w:p w14:paraId="7D3B2C28" w14:textId="77777777" w:rsidR="00B07F26" w:rsidRPr="008D0FFD" w:rsidRDefault="00B07F26" w:rsidP="00B07F26">
      <w:r w:rsidRPr="008D0FFD">
        <w:t>The EA was successfully voted on in January 2019, ra</w:t>
      </w:r>
      <w:r>
        <w:t>tified in the FWC on the 7 July </w:t>
      </w:r>
      <w:r w:rsidRPr="008D0FFD">
        <w:t>2019, and implemented 20 August 2019.</w:t>
      </w:r>
    </w:p>
    <w:p w14:paraId="0055A67F" w14:textId="77777777" w:rsidR="009B5E55" w:rsidRDefault="009B5E55">
      <w:r>
        <w:br w:type="page"/>
      </w:r>
    </w:p>
    <w:p w14:paraId="70E10710" w14:textId="77777777" w:rsidR="009B5E55" w:rsidRDefault="004F2C91" w:rsidP="009B5E55">
      <w:pPr>
        <w:pStyle w:val="Heading1"/>
      </w:pPr>
      <w:bookmarkStart w:id="14" w:name="_Toc21946129"/>
      <w:r>
        <w:t>Contract Compliance</w:t>
      </w:r>
      <w:bookmarkEnd w:id="14"/>
    </w:p>
    <w:p w14:paraId="03D8E21C" w14:textId="77777777" w:rsidR="009B5E55" w:rsidRDefault="009B5E55" w:rsidP="009B5E55">
      <w:r w:rsidRPr="009B5E55">
        <w:t xml:space="preserve">The Contract operates under a defined governance framework that is overseen by the CS&amp;CS Board. The purpose of the Board is to provide direction and advice on strategic and policy issues that affect the management and provision of services under the Contract. The Board is chaired by the </w:t>
      </w:r>
      <w:r w:rsidR="008B53D1">
        <w:t>Commissioner of Corrective Services</w:t>
      </w:r>
      <w:r w:rsidR="00E91438">
        <w:t xml:space="preserve"> and includes representatives from WA Police </w:t>
      </w:r>
      <w:r w:rsidR="00FA25C2">
        <w:t>Force,</w:t>
      </w:r>
      <w:r w:rsidR="00E91438">
        <w:t xml:space="preserve"> Courts</w:t>
      </w:r>
      <w:r w:rsidR="00FA25C2">
        <w:t xml:space="preserve"> and the Contractor, Broadspectrum </w:t>
      </w:r>
    </w:p>
    <w:p w14:paraId="32670040" w14:textId="77777777" w:rsidR="008B53D1" w:rsidRPr="009B5E55" w:rsidRDefault="008B53D1" w:rsidP="009B5E55"/>
    <w:p w14:paraId="348153F1" w14:textId="77777777" w:rsidR="009B5E55" w:rsidRPr="009B5E55" w:rsidRDefault="009B5E55" w:rsidP="00C56609">
      <w:r w:rsidRPr="009B5E55">
        <w:t xml:space="preserve">The objectives of the Board are to: </w:t>
      </w:r>
    </w:p>
    <w:p w14:paraId="607E2355" w14:textId="77777777" w:rsidR="009B5E55" w:rsidRPr="009B5E55" w:rsidRDefault="009B5E55" w:rsidP="00A430E4">
      <w:pPr>
        <w:pStyle w:val="ListBullet"/>
      </w:pPr>
      <w:r w:rsidRPr="009B5E55">
        <w:t xml:space="preserve">Examine and resolve strategic issues that affect the Contract; </w:t>
      </w:r>
    </w:p>
    <w:p w14:paraId="621E6B76" w14:textId="77777777" w:rsidR="009B5E55" w:rsidRPr="009B5E55" w:rsidRDefault="009B5E55" w:rsidP="00A430E4">
      <w:pPr>
        <w:pStyle w:val="ListBullet"/>
      </w:pPr>
      <w:r w:rsidRPr="009B5E55">
        <w:t xml:space="preserve">Ensure compliance requirements are met; </w:t>
      </w:r>
    </w:p>
    <w:p w14:paraId="440D8A2C" w14:textId="77777777" w:rsidR="009B5E55" w:rsidRPr="009B5E55" w:rsidRDefault="009B5E55" w:rsidP="00A430E4">
      <w:pPr>
        <w:pStyle w:val="ListBullet"/>
      </w:pPr>
      <w:r w:rsidRPr="009B5E55">
        <w:t xml:space="preserve">Facilitate improvements in the performance of the Contract; </w:t>
      </w:r>
    </w:p>
    <w:p w14:paraId="567AA0EF" w14:textId="77777777" w:rsidR="009B5E55" w:rsidRPr="009B5E55" w:rsidRDefault="009B5E55" w:rsidP="00A430E4">
      <w:pPr>
        <w:pStyle w:val="ListBullet"/>
      </w:pPr>
      <w:r w:rsidRPr="009B5E55">
        <w:t xml:space="preserve">Review the ongoing relevance of aspects of the Contract; </w:t>
      </w:r>
    </w:p>
    <w:p w14:paraId="397CE0B1" w14:textId="77777777" w:rsidR="009B5E55" w:rsidRPr="009B5E55" w:rsidRDefault="009B5E55" w:rsidP="00A430E4">
      <w:pPr>
        <w:pStyle w:val="ListBullet"/>
      </w:pPr>
      <w:r w:rsidRPr="009B5E55">
        <w:t xml:space="preserve">Provide a forum for co-ordination of relevant budget processes; and </w:t>
      </w:r>
    </w:p>
    <w:p w14:paraId="06C4C769" w14:textId="77777777" w:rsidR="009B5E55" w:rsidRPr="009B5E55" w:rsidRDefault="009B5E55" w:rsidP="00A430E4">
      <w:pPr>
        <w:pStyle w:val="ListBullet"/>
      </w:pPr>
      <w:r w:rsidRPr="009B5E55">
        <w:t xml:space="preserve">Ensure that planning priorities inform the budget process. </w:t>
      </w:r>
    </w:p>
    <w:p w14:paraId="4622CA35" w14:textId="77777777" w:rsidR="009B5E55" w:rsidRDefault="006F6E61" w:rsidP="00CC430C">
      <w:pPr>
        <w:pStyle w:val="Heading2"/>
      </w:pPr>
      <w:bookmarkStart w:id="15" w:name="_Toc21946130"/>
      <w:r w:rsidRPr="006F6E61">
        <w:t>Description of Service</w:t>
      </w:r>
      <w:bookmarkEnd w:id="15"/>
    </w:p>
    <w:p w14:paraId="3FB41C89" w14:textId="77777777" w:rsidR="000D278A" w:rsidRDefault="000D278A" w:rsidP="00825077">
      <w:r w:rsidRPr="000D278A">
        <w:t xml:space="preserve">Departmental staff monitor services provided by the Contractor through regular site visits as well as specific site reviews. </w:t>
      </w:r>
    </w:p>
    <w:p w14:paraId="7BB77FF8" w14:textId="77777777" w:rsidR="00875BA8" w:rsidRDefault="00875BA8" w:rsidP="00825077"/>
    <w:p w14:paraId="49B542E1" w14:textId="77777777" w:rsidR="00955221" w:rsidRPr="00955221" w:rsidRDefault="00955221" w:rsidP="00825077">
      <w:r w:rsidRPr="00955221">
        <w:t>Four</w:t>
      </w:r>
      <w:r w:rsidR="00875BA8" w:rsidRPr="00955221">
        <w:t xml:space="preserve"> Compliance Review</w:t>
      </w:r>
      <w:r w:rsidRPr="00955221">
        <w:t>s</w:t>
      </w:r>
      <w:r w:rsidR="00875BA8" w:rsidRPr="00955221">
        <w:t xml:space="preserve"> </w:t>
      </w:r>
      <w:r w:rsidRPr="00955221">
        <w:t>were</w:t>
      </w:r>
      <w:r w:rsidR="00875BA8" w:rsidRPr="00955221">
        <w:t xml:space="preserve"> undertaken in </w:t>
      </w:r>
      <w:r w:rsidR="00637885" w:rsidRPr="00955221">
        <w:t>the 201</w:t>
      </w:r>
      <w:r w:rsidR="00174F73" w:rsidRPr="00955221">
        <w:t>8</w:t>
      </w:r>
      <w:r w:rsidR="00637885" w:rsidRPr="00955221">
        <w:t>/1</w:t>
      </w:r>
      <w:r w:rsidR="00174F73" w:rsidRPr="00955221">
        <w:t>9</w:t>
      </w:r>
      <w:r w:rsidRPr="00955221">
        <w:t xml:space="preserve"> financial year.</w:t>
      </w:r>
    </w:p>
    <w:p w14:paraId="49D3A042" w14:textId="77777777" w:rsidR="00955221" w:rsidRPr="00955221" w:rsidRDefault="00955221" w:rsidP="00A430E4">
      <w:pPr>
        <w:pStyle w:val="ListBullet"/>
      </w:pPr>
      <w:r w:rsidRPr="00955221">
        <w:t>A review of Kalgoorlie Court was conducted in February 2019.</w:t>
      </w:r>
    </w:p>
    <w:p w14:paraId="56B7DABE" w14:textId="77777777" w:rsidR="00955221" w:rsidRPr="00955221" w:rsidRDefault="00955221" w:rsidP="00A430E4">
      <w:pPr>
        <w:pStyle w:val="ListBullet"/>
      </w:pPr>
      <w:r w:rsidRPr="00955221">
        <w:t>A review of South Hedland Court was conducted in March 2019.</w:t>
      </w:r>
    </w:p>
    <w:p w14:paraId="664F91E6" w14:textId="77777777" w:rsidR="00955221" w:rsidRPr="00955221" w:rsidRDefault="00955221" w:rsidP="00A430E4">
      <w:pPr>
        <w:pStyle w:val="ListBullet"/>
      </w:pPr>
      <w:r w:rsidRPr="00955221">
        <w:t>A review of Geraldton Court was conducted in April 2019.</w:t>
      </w:r>
    </w:p>
    <w:p w14:paraId="159D0D75" w14:textId="77777777" w:rsidR="00637885" w:rsidRPr="00955221" w:rsidRDefault="00955221" w:rsidP="00A430E4">
      <w:pPr>
        <w:pStyle w:val="ListBullet"/>
      </w:pPr>
      <w:r w:rsidRPr="00955221">
        <w:t>A review of Broome Court was conducted in May 2019.</w:t>
      </w:r>
    </w:p>
    <w:p w14:paraId="451A005E" w14:textId="77777777" w:rsidR="00875BA8" w:rsidRPr="000D278A" w:rsidRDefault="00875BA8" w:rsidP="00825077"/>
    <w:p w14:paraId="118CFF33" w14:textId="77777777" w:rsidR="000D278A" w:rsidRDefault="000D278A" w:rsidP="00825077">
      <w:r w:rsidRPr="000D278A">
        <w:t xml:space="preserve">Table 2 below, identifies the number of visits per location to undertake monitoring activities at both metropolitan and regional sites </w:t>
      </w:r>
      <w:r w:rsidR="004F1019">
        <w:t>where</w:t>
      </w:r>
      <w:r w:rsidRPr="000D278A">
        <w:t xml:space="preserve"> Broadspectrum</w:t>
      </w:r>
      <w:r w:rsidR="004F1019">
        <w:t xml:space="preserve"> provide a service</w:t>
      </w:r>
      <w:r w:rsidRPr="000D278A">
        <w:t xml:space="preserve">. </w:t>
      </w:r>
    </w:p>
    <w:p w14:paraId="69271454" w14:textId="77777777" w:rsidR="000D278A" w:rsidRPr="000D278A" w:rsidRDefault="000D278A" w:rsidP="000D278A"/>
    <w:p w14:paraId="1B43BB53" w14:textId="77777777" w:rsidR="00E232AC" w:rsidRDefault="00E232AC" w:rsidP="00A81117">
      <w:pPr>
        <w:pStyle w:val="TableofFigures"/>
      </w:pPr>
      <w:r w:rsidRPr="00E666E5">
        <w:t xml:space="preserve">Table </w:t>
      </w:r>
      <w:r>
        <w:t>2</w:t>
      </w:r>
      <w:r w:rsidRPr="00E666E5">
        <w:t xml:space="preserve">. </w:t>
      </w:r>
      <w:r w:rsidRPr="002E6AE1">
        <w:t>Schedule</w:t>
      </w:r>
      <w:r w:rsidR="00825077">
        <w:t xml:space="preserve"> of Monitoring Visits Completed</w:t>
      </w:r>
    </w:p>
    <w:tbl>
      <w:tblPr>
        <w:tblStyle w:val="TableGrid"/>
        <w:tblW w:w="9214" w:type="dxa"/>
        <w:tblInd w:w="-5" w:type="dxa"/>
        <w:tblLayout w:type="fixed"/>
        <w:tblCellMar>
          <w:left w:w="85" w:type="dxa"/>
          <w:right w:w="85" w:type="dxa"/>
        </w:tblCellMar>
        <w:tblLook w:val="04A0" w:firstRow="1" w:lastRow="0" w:firstColumn="1" w:lastColumn="0" w:noHBand="0" w:noVBand="1"/>
      </w:tblPr>
      <w:tblGrid>
        <w:gridCol w:w="2552"/>
        <w:gridCol w:w="567"/>
        <w:gridCol w:w="2201"/>
        <w:gridCol w:w="776"/>
        <w:gridCol w:w="2268"/>
        <w:gridCol w:w="850"/>
      </w:tblGrid>
      <w:tr w:rsidR="00E232AC" w:rsidRPr="00961EF2" w14:paraId="209DCF28" w14:textId="77777777" w:rsidTr="00C56609">
        <w:trPr>
          <w:trHeight w:val="483"/>
          <w:tblHeader/>
        </w:trPr>
        <w:tc>
          <w:tcPr>
            <w:tcW w:w="9214" w:type="dxa"/>
            <w:gridSpan w:val="6"/>
            <w:shd w:val="clear" w:color="auto" w:fill="BFBFBF" w:themeFill="background1" w:themeFillShade="BF"/>
            <w:vAlign w:val="center"/>
          </w:tcPr>
          <w:p w14:paraId="10762CB5" w14:textId="77777777" w:rsidR="00E232AC" w:rsidRPr="00961EF2" w:rsidRDefault="00E232AC" w:rsidP="000B58AB">
            <w:pPr>
              <w:pStyle w:val="Tableheading"/>
              <w:rPr>
                <w:color w:val="000000"/>
              </w:rPr>
            </w:pPr>
            <w:r w:rsidRPr="00961EF2">
              <w:t>Monitoring Visits Completed</w:t>
            </w:r>
          </w:p>
        </w:tc>
      </w:tr>
      <w:tr w:rsidR="00C56609" w:rsidRPr="00961EF2" w14:paraId="7F45B552" w14:textId="77777777" w:rsidTr="00C56609">
        <w:tc>
          <w:tcPr>
            <w:tcW w:w="2552" w:type="dxa"/>
            <w:vAlign w:val="center"/>
          </w:tcPr>
          <w:p w14:paraId="6120FC3C" w14:textId="77777777" w:rsidR="002C5502" w:rsidRPr="00637885" w:rsidRDefault="002C5502" w:rsidP="000B58AB">
            <w:pPr>
              <w:pStyle w:val="Tabledata"/>
            </w:pPr>
            <w:r w:rsidRPr="00637885">
              <w:t>Airport - Maroomba</w:t>
            </w:r>
          </w:p>
        </w:tc>
        <w:tc>
          <w:tcPr>
            <w:tcW w:w="567" w:type="dxa"/>
            <w:vAlign w:val="center"/>
          </w:tcPr>
          <w:p w14:paraId="4979674F" w14:textId="77777777" w:rsidR="002C5502" w:rsidRPr="00637885" w:rsidRDefault="002C5502" w:rsidP="000B58AB">
            <w:pPr>
              <w:pStyle w:val="Tabledata"/>
            </w:pPr>
            <w:r>
              <w:t>31</w:t>
            </w:r>
          </w:p>
        </w:tc>
        <w:tc>
          <w:tcPr>
            <w:tcW w:w="2201" w:type="dxa"/>
            <w:vAlign w:val="center"/>
          </w:tcPr>
          <w:p w14:paraId="517D0F8D" w14:textId="24CB757B" w:rsidR="002C5502" w:rsidRPr="00CC27A1" w:rsidRDefault="002C5502" w:rsidP="000B58AB">
            <w:pPr>
              <w:pStyle w:val="Tabledata"/>
            </w:pPr>
            <w:r w:rsidRPr="00CC27A1">
              <w:t>Rockingham Court</w:t>
            </w:r>
          </w:p>
        </w:tc>
        <w:tc>
          <w:tcPr>
            <w:tcW w:w="776" w:type="dxa"/>
            <w:vAlign w:val="center"/>
          </w:tcPr>
          <w:p w14:paraId="45CA637F" w14:textId="2C66BC1D" w:rsidR="002C5502" w:rsidRPr="00CC27A1" w:rsidRDefault="002C5502" w:rsidP="000B58AB">
            <w:pPr>
              <w:pStyle w:val="Tabledata"/>
            </w:pPr>
            <w:r>
              <w:t>37</w:t>
            </w:r>
          </w:p>
        </w:tc>
        <w:tc>
          <w:tcPr>
            <w:tcW w:w="2268" w:type="dxa"/>
            <w:vAlign w:val="center"/>
          </w:tcPr>
          <w:p w14:paraId="0057DFB9" w14:textId="281B184E" w:rsidR="002C5502" w:rsidRPr="00CC27A1" w:rsidRDefault="002C5502" w:rsidP="000B58AB">
            <w:pPr>
              <w:pStyle w:val="Tabledata"/>
            </w:pPr>
            <w:r w:rsidRPr="00CC27A1">
              <w:t>Sir Charles Gairdner Hospital</w:t>
            </w:r>
          </w:p>
        </w:tc>
        <w:tc>
          <w:tcPr>
            <w:tcW w:w="850" w:type="dxa"/>
            <w:vAlign w:val="center"/>
          </w:tcPr>
          <w:p w14:paraId="462E74DA" w14:textId="32802FE5" w:rsidR="002C5502" w:rsidRPr="00CC27A1" w:rsidRDefault="002C5502" w:rsidP="000B58AB">
            <w:pPr>
              <w:pStyle w:val="Tabledata"/>
            </w:pPr>
            <w:r>
              <w:t>25</w:t>
            </w:r>
          </w:p>
        </w:tc>
      </w:tr>
      <w:tr w:rsidR="00C56609" w:rsidRPr="00961EF2" w14:paraId="26E604C4" w14:textId="77777777" w:rsidTr="00C56609">
        <w:tc>
          <w:tcPr>
            <w:tcW w:w="2552" w:type="dxa"/>
            <w:vAlign w:val="center"/>
          </w:tcPr>
          <w:p w14:paraId="544ACFEC" w14:textId="70F82A99" w:rsidR="002C5502" w:rsidRPr="00637885" w:rsidRDefault="002C5502" w:rsidP="000B58AB">
            <w:pPr>
              <w:pStyle w:val="Tabledata"/>
            </w:pPr>
            <w:r>
              <w:t>Cathedral Precinct</w:t>
            </w:r>
          </w:p>
        </w:tc>
        <w:tc>
          <w:tcPr>
            <w:tcW w:w="567" w:type="dxa"/>
            <w:vAlign w:val="center"/>
          </w:tcPr>
          <w:p w14:paraId="55178180" w14:textId="7B87296A" w:rsidR="002C5502" w:rsidRDefault="002C5502" w:rsidP="000B58AB">
            <w:pPr>
              <w:pStyle w:val="Tabledata"/>
            </w:pPr>
            <w:r>
              <w:t>31</w:t>
            </w:r>
          </w:p>
        </w:tc>
        <w:tc>
          <w:tcPr>
            <w:tcW w:w="2201" w:type="dxa"/>
            <w:vAlign w:val="center"/>
          </w:tcPr>
          <w:p w14:paraId="01CFF381" w14:textId="768BD343" w:rsidR="002C5502" w:rsidRPr="00CC27A1" w:rsidRDefault="002C5502" w:rsidP="000B58AB">
            <w:pPr>
              <w:pStyle w:val="Tabledata"/>
            </w:pPr>
            <w:r w:rsidRPr="00CC27A1">
              <w:t>State Administrative Tribunal</w:t>
            </w:r>
          </w:p>
        </w:tc>
        <w:tc>
          <w:tcPr>
            <w:tcW w:w="776" w:type="dxa"/>
            <w:vAlign w:val="center"/>
          </w:tcPr>
          <w:p w14:paraId="21BD53D6" w14:textId="6D34A2A1" w:rsidR="002C5502" w:rsidRPr="00CC27A1" w:rsidRDefault="002C5502" w:rsidP="000B58AB">
            <w:pPr>
              <w:pStyle w:val="Tabledata"/>
            </w:pPr>
            <w:r>
              <w:t>25</w:t>
            </w:r>
          </w:p>
        </w:tc>
        <w:tc>
          <w:tcPr>
            <w:tcW w:w="2268" w:type="dxa"/>
            <w:vAlign w:val="center"/>
          </w:tcPr>
          <w:p w14:paraId="77460684" w14:textId="1F770FA3" w:rsidR="002C5502" w:rsidRPr="00CC27A1" w:rsidRDefault="002C5502" w:rsidP="000B58AB">
            <w:pPr>
              <w:pStyle w:val="Tabledata"/>
            </w:pPr>
            <w:r>
              <w:t>South West Health Campus</w:t>
            </w:r>
          </w:p>
        </w:tc>
        <w:tc>
          <w:tcPr>
            <w:tcW w:w="850" w:type="dxa"/>
            <w:vAlign w:val="center"/>
          </w:tcPr>
          <w:p w14:paraId="5474FBA0" w14:textId="359FA646" w:rsidR="002C5502" w:rsidRDefault="002C5502" w:rsidP="000B58AB">
            <w:pPr>
              <w:pStyle w:val="Tabledata"/>
            </w:pPr>
            <w:r>
              <w:t>1</w:t>
            </w:r>
          </w:p>
        </w:tc>
      </w:tr>
      <w:tr w:rsidR="00C56609" w:rsidRPr="00961EF2" w14:paraId="35B83D01" w14:textId="77777777" w:rsidTr="00C56609">
        <w:trPr>
          <w:trHeight w:val="459"/>
        </w:trPr>
        <w:tc>
          <w:tcPr>
            <w:tcW w:w="2552" w:type="dxa"/>
            <w:vAlign w:val="center"/>
          </w:tcPr>
          <w:p w14:paraId="304A091F" w14:textId="77777777" w:rsidR="002C5502" w:rsidRPr="00637885" w:rsidRDefault="002C5502" w:rsidP="000B58AB">
            <w:pPr>
              <w:pStyle w:val="Tabledata"/>
            </w:pPr>
            <w:r w:rsidRPr="00637885">
              <w:t>Armadale Court</w:t>
            </w:r>
          </w:p>
        </w:tc>
        <w:tc>
          <w:tcPr>
            <w:tcW w:w="567" w:type="dxa"/>
            <w:vAlign w:val="center"/>
          </w:tcPr>
          <w:p w14:paraId="234CA755" w14:textId="77777777" w:rsidR="002C5502" w:rsidRPr="00637885" w:rsidRDefault="002C5502" w:rsidP="000B58AB">
            <w:pPr>
              <w:pStyle w:val="Tabledata"/>
            </w:pPr>
            <w:r>
              <w:t>44</w:t>
            </w:r>
          </w:p>
        </w:tc>
        <w:tc>
          <w:tcPr>
            <w:tcW w:w="2201" w:type="dxa"/>
            <w:vAlign w:val="center"/>
          </w:tcPr>
          <w:p w14:paraId="4EBC1CC7" w14:textId="095ACDF6" w:rsidR="002C5502" w:rsidRPr="00CC27A1" w:rsidRDefault="002C5502" w:rsidP="000B58AB">
            <w:pPr>
              <w:pStyle w:val="Tabledata"/>
            </w:pPr>
            <w:r w:rsidRPr="00CC27A1">
              <w:t xml:space="preserve">Supreme </w:t>
            </w:r>
            <w:r w:rsidR="000B58AB">
              <w:t>Court and</w:t>
            </w:r>
            <w:r w:rsidRPr="00CC27A1">
              <w:t xml:space="preserve"> Stirling Gardens</w:t>
            </w:r>
          </w:p>
        </w:tc>
        <w:tc>
          <w:tcPr>
            <w:tcW w:w="776" w:type="dxa"/>
            <w:vAlign w:val="center"/>
          </w:tcPr>
          <w:p w14:paraId="21A8E147" w14:textId="704041D7" w:rsidR="002C5502" w:rsidRPr="00CC27A1" w:rsidRDefault="002C5502" w:rsidP="000B58AB">
            <w:pPr>
              <w:pStyle w:val="Tabledata"/>
            </w:pPr>
            <w:r>
              <w:t>73</w:t>
            </w:r>
          </w:p>
        </w:tc>
        <w:tc>
          <w:tcPr>
            <w:tcW w:w="2268" w:type="dxa"/>
            <w:vAlign w:val="center"/>
          </w:tcPr>
          <w:p w14:paraId="66D7123E" w14:textId="48BA9EE6" w:rsidR="002C5502" w:rsidRPr="001C3ADD" w:rsidRDefault="002C5502" w:rsidP="000B58AB">
            <w:pPr>
              <w:pStyle w:val="Tabledata"/>
            </w:pPr>
            <w:r w:rsidRPr="00CC27A1">
              <w:t>St John of God Hospital</w:t>
            </w:r>
          </w:p>
        </w:tc>
        <w:tc>
          <w:tcPr>
            <w:tcW w:w="850" w:type="dxa"/>
            <w:vAlign w:val="center"/>
          </w:tcPr>
          <w:p w14:paraId="63E3D03A" w14:textId="3A6EC4BB" w:rsidR="002C5502" w:rsidRPr="001C3ADD" w:rsidRDefault="002C5502" w:rsidP="000B58AB">
            <w:pPr>
              <w:pStyle w:val="Tabledata"/>
            </w:pPr>
            <w:r>
              <w:t>4</w:t>
            </w:r>
          </w:p>
        </w:tc>
      </w:tr>
      <w:tr w:rsidR="00C56609" w:rsidRPr="00961EF2" w14:paraId="40B7817A" w14:textId="77777777" w:rsidTr="00C56609">
        <w:tc>
          <w:tcPr>
            <w:tcW w:w="2552" w:type="dxa"/>
            <w:vAlign w:val="center"/>
          </w:tcPr>
          <w:p w14:paraId="78091378" w14:textId="77777777" w:rsidR="002C5502" w:rsidRPr="00637885" w:rsidRDefault="002C5502" w:rsidP="000B58AB">
            <w:pPr>
              <w:pStyle w:val="Tabledata"/>
            </w:pPr>
            <w:r w:rsidRPr="00637885">
              <w:t>District Court Building /Central Law Courts</w:t>
            </w:r>
          </w:p>
        </w:tc>
        <w:tc>
          <w:tcPr>
            <w:tcW w:w="567" w:type="dxa"/>
            <w:vAlign w:val="center"/>
          </w:tcPr>
          <w:p w14:paraId="0F3CE712" w14:textId="77777777" w:rsidR="002C5502" w:rsidRPr="00637885" w:rsidRDefault="002C5502" w:rsidP="000B58AB">
            <w:pPr>
              <w:pStyle w:val="Tabledata"/>
            </w:pPr>
            <w:r>
              <w:t>95</w:t>
            </w:r>
          </w:p>
        </w:tc>
        <w:tc>
          <w:tcPr>
            <w:tcW w:w="2201" w:type="dxa"/>
            <w:vAlign w:val="center"/>
          </w:tcPr>
          <w:p w14:paraId="2E795669" w14:textId="6C2AD2D5" w:rsidR="002C5502" w:rsidRPr="00CC27A1" w:rsidRDefault="002C5502" w:rsidP="000B58AB">
            <w:pPr>
              <w:pStyle w:val="Tabledata"/>
            </w:pPr>
            <w:r w:rsidRPr="00CC27A1">
              <w:t>Fiona Stanley Hospital Secure Unit</w:t>
            </w:r>
          </w:p>
        </w:tc>
        <w:tc>
          <w:tcPr>
            <w:tcW w:w="776" w:type="dxa"/>
            <w:vAlign w:val="center"/>
          </w:tcPr>
          <w:p w14:paraId="7FF4CECF" w14:textId="41E72DCA" w:rsidR="002C5502" w:rsidRPr="00CC27A1" w:rsidRDefault="002C5502" w:rsidP="000B58AB">
            <w:pPr>
              <w:pStyle w:val="Tabledata"/>
            </w:pPr>
            <w:r>
              <w:t>45</w:t>
            </w:r>
          </w:p>
        </w:tc>
        <w:tc>
          <w:tcPr>
            <w:tcW w:w="2268" w:type="dxa"/>
            <w:vAlign w:val="center"/>
          </w:tcPr>
          <w:p w14:paraId="6DAEE524" w14:textId="467E1858" w:rsidR="002C5502" w:rsidRPr="001C3ADD" w:rsidRDefault="002C5502" w:rsidP="000B58AB">
            <w:pPr>
              <w:pStyle w:val="Tabledata"/>
            </w:pPr>
            <w:r w:rsidRPr="00CC27A1">
              <w:t>Funerals</w:t>
            </w:r>
          </w:p>
        </w:tc>
        <w:tc>
          <w:tcPr>
            <w:tcW w:w="850" w:type="dxa"/>
            <w:vAlign w:val="center"/>
          </w:tcPr>
          <w:p w14:paraId="69997F5A" w14:textId="6E78BCB6" w:rsidR="002C5502" w:rsidRPr="001C3ADD" w:rsidRDefault="002C5502" w:rsidP="000B58AB">
            <w:pPr>
              <w:pStyle w:val="Tabledata"/>
            </w:pPr>
            <w:r>
              <w:t>11</w:t>
            </w:r>
          </w:p>
        </w:tc>
      </w:tr>
      <w:tr w:rsidR="00C56609" w:rsidRPr="00961EF2" w14:paraId="117C067F" w14:textId="77777777" w:rsidTr="00C56609">
        <w:tc>
          <w:tcPr>
            <w:tcW w:w="2552" w:type="dxa"/>
            <w:vAlign w:val="center"/>
          </w:tcPr>
          <w:p w14:paraId="5AEF00BB" w14:textId="77777777" w:rsidR="002C5502" w:rsidRPr="00637885" w:rsidRDefault="002C5502" w:rsidP="000B58AB">
            <w:pPr>
              <w:pStyle w:val="Tabledata"/>
            </w:pPr>
            <w:r w:rsidRPr="00637885">
              <w:t>Fremantle Court</w:t>
            </w:r>
          </w:p>
        </w:tc>
        <w:tc>
          <w:tcPr>
            <w:tcW w:w="567" w:type="dxa"/>
            <w:vAlign w:val="center"/>
          </w:tcPr>
          <w:p w14:paraId="1DFBF6DA" w14:textId="77777777" w:rsidR="002C5502" w:rsidRPr="00637885" w:rsidRDefault="002C5502" w:rsidP="000B58AB">
            <w:pPr>
              <w:pStyle w:val="Tabledata"/>
            </w:pPr>
            <w:r>
              <w:t>54</w:t>
            </w:r>
          </w:p>
        </w:tc>
        <w:tc>
          <w:tcPr>
            <w:tcW w:w="2201" w:type="dxa"/>
            <w:vAlign w:val="center"/>
          </w:tcPr>
          <w:p w14:paraId="6639D8C4" w14:textId="5CD47453" w:rsidR="002C5502" w:rsidRPr="00CC27A1" w:rsidRDefault="002C5502" w:rsidP="000B58AB">
            <w:pPr>
              <w:pStyle w:val="Tabledata"/>
            </w:pPr>
            <w:r>
              <w:t>Bentley Hospital</w:t>
            </w:r>
          </w:p>
        </w:tc>
        <w:tc>
          <w:tcPr>
            <w:tcW w:w="776" w:type="dxa"/>
            <w:vAlign w:val="center"/>
          </w:tcPr>
          <w:p w14:paraId="543DD3A8" w14:textId="5D7F7B1A" w:rsidR="002C5502" w:rsidRPr="00CC27A1" w:rsidRDefault="002C5502" w:rsidP="000B58AB">
            <w:pPr>
              <w:pStyle w:val="Tabledata"/>
            </w:pPr>
            <w:r>
              <w:t>1</w:t>
            </w:r>
          </w:p>
        </w:tc>
        <w:tc>
          <w:tcPr>
            <w:tcW w:w="2268" w:type="dxa"/>
            <w:vAlign w:val="center"/>
          </w:tcPr>
          <w:p w14:paraId="62EDC8EB" w14:textId="28EC7CAB" w:rsidR="002C5502" w:rsidRPr="001C3ADD" w:rsidRDefault="002C5502" w:rsidP="000B58AB">
            <w:pPr>
              <w:pStyle w:val="Tabledata"/>
            </w:pPr>
            <w:r w:rsidRPr="001C3ADD">
              <w:t>Northbridge PPC</w:t>
            </w:r>
          </w:p>
        </w:tc>
        <w:tc>
          <w:tcPr>
            <w:tcW w:w="850" w:type="dxa"/>
            <w:vAlign w:val="center"/>
          </w:tcPr>
          <w:p w14:paraId="5741C6FF" w14:textId="13776AFD" w:rsidR="002C5502" w:rsidRPr="001C3ADD" w:rsidRDefault="002C5502" w:rsidP="000B58AB">
            <w:pPr>
              <w:pStyle w:val="Tabledata"/>
            </w:pPr>
            <w:r>
              <w:t>52</w:t>
            </w:r>
          </w:p>
        </w:tc>
      </w:tr>
      <w:tr w:rsidR="00C56609" w:rsidRPr="00961EF2" w14:paraId="367D4A64" w14:textId="77777777" w:rsidTr="00C56609">
        <w:trPr>
          <w:trHeight w:val="467"/>
        </w:trPr>
        <w:tc>
          <w:tcPr>
            <w:tcW w:w="2552" w:type="dxa"/>
            <w:vAlign w:val="center"/>
          </w:tcPr>
          <w:p w14:paraId="5E11F227" w14:textId="77777777" w:rsidR="002C5502" w:rsidRPr="00637885" w:rsidRDefault="002C5502" w:rsidP="000B58AB">
            <w:pPr>
              <w:pStyle w:val="Tabledata"/>
            </w:pPr>
            <w:r w:rsidRPr="00637885">
              <w:t>Joondalup Court</w:t>
            </w:r>
          </w:p>
        </w:tc>
        <w:tc>
          <w:tcPr>
            <w:tcW w:w="567" w:type="dxa"/>
            <w:vAlign w:val="center"/>
          </w:tcPr>
          <w:p w14:paraId="7183AEF6" w14:textId="77777777" w:rsidR="002C5502" w:rsidRPr="00637885" w:rsidRDefault="002C5502" w:rsidP="000B58AB">
            <w:pPr>
              <w:pStyle w:val="Tabledata"/>
            </w:pPr>
            <w:r>
              <w:t>51</w:t>
            </w:r>
          </w:p>
        </w:tc>
        <w:tc>
          <w:tcPr>
            <w:tcW w:w="2201" w:type="dxa"/>
            <w:vAlign w:val="center"/>
          </w:tcPr>
          <w:p w14:paraId="63DC09AD" w14:textId="7EA2844F" w:rsidR="002C5502" w:rsidRPr="00CC27A1" w:rsidRDefault="002C5502" w:rsidP="000B58AB">
            <w:pPr>
              <w:pStyle w:val="Tabledata"/>
            </w:pPr>
            <w:r w:rsidRPr="00E57083">
              <w:t>Fiona Stanley Hospital</w:t>
            </w:r>
          </w:p>
        </w:tc>
        <w:tc>
          <w:tcPr>
            <w:tcW w:w="776" w:type="dxa"/>
            <w:vAlign w:val="center"/>
          </w:tcPr>
          <w:p w14:paraId="0B6C2ADC" w14:textId="3BBAD22C" w:rsidR="002C5502" w:rsidRPr="00CC27A1" w:rsidRDefault="002C5502" w:rsidP="000B58AB">
            <w:pPr>
              <w:pStyle w:val="Tabledata"/>
            </w:pPr>
            <w:r>
              <w:t>100</w:t>
            </w:r>
          </w:p>
        </w:tc>
        <w:tc>
          <w:tcPr>
            <w:tcW w:w="2268" w:type="dxa"/>
            <w:vAlign w:val="center"/>
          </w:tcPr>
          <w:p w14:paraId="4FB4FACF" w14:textId="67502E98" w:rsidR="002C5502" w:rsidRPr="00CC27A1" w:rsidRDefault="002C5502" w:rsidP="000B58AB">
            <w:pPr>
              <w:pStyle w:val="Tabledata"/>
            </w:pPr>
            <w:r w:rsidRPr="00CC27A1">
              <w:t>Acacia Prison</w:t>
            </w:r>
          </w:p>
        </w:tc>
        <w:tc>
          <w:tcPr>
            <w:tcW w:w="850" w:type="dxa"/>
            <w:vAlign w:val="center"/>
          </w:tcPr>
          <w:p w14:paraId="6D06BC93" w14:textId="0A187063" w:rsidR="002C5502" w:rsidRPr="00CC27A1" w:rsidRDefault="002C5502" w:rsidP="000B58AB">
            <w:pPr>
              <w:pStyle w:val="Tabledata"/>
            </w:pPr>
            <w:r>
              <w:t>10</w:t>
            </w:r>
          </w:p>
        </w:tc>
      </w:tr>
      <w:tr w:rsidR="00C56609" w:rsidRPr="00961EF2" w14:paraId="1C3E7752" w14:textId="77777777" w:rsidTr="00C56609">
        <w:trPr>
          <w:trHeight w:val="321"/>
        </w:trPr>
        <w:tc>
          <w:tcPr>
            <w:tcW w:w="2552" w:type="dxa"/>
            <w:vAlign w:val="center"/>
          </w:tcPr>
          <w:p w14:paraId="7F9BA2E2" w14:textId="0A36F7D4" w:rsidR="002C5502" w:rsidRPr="00637885" w:rsidRDefault="002C5502" w:rsidP="000B58AB">
            <w:pPr>
              <w:pStyle w:val="Tabledata"/>
            </w:pPr>
            <w:r w:rsidRPr="00637885">
              <w:t>Mandurah Court</w:t>
            </w:r>
          </w:p>
        </w:tc>
        <w:tc>
          <w:tcPr>
            <w:tcW w:w="567" w:type="dxa"/>
            <w:vAlign w:val="center"/>
          </w:tcPr>
          <w:p w14:paraId="10C4C006" w14:textId="79CE3D14" w:rsidR="002C5502" w:rsidRPr="00637885" w:rsidRDefault="002C5502" w:rsidP="000B58AB">
            <w:pPr>
              <w:pStyle w:val="Tabledata"/>
            </w:pPr>
            <w:r>
              <w:t>37</w:t>
            </w:r>
          </w:p>
        </w:tc>
        <w:tc>
          <w:tcPr>
            <w:tcW w:w="2201" w:type="dxa"/>
            <w:vAlign w:val="center"/>
          </w:tcPr>
          <w:p w14:paraId="67076CD6" w14:textId="091DA50D" w:rsidR="002C5502" w:rsidRPr="00CC27A1" w:rsidRDefault="002C5502" w:rsidP="000B58AB">
            <w:pPr>
              <w:pStyle w:val="Tabledata"/>
            </w:pPr>
            <w:r w:rsidRPr="00CC27A1">
              <w:t>Fremantle Hospital</w:t>
            </w:r>
          </w:p>
        </w:tc>
        <w:tc>
          <w:tcPr>
            <w:tcW w:w="776" w:type="dxa"/>
            <w:vAlign w:val="center"/>
          </w:tcPr>
          <w:p w14:paraId="22E73299" w14:textId="515186A3" w:rsidR="002C5502" w:rsidRPr="00CC27A1" w:rsidRDefault="002C5502" w:rsidP="000B58AB">
            <w:pPr>
              <w:pStyle w:val="Tabledata"/>
            </w:pPr>
            <w:r>
              <w:t>29</w:t>
            </w:r>
          </w:p>
        </w:tc>
        <w:tc>
          <w:tcPr>
            <w:tcW w:w="2268" w:type="dxa"/>
            <w:vAlign w:val="center"/>
          </w:tcPr>
          <w:p w14:paraId="1A8CDDCB" w14:textId="5715FCB5" w:rsidR="002C5502" w:rsidRPr="00CC27A1" w:rsidRDefault="000B58AB" w:rsidP="000B58AB">
            <w:pPr>
              <w:pStyle w:val="Tabledata"/>
            </w:pPr>
            <w:r>
              <w:t>Melaleuca Remand and</w:t>
            </w:r>
            <w:r w:rsidR="002C5502">
              <w:t xml:space="preserve"> Reintegration Facility</w:t>
            </w:r>
          </w:p>
        </w:tc>
        <w:tc>
          <w:tcPr>
            <w:tcW w:w="850" w:type="dxa"/>
            <w:vAlign w:val="center"/>
          </w:tcPr>
          <w:p w14:paraId="29256FCB" w14:textId="135FC9B3" w:rsidR="002C5502" w:rsidRPr="00CC27A1" w:rsidRDefault="002C5502" w:rsidP="000B58AB">
            <w:pPr>
              <w:pStyle w:val="Tabledata"/>
            </w:pPr>
            <w:r>
              <w:t>14</w:t>
            </w:r>
          </w:p>
        </w:tc>
      </w:tr>
      <w:tr w:rsidR="00C56609" w:rsidRPr="00961EF2" w14:paraId="1DF911DB" w14:textId="77777777" w:rsidTr="00C56609">
        <w:trPr>
          <w:trHeight w:val="611"/>
        </w:trPr>
        <w:tc>
          <w:tcPr>
            <w:tcW w:w="2552" w:type="dxa"/>
            <w:vAlign w:val="center"/>
          </w:tcPr>
          <w:p w14:paraId="23743D96" w14:textId="780A29E3" w:rsidR="002C5502" w:rsidRDefault="002C5502" w:rsidP="000B58AB">
            <w:pPr>
              <w:pStyle w:val="Tabledata"/>
            </w:pPr>
            <w:r w:rsidRPr="00637885">
              <w:t>Midland Court</w:t>
            </w:r>
          </w:p>
        </w:tc>
        <w:tc>
          <w:tcPr>
            <w:tcW w:w="567" w:type="dxa"/>
            <w:vAlign w:val="center"/>
          </w:tcPr>
          <w:p w14:paraId="3D6B7131" w14:textId="38F5F2F6" w:rsidR="002C5502" w:rsidRDefault="002C5502" w:rsidP="000B58AB">
            <w:pPr>
              <w:pStyle w:val="Tabledata"/>
            </w:pPr>
            <w:r>
              <w:t>49</w:t>
            </w:r>
          </w:p>
        </w:tc>
        <w:tc>
          <w:tcPr>
            <w:tcW w:w="2201" w:type="dxa"/>
            <w:vAlign w:val="center"/>
          </w:tcPr>
          <w:p w14:paraId="5DE24C80" w14:textId="3FA70DC8" w:rsidR="002C5502" w:rsidRPr="00CC27A1" w:rsidRDefault="002C5502" w:rsidP="000B58AB">
            <w:pPr>
              <w:pStyle w:val="Tabledata"/>
            </w:pPr>
            <w:r>
              <w:t>Joondalup Hospital</w:t>
            </w:r>
          </w:p>
        </w:tc>
        <w:tc>
          <w:tcPr>
            <w:tcW w:w="776" w:type="dxa"/>
            <w:vAlign w:val="center"/>
          </w:tcPr>
          <w:p w14:paraId="4D9DB353" w14:textId="06C88116" w:rsidR="002C5502" w:rsidRPr="00CC27A1" w:rsidRDefault="002C5502" w:rsidP="000B58AB">
            <w:pPr>
              <w:pStyle w:val="Tabledata"/>
            </w:pPr>
            <w:r>
              <w:t>5</w:t>
            </w:r>
          </w:p>
        </w:tc>
        <w:tc>
          <w:tcPr>
            <w:tcW w:w="2268" w:type="dxa"/>
            <w:vAlign w:val="center"/>
          </w:tcPr>
          <w:p w14:paraId="35F5556A" w14:textId="5CC98B6D" w:rsidR="002C5502" w:rsidRPr="00CC27A1" w:rsidRDefault="002C5502" w:rsidP="000B58AB">
            <w:pPr>
              <w:pStyle w:val="Tabledata"/>
            </w:pPr>
            <w:r>
              <w:t>Wandoo reintegration Facility</w:t>
            </w:r>
          </w:p>
        </w:tc>
        <w:tc>
          <w:tcPr>
            <w:tcW w:w="850" w:type="dxa"/>
            <w:vAlign w:val="center"/>
          </w:tcPr>
          <w:p w14:paraId="1FDA8A51" w14:textId="3AF6C5AA" w:rsidR="002C5502" w:rsidRPr="00CC27A1" w:rsidRDefault="002C5502" w:rsidP="000B58AB">
            <w:pPr>
              <w:pStyle w:val="Tabledata"/>
            </w:pPr>
            <w:r>
              <w:t>4</w:t>
            </w:r>
          </w:p>
        </w:tc>
      </w:tr>
      <w:tr w:rsidR="00C56609" w:rsidRPr="00961EF2" w14:paraId="47517F7D" w14:textId="77777777" w:rsidTr="00C56609">
        <w:tc>
          <w:tcPr>
            <w:tcW w:w="2552" w:type="dxa"/>
            <w:vAlign w:val="center"/>
          </w:tcPr>
          <w:p w14:paraId="772EBC85" w14:textId="4E7686D5" w:rsidR="002C5502" w:rsidRPr="00637885" w:rsidRDefault="002C5502" w:rsidP="000B58AB">
            <w:pPr>
              <w:pStyle w:val="Tabledata"/>
            </w:pPr>
            <w:r w:rsidRPr="00637885">
              <w:t>Perth Children’s Court</w:t>
            </w:r>
          </w:p>
        </w:tc>
        <w:tc>
          <w:tcPr>
            <w:tcW w:w="567" w:type="dxa"/>
            <w:vAlign w:val="center"/>
          </w:tcPr>
          <w:p w14:paraId="570342D6" w14:textId="341F6D73" w:rsidR="002C5502" w:rsidRPr="00637885" w:rsidRDefault="002C5502" w:rsidP="000B58AB">
            <w:pPr>
              <w:pStyle w:val="Tabledata"/>
            </w:pPr>
            <w:r>
              <w:t>53</w:t>
            </w:r>
          </w:p>
        </w:tc>
        <w:tc>
          <w:tcPr>
            <w:tcW w:w="2201" w:type="dxa"/>
            <w:vAlign w:val="center"/>
          </w:tcPr>
          <w:p w14:paraId="3327E3C9" w14:textId="550CCAC9" w:rsidR="002C5502" w:rsidRPr="00CC27A1" w:rsidRDefault="002C5502" w:rsidP="000B58AB">
            <w:pPr>
              <w:pStyle w:val="Tabledata"/>
            </w:pPr>
            <w:r w:rsidRPr="00CC27A1">
              <w:t>King Edward Memorial Hospital</w:t>
            </w:r>
          </w:p>
        </w:tc>
        <w:tc>
          <w:tcPr>
            <w:tcW w:w="776" w:type="dxa"/>
            <w:vAlign w:val="center"/>
          </w:tcPr>
          <w:p w14:paraId="1C5A59E8" w14:textId="66CC57C9" w:rsidR="002C5502" w:rsidRPr="00CC27A1" w:rsidRDefault="002C5502" w:rsidP="000B58AB">
            <w:pPr>
              <w:pStyle w:val="Tabledata"/>
            </w:pPr>
            <w:r>
              <w:t>12</w:t>
            </w:r>
          </w:p>
        </w:tc>
        <w:tc>
          <w:tcPr>
            <w:tcW w:w="2268" w:type="dxa"/>
            <w:vAlign w:val="center"/>
          </w:tcPr>
          <w:p w14:paraId="5137E27C" w14:textId="2809E845" w:rsidR="002C5502" w:rsidRPr="00CC27A1" w:rsidRDefault="002C5502" w:rsidP="000B58AB">
            <w:pPr>
              <w:pStyle w:val="Tabledata"/>
            </w:pPr>
            <w:r w:rsidRPr="00CC27A1">
              <w:t>Bandyup Women’s Prison</w:t>
            </w:r>
          </w:p>
        </w:tc>
        <w:tc>
          <w:tcPr>
            <w:tcW w:w="850" w:type="dxa"/>
            <w:vAlign w:val="center"/>
          </w:tcPr>
          <w:p w14:paraId="67F89AA4" w14:textId="1F206CEB" w:rsidR="002C5502" w:rsidRPr="00CC27A1" w:rsidRDefault="002C5502" w:rsidP="000B58AB">
            <w:pPr>
              <w:pStyle w:val="Tabledata"/>
            </w:pPr>
            <w:r>
              <w:t>33</w:t>
            </w:r>
          </w:p>
        </w:tc>
      </w:tr>
      <w:tr w:rsidR="00C56609" w:rsidRPr="00961EF2" w14:paraId="150A8B2A" w14:textId="77777777" w:rsidTr="00C56609">
        <w:trPr>
          <w:trHeight w:val="426"/>
        </w:trPr>
        <w:tc>
          <w:tcPr>
            <w:tcW w:w="2552" w:type="dxa"/>
            <w:vAlign w:val="center"/>
          </w:tcPr>
          <w:p w14:paraId="1C94A632" w14:textId="34B6A6FA" w:rsidR="002C5502" w:rsidRPr="00637885" w:rsidRDefault="002C5502" w:rsidP="000B58AB">
            <w:pPr>
              <w:pStyle w:val="Tabledata"/>
            </w:pPr>
            <w:r w:rsidRPr="00637885">
              <w:t>Northbridge Court</w:t>
            </w:r>
          </w:p>
        </w:tc>
        <w:tc>
          <w:tcPr>
            <w:tcW w:w="567" w:type="dxa"/>
            <w:vAlign w:val="center"/>
          </w:tcPr>
          <w:p w14:paraId="0DB88018" w14:textId="5E308243" w:rsidR="002C5502" w:rsidRPr="00637885" w:rsidRDefault="002C5502" w:rsidP="000B58AB">
            <w:pPr>
              <w:pStyle w:val="Tabledata"/>
            </w:pPr>
            <w:r>
              <w:t>19</w:t>
            </w:r>
          </w:p>
        </w:tc>
        <w:tc>
          <w:tcPr>
            <w:tcW w:w="2201" w:type="dxa"/>
            <w:vAlign w:val="center"/>
          </w:tcPr>
          <w:p w14:paraId="7A16C779" w14:textId="4850A0E5" w:rsidR="002C5502" w:rsidRPr="00E57083" w:rsidRDefault="002C5502" w:rsidP="000B58AB">
            <w:pPr>
              <w:pStyle w:val="Tabledata"/>
            </w:pPr>
            <w:r>
              <w:t>Osborne Park Hospital</w:t>
            </w:r>
          </w:p>
        </w:tc>
        <w:tc>
          <w:tcPr>
            <w:tcW w:w="776" w:type="dxa"/>
            <w:vAlign w:val="center"/>
          </w:tcPr>
          <w:p w14:paraId="56EF53FB" w14:textId="58395A17" w:rsidR="002C5502" w:rsidRPr="00E57083" w:rsidRDefault="002C5502" w:rsidP="000B58AB">
            <w:pPr>
              <w:pStyle w:val="Tabledata"/>
            </w:pPr>
            <w:r>
              <w:t>1</w:t>
            </w:r>
          </w:p>
        </w:tc>
        <w:tc>
          <w:tcPr>
            <w:tcW w:w="2268" w:type="dxa"/>
            <w:vAlign w:val="center"/>
          </w:tcPr>
          <w:p w14:paraId="3675BB18" w14:textId="39FF42A5" w:rsidR="002C5502" w:rsidRPr="00CC27A1" w:rsidRDefault="002C5502" w:rsidP="000B58AB">
            <w:pPr>
              <w:pStyle w:val="Tabledata"/>
            </w:pPr>
            <w:r w:rsidRPr="00CC27A1">
              <w:t>Casuarina Prison</w:t>
            </w:r>
          </w:p>
        </w:tc>
        <w:tc>
          <w:tcPr>
            <w:tcW w:w="850" w:type="dxa"/>
            <w:vAlign w:val="center"/>
          </w:tcPr>
          <w:p w14:paraId="5D976BAC" w14:textId="10AC9487" w:rsidR="002C5502" w:rsidRPr="00CC27A1" w:rsidRDefault="002C5502" w:rsidP="000B58AB">
            <w:pPr>
              <w:pStyle w:val="Tabledata"/>
            </w:pPr>
            <w:r>
              <w:t>49</w:t>
            </w:r>
          </w:p>
        </w:tc>
      </w:tr>
      <w:tr w:rsidR="00C56609" w:rsidRPr="00961EF2" w14:paraId="1943F611" w14:textId="77777777" w:rsidTr="00C56609">
        <w:trPr>
          <w:trHeight w:val="560"/>
        </w:trPr>
        <w:tc>
          <w:tcPr>
            <w:tcW w:w="2552" w:type="dxa"/>
            <w:tcBorders>
              <w:bottom w:val="single" w:sz="4" w:space="0" w:color="auto"/>
            </w:tcBorders>
            <w:vAlign w:val="center"/>
          </w:tcPr>
          <w:p w14:paraId="50899064" w14:textId="06021C16" w:rsidR="002C5502" w:rsidRPr="00637885" w:rsidRDefault="002C5502" w:rsidP="000B58AB">
            <w:pPr>
              <w:pStyle w:val="Tabledata"/>
            </w:pPr>
            <w:r w:rsidRPr="00CC27A1">
              <w:t>Family Court</w:t>
            </w:r>
          </w:p>
        </w:tc>
        <w:tc>
          <w:tcPr>
            <w:tcW w:w="567" w:type="dxa"/>
            <w:tcBorders>
              <w:bottom w:val="single" w:sz="4" w:space="0" w:color="auto"/>
            </w:tcBorders>
            <w:vAlign w:val="center"/>
          </w:tcPr>
          <w:p w14:paraId="487526C4" w14:textId="19FC2002" w:rsidR="002C5502" w:rsidRPr="00637885" w:rsidRDefault="002C5502" w:rsidP="000B58AB">
            <w:pPr>
              <w:pStyle w:val="Tabledata"/>
            </w:pPr>
            <w:r>
              <w:t>32</w:t>
            </w:r>
          </w:p>
        </w:tc>
        <w:tc>
          <w:tcPr>
            <w:tcW w:w="2201" w:type="dxa"/>
            <w:tcBorders>
              <w:bottom w:val="single" w:sz="4" w:space="0" w:color="auto"/>
            </w:tcBorders>
            <w:vAlign w:val="center"/>
          </w:tcPr>
          <w:p w14:paraId="515D1042" w14:textId="2B420996" w:rsidR="002C5502" w:rsidRPr="00CC27A1" w:rsidRDefault="002C5502" w:rsidP="000B58AB">
            <w:pPr>
              <w:pStyle w:val="Tabledata"/>
            </w:pPr>
            <w:r w:rsidRPr="00CC27A1">
              <w:t>Royal Perth Hospital</w:t>
            </w:r>
          </w:p>
        </w:tc>
        <w:tc>
          <w:tcPr>
            <w:tcW w:w="776" w:type="dxa"/>
            <w:tcBorders>
              <w:bottom w:val="single" w:sz="4" w:space="0" w:color="auto"/>
            </w:tcBorders>
            <w:vAlign w:val="center"/>
          </w:tcPr>
          <w:p w14:paraId="7A4592C2" w14:textId="1F76822E" w:rsidR="002C5502" w:rsidRPr="00CC27A1" w:rsidRDefault="002C5502" w:rsidP="000B58AB">
            <w:pPr>
              <w:pStyle w:val="Tabledata"/>
            </w:pPr>
            <w:r>
              <w:t>56</w:t>
            </w:r>
          </w:p>
        </w:tc>
        <w:tc>
          <w:tcPr>
            <w:tcW w:w="2268" w:type="dxa"/>
            <w:vAlign w:val="center"/>
          </w:tcPr>
          <w:p w14:paraId="5A1C1410" w14:textId="47CAB7B0" w:rsidR="002C5502" w:rsidRPr="00CC27A1" w:rsidRDefault="002C5502" w:rsidP="000B58AB">
            <w:pPr>
              <w:pStyle w:val="Tabledata"/>
            </w:pPr>
            <w:r w:rsidRPr="00CC27A1">
              <w:t>Hakea Prison</w:t>
            </w:r>
          </w:p>
        </w:tc>
        <w:tc>
          <w:tcPr>
            <w:tcW w:w="850" w:type="dxa"/>
            <w:vAlign w:val="center"/>
          </w:tcPr>
          <w:p w14:paraId="023A7FC2" w14:textId="46F5C111" w:rsidR="002C5502" w:rsidRPr="00CC27A1" w:rsidRDefault="002C5502" w:rsidP="000B58AB">
            <w:pPr>
              <w:pStyle w:val="Tabledata"/>
            </w:pPr>
            <w:r>
              <w:t>54</w:t>
            </w:r>
          </w:p>
        </w:tc>
      </w:tr>
      <w:tr w:rsidR="00C56609" w:rsidRPr="00961EF2" w14:paraId="11BF073F" w14:textId="77777777" w:rsidTr="00C56609">
        <w:tc>
          <w:tcPr>
            <w:tcW w:w="2552" w:type="dxa"/>
            <w:tcBorders>
              <w:left w:val="nil"/>
              <w:bottom w:val="nil"/>
              <w:right w:val="nil"/>
            </w:tcBorders>
            <w:vAlign w:val="center"/>
          </w:tcPr>
          <w:p w14:paraId="5F43B3AE" w14:textId="701FE18F" w:rsidR="002C5502" w:rsidRPr="00637885" w:rsidRDefault="002C5502" w:rsidP="000B58AB">
            <w:pPr>
              <w:pStyle w:val="Tabledata"/>
            </w:pPr>
          </w:p>
        </w:tc>
        <w:tc>
          <w:tcPr>
            <w:tcW w:w="567" w:type="dxa"/>
            <w:tcBorders>
              <w:left w:val="nil"/>
              <w:bottom w:val="nil"/>
              <w:right w:val="nil"/>
            </w:tcBorders>
            <w:vAlign w:val="center"/>
          </w:tcPr>
          <w:p w14:paraId="43511252" w14:textId="001992C3" w:rsidR="002C5502" w:rsidRPr="00637885" w:rsidRDefault="002C5502" w:rsidP="000B58AB">
            <w:pPr>
              <w:pStyle w:val="Tabledata"/>
            </w:pPr>
          </w:p>
        </w:tc>
        <w:tc>
          <w:tcPr>
            <w:tcW w:w="2201" w:type="dxa"/>
            <w:tcBorders>
              <w:left w:val="nil"/>
              <w:bottom w:val="nil"/>
              <w:right w:val="nil"/>
            </w:tcBorders>
            <w:vAlign w:val="center"/>
          </w:tcPr>
          <w:p w14:paraId="1838B426" w14:textId="3EA4447A" w:rsidR="002C5502" w:rsidRPr="00CC27A1" w:rsidRDefault="002C5502" w:rsidP="000B58AB">
            <w:pPr>
              <w:pStyle w:val="Tabledata"/>
            </w:pPr>
          </w:p>
        </w:tc>
        <w:tc>
          <w:tcPr>
            <w:tcW w:w="776" w:type="dxa"/>
            <w:tcBorders>
              <w:left w:val="nil"/>
              <w:bottom w:val="nil"/>
            </w:tcBorders>
            <w:vAlign w:val="center"/>
          </w:tcPr>
          <w:p w14:paraId="5263DFE8" w14:textId="1FBD5CF7" w:rsidR="002C5502" w:rsidRPr="00CC27A1" w:rsidRDefault="002C5502" w:rsidP="000B58AB">
            <w:pPr>
              <w:pStyle w:val="Tabledata"/>
            </w:pPr>
          </w:p>
        </w:tc>
        <w:tc>
          <w:tcPr>
            <w:tcW w:w="2268" w:type="dxa"/>
            <w:vAlign w:val="center"/>
          </w:tcPr>
          <w:p w14:paraId="5C91B9C5" w14:textId="5CFC72C1" w:rsidR="002C5502" w:rsidRPr="00CC27A1" w:rsidRDefault="002C5502" w:rsidP="000B58AB">
            <w:pPr>
              <w:pStyle w:val="Tabledata"/>
            </w:pPr>
            <w:r w:rsidRPr="001C3ADD">
              <w:t>Broadspectrum Base</w:t>
            </w:r>
          </w:p>
        </w:tc>
        <w:tc>
          <w:tcPr>
            <w:tcW w:w="850" w:type="dxa"/>
            <w:vAlign w:val="center"/>
          </w:tcPr>
          <w:p w14:paraId="5D90A962" w14:textId="5BCB3E30" w:rsidR="002C5502" w:rsidRPr="00CC27A1" w:rsidRDefault="002C5502" w:rsidP="000B58AB">
            <w:pPr>
              <w:pStyle w:val="Tabledata"/>
            </w:pPr>
            <w:r>
              <w:t>11</w:t>
            </w:r>
          </w:p>
        </w:tc>
      </w:tr>
      <w:tr w:rsidR="00C56609" w:rsidRPr="00961EF2" w14:paraId="0A85EB52" w14:textId="77777777" w:rsidTr="00C56609">
        <w:tc>
          <w:tcPr>
            <w:tcW w:w="2552" w:type="dxa"/>
            <w:tcBorders>
              <w:top w:val="nil"/>
              <w:left w:val="nil"/>
              <w:bottom w:val="nil"/>
              <w:right w:val="nil"/>
            </w:tcBorders>
            <w:vAlign w:val="center"/>
          </w:tcPr>
          <w:p w14:paraId="6885ABEA" w14:textId="31A3BE25" w:rsidR="002C5502" w:rsidRPr="00637885" w:rsidRDefault="002C5502" w:rsidP="000B58AB">
            <w:pPr>
              <w:pStyle w:val="Tableheading"/>
            </w:pPr>
          </w:p>
        </w:tc>
        <w:tc>
          <w:tcPr>
            <w:tcW w:w="567" w:type="dxa"/>
            <w:tcBorders>
              <w:top w:val="nil"/>
              <w:left w:val="nil"/>
              <w:bottom w:val="nil"/>
              <w:right w:val="nil"/>
            </w:tcBorders>
            <w:vAlign w:val="center"/>
          </w:tcPr>
          <w:p w14:paraId="6B211A67" w14:textId="27097A40" w:rsidR="002C5502" w:rsidRDefault="002C5502" w:rsidP="000B58AB">
            <w:pPr>
              <w:pStyle w:val="Tableheading"/>
            </w:pPr>
          </w:p>
        </w:tc>
        <w:tc>
          <w:tcPr>
            <w:tcW w:w="2201" w:type="dxa"/>
            <w:tcBorders>
              <w:top w:val="nil"/>
              <w:left w:val="nil"/>
              <w:bottom w:val="nil"/>
              <w:right w:val="nil"/>
            </w:tcBorders>
            <w:vAlign w:val="center"/>
          </w:tcPr>
          <w:p w14:paraId="6FFEDEEC" w14:textId="7ABCE7B1" w:rsidR="002C5502" w:rsidRPr="00CC27A1" w:rsidRDefault="002C5502" w:rsidP="000B58AB">
            <w:pPr>
              <w:pStyle w:val="Tableheading"/>
            </w:pPr>
          </w:p>
        </w:tc>
        <w:tc>
          <w:tcPr>
            <w:tcW w:w="776" w:type="dxa"/>
            <w:tcBorders>
              <w:top w:val="nil"/>
              <w:left w:val="nil"/>
              <w:bottom w:val="nil"/>
            </w:tcBorders>
            <w:vAlign w:val="center"/>
          </w:tcPr>
          <w:p w14:paraId="1FBAE72B" w14:textId="43B7BC3A" w:rsidR="002C5502" w:rsidRDefault="002C5502" w:rsidP="000B58AB">
            <w:pPr>
              <w:pStyle w:val="Tableheading"/>
            </w:pPr>
          </w:p>
        </w:tc>
        <w:tc>
          <w:tcPr>
            <w:tcW w:w="2268" w:type="dxa"/>
            <w:shd w:val="clear" w:color="auto" w:fill="D9D9D9" w:themeFill="background1" w:themeFillShade="D9"/>
            <w:vAlign w:val="center"/>
          </w:tcPr>
          <w:p w14:paraId="60431198" w14:textId="4D984A22" w:rsidR="002C5502" w:rsidRPr="00CC27A1" w:rsidRDefault="002C5502" w:rsidP="000B58AB">
            <w:pPr>
              <w:pStyle w:val="Tableheading"/>
            </w:pPr>
            <w:r w:rsidRPr="00310FA1">
              <w:t>Total</w:t>
            </w:r>
          </w:p>
        </w:tc>
        <w:tc>
          <w:tcPr>
            <w:tcW w:w="850" w:type="dxa"/>
            <w:vAlign w:val="center"/>
          </w:tcPr>
          <w:p w14:paraId="0806DE2C" w14:textId="6660E51F" w:rsidR="002C5502" w:rsidRPr="00CC27A1" w:rsidRDefault="002C5502" w:rsidP="000B58AB">
            <w:pPr>
              <w:pStyle w:val="Tableheading"/>
            </w:pPr>
            <w:r w:rsidRPr="001C3ADD">
              <w:t>1,</w:t>
            </w:r>
            <w:r>
              <w:t>148</w:t>
            </w:r>
          </w:p>
        </w:tc>
      </w:tr>
    </w:tbl>
    <w:p w14:paraId="5AD46590" w14:textId="77777777" w:rsidR="00E56BE8" w:rsidRDefault="00E56BE8" w:rsidP="00CC430C">
      <w:pPr>
        <w:pStyle w:val="Heading2"/>
      </w:pPr>
      <w:bookmarkStart w:id="16" w:name="_Toc21946131"/>
      <w:r>
        <w:t>Specified Events and Key Performance Indicators (KPIs)</w:t>
      </w:r>
      <w:bookmarkEnd w:id="16"/>
    </w:p>
    <w:p w14:paraId="21493DB9" w14:textId="77777777" w:rsidR="00E56BE8" w:rsidRDefault="00E56BE8" w:rsidP="00E56BE8">
      <w:r w:rsidRPr="00E56BE8">
        <w:t xml:space="preserve">The Contract applies an Abatement Regime consisting of Specified Events and KPIs. Specific abatement amounts are provided for Specified Events referred to in the Contract. The Contract also provides for a Performance Incentive Payment which is calculated as a percentage of the monthly service fee. The monthly Performance Incentive Payment is reduced based on the total Performance Assessment Points the Contractor accumulates each month for failing to meet a KPI. </w:t>
      </w:r>
    </w:p>
    <w:p w14:paraId="11D1B814" w14:textId="77777777" w:rsidR="00E56BE8" w:rsidRPr="00E56BE8" w:rsidRDefault="00E56BE8" w:rsidP="00E56BE8"/>
    <w:p w14:paraId="358F90E3" w14:textId="77777777" w:rsidR="00E56BE8" w:rsidRDefault="00E56BE8" w:rsidP="00E56BE8">
      <w:r w:rsidRPr="00E56BE8">
        <w:t xml:space="preserve">The Contract also provides an increase in Specified Event amounts and Performance Assessment Points for repeated occurrences of the same Specified Event or KPI failure. </w:t>
      </w:r>
    </w:p>
    <w:p w14:paraId="5FB62217" w14:textId="77777777" w:rsidR="00E56BE8" w:rsidRPr="00E56BE8" w:rsidRDefault="00E56BE8" w:rsidP="00E56BE8"/>
    <w:p w14:paraId="6946AD16" w14:textId="77777777" w:rsidR="00E56BE8" w:rsidRPr="00402258" w:rsidRDefault="00E56BE8" w:rsidP="00E56BE8">
      <w:pPr>
        <w:rPr>
          <w:color w:val="000000" w:themeColor="text1"/>
        </w:rPr>
      </w:pPr>
      <w:r w:rsidRPr="00402258">
        <w:rPr>
          <w:color w:val="000000" w:themeColor="text1"/>
        </w:rPr>
        <w:t>The total value of abatements applied for the period 1 July 201</w:t>
      </w:r>
      <w:r w:rsidR="0053267D" w:rsidRPr="00402258">
        <w:rPr>
          <w:color w:val="000000" w:themeColor="text1"/>
        </w:rPr>
        <w:t>8</w:t>
      </w:r>
      <w:r w:rsidRPr="00402258">
        <w:rPr>
          <w:color w:val="000000" w:themeColor="text1"/>
        </w:rPr>
        <w:t xml:space="preserve"> to 30 June 201</w:t>
      </w:r>
      <w:r w:rsidR="0053267D" w:rsidRPr="00402258">
        <w:rPr>
          <w:color w:val="000000" w:themeColor="text1"/>
        </w:rPr>
        <w:t>9</w:t>
      </w:r>
      <w:r w:rsidRPr="00402258">
        <w:rPr>
          <w:color w:val="000000" w:themeColor="text1"/>
        </w:rPr>
        <w:t xml:space="preserve"> was </w:t>
      </w:r>
      <w:r w:rsidR="00E925E3" w:rsidRPr="00402258">
        <w:rPr>
          <w:color w:val="000000" w:themeColor="text1"/>
        </w:rPr>
        <w:t>$</w:t>
      </w:r>
      <w:r w:rsidR="00035AF6">
        <w:rPr>
          <w:color w:val="000000" w:themeColor="text1"/>
        </w:rPr>
        <w:t>601,151.</w:t>
      </w:r>
    </w:p>
    <w:p w14:paraId="576B11F0" w14:textId="77777777" w:rsidR="000D278A" w:rsidRDefault="000D278A" w:rsidP="000D278A"/>
    <w:p w14:paraId="419C0213" w14:textId="77777777" w:rsidR="00E56BE8" w:rsidRPr="000B58AB" w:rsidRDefault="00E56BE8" w:rsidP="00E56BE8">
      <w:r w:rsidRPr="00E56BE8">
        <w:t xml:space="preserve">The following incidents were subject to abatement during the reporting period with a total abatement amount of </w:t>
      </w:r>
      <w:r w:rsidR="0001183A" w:rsidRPr="00E925E3">
        <w:t>$</w:t>
      </w:r>
      <w:r w:rsidR="00AA7B62">
        <w:t>225,013</w:t>
      </w:r>
      <w:r w:rsidR="00825077" w:rsidRPr="00E925E3">
        <w:t>.</w:t>
      </w:r>
    </w:p>
    <w:p w14:paraId="19085D3C" w14:textId="77777777" w:rsidR="00006C62" w:rsidRDefault="00CF378C" w:rsidP="000B58AB">
      <w:pPr>
        <w:pStyle w:val="ListBullet"/>
      </w:pPr>
      <w:r>
        <w:t>21</w:t>
      </w:r>
      <w:r w:rsidR="00006C62">
        <w:t xml:space="preserve"> x Failure to provide a Service, </w:t>
      </w:r>
      <w:r w:rsidR="00E56BE8" w:rsidRPr="004343D9">
        <w:t>each with a ma</w:t>
      </w:r>
      <w:r w:rsidR="00D42170">
        <w:t>ximum abatement amount of $5,000 (indexed to $5,192 from 1 April</w:t>
      </w:r>
      <w:r w:rsidR="00006C62">
        <w:t>)</w:t>
      </w:r>
      <w:r w:rsidR="00D42170">
        <w:t>.</w:t>
      </w:r>
    </w:p>
    <w:p w14:paraId="70ED8177" w14:textId="77777777" w:rsidR="00AA7B62" w:rsidRPr="007838A7" w:rsidRDefault="00AA7B62" w:rsidP="000B58AB">
      <w:pPr>
        <w:pStyle w:val="ListBullet"/>
      </w:pPr>
      <w:r>
        <w:t>1</w:t>
      </w:r>
      <w:r w:rsidRPr="007838A7">
        <w:t xml:space="preserve"> x Unauthorised release of an unsecure person in custody, with a maximum abatement amount of $10,</w:t>
      </w:r>
      <w:r w:rsidR="00D42170">
        <w:t>000</w:t>
      </w:r>
      <w:r w:rsidRPr="007838A7">
        <w:t xml:space="preserve">. </w:t>
      </w:r>
      <w:r w:rsidR="00D42170">
        <w:t>(indexed to $10,188 from 1 April).</w:t>
      </w:r>
    </w:p>
    <w:p w14:paraId="628C94AF" w14:textId="77777777" w:rsidR="00AA7B62" w:rsidRDefault="00AA7B62" w:rsidP="000B58AB">
      <w:pPr>
        <w:pStyle w:val="ListBullet"/>
      </w:pPr>
      <w:r>
        <w:t xml:space="preserve">1 x Unauthorised release of an </w:t>
      </w:r>
      <w:r w:rsidR="00E56BE8" w:rsidRPr="007838A7">
        <w:t>secure person in custody, with a maximum abatement amount of $</w:t>
      </w:r>
      <w:r w:rsidR="00374A2A">
        <w:t>25,000 (indexed to $25,960 from 1 April)</w:t>
      </w:r>
    </w:p>
    <w:p w14:paraId="4630F17D" w14:textId="77777777" w:rsidR="00345C93" w:rsidRDefault="00345C93" w:rsidP="000B58AB">
      <w:pPr>
        <w:pStyle w:val="ListBullet"/>
      </w:pPr>
      <w:r>
        <w:t>2</w:t>
      </w:r>
      <w:r w:rsidR="00E56BE8" w:rsidRPr="00E17CDD">
        <w:t xml:space="preserve"> x Failure</w:t>
      </w:r>
      <w:r>
        <w:t>s</w:t>
      </w:r>
      <w:r w:rsidR="00E56BE8" w:rsidRPr="00E17CDD">
        <w:t xml:space="preserve"> to treat all persons fairly and with respect for inherent dignity, with a maximum abatement amount of $10,</w:t>
      </w:r>
      <w:r w:rsidR="00374A2A">
        <w:t>000 (indexed to $10,188).</w:t>
      </w:r>
    </w:p>
    <w:p w14:paraId="5EAD222C" w14:textId="77777777" w:rsidR="00E56BE8" w:rsidRPr="000B58AB" w:rsidRDefault="00E56BE8" w:rsidP="00C56609">
      <w:r w:rsidRPr="00E56BE8">
        <w:t xml:space="preserve">In addition, </w:t>
      </w:r>
      <w:r w:rsidR="006F6525">
        <w:t>258</w:t>
      </w:r>
      <w:r w:rsidR="000E29CF">
        <w:t xml:space="preserve"> </w:t>
      </w:r>
      <w:r w:rsidRPr="00E56BE8">
        <w:t xml:space="preserve">Performance Failures were abated to a total of </w:t>
      </w:r>
      <w:r w:rsidRPr="00E925E3">
        <w:t>$</w:t>
      </w:r>
      <w:r w:rsidR="00310FA1">
        <w:t>376,138.</w:t>
      </w:r>
    </w:p>
    <w:p w14:paraId="3304E30D" w14:textId="77777777" w:rsidR="004F2C91" w:rsidRDefault="004F2C91" w:rsidP="004F2C91">
      <w:pPr>
        <w:pStyle w:val="Heading2"/>
      </w:pPr>
      <w:bookmarkStart w:id="17" w:name="_Toc21946132"/>
      <w:r>
        <w:t>Performance Improvement Notices</w:t>
      </w:r>
      <w:bookmarkEnd w:id="17"/>
    </w:p>
    <w:p w14:paraId="5D87473B" w14:textId="77777777" w:rsidR="004F2C91" w:rsidRDefault="004F2C91" w:rsidP="00825077">
      <w:r>
        <w:t>The Contract provides</w:t>
      </w:r>
      <w:r w:rsidRPr="004F2C91">
        <w:t xml:space="preserve"> for the issue of a Performance Improvement Notice (PIN) in the event the Contractor has breached an obligation specified in the Contract, or has not sustained any service</w:t>
      </w:r>
      <w:r>
        <w:t xml:space="preserve"> element. This mechanism enables</w:t>
      </w:r>
      <w:r w:rsidRPr="004F2C91">
        <w:t xml:space="preserve"> a specific performance issue to be addressed and promptly remedied. </w:t>
      </w:r>
    </w:p>
    <w:p w14:paraId="29C496A6" w14:textId="77777777" w:rsidR="004F2C91" w:rsidRPr="004F2C91" w:rsidRDefault="004F2C91" w:rsidP="00825077"/>
    <w:p w14:paraId="75D42D93" w14:textId="77777777" w:rsidR="004F2C91" w:rsidRDefault="004F2C91" w:rsidP="00955221">
      <w:pPr>
        <w:autoSpaceDE w:val="0"/>
        <w:autoSpaceDN w:val="0"/>
        <w:adjustRightInd w:val="0"/>
      </w:pPr>
      <w:r w:rsidRPr="004F2C91">
        <w:t>Contract Management issued on</w:t>
      </w:r>
      <w:r>
        <w:t>e PIN for the period 1 July 201</w:t>
      </w:r>
      <w:r w:rsidR="00955221">
        <w:t>8</w:t>
      </w:r>
      <w:r w:rsidRPr="004F2C91">
        <w:t xml:space="preserve"> to </w:t>
      </w:r>
      <w:r>
        <w:t>30 June 201</w:t>
      </w:r>
      <w:r w:rsidR="00955221">
        <w:t>9</w:t>
      </w:r>
      <w:r w:rsidR="00B7257B">
        <w:t xml:space="preserve">. On </w:t>
      </w:r>
      <w:r w:rsidR="00955221">
        <w:t>20 December</w:t>
      </w:r>
      <w:r w:rsidR="00B7257B">
        <w:t xml:space="preserve"> </w:t>
      </w:r>
      <w:r w:rsidR="00955221">
        <w:t>2018</w:t>
      </w:r>
      <w:r w:rsidRPr="004F2C91">
        <w:t xml:space="preserve">, a PIN was issued in relation to </w:t>
      </w:r>
      <w:r w:rsidR="00B7257B">
        <w:t>a</w:t>
      </w:r>
      <w:r w:rsidR="00B7257B" w:rsidRPr="00B7257B">
        <w:t xml:space="preserve"> </w:t>
      </w:r>
      <w:r w:rsidR="00955221" w:rsidRPr="00955221">
        <w:t>failure to provide Contract Workers with Cardio Pulmonary Resuscitation (CPR) training every year</w:t>
      </w:r>
      <w:r w:rsidR="00B7257B" w:rsidRPr="00B7257B">
        <w:t xml:space="preserve"> as required in the CS&amp;CS Contract</w:t>
      </w:r>
      <w:r w:rsidR="00B7257B">
        <w:t>.</w:t>
      </w:r>
    </w:p>
    <w:p w14:paraId="67E56759" w14:textId="77777777" w:rsidR="00955221" w:rsidRDefault="00955221" w:rsidP="00955221"/>
    <w:p w14:paraId="66BAA06A" w14:textId="77777777" w:rsidR="00955221" w:rsidRDefault="00955221" w:rsidP="00955221">
      <w:r w:rsidRPr="004F2C91">
        <w:t>The Contractor responded to the PIN within the specified time and the Departme</w:t>
      </w:r>
      <w:r>
        <w:t>nt continues</w:t>
      </w:r>
      <w:r w:rsidRPr="004F2C91">
        <w:t xml:space="preserve"> to monitor </w:t>
      </w:r>
      <w:r>
        <w:t>Broadspectrum</w:t>
      </w:r>
      <w:r w:rsidRPr="004F2C91">
        <w:t>’s performance against this issue.</w:t>
      </w:r>
    </w:p>
    <w:p w14:paraId="20A8EF9B" w14:textId="77777777" w:rsidR="00955221" w:rsidRDefault="00955221" w:rsidP="00825077"/>
    <w:p w14:paraId="0BFCD2C5" w14:textId="77777777" w:rsidR="00955221" w:rsidRDefault="00955221" w:rsidP="00955221">
      <w:r>
        <w:t xml:space="preserve">A PIN </w:t>
      </w:r>
      <w:r w:rsidRPr="004F2C91">
        <w:t xml:space="preserve">in relation to </w:t>
      </w:r>
      <w:r>
        <w:t>a</w:t>
      </w:r>
      <w:r w:rsidRPr="00B7257B">
        <w:t xml:space="preserve"> failure to report intelligence information as required in the CS&amp;CS Contract and Broadspectrum’s Standard Operating Procedures</w:t>
      </w:r>
      <w:r w:rsidR="00BB0A83">
        <w:t xml:space="preserve"> is on 30 November </w:t>
      </w:r>
      <w:bookmarkStart w:id="18" w:name="_GoBack"/>
      <w:bookmarkEnd w:id="18"/>
      <w:r>
        <w:t>2017</w:t>
      </w:r>
      <w:r w:rsidR="00035AF6">
        <w:t xml:space="preserve"> still remains in place as all</w:t>
      </w:r>
      <w:r>
        <w:t xml:space="preserve"> corrective actions </w:t>
      </w:r>
      <w:r w:rsidR="00BB0A83">
        <w:t>had not been completed as at 30 </w:t>
      </w:r>
      <w:r>
        <w:t>June 2019.</w:t>
      </w:r>
    </w:p>
    <w:p w14:paraId="7D2E91A6" w14:textId="77777777" w:rsidR="008E6A7D" w:rsidRPr="004F2C91" w:rsidRDefault="008E6A7D" w:rsidP="00825077"/>
    <w:p w14:paraId="7E969572" w14:textId="77777777" w:rsidR="00E56BE8" w:rsidRDefault="00E56BE8">
      <w:r>
        <w:br w:type="page"/>
      </w:r>
    </w:p>
    <w:p w14:paraId="71F03843" w14:textId="77777777" w:rsidR="00E56BE8" w:rsidRDefault="00E56BE8" w:rsidP="00E56BE8">
      <w:pPr>
        <w:pStyle w:val="Heading1"/>
      </w:pPr>
      <w:bookmarkStart w:id="19" w:name="_Toc21946133"/>
      <w:r>
        <w:t>Training</w:t>
      </w:r>
      <w:bookmarkEnd w:id="19"/>
    </w:p>
    <w:p w14:paraId="27AB5A4D" w14:textId="77777777" w:rsidR="00040ED5" w:rsidRDefault="00040ED5" w:rsidP="00040ED5">
      <w:r w:rsidRPr="00040ED5">
        <w:t xml:space="preserve">The Contract requires all Contract Workers to have successfully completed a Certificate III, or for Supervisors, Certificate IV in Correctional Services in their first year of employment. </w:t>
      </w:r>
    </w:p>
    <w:p w14:paraId="73B40E77" w14:textId="77777777" w:rsidR="00040ED5" w:rsidRPr="00040ED5" w:rsidRDefault="00040ED5" w:rsidP="00040ED5"/>
    <w:p w14:paraId="5D9BEAE8" w14:textId="77777777" w:rsidR="00DE1BE6" w:rsidRDefault="004F1019" w:rsidP="004361CD">
      <w:r>
        <w:t xml:space="preserve">A training review </w:t>
      </w:r>
      <w:r w:rsidRPr="004361CD">
        <w:t xml:space="preserve">to </w:t>
      </w:r>
      <w:r>
        <w:t xml:space="preserve">examine and </w:t>
      </w:r>
      <w:r w:rsidRPr="004361CD">
        <w:t>evaluate the training provided to Contractor Employees under the CS&amp;CS Contract</w:t>
      </w:r>
      <w:r>
        <w:t xml:space="preserve"> </w:t>
      </w:r>
      <w:r w:rsidR="00BA239E">
        <w:t xml:space="preserve">and as stated in the General Service Requirements contained in Clause 17 and Schedule 5 </w:t>
      </w:r>
      <w:r w:rsidR="00DE1BE6">
        <w:t>was completed in August 2018. Subsequently Broadspectrum provided a Training Rectification Plan to address a number of areas that required attention</w:t>
      </w:r>
      <w:r>
        <w:t>.</w:t>
      </w:r>
    </w:p>
    <w:p w14:paraId="418FB3E7" w14:textId="77777777" w:rsidR="004361CD" w:rsidRDefault="004361CD" w:rsidP="004361CD"/>
    <w:p w14:paraId="40F574CB" w14:textId="77777777" w:rsidR="00DE1BE6" w:rsidRPr="00035AF6" w:rsidRDefault="00DE1BE6" w:rsidP="004361CD">
      <w:r w:rsidRPr="00A430E4">
        <w:t xml:space="preserve">To validate the progress of training compliance, including </w:t>
      </w:r>
      <w:r w:rsidRPr="00035AF6">
        <w:t xml:space="preserve">the CPR PIN, a further training review against the recommendations will be conducted next financial year. </w:t>
      </w:r>
    </w:p>
    <w:p w14:paraId="238E5B5A" w14:textId="77777777" w:rsidR="00040ED5" w:rsidRDefault="00040ED5">
      <w:r>
        <w:br w:type="page"/>
      </w:r>
    </w:p>
    <w:p w14:paraId="275349BD" w14:textId="77777777" w:rsidR="00040ED5" w:rsidRDefault="00040ED5" w:rsidP="00040ED5">
      <w:pPr>
        <w:pStyle w:val="Heading1"/>
      </w:pPr>
      <w:bookmarkStart w:id="20" w:name="_Toc21946134"/>
      <w:r>
        <w:t>Contract Reviews</w:t>
      </w:r>
      <w:bookmarkEnd w:id="20"/>
    </w:p>
    <w:p w14:paraId="41409A6C" w14:textId="77777777" w:rsidR="00040ED5" w:rsidRDefault="00040ED5" w:rsidP="00040ED5">
      <w:r w:rsidRPr="00040ED5">
        <w:t xml:space="preserve">The Contractor’s performance is measured against Key Performance Indicators and comprehensive Service Requirements. The Contractor is expected to deliver 100% of all services in accordance with the contracted service requirements. An Abatement Regime applies if the Contractor fails to deliver services as required. </w:t>
      </w:r>
    </w:p>
    <w:p w14:paraId="6670F501" w14:textId="77777777" w:rsidR="00040ED5" w:rsidRPr="00040ED5" w:rsidRDefault="00040ED5" w:rsidP="00040ED5"/>
    <w:p w14:paraId="1674040D" w14:textId="77777777" w:rsidR="00040ED5" w:rsidRDefault="00040ED5" w:rsidP="00040ED5">
      <w:r w:rsidRPr="00040ED5">
        <w:t xml:space="preserve">The Department monitors and reviews the Contractor’s provision of court security and custodial services State-wide. This has resulted in greater scrutiny of service delivery which enables the Department to identify issues in a timely manner, and seek prompt remedy from the Contractor when issues of concern arise. </w:t>
      </w:r>
    </w:p>
    <w:p w14:paraId="7BCC34A5" w14:textId="77777777" w:rsidR="00040ED5" w:rsidRPr="00040ED5" w:rsidRDefault="00040ED5" w:rsidP="00040ED5"/>
    <w:p w14:paraId="640C9A8C" w14:textId="77777777" w:rsidR="00040ED5" w:rsidRDefault="00040ED5" w:rsidP="00040ED5">
      <w:r w:rsidRPr="00040ED5">
        <w:t xml:space="preserve">The Contract focuses on services being carried out with regard to the security of persons in custody, staff, and the general public at the highest levels, within set timeframes and with a high degree of duty of care. The monitoring processes developed, together with the Abatement Regime, support the provision of high levels of service delivery throughout the State. </w:t>
      </w:r>
      <w:r w:rsidR="006C086C" w:rsidRPr="006C086C">
        <w:t>The following reviews were conducted during the 201</w:t>
      </w:r>
      <w:r w:rsidR="00B960C0">
        <w:t>8</w:t>
      </w:r>
      <w:r w:rsidR="006C086C" w:rsidRPr="006C086C">
        <w:t>/1</w:t>
      </w:r>
      <w:r w:rsidR="00B960C0">
        <w:t>9</w:t>
      </w:r>
      <w:r w:rsidR="006C086C" w:rsidRPr="006C086C">
        <w:t xml:space="preserve"> reporting period.</w:t>
      </w:r>
    </w:p>
    <w:p w14:paraId="5291C965" w14:textId="77777777" w:rsidR="006C086C" w:rsidRPr="00A430E4" w:rsidRDefault="006C086C" w:rsidP="00A430E4">
      <w:pPr>
        <w:pStyle w:val="Heading2"/>
      </w:pPr>
      <w:bookmarkStart w:id="21" w:name="_Toc21946135"/>
      <w:r w:rsidRPr="00A430E4">
        <w:t>Review of Contractor’s Operational Instructions</w:t>
      </w:r>
      <w:bookmarkEnd w:id="21"/>
    </w:p>
    <w:p w14:paraId="3DE80E0B" w14:textId="77777777" w:rsidR="009B0841" w:rsidRPr="000F1D2D" w:rsidRDefault="006C086C" w:rsidP="00825077">
      <w:r w:rsidRPr="000F1D2D">
        <w:t>A review of selected Broadspectrum Operational Instructions (OIs) was undertaken</w:t>
      </w:r>
      <w:r w:rsidR="009B0841" w:rsidRPr="000F1D2D">
        <w:t>. The Contractor and the Department reviewed selected OIs in relation to issues and incidents as they occurred.</w:t>
      </w:r>
    </w:p>
    <w:p w14:paraId="0A6F9A7C" w14:textId="77777777" w:rsidR="00040ED5" w:rsidRPr="00A430E4" w:rsidRDefault="003E6EE7" w:rsidP="00A430E4">
      <w:pPr>
        <w:pStyle w:val="Heading2"/>
      </w:pPr>
      <w:bookmarkStart w:id="22" w:name="_Toc21946136"/>
      <w:r w:rsidRPr="00A430E4">
        <w:t>Volume (Band) Changes</w:t>
      </w:r>
      <w:bookmarkEnd w:id="22"/>
    </w:p>
    <w:p w14:paraId="76863C65" w14:textId="77777777" w:rsidR="003E6EE7" w:rsidRPr="000F1D2D" w:rsidRDefault="003E6EE7" w:rsidP="003E6EE7">
      <w:r w:rsidRPr="000F1D2D">
        <w:t xml:space="preserve">The Contract provides for </w:t>
      </w:r>
      <w:r w:rsidR="00194E8C" w:rsidRPr="000F1D2D">
        <w:t>service volume changes</w:t>
      </w:r>
      <w:r w:rsidR="00B724C7" w:rsidRPr="000F1D2D">
        <w:t xml:space="preserve"> to Pricing Tables to occur. </w:t>
      </w:r>
      <w:r w:rsidRPr="000F1D2D">
        <w:t xml:space="preserve">The Contractor must notify the Principal in writing </w:t>
      </w:r>
      <w:r w:rsidR="00194E8C" w:rsidRPr="000F1D2D">
        <w:t>on a monthly basis when</w:t>
      </w:r>
      <w:r w:rsidRPr="000F1D2D">
        <w:t xml:space="preserve"> the service volume for a Service exceeds seventy-five percent (75%) </w:t>
      </w:r>
      <w:r w:rsidR="00194E8C" w:rsidRPr="000F1D2D">
        <w:t>and</w:t>
      </w:r>
      <w:r w:rsidRPr="000F1D2D">
        <w:t xml:space="preserve"> one hundred percent (100%) of the Baseline Volume Band for </w:t>
      </w:r>
      <w:r w:rsidR="00194E8C" w:rsidRPr="000F1D2D">
        <w:t>each Pricing Table</w:t>
      </w:r>
      <w:r w:rsidRPr="000F1D2D">
        <w:t>. The Principal determines the applicable Baseline Volume Band from the range of Volume Bands set out in the Pricing Tab</w:t>
      </w:r>
      <w:r w:rsidR="00194E8C" w:rsidRPr="000F1D2D">
        <w:t>les</w:t>
      </w:r>
      <w:r w:rsidRPr="000F1D2D">
        <w:t>.</w:t>
      </w:r>
    </w:p>
    <w:p w14:paraId="16C7D51F" w14:textId="77777777" w:rsidR="003E6EE7" w:rsidRPr="000F1D2D" w:rsidRDefault="003E6EE7" w:rsidP="003E6EE7"/>
    <w:p w14:paraId="0B47C56E" w14:textId="77777777" w:rsidR="003C2B9C" w:rsidRDefault="00825077" w:rsidP="003E6EE7">
      <w:pPr>
        <w:rPr>
          <w:color w:val="000000" w:themeColor="text1"/>
        </w:rPr>
      </w:pPr>
      <w:r w:rsidRPr="008C2E5C">
        <w:rPr>
          <w:color w:val="000000" w:themeColor="text1"/>
        </w:rPr>
        <w:t xml:space="preserve">Volume Band </w:t>
      </w:r>
      <w:r w:rsidR="008C2E5C" w:rsidRPr="008C2E5C">
        <w:rPr>
          <w:color w:val="000000" w:themeColor="text1"/>
        </w:rPr>
        <w:t>changes came into effect during</w:t>
      </w:r>
      <w:r w:rsidR="003E6EE7" w:rsidRPr="008C2E5C">
        <w:rPr>
          <w:color w:val="000000" w:themeColor="text1"/>
        </w:rPr>
        <w:t xml:space="preserve"> the period 1 July 201</w:t>
      </w:r>
      <w:r w:rsidR="000F1D2D" w:rsidRPr="008C2E5C">
        <w:rPr>
          <w:color w:val="000000" w:themeColor="text1"/>
        </w:rPr>
        <w:t>8</w:t>
      </w:r>
      <w:r w:rsidR="003E6EE7" w:rsidRPr="008C2E5C">
        <w:rPr>
          <w:color w:val="000000" w:themeColor="text1"/>
        </w:rPr>
        <w:t xml:space="preserve"> to 30 June 201</w:t>
      </w:r>
      <w:r w:rsidR="000F1D2D" w:rsidRPr="008C2E5C">
        <w:rPr>
          <w:color w:val="000000" w:themeColor="text1"/>
        </w:rPr>
        <w:t>9</w:t>
      </w:r>
      <w:r w:rsidR="008C2E5C" w:rsidRPr="008C2E5C">
        <w:rPr>
          <w:color w:val="000000" w:themeColor="text1"/>
        </w:rPr>
        <w:t xml:space="preserve"> for court custody at a number of locations in response to service demand.</w:t>
      </w:r>
    </w:p>
    <w:p w14:paraId="5B6DC528" w14:textId="77777777" w:rsidR="00006C62" w:rsidRDefault="00006C62" w:rsidP="003E6EE7">
      <w:pPr>
        <w:rPr>
          <w:color w:val="000000" w:themeColor="text1"/>
        </w:rPr>
      </w:pPr>
    </w:p>
    <w:p w14:paraId="57BD43AD" w14:textId="77777777" w:rsidR="0054524F" w:rsidRPr="000B58AB" w:rsidRDefault="0054524F" w:rsidP="000B58AB">
      <w:r>
        <w:br w:type="page"/>
      </w:r>
    </w:p>
    <w:p w14:paraId="20A4AAC8" w14:textId="5169580F" w:rsidR="0054524F" w:rsidRPr="005C56D1" w:rsidRDefault="0054524F" w:rsidP="005C56D1">
      <w:pPr>
        <w:pStyle w:val="Heading1"/>
      </w:pPr>
      <w:bookmarkStart w:id="23" w:name="_Toc21946137"/>
      <w:r>
        <w:t>Contract Variations</w:t>
      </w:r>
      <w:bookmarkEnd w:id="23"/>
    </w:p>
    <w:p w14:paraId="20ED107D" w14:textId="088195A0" w:rsidR="0054524F" w:rsidRDefault="00E528D8" w:rsidP="0054524F">
      <w:pPr>
        <w:rPr>
          <w:rFonts w:cs="Arial"/>
        </w:rPr>
      </w:pPr>
      <w:r>
        <w:rPr>
          <w:rFonts w:cs="Arial"/>
        </w:rPr>
        <w:t xml:space="preserve">The following </w:t>
      </w:r>
      <w:r w:rsidR="0054524F">
        <w:rPr>
          <w:rFonts w:cs="Arial"/>
        </w:rPr>
        <w:t>contract variations were fina</w:t>
      </w:r>
      <w:r w:rsidR="00913ED1">
        <w:rPr>
          <w:rFonts w:cs="Arial"/>
        </w:rPr>
        <w:t>lised during the financial year.</w:t>
      </w:r>
    </w:p>
    <w:p w14:paraId="113D0B3E" w14:textId="75678F30" w:rsidR="0054524F" w:rsidRDefault="0054524F" w:rsidP="00A430E4">
      <w:pPr>
        <w:pStyle w:val="ListBullet"/>
      </w:pPr>
      <w:r>
        <w:t>Provision of After Hours Court Security to relevant courthouses. This variation came into effect in July 2018.</w:t>
      </w:r>
    </w:p>
    <w:p w14:paraId="6DE4F5BB" w14:textId="77777777" w:rsidR="0054524F" w:rsidRDefault="0054524F" w:rsidP="00A430E4">
      <w:pPr>
        <w:pStyle w:val="ListBullet"/>
      </w:pPr>
      <w:r>
        <w:t>Provision of medical escorts, hospital sits, funeral escorts and other escorts at Wandoo Prison. This variation came into effect in July 2018.</w:t>
      </w:r>
    </w:p>
    <w:p w14:paraId="03B3E738" w14:textId="0B1769E8" w:rsidR="0054524F" w:rsidRDefault="0054524F" w:rsidP="00A430E4">
      <w:pPr>
        <w:pStyle w:val="ListBullet"/>
      </w:pPr>
      <w:r>
        <w:t>Provision o</w:t>
      </w:r>
      <w:r w:rsidR="00E528D8">
        <w:t xml:space="preserve">f Primary Security Checkpoints to relevant </w:t>
      </w:r>
      <w:r w:rsidR="0077222C">
        <w:t xml:space="preserve">metropolitan </w:t>
      </w:r>
      <w:r w:rsidR="00E528D8">
        <w:t>courthouses</w:t>
      </w:r>
      <w:r w:rsidR="0077222C">
        <w:t>. This variation came into effect in December 2018. This variation is also referred to in section 1 of this report.</w:t>
      </w:r>
    </w:p>
    <w:p w14:paraId="27BA128E" w14:textId="77777777" w:rsidR="0054524F" w:rsidRDefault="0054524F" w:rsidP="00A430E4">
      <w:pPr>
        <w:pStyle w:val="ListBullet"/>
      </w:pPr>
      <w:r>
        <w:t>Increase in volume bands for Metropolitan Interprison Transfers. This variation provided for the increase to the existing volume bands in the relevant contract pricing table to meet the current and future demand for metropolitan interprison transfers. This variation came into effect in February 2019.</w:t>
      </w:r>
    </w:p>
    <w:p w14:paraId="5CACF8FE" w14:textId="77777777" w:rsidR="0054524F" w:rsidRPr="008C2E5C" w:rsidRDefault="0054524F" w:rsidP="003E6EE7">
      <w:pPr>
        <w:rPr>
          <w:color w:val="000000" w:themeColor="text1"/>
        </w:rPr>
      </w:pPr>
    </w:p>
    <w:p w14:paraId="7E3BD81F" w14:textId="77777777" w:rsidR="003E6EE7" w:rsidRDefault="003E6EE7">
      <w:r>
        <w:br w:type="page"/>
      </w:r>
    </w:p>
    <w:p w14:paraId="58DF1D50" w14:textId="77777777" w:rsidR="003E6EE7" w:rsidRPr="00A430E4" w:rsidRDefault="003E6EE7" w:rsidP="00A430E4">
      <w:pPr>
        <w:pStyle w:val="Heading1"/>
      </w:pPr>
      <w:bookmarkStart w:id="24" w:name="_Toc21946138"/>
      <w:r w:rsidRPr="00A430E4">
        <w:t>2018/19: The Year Ahead</w:t>
      </w:r>
      <w:bookmarkEnd w:id="24"/>
    </w:p>
    <w:p w14:paraId="0274703D" w14:textId="77777777" w:rsidR="003E6EE7" w:rsidRPr="000F1D2D" w:rsidRDefault="003E6EE7" w:rsidP="003E6EE7">
      <w:r w:rsidRPr="000F1D2D">
        <w:t xml:space="preserve">The Department will continue to closely monitor service deliverables throughout the </w:t>
      </w:r>
      <w:r w:rsidR="00130047" w:rsidRPr="000F1D2D">
        <w:t>second</w:t>
      </w:r>
      <w:r w:rsidRPr="000F1D2D">
        <w:t xml:space="preserve"> year of the </w:t>
      </w:r>
      <w:r w:rsidR="009557C7" w:rsidRPr="000F1D2D">
        <w:t>C</w:t>
      </w:r>
      <w:r w:rsidRPr="000F1D2D">
        <w:t xml:space="preserve">ontract in order to quickly identify areas of concern as they arise. </w:t>
      </w:r>
    </w:p>
    <w:p w14:paraId="48029666" w14:textId="77777777" w:rsidR="003E6EE7" w:rsidRPr="000F1D2D" w:rsidRDefault="003E6EE7" w:rsidP="003E6EE7"/>
    <w:p w14:paraId="2650906A" w14:textId="77777777" w:rsidR="003E6EE7" w:rsidRPr="00006C62" w:rsidRDefault="003E6EE7" w:rsidP="00006C62">
      <w:r w:rsidRPr="00006C62">
        <w:t xml:space="preserve">The Contractor has advised the Department of its plan to concentrate on </w:t>
      </w:r>
      <w:r w:rsidR="00825077" w:rsidRPr="00006C62">
        <w:t xml:space="preserve">Fleet utilisation, optimisation, and future replacement </w:t>
      </w:r>
      <w:r w:rsidRPr="00006C62">
        <w:t>in the</w:t>
      </w:r>
      <w:r w:rsidR="00DC2215" w:rsidRPr="00006C62">
        <w:t xml:space="preserve"> next reporting period.</w:t>
      </w:r>
    </w:p>
    <w:sectPr w:rsidR="003E6EE7" w:rsidRPr="00006C62" w:rsidSect="00FE448E">
      <w:headerReference w:type="even" r:id="rId15"/>
      <w:headerReference w:type="default" r:id="rId16"/>
      <w:footerReference w:type="default" r:id="rId17"/>
      <w:headerReference w:type="first" r:id="rId18"/>
      <w:pgSz w:w="11900" w:h="16840"/>
      <w:pgMar w:top="1440" w:right="1429" w:bottom="1276" w:left="1440" w:header="576" w:footer="5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E971D" w14:textId="77777777" w:rsidR="00A430E4" w:rsidRDefault="00A430E4" w:rsidP="00D06E62">
      <w:r>
        <w:separator/>
      </w:r>
    </w:p>
  </w:endnote>
  <w:endnote w:type="continuationSeparator" w:id="0">
    <w:p w14:paraId="39A51A26" w14:textId="77777777" w:rsidR="00A430E4" w:rsidRDefault="00A430E4"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91B8A" w14:textId="77777777" w:rsidR="00A430E4" w:rsidRDefault="00A430E4" w:rsidP="00D06E62">
    <w:pPr>
      <w:pStyle w:val="Footer"/>
      <w:pBdr>
        <w:top w:val="single" w:sz="4" w:space="1" w:color="auto"/>
      </w:pBdr>
    </w:pPr>
    <w:r>
      <w:tab/>
    </w:r>
    <w:r>
      <w:tab/>
    </w:r>
    <w:r w:rsidRPr="00D06E62">
      <w:t xml:space="preserve">Page </w:t>
    </w:r>
    <w:r w:rsidRPr="00D06E62">
      <w:fldChar w:fldCharType="begin"/>
    </w:r>
    <w:r w:rsidRPr="00D06E62">
      <w:instrText xml:space="preserve"> PAGE </w:instrText>
    </w:r>
    <w:r w:rsidRPr="00D06E62">
      <w:fldChar w:fldCharType="separate"/>
    </w:r>
    <w:r w:rsidR="006938DD">
      <w:rPr>
        <w:noProof/>
      </w:rPr>
      <w:t>3</w:t>
    </w:r>
    <w:r w:rsidRPr="00D06E62">
      <w:fldChar w:fldCharType="end"/>
    </w:r>
    <w:r w:rsidRPr="00D06E62">
      <w:t xml:space="preserve"> of </w:t>
    </w:r>
    <w:r>
      <w:rPr>
        <w:noProof/>
      </w:rPr>
      <w:fldChar w:fldCharType="begin"/>
    </w:r>
    <w:r>
      <w:rPr>
        <w:noProof/>
      </w:rPr>
      <w:instrText xml:space="preserve"> NUMPAGES  </w:instrText>
    </w:r>
    <w:r>
      <w:rPr>
        <w:noProof/>
      </w:rPr>
      <w:fldChar w:fldCharType="separate"/>
    </w:r>
    <w:r w:rsidR="006938DD">
      <w:rPr>
        <w:noProof/>
      </w:rPr>
      <w:t>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58473" w14:textId="77777777" w:rsidR="00A430E4" w:rsidRDefault="00A430E4" w:rsidP="00D06E62">
      <w:r>
        <w:separator/>
      </w:r>
    </w:p>
  </w:footnote>
  <w:footnote w:type="continuationSeparator" w:id="0">
    <w:p w14:paraId="06EC9CB4" w14:textId="77777777" w:rsidR="00A430E4" w:rsidRDefault="00A430E4" w:rsidP="00D06E62">
      <w:r>
        <w:continuationSeparator/>
      </w:r>
    </w:p>
  </w:footnote>
  <w:footnote w:id="1">
    <w:p w14:paraId="606CFBC6" w14:textId="77777777" w:rsidR="00A430E4" w:rsidRDefault="00A430E4">
      <w:pPr>
        <w:pStyle w:val="FootnoteText"/>
      </w:pPr>
      <w:r>
        <w:rPr>
          <w:rStyle w:val="FootnoteReference"/>
        </w:rPr>
        <w:footnoteRef/>
      </w:r>
      <w:r>
        <w:t xml:space="preserve"> This data is drawn from the Contractor reported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E0AD9" w14:textId="64C4CC7C" w:rsidR="00A430E4" w:rsidRDefault="00A430E4">
    <w:pPr>
      <w:pStyle w:val="Header"/>
    </w:pPr>
    <w:r>
      <w:rPr>
        <w:noProof/>
        <w:lang w:eastAsia="en-AU"/>
      </w:rPr>
      <w:drawing>
        <wp:anchor distT="0" distB="0" distL="114300" distR="114300" simplePos="0" relativeHeight="251673600" behindDoc="1" locked="0" layoutInCell="1" allowOverlap="1" wp14:anchorId="1745D7DB" wp14:editId="0EDB3C88">
          <wp:simplePos x="0" y="0"/>
          <wp:positionH relativeFrom="page">
            <wp:align>left</wp:align>
          </wp:positionH>
          <wp:positionV relativeFrom="page">
            <wp:align>top</wp:align>
          </wp:positionV>
          <wp:extent cx="3672000" cy="97200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72000" cy="97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7ABDC" w14:textId="42BC76B3" w:rsidR="00A430E4" w:rsidRDefault="00A430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007D1" w14:textId="53227CC7" w:rsidR="00A430E4" w:rsidRDefault="00A430E4">
    <w:pPr>
      <w:pStyle w:val="Header"/>
    </w:pPr>
    <w:r>
      <w:rPr>
        <w:noProof/>
      </w:rPr>
      <w:fldChar w:fldCharType="begin"/>
    </w:r>
    <w:r>
      <w:rPr>
        <w:noProof/>
      </w:rPr>
      <w:instrText xml:space="preserve"> STYLEREF  Title  \* MERGEFORMAT </w:instrText>
    </w:r>
    <w:r>
      <w:rPr>
        <w:noProof/>
      </w:rPr>
      <w:fldChar w:fldCharType="separate"/>
    </w:r>
    <w:r w:rsidR="006938DD">
      <w:rPr>
        <w:noProof/>
      </w:rPr>
      <w:t>Annual Report 2018/19</w:t>
    </w:r>
    <w:r>
      <w:rPr>
        <w:noProof/>
      </w:rPr>
      <w:fldChar w:fldCharType="end"/>
    </w:r>
  </w:p>
  <w:p w14:paraId="7A18B21E" w14:textId="77777777" w:rsidR="00A430E4" w:rsidRPr="00E56BE8" w:rsidRDefault="00A430E4" w:rsidP="00D06E62">
    <w:pPr>
      <w:pStyle w:val="Header"/>
      <w:pBdr>
        <w:bottom w:val="single" w:sz="4" w:space="1" w:color="auto"/>
      </w:pBdr>
      <w:rPr>
        <w:b/>
      </w:rPr>
    </w:pPr>
    <w:r w:rsidRPr="00E56BE8">
      <w:rPr>
        <w:b/>
      </w:rPr>
      <w:t xml:space="preserve">Contract for the Provision of </w:t>
    </w:r>
    <w:r>
      <w:rPr>
        <w:b/>
      </w:rPr>
      <w:t>Court Security and Custodial Services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637FC" w14:textId="6CE5B0CC" w:rsidR="00A430E4" w:rsidRDefault="00A43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D03A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B28E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E8FC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DC15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B85A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7675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DC51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24C9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D85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4A9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A751D"/>
    <w:multiLevelType w:val="hybridMultilevel"/>
    <w:tmpl w:val="BE321B12"/>
    <w:lvl w:ilvl="0" w:tplc="6F487AB6">
      <w:start w:val="1"/>
      <w:numFmt w:val="decimal"/>
      <w:lvlText w:val="5.%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5873606"/>
    <w:multiLevelType w:val="hybridMultilevel"/>
    <w:tmpl w:val="65107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B8113D"/>
    <w:multiLevelType w:val="multilevel"/>
    <w:tmpl w:val="5D1EA73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07E3350A"/>
    <w:multiLevelType w:val="hybridMultilevel"/>
    <w:tmpl w:val="BB2ABB7A"/>
    <w:lvl w:ilvl="0" w:tplc="96826E52">
      <w:start w:val="2"/>
      <w:numFmt w:val="bullet"/>
      <w:lvlText w:val=""/>
      <w:lvlJc w:val="left"/>
      <w:pPr>
        <w:ind w:left="720" w:hanging="360"/>
      </w:pPr>
      <w:rPr>
        <w:rFonts w:ascii="Symbol" w:eastAsia="MS Gothic"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235070"/>
    <w:multiLevelType w:val="hybridMultilevel"/>
    <w:tmpl w:val="4320B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0FB1208E"/>
    <w:multiLevelType w:val="hybridMultilevel"/>
    <w:tmpl w:val="75141BDC"/>
    <w:lvl w:ilvl="0" w:tplc="ABD20D4C">
      <w:start w:val="1"/>
      <w:numFmt w:val="bullet"/>
      <w:lvlText w:val=""/>
      <w:lvlJc w:val="left"/>
      <w:pPr>
        <w:ind w:left="720" w:hanging="360"/>
      </w:pPr>
      <w:rPr>
        <w:rFonts w:ascii="Symbol" w:eastAsia="MS Mincho"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572ED6"/>
    <w:multiLevelType w:val="hybridMultilevel"/>
    <w:tmpl w:val="7832B390"/>
    <w:lvl w:ilvl="0" w:tplc="51EAE840">
      <w:start w:val="2"/>
      <w:numFmt w:val="bullet"/>
      <w:lvlText w:val=""/>
      <w:lvlJc w:val="left"/>
      <w:pPr>
        <w:ind w:left="720" w:hanging="360"/>
      </w:pPr>
      <w:rPr>
        <w:rFonts w:ascii="Symbol" w:eastAsia="MS Mincho"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77C260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4EF2901"/>
    <w:multiLevelType w:val="hybridMultilevel"/>
    <w:tmpl w:val="8CCAB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E314DB"/>
    <w:multiLevelType w:val="hybridMultilevel"/>
    <w:tmpl w:val="B5A05D14"/>
    <w:lvl w:ilvl="0" w:tplc="2EFAA844">
      <w:start w:val="1"/>
      <w:numFmt w:val="decimal"/>
      <w:lvlText w:val="6.%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170ED6"/>
    <w:multiLevelType w:val="hybridMultilevel"/>
    <w:tmpl w:val="6616E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A725EF"/>
    <w:multiLevelType w:val="hybridMultilevel"/>
    <w:tmpl w:val="3034A942"/>
    <w:lvl w:ilvl="0" w:tplc="89E80944">
      <w:start w:val="1"/>
      <w:numFmt w:val="decimal"/>
      <w:lvlText w:val="4.%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A1675C"/>
    <w:multiLevelType w:val="hybridMultilevel"/>
    <w:tmpl w:val="B5B20302"/>
    <w:lvl w:ilvl="0" w:tplc="2EFAA844">
      <w:start w:val="1"/>
      <w:numFmt w:val="decimal"/>
      <w:lvlText w:val="6.%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23A5F"/>
    <w:multiLevelType w:val="hybridMultilevel"/>
    <w:tmpl w:val="0F14DB98"/>
    <w:lvl w:ilvl="0" w:tplc="F6048E14">
      <w:start w:val="2"/>
      <w:numFmt w:val="bullet"/>
      <w:lvlText w:val=""/>
      <w:lvlJc w:val="left"/>
      <w:pPr>
        <w:ind w:left="720" w:hanging="360"/>
      </w:pPr>
      <w:rPr>
        <w:rFonts w:ascii="Symbol" w:eastAsia="MS Mincho" w:hAnsi="Symbol" w:cs="Times New Roman"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DC4AC8"/>
    <w:multiLevelType w:val="hybridMultilevel"/>
    <w:tmpl w:val="867E2F50"/>
    <w:lvl w:ilvl="0" w:tplc="BFACB718">
      <w:start w:val="2"/>
      <w:numFmt w:val="bullet"/>
      <w:lvlText w:val=""/>
      <w:lvlJc w:val="left"/>
      <w:pPr>
        <w:ind w:left="720" w:hanging="360"/>
      </w:pPr>
      <w:rPr>
        <w:rFonts w:ascii="Symbol" w:eastAsia="MS Mincho"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480F5F"/>
    <w:multiLevelType w:val="hybridMultilevel"/>
    <w:tmpl w:val="CFD4765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9A31851"/>
    <w:multiLevelType w:val="hybridMultilevel"/>
    <w:tmpl w:val="3258CDDE"/>
    <w:lvl w:ilvl="0" w:tplc="C6066A40">
      <w:start w:val="1"/>
      <w:numFmt w:val="decimal"/>
      <w:lvlText w:val="8.%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7905BA"/>
    <w:multiLevelType w:val="hybridMultilevel"/>
    <w:tmpl w:val="948C4FCE"/>
    <w:lvl w:ilvl="0" w:tplc="ACFE2BDE">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5B2BE8"/>
    <w:multiLevelType w:val="hybridMultilevel"/>
    <w:tmpl w:val="8F009134"/>
    <w:lvl w:ilvl="0" w:tplc="0602DE16">
      <w:start w:val="2"/>
      <w:numFmt w:val="bullet"/>
      <w:lvlText w:val=""/>
      <w:lvlJc w:val="left"/>
      <w:pPr>
        <w:ind w:left="720" w:hanging="360"/>
      </w:pPr>
      <w:rPr>
        <w:rFonts w:ascii="Symbol" w:eastAsia="MS Mincho"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401CDA"/>
    <w:multiLevelType w:val="hybridMultilevel"/>
    <w:tmpl w:val="A5E26068"/>
    <w:lvl w:ilvl="0" w:tplc="9DCE7E6E">
      <w:start w:val="2"/>
      <w:numFmt w:val="bullet"/>
      <w:lvlText w:val=""/>
      <w:lvlJc w:val="left"/>
      <w:pPr>
        <w:ind w:left="720" w:hanging="360"/>
      </w:pPr>
      <w:rPr>
        <w:rFonts w:ascii="Symbol" w:eastAsia="MS Gothic"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5C3F7A"/>
    <w:multiLevelType w:val="hybridMultilevel"/>
    <w:tmpl w:val="5498ADD2"/>
    <w:lvl w:ilvl="0" w:tplc="25827566">
      <w:start w:val="1"/>
      <w:numFmt w:val="decimal"/>
      <w:lvlText w:val="4.%1.2"/>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A136B8"/>
    <w:multiLevelType w:val="hybridMultilevel"/>
    <w:tmpl w:val="D8E09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6E6928"/>
    <w:multiLevelType w:val="hybridMultilevel"/>
    <w:tmpl w:val="396423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AC05CC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222CFA"/>
    <w:multiLevelType w:val="hybridMultilevel"/>
    <w:tmpl w:val="5F801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FA7EDA"/>
    <w:multiLevelType w:val="hybridMultilevel"/>
    <w:tmpl w:val="A0CAE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5281F"/>
    <w:multiLevelType w:val="hybridMultilevel"/>
    <w:tmpl w:val="05447906"/>
    <w:lvl w:ilvl="0" w:tplc="6F487AB6">
      <w:start w:val="1"/>
      <w:numFmt w:val="decimal"/>
      <w:lvlText w:val="5.%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18"/>
  </w:num>
  <w:num w:numId="3">
    <w:abstractNumId w:val="12"/>
  </w:num>
  <w:num w:numId="4">
    <w:abstractNumId w:val="29"/>
  </w:num>
  <w:num w:numId="5">
    <w:abstractNumId w:val="35"/>
  </w:num>
  <w:num w:numId="6">
    <w:abstractNumId w:val="17"/>
  </w:num>
  <w:num w:numId="7">
    <w:abstractNumId w:val="23"/>
  </w:num>
  <w:num w:numId="8">
    <w:abstractNumId w:val="32"/>
  </w:num>
  <w:num w:numId="9">
    <w:abstractNumId w:val="10"/>
  </w:num>
  <w:num w:numId="10">
    <w:abstractNumId w:val="38"/>
  </w:num>
  <w:num w:numId="11">
    <w:abstractNumId w:val="19"/>
  </w:num>
  <w:num w:numId="12">
    <w:abstractNumId w:val="24"/>
  </w:num>
  <w:num w:numId="13">
    <w:abstractNumId w:val="20"/>
  </w:num>
  <w:num w:numId="14">
    <w:abstractNumId w:val="28"/>
  </w:num>
  <w:num w:numId="15">
    <w:abstractNumId w:val="12"/>
  </w:num>
  <w:num w:numId="16">
    <w:abstractNumId w:val="33"/>
  </w:num>
  <w:num w:numId="17">
    <w:abstractNumId w:val="37"/>
  </w:num>
  <w:num w:numId="18">
    <w:abstractNumId w:val="13"/>
  </w:num>
  <w:num w:numId="19">
    <w:abstractNumId w:val="31"/>
  </w:num>
  <w:num w:numId="20">
    <w:abstractNumId w:val="15"/>
  </w:num>
  <w:num w:numId="21">
    <w:abstractNumId w:val="22"/>
  </w:num>
  <w:num w:numId="22">
    <w:abstractNumId w:val="16"/>
  </w:num>
  <w:num w:numId="23">
    <w:abstractNumId w:val="26"/>
  </w:num>
  <w:num w:numId="24">
    <w:abstractNumId w:val="30"/>
  </w:num>
  <w:num w:numId="25">
    <w:abstractNumId w:val="25"/>
  </w:num>
  <w:num w:numId="26">
    <w:abstractNumId w:val="34"/>
  </w:num>
  <w:num w:numId="27">
    <w:abstractNumId w:val="36"/>
  </w:num>
  <w:num w:numId="28">
    <w:abstractNumId w:val="12"/>
  </w:num>
  <w:num w:numId="29">
    <w:abstractNumId w:val="27"/>
  </w:num>
  <w:num w:numId="30">
    <w:abstractNumId w:val="11"/>
  </w:num>
  <w:num w:numId="31">
    <w:abstractNumId w:val="27"/>
  </w:num>
  <w:num w:numId="32">
    <w:abstractNumId w:val="14"/>
  </w:num>
  <w:num w:numId="33">
    <w:abstractNumId w:val="9"/>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LtKPnbDFz+Mf30sOz3J1XGnBP1BAproOy2CvEkyq+YrthRgpJ4xMf22xLI48oAs7QC86ZZ4AVZzh2sOjIxh6Mw==" w:salt="fYkvDkSRX6xGINwBppwK9A=="/>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B8"/>
    <w:rsid w:val="00006C62"/>
    <w:rsid w:val="0001183A"/>
    <w:rsid w:val="00012558"/>
    <w:rsid w:val="00031230"/>
    <w:rsid w:val="00035AF6"/>
    <w:rsid w:val="00040ED5"/>
    <w:rsid w:val="00045F51"/>
    <w:rsid w:val="0005090E"/>
    <w:rsid w:val="00052B8A"/>
    <w:rsid w:val="00055384"/>
    <w:rsid w:val="00056669"/>
    <w:rsid w:val="00061583"/>
    <w:rsid w:val="00074092"/>
    <w:rsid w:val="000755EE"/>
    <w:rsid w:val="00081BE1"/>
    <w:rsid w:val="00082581"/>
    <w:rsid w:val="000925A5"/>
    <w:rsid w:val="000939F6"/>
    <w:rsid w:val="000A7CA2"/>
    <w:rsid w:val="000B58AB"/>
    <w:rsid w:val="000B5EE2"/>
    <w:rsid w:val="000D008C"/>
    <w:rsid w:val="000D278A"/>
    <w:rsid w:val="000D69A3"/>
    <w:rsid w:val="000E29CF"/>
    <w:rsid w:val="000F1D2D"/>
    <w:rsid w:val="000F7531"/>
    <w:rsid w:val="001035D6"/>
    <w:rsid w:val="00104EA3"/>
    <w:rsid w:val="001158E9"/>
    <w:rsid w:val="00120B01"/>
    <w:rsid w:val="001240F4"/>
    <w:rsid w:val="00127450"/>
    <w:rsid w:val="00130047"/>
    <w:rsid w:val="00131037"/>
    <w:rsid w:val="00144A1B"/>
    <w:rsid w:val="00146739"/>
    <w:rsid w:val="0015149C"/>
    <w:rsid w:val="00155864"/>
    <w:rsid w:val="00167489"/>
    <w:rsid w:val="00167655"/>
    <w:rsid w:val="00174F73"/>
    <w:rsid w:val="0018465A"/>
    <w:rsid w:val="00193880"/>
    <w:rsid w:val="00194E8C"/>
    <w:rsid w:val="001C3ADD"/>
    <w:rsid w:val="001C5B8D"/>
    <w:rsid w:val="001D5986"/>
    <w:rsid w:val="001F138F"/>
    <w:rsid w:val="001F7A6C"/>
    <w:rsid w:val="00204BDD"/>
    <w:rsid w:val="00212CB2"/>
    <w:rsid w:val="002178FA"/>
    <w:rsid w:val="002457AA"/>
    <w:rsid w:val="00245869"/>
    <w:rsid w:val="00250C62"/>
    <w:rsid w:val="00254316"/>
    <w:rsid w:val="00257985"/>
    <w:rsid w:val="0027609B"/>
    <w:rsid w:val="00285795"/>
    <w:rsid w:val="00286CCD"/>
    <w:rsid w:val="002C3D57"/>
    <w:rsid w:val="002C5502"/>
    <w:rsid w:val="002E6F7B"/>
    <w:rsid w:val="002F2AC4"/>
    <w:rsid w:val="00302144"/>
    <w:rsid w:val="00307964"/>
    <w:rsid w:val="00310FA1"/>
    <w:rsid w:val="00333094"/>
    <w:rsid w:val="00345C93"/>
    <w:rsid w:val="003506BE"/>
    <w:rsid w:val="0035154A"/>
    <w:rsid w:val="00362FAE"/>
    <w:rsid w:val="00371432"/>
    <w:rsid w:val="00374A2A"/>
    <w:rsid w:val="00380258"/>
    <w:rsid w:val="003915B2"/>
    <w:rsid w:val="003A60AF"/>
    <w:rsid w:val="003A6F06"/>
    <w:rsid w:val="003C1B90"/>
    <w:rsid w:val="003C2B9C"/>
    <w:rsid w:val="003D631B"/>
    <w:rsid w:val="003E62E9"/>
    <w:rsid w:val="003E6EE7"/>
    <w:rsid w:val="00400DF5"/>
    <w:rsid w:val="00402258"/>
    <w:rsid w:val="0040796F"/>
    <w:rsid w:val="00412AD4"/>
    <w:rsid w:val="00422044"/>
    <w:rsid w:val="004343D9"/>
    <w:rsid w:val="004361CD"/>
    <w:rsid w:val="00457598"/>
    <w:rsid w:val="00464E72"/>
    <w:rsid w:val="00490500"/>
    <w:rsid w:val="00496FD1"/>
    <w:rsid w:val="004A24E1"/>
    <w:rsid w:val="004C040F"/>
    <w:rsid w:val="004C3C09"/>
    <w:rsid w:val="004D1307"/>
    <w:rsid w:val="004D3328"/>
    <w:rsid w:val="004E571B"/>
    <w:rsid w:val="004F1019"/>
    <w:rsid w:val="004F2C91"/>
    <w:rsid w:val="00507F31"/>
    <w:rsid w:val="00521D1B"/>
    <w:rsid w:val="0053267D"/>
    <w:rsid w:val="0054524F"/>
    <w:rsid w:val="00554385"/>
    <w:rsid w:val="00561711"/>
    <w:rsid w:val="00576EFF"/>
    <w:rsid w:val="005834B5"/>
    <w:rsid w:val="005A33FD"/>
    <w:rsid w:val="005A3EA6"/>
    <w:rsid w:val="005A6F48"/>
    <w:rsid w:val="005B22C9"/>
    <w:rsid w:val="005B3821"/>
    <w:rsid w:val="005B6526"/>
    <w:rsid w:val="005C56D1"/>
    <w:rsid w:val="005D6C85"/>
    <w:rsid w:val="00604529"/>
    <w:rsid w:val="00614943"/>
    <w:rsid w:val="006335A4"/>
    <w:rsid w:val="00634C54"/>
    <w:rsid w:val="00634EDF"/>
    <w:rsid w:val="00636CFD"/>
    <w:rsid w:val="00637885"/>
    <w:rsid w:val="006444FB"/>
    <w:rsid w:val="00667B97"/>
    <w:rsid w:val="00682FF2"/>
    <w:rsid w:val="006907D2"/>
    <w:rsid w:val="006938DD"/>
    <w:rsid w:val="006A7683"/>
    <w:rsid w:val="006B3601"/>
    <w:rsid w:val="006C086C"/>
    <w:rsid w:val="006C5C65"/>
    <w:rsid w:val="006D1214"/>
    <w:rsid w:val="006E1F8F"/>
    <w:rsid w:val="006E3C4F"/>
    <w:rsid w:val="006F6525"/>
    <w:rsid w:val="006F6E61"/>
    <w:rsid w:val="006F7706"/>
    <w:rsid w:val="007078D2"/>
    <w:rsid w:val="00711C79"/>
    <w:rsid w:val="00714911"/>
    <w:rsid w:val="00715807"/>
    <w:rsid w:val="00721561"/>
    <w:rsid w:val="00740F74"/>
    <w:rsid w:val="007444AC"/>
    <w:rsid w:val="00746FB9"/>
    <w:rsid w:val="00766A16"/>
    <w:rsid w:val="00770A30"/>
    <w:rsid w:val="0077222C"/>
    <w:rsid w:val="00775238"/>
    <w:rsid w:val="007827A1"/>
    <w:rsid w:val="007838A7"/>
    <w:rsid w:val="007D2326"/>
    <w:rsid w:val="007D2FC5"/>
    <w:rsid w:val="007D3C6F"/>
    <w:rsid w:val="008000C6"/>
    <w:rsid w:val="00813A25"/>
    <w:rsid w:val="00825077"/>
    <w:rsid w:val="00836D1A"/>
    <w:rsid w:val="00844223"/>
    <w:rsid w:val="0086067A"/>
    <w:rsid w:val="00871849"/>
    <w:rsid w:val="00872DE2"/>
    <w:rsid w:val="00875BA8"/>
    <w:rsid w:val="0088388E"/>
    <w:rsid w:val="008A13BF"/>
    <w:rsid w:val="008B53D1"/>
    <w:rsid w:val="008B584F"/>
    <w:rsid w:val="008B5E88"/>
    <w:rsid w:val="008C2E5C"/>
    <w:rsid w:val="008C54EF"/>
    <w:rsid w:val="008D0FFD"/>
    <w:rsid w:val="008D3DE0"/>
    <w:rsid w:val="008E6A7D"/>
    <w:rsid w:val="0091065E"/>
    <w:rsid w:val="00913ED1"/>
    <w:rsid w:val="009415EC"/>
    <w:rsid w:val="00950851"/>
    <w:rsid w:val="00951BEE"/>
    <w:rsid w:val="00955221"/>
    <w:rsid w:val="009557C7"/>
    <w:rsid w:val="0095593F"/>
    <w:rsid w:val="00956A52"/>
    <w:rsid w:val="0097067E"/>
    <w:rsid w:val="00974599"/>
    <w:rsid w:val="00974E6D"/>
    <w:rsid w:val="009962C0"/>
    <w:rsid w:val="00997898"/>
    <w:rsid w:val="009A19E1"/>
    <w:rsid w:val="009A734D"/>
    <w:rsid w:val="009B0841"/>
    <w:rsid w:val="009B5E55"/>
    <w:rsid w:val="009B751B"/>
    <w:rsid w:val="009E579C"/>
    <w:rsid w:val="009F3864"/>
    <w:rsid w:val="009F5051"/>
    <w:rsid w:val="00A430E4"/>
    <w:rsid w:val="00A81117"/>
    <w:rsid w:val="00A820CD"/>
    <w:rsid w:val="00A82900"/>
    <w:rsid w:val="00AA7B62"/>
    <w:rsid w:val="00AE3362"/>
    <w:rsid w:val="00AE360D"/>
    <w:rsid w:val="00AF4C82"/>
    <w:rsid w:val="00AF7DDC"/>
    <w:rsid w:val="00B0009D"/>
    <w:rsid w:val="00B01611"/>
    <w:rsid w:val="00B02B08"/>
    <w:rsid w:val="00B07F26"/>
    <w:rsid w:val="00B12C12"/>
    <w:rsid w:val="00B22B5E"/>
    <w:rsid w:val="00B45CAE"/>
    <w:rsid w:val="00B63F4C"/>
    <w:rsid w:val="00B724C7"/>
    <w:rsid w:val="00B7257B"/>
    <w:rsid w:val="00B815D1"/>
    <w:rsid w:val="00B960C0"/>
    <w:rsid w:val="00BA239E"/>
    <w:rsid w:val="00BA4176"/>
    <w:rsid w:val="00BB0A83"/>
    <w:rsid w:val="00BF5090"/>
    <w:rsid w:val="00C06A93"/>
    <w:rsid w:val="00C0767A"/>
    <w:rsid w:val="00C15484"/>
    <w:rsid w:val="00C2101E"/>
    <w:rsid w:val="00C34111"/>
    <w:rsid w:val="00C56609"/>
    <w:rsid w:val="00C574B8"/>
    <w:rsid w:val="00C60DF5"/>
    <w:rsid w:val="00C801D9"/>
    <w:rsid w:val="00C80B60"/>
    <w:rsid w:val="00C814D0"/>
    <w:rsid w:val="00C94F1D"/>
    <w:rsid w:val="00CA5C90"/>
    <w:rsid w:val="00CC27A1"/>
    <w:rsid w:val="00CC430C"/>
    <w:rsid w:val="00CC60C3"/>
    <w:rsid w:val="00CE1A06"/>
    <w:rsid w:val="00CF378C"/>
    <w:rsid w:val="00D028EC"/>
    <w:rsid w:val="00D05B49"/>
    <w:rsid w:val="00D06E62"/>
    <w:rsid w:val="00D1764C"/>
    <w:rsid w:val="00D20E41"/>
    <w:rsid w:val="00D32DE1"/>
    <w:rsid w:val="00D34980"/>
    <w:rsid w:val="00D42170"/>
    <w:rsid w:val="00D437A2"/>
    <w:rsid w:val="00D479FF"/>
    <w:rsid w:val="00D52373"/>
    <w:rsid w:val="00D76FF8"/>
    <w:rsid w:val="00D83CD3"/>
    <w:rsid w:val="00D9330E"/>
    <w:rsid w:val="00DC2215"/>
    <w:rsid w:val="00DD2B9A"/>
    <w:rsid w:val="00DE1BE6"/>
    <w:rsid w:val="00DF1B23"/>
    <w:rsid w:val="00E11F17"/>
    <w:rsid w:val="00E17CDD"/>
    <w:rsid w:val="00E232AC"/>
    <w:rsid w:val="00E250CD"/>
    <w:rsid w:val="00E528D8"/>
    <w:rsid w:val="00E56BE8"/>
    <w:rsid w:val="00E57083"/>
    <w:rsid w:val="00E8377B"/>
    <w:rsid w:val="00E91438"/>
    <w:rsid w:val="00E925E3"/>
    <w:rsid w:val="00EA1530"/>
    <w:rsid w:val="00EA2F74"/>
    <w:rsid w:val="00EA41CC"/>
    <w:rsid w:val="00EA6531"/>
    <w:rsid w:val="00EC7AB2"/>
    <w:rsid w:val="00EE383C"/>
    <w:rsid w:val="00EF1CBD"/>
    <w:rsid w:val="00EF2200"/>
    <w:rsid w:val="00F0286A"/>
    <w:rsid w:val="00F31393"/>
    <w:rsid w:val="00F40B57"/>
    <w:rsid w:val="00F45492"/>
    <w:rsid w:val="00F53E8C"/>
    <w:rsid w:val="00F60389"/>
    <w:rsid w:val="00F65311"/>
    <w:rsid w:val="00F71EA1"/>
    <w:rsid w:val="00F85FC0"/>
    <w:rsid w:val="00F933CE"/>
    <w:rsid w:val="00FA1D8B"/>
    <w:rsid w:val="00FA25C2"/>
    <w:rsid w:val="00FD5B45"/>
    <w:rsid w:val="00FD7774"/>
    <w:rsid w:val="00FE44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9583403"/>
  <w14:defaultImageDpi w14:val="300"/>
  <w15:docId w15:val="{043E0F98-ED1D-42F7-A9E5-FB007CD2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117"/>
    <w:pPr>
      <w:jc w:val="both"/>
    </w:pPr>
    <w:rPr>
      <w:rFonts w:ascii="Arial" w:hAnsi="Arial"/>
      <w:sz w:val="24"/>
      <w:szCs w:val="24"/>
      <w:lang w:eastAsia="en-US"/>
    </w:rPr>
  </w:style>
  <w:style w:type="paragraph" w:styleId="Heading1">
    <w:name w:val="heading 1"/>
    <w:basedOn w:val="Normal"/>
    <w:next w:val="Normal"/>
    <w:link w:val="Heading1Char"/>
    <w:uiPriority w:val="9"/>
    <w:qFormat/>
    <w:rsid w:val="00A81117"/>
    <w:pPr>
      <w:keepNext/>
      <w:keepLines/>
      <w:numPr>
        <w:numId w:val="3"/>
      </w:numPr>
      <w:spacing w:before="240" w:after="120"/>
      <w:ind w:left="567" w:hanging="567"/>
      <w:jc w:val="left"/>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A81117"/>
    <w:pPr>
      <w:numPr>
        <w:ilvl w:val="1"/>
      </w:numPr>
      <w:ind w:left="567" w:hanging="567"/>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D06E62"/>
    <w:pPr>
      <w:tabs>
        <w:tab w:val="center" w:pos="4513"/>
        <w:tab w:val="right" w:pos="9026"/>
      </w:tabs>
    </w:pPr>
    <w:rPr>
      <w:sz w:val="20"/>
    </w:rPr>
  </w:style>
  <w:style w:type="character" w:customStyle="1" w:styleId="HeaderChar">
    <w:name w:val="Header Char"/>
    <w:link w:val="Header"/>
    <w:uiPriority w:val="99"/>
    <w:rsid w:val="00D06E62"/>
    <w:rPr>
      <w:rFonts w:ascii="Arial" w:hAnsi="Arial"/>
      <w:sz w:val="20"/>
    </w:rPr>
  </w:style>
  <w:style w:type="paragraph" w:styleId="Footer">
    <w:name w:val="footer"/>
    <w:basedOn w:val="Normal"/>
    <w:link w:val="FooterChar"/>
    <w:uiPriority w:val="99"/>
    <w:unhideWhenUsed/>
    <w:rsid w:val="00A81117"/>
    <w:pPr>
      <w:tabs>
        <w:tab w:val="center" w:pos="4513"/>
        <w:tab w:val="right" w:pos="9026"/>
      </w:tabs>
      <w:jc w:val="left"/>
    </w:pPr>
    <w:rPr>
      <w:sz w:val="20"/>
    </w:rPr>
  </w:style>
  <w:style w:type="character" w:customStyle="1" w:styleId="FooterChar">
    <w:name w:val="Footer Char"/>
    <w:link w:val="Footer"/>
    <w:uiPriority w:val="99"/>
    <w:rsid w:val="00A81117"/>
    <w:rPr>
      <w:rFonts w:ascii="Arial" w:hAnsi="Arial"/>
      <w:szCs w:val="24"/>
      <w:lang w:eastAsia="en-US"/>
    </w:rPr>
  </w:style>
  <w:style w:type="paragraph" w:customStyle="1" w:styleId="Heading">
    <w:name w:val="Heading"/>
    <w:basedOn w:val="Normal"/>
    <w:qFormat/>
    <w:rsid w:val="00AF7DDC"/>
    <w:pPr>
      <w:spacing w:after="240"/>
    </w:pPr>
    <w:rPr>
      <w:b/>
      <w:color w:val="000000" w:themeColor="text1"/>
      <w:sz w:val="32"/>
    </w:rPr>
  </w:style>
  <w:style w:type="character" w:customStyle="1" w:styleId="Heading1Char">
    <w:name w:val="Heading 1 Char"/>
    <w:link w:val="Heading1"/>
    <w:uiPriority w:val="9"/>
    <w:rsid w:val="00A81117"/>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A81117"/>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3057"/>
      <w:sz w:val="24"/>
      <w:szCs w:val="26"/>
      <w:lang w:val="en-US"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F60389"/>
    <w:rPr>
      <w:vanish/>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C56609"/>
    <w:pPr>
      <w:tabs>
        <w:tab w:val="left" w:pos="462"/>
        <w:tab w:val="right" w:leader="dot" w:pos="9021"/>
      </w:tabs>
      <w:spacing w:after="100"/>
      <w:jc w:val="left"/>
    </w:pPr>
  </w:style>
  <w:style w:type="paragraph" w:styleId="TOC2">
    <w:name w:val="toc 2"/>
    <w:basedOn w:val="Normal"/>
    <w:next w:val="Normal"/>
    <w:autoRedefine/>
    <w:uiPriority w:val="39"/>
    <w:unhideWhenUsed/>
    <w:rsid w:val="00C56609"/>
    <w:pPr>
      <w:tabs>
        <w:tab w:val="left" w:pos="1050"/>
        <w:tab w:val="right" w:leader="dot" w:pos="9021"/>
      </w:tabs>
      <w:spacing w:after="100"/>
      <w:ind w:left="240" w:firstLine="292"/>
      <w:jc w:val="left"/>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F7DDC"/>
    <w:pPr>
      <w:spacing w:before="5600" w:after="120"/>
    </w:pPr>
    <w:rPr>
      <w:b/>
      <w:color w:val="6A1A41"/>
      <w:spacing w:val="20"/>
      <w:sz w:val="72"/>
      <w:szCs w:val="72"/>
    </w:rPr>
  </w:style>
  <w:style w:type="character" w:customStyle="1" w:styleId="TitleChar">
    <w:name w:val="Title Char"/>
    <w:link w:val="Title"/>
    <w:uiPriority w:val="10"/>
    <w:rsid w:val="00AF7DDC"/>
    <w:rPr>
      <w:rFonts w:ascii="Arial" w:hAnsi="Arial"/>
      <w:b/>
      <w:color w:val="6A1A41"/>
      <w:spacing w:val="20"/>
      <w:sz w:val="72"/>
      <w:szCs w:val="72"/>
      <w:lang w:val="en-US" w:eastAsia="en-US"/>
    </w:rPr>
  </w:style>
  <w:style w:type="paragraph" w:styleId="Subtitle">
    <w:name w:val="Subtitle"/>
    <w:basedOn w:val="Normal"/>
    <w:next w:val="Normal"/>
    <w:link w:val="SubtitleChar"/>
    <w:uiPriority w:val="11"/>
    <w:qFormat/>
    <w:rsid w:val="00A81117"/>
    <w:pPr>
      <w:spacing w:after="1680"/>
      <w:jc w:val="left"/>
    </w:pPr>
    <w:rPr>
      <w:b/>
      <w:color w:val="565A5C"/>
      <w:spacing w:val="20"/>
      <w:sz w:val="40"/>
      <w:szCs w:val="40"/>
    </w:rPr>
  </w:style>
  <w:style w:type="character" w:customStyle="1" w:styleId="SubtitleChar">
    <w:name w:val="Subtitle Char"/>
    <w:link w:val="Subtitle"/>
    <w:uiPriority w:val="11"/>
    <w:rsid w:val="00A81117"/>
    <w:rPr>
      <w:rFonts w:ascii="Arial" w:hAnsi="Arial"/>
      <w:b/>
      <w:color w:val="565A5C"/>
      <w:spacing w:val="20"/>
      <w:sz w:val="40"/>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Paragraph">
    <w:name w:val="List Paragraph"/>
    <w:basedOn w:val="Normal"/>
    <w:uiPriority w:val="34"/>
    <w:qFormat/>
    <w:rsid w:val="003506BE"/>
    <w:pPr>
      <w:ind w:left="720"/>
      <w:contextualSpacing/>
    </w:pPr>
  </w:style>
  <w:style w:type="paragraph" w:customStyle="1" w:styleId="Default">
    <w:name w:val="Default"/>
    <w:rsid w:val="009B5E55"/>
    <w:pPr>
      <w:autoSpaceDE w:val="0"/>
      <w:autoSpaceDN w:val="0"/>
      <w:adjustRightInd w:val="0"/>
    </w:pPr>
    <w:rPr>
      <w:rFonts w:ascii="Arial" w:hAnsi="Arial" w:cs="Arial"/>
      <w:color w:val="000000"/>
      <w:sz w:val="24"/>
      <w:szCs w:val="24"/>
    </w:rPr>
  </w:style>
  <w:style w:type="paragraph" w:styleId="TOC3">
    <w:name w:val="toc 3"/>
    <w:basedOn w:val="Normal"/>
    <w:next w:val="Normal"/>
    <w:autoRedefine/>
    <w:uiPriority w:val="39"/>
    <w:unhideWhenUsed/>
    <w:rsid w:val="00C56609"/>
    <w:pPr>
      <w:tabs>
        <w:tab w:val="left" w:pos="1862"/>
        <w:tab w:val="right" w:leader="dot" w:pos="9010"/>
      </w:tabs>
      <w:spacing w:after="100"/>
      <w:ind w:left="266" w:firstLine="826"/>
      <w:jc w:val="left"/>
    </w:pPr>
  </w:style>
  <w:style w:type="character" w:styleId="CommentReference">
    <w:name w:val="annotation reference"/>
    <w:basedOn w:val="DefaultParagraphFont"/>
    <w:uiPriority w:val="99"/>
    <w:semiHidden/>
    <w:unhideWhenUsed/>
    <w:rsid w:val="00061583"/>
    <w:rPr>
      <w:sz w:val="18"/>
      <w:szCs w:val="18"/>
    </w:rPr>
  </w:style>
  <w:style w:type="paragraph" w:styleId="CommentText">
    <w:name w:val="annotation text"/>
    <w:basedOn w:val="Normal"/>
    <w:link w:val="CommentTextChar"/>
    <w:uiPriority w:val="99"/>
    <w:semiHidden/>
    <w:unhideWhenUsed/>
    <w:rsid w:val="00061583"/>
  </w:style>
  <w:style w:type="character" w:customStyle="1" w:styleId="CommentTextChar">
    <w:name w:val="Comment Text Char"/>
    <w:basedOn w:val="DefaultParagraphFont"/>
    <w:link w:val="CommentText"/>
    <w:uiPriority w:val="99"/>
    <w:semiHidden/>
    <w:rsid w:val="00061583"/>
    <w:rPr>
      <w:rFonts w:ascii="Arial" w:hAnsi="Arial"/>
      <w:sz w:val="24"/>
      <w:szCs w:val="24"/>
      <w:lang w:eastAsia="en-US"/>
    </w:rPr>
  </w:style>
  <w:style w:type="paragraph" w:styleId="CommentSubject">
    <w:name w:val="annotation subject"/>
    <w:basedOn w:val="CommentText"/>
    <w:next w:val="CommentText"/>
    <w:link w:val="CommentSubjectChar"/>
    <w:uiPriority w:val="99"/>
    <w:semiHidden/>
    <w:unhideWhenUsed/>
    <w:rsid w:val="00061583"/>
    <w:rPr>
      <w:b/>
      <w:bCs/>
      <w:sz w:val="20"/>
      <w:szCs w:val="20"/>
    </w:rPr>
  </w:style>
  <w:style w:type="character" w:customStyle="1" w:styleId="CommentSubjectChar">
    <w:name w:val="Comment Subject Char"/>
    <w:basedOn w:val="CommentTextChar"/>
    <w:link w:val="CommentSubject"/>
    <w:uiPriority w:val="99"/>
    <w:semiHidden/>
    <w:rsid w:val="00061583"/>
    <w:rPr>
      <w:rFonts w:ascii="Arial" w:hAnsi="Arial"/>
      <w:b/>
      <w:bCs/>
      <w:sz w:val="24"/>
      <w:szCs w:val="24"/>
      <w:lang w:eastAsia="en-US"/>
    </w:rPr>
  </w:style>
  <w:style w:type="paragraph" w:styleId="FootnoteText">
    <w:name w:val="footnote text"/>
    <w:basedOn w:val="Normal"/>
    <w:link w:val="FootnoteTextChar"/>
    <w:uiPriority w:val="99"/>
    <w:semiHidden/>
    <w:unhideWhenUsed/>
    <w:rsid w:val="00006C62"/>
    <w:rPr>
      <w:sz w:val="20"/>
      <w:szCs w:val="20"/>
    </w:rPr>
  </w:style>
  <w:style w:type="character" w:customStyle="1" w:styleId="FootnoteTextChar">
    <w:name w:val="Footnote Text Char"/>
    <w:basedOn w:val="DefaultParagraphFont"/>
    <w:link w:val="FootnoteText"/>
    <w:uiPriority w:val="99"/>
    <w:semiHidden/>
    <w:rsid w:val="00006C62"/>
    <w:rPr>
      <w:rFonts w:ascii="Arial" w:hAnsi="Arial"/>
      <w:lang w:eastAsia="en-US"/>
    </w:rPr>
  </w:style>
  <w:style w:type="character" w:styleId="FootnoteReference">
    <w:name w:val="footnote reference"/>
    <w:basedOn w:val="DefaultParagraphFont"/>
    <w:uiPriority w:val="99"/>
    <w:semiHidden/>
    <w:unhideWhenUsed/>
    <w:rsid w:val="00006C62"/>
    <w:rPr>
      <w:vertAlign w:val="superscript"/>
    </w:rPr>
  </w:style>
  <w:style w:type="paragraph" w:customStyle="1" w:styleId="Tabledata">
    <w:name w:val="Table data"/>
    <w:basedOn w:val="Normal"/>
    <w:qFormat/>
    <w:rsid w:val="00A81117"/>
    <w:pPr>
      <w:jc w:val="left"/>
    </w:pPr>
    <w:rPr>
      <w:rFonts w:eastAsia="Times New Roman"/>
      <w:sz w:val="23"/>
      <w:lang w:eastAsia="en-AU"/>
    </w:rPr>
  </w:style>
  <w:style w:type="paragraph" w:customStyle="1" w:styleId="Tableheading">
    <w:name w:val="Table heading"/>
    <w:basedOn w:val="Tabledata"/>
    <w:qFormat/>
    <w:rsid w:val="000B58AB"/>
    <w:rPr>
      <w:rFonts w:cs="Arial"/>
      <w:b/>
      <w:sz w:val="24"/>
      <w:lang w:eastAsia="en-US"/>
    </w:rPr>
  </w:style>
  <w:style w:type="paragraph" w:styleId="ListBullet">
    <w:name w:val="List Bullet"/>
    <w:basedOn w:val="Normal"/>
    <w:rsid w:val="00A81117"/>
    <w:pPr>
      <w:numPr>
        <w:numId w:val="34"/>
      </w:numPr>
      <w:spacing w:after="100"/>
      <w:ind w:left="697" w:hanging="357"/>
    </w:pPr>
    <w:rPr>
      <w:rFonts w:eastAsia="Times New Roman"/>
      <w:lang w:eastAsia="en-AU"/>
    </w:rPr>
  </w:style>
  <w:style w:type="paragraph" w:styleId="TableofFigures">
    <w:name w:val="table of figures"/>
    <w:basedOn w:val="Normal"/>
    <w:next w:val="Normal"/>
    <w:uiPriority w:val="99"/>
    <w:unhideWhenUsed/>
    <w:rsid w:val="00A81117"/>
    <w:pPr>
      <w:spacing w:after="120"/>
    </w:pPr>
    <w:rPr>
      <w:b/>
    </w:rPr>
  </w:style>
  <w:style w:type="paragraph" w:customStyle="1" w:styleId="StyleTableheadingRight">
    <w:name w:val="Style Table heading + Right"/>
    <w:basedOn w:val="Tableheading"/>
    <w:rsid w:val="00A81117"/>
    <w:rPr>
      <w:rFonts w:cs="Times New Roman"/>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3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DMCBDPFPS04\User$\cattaia\Documents\Offline%20Records%20(CP)\2018%2019%20Annual%20Report%20-%20Working%20Docs\CSCS%20Service%20Delivery%20FY%202018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CBDPFPS04\User$\cattaia\Documents\Offline%20Records%20(CP)\2018%2019%20Annual%20Report%20-%20Working%20Docs\CSCS%20Service%20Delivery%20FY%2020181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[CSCS Service Delivery FY 201819.XLSX]Annual Report Charts!PivotTable3</c:name>
    <c:fmtId val="10"/>
  </c:pivotSource>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b="1">
                <a:solidFill>
                  <a:schemeClr val="tx1"/>
                </a:solidFill>
              </a:rPr>
              <a:t>Service Delivery - Adult Person in Custody Movements</a:t>
            </a:r>
          </a:p>
          <a:p>
            <a:pPr>
              <a:defRPr>
                <a:solidFill>
                  <a:schemeClr val="tx1"/>
                </a:solidFill>
              </a:defRPr>
            </a:pPr>
            <a:r>
              <a:rPr lang="en-US" b="1">
                <a:solidFill>
                  <a:schemeClr val="tx1"/>
                </a:solidFill>
              </a:rPr>
              <a:t>1 July 2018 - 30 June 2019</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ivotFmts>
      <c:pivotFmt>
        <c:idx val="0"/>
        <c:spPr>
          <a:solidFill>
            <a:schemeClr val="accent2"/>
          </a:solidFill>
          <a:ln>
            <a:noFill/>
          </a:ln>
          <a:effectLst/>
        </c:spPr>
        <c:marker>
          <c:symbol val="none"/>
        </c:marker>
      </c:pivotFmt>
      <c:pivotFmt>
        <c:idx val="1"/>
        <c:spPr>
          <a:solidFill>
            <a:schemeClr val="accent2"/>
          </a:solidFill>
          <a:ln>
            <a:noFill/>
          </a:ln>
          <a:effectLst/>
        </c:spPr>
        <c:marker>
          <c:symbol val="none"/>
        </c:marker>
      </c:pivotFmt>
      <c:pivotFmt>
        <c:idx val="2"/>
        <c:spPr>
          <a:solidFill>
            <a:schemeClr val="accent2"/>
          </a:solidFill>
          <a:ln>
            <a:noFill/>
          </a:ln>
          <a:effectLst/>
        </c:spPr>
        <c:marker>
          <c:symbol val="none"/>
        </c:marker>
      </c:pivotFmt>
    </c:pivotFmts>
    <c:plotArea>
      <c:layout/>
      <c:barChart>
        <c:barDir val="col"/>
        <c:grouping val="clustered"/>
        <c:varyColors val="0"/>
        <c:ser>
          <c:idx val="0"/>
          <c:order val="0"/>
          <c:tx>
            <c:strRef>
              <c:f>'Annual Report Charts'!$C$31</c:f>
              <c:strCache>
                <c:ptCount val="1"/>
                <c:pt idx="0">
                  <c:v>Total</c:v>
                </c:pt>
              </c:strCache>
            </c:strRef>
          </c:tx>
          <c:spPr>
            <a:solidFill>
              <a:schemeClr val="accent2"/>
            </a:solidFill>
            <a:ln>
              <a:noFill/>
            </a:ln>
            <a:effectLst/>
          </c:spPr>
          <c:invertIfNegative val="0"/>
          <c:cat>
            <c:strRef>
              <c:f>'Annual Report Charts'!$B$32:$B$44</c:f>
              <c:strCache>
                <c:ptCount val="12"/>
                <c:pt idx="0">
                  <c:v>Jul 2018</c:v>
                </c:pt>
                <c:pt idx="1">
                  <c:v>Aug 2018</c:v>
                </c:pt>
                <c:pt idx="2">
                  <c:v>Sep 2018</c:v>
                </c:pt>
                <c:pt idx="3">
                  <c:v>Oct 2018</c:v>
                </c:pt>
                <c:pt idx="4">
                  <c:v>Nov 2018</c:v>
                </c:pt>
                <c:pt idx="5">
                  <c:v>Dec 2018</c:v>
                </c:pt>
                <c:pt idx="6">
                  <c:v>Jan 2019</c:v>
                </c:pt>
                <c:pt idx="7">
                  <c:v>Feb 2019</c:v>
                </c:pt>
                <c:pt idx="8">
                  <c:v>Mar 2019</c:v>
                </c:pt>
                <c:pt idx="9">
                  <c:v>Apr 2019</c:v>
                </c:pt>
                <c:pt idx="10">
                  <c:v>May 2019</c:v>
                </c:pt>
                <c:pt idx="11">
                  <c:v>Jun 2019</c:v>
                </c:pt>
              </c:strCache>
            </c:strRef>
          </c:cat>
          <c:val>
            <c:numRef>
              <c:f>'Annual Report Charts'!$C$32:$C$44</c:f>
              <c:numCache>
                <c:formatCode>General</c:formatCode>
                <c:ptCount val="12"/>
                <c:pt idx="0">
                  <c:v>3277</c:v>
                </c:pt>
                <c:pt idx="1">
                  <c:v>3555</c:v>
                </c:pt>
                <c:pt idx="2">
                  <c:v>2966</c:v>
                </c:pt>
                <c:pt idx="3">
                  <c:v>3690</c:v>
                </c:pt>
                <c:pt idx="4">
                  <c:v>3612</c:v>
                </c:pt>
                <c:pt idx="5">
                  <c:v>2811</c:v>
                </c:pt>
                <c:pt idx="6">
                  <c:v>3217</c:v>
                </c:pt>
                <c:pt idx="7">
                  <c:v>3224</c:v>
                </c:pt>
                <c:pt idx="8">
                  <c:v>3330</c:v>
                </c:pt>
                <c:pt idx="9">
                  <c:v>2943</c:v>
                </c:pt>
                <c:pt idx="10">
                  <c:v>3774</c:v>
                </c:pt>
                <c:pt idx="11">
                  <c:v>3027</c:v>
                </c:pt>
              </c:numCache>
            </c:numRef>
          </c:val>
        </c:ser>
        <c:dLbls>
          <c:showLegendKey val="0"/>
          <c:showVal val="0"/>
          <c:showCatName val="0"/>
          <c:showSerName val="0"/>
          <c:showPercent val="0"/>
          <c:showBubbleSize val="0"/>
        </c:dLbls>
        <c:gapWidth val="219"/>
        <c:overlap val="-27"/>
        <c:axId val="289727240"/>
        <c:axId val="289727632"/>
      </c:barChart>
      <c:dateAx>
        <c:axId val="289727240"/>
        <c:scaling>
          <c:orientation val="minMax"/>
        </c:scaling>
        <c:delete val="0"/>
        <c:axPos val="b"/>
        <c:numFmt formatCode="mmm\ yyyy" sourceLinked="0"/>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solidFill>
                <a:latin typeface="+mn-lt"/>
                <a:ea typeface="+mn-ea"/>
                <a:cs typeface="+mn-cs"/>
              </a:defRPr>
            </a:pPr>
            <a:endParaRPr lang="en-US"/>
          </a:p>
        </c:txPr>
        <c:crossAx val="289727632"/>
        <c:crosses val="autoZero"/>
        <c:auto val="0"/>
        <c:lblOffset val="100"/>
        <c:baseTimeUnit val="days"/>
      </c:dateAx>
      <c:valAx>
        <c:axId val="289727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89727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pivotSource>
    <c:name>[CSCS Service Delivery FY 201819.XLSX]Annual Report Charts!PivotTable1</c:name>
    <c:fmtId val="42"/>
  </c:pivotSource>
  <c:chart>
    <c:title>
      <c:tx>
        <c:rich>
          <a:bodyPr rot="0" spcFirstLastPara="1" vertOverflow="ellipsis" vert="horz" wrap="square" anchor="ctr" anchorCtr="1"/>
          <a:lstStyle/>
          <a:p>
            <a:pPr>
              <a:defRPr sz="1600" b="1" i="0" u="none" strike="noStrike" kern="1200" cap="all" baseline="0">
                <a:solidFill>
                  <a:schemeClr val="tx1"/>
                </a:solidFill>
                <a:latin typeface="+mn-lt"/>
                <a:ea typeface="+mn-ea"/>
                <a:cs typeface="+mn-cs"/>
              </a:defRPr>
            </a:pPr>
            <a:r>
              <a:rPr lang="en-US" sz="1600" b="1" i="0" cap="all" baseline="0">
                <a:solidFill>
                  <a:schemeClr val="tx1"/>
                </a:solidFill>
                <a:effectLst/>
              </a:rPr>
              <a:t>Services 1 July 2018 to 30 June 2019</a:t>
            </a:r>
            <a:endParaRPr lang="en-AU" sz="1400">
              <a:solidFill>
                <a:schemeClr val="tx1"/>
              </a:solidFill>
              <a:effectLst/>
            </a:endParaRPr>
          </a:p>
        </c:rich>
      </c:tx>
      <c:layout>
        <c:manualLayout>
          <c:xMode val="edge"/>
          <c:yMode val="edge"/>
          <c:x val="0.25019117887176862"/>
          <c:y val="2.0290390602980449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solidFill>
              <a:latin typeface="+mn-lt"/>
              <a:ea typeface="+mn-ea"/>
              <a:cs typeface="+mn-cs"/>
            </a:defRPr>
          </a:pPr>
          <a:endParaRPr lang="en-US"/>
        </a:p>
      </c:txPr>
    </c:title>
    <c:autoTitleDeleted val="0"/>
    <c:pivotFmts>
      <c:pivotFmt>
        <c:idx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marker>
          <c:symbol val="none"/>
        </c:marker>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Lst>
        </c:dLbl>
      </c:pivotFmt>
      <c:pivotFmt>
        <c:idx val="1"/>
        <c:spPr>
          <a:solidFill>
            <a:schemeClr val="accent2">
              <a:shade val="41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0.11317455834790116"/>
              <c:y val="-5.6864939053416767E-2"/>
            </c:manualLayout>
          </c:layout>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Lst>
        </c:dLbl>
      </c:pivotFmt>
      <c:pivotFmt>
        <c:idx val="2"/>
        <c:spPr>
          <a:solidFill>
            <a:schemeClr val="accent2">
              <a:shade val="53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2.0602109363926608E-2"/>
              <c:y val="-0.10774409504857911"/>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Lst>
        </c:dLbl>
      </c:pivotFmt>
      <c:pivotFmt>
        <c:idx val="3"/>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9.6100551300118242E-2"/>
              <c:y val="-3.5914698349526368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Lst>
        </c:dLbl>
      </c:pivotFmt>
      <c:pivotFmt>
        <c:idx val="4"/>
        <c:spPr>
          <a:solidFill>
            <a:schemeClr val="accent2">
              <a:shade val="7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8.398511611825013E-2"/>
              <c:y val="0.11372987810683351"/>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0870555560327978"/>
                  <c:h val="0.13590720433766604"/>
                </c:manualLayout>
              </c15:layout>
            </c:ext>
          </c:extLst>
        </c:dLbl>
      </c:pivotFmt>
      <c:pivotFmt>
        <c:idx val="5"/>
        <c:spPr>
          <a:solidFill>
            <a:schemeClr val="accent2">
              <a:tint val="42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5.48414664640519E-2"/>
              <c:y val="-7.7815179757307132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Lst>
        </c:dLbl>
      </c:pivotFmt>
      <c:pivotFmt>
        <c:idx val="6"/>
        <c:spPr>
          <a:solidFill>
            <a:schemeClr val="accent2">
              <a:shade val="88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9.6355040873360963E-3"/>
              <c:y val="0.17807704598306814"/>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2933182536648641"/>
                  <c:h val="0.13291431280853883"/>
                </c:manualLayout>
              </c15:layout>
            </c:ext>
          </c:extLst>
        </c:dLbl>
      </c:pivotFmt>
      <c:pivotFmt>
        <c:idx val="7"/>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4.2844895675040559E-2"/>
              <c:y val="8.3800962815561528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Lst>
        </c:dLbl>
      </c:pivotFmt>
      <c:pivotFmt>
        <c:idx val="8"/>
        <c:spPr>
          <a:solidFill>
            <a:schemeClr val="accent2">
              <a:tint val="89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numFmt formatCode="0.0%" sourceLinked="0"/>
          <c:spPr>
            <a:noFill/>
            <a:ln>
              <a:noFill/>
            </a:ln>
            <a:effectLst/>
          </c:spPr>
          <c:txPr>
            <a:bodyPr rot="0" spcFirstLastPara="1" vertOverflow="clip" horzOverflow="clip" vert="horz" wrap="square" lIns="38100" tIns="19050" rIns="38100" bIns="19050" anchor="ctr" anchorCtr="1">
              <a:no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Lst>
        </c:dLbl>
      </c:pivotFmt>
      <c:pivotFmt>
        <c:idx val="9"/>
        <c:spPr>
          <a:solidFill>
            <a:schemeClr val="accent2">
              <a:tint val="7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0.1097652397689855"/>
              <c:y val="4.4893372936908073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066088499285993"/>
                  <c:h val="8.2035156813376475E-2"/>
                </c:manualLayout>
              </c15:layout>
            </c:ext>
          </c:extLst>
        </c:dLbl>
      </c:pivotFmt>
      <c:pivotFmt>
        <c:idx val="1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1.1286733375327693E-2"/>
              <c:y val="9.8765420461197517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2420742003421922"/>
                  <c:h val="0.13590720433766604"/>
                </c:manualLayout>
              </c15:layout>
            </c:ext>
          </c:extLst>
        </c:dLbl>
      </c:pivotFmt>
      <c:pivotFmt>
        <c:idx val="11"/>
        <c:spPr>
          <a:solidFill>
            <a:schemeClr val="accent2">
              <a:tint val="54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5.7416480826097294E-2"/>
              <c:y val="-0.2244668646845398"/>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5.8863841505518245E-2"/>
                  <c:h val="8.2035156813376475E-2"/>
                </c:manualLayout>
              </c15:layout>
            </c:ext>
          </c:extLst>
        </c:dLbl>
      </c:pivotFmt>
      <c:pivotFmt>
        <c:idx val="12"/>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marker>
          <c:symbol val="none"/>
        </c:marker>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Lst>
        </c:dLbl>
      </c:pivotFmt>
      <c:pivotFmt>
        <c:idx val="13"/>
        <c:spPr>
          <a:solidFill>
            <a:schemeClr val="accent2">
              <a:shade val="41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0.11317455834790116"/>
              <c:y val="-5.6864939053416767E-2"/>
            </c:manualLayout>
          </c:layout>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Lst>
        </c:dLbl>
      </c:pivotFmt>
      <c:pivotFmt>
        <c:idx val="14"/>
        <c:spPr>
          <a:solidFill>
            <a:schemeClr val="accent2">
              <a:shade val="53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2.0602109363926608E-2"/>
              <c:y val="-0.10774409504857911"/>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Lst>
        </c:dLbl>
      </c:pivotFmt>
      <c:pivotFmt>
        <c:idx val="15"/>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9.6100551300118242E-2"/>
              <c:y val="-3.5914698349526368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Lst>
        </c:dLbl>
      </c:pivotFmt>
      <c:pivotFmt>
        <c:idx val="16"/>
        <c:spPr>
          <a:solidFill>
            <a:schemeClr val="accent2">
              <a:shade val="7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8.398511611825013E-2"/>
              <c:y val="0.11372987810683351"/>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0870555560327978"/>
                  <c:h val="0.13590720433766604"/>
                </c:manualLayout>
              </c15:layout>
            </c:ext>
          </c:extLst>
        </c:dLbl>
      </c:pivotFmt>
      <c:pivotFmt>
        <c:idx val="17"/>
        <c:spPr>
          <a:solidFill>
            <a:schemeClr val="accent2">
              <a:shade val="88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9.6355040873360963E-3"/>
              <c:y val="0.17807704598306814"/>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2933182536648641"/>
                  <c:h val="0.13291431280853883"/>
                </c:manualLayout>
              </c15:layout>
            </c:ext>
          </c:extLst>
        </c:dLbl>
      </c:pivotFmt>
      <c:pivotFmt>
        <c:idx val="18"/>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4.2844895675040559E-2"/>
              <c:y val="8.3800962815561528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Lst>
        </c:dLbl>
      </c:pivotFmt>
      <c:pivotFmt>
        <c:idx val="19"/>
        <c:spPr>
          <a:solidFill>
            <a:schemeClr val="accent2">
              <a:tint val="89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numFmt formatCode="0.0%" sourceLinked="0"/>
          <c:spPr>
            <a:noFill/>
            <a:ln>
              <a:noFill/>
            </a:ln>
            <a:effectLst/>
          </c:spPr>
          <c:txPr>
            <a:bodyPr rot="0" spcFirstLastPara="1" vertOverflow="clip" horzOverflow="clip" vert="horz" wrap="square" lIns="38100" tIns="19050" rIns="38100" bIns="19050" anchor="ctr" anchorCtr="1">
              <a:no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Lst>
        </c:dLbl>
      </c:pivotFmt>
      <c:pivotFmt>
        <c:idx val="20"/>
        <c:spPr>
          <a:solidFill>
            <a:schemeClr val="accent2">
              <a:tint val="7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0.1097652397689855"/>
              <c:y val="4.4893372936908073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066088499285993"/>
                  <c:h val="8.2035156813376475E-2"/>
                </c:manualLayout>
              </c15:layout>
            </c:ext>
          </c:extLst>
        </c:dLbl>
      </c:pivotFmt>
      <c:pivotFmt>
        <c:idx val="21"/>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1.1286733375327693E-2"/>
              <c:y val="9.8765420461197517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2420742003421922"/>
                  <c:h val="0.13590720433766604"/>
                </c:manualLayout>
              </c15:layout>
            </c:ext>
          </c:extLst>
        </c:dLbl>
      </c:pivotFmt>
      <c:pivotFmt>
        <c:idx val="22"/>
        <c:spPr>
          <a:solidFill>
            <a:schemeClr val="accent2">
              <a:tint val="54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5.7416480826097294E-2"/>
              <c:y val="-0.2244668646845398"/>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5.8863841505518245E-2"/>
                  <c:h val="8.2035156813376475E-2"/>
                </c:manualLayout>
              </c15:layout>
            </c:ext>
          </c:extLst>
        </c:dLbl>
      </c:pivotFmt>
      <c:pivotFmt>
        <c:idx val="23"/>
        <c:spPr>
          <a:solidFill>
            <a:schemeClr val="accent2">
              <a:tint val="42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5.48414664640519E-2"/>
              <c:y val="-7.7815179757307132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Lst>
        </c:dLbl>
      </c:pivotFmt>
      <c:pivotFmt>
        <c:idx val="24"/>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marker>
          <c:symbol val="none"/>
        </c:marker>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Lst>
        </c:dLbl>
      </c:pivotFmt>
      <c:pivotFmt>
        <c:idx val="25"/>
        <c:spPr>
          <a:solidFill>
            <a:schemeClr val="accent2">
              <a:shade val="41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0.11317455834790116"/>
              <c:y val="-5.6864939053416767E-2"/>
            </c:manualLayout>
          </c:layout>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Lst>
        </c:dLbl>
      </c:pivotFmt>
      <c:pivotFmt>
        <c:idx val="26"/>
        <c:spPr>
          <a:solidFill>
            <a:schemeClr val="accent2">
              <a:shade val="53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2.0602109363926608E-2"/>
              <c:y val="-0.10774409504857911"/>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Lst>
        </c:dLbl>
      </c:pivotFmt>
      <c:pivotFmt>
        <c:idx val="27"/>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9.6100551300118242E-2"/>
              <c:y val="-3.5914698349526368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Lst>
        </c:dLbl>
      </c:pivotFmt>
      <c:pivotFmt>
        <c:idx val="28"/>
        <c:spPr>
          <a:solidFill>
            <a:schemeClr val="accent2">
              <a:shade val="7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8.398511611825013E-2"/>
              <c:y val="0.11372987810683351"/>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0870555560327978"/>
                  <c:h val="0.13590720433766604"/>
                </c:manualLayout>
              </c15:layout>
            </c:ext>
          </c:extLst>
        </c:dLbl>
      </c:pivotFmt>
      <c:pivotFmt>
        <c:idx val="29"/>
        <c:spPr>
          <a:solidFill>
            <a:schemeClr val="accent2">
              <a:shade val="88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9.6355040873360963E-3"/>
              <c:y val="0.17807704598306814"/>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2933182536648641"/>
                  <c:h val="0.13291431280853883"/>
                </c:manualLayout>
              </c15:layout>
            </c:ext>
          </c:extLst>
        </c:dLbl>
      </c:pivotFmt>
      <c:pivotFmt>
        <c:idx val="3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4.2844895675040559E-2"/>
              <c:y val="8.3800962815561528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Lst>
        </c:dLbl>
      </c:pivotFmt>
      <c:pivotFmt>
        <c:idx val="31"/>
        <c:spPr>
          <a:solidFill>
            <a:schemeClr val="accent2">
              <a:tint val="89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numFmt formatCode="0.0%" sourceLinked="0"/>
          <c:spPr>
            <a:noFill/>
            <a:ln>
              <a:noFill/>
            </a:ln>
            <a:effectLst/>
          </c:spPr>
          <c:txPr>
            <a:bodyPr rot="0" spcFirstLastPara="1" vertOverflow="clip" horzOverflow="clip" vert="horz" wrap="square" lIns="38100" tIns="19050" rIns="38100" bIns="19050" anchor="ctr" anchorCtr="1">
              <a:no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Lst>
        </c:dLbl>
      </c:pivotFmt>
      <c:pivotFmt>
        <c:idx val="32"/>
        <c:spPr>
          <a:solidFill>
            <a:schemeClr val="accent2">
              <a:tint val="7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0.1097652397689855"/>
              <c:y val="4.4893372936908073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066088499285993"/>
                  <c:h val="8.2035156813376475E-2"/>
                </c:manualLayout>
              </c15:layout>
            </c:ext>
          </c:extLst>
        </c:dLbl>
      </c:pivotFmt>
      <c:pivotFmt>
        <c:idx val="33"/>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1.1286733375327693E-2"/>
              <c:y val="9.8765420461197517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2420742003421922"/>
                  <c:h val="0.13590720433766604"/>
                </c:manualLayout>
              </c15:layout>
            </c:ext>
          </c:extLst>
        </c:dLbl>
      </c:pivotFmt>
      <c:pivotFmt>
        <c:idx val="34"/>
        <c:spPr>
          <a:solidFill>
            <a:schemeClr val="accent2">
              <a:tint val="54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5.7416480826097294E-2"/>
              <c:y val="-0.2244668646845398"/>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5.8863841505518245E-2"/>
                  <c:h val="8.2035156813376475E-2"/>
                </c:manualLayout>
              </c15:layout>
            </c:ext>
          </c:extLst>
        </c:dLbl>
      </c:pivotFmt>
      <c:pivotFmt>
        <c:idx val="35"/>
        <c:spPr>
          <a:solidFill>
            <a:schemeClr val="accent2">
              <a:tint val="42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Lbl>
          <c:idx val="0"/>
          <c:layout>
            <c:manualLayout>
              <c:x val="-5.48414664640519E-2"/>
              <c:y val="-7.7815179757307132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Lst>
        </c:dLbl>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'Annual Report Charts'!$C$5</c:f>
              <c:strCache>
                <c:ptCount val="1"/>
                <c:pt idx="0">
                  <c:v>Total</c:v>
                </c:pt>
              </c:strCache>
            </c:strRef>
          </c:tx>
          <c:explosion val="15"/>
          <c:dPt>
            <c:idx val="0"/>
            <c:bubble3D val="0"/>
            <c:spPr>
              <a:solidFill>
                <a:schemeClr val="accent2">
                  <a:shade val="41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hade val="53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2">
                  <a:shade val="7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spPr>
              <a:solidFill>
                <a:schemeClr val="accent2">
                  <a:shade val="88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6"/>
            <c:bubble3D val="0"/>
            <c:spPr>
              <a:solidFill>
                <a:schemeClr val="accent2">
                  <a:tint val="89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7"/>
            <c:bubble3D val="0"/>
            <c:spPr>
              <a:solidFill>
                <a:schemeClr val="accent2">
                  <a:tint val="7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8"/>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9"/>
            <c:bubble3D val="0"/>
            <c:spPr>
              <a:solidFill>
                <a:schemeClr val="accent2">
                  <a:tint val="54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0"/>
            <c:bubble3D val="0"/>
            <c:spPr>
              <a:solidFill>
                <a:schemeClr val="accent2">
                  <a:tint val="42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6.6207646976250742E-2"/>
                  <c:y val="-7.2276188844092081E-3"/>
                </c:manualLayout>
              </c:layout>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2.0602109363926608E-2"/>
                  <c:y val="-0.10774409504857911"/>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6.4408507180429259E-2"/>
                  <c:y val="-0.21728164563621988"/>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11648678175"/>
                      <c:h val="0.16956853760977472"/>
                    </c:manualLayout>
                  </c15:layout>
                </c:ext>
              </c:extLst>
            </c:dLbl>
            <c:dLbl>
              <c:idx val="3"/>
              <c:layout>
                <c:manualLayout>
                  <c:x val="8.1902929280335365E-2"/>
                  <c:y val="-7.5273516068223495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9.3203375599531596E-2"/>
                      <c:h val="0.17027145661775092"/>
                    </c:manualLayout>
                  </c15:layout>
                </c:ext>
              </c:extLst>
            </c:dLbl>
            <c:dLbl>
              <c:idx val="4"/>
              <c:layout>
                <c:manualLayout>
                  <c:x val="5.6235695596183577E-2"/>
                  <c:y val="9.2166271312305897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2711718254795162"/>
                      <c:h val="0.18255149377805438"/>
                    </c:manualLayout>
                  </c15:layout>
                </c:ext>
              </c:extLst>
            </c:dLbl>
            <c:dLbl>
              <c:idx val="5"/>
              <c:layout>
                <c:manualLayout>
                  <c:x val="4.2416976695319797E-2"/>
                  <c:y val="3.7981979056741479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6485439043295316"/>
                      <c:h val="0.15126017323435945"/>
                    </c:manualLayout>
                  </c15:layout>
                </c:ext>
              </c:extLst>
            </c:dLbl>
            <c:dLbl>
              <c:idx val="6"/>
              <c:layout>
                <c:manualLayout>
                  <c:x val="7.640349905879748E-2"/>
                  <c:y val="-7.6366528067154417E-3"/>
                </c:manualLayout>
              </c:layout>
              <c:numFmt formatCode="0.0%" sourceLinked="0"/>
              <c:spPr>
                <a:noFill/>
                <a:ln>
                  <a:noFill/>
                </a:ln>
                <a:effectLst/>
              </c:spPr>
              <c:txPr>
                <a:bodyPr rot="0" spcFirstLastPara="1" vertOverflow="clip" horzOverflow="clip" vert="horz" wrap="square" lIns="38100" tIns="19050" rIns="38100" bIns="19050" anchor="ctr" anchorCtr="1">
                  <a:noAutofit/>
                </a:bodyPr>
                <a:lstStyle/>
                <a:p>
                  <a:pPr>
                    <a:defRPr sz="9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530948953604252"/>
                      <c:h val="0.14404788748485478"/>
                    </c:manualLayout>
                  </c15:layout>
                </c:ext>
              </c:extLst>
            </c:dLbl>
            <c:dLbl>
              <c:idx val="7"/>
              <c:layout>
                <c:manualLayout>
                  <c:x val="-0.18838332009517533"/>
                  <c:y val="-3.8184015657837986E-3"/>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7969042763464774"/>
                      <c:h val="0.13167254436838005"/>
                    </c:manualLayout>
                  </c15:layout>
                </c:ext>
              </c:extLst>
            </c:dLbl>
            <c:dLbl>
              <c:idx val="8"/>
              <c:layout>
                <c:manualLayout>
                  <c:x val="2.0007943128595024E-3"/>
                  <c:y val="0.1121292953603083"/>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5078247541059361"/>
                      <c:h val="0.1626349541358876"/>
                    </c:manualLayout>
                  </c15:layout>
                </c:ext>
              </c:extLst>
            </c:dLbl>
            <c:dLbl>
              <c:idx val="9"/>
              <c:layout>
                <c:manualLayout>
                  <c:x val="-3.9699691579963711E-2"/>
                  <c:y val="-0.21110292462983299"/>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9.4297419997785403E-2"/>
                      <c:h val="0.10876303692279013"/>
                    </c:manualLayout>
                  </c15:layout>
                </c:ext>
              </c:extLst>
            </c:dLbl>
            <c:dLbl>
              <c:idx val="10"/>
              <c:layout>
                <c:manualLayout>
                  <c:x val="-5.48414664640519E-2"/>
                  <c:y val="-7.7815179757307132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solidFill>
                    <a:latin typeface="+mn-lt"/>
                    <a:ea typeface="+mn-ea"/>
                    <a:cs typeface="+mn-cs"/>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'Annual Report Charts'!$B$6:$B$17</c:f>
              <c:strCache>
                <c:ptCount val="11"/>
                <c:pt idx="0">
                  <c:v>Court to Prison</c:v>
                </c:pt>
                <c:pt idx="1">
                  <c:v>Prison to Court</c:v>
                </c:pt>
                <c:pt idx="2">
                  <c:v>Day Admissions</c:v>
                </c:pt>
                <c:pt idx="3">
                  <c:v>Funerals</c:v>
                </c:pt>
                <c:pt idx="4">
                  <c:v>Hospital to Prison</c:v>
                </c:pt>
                <c:pt idx="5">
                  <c:v>Medical Appointments</c:v>
                </c:pt>
                <c:pt idx="6">
                  <c:v>Unscheduled Medicals</c:v>
                </c:pt>
                <c:pt idx="7">
                  <c:v>Prison to Hospital</c:v>
                </c:pt>
                <c:pt idx="8">
                  <c:v>Transfers</c:v>
                </c:pt>
                <c:pt idx="9">
                  <c:v>Visits</c:v>
                </c:pt>
                <c:pt idx="10">
                  <c:v>Lock Up Clearance</c:v>
                </c:pt>
              </c:strCache>
            </c:strRef>
          </c:cat>
          <c:val>
            <c:numRef>
              <c:f>'Annual Report Charts'!$C$6:$C$17</c:f>
              <c:numCache>
                <c:formatCode>General</c:formatCode>
                <c:ptCount val="11"/>
                <c:pt idx="0">
                  <c:v>5770</c:v>
                </c:pt>
                <c:pt idx="1">
                  <c:v>6878</c:v>
                </c:pt>
                <c:pt idx="2">
                  <c:v>224</c:v>
                </c:pt>
                <c:pt idx="3">
                  <c:v>216</c:v>
                </c:pt>
                <c:pt idx="4">
                  <c:v>118</c:v>
                </c:pt>
                <c:pt idx="5">
                  <c:v>5505</c:v>
                </c:pt>
                <c:pt idx="6">
                  <c:v>300</c:v>
                </c:pt>
                <c:pt idx="7">
                  <c:v>187</c:v>
                </c:pt>
                <c:pt idx="8">
                  <c:v>9434</c:v>
                </c:pt>
                <c:pt idx="9">
                  <c:v>53</c:v>
                </c:pt>
                <c:pt idx="10">
                  <c:v>10741</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0B23839ED04181BF3EFF6662D253C7"/>
        <w:category>
          <w:name w:val="General"/>
          <w:gallery w:val="placeholder"/>
        </w:category>
        <w:types>
          <w:type w:val="bbPlcHdr"/>
        </w:types>
        <w:behaviors>
          <w:behavior w:val="content"/>
        </w:behaviors>
        <w:guid w:val="{D75CEED0-EE3C-4EF3-99E1-B5865772E844}"/>
      </w:docPartPr>
      <w:docPartBody>
        <w:p w:rsidR="00BF52E4" w:rsidRDefault="00BB7315" w:rsidP="00BB7315">
          <w:pPr>
            <w:pStyle w:val="F60B23839ED04181BF3EFF6662D253C7"/>
          </w:pPr>
          <w:r w:rsidRPr="009646F2">
            <w:rPr>
              <w:rStyle w:val="PlaceholderText"/>
            </w:rPr>
            <w:t>Choose an item.</w:t>
          </w:r>
        </w:p>
      </w:docPartBody>
    </w:docPart>
    <w:docPart>
      <w:docPartPr>
        <w:name w:val="35E47D86177542E0956FDE6948AA54AD"/>
        <w:category>
          <w:name w:val="General"/>
          <w:gallery w:val="placeholder"/>
        </w:category>
        <w:types>
          <w:type w:val="bbPlcHdr"/>
        </w:types>
        <w:behaviors>
          <w:behavior w:val="content"/>
        </w:behaviors>
        <w:guid w:val="{2D879131-FC59-43B3-8782-79E775CBBBE6}"/>
      </w:docPartPr>
      <w:docPartBody>
        <w:p w:rsidR="00BF52E4" w:rsidRDefault="00BB7315" w:rsidP="00BB7315">
          <w:pPr>
            <w:pStyle w:val="35E47D86177542E0956FDE6948AA54AD"/>
          </w:pPr>
          <w:r w:rsidRPr="009646F2">
            <w:rPr>
              <w:rStyle w:val="PlaceholderText"/>
            </w:rPr>
            <w:t>Click here to enter a date.</w:t>
          </w:r>
        </w:p>
      </w:docPartBody>
    </w:docPart>
    <w:docPart>
      <w:docPartPr>
        <w:name w:val="8289F2EFBA784D998DC4CDA48E791D57"/>
        <w:category>
          <w:name w:val="General"/>
          <w:gallery w:val="placeholder"/>
        </w:category>
        <w:types>
          <w:type w:val="bbPlcHdr"/>
        </w:types>
        <w:behaviors>
          <w:behavior w:val="content"/>
        </w:behaviors>
        <w:guid w:val="{DFF42530-D2BE-46DC-AB80-886775CBAECD}"/>
      </w:docPartPr>
      <w:docPartBody>
        <w:p w:rsidR="00BF52E4" w:rsidRDefault="00BB7315" w:rsidP="00BB7315">
          <w:pPr>
            <w:pStyle w:val="8289F2EFBA784D998DC4CDA48E791D57"/>
          </w:pPr>
          <w:r w:rsidRPr="009646F2">
            <w:rPr>
              <w:rStyle w:val="PlaceholderText"/>
            </w:rPr>
            <w:t>Click here to enter text.</w:t>
          </w:r>
        </w:p>
      </w:docPartBody>
    </w:docPart>
    <w:docPart>
      <w:docPartPr>
        <w:name w:val="EA4F8D53F8AB49C488643FA73B754248"/>
        <w:category>
          <w:name w:val="General"/>
          <w:gallery w:val="placeholder"/>
        </w:category>
        <w:types>
          <w:type w:val="bbPlcHdr"/>
        </w:types>
        <w:behaviors>
          <w:behavior w:val="content"/>
        </w:behaviors>
        <w:guid w:val="{34CC4EE8-C3E5-4F05-9512-6AE3977CFF5E}"/>
      </w:docPartPr>
      <w:docPartBody>
        <w:p w:rsidR="00BF52E4" w:rsidRDefault="00BB7315" w:rsidP="00BB7315">
          <w:pPr>
            <w:pStyle w:val="EA4F8D53F8AB49C488643FA73B754248"/>
          </w:pPr>
          <w:r w:rsidRPr="009646F2">
            <w:rPr>
              <w:rStyle w:val="PlaceholderText"/>
            </w:rPr>
            <w:t>Click here to enter text.</w:t>
          </w:r>
        </w:p>
      </w:docPartBody>
    </w:docPart>
    <w:docPart>
      <w:docPartPr>
        <w:name w:val="9B152486D8F445C4AEE2A44410A23418"/>
        <w:category>
          <w:name w:val="General"/>
          <w:gallery w:val="placeholder"/>
        </w:category>
        <w:types>
          <w:type w:val="bbPlcHdr"/>
        </w:types>
        <w:behaviors>
          <w:behavior w:val="content"/>
        </w:behaviors>
        <w:guid w:val="{8982D26A-DB5F-4012-ABFC-428AFC3B3D59}"/>
      </w:docPartPr>
      <w:docPartBody>
        <w:p w:rsidR="00BF52E4" w:rsidRDefault="00BB7315" w:rsidP="00BB7315">
          <w:pPr>
            <w:pStyle w:val="9B152486D8F445C4AEE2A44410A23418"/>
          </w:pPr>
          <w:r w:rsidRPr="009646F2">
            <w:rPr>
              <w:rStyle w:val="PlaceholderText"/>
            </w:rPr>
            <w:t>Click here to enter a date.</w:t>
          </w:r>
        </w:p>
      </w:docPartBody>
    </w:docPart>
    <w:docPart>
      <w:docPartPr>
        <w:name w:val="DAF295994B534015A2A647E4F8885987"/>
        <w:category>
          <w:name w:val="General"/>
          <w:gallery w:val="placeholder"/>
        </w:category>
        <w:types>
          <w:type w:val="bbPlcHdr"/>
        </w:types>
        <w:behaviors>
          <w:behavior w:val="content"/>
        </w:behaviors>
        <w:guid w:val="{0AA3D772-07B4-4E50-838E-42D73A2FDF16}"/>
      </w:docPartPr>
      <w:docPartBody>
        <w:p w:rsidR="00BF52E4" w:rsidRDefault="00BB7315" w:rsidP="00BB7315">
          <w:pPr>
            <w:pStyle w:val="DAF295994B534015A2A647E4F8885987"/>
          </w:pPr>
          <w:r w:rsidRPr="009646F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7D"/>
    <w:rsid w:val="004B1B5D"/>
    <w:rsid w:val="0099557D"/>
    <w:rsid w:val="00A228D7"/>
    <w:rsid w:val="00A76724"/>
    <w:rsid w:val="00BB7315"/>
    <w:rsid w:val="00BF52E4"/>
    <w:rsid w:val="00CD48C3"/>
    <w:rsid w:val="00E364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315"/>
    <w:rPr>
      <w:color w:val="808080"/>
    </w:rPr>
  </w:style>
  <w:style w:type="paragraph" w:customStyle="1" w:styleId="528A54E1978541BC8F8B231FB8620CF6">
    <w:name w:val="528A54E1978541BC8F8B231FB8620CF6"/>
  </w:style>
  <w:style w:type="paragraph" w:customStyle="1" w:styleId="7774BD0C9C814DC59FF02F481881A29E">
    <w:name w:val="7774BD0C9C814DC59FF02F481881A29E"/>
  </w:style>
  <w:style w:type="paragraph" w:customStyle="1" w:styleId="0417912789A44034B4D103123C6BF2FA">
    <w:name w:val="0417912789A44034B4D103123C6BF2FA"/>
  </w:style>
  <w:style w:type="paragraph" w:customStyle="1" w:styleId="8D359DB4F23E43628F49C40CC04AE1CD">
    <w:name w:val="8D359DB4F23E43628F49C40CC04AE1CD"/>
  </w:style>
  <w:style w:type="paragraph" w:customStyle="1" w:styleId="CCDF77A3B8A14B0F8EC540A47293B452">
    <w:name w:val="CCDF77A3B8A14B0F8EC540A47293B452"/>
    <w:rsid w:val="00BB7315"/>
  </w:style>
  <w:style w:type="paragraph" w:customStyle="1" w:styleId="B537C5102EC840B09179DE8CDCAF9999">
    <w:name w:val="B537C5102EC840B09179DE8CDCAF9999"/>
    <w:rsid w:val="00BB7315"/>
  </w:style>
  <w:style w:type="paragraph" w:customStyle="1" w:styleId="7522425BCC9B427AA619F66B3C71BD2E">
    <w:name w:val="7522425BCC9B427AA619F66B3C71BD2E"/>
    <w:rsid w:val="00BB7315"/>
  </w:style>
  <w:style w:type="paragraph" w:customStyle="1" w:styleId="C6E3AFB7B17844D580C9332B67EA3601">
    <w:name w:val="C6E3AFB7B17844D580C9332B67EA3601"/>
    <w:rsid w:val="00BB7315"/>
  </w:style>
  <w:style w:type="paragraph" w:customStyle="1" w:styleId="5DAF7F9B82734070975AEE6B088A7CCE">
    <w:name w:val="5DAF7F9B82734070975AEE6B088A7CCE"/>
    <w:rsid w:val="00BB7315"/>
  </w:style>
  <w:style w:type="paragraph" w:customStyle="1" w:styleId="83E942BFCE934FDE86D25818C03BF3F4">
    <w:name w:val="83E942BFCE934FDE86D25818C03BF3F4"/>
    <w:rsid w:val="00BB7315"/>
  </w:style>
  <w:style w:type="paragraph" w:customStyle="1" w:styleId="786E10E1F1AC4C18A37B120A9311F6A4">
    <w:name w:val="786E10E1F1AC4C18A37B120A9311F6A4"/>
    <w:rsid w:val="00BB7315"/>
  </w:style>
  <w:style w:type="paragraph" w:customStyle="1" w:styleId="83A6880579604204B0BAAC2CFA2675E9">
    <w:name w:val="83A6880579604204B0BAAC2CFA2675E9"/>
    <w:rsid w:val="00BB7315"/>
  </w:style>
  <w:style w:type="paragraph" w:customStyle="1" w:styleId="8F81F43A899A403A9B74ECD54C5CF8D9">
    <w:name w:val="8F81F43A899A403A9B74ECD54C5CF8D9"/>
    <w:rsid w:val="00BB7315"/>
  </w:style>
  <w:style w:type="paragraph" w:customStyle="1" w:styleId="F101B91FCE5A42F29E6176276DE9A0E9">
    <w:name w:val="F101B91FCE5A42F29E6176276DE9A0E9"/>
    <w:rsid w:val="00BB7315"/>
  </w:style>
  <w:style w:type="paragraph" w:customStyle="1" w:styleId="D1509341EEB54ECF834374DFA9D543D1">
    <w:name w:val="D1509341EEB54ECF834374DFA9D543D1"/>
    <w:rsid w:val="00BB7315"/>
  </w:style>
  <w:style w:type="paragraph" w:customStyle="1" w:styleId="5073DFDB98034C30A4720AE0410121E9">
    <w:name w:val="5073DFDB98034C30A4720AE0410121E9"/>
    <w:rsid w:val="00BB7315"/>
  </w:style>
  <w:style w:type="paragraph" w:customStyle="1" w:styleId="42F5824AD1C443DBBAE7CA52E5DCB47E">
    <w:name w:val="42F5824AD1C443DBBAE7CA52E5DCB47E"/>
    <w:rsid w:val="00BB7315"/>
  </w:style>
  <w:style w:type="paragraph" w:customStyle="1" w:styleId="0BFA6B210ADF4F5AB2372E4E2E14DFBF">
    <w:name w:val="0BFA6B210ADF4F5AB2372E4E2E14DFBF"/>
    <w:rsid w:val="00BB7315"/>
  </w:style>
  <w:style w:type="paragraph" w:customStyle="1" w:styleId="457A420C227940518D0AB12DD75A1DC2">
    <w:name w:val="457A420C227940518D0AB12DD75A1DC2"/>
    <w:rsid w:val="00BB7315"/>
  </w:style>
  <w:style w:type="paragraph" w:customStyle="1" w:styleId="F7980E1430FC4C7FB188BEBE67FAD364">
    <w:name w:val="F7980E1430FC4C7FB188BEBE67FAD364"/>
    <w:rsid w:val="00BB7315"/>
  </w:style>
  <w:style w:type="paragraph" w:customStyle="1" w:styleId="F27C8476E0E949A5BBA9E764E9CA7F22">
    <w:name w:val="F27C8476E0E949A5BBA9E764E9CA7F22"/>
    <w:rsid w:val="00BB7315"/>
  </w:style>
  <w:style w:type="paragraph" w:customStyle="1" w:styleId="726C7D5FEBFE4D96B0E87DD9DEC991E3">
    <w:name w:val="726C7D5FEBFE4D96B0E87DD9DEC991E3"/>
    <w:rsid w:val="00BB7315"/>
  </w:style>
  <w:style w:type="paragraph" w:customStyle="1" w:styleId="877AEA6C417A4C8DA8EDD348FBA65A19">
    <w:name w:val="877AEA6C417A4C8DA8EDD348FBA65A19"/>
    <w:rsid w:val="00BB7315"/>
  </w:style>
  <w:style w:type="paragraph" w:customStyle="1" w:styleId="F60B23839ED04181BF3EFF6662D253C7">
    <w:name w:val="F60B23839ED04181BF3EFF6662D253C7"/>
    <w:rsid w:val="00BB7315"/>
  </w:style>
  <w:style w:type="paragraph" w:customStyle="1" w:styleId="35E47D86177542E0956FDE6948AA54AD">
    <w:name w:val="35E47D86177542E0956FDE6948AA54AD"/>
    <w:rsid w:val="00BB7315"/>
  </w:style>
  <w:style w:type="paragraph" w:customStyle="1" w:styleId="75F7F9B5CEFC450AAD048077B90C2571">
    <w:name w:val="75F7F9B5CEFC450AAD048077B90C2571"/>
    <w:rsid w:val="00BB7315"/>
  </w:style>
  <w:style w:type="paragraph" w:customStyle="1" w:styleId="8289F2EFBA784D998DC4CDA48E791D57">
    <w:name w:val="8289F2EFBA784D998DC4CDA48E791D57"/>
    <w:rsid w:val="00BB7315"/>
  </w:style>
  <w:style w:type="paragraph" w:customStyle="1" w:styleId="EA4F8D53F8AB49C488643FA73B754248">
    <w:name w:val="EA4F8D53F8AB49C488643FA73B754248"/>
    <w:rsid w:val="00BB7315"/>
  </w:style>
  <w:style w:type="paragraph" w:customStyle="1" w:styleId="9B152486D8F445C4AEE2A44410A23418">
    <w:name w:val="9B152486D8F445C4AEE2A44410A23418"/>
    <w:rsid w:val="00BB7315"/>
  </w:style>
  <w:style w:type="paragraph" w:customStyle="1" w:styleId="DAF295994B534015A2A647E4F8885987">
    <w:name w:val="DAF295994B534015A2A647E4F8885987"/>
    <w:rsid w:val="00BB7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This template is used to create departmental reports.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5230902-a580-4ba6-8738-a56353c9ac26" ContentTypeId="0x010100C5D63A055CE82242A2E4B837C82D470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31270-8447-466A-B9FE-DA2C0C9A5A75}">
  <ds:schemaRefs>
    <ds:schemaRef ds:uri="http://schemas.microsoft.com/office/infopath/2007/PartnerControls"/>
    <ds:schemaRef ds:uri="http://schemas.microsoft.com/office/2006/metadata/properties"/>
    <ds:schemaRef ds:uri="http://purl.org/dc/elements/1.1/"/>
    <ds:schemaRef ds:uri="87620643-678a-4ec4-b8d1-35ea5295a2f1"/>
    <ds:schemaRef ds:uri="http://purl.org/dc/terms/"/>
    <ds:schemaRef ds:uri="http://schemas.microsoft.com/sharepoint/v3/fields"/>
    <ds:schemaRef ds:uri="http://www.w3.org/XML/1998/namespace"/>
    <ds:schemaRef ds:uri="http://schemas.microsoft.com/office/2006/documentManagement/types"/>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4.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5.xml><?xml version="1.0" encoding="utf-8"?>
<ds:datastoreItem xmlns:ds="http://schemas.openxmlformats.org/officeDocument/2006/customXml" ds:itemID="{19D39A5D-34CE-4B93-8B4E-20EEC98F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3088</Words>
  <Characters>17602</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Report template</vt:lpstr>
    </vt:vector>
  </TitlesOfParts>
  <Manager>Nimilandra.Nageswaran@correctiveservices.wa.gov.au</Manager>
  <Company>Department of Justice</Company>
  <LinksUpToDate>false</LinksUpToDate>
  <CharactersWithSpaces>20649</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Chalmers, Jeremy</dc:creator>
  <cp:keywords>Brochure; Color; Colors; Colour; Colours; Corporate; Info; Information; Stationery; Style; Template; Templates; Justice; Report; Reports; Publication; Publications; Guide; Procedure; Procedures.</cp:keywords>
  <cp:lastModifiedBy>Maris Margetts</cp:lastModifiedBy>
  <cp:revision>4</cp:revision>
  <cp:lastPrinted>2019-09-03T05:20:00Z</cp:lastPrinted>
  <dcterms:created xsi:type="dcterms:W3CDTF">2019-10-14T03:49:00Z</dcterms:created>
  <dcterms:modified xsi:type="dcterms:W3CDTF">2019-10-14T04:06:00Z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ies>
</file>