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067001" w14:textId="51E043EB" w:rsidR="009B423D" w:rsidRDefault="00EB553E" w:rsidP="00A243CD">
      <w:pPr>
        <w:pStyle w:val="Heading1"/>
        <w:spacing w:before="0" w:after="0"/>
        <w:rPr>
          <w:sz w:val="22"/>
          <w:szCs w:val="22"/>
        </w:rPr>
        <w:sectPr w:rsidR="009B423D" w:rsidSect="009B423D">
          <w:headerReference w:type="default" r:id="rId12"/>
          <w:footerReference w:type="default" r:id="rId13"/>
          <w:footerReference w:type="first" r:id="rId14"/>
          <w:type w:val="continuous"/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  <w:bookmarkStart w:id="0" w:name="_GoBack"/>
      <w:bookmarkEnd w:id="0"/>
      <w:r>
        <w:rPr>
          <w:sz w:val="22"/>
          <w:szCs w:val="22"/>
        </w:rPr>
        <w:t>WESTERN AUSTRALIA ECONOMIC PROFILE</w:t>
      </w:r>
      <w:r w:rsidR="009B423D">
        <w:rPr>
          <w:sz w:val="22"/>
          <w:szCs w:val="22"/>
        </w:rPr>
        <w:t xml:space="preserve"> - </w:t>
      </w:r>
      <w:r w:rsidRPr="009B423D">
        <w:rPr>
          <w:sz w:val="22"/>
          <w:szCs w:val="22"/>
        </w:rPr>
        <w:t>N</w:t>
      </w:r>
      <w:r w:rsidR="00AB4A58" w:rsidRPr="009B423D">
        <w:rPr>
          <w:sz w:val="22"/>
          <w:szCs w:val="22"/>
        </w:rPr>
        <w:t>ovember</w:t>
      </w:r>
      <w:r w:rsidR="009B423D">
        <w:rPr>
          <w:sz w:val="22"/>
          <w:szCs w:val="22"/>
        </w:rPr>
        <w:t xml:space="preserve"> 2020</w:t>
      </w:r>
    </w:p>
    <w:p w14:paraId="2AF36A24" w14:textId="77777777" w:rsidR="0096544C" w:rsidRDefault="0096544C" w:rsidP="00CA61C9">
      <w:pPr>
        <w:pStyle w:val="BodyText"/>
        <w:spacing w:after="0"/>
        <w:jc w:val="both"/>
        <w:rPr>
          <w:b/>
          <w:sz w:val="22"/>
        </w:rPr>
      </w:pPr>
    </w:p>
    <w:p w14:paraId="1DA834D4" w14:textId="18E01549" w:rsidR="002F1CF3" w:rsidRPr="00AB4A58" w:rsidRDefault="002A7E56" w:rsidP="00EC6333">
      <w:pPr>
        <w:pStyle w:val="BodyText"/>
        <w:spacing w:after="0"/>
        <w:rPr>
          <w:b/>
          <w:sz w:val="20"/>
        </w:rPr>
      </w:pPr>
      <w:r>
        <w:rPr>
          <w:b/>
          <w:sz w:val="20"/>
        </w:rPr>
        <w:t>G</w:t>
      </w:r>
      <w:r w:rsidR="00B417C8" w:rsidRPr="00AB4A58">
        <w:rPr>
          <w:b/>
          <w:sz w:val="20"/>
        </w:rPr>
        <w:t>ross state product</w:t>
      </w:r>
      <w:r w:rsidR="009D44A1">
        <w:rPr>
          <w:b/>
          <w:sz w:val="20"/>
        </w:rPr>
        <w:t xml:space="preserve"> (</w:t>
      </w:r>
      <w:r>
        <w:rPr>
          <w:b/>
          <w:sz w:val="20"/>
        </w:rPr>
        <w:t>real</w:t>
      </w:r>
      <w:r w:rsidR="00BF1BE3" w:rsidRPr="00BF1BE3">
        <w:rPr>
          <w:b/>
          <w:sz w:val="20"/>
          <w:vertAlign w:val="superscript"/>
        </w:rPr>
        <w:t>1</w:t>
      </w:r>
      <w:r>
        <w:rPr>
          <w:b/>
          <w:sz w:val="20"/>
        </w:rPr>
        <w:t xml:space="preserve"> </w:t>
      </w:r>
      <w:r w:rsidR="00B417C8" w:rsidRPr="00AB4A58">
        <w:rPr>
          <w:b/>
          <w:sz w:val="20"/>
        </w:rPr>
        <w:t>% change)</w:t>
      </w:r>
      <w:r w:rsidR="003316EF" w:rsidRPr="00AB4A58">
        <w:rPr>
          <w:b/>
          <w:sz w:val="20"/>
        </w:rPr>
        <w:t>: Financial year</w:t>
      </w:r>
      <w:r w:rsidR="0025532C" w:rsidRPr="00AB4A58">
        <w:rPr>
          <w:b/>
          <w:sz w:val="20"/>
        </w:rPr>
        <w:t>s</w:t>
      </w:r>
    </w:p>
    <w:p w14:paraId="0C60638A" w14:textId="45FA95B0" w:rsidR="002F1CF3" w:rsidRPr="008B167C" w:rsidRDefault="00C15056" w:rsidP="00CA61C9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7523CC9D" wp14:editId="140CB14D">
            <wp:extent cx="3416300" cy="2049145"/>
            <wp:effectExtent l="0" t="0" r="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0" cy="204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BBA9F" w14:textId="4105CB32" w:rsidR="00BF1BE3" w:rsidRDefault="00BF1BE3" w:rsidP="004A7FCA">
      <w:pPr>
        <w:spacing w:after="0"/>
        <w:jc w:val="both"/>
        <w:rPr>
          <w:sz w:val="10"/>
        </w:rPr>
      </w:pPr>
      <w:r w:rsidRPr="00BF1BE3">
        <w:rPr>
          <w:sz w:val="10"/>
          <w:vertAlign w:val="superscript"/>
        </w:rPr>
        <w:t>1</w:t>
      </w:r>
      <w:r>
        <w:rPr>
          <w:sz w:val="10"/>
        </w:rPr>
        <w:t xml:space="preserve"> Adjusted for changes in prices.</w:t>
      </w:r>
    </w:p>
    <w:p w14:paraId="04AD2C51" w14:textId="4F31C768" w:rsidR="006F54DD" w:rsidRDefault="003875B0" w:rsidP="004A7FCA">
      <w:pPr>
        <w:spacing w:after="0"/>
        <w:jc w:val="both"/>
        <w:rPr>
          <w:sz w:val="10"/>
        </w:rPr>
      </w:pPr>
      <w:r w:rsidRPr="00A441A2">
        <w:rPr>
          <w:sz w:val="10"/>
        </w:rPr>
        <w:t>Source: ABS 5</w:t>
      </w:r>
      <w:r w:rsidR="003316EF">
        <w:rPr>
          <w:sz w:val="10"/>
        </w:rPr>
        <w:t>220.0 Australian National Accounts: State Accounts (Annual); and ABS 5204.0</w:t>
      </w:r>
      <w:r w:rsidR="0096544C">
        <w:rPr>
          <w:sz w:val="10"/>
        </w:rPr>
        <w:t>.</w:t>
      </w:r>
      <w:r w:rsidR="003316EF">
        <w:rPr>
          <w:sz w:val="10"/>
        </w:rPr>
        <w:t xml:space="preserve"> Australian National Accounts: National Income, Expenditure and Product (Quarterly); WA Government State Budget 2020-21 (October 2020); and Australian Government Budget 2020-21 (October 2020).</w:t>
      </w:r>
    </w:p>
    <w:p w14:paraId="4284247B" w14:textId="77777777" w:rsidR="008405E1" w:rsidRDefault="0096544C" w:rsidP="008405E1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5956CC5A" w14:textId="77777777" w:rsidR="003D6F7E" w:rsidRDefault="003D6F7E" w:rsidP="008405E1">
      <w:pPr>
        <w:pStyle w:val="BodyText"/>
        <w:spacing w:after="0"/>
        <w:jc w:val="both"/>
        <w:rPr>
          <w:sz w:val="16"/>
        </w:rPr>
      </w:pPr>
    </w:p>
    <w:p w14:paraId="5ECEFCDF" w14:textId="77777777" w:rsidR="008405E1" w:rsidRDefault="008405E1" w:rsidP="008405E1">
      <w:pPr>
        <w:pStyle w:val="BodyText"/>
        <w:spacing w:after="0"/>
        <w:jc w:val="both"/>
        <w:rPr>
          <w:sz w:val="16"/>
        </w:rPr>
      </w:pPr>
    </w:p>
    <w:p w14:paraId="6CA7ABA5" w14:textId="1C28E18E" w:rsidR="0096544C" w:rsidRPr="0096544C" w:rsidRDefault="00A74D8A" w:rsidP="00CB298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 xml:space="preserve">The value of </w:t>
      </w:r>
      <w:r w:rsidR="0096544C" w:rsidRPr="0096544C">
        <w:rPr>
          <w:sz w:val="16"/>
        </w:rPr>
        <w:t xml:space="preserve">Western Australia’s </w:t>
      </w:r>
      <w:r w:rsidR="00EE51B8">
        <w:rPr>
          <w:sz w:val="16"/>
        </w:rPr>
        <w:t xml:space="preserve">gross state product (GSP) </w:t>
      </w:r>
      <w:r w:rsidR="00612B25">
        <w:rPr>
          <w:sz w:val="16"/>
        </w:rPr>
        <w:t>in 2019</w:t>
      </w:r>
      <w:r w:rsidR="00612B25">
        <w:rPr>
          <w:sz w:val="16"/>
        </w:rPr>
        <w:noBreakHyphen/>
        <w:t xml:space="preserve">20 was </w:t>
      </w:r>
      <w:r w:rsidR="00EE51B8">
        <w:rPr>
          <w:sz w:val="16"/>
        </w:rPr>
        <w:t>$</w:t>
      </w:r>
      <w:r w:rsidR="007222D0">
        <w:rPr>
          <w:sz w:val="16"/>
        </w:rPr>
        <w:t>316.3</w:t>
      </w:r>
      <w:r w:rsidR="00894D5B">
        <w:rPr>
          <w:sz w:val="16"/>
        </w:rPr>
        <w:t> </w:t>
      </w:r>
      <w:r w:rsidR="00EE51B8">
        <w:rPr>
          <w:sz w:val="16"/>
        </w:rPr>
        <w:t>billion</w:t>
      </w:r>
      <w:r w:rsidR="00612B25">
        <w:rPr>
          <w:sz w:val="16"/>
        </w:rPr>
        <w:t>,</w:t>
      </w:r>
      <w:r w:rsidR="00EE51B8">
        <w:rPr>
          <w:sz w:val="16"/>
        </w:rPr>
        <w:t xml:space="preserve"> 1</w:t>
      </w:r>
      <w:r w:rsidR="00327A3A">
        <w:rPr>
          <w:sz w:val="16"/>
        </w:rPr>
        <w:t>6</w:t>
      </w:r>
      <w:r w:rsidR="00EE51B8">
        <w:rPr>
          <w:sz w:val="16"/>
        </w:rPr>
        <w:t>% of Australia’s gross domestic product (GDP)</w:t>
      </w:r>
      <w:r w:rsidR="0096544C" w:rsidRPr="0096544C">
        <w:rPr>
          <w:sz w:val="16"/>
        </w:rPr>
        <w:t>.</w:t>
      </w:r>
    </w:p>
    <w:p w14:paraId="7770C343" w14:textId="734D50AA" w:rsidR="0096544C" w:rsidRPr="0096544C" w:rsidRDefault="00594E58" w:rsidP="00CB298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 xml:space="preserve">Western Australia’s GSP per capita </w:t>
      </w:r>
      <w:r w:rsidR="00612B25">
        <w:rPr>
          <w:sz w:val="16"/>
        </w:rPr>
        <w:t>in 2019</w:t>
      </w:r>
      <w:r w:rsidR="00612B25">
        <w:rPr>
          <w:sz w:val="16"/>
        </w:rPr>
        <w:noBreakHyphen/>
        <w:t xml:space="preserve">20 was </w:t>
      </w:r>
      <w:r>
        <w:rPr>
          <w:sz w:val="16"/>
        </w:rPr>
        <w:t>$1</w:t>
      </w:r>
      <w:r w:rsidR="000A3018">
        <w:rPr>
          <w:sz w:val="16"/>
        </w:rPr>
        <w:t>19,861</w:t>
      </w:r>
      <w:r w:rsidR="00612B25">
        <w:rPr>
          <w:sz w:val="16"/>
        </w:rPr>
        <w:t>, which</w:t>
      </w:r>
      <w:r w:rsidR="000A3018">
        <w:rPr>
          <w:sz w:val="16"/>
        </w:rPr>
        <w:t xml:space="preserve"> was 54</w:t>
      </w:r>
      <w:r>
        <w:rPr>
          <w:sz w:val="16"/>
        </w:rPr>
        <w:t>% above Australia’s GDP per</w:t>
      </w:r>
      <w:r w:rsidR="00921EEB">
        <w:rPr>
          <w:sz w:val="16"/>
        </w:rPr>
        <w:t> </w:t>
      </w:r>
      <w:r>
        <w:rPr>
          <w:sz w:val="16"/>
        </w:rPr>
        <w:t>capita of $77,</w:t>
      </w:r>
      <w:r w:rsidR="000A3018">
        <w:rPr>
          <w:sz w:val="16"/>
        </w:rPr>
        <w:t>80</w:t>
      </w:r>
      <w:r>
        <w:rPr>
          <w:sz w:val="16"/>
        </w:rPr>
        <w:t>7</w:t>
      </w:r>
      <w:r w:rsidR="0096544C" w:rsidRPr="0096544C">
        <w:rPr>
          <w:sz w:val="16"/>
        </w:rPr>
        <w:t>.</w:t>
      </w:r>
    </w:p>
    <w:p w14:paraId="3BFFD7F4" w14:textId="33018AB1" w:rsidR="0096544C" w:rsidRPr="0096544C" w:rsidRDefault="00BF1BE3" w:rsidP="00CB298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 xml:space="preserve">In real </w:t>
      </w:r>
      <w:r w:rsidR="002A7E56">
        <w:rPr>
          <w:sz w:val="16"/>
        </w:rPr>
        <w:t xml:space="preserve">terms, </w:t>
      </w:r>
      <w:r w:rsidR="0096544C" w:rsidRPr="0096544C">
        <w:rPr>
          <w:sz w:val="16"/>
        </w:rPr>
        <w:t>Western Australia</w:t>
      </w:r>
      <w:r w:rsidR="000A3018">
        <w:rPr>
          <w:sz w:val="16"/>
        </w:rPr>
        <w:t>’s GSP rose 1.4</w:t>
      </w:r>
      <w:r w:rsidR="007D5669">
        <w:rPr>
          <w:sz w:val="16"/>
        </w:rPr>
        <w:t xml:space="preserve">% </w:t>
      </w:r>
      <w:r w:rsidR="0096544C" w:rsidRPr="0096544C">
        <w:rPr>
          <w:sz w:val="16"/>
        </w:rPr>
        <w:t>in 20</w:t>
      </w:r>
      <w:r w:rsidR="000A3018">
        <w:rPr>
          <w:sz w:val="16"/>
        </w:rPr>
        <w:t>19</w:t>
      </w:r>
      <w:r w:rsidR="00656579">
        <w:rPr>
          <w:sz w:val="16"/>
        </w:rPr>
        <w:noBreakHyphen/>
      </w:r>
      <w:r w:rsidR="000A3018">
        <w:rPr>
          <w:sz w:val="16"/>
        </w:rPr>
        <w:t>20</w:t>
      </w:r>
      <w:r w:rsidR="007D5669">
        <w:rPr>
          <w:sz w:val="16"/>
        </w:rPr>
        <w:t xml:space="preserve">, below </w:t>
      </w:r>
      <w:r w:rsidR="00647852">
        <w:rPr>
          <w:sz w:val="16"/>
        </w:rPr>
        <w:t xml:space="preserve">its </w:t>
      </w:r>
      <w:r w:rsidR="000A3018">
        <w:rPr>
          <w:sz w:val="16"/>
        </w:rPr>
        <w:t>1.6</w:t>
      </w:r>
      <w:r w:rsidR="007D5669">
        <w:rPr>
          <w:sz w:val="16"/>
        </w:rPr>
        <w:t>% growth in 201</w:t>
      </w:r>
      <w:r w:rsidR="000A3018">
        <w:rPr>
          <w:sz w:val="16"/>
        </w:rPr>
        <w:t>8-19</w:t>
      </w:r>
      <w:r w:rsidR="007D5669">
        <w:rPr>
          <w:sz w:val="16"/>
        </w:rPr>
        <w:t xml:space="preserve"> and below </w:t>
      </w:r>
      <w:r w:rsidR="00647852">
        <w:rPr>
          <w:sz w:val="16"/>
        </w:rPr>
        <w:t xml:space="preserve">its </w:t>
      </w:r>
      <w:r w:rsidR="000A3018">
        <w:rPr>
          <w:sz w:val="16"/>
        </w:rPr>
        <w:t>compound annual growth of 3.2</w:t>
      </w:r>
      <w:r w:rsidR="007D5669">
        <w:rPr>
          <w:sz w:val="16"/>
        </w:rPr>
        <w:t>% over the past 10</w:t>
      </w:r>
      <w:r w:rsidR="00710F9B">
        <w:rPr>
          <w:sz w:val="16"/>
        </w:rPr>
        <w:t> </w:t>
      </w:r>
      <w:r w:rsidR="007D5669">
        <w:rPr>
          <w:sz w:val="16"/>
        </w:rPr>
        <w:t>years</w:t>
      </w:r>
      <w:r w:rsidR="0096544C" w:rsidRPr="0096544C">
        <w:rPr>
          <w:sz w:val="16"/>
        </w:rPr>
        <w:t>.</w:t>
      </w:r>
    </w:p>
    <w:p w14:paraId="610C73CB" w14:textId="52CEE25A" w:rsidR="0096544C" w:rsidRPr="0096544C" w:rsidRDefault="007D5669" w:rsidP="00CB298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 xml:space="preserve">The </w:t>
      </w:r>
      <w:r w:rsidR="0096544C" w:rsidRPr="0096544C">
        <w:rPr>
          <w:sz w:val="16"/>
        </w:rPr>
        <w:t>W</w:t>
      </w:r>
      <w:r>
        <w:rPr>
          <w:sz w:val="16"/>
        </w:rPr>
        <w:t xml:space="preserve">A Government State Budget 2020-21 </w:t>
      </w:r>
      <w:r w:rsidR="00FE5A9B">
        <w:rPr>
          <w:sz w:val="16"/>
        </w:rPr>
        <w:t xml:space="preserve">forecasts </w:t>
      </w:r>
      <w:r>
        <w:rPr>
          <w:sz w:val="16"/>
        </w:rPr>
        <w:t>Western Australia</w:t>
      </w:r>
      <w:r w:rsidR="00D34F0D">
        <w:rPr>
          <w:sz w:val="16"/>
        </w:rPr>
        <w:t>’s GSP will grow</w:t>
      </w:r>
      <w:r w:rsidR="00B162A6">
        <w:rPr>
          <w:sz w:val="16"/>
        </w:rPr>
        <w:t xml:space="preserve"> in real terms by</w:t>
      </w:r>
      <w:r w:rsidR="00D34F0D">
        <w:rPr>
          <w:sz w:val="16"/>
        </w:rPr>
        <w:t xml:space="preserve"> </w:t>
      </w:r>
      <w:r>
        <w:rPr>
          <w:sz w:val="16"/>
        </w:rPr>
        <w:t>1.25% in 2020</w:t>
      </w:r>
      <w:r w:rsidR="00FE5A9B">
        <w:rPr>
          <w:sz w:val="16"/>
        </w:rPr>
        <w:noBreakHyphen/>
      </w:r>
      <w:r>
        <w:rPr>
          <w:sz w:val="16"/>
        </w:rPr>
        <w:t>21</w:t>
      </w:r>
      <w:r w:rsidR="00FE5A9B">
        <w:rPr>
          <w:sz w:val="16"/>
        </w:rPr>
        <w:t xml:space="preserve"> and 2.75% in 2021-22</w:t>
      </w:r>
      <w:r w:rsidR="0096544C" w:rsidRPr="0096544C">
        <w:rPr>
          <w:sz w:val="16"/>
        </w:rPr>
        <w:t>.</w:t>
      </w:r>
    </w:p>
    <w:p w14:paraId="0EEF9027" w14:textId="6E101998" w:rsidR="0096544C" w:rsidRDefault="00894D5B" w:rsidP="00CB298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 xml:space="preserve">In real terms, </w:t>
      </w:r>
      <w:r w:rsidR="0086000E">
        <w:rPr>
          <w:sz w:val="16"/>
        </w:rPr>
        <w:t>Australia’s GDP fell 0.3</w:t>
      </w:r>
      <w:r w:rsidR="00D34F0D">
        <w:rPr>
          <w:sz w:val="16"/>
        </w:rPr>
        <w:t xml:space="preserve">% in 2019-20. The Australian Government Budget 2020-21 forecasts Australia’s </w:t>
      </w:r>
      <w:r w:rsidR="00896A8F">
        <w:rPr>
          <w:sz w:val="16"/>
        </w:rPr>
        <w:t>GDP will contract</w:t>
      </w:r>
      <w:r>
        <w:rPr>
          <w:sz w:val="16"/>
        </w:rPr>
        <w:t xml:space="preserve"> in real terms by</w:t>
      </w:r>
      <w:r w:rsidR="00896A8F">
        <w:rPr>
          <w:sz w:val="16"/>
        </w:rPr>
        <w:t xml:space="preserve"> </w:t>
      </w:r>
      <w:r>
        <w:rPr>
          <w:sz w:val="16"/>
        </w:rPr>
        <w:t>1.5% in 2020</w:t>
      </w:r>
      <w:r>
        <w:rPr>
          <w:sz w:val="16"/>
        </w:rPr>
        <w:noBreakHyphen/>
      </w:r>
      <w:r w:rsidR="00D34F0D">
        <w:rPr>
          <w:sz w:val="16"/>
        </w:rPr>
        <w:t>21, befo</w:t>
      </w:r>
      <w:r w:rsidR="00907518">
        <w:rPr>
          <w:sz w:val="16"/>
        </w:rPr>
        <w:t>re rising</w:t>
      </w:r>
      <w:r w:rsidR="00D34F0D">
        <w:rPr>
          <w:sz w:val="16"/>
        </w:rPr>
        <w:t xml:space="preserve"> 4.75% in 2021-22</w:t>
      </w:r>
      <w:r w:rsidR="0096544C" w:rsidRPr="0096544C">
        <w:rPr>
          <w:sz w:val="16"/>
        </w:rPr>
        <w:t>.</w:t>
      </w:r>
    </w:p>
    <w:p w14:paraId="65E1DDF2" w14:textId="77777777" w:rsidR="004E76B9" w:rsidRDefault="004E76B9" w:rsidP="004E76B9">
      <w:pPr>
        <w:pStyle w:val="BodyText"/>
        <w:spacing w:after="0"/>
        <w:jc w:val="both"/>
        <w:rPr>
          <w:sz w:val="16"/>
        </w:rPr>
        <w:sectPr w:rsidR="004E76B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0AF1E852" w14:textId="08E06810" w:rsidR="00006DAE" w:rsidRDefault="00006DAE" w:rsidP="004E76B9">
      <w:pPr>
        <w:pStyle w:val="BodyText"/>
        <w:spacing w:after="0"/>
        <w:jc w:val="both"/>
        <w:rPr>
          <w:sz w:val="16"/>
        </w:rPr>
      </w:pPr>
    </w:p>
    <w:p w14:paraId="7C3E4D76" w14:textId="3207DB26" w:rsidR="001E71EC" w:rsidRDefault="001E71EC" w:rsidP="004E76B9">
      <w:pPr>
        <w:pStyle w:val="BodyText"/>
        <w:spacing w:after="0"/>
        <w:jc w:val="both"/>
        <w:rPr>
          <w:sz w:val="16"/>
        </w:rPr>
      </w:pPr>
    </w:p>
    <w:p w14:paraId="52B3C894" w14:textId="35CBE3FA" w:rsidR="004E76B9" w:rsidRPr="00AB4A58" w:rsidRDefault="005F1191" w:rsidP="00EC6333">
      <w:pPr>
        <w:pStyle w:val="BodyText"/>
        <w:spacing w:after="0"/>
        <w:rPr>
          <w:b/>
          <w:sz w:val="20"/>
        </w:rPr>
      </w:pPr>
      <w:r>
        <w:rPr>
          <w:b/>
          <w:sz w:val="20"/>
        </w:rPr>
        <w:t>Western Australia’s i</w:t>
      </w:r>
      <w:r w:rsidR="0025532C" w:rsidRPr="00AB4A58">
        <w:rPr>
          <w:b/>
          <w:sz w:val="20"/>
        </w:rPr>
        <w:t xml:space="preserve">ndustries </w:t>
      </w:r>
      <w:r w:rsidR="00434B08">
        <w:rPr>
          <w:b/>
          <w:sz w:val="20"/>
        </w:rPr>
        <w:t>contribution to GSP</w:t>
      </w:r>
      <w:r w:rsidR="00F75600" w:rsidRPr="00F75600">
        <w:rPr>
          <w:b/>
          <w:sz w:val="20"/>
          <w:vertAlign w:val="superscript"/>
        </w:rPr>
        <w:t>1</w:t>
      </w:r>
      <w:r w:rsidR="00C958FF" w:rsidRPr="00AB4A58">
        <w:rPr>
          <w:b/>
          <w:sz w:val="20"/>
        </w:rPr>
        <w:t>: F</w:t>
      </w:r>
      <w:r w:rsidR="0025532C" w:rsidRPr="00AB4A58">
        <w:rPr>
          <w:b/>
          <w:sz w:val="20"/>
        </w:rPr>
        <w:t>inancial year</w:t>
      </w:r>
      <w:r w:rsidR="00C958FF" w:rsidRPr="00AB4A58">
        <w:rPr>
          <w:b/>
          <w:sz w:val="20"/>
        </w:rPr>
        <w:t>s</w:t>
      </w:r>
    </w:p>
    <w:p w14:paraId="7B320940" w14:textId="0A0E4AFC" w:rsidR="0025532C" w:rsidRPr="0025532C" w:rsidRDefault="00CE121A" w:rsidP="004E76B9">
      <w:pPr>
        <w:pStyle w:val="BodyText"/>
        <w:spacing w:after="0"/>
        <w:jc w:val="both"/>
        <w:rPr>
          <w:b/>
          <w:sz w:val="16"/>
        </w:rPr>
      </w:pPr>
      <w:r>
        <w:rPr>
          <w:b/>
          <w:noProof/>
          <w:sz w:val="16"/>
          <w:lang w:eastAsia="en-AU"/>
        </w:rPr>
        <w:drawing>
          <wp:inline distT="0" distB="0" distL="0" distR="0" wp14:anchorId="0B5F99B2" wp14:editId="449E5ACD">
            <wp:extent cx="3433445" cy="206184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445" cy="206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3B278" w14:textId="4DC59996" w:rsidR="00B720D6" w:rsidRPr="00B720D6" w:rsidRDefault="00F75600" w:rsidP="00B720D6">
      <w:pPr>
        <w:pStyle w:val="BodyText"/>
        <w:spacing w:after="0"/>
        <w:jc w:val="both"/>
        <w:rPr>
          <w:sz w:val="10"/>
        </w:rPr>
      </w:pPr>
      <w:r w:rsidRPr="00BF1BE3">
        <w:rPr>
          <w:sz w:val="10"/>
          <w:vertAlign w:val="superscript"/>
        </w:rPr>
        <w:t>1</w:t>
      </w:r>
      <w:r>
        <w:rPr>
          <w:sz w:val="10"/>
        </w:rPr>
        <w:t xml:space="preserve"> Nominal. </w:t>
      </w:r>
      <w:r w:rsidR="0025532C">
        <w:rPr>
          <w:sz w:val="10"/>
        </w:rPr>
        <w:t xml:space="preserve">(a) </w:t>
      </w:r>
      <w:r w:rsidR="00DC047B">
        <w:rPr>
          <w:sz w:val="10"/>
        </w:rPr>
        <w:t>Gross operating surplus of dwelling</w:t>
      </w:r>
      <w:r w:rsidR="003149CC">
        <w:rPr>
          <w:sz w:val="10"/>
        </w:rPr>
        <w:t xml:space="preserve"> owners</w:t>
      </w:r>
      <w:r w:rsidR="00DC047B">
        <w:rPr>
          <w:sz w:val="10"/>
        </w:rPr>
        <w:t xml:space="preserve">, with owner-occupiers assigned a rent for their dwellings. (b) </w:t>
      </w:r>
      <w:r w:rsidR="0025532C">
        <w:rPr>
          <w:sz w:val="10"/>
        </w:rPr>
        <w:t>Repairs, maintenance and personal services</w:t>
      </w:r>
      <w:r w:rsidR="00B720D6" w:rsidRPr="00B720D6">
        <w:rPr>
          <w:sz w:val="10"/>
        </w:rPr>
        <w:t>.</w:t>
      </w:r>
    </w:p>
    <w:p w14:paraId="2F14AEFA" w14:textId="2618807E" w:rsidR="004E76B9" w:rsidRDefault="007C538F" w:rsidP="00B720D6">
      <w:pPr>
        <w:pStyle w:val="BodyText"/>
        <w:spacing w:after="0"/>
        <w:jc w:val="both"/>
        <w:rPr>
          <w:sz w:val="10"/>
        </w:rPr>
      </w:pPr>
      <w:r>
        <w:rPr>
          <w:sz w:val="10"/>
        </w:rPr>
        <w:t xml:space="preserve">Source: </w:t>
      </w:r>
      <w:r w:rsidRPr="00A441A2">
        <w:rPr>
          <w:sz w:val="10"/>
        </w:rPr>
        <w:t>ABS 5</w:t>
      </w:r>
      <w:r>
        <w:rPr>
          <w:sz w:val="10"/>
        </w:rPr>
        <w:t>220.0 Australian National Accounts: State Accounts (Annual)</w:t>
      </w:r>
      <w:r w:rsidR="00B720D6" w:rsidRPr="00B720D6">
        <w:rPr>
          <w:sz w:val="10"/>
        </w:rPr>
        <w:t>.</w:t>
      </w:r>
    </w:p>
    <w:p w14:paraId="12E2BC85" w14:textId="1A2DF315" w:rsidR="00006DAE" w:rsidRDefault="00524C37" w:rsidP="004E46F6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2DE9F1E5" w14:textId="0BDC2E7D" w:rsidR="001E71EC" w:rsidRDefault="001E71EC" w:rsidP="001E71EC">
      <w:pPr>
        <w:pStyle w:val="BodyText"/>
        <w:spacing w:after="0"/>
        <w:jc w:val="both"/>
        <w:rPr>
          <w:sz w:val="16"/>
        </w:rPr>
      </w:pPr>
    </w:p>
    <w:p w14:paraId="13650B4F" w14:textId="0044F953" w:rsidR="003149CC" w:rsidRDefault="003149CC" w:rsidP="00CB298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>Goods-produ</w:t>
      </w:r>
      <w:r w:rsidR="00013661">
        <w:rPr>
          <w:sz w:val="16"/>
        </w:rPr>
        <w:t>cing industries accounted for 56</w:t>
      </w:r>
      <w:r>
        <w:rPr>
          <w:sz w:val="16"/>
        </w:rPr>
        <w:t>% ($1</w:t>
      </w:r>
      <w:r w:rsidR="00013661">
        <w:rPr>
          <w:sz w:val="16"/>
        </w:rPr>
        <w:t>75.7</w:t>
      </w:r>
      <w:r>
        <w:rPr>
          <w:sz w:val="16"/>
        </w:rPr>
        <w:t xml:space="preserve"> billion) of </w:t>
      </w:r>
      <w:r w:rsidR="004E46F6" w:rsidRPr="004E46F6">
        <w:rPr>
          <w:sz w:val="16"/>
        </w:rPr>
        <w:t>Western Australia’s</w:t>
      </w:r>
      <w:r>
        <w:rPr>
          <w:sz w:val="16"/>
        </w:rPr>
        <w:t xml:space="preserve"> GSP in 20</w:t>
      </w:r>
      <w:r w:rsidR="00013661">
        <w:rPr>
          <w:sz w:val="16"/>
        </w:rPr>
        <w:t>19-20</w:t>
      </w:r>
      <w:r>
        <w:rPr>
          <w:sz w:val="16"/>
        </w:rPr>
        <w:t>, including:</w:t>
      </w:r>
    </w:p>
    <w:p w14:paraId="43D53217" w14:textId="305070C2" w:rsidR="003149CC" w:rsidRPr="004E46F6" w:rsidRDefault="00FB1065" w:rsidP="005A3CC2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>
        <w:rPr>
          <w:sz w:val="16"/>
        </w:rPr>
        <w:t>Mining (43</w:t>
      </w:r>
      <w:r w:rsidR="003149CC">
        <w:rPr>
          <w:sz w:val="16"/>
        </w:rPr>
        <w:t>% or $1</w:t>
      </w:r>
      <w:r>
        <w:rPr>
          <w:sz w:val="16"/>
        </w:rPr>
        <w:t>35.3</w:t>
      </w:r>
      <w:r w:rsidR="003149CC" w:rsidRPr="004E46F6">
        <w:rPr>
          <w:sz w:val="16"/>
        </w:rPr>
        <w:t xml:space="preserve"> billion</w:t>
      </w:r>
      <w:r w:rsidR="003149CC">
        <w:rPr>
          <w:sz w:val="16"/>
        </w:rPr>
        <w:t>)</w:t>
      </w:r>
      <w:r w:rsidR="003149CC" w:rsidRPr="004E46F6">
        <w:rPr>
          <w:sz w:val="16"/>
        </w:rPr>
        <w:t>.</w:t>
      </w:r>
    </w:p>
    <w:p w14:paraId="64EF83E8" w14:textId="0A560DE4" w:rsidR="003149CC" w:rsidRPr="004E46F6" w:rsidRDefault="00FB1065" w:rsidP="005A3CC2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>
        <w:rPr>
          <w:sz w:val="16"/>
        </w:rPr>
        <w:t>Construction (5</w:t>
      </w:r>
      <w:r w:rsidR="003149CC" w:rsidRPr="004E46F6">
        <w:rPr>
          <w:sz w:val="16"/>
        </w:rPr>
        <w:t xml:space="preserve">% </w:t>
      </w:r>
      <w:r w:rsidR="003149CC">
        <w:rPr>
          <w:sz w:val="16"/>
        </w:rPr>
        <w:t xml:space="preserve">or </w:t>
      </w:r>
      <w:r w:rsidR="003149CC" w:rsidRPr="004E46F6">
        <w:rPr>
          <w:sz w:val="16"/>
        </w:rPr>
        <w:t>$1</w:t>
      </w:r>
      <w:r>
        <w:rPr>
          <w:sz w:val="16"/>
        </w:rPr>
        <w:t>7.3</w:t>
      </w:r>
      <w:r w:rsidR="003149CC" w:rsidRPr="004E46F6">
        <w:rPr>
          <w:sz w:val="16"/>
        </w:rPr>
        <w:t xml:space="preserve"> billion</w:t>
      </w:r>
      <w:r w:rsidR="003149CC">
        <w:rPr>
          <w:sz w:val="16"/>
        </w:rPr>
        <w:t>)</w:t>
      </w:r>
      <w:r w:rsidR="003149CC" w:rsidRPr="004E46F6">
        <w:rPr>
          <w:sz w:val="16"/>
        </w:rPr>
        <w:t>.</w:t>
      </w:r>
    </w:p>
    <w:p w14:paraId="53A4362B" w14:textId="6FCB4E3D" w:rsidR="003149CC" w:rsidRDefault="00FB1065" w:rsidP="005A3CC2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>
        <w:rPr>
          <w:sz w:val="16"/>
        </w:rPr>
        <w:t>Manufacturing (4</w:t>
      </w:r>
      <w:r w:rsidR="003149CC">
        <w:rPr>
          <w:sz w:val="16"/>
        </w:rPr>
        <w:t>% or $1</w:t>
      </w:r>
      <w:r>
        <w:rPr>
          <w:sz w:val="16"/>
        </w:rPr>
        <w:t>2.9</w:t>
      </w:r>
      <w:r w:rsidR="003149CC">
        <w:rPr>
          <w:sz w:val="16"/>
        </w:rPr>
        <w:t xml:space="preserve"> b</w:t>
      </w:r>
      <w:r w:rsidR="003149CC" w:rsidRPr="004E46F6">
        <w:rPr>
          <w:sz w:val="16"/>
        </w:rPr>
        <w:t>illion</w:t>
      </w:r>
      <w:r w:rsidR="003149CC">
        <w:rPr>
          <w:sz w:val="16"/>
        </w:rPr>
        <w:t>)</w:t>
      </w:r>
      <w:r w:rsidR="003149CC" w:rsidRPr="004E46F6">
        <w:rPr>
          <w:sz w:val="16"/>
        </w:rPr>
        <w:t>.</w:t>
      </w:r>
    </w:p>
    <w:p w14:paraId="34687870" w14:textId="0851C6E2" w:rsidR="003149CC" w:rsidRDefault="003149CC" w:rsidP="005A3CC2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>
        <w:rPr>
          <w:sz w:val="16"/>
        </w:rPr>
        <w:t>Agriculture, forestry and fishing (2% or $</w:t>
      </w:r>
      <w:r w:rsidR="00FB1065">
        <w:rPr>
          <w:sz w:val="16"/>
        </w:rPr>
        <w:t>5.4</w:t>
      </w:r>
      <w:r w:rsidR="00647852">
        <w:rPr>
          <w:sz w:val="16"/>
        </w:rPr>
        <w:t> </w:t>
      </w:r>
      <w:r>
        <w:rPr>
          <w:sz w:val="16"/>
        </w:rPr>
        <w:t>billion)</w:t>
      </w:r>
      <w:r w:rsidR="00A314B4">
        <w:rPr>
          <w:sz w:val="16"/>
        </w:rPr>
        <w:t>.</w:t>
      </w:r>
    </w:p>
    <w:p w14:paraId="33CDD100" w14:textId="5020F127" w:rsidR="00A314B4" w:rsidRDefault="00A314B4" w:rsidP="00CB298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>Services industries accounted</w:t>
      </w:r>
      <w:r w:rsidR="00525754">
        <w:rPr>
          <w:sz w:val="16"/>
        </w:rPr>
        <w:t xml:space="preserve"> for 36</w:t>
      </w:r>
      <w:r w:rsidR="003149CC">
        <w:rPr>
          <w:sz w:val="16"/>
        </w:rPr>
        <w:t>% ($11</w:t>
      </w:r>
      <w:r w:rsidR="00525754">
        <w:rPr>
          <w:sz w:val="16"/>
        </w:rPr>
        <w:t>3.3</w:t>
      </w:r>
      <w:r w:rsidR="003149CC">
        <w:rPr>
          <w:sz w:val="16"/>
        </w:rPr>
        <w:t> billion)</w:t>
      </w:r>
      <w:r>
        <w:rPr>
          <w:sz w:val="16"/>
        </w:rPr>
        <w:t xml:space="preserve"> of GSP in 20</w:t>
      </w:r>
      <w:r w:rsidR="00525754">
        <w:rPr>
          <w:sz w:val="16"/>
        </w:rPr>
        <w:t>19-20</w:t>
      </w:r>
      <w:r>
        <w:rPr>
          <w:sz w:val="16"/>
        </w:rPr>
        <w:t>, including:</w:t>
      </w:r>
    </w:p>
    <w:p w14:paraId="3CE73F24" w14:textId="72B48AFA" w:rsidR="00A314B4" w:rsidRPr="004E46F6" w:rsidRDefault="00A314B4" w:rsidP="005A3CC2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>
        <w:rPr>
          <w:sz w:val="16"/>
        </w:rPr>
        <w:t>Healthcare and social assistance (5</w:t>
      </w:r>
      <w:r w:rsidRPr="004E46F6">
        <w:rPr>
          <w:sz w:val="16"/>
        </w:rPr>
        <w:t xml:space="preserve">% </w:t>
      </w:r>
      <w:r>
        <w:rPr>
          <w:sz w:val="16"/>
        </w:rPr>
        <w:t>or</w:t>
      </w:r>
      <w:r w:rsidRPr="004E46F6">
        <w:rPr>
          <w:sz w:val="16"/>
        </w:rPr>
        <w:t xml:space="preserve"> $</w:t>
      </w:r>
      <w:r>
        <w:rPr>
          <w:sz w:val="16"/>
        </w:rPr>
        <w:t>1</w:t>
      </w:r>
      <w:r w:rsidR="00525754">
        <w:rPr>
          <w:sz w:val="16"/>
        </w:rPr>
        <w:t>5.7</w:t>
      </w:r>
      <w:r>
        <w:rPr>
          <w:sz w:val="16"/>
        </w:rPr>
        <w:t> </w:t>
      </w:r>
      <w:r w:rsidRPr="004E46F6">
        <w:rPr>
          <w:sz w:val="16"/>
        </w:rPr>
        <w:t>billion</w:t>
      </w:r>
      <w:r>
        <w:rPr>
          <w:sz w:val="16"/>
        </w:rPr>
        <w:t>)</w:t>
      </w:r>
      <w:r w:rsidRPr="004E46F6">
        <w:rPr>
          <w:sz w:val="16"/>
        </w:rPr>
        <w:t>.</w:t>
      </w:r>
    </w:p>
    <w:p w14:paraId="0E6E1C73" w14:textId="64ABFE29" w:rsidR="00A314B4" w:rsidRPr="004E46F6" w:rsidRDefault="00A314B4" w:rsidP="005A3CC2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>
        <w:rPr>
          <w:sz w:val="16"/>
        </w:rPr>
        <w:t>Professional, scientific and technical services (5</w:t>
      </w:r>
      <w:r w:rsidRPr="004E46F6">
        <w:rPr>
          <w:sz w:val="16"/>
        </w:rPr>
        <w:t xml:space="preserve">% </w:t>
      </w:r>
      <w:r>
        <w:rPr>
          <w:sz w:val="16"/>
        </w:rPr>
        <w:t>or $1</w:t>
      </w:r>
      <w:r w:rsidR="00525754">
        <w:rPr>
          <w:sz w:val="16"/>
        </w:rPr>
        <w:t>5.1</w:t>
      </w:r>
      <w:r>
        <w:rPr>
          <w:sz w:val="16"/>
        </w:rPr>
        <w:t xml:space="preserve"> billion)</w:t>
      </w:r>
      <w:r w:rsidRPr="004E46F6">
        <w:rPr>
          <w:sz w:val="16"/>
        </w:rPr>
        <w:t>.</w:t>
      </w:r>
    </w:p>
    <w:p w14:paraId="0E622404" w14:textId="04B1CD52" w:rsidR="00A314B4" w:rsidRPr="00A314B4" w:rsidRDefault="00A314B4" w:rsidP="005A3CC2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>
        <w:rPr>
          <w:sz w:val="16"/>
        </w:rPr>
        <w:t>Finance</w:t>
      </w:r>
      <w:r w:rsidR="00486847">
        <w:rPr>
          <w:sz w:val="16"/>
        </w:rPr>
        <w:t xml:space="preserve"> and insurance</w:t>
      </w:r>
      <w:r>
        <w:rPr>
          <w:sz w:val="16"/>
        </w:rPr>
        <w:t xml:space="preserve"> (4% or $11.</w:t>
      </w:r>
      <w:r w:rsidR="00525754">
        <w:rPr>
          <w:sz w:val="16"/>
        </w:rPr>
        <w:t>6</w:t>
      </w:r>
      <w:r w:rsidR="00486847">
        <w:rPr>
          <w:sz w:val="16"/>
        </w:rPr>
        <w:t> </w:t>
      </w:r>
      <w:r>
        <w:rPr>
          <w:sz w:val="16"/>
        </w:rPr>
        <w:t>billion)</w:t>
      </w:r>
      <w:r w:rsidRPr="004E46F6">
        <w:rPr>
          <w:sz w:val="16"/>
        </w:rPr>
        <w:t>.</w:t>
      </w:r>
    </w:p>
    <w:p w14:paraId="71B05C19" w14:textId="1A823DCF" w:rsidR="004E46F6" w:rsidRPr="004E46F6" w:rsidRDefault="00A314B4" w:rsidP="00CB298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>D</w:t>
      </w:r>
      <w:r w:rsidR="003149CC">
        <w:rPr>
          <w:sz w:val="16"/>
        </w:rPr>
        <w:t>welling ownership</w:t>
      </w:r>
      <w:r>
        <w:rPr>
          <w:sz w:val="16"/>
        </w:rPr>
        <w:t xml:space="preserve"> and other components accounted</w:t>
      </w:r>
      <w:r w:rsidR="003149CC">
        <w:rPr>
          <w:sz w:val="16"/>
        </w:rPr>
        <w:t xml:space="preserve"> for </w:t>
      </w:r>
      <w:r>
        <w:rPr>
          <w:sz w:val="16"/>
        </w:rPr>
        <w:t xml:space="preserve">the remaining </w:t>
      </w:r>
      <w:r w:rsidR="00C81FA3">
        <w:rPr>
          <w:sz w:val="16"/>
        </w:rPr>
        <w:t>9</w:t>
      </w:r>
      <w:r w:rsidR="003149CC">
        <w:rPr>
          <w:sz w:val="16"/>
        </w:rPr>
        <w:t>%</w:t>
      </w:r>
      <w:r>
        <w:rPr>
          <w:sz w:val="16"/>
        </w:rPr>
        <w:t xml:space="preserve"> of GSP in 20</w:t>
      </w:r>
      <w:r w:rsidR="00525754">
        <w:rPr>
          <w:sz w:val="16"/>
        </w:rPr>
        <w:t>19-20</w:t>
      </w:r>
      <w:r w:rsidR="004E46F6" w:rsidRPr="004E46F6">
        <w:rPr>
          <w:sz w:val="16"/>
        </w:rPr>
        <w:t>.</w:t>
      </w:r>
    </w:p>
    <w:p w14:paraId="6AC99C77" w14:textId="77777777" w:rsidR="00C6467F" w:rsidRDefault="00C6467F" w:rsidP="00C6467F">
      <w:pPr>
        <w:pStyle w:val="BodyText"/>
        <w:spacing w:after="0"/>
        <w:ind w:left="360"/>
        <w:jc w:val="both"/>
        <w:rPr>
          <w:sz w:val="16"/>
        </w:rPr>
        <w:sectPr w:rsidR="00C6467F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0A3B76CA" w14:textId="17B3A591" w:rsidR="00C6467F" w:rsidRDefault="00C6467F" w:rsidP="00C6467F">
      <w:pPr>
        <w:pStyle w:val="BodyText"/>
        <w:spacing w:after="0"/>
        <w:jc w:val="both"/>
        <w:rPr>
          <w:sz w:val="16"/>
        </w:rPr>
      </w:pPr>
    </w:p>
    <w:p w14:paraId="38182403" w14:textId="194FED38" w:rsidR="00006DAE" w:rsidRDefault="00006DAE" w:rsidP="00C6467F">
      <w:pPr>
        <w:pStyle w:val="BodyText"/>
        <w:spacing w:after="0"/>
        <w:jc w:val="both"/>
        <w:rPr>
          <w:sz w:val="16"/>
        </w:rPr>
      </w:pPr>
    </w:p>
    <w:p w14:paraId="1D1B2BE5" w14:textId="258A4195" w:rsidR="00C6467F" w:rsidRPr="00AB4A58" w:rsidRDefault="005F1191" w:rsidP="00EC6333">
      <w:pPr>
        <w:pStyle w:val="BodyText"/>
        <w:spacing w:after="0"/>
        <w:rPr>
          <w:b/>
          <w:sz w:val="20"/>
        </w:rPr>
      </w:pPr>
      <w:r>
        <w:rPr>
          <w:b/>
          <w:sz w:val="20"/>
        </w:rPr>
        <w:t>Western Australia’s i</w:t>
      </w:r>
      <w:r w:rsidR="00AB4A58">
        <w:rPr>
          <w:b/>
          <w:sz w:val="20"/>
        </w:rPr>
        <w:t>ndustries contribution to</w:t>
      </w:r>
      <w:r w:rsidR="00AB4A58" w:rsidRPr="00AB4A58">
        <w:rPr>
          <w:b/>
          <w:sz w:val="20"/>
        </w:rPr>
        <w:t xml:space="preserve"> </w:t>
      </w:r>
      <w:r w:rsidR="006857C2">
        <w:rPr>
          <w:b/>
          <w:sz w:val="20"/>
        </w:rPr>
        <w:t>real</w:t>
      </w:r>
      <w:r w:rsidR="00434B08" w:rsidRPr="00BF1BE3">
        <w:rPr>
          <w:b/>
          <w:sz w:val="20"/>
          <w:vertAlign w:val="superscript"/>
        </w:rPr>
        <w:t>1</w:t>
      </w:r>
      <w:r w:rsidR="006857C2">
        <w:rPr>
          <w:b/>
          <w:sz w:val="20"/>
        </w:rPr>
        <w:t xml:space="preserve"> change in </w:t>
      </w:r>
      <w:r w:rsidR="007A11D6">
        <w:rPr>
          <w:b/>
          <w:sz w:val="20"/>
        </w:rPr>
        <w:t>GSP:</w:t>
      </w:r>
      <w:r>
        <w:rPr>
          <w:b/>
          <w:sz w:val="20"/>
        </w:rPr>
        <w:t xml:space="preserve"> </w:t>
      </w:r>
      <w:r w:rsidR="00AB4A58" w:rsidRPr="00AB4A58">
        <w:rPr>
          <w:b/>
          <w:sz w:val="20"/>
        </w:rPr>
        <w:t>201</w:t>
      </w:r>
      <w:r w:rsidR="00A84EFD">
        <w:rPr>
          <w:b/>
          <w:sz w:val="20"/>
        </w:rPr>
        <w:t>9-20</w:t>
      </w:r>
      <w:r w:rsidR="00AB4A58" w:rsidRPr="00AB4A58">
        <w:rPr>
          <w:b/>
          <w:sz w:val="20"/>
        </w:rPr>
        <w:t xml:space="preserve"> financial year</w:t>
      </w:r>
    </w:p>
    <w:p w14:paraId="02496F3B" w14:textId="562E3860" w:rsidR="00771526" w:rsidRDefault="00EE3F59" w:rsidP="00771526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60EA231C" wp14:editId="519EDA6C">
            <wp:extent cx="3441700" cy="2065655"/>
            <wp:effectExtent l="0" t="0" r="635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0" cy="206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C3C33" w14:textId="43DAB5B1" w:rsidR="004D4A29" w:rsidRPr="00873AA6" w:rsidRDefault="00434B08" w:rsidP="00434B08">
      <w:pPr>
        <w:spacing w:after="0"/>
        <w:jc w:val="both"/>
        <w:rPr>
          <w:sz w:val="10"/>
        </w:rPr>
      </w:pPr>
      <w:r w:rsidRPr="00BF1BE3">
        <w:rPr>
          <w:sz w:val="10"/>
          <w:vertAlign w:val="superscript"/>
        </w:rPr>
        <w:t>1</w:t>
      </w:r>
      <w:r>
        <w:rPr>
          <w:sz w:val="10"/>
        </w:rPr>
        <w:t xml:space="preserve"> Adjusted for changes in prices. </w:t>
      </w:r>
      <w:r w:rsidR="00CB71ED">
        <w:rPr>
          <w:sz w:val="10"/>
        </w:rPr>
        <w:t xml:space="preserve">pp = percentage point. </w:t>
      </w:r>
      <w:r w:rsidR="004D4A29" w:rsidRPr="000B35AC">
        <w:rPr>
          <w:sz w:val="10"/>
        </w:rPr>
        <w:t>(a</w:t>
      </w:r>
      <w:r w:rsidR="00D1187B">
        <w:rPr>
          <w:sz w:val="10"/>
        </w:rPr>
        <w:t>) Repairs, maintenance and personal services. (b) Gross operating surplus of dwelling owners, with owner-occupiers assigned a rent for their dwellings</w:t>
      </w:r>
      <w:r w:rsidR="004D4A29" w:rsidRPr="00873AA6">
        <w:rPr>
          <w:sz w:val="10"/>
        </w:rPr>
        <w:t>.</w:t>
      </w:r>
    </w:p>
    <w:p w14:paraId="2BB4FD47" w14:textId="77777777" w:rsidR="00AA2F67" w:rsidRDefault="00AA2F67" w:rsidP="00AA2F67">
      <w:pPr>
        <w:pStyle w:val="BodyText"/>
        <w:spacing w:after="0"/>
        <w:jc w:val="both"/>
        <w:rPr>
          <w:sz w:val="10"/>
        </w:rPr>
      </w:pPr>
      <w:r>
        <w:rPr>
          <w:sz w:val="10"/>
        </w:rPr>
        <w:t xml:space="preserve">Source: </w:t>
      </w:r>
      <w:r w:rsidRPr="00A441A2">
        <w:rPr>
          <w:sz w:val="10"/>
        </w:rPr>
        <w:t>ABS 5</w:t>
      </w:r>
      <w:r>
        <w:rPr>
          <w:sz w:val="10"/>
        </w:rPr>
        <w:t>220.0 Australian National Accounts: State Accounts (Annual)</w:t>
      </w:r>
      <w:r w:rsidRPr="00B720D6">
        <w:rPr>
          <w:sz w:val="10"/>
        </w:rPr>
        <w:t>.</w:t>
      </w:r>
    </w:p>
    <w:p w14:paraId="262C3296" w14:textId="5E1C6C43" w:rsidR="00C922A0" w:rsidRDefault="00BA2F7B" w:rsidP="00B9649C">
      <w:pPr>
        <w:spacing w:after="0"/>
        <w:jc w:val="both"/>
        <w:rPr>
          <w:sz w:val="16"/>
        </w:rPr>
      </w:pPr>
      <w:r>
        <w:br w:type="column"/>
      </w:r>
    </w:p>
    <w:p w14:paraId="4A7653D1" w14:textId="77777777" w:rsidR="00006DAE" w:rsidRDefault="00006DAE" w:rsidP="00B9649C">
      <w:pPr>
        <w:spacing w:after="0"/>
        <w:jc w:val="both"/>
        <w:rPr>
          <w:sz w:val="16"/>
        </w:rPr>
      </w:pPr>
    </w:p>
    <w:p w14:paraId="4A677432" w14:textId="23111B7B" w:rsidR="00ED58EE" w:rsidRDefault="00CB71ED" w:rsidP="00CB298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>The mining industry made the largest contribution to</w:t>
      </w:r>
      <w:r w:rsidR="004345A2">
        <w:rPr>
          <w:sz w:val="16"/>
        </w:rPr>
        <w:t xml:space="preserve"> </w:t>
      </w:r>
      <w:r w:rsidR="00BA2F7B" w:rsidRPr="00BA2F7B">
        <w:rPr>
          <w:sz w:val="16"/>
        </w:rPr>
        <w:t>Western Australia’s</w:t>
      </w:r>
      <w:r>
        <w:rPr>
          <w:sz w:val="16"/>
        </w:rPr>
        <w:t xml:space="preserve"> </w:t>
      </w:r>
      <w:r w:rsidR="004345A2">
        <w:rPr>
          <w:sz w:val="16"/>
        </w:rPr>
        <w:t xml:space="preserve">real </w:t>
      </w:r>
      <w:r>
        <w:rPr>
          <w:sz w:val="16"/>
        </w:rPr>
        <w:t>GSP growth in 20</w:t>
      </w:r>
      <w:r w:rsidR="00705217">
        <w:rPr>
          <w:sz w:val="16"/>
        </w:rPr>
        <w:t>19-20</w:t>
      </w:r>
      <w:r w:rsidR="00C51184">
        <w:rPr>
          <w:sz w:val="16"/>
        </w:rPr>
        <w:t>.</w:t>
      </w:r>
    </w:p>
    <w:p w14:paraId="7CA677D8" w14:textId="6ADD16BC" w:rsidR="00BA2F7B" w:rsidRPr="00BA2F7B" w:rsidRDefault="00F25065" w:rsidP="00CB298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>G</w:t>
      </w:r>
      <w:r w:rsidR="00DA0964">
        <w:rPr>
          <w:sz w:val="16"/>
        </w:rPr>
        <w:t xml:space="preserve">ross value added </w:t>
      </w:r>
      <w:r w:rsidR="00ED58EE">
        <w:rPr>
          <w:sz w:val="16"/>
        </w:rPr>
        <w:t xml:space="preserve">by Western Australia’s </w:t>
      </w:r>
      <w:r w:rsidR="00C51184">
        <w:rPr>
          <w:sz w:val="16"/>
        </w:rPr>
        <w:t xml:space="preserve">mining industry </w:t>
      </w:r>
      <w:r w:rsidR="00DA0964">
        <w:rPr>
          <w:sz w:val="16"/>
        </w:rPr>
        <w:t xml:space="preserve">rose </w:t>
      </w:r>
      <w:r>
        <w:rPr>
          <w:sz w:val="16"/>
        </w:rPr>
        <w:t xml:space="preserve">in real terms by </w:t>
      </w:r>
      <w:r w:rsidR="00705217">
        <w:rPr>
          <w:sz w:val="16"/>
        </w:rPr>
        <w:t>4.9</w:t>
      </w:r>
      <w:r w:rsidR="00DA0964">
        <w:rPr>
          <w:sz w:val="16"/>
        </w:rPr>
        <w:t>% in 201</w:t>
      </w:r>
      <w:r w:rsidR="00705217">
        <w:rPr>
          <w:sz w:val="16"/>
        </w:rPr>
        <w:t>9-20</w:t>
      </w:r>
      <w:r w:rsidR="00BA2F7B" w:rsidRPr="00BA2F7B">
        <w:rPr>
          <w:sz w:val="16"/>
        </w:rPr>
        <w:t>.</w:t>
      </w:r>
    </w:p>
    <w:p w14:paraId="232E4554" w14:textId="0BDF4BEC" w:rsidR="00C51184" w:rsidRDefault="00ED58EE" w:rsidP="00CB298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>Healthcare and social assistance</w:t>
      </w:r>
      <w:r w:rsidR="00C51184">
        <w:rPr>
          <w:sz w:val="16"/>
        </w:rPr>
        <w:t xml:space="preserve"> (up </w:t>
      </w:r>
      <w:r>
        <w:rPr>
          <w:sz w:val="16"/>
        </w:rPr>
        <w:t>4.7</w:t>
      </w:r>
      <w:r w:rsidR="00C51184">
        <w:rPr>
          <w:sz w:val="16"/>
        </w:rPr>
        <w:t xml:space="preserve">%) made the second largest contribution to </w:t>
      </w:r>
      <w:r w:rsidR="00664053">
        <w:rPr>
          <w:sz w:val="16"/>
        </w:rPr>
        <w:t xml:space="preserve">real </w:t>
      </w:r>
      <w:r w:rsidR="00C51184">
        <w:rPr>
          <w:sz w:val="16"/>
        </w:rPr>
        <w:t>GSP growth in 201</w:t>
      </w:r>
      <w:r>
        <w:rPr>
          <w:sz w:val="16"/>
        </w:rPr>
        <w:t>9</w:t>
      </w:r>
      <w:r>
        <w:rPr>
          <w:sz w:val="16"/>
        </w:rPr>
        <w:noBreakHyphen/>
        <w:t>20</w:t>
      </w:r>
      <w:r w:rsidR="00C51184">
        <w:rPr>
          <w:sz w:val="16"/>
        </w:rPr>
        <w:t>, followed by:</w:t>
      </w:r>
    </w:p>
    <w:p w14:paraId="785E0667" w14:textId="2426117E" w:rsidR="00C51184" w:rsidRPr="004E46F6" w:rsidRDefault="00434A4D" w:rsidP="005A3CC2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>
        <w:rPr>
          <w:sz w:val="16"/>
        </w:rPr>
        <w:t>Information media and telecommunications (up 6.1</w:t>
      </w:r>
      <w:r w:rsidR="00C51184">
        <w:rPr>
          <w:sz w:val="16"/>
        </w:rPr>
        <w:t>%)</w:t>
      </w:r>
      <w:r w:rsidR="00C51184" w:rsidRPr="004E46F6">
        <w:rPr>
          <w:sz w:val="16"/>
        </w:rPr>
        <w:t>.</w:t>
      </w:r>
    </w:p>
    <w:p w14:paraId="76EBC924" w14:textId="41A06D3F" w:rsidR="00C51184" w:rsidRDefault="009243A9" w:rsidP="005A3CC2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>
        <w:rPr>
          <w:sz w:val="16"/>
        </w:rPr>
        <w:t>Public administration and safety (up 4.5</w:t>
      </w:r>
      <w:r w:rsidR="00C51184">
        <w:rPr>
          <w:sz w:val="16"/>
        </w:rPr>
        <w:t>%)</w:t>
      </w:r>
      <w:r w:rsidR="007720F0">
        <w:rPr>
          <w:sz w:val="16"/>
        </w:rPr>
        <w:t>.</w:t>
      </w:r>
    </w:p>
    <w:p w14:paraId="7CECF608" w14:textId="4F69418E" w:rsidR="00C51184" w:rsidRDefault="009243A9" w:rsidP="005A3CC2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>
        <w:rPr>
          <w:sz w:val="16"/>
        </w:rPr>
        <w:t>Professional, scientific and technical services (up 2.4</w:t>
      </w:r>
      <w:r w:rsidR="00C51184">
        <w:rPr>
          <w:sz w:val="16"/>
        </w:rPr>
        <w:t>%)</w:t>
      </w:r>
      <w:r w:rsidR="007720F0">
        <w:rPr>
          <w:sz w:val="16"/>
        </w:rPr>
        <w:t>.</w:t>
      </w:r>
    </w:p>
    <w:p w14:paraId="4A288A84" w14:textId="2591F966" w:rsidR="00C51184" w:rsidRPr="004E46F6" w:rsidRDefault="009243A9" w:rsidP="005A3CC2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>
        <w:rPr>
          <w:sz w:val="16"/>
        </w:rPr>
        <w:t>Finance and insurance services (up 1.4</w:t>
      </w:r>
      <w:r w:rsidR="00C51184">
        <w:rPr>
          <w:sz w:val="16"/>
        </w:rPr>
        <w:t>%)</w:t>
      </w:r>
      <w:r w:rsidR="00C51184" w:rsidRPr="004E46F6">
        <w:rPr>
          <w:sz w:val="16"/>
        </w:rPr>
        <w:t>.</w:t>
      </w:r>
    </w:p>
    <w:p w14:paraId="1D5902ED" w14:textId="0B02770F" w:rsidR="00BA2F7B" w:rsidRPr="00BA2F7B" w:rsidRDefault="00C51184" w:rsidP="00CB298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 xml:space="preserve">The construction industry </w:t>
      </w:r>
      <w:r w:rsidR="008C3ACB">
        <w:rPr>
          <w:sz w:val="16"/>
        </w:rPr>
        <w:t xml:space="preserve">(down </w:t>
      </w:r>
      <w:r w:rsidR="008B6E60">
        <w:rPr>
          <w:sz w:val="16"/>
        </w:rPr>
        <w:t>4.6</w:t>
      </w:r>
      <w:r w:rsidR="008C3ACB">
        <w:rPr>
          <w:sz w:val="16"/>
        </w:rPr>
        <w:t xml:space="preserve">%) </w:t>
      </w:r>
      <w:r>
        <w:rPr>
          <w:sz w:val="16"/>
        </w:rPr>
        <w:t xml:space="preserve">was the </w:t>
      </w:r>
      <w:r w:rsidR="008C3ACB">
        <w:rPr>
          <w:sz w:val="16"/>
        </w:rPr>
        <w:t>largest</w:t>
      </w:r>
      <w:r>
        <w:rPr>
          <w:sz w:val="16"/>
        </w:rPr>
        <w:t xml:space="preserve"> detractor from</w:t>
      </w:r>
      <w:r w:rsidR="008C3ACB">
        <w:rPr>
          <w:sz w:val="16"/>
        </w:rPr>
        <w:t xml:space="preserve"> Western Australia’s </w:t>
      </w:r>
      <w:r w:rsidR="004345A2">
        <w:rPr>
          <w:sz w:val="16"/>
        </w:rPr>
        <w:t xml:space="preserve">real </w:t>
      </w:r>
      <w:r w:rsidR="008C3ACB">
        <w:rPr>
          <w:sz w:val="16"/>
        </w:rPr>
        <w:t>GSP growth in 201</w:t>
      </w:r>
      <w:r w:rsidR="008B6E60">
        <w:rPr>
          <w:sz w:val="16"/>
        </w:rPr>
        <w:t>9-20</w:t>
      </w:r>
      <w:r w:rsidR="008C3ACB">
        <w:rPr>
          <w:sz w:val="16"/>
        </w:rPr>
        <w:t xml:space="preserve">, followed by </w:t>
      </w:r>
      <w:r w:rsidR="008B6E60">
        <w:rPr>
          <w:sz w:val="16"/>
        </w:rPr>
        <w:t>agriculture, forestry and fishing (down 10.4</w:t>
      </w:r>
      <w:r w:rsidR="008C3ACB">
        <w:rPr>
          <w:sz w:val="16"/>
        </w:rPr>
        <w:t xml:space="preserve">%) and </w:t>
      </w:r>
      <w:r w:rsidR="008B6E60">
        <w:rPr>
          <w:sz w:val="16"/>
        </w:rPr>
        <w:t>transport, postal and warehousing</w:t>
      </w:r>
      <w:r w:rsidR="00BA2F7B" w:rsidRPr="00BA2F7B">
        <w:rPr>
          <w:sz w:val="16"/>
        </w:rPr>
        <w:t xml:space="preserve"> (</w:t>
      </w:r>
      <w:r w:rsidR="008C3ACB">
        <w:rPr>
          <w:sz w:val="16"/>
        </w:rPr>
        <w:t xml:space="preserve">down </w:t>
      </w:r>
      <w:r w:rsidR="008B6E60">
        <w:rPr>
          <w:sz w:val="16"/>
        </w:rPr>
        <w:t>4.9</w:t>
      </w:r>
      <w:r w:rsidR="008C3ACB">
        <w:rPr>
          <w:sz w:val="16"/>
        </w:rPr>
        <w:t>%</w:t>
      </w:r>
      <w:r w:rsidR="00BA2F7B" w:rsidRPr="00BA2F7B">
        <w:rPr>
          <w:sz w:val="16"/>
        </w:rPr>
        <w:t>).</w:t>
      </w:r>
    </w:p>
    <w:p w14:paraId="69D2A0A0" w14:textId="585FF906" w:rsidR="00562E13" w:rsidRDefault="00562E13" w:rsidP="00FB698D">
      <w:pPr>
        <w:jc w:val="both"/>
        <w:rPr>
          <w:sz w:val="16"/>
        </w:rPr>
      </w:pPr>
      <w:r>
        <w:rPr>
          <w:sz w:val="16"/>
        </w:rPr>
        <w:br w:type="page"/>
      </w:r>
    </w:p>
    <w:p w14:paraId="74E13C6F" w14:textId="77777777" w:rsidR="006F54DD" w:rsidRPr="00562E13" w:rsidRDefault="006F54DD" w:rsidP="00562E13">
      <w:pPr>
        <w:spacing w:after="0"/>
        <w:jc w:val="both"/>
        <w:rPr>
          <w:sz w:val="22"/>
        </w:rPr>
      </w:pPr>
    </w:p>
    <w:p w14:paraId="656402CD" w14:textId="279BF8B5" w:rsidR="00562E13" w:rsidRPr="00F1089A" w:rsidRDefault="005F1191" w:rsidP="00EC6333">
      <w:pPr>
        <w:pStyle w:val="BodyText"/>
        <w:spacing w:after="0"/>
        <w:rPr>
          <w:b/>
          <w:sz w:val="20"/>
        </w:rPr>
      </w:pPr>
      <w:r>
        <w:rPr>
          <w:b/>
          <w:sz w:val="20"/>
        </w:rPr>
        <w:t>Western Australia’s g</w:t>
      </w:r>
      <w:r w:rsidR="002810C9">
        <w:rPr>
          <w:b/>
          <w:sz w:val="20"/>
        </w:rPr>
        <w:t>ross state income and terms of trade (</w:t>
      </w:r>
      <w:r w:rsidR="00F25065">
        <w:rPr>
          <w:b/>
          <w:sz w:val="20"/>
        </w:rPr>
        <w:t>real</w:t>
      </w:r>
      <w:r w:rsidR="004604E8" w:rsidRPr="004604E8">
        <w:rPr>
          <w:b/>
          <w:sz w:val="20"/>
          <w:vertAlign w:val="superscript"/>
        </w:rPr>
        <w:t>1</w:t>
      </w:r>
      <w:r w:rsidR="00F25065">
        <w:rPr>
          <w:b/>
          <w:sz w:val="20"/>
        </w:rPr>
        <w:t xml:space="preserve"> </w:t>
      </w:r>
      <w:r w:rsidR="002810C9">
        <w:rPr>
          <w:b/>
          <w:sz w:val="20"/>
        </w:rPr>
        <w:t>% change): Financial years</w:t>
      </w:r>
    </w:p>
    <w:p w14:paraId="3D0CFD0F" w14:textId="12E5D066" w:rsidR="00FE23FA" w:rsidRDefault="00662AC7" w:rsidP="00FE23FA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3FB758A2" wp14:editId="6BED8A76">
            <wp:extent cx="3420745" cy="2052955"/>
            <wp:effectExtent l="0" t="0" r="8255" b="444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745" cy="205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E5227" w14:textId="77777777" w:rsidR="004604E8" w:rsidRDefault="004604E8" w:rsidP="00EF095B">
      <w:pPr>
        <w:pStyle w:val="BodyText"/>
        <w:spacing w:after="0"/>
        <w:jc w:val="both"/>
        <w:rPr>
          <w:sz w:val="10"/>
        </w:rPr>
      </w:pPr>
      <w:r w:rsidRPr="00BF1BE3">
        <w:rPr>
          <w:sz w:val="10"/>
          <w:vertAlign w:val="superscript"/>
        </w:rPr>
        <w:t>1</w:t>
      </w:r>
      <w:r>
        <w:rPr>
          <w:sz w:val="10"/>
        </w:rPr>
        <w:t xml:space="preserve"> Adjusted for changes in prices. </w:t>
      </w:r>
    </w:p>
    <w:p w14:paraId="6371C503" w14:textId="5EE12326" w:rsidR="00EF095B" w:rsidRDefault="00EF095B" w:rsidP="00EF095B">
      <w:pPr>
        <w:pStyle w:val="BodyText"/>
        <w:spacing w:after="0"/>
        <w:jc w:val="both"/>
        <w:rPr>
          <w:sz w:val="10"/>
        </w:rPr>
      </w:pPr>
      <w:r>
        <w:rPr>
          <w:sz w:val="10"/>
        </w:rPr>
        <w:t xml:space="preserve">Source: </w:t>
      </w:r>
      <w:r w:rsidRPr="00A441A2">
        <w:rPr>
          <w:sz w:val="10"/>
        </w:rPr>
        <w:t>ABS 5</w:t>
      </w:r>
      <w:r>
        <w:rPr>
          <w:sz w:val="10"/>
        </w:rPr>
        <w:t>220.0 Australian National Accounts: State Accounts (Annual)</w:t>
      </w:r>
      <w:r w:rsidRPr="00B720D6">
        <w:rPr>
          <w:sz w:val="10"/>
        </w:rPr>
        <w:t>.</w:t>
      </w:r>
    </w:p>
    <w:p w14:paraId="1FF005DB" w14:textId="6ECB42EB" w:rsidR="00425B81" w:rsidRDefault="00425B81" w:rsidP="00425B81">
      <w:pPr>
        <w:spacing w:after="0"/>
        <w:jc w:val="both"/>
        <w:rPr>
          <w:sz w:val="16"/>
        </w:rPr>
      </w:pPr>
    </w:p>
    <w:p w14:paraId="4EC773DA" w14:textId="77777777" w:rsidR="00425B81" w:rsidRDefault="00425B81" w:rsidP="00425B81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6F27990F" w14:textId="77777777" w:rsidR="00425B81" w:rsidRDefault="00425B81" w:rsidP="00425B81">
      <w:pPr>
        <w:spacing w:after="0"/>
        <w:jc w:val="both"/>
        <w:rPr>
          <w:sz w:val="16"/>
        </w:rPr>
      </w:pPr>
    </w:p>
    <w:p w14:paraId="7C49B582" w14:textId="77777777" w:rsidR="00425B81" w:rsidRDefault="00425B81" w:rsidP="00425B81">
      <w:pPr>
        <w:spacing w:after="0"/>
        <w:jc w:val="both"/>
        <w:rPr>
          <w:sz w:val="16"/>
        </w:rPr>
      </w:pPr>
    </w:p>
    <w:p w14:paraId="0F599457" w14:textId="2F30AE4A" w:rsidR="00425B81" w:rsidRPr="003D5BE8" w:rsidRDefault="003F3672" w:rsidP="00CB298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>Gross state income</w:t>
      </w:r>
      <w:r w:rsidR="000B6C74">
        <w:rPr>
          <w:sz w:val="16"/>
        </w:rPr>
        <w:t xml:space="preserve"> (GSI)</w:t>
      </w:r>
      <w:r>
        <w:rPr>
          <w:sz w:val="16"/>
        </w:rPr>
        <w:t xml:space="preserve"> is a</w:t>
      </w:r>
      <w:r w:rsidR="001D5B27">
        <w:rPr>
          <w:sz w:val="16"/>
        </w:rPr>
        <w:t xml:space="preserve">n alternative </w:t>
      </w:r>
      <w:r w:rsidR="0040481A">
        <w:rPr>
          <w:sz w:val="16"/>
        </w:rPr>
        <w:t>measure of Western Australia</w:t>
      </w:r>
      <w:r w:rsidR="000B6C74">
        <w:rPr>
          <w:sz w:val="16"/>
        </w:rPr>
        <w:t xml:space="preserve">’s </w:t>
      </w:r>
      <w:r w:rsidR="0040481A">
        <w:rPr>
          <w:sz w:val="16"/>
        </w:rPr>
        <w:t>economy</w:t>
      </w:r>
      <w:r w:rsidR="000B6C74">
        <w:rPr>
          <w:sz w:val="16"/>
        </w:rPr>
        <w:t xml:space="preserve"> </w:t>
      </w:r>
      <w:r w:rsidR="001D5B27">
        <w:rPr>
          <w:sz w:val="16"/>
        </w:rPr>
        <w:t xml:space="preserve">that takes into account </w:t>
      </w:r>
      <w:r w:rsidR="00CC66D4">
        <w:rPr>
          <w:sz w:val="16"/>
        </w:rPr>
        <w:t xml:space="preserve">changes </w:t>
      </w:r>
      <w:r w:rsidR="000B6C74">
        <w:rPr>
          <w:sz w:val="16"/>
        </w:rPr>
        <w:t xml:space="preserve">in </w:t>
      </w:r>
      <w:r w:rsidR="00CC66D4">
        <w:rPr>
          <w:sz w:val="16"/>
        </w:rPr>
        <w:t>the</w:t>
      </w:r>
      <w:r w:rsidR="00772E64">
        <w:rPr>
          <w:sz w:val="16"/>
        </w:rPr>
        <w:t xml:space="preserve"> terms of trade (</w:t>
      </w:r>
      <w:r w:rsidR="00B15C1C">
        <w:rPr>
          <w:sz w:val="16"/>
        </w:rPr>
        <w:t xml:space="preserve">the </w:t>
      </w:r>
      <w:r w:rsidR="00BF0A3D">
        <w:rPr>
          <w:sz w:val="16"/>
        </w:rPr>
        <w:t xml:space="preserve">ratio of export </w:t>
      </w:r>
      <w:r w:rsidR="00B15C1C">
        <w:rPr>
          <w:sz w:val="16"/>
        </w:rPr>
        <w:t xml:space="preserve">prices </w:t>
      </w:r>
      <w:r w:rsidR="00BF0A3D">
        <w:rPr>
          <w:sz w:val="16"/>
        </w:rPr>
        <w:t>to import prices</w:t>
      </w:r>
      <w:r w:rsidR="00772E64">
        <w:rPr>
          <w:sz w:val="16"/>
        </w:rPr>
        <w:t>)</w:t>
      </w:r>
      <w:r w:rsidR="00CC66D4">
        <w:rPr>
          <w:sz w:val="16"/>
        </w:rPr>
        <w:t>.</w:t>
      </w:r>
    </w:p>
    <w:p w14:paraId="238AAD10" w14:textId="7F024C46" w:rsidR="0070084C" w:rsidRDefault="00B04E38" w:rsidP="0070084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>In 201</w:t>
      </w:r>
      <w:r w:rsidR="004671D4">
        <w:rPr>
          <w:sz w:val="16"/>
        </w:rPr>
        <w:t>9-20</w:t>
      </w:r>
      <w:r>
        <w:rPr>
          <w:sz w:val="16"/>
        </w:rPr>
        <w:t xml:space="preserve">, </w:t>
      </w:r>
      <w:r w:rsidR="00BF0A3D">
        <w:rPr>
          <w:sz w:val="16"/>
        </w:rPr>
        <w:t>Western Australia</w:t>
      </w:r>
      <w:r>
        <w:rPr>
          <w:sz w:val="16"/>
        </w:rPr>
        <w:t xml:space="preserve">’s </w:t>
      </w:r>
      <w:r w:rsidR="00BF0A3D">
        <w:rPr>
          <w:sz w:val="16"/>
        </w:rPr>
        <w:t>GSI</w:t>
      </w:r>
      <w:r>
        <w:rPr>
          <w:sz w:val="16"/>
        </w:rPr>
        <w:t xml:space="preserve"> </w:t>
      </w:r>
      <w:r w:rsidR="003115D5">
        <w:rPr>
          <w:sz w:val="16"/>
        </w:rPr>
        <w:t xml:space="preserve">grew </w:t>
      </w:r>
      <w:r w:rsidR="00F25065">
        <w:rPr>
          <w:sz w:val="16"/>
        </w:rPr>
        <w:t xml:space="preserve">in real terms by </w:t>
      </w:r>
      <w:r w:rsidR="00C06C52">
        <w:rPr>
          <w:sz w:val="16"/>
        </w:rPr>
        <w:t>8.0</w:t>
      </w:r>
      <w:r>
        <w:rPr>
          <w:sz w:val="16"/>
        </w:rPr>
        <w:t>%</w:t>
      </w:r>
      <w:r w:rsidR="003115D5">
        <w:rPr>
          <w:sz w:val="16"/>
        </w:rPr>
        <w:t xml:space="preserve">, </w:t>
      </w:r>
      <w:r w:rsidR="00181DCF">
        <w:rPr>
          <w:sz w:val="16"/>
        </w:rPr>
        <w:t xml:space="preserve">well </w:t>
      </w:r>
      <w:r>
        <w:rPr>
          <w:sz w:val="16"/>
        </w:rPr>
        <w:t xml:space="preserve">above </w:t>
      </w:r>
      <w:r w:rsidR="00C06C52">
        <w:rPr>
          <w:sz w:val="16"/>
        </w:rPr>
        <w:t>real GSP growth of 1.4</w:t>
      </w:r>
      <w:r w:rsidR="0062028B">
        <w:rPr>
          <w:sz w:val="16"/>
        </w:rPr>
        <w:t>% due to</w:t>
      </w:r>
      <w:r w:rsidR="00C06C52">
        <w:rPr>
          <w:sz w:val="16"/>
        </w:rPr>
        <w:t xml:space="preserve"> a 9.5% increase in </w:t>
      </w:r>
      <w:r w:rsidR="0062028B">
        <w:rPr>
          <w:sz w:val="16"/>
        </w:rPr>
        <w:t xml:space="preserve">the State’s </w:t>
      </w:r>
      <w:r>
        <w:rPr>
          <w:sz w:val="16"/>
        </w:rPr>
        <w:t>terms of trade</w:t>
      </w:r>
      <w:r w:rsidR="0070084C">
        <w:rPr>
          <w:sz w:val="16"/>
        </w:rPr>
        <w:t>.</w:t>
      </w:r>
    </w:p>
    <w:p w14:paraId="0955F300" w14:textId="5D115A88" w:rsidR="006F54DD" w:rsidRDefault="0070084C" w:rsidP="0070084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 xml:space="preserve">Western Australia’s </w:t>
      </w:r>
      <w:r w:rsidR="003E1400">
        <w:rPr>
          <w:sz w:val="16"/>
        </w:rPr>
        <w:t xml:space="preserve">real </w:t>
      </w:r>
      <w:r w:rsidR="00BA5857">
        <w:rPr>
          <w:sz w:val="16"/>
        </w:rPr>
        <w:t>GSI growth of 8.0</w:t>
      </w:r>
      <w:r>
        <w:rPr>
          <w:sz w:val="16"/>
        </w:rPr>
        <w:t>% in 201</w:t>
      </w:r>
      <w:r w:rsidR="00BA5857">
        <w:rPr>
          <w:sz w:val="16"/>
        </w:rPr>
        <w:t>9-20</w:t>
      </w:r>
      <w:r>
        <w:rPr>
          <w:sz w:val="16"/>
        </w:rPr>
        <w:t xml:space="preserve"> was </w:t>
      </w:r>
      <w:r w:rsidR="00BA5857">
        <w:rPr>
          <w:sz w:val="16"/>
        </w:rPr>
        <w:t xml:space="preserve">below </w:t>
      </w:r>
      <w:r w:rsidR="007D03F1">
        <w:rPr>
          <w:sz w:val="16"/>
        </w:rPr>
        <w:t xml:space="preserve">its </w:t>
      </w:r>
      <w:r>
        <w:rPr>
          <w:sz w:val="16"/>
        </w:rPr>
        <w:t>growth</w:t>
      </w:r>
      <w:r w:rsidR="00BA5857">
        <w:rPr>
          <w:sz w:val="16"/>
        </w:rPr>
        <w:t xml:space="preserve"> of 9.6%</w:t>
      </w:r>
      <w:r>
        <w:rPr>
          <w:sz w:val="16"/>
        </w:rPr>
        <w:t xml:space="preserve"> in 201</w:t>
      </w:r>
      <w:r w:rsidR="00BA5857">
        <w:rPr>
          <w:sz w:val="16"/>
        </w:rPr>
        <w:t xml:space="preserve">8-19, but </w:t>
      </w:r>
      <w:r>
        <w:rPr>
          <w:sz w:val="16"/>
        </w:rPr>
        <w:t xml:space="preserve">above </w:t>
      </w:r>
      <w:r w:rsidR="007D03F1">
        <w:rPr>
          <w:sz w:val="16"/>
        </w:rPr>
        <w:t xml:space="preserve">its </w:t>
      </w:r>
      <w:r w:rsidR="003F26FE">
        <w:rPr>
          <w:sz w:val="16"/>
        </w:rPr>
        <w:t>compound annual growth</w:t>
      </w:r>
      <w:r w:rsidR="00BA5857">
        <w:rPr>
          <w:sz w:val="16"/>
        </w:rPr>
        <w:t xml:space="preserve"> of 4.0</w:t>
      </w:r>
      <w:r w:rsidR="003F26FE">
        <w:rPr>
          <w:sz w:val="16"/>
        </w:rPr>
        <w:t>% over the past 10</w:t>
      </w:r>
      <w:r w:rsidR="00B15C1C">
        <w:rPr>
          <w:sz w:val="16"/>
        </w:rPr>
        <w:t> </w:t>
      </w:r>
      <w:r w:rsidR="003F26FE">
        <w:rPr>
          <w:sz w:val="16"/>
        </w:rPr>
        <w:t>years</w:t>
      </w:r>
      <w:r w:rsidR="00425B81" w:rsidRPr="0070084C">
        <w:rPr>
          <w:sz w:val="16"/>
        </w:rPr>
        <w:t>.</w:t>
      </w:r>
    </w:p>
    <w:p w14:paraId="064A2620" w14:textId="0380C1D3" w:rsidR="003F26FE" w:rsidRPr="0070084C" w:rsidRDefault="003E1400" w:rsidP="0070084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 xml:space="preserve">The increase in </w:t>
      </w:r>
      <w:r w:rsidR="003F26FE">
        <w:rPr>
          <w:sz w:val="16"/>
        </w:rPr>
        <w:t>Western Aus</w:t>
      </w:r>
      <w:r>
        <w:rPr>
          <w:sz w:val="16"/>
        </w:rPr>
        <w:t>tralia’s terms of trade</w:t>
      </w:r>
      <w:r w:rsidR="007C3D87">
        <w:rPr>
          <w:sz w:val="16"/>
        </w:rPr>
        <w:t xml:space="preserve"> of 9.5</w:t>
      </w:r>
      <w:r w:rsidR="003F26FE">
        <w:rPr>
          <w:sz w:val="16"/>
        </w:rPr>
        <w:t>% in 201</w:t>
      </w:r>
      <w:r w:rsidR="007C3D87">
        <w:rPr>
          <w:sz w:val="16"/>
        </w:rPr>
        <w:t>9-20 was</w:t>
      </w:r>
      <w:r w:rsidR="003F26FE">
        <w:rPr>
          <w:sz w:val="16"/>
        </w:rPr>
        <w:t xml:space="preserve"> </w:t>
      </w:r>
      <w:r w:rsidR="007C3D87">
        <w:rPr>
          <w:sz w:val="16"/>
        </w:rPr>
        <w:t xml:space="preserve">below its growth of 12.3% </w:t>
      </w:r>
      <w:r w:rsidR="003F26FE">
        <w:rPr>
          <w:sz w:val="16"/>
        </w:rPr>
        <w:t>in 201</w:t>
      </w:r>
      <w:r w:rsidR="007C3D87">
        <w:rPr>
          <w:sz w:val="16"/>
        </w:rPr>
        <w:t>8-19</w:t>
      </w:r>
      <w:r w:rsidR="003F26FE">
        <w:rPr>
          <w:sz w:val="16"/>
        </w:rPr>
        <w:t>.</w:t>
      </w:r>
    </w:p>
    <w:p w14:paraId="207DC180" w14:textId="77777777" w:rsidR="00C449B9" w:rsidRDefault="00C449B9" w:rsidP="00C449B9">
      <w:pPr>
        <w:pStyle w:val="BodyText"/>
        <w:spacing w:after="0"/>
        <w:jc w:val="both"/>
        <w:rPr>
          <w:sz w:val="16"/>
        </w:rPr>
        <w:sectPr w:rsidR="00C449B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7DA99332" w14:textId="77777777" w:rsidR="004A7FCA" w:rsidRPr="004A7FCA" w:rsidRDefault="004A7FCA" w:rsidP="00C449B9">
      <w:pPr>
        <w:pStyle w:val="BodyText"/>
        <w:spacing w:after="0"/>
        <w:jc w:val="both"/>
        <w:rPr>
          <w:sz w:val="16"/>
        </w:rPr>
      </w:pPr>
    </w:p>
    <w:p w14:paraId="2353EE19" w14:textId="3ED9B08A" w:rsidR="00C449B9" w:rsidRPr="00F1089A" w:rsidRDefault="00B3034F" w:rsidP="00EC6333">
      <w:pPr>
        <w:pStyle w:val="BodyText"/>
        <w:spacing w:after="0"/>
        <w:rPr>
          <w:b/>
          <w:sz w:val="20"/>
        </w:rPr>
      </w:pPr>
      <w:r>
        <w:rPr>
          <w:b/>
          <w:sz w:val="20"/>
        </w:rPr>
        <w:t>Australia</w:t>
      </w:r>
      <w:r w:rsidR="005F1191">
        <w:rPr>
          <w:b/>
          <w:sz w:val="20"/>
        </w:rPr>
        <w:t xml:space="preserve">’s </w:t>
      </w:r>
      <w:r w:rsidR="00250692">
        <w:rPr>
          <w:b/>
          <w:sz w:val="20"/>
        </w:rPr>
        <w:t xml:space="preserve">exchange rate and </w:t>
      </w:r>
      <w:r>
        <w:rPr>
          <w:b/>
          <w:sz w:val="20"/>
        </w:rPr>
        <w:t>commodity prices</w:t>
      </w:r>
      <w:r w:rsidR="00250692" w:rsidRPr="00EC6333">
        <w:rPr>
          <w:b/>
          <w:sz w:val="20"/>
          <w:vertAlign w:val="superscript"/>
        </w:rPr>
        <w:t>1</w:t>
      </w:r>
      <w:r w:rsidR="007F074F">
        <w:rPr>
          <w:b/>
          <w:sz w:val="20"/>
        </w:rPr>
        <w:t>: Months</w:t>
      </w:r>
    </w:p>
    <w:p w14:paraId="189118FB" w14:textId="57F7880D" w:rsidR="00C449B9" w:rsidRDefault="00BC7CB0" w:rsidP="00C449B9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0FB8F0F7" wp14:editId="0CACB063">
            <wp:extent cx="3424555" cy="2052955"/>
            <wp:effectExtent l="0" t="0" r="4445" b="4445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4555" cy="205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57680" w14:textId="62E24A58" w:rsidR="00250692" w:rsidRDefault="00250692" w:rsidP="00F37878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>
        <w:rPr>
          <w:sz w:val="10"/>
        </w:rPr>
        <w:t xml:space="preserve">Note – Axis does not start at zero. </w:t>
      </w:r>
      <w:r w:rsidRPr="00250692">
        <w:rPr>
          <w:sz w:val="10"/>
          <w:vertAlign w:val="superscript"/>
        </w:rPr>
        <w:t>1</w:t>
      </w:r>
      <w:r w:rsidR="0039771D">
        <w:rPr>
          <w:sz w:val="10"/>
        </w:rPr>
        <w:t xml:space="preserve"> Monthly i</w:t>
      </w:r>
      <w:r>
        <w:rPr>
          <w:sz w:val="10"/>
        </w:rPr>
        <w:t>ndex</w:t>
      </w:r>
      <w:r w:rsidR="00356B1A">
        <w:rPr>
          <w:sz w:val="10"/>
        </w:rPr>
        <w:t xml:space="preserve"> of Australia’</w:t>
      </w:r>
      <w:r w:rsidR="00333E24">
        <w:rPr>
          <w:sz w:val="10"/>
        </w:rPr>
        <w:t>s</w:t>
      </w:r>
      <w:r w:rsidR="00356B1A">
        <w:rPr>
          <w:sz w:val="10"/>
        </w:rPr>
        <w:t xml:space="preserve"> commodity prices</w:t>
      </w:r>
      <w:r w:rsidR="009D44A1">
        <w:rPr>
          <w:sz w:val="10"/>
        </w:rPr>
        <w:t xml:space="preserve"> (nominal value)</w:t>
      </w:r>
      <w:r>
        <w:rPr>
          <w:sz w:val="10"/>
        </w:rPr>
        <w:t>: 2018-19 = 100.0</w:t>
      </w:r>
    </w:p>
    <w:p w14:paraId="13393943" w14:textId="44F30505" w:rsidR="00F37878" w:rsidRDefault="00F37878" w:rsidP="00F37878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>
        <w:rPr>
          <w:sz w:val="10"/>
        </w:rPr>
        <w:t xml:space="preserve">Source: </w:t>
      </w:r>
      <w:r w:rsidR="00250692">
        <w:rPr>
          <w:sz w:val="10"/>
        </w:rPr>
        <w:t>Reserve Bank of Australia</w:t>
      </w:r>
      <w:r w:rsidR="00BA190C">
        <w:rPr>
          <w:sz w:val="10"/>
        </w:rPr>
        <w:t xml:space="preserve"> (RBA)</w:t>
      </w:r>
      <w:r w:rsidR="00250692">
        <w:rPr>
          <w:sz w:val="10"/>
        </w:rPr>
        <w:t>, Statistical Tables</w:t>
      </w:r>
      <w:r w:rsidR="006F4CE7">
        <w:rPr>
          <w:sz w:val="10"/>
        </w:rPr>
        <w:t xml:space="preserve"> (Monthly)</w:t>
      </w:r>
      <w:r>
        <w:rPr>
          <w:sz w:val="10"/>
        </w:rPr>
        <w:t>.</w:t>
      </w:r>
    </w:p>
    <w:p w14:paraId="2E550D8C" w14:textId="469AC7D0" w:rsidR="00F37878" w:rsidRDefault="00F37878" w:rsidP="00C449B9">
      <w:pPr>
        <w:pStyle w:val="BodyText"/>
        <w:spacing w:after="0"/>
        <w:jc w:val="both"/>
        <w:rPr>
          <w:sz w:val="16"/>
        </w:rPr>
      </w:pPr>
    </w:p>
    <w:p w14:paraId="4FE3147F" w14:textId="31EC2CF5" w:rsidR="004A7FCA" w:rsidRDefault="004A7FCA" w:rsidP="004A7FCA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041FBAEA" w14:textId="7A7AED63" w:rsidR="00ED1B93" w:rsidRDefault="000F410D" w:rsidP="00CB298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>T</w:t>
      </w:r>
      <w:r w:rsidR="00664053">
        <w:rPr>
          <w:sz w:val="16"/>
        </w:rPr>
        <w:t xml:space="preserve">he </w:t>
      </w:r>
      <w:r w:rsidR="00BC7CB0">
        <w:rPr>
          <w:sz w:val="16"/>
        </w:rPr>
        <w:t xml:space="preserve">$A exchange rate fell </w:t>
      </w:r>
      <w:r w:rsidR="00ED1B93">
        <w:rPr>
          <w:sz w:val="16"/>
        </w:rPr>
        <w:t xml:space="preserve">0.9% to </w:t>
      </w:r>
      <w:r w:rsidR="00664053">
        <w:rPr>
          <w:sz w:val="16"/>
        </w:rPr>
        <w:t xml:space="preserve">a monthly average of </w:t>
      </w:r>
      <w:r w:rsidR="00ED1B93">
        <w:rPr>
          <w:sz w:val="16"/>
        </w:rPr>
        <w:t>70</w:t>
      </w:r>
      <w:r w:rsidR="00612B25">
        <w:rPr>
          <w:sz w:val="16"/>
        </w:rPr>
        <w:t> </w:t>
      </w:r>
      <w:r w:rsidR="00397B3B">
        <w:rPr>
          <w:sz w:val="16"/>
        </w:rPr>
        <w:t xml:space="preserve">US </w:t>
      </w:r>
      <w:r w:rsidR="00ED1B93">
        <w:rPr>
          <w:sz w:val="16"/>
        </w:rPr>
        <w:t>cents in October 2020.</w:t>
      </w:r>
    </w:p>
    <w:p w14:paraId="6C608EB2" w14:textId="58F1DF48" w:rsidR="00E22807" w:rsidRDefault="000F410D" w:rsidP="00CB298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>T</w:t>
      </w:r>
      <w:r w:rsidR="00004598">
        <w:rPr>
          <w:sz w:val="16"/>
        </w:rPr>
        <w:t xml:space="preserve">he </w:t>
      </w:r>
      <w:r w:rsidR="00ED1B93">
        <w:rPr>
          <w:sz w:val="16"/>
        </w:rPr>
        <w:t xml:space="preserve">$A exchange rate fell 6% to </w:t>
      </w:r>
      <w:r w:rsidR="00004598">
        <w:rPr>
          <w:sz w:val="16"/>
        </w:rPr>
        <w:t xml:space="preserve">an annual average of </w:t>
      </w:r>
      <w:r w:rsidR="00ED1B93">
        <w:rPr>
          <w:sz w:val="16"/>
        </w:rPr>
        <w:t>67</w:t>
      </w:r>
      <w:r w:rsidR="00612B25">
        <w:rPr>
          <w:sz w:val="16"/>
        </w:rPr>
        <w:t> </w:t>
      </w:r>
      <w:r w:rsidR="00397B3B">
        <w:rPr>
          <w:sz w:val="16"/>
        </w:rPr>
        <w:t xml:space="preserve">US </w:t>
      </w:r>
      <w:r w:rsidR="00ED1B93">
        <w:rPr>
          <w:sz w:val="16"/>
        </w:rPr>
        <w:t xml:space="preserve">cents in 2019-20. </w:t>
      </w:r>
    </w:p>
    <w:p w14:paraId="25841545" w14:textId="2B7D3C02" w:rsidR="00BA190C" w:rsidRDefault="00ED1B93" w:rsidP="00CB298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>The WA Government State Budget 2020-21 forecasts</w:t>
      </w:r>
      <w:r w:rsidR="00F65212">
        <w:rPr>
          <w:sz w:val="16"/>
        </w:rPr>
        <w:t xml:space="preserve"> the </w:t>
      </w:r>
      <w:r>
        <w:rPr>
          <w:sz w:val="16"/>
        </w:rPr>
        <w:t>$A exchange rate</w:t>
      </w:r>
      <w:r w:rsidR="00F65212">
        <w:rPr>
          <w:sz w:val="16"/>
        </w:rPr>
        <w:t xml:space="preserve"> to average </w:t>
      </w:r>
      <w:r>
        <w:rPr>
          <w:sz w:val="16"/>
        </w:rPr>
        <w:t xml:space="preserve">73 </w:t>
      </w:r>
      <w:r w:rsidR="00397B3B">
        <w:rPr>
          <w:sz w:val="16"/>
        </w:rPr>
        <w:t xml:space="preserve">US </w:t>
      </w:r>
      <w:r>
        <w:rPr>
          <w:sz w:val="16"/>
        </w:rPr>
        <w:t>cents in 2020</w:t>
      </w:r>
      <w:r w:rsidR="00F65212">
        <w:rPr>
          <w:sz w:val="16"/>
        </w:rPr>
        <w:noBreakHyphen/>
      </w:r>
      <w:r>
        <w:rPr>
          <w:sz w:val="16"/>
        </w:rPr>
        <w:t>21</w:t>
      </w:r>
      <w:r w:rsidR="00612B25">
        <w:rPr>
          <w:sz w:val="16"/>
        </w:rPr>
        <w:t>.</w:t>
      </w:r>
    </w:p>
    <w:p w14:paraId="378B33B9" w14:textId="0D4D084E" w:rsidR="004A7FCA" w:rsidRPr="004A7FCA" w:rsidRDefault="00BA190C" w:rsidP="00CB298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 xml:space="preserve">The RBA’s </w:t>
      </w:r>
      <w:r w:rsidR="000F410D">
        <w:rPr>
          <w:sz w:val="16"/>
        </w:rPr>
        <w:t xml:space="preserve">monthly index of $A </w:t>
      </w:r>
      <w:r>
        <w:rPr>
          <w:sz w:val="16"/>
        </w:rPr>
        <w:t>commodity price</w:t>
      </w:r>
      <w:r w:rsidR="000F410D">
        <w:rPr>
          <w:sz w:val="16"/>
        </w:rPr>
        <w:t xml:space="preserve">s </w:t>
      </w:r>
      <w:r>
        <w:rPr>
          <w:sz w:val="16"/>
        </w:rPr>
        <w:t>for Aus</w:t>
      </w:r>
      <w:r w:rsidR="00ED1B93">
        <w:rPr>
          <w:sz w:val="16"/>
        </w:rPr>
        <w:t>tralia rose 2.8%</w:t>
      </w:r>
      <w:r w:rsidR="000F410D">
        <w:rPr>
          <w:sz w:val="16"/>
        </w:rPr>
        <w:t xml:space="preserve"> </w:t>
      </w:r>
      <w:r w:rsidR="00ED1B93">
        <w:rPr>
          <w:sz w:val="16"/>
        </w:rPr>
        <w:t>in Octo</w:t>
      </w:r>
      <w:r>
        <w:rPr>
          <w:sz w:val="16"/>
        </w:rPr>
        <w:t>ber 2020</w:t>
      </w:r>
      <w:r w:rsidR="004A7FCA" w:rsidRPr="004A7FCA">
        <w:rPr>
          <w:sz w:val="16"/>
        </w:rPr>
        <w:t>.</w:t>
      </w:r>
    </w:p>
    <w:p w14:paraId="2C0BA35C" w14:textId="34C3C19E" w:rsidR="00ED1B93" w:rsidRDefault="00ED1B93" w:rsidP="00ED1B93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>The China spot price of iron ore (including cost and freight) fell 3.2% to</w:t>
      </w:r>
      <w:r w:rsidR="000F410D">
        <w:rPr>
          <w:sz w:val="16"/>
        </w:rPr>
        <w:t xml:space="preserve"> a monthly average of </w:t>
      </w:r>
      <w:r>
        <w:rPr>
          <w:sz w:val="16"/>
        </w:rPr>
        <w:t>US$120 a tonne in October 2020.</w:t>
      </w:r>
    </w:p>
    <w:p w14:paraId="6B912C64" w14:textId="18FB5099" w:rsidR="00E22807" w:rsidRDefault="00ED1B93" w:rsidP="00645185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>The China spot price of iron ore (including cost and freight) rose 1</w:t>
      </w:r>
      <w:r w:rsidR="00E22807">
        <w:rPr>
          <w:sz w:val="16"/>
        </w:rPr>
        <w:t xml:space="preserve">6% to </w:t>
      </w:r>
      <w:r w:rsidR="00CD2094">
        <w:rPr>
          <w:sz w:val="16"/>
        </w:rPr>
        <w:t xml:space="preserve">an annual average of </w:t>
      </w:r>
      <w:r w:rsidR="00E22807">
        <w:rPr>
          <w:sz w:val="16"/>
        </w:rPr>
        <w:t>US$94 a tonne in 2019</w:t>
      </w:r>
      <w:r w:rsidR="00397B3B">
        <w:rPr>
          <w:sz w:val="16"/>
        </w:rPr>
        <w:noBreakHyphen/>
      </w:r>
      <w:r w:rsidR="00E22807">
        <w:rPr>
          <w:sz w:val="16"/>
        </w:rPr>
        <w:t>20.</w:t>
      </w:r>
    </w:p>
    <w:p w14:paraId="7060A486" w14:textId="6A96F109" w:rsidR="00FA7BE9" w:rsidRDefault="00ED1B93" w:rsidP="00645185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>The WA Government State Budget 2020-21 forecasts</w:t>
      </w:r>
      <w:r w:rsidR="009E3919">
        <w:rPr>
          <w:sz w:val="16"/>
        </w:rPr>
        <w:t xml:space="preserve"> the iron ore price </w:t>
      </w:r>
      <w:r w:rsidR="00645185">
        <w:rPr>
          <w:sz w:val="16"/>
        </w:rPr>
        <w:t xml:space="preserve">delivered to north China (including cost and freight) </w:t>
      </w:r>
      <w:r w:rsidR="009E3919">
        <w:rPr>
          <w:sz w:val="16"/>
        </w:rPr>
        <w:t xml:space="preserve">will average </w:t>
      </w:r>
      <w:r>
        <w:rPr>
          <w:sz w:val="16"/>
        </w:rPr>
        <w:t>US</w:t>
      </w:r>
      <w:r w:rsidR="00645185">
        <w:rPr>
          <w:sz w:val="16"/>
        </w:rPr>
        <w:t xml:space="preserve">$97 a tonne </w:t>
      </w:r>
      <w:r>
        <w:rPr>
          <w:sz w:val="16"/>
        </w:rPr>
        <w:t>in 2020</w:t>
      </w:r>
      <w:r w:rsidR="009E3919">
        <w:rPr>
          <w:sz w:val="16"/>
        </w:rPr>
        <w:noBreakHyphen/>
      </w:r>
      <w:r>
        <w:rPr>
          <w:sz w:val="16"/>
        </w:rPr>
        <w:t>21</w:t>
      </w:r>
      <w:r w:rsidR="00A13F7E">
        <w:rPr>
          <w:sz w:val="16"/>
        </w:rPr>
        <w:t>.</w:t>
      </w:r>
    </w:p>
    <w:p w14:paraId="3BA9CD12" w14:textId="6C29DDAE" w:rsidR="00612B25" w:rsidRPr="00645185" w:rsidRDefault="00612B25" w:rsidP="00612B25">
      <w:pPr>
        <w:pStyle w:val="BodyText"/>
        <w:spacing w:after="0"/>
        <w:jc w:val="both"/>
        <w:rPr>
          <w:sz w:val="16"/>
        </w:rPr>
        <w:sectPr w:rsidR="00612B25" w:rsidRPr="00645185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144FE916" w14:textId="6268FA8B" w:rsidR="00FA7BE9" w:rsidRPr="003D5BE8" w:rsidRDefault="00FA7BE9" w:rsidP="00FA7BE9">
      <w:pPr>
        <w:pStyle w:val="BodyText"/>
        <w:spacing w:after="0"/>
        <w:jc w:val="both"/>
        <w:rPr>
          <w:sz w:val="16"/>
        </w:rPr>
      </w:pPr>
    </w:p>
    <w:p w14:paraId="692DB519" w14:textId="4F83EF48" w:rsidR="006F54DD" w:rsidRPr="00EC6333" w:rsidRDefault="005F1191" w:rsidP="00EC6333">
      <w:pPr>
        <w:pStyle w:val="BodyText"/>
        <w:spacing w:after="0"/>
        <w:rPr>
          <w:b/>
          <w:sz w:val="20"/>
        </w:rPr>
      </w:pPr>
      <w:r>
        <w:rPr>
          <w:b/>
          <w:sz w:val="20"/>
        </w:rPr>
        <w:t>Western Australia’s p</w:t>
      </w:r>
      <w:r w:rsidR="004A64BB" w:rsidRPr="00F1089A">
        <w:rPr>
          <w:b/>
          <w:sz w:val="20"/>
        </w:rPr>
        <w:t xml:space="preserve">opulation </w:t>
      </w:r>
      <w:r w:rsidR="007F074F">
        <w:rPr>
          <w:b/>
          <w:sz w:val="20"/>
        </w:rPr>
        <w:t>growth: Calendar</w:t>
      </w:r>
      <w:r w:rsidR="00743AB9">
        <w:rPr>
          <w:b/>
          <w:sz w:val="20"/>
        </w:rPr>
        <w:t xml:space="preserve"> years</w:t>
      </w:r>
      <w:r w:rsidR="009D44A1" w:rsidRPr="009D44A1">
        <w:rPr>
          <w:b/>
          <w:sz w:val="20"/>
          <w:vertAlign w:val="superscript"/>
        </w:rPr>
        <w:t>1</w:t>
      </w:r>
    </w:p>
    <w:p w14:paraId="4AE5E3DF" w14:textId="12F7B467" w:rsidR="006F54DD" w:rsidRDefault="00AB03CD" w:rsidP="004A64BB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64631DDA" wp14:editId="025506EF">
            <wp:extent cx="3416300" cy="2049145"/>
            <wp:effectExtent l="0" t="0" r="0" b="825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0" cy="204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12941" w14:textId="29D42DFF" w:rsidR="004B3FC9" w:rsidRDefault="00310D60" w:rsidP="004A64BB">
      <w:pPr>
        <w:spacing w:after="0"/>
        <w:jc w:val="both"/>
        <w:rPr>
          <w:sz w:val="10"/>
        </w:rPr>
      </w:pPr>
      <w:r>
        <w:rPr>
          <w:sz w:val="10"/>
        </w:rPr>
        <w:t>Note – Components of population change may not sum to total population growth due to intercensal difference</w:t>
      </w:r>
      <w:r w:rsidR="009D44A1">
        <w:rPr>
          <w:sz w:val="10"/>
        </w:rPr>
        <w:t xml:space="preserve">. </w:t>
      </w:r>
      <w:r w:rsidR="009D44A1" w:rsidRPr="009D44A1">
        <w:rPr>
          <w:sz w:val="10"/>
          <w:vertAlign w:val="superscript"/>
        </w:rPr>
        <w:t>1</w:t>
      </w:r>
      <w:r w:rsidR="009D44A1">
        <w:rPr>
          <w:sz w:val="10"/>
        </w:rPr>
        <w:t xml:space="preserve"> Through the year to December</w:t>
      </w:r>
      <w:r>
        <w:rPr>
          <w:sz w:val="10"/>
        </w:rPr>
        <w:t>.</w:t>
      </w:r>
    </w:p>
    <w:p w14:paraId="3637549B" w14:textId="70776323" w:rsidR="00716C34" w:rsidRPr="00716C34" w:rsidRDefault="00716C34" w:rsidP="004A64BB">
      <w:pPr>
        <w:spacing w:after="0"/>
        <w:jc w:val="both"/>
        <w:rPr>
          <w:sz w:val="10"/>
        </w:rPr>
      </w:pPr>
      <w:r w:rsidRPr="00716C34">
        <w:rPr>
          <w:sz w:val="10"/>
        </w:rPr>
        <w:t xml:space="preserve">Source: ABS </w:t>
      </w:r>
      <w:r w:rsidR="004B3FC9">
        <w:rPr>
          <w:sz w:val="10"/>
        </w:rPr>
        <w:t>3101.0 Australian Demographic Statistics</w:t>
      </w:r>
      <w:r w:rsidR="006F4CE7">
        <w:rPr>
          <w:sz w:val="10"/>
        </w:rPr>
        <w:t xml:space="preserve"> (Quarterly)</w:t>
      </w:r>
      <w:r w:rsidRPr="00716C34">
        <w:rPr>
          <w:sz w:val="10"/>
        </w:rPr>
        <w:t>.</w:t>
      </w:r>
    </w:p>
    <w:p w14:paraId="3F60B264" w14:textId="1B6C14A7" w:rsidR="006F54DD" w:rsidRDefault="006F54DD" w:rsidP="00716C34">
      <w:pPr>
        <w:spacing w:after="0"/>
        <w:jc w:val="both"/>
        <w:rPr>
          <w:sz w:val="16"/>
        </w:rPr>
      </w:pPr>
    </w:p>
    <w:p w14:paraId="1C610AF5" w14:textId="77777777" w:rsidR="00716C34" w:rsidRDefault="00716C34" w:rsidP="00716C34">
      <w:pPr>
        <w:spacing w:after="0"/>
        <w:jc w:val="both"/>
        <w:rPr>
          <w:sz w:val="16"/>
        </w:rPr>
      </w:pPr>
    </w:p>
    <w:p w14:paraId="29D89194" w14:textId="77777777" w:rsidR="00716C34" w:rsidRDefault="00716C34" w:rsidP="00716C34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706BC930" w14:textId="0686E8BA" w:rsidR="00716C34" w:rsidRPr="00716C34" w:rsidRDefault="00716C34" w:rsidP="00CB298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716C34">
        <w:rPr>
          <w:sz w:val="16"/>
        </w:rPr>
        <w:t>Western Australia</w:t>
      </w:r>
      <w:r w:rsidR="00743AB9">
        <w:rPr>
          <w:sz w:val="16"/>
        </w:rPr>
        <w:t>’s population of 2.64 million in 2019 was 10% of Australia’s population</w:t>
      </w:r>
      <w:r w:rsidRPr="00716C34">
        <w:rPr>
          <w:sz w:val="16"/>
        </w:rPr>
        <w:t>.</w:t>
      </w:r>
    </w:p>
    <w:p w14:paraId="72123211" w14:textId="6412DD95" w:rsidR="00716C34" w:rsidRPr="00716C34" w:rsidRDefault="00743AB9" w:rsidP="00CB298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>Western</w:t>
      </w:r>
      <w:r w:rsidR="00AB03CD">
        <w:rPr>
          <w:sz w:val="16"/>
        </w:rPr>
        <w:t xml:space="preserve"> Australia’s population rose 1.4</w:t>
      </w:r>
      <w:r>
        <w:rPr>
          <w:sz w:val="16"/>
        </w:rPr>
        <w:t xml:space="preserve">% in 2019, above </w:t>
      </w:r>
      <w:r w:rsidR="007D03F1">
        <w:rPr>
          <w:sz w:val="16"/>
        </w:rPr>
        <w:t xml:space="preserve">its </w:t>
      </w:r>
      <w:r>
        <w:rPr>
          <w:sz w:val="16"/>
        </w:rPr>
        <w:t xml:space="preserve">growth of 0.9% in 2018, but below </w:t>
      </w:r>
      <w:r w:rsidR="007D03F1">
        <w:rPr>
          <w:sz w:val="16"/>
        </w:rPr>
        <w:t xml:space="preserve">its </w:t>
      </w:r>
      <w:r w:rsidR="00AB03CD">
        <w:rPr>
          <w:sz w:val="16"/>
        </w:rPr>
        <w:t>compound annual growth of 1.6</w:t>
      </w:r>
      <w:r>
        <w:rPr>
          <w:sz w:val="16"/>
        </w:rPr>
        <w:t>% over the past 10</w:t>
      </w:r>
      <w:r w:rsidR="00B15C1C">
        <w:rPr>
          <w:sz w:val="16"/>
        </w:rPr>
        <w:t> </w:t>
      </w:r>
      <w:r>
        <w:rPr>
          <w:sz w:val="16"/>
        </w:rPr>
        <w:t>years</w:t>
      </w:r>
      <w:r w:rsidR="00716C34" w:rsidRPr="00716C34">
        <w:rPr>
          <w:sz w:val="16"/>
        </w:rPr>
        <w:t>.</w:t>
      </w:r>
    </w:p>
    <w:p w14:paraId="2AEAB894" w14:textId="07E86454" w:rsidR="007720F0" w:rsidRDefault="007720F0" w:rsidP="00CB298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>Western Australia’s population grew by 3</w:t>
      </w:r>
      <w:r w:rsidR="00AB03CD">
        <w:rPr>
          <w:sz w:val="16"/>
        </w:rPr>
        <w:t>5</w:t>
      </w:r>
      <w:r>
        <w:rPr>
          <w:sz w:val="16"/>
        </w:rPr>
        <w:t>,</w:t>
      </w:r>
      <w:r w:rsidR="00AB03CD">
        <w:rPr>
          <w:sz w:val="16"/>
        </w:rPr>
        <w:t>726</w:t>
      </w:r>
      <w:r>
        <w:rPr>
          <w:sz w:val="16"/>
        </w:rPr>
        <w:t xml:space="preserve"> in 2019, due to:</w:t>
      </w:r>
    </w:p>
    <w:p w14:paraId="2D78790A" w14:textId="0EE237D6" w:rsidR="007720F0" w:rsidRPr="004E46F6" w:rsidRDefault="007720F0" w:rsidP="005A3CC2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>
        <w:rPr>
          <w:sz w:val="16"/>
        </w:rPr>
        <w:t>Net ov</w:t>
      </w:r>
      <w:r w:rsidR="00AB03CD">
        <w:rPr>
          <w:sz w:val="16"/>
        </w:rPr>
        <w:t xml:space="preserve">erseas migration </w:t>
      </w:r>
      <w:r w:rsidR="00B15C1C">
        <w:rPr>
          <w:sz w:val="16"/>
        </w:rPr>
        <w:t>of</w:t>
      </w:r>
      <w:r w:rsidR="00AB03CD">
        <w:rPr>
          <w:sz w:val="16"/>
        </w:rPr>
        <w:t xml:space="preserve"> 21,921</w:t>
      </w:r>
      <w:r>
        <w:rPr>
          <w:sz w:val="16"/>
        </w:rPr>
        <w:t>.</w:t>
      </w:r>
    </w:p>
    <w:p w14:paraId="01C83214" w14:textId="185580DC" w:rsidR="007720F0" w:rsidRDefault="00AB03CD" w:rsidP="005A3CC2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>
        <w:rPr>
          <w:sz w:val="16"/>
        </w:rPr>
        <w:t>Natural increase of 17,929</w:t>
      </w:r>
      <w:r w:rsidR="007720F0">
        <w:rPr>
          <w:sz w:val="16"/>
        </w:rPr>
        <w:t>.</w:t>
      </w:r>
    </w:p>
    <w:p w14:paraId="223C07B7" w14:textId="42985CA9" w:rsidR="007720F0" w:rsidRDefault="007720F0" w:rsidP="00CB298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 xml:space="preserve">Net interstate migration detracted </w:t>
      </w:r>
      <w:r w:rsidR="00B15C1C">
        <w:rPr>
          <w:sz w:val="16"/>
        </w:rPr>
        <w:t xml:space="preserve">4,124 </w:t>
      </w:r>
      <w:r>
        <w:rPr>
          <w:sz w:val="16"/>
        </w:rPr>
        <w:t>from Western Australia’s population in 2019.</w:t>
      </w:r>
    </w:p>
    <w:p w14:paraId="79C9B5DD" w14:textId="05EB414C" w:rsidR="00716C34" w:rsidRDefault="007720F0" w:rsidP="00CB298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 xml:space="preserve">The WA Government State Budget 2020-21 estimates Western Australia’s </w:t>
      </w:r>
      <w:r w:rsidR="00B15C1C">
        <w:rPr>
          <w:sz w:val="16"/>
        </w:rPr>
        <w:t xml:space="preserve">annual average </w:t>
      </w:r>
      <w:r w:rsidR="00FF6B87">
        <w:rPr>
          <w:sz w:val="16"/>
        </w:rPr>
        <w:t>population gr</w:t>
      </w:r>
      <w:r w:rsidR="00B15C1C">
        <w:rPr>
          <w:sz w:val="16"/>
        </w:rPr>
        <w:t>e</w:t>
      </w:r>
      <w:r w:rsidR="00FF6B87">
        <w:rPr>
          <w:sz w:val="16"/>
        </w:rPr>
        <w:t>w by</w:t>
      </w:r>
      <w:r w:rsidR="00D8667D">
        <w:rPr>
          <w:sz w:val="16"/>
        </w:rPr>
        <w:t xml:space="preserve"> </w:t>
      </w:r>
      <w:r w:rsidR="00FF6B87">
        <w:rPr>
          <w:sz w:val="16"/>
        </w:rPr>
        <w:t xml:space="preserve">1.3% in 2019-20 and forecasts </w:t>
      </w:r>
      <w:r>
        <w:rPr>
          <w:sz w:val="16"/>
        </w:rPr>
        <w:t>growth</w:t>
      </w:r>
      <w:r w:rsidR="00FF6B87">
        <w:rPr>
          <w:sz w:val="16"/>
        </w:rPr>
        <w:t xml:space="preserve"> of 0.8% in 2020</w:t>
      </w:r>
      <w:r w:rsidR="00B15C1C">
        <w:rPr>
          <w:sz w:val="16"/>
        </w:rPr>
        <w:noBreakHyphen/>
      </w:r>
      <w:r w:rsidR="00FF6B87">
        <w:rPr>
          <w:sz w:val="16"/>
        </w:rPr>
        <w:t>21</w:t>
      </w:r>
      <w:r w:rsidR="00716C34" w:rsidRPr="00716C34">
        <w:rPr>
          <w:sz w:val="16"/>
        </w:rPr>
        <w:t>.</w:t>
      </w:r>
    </w:p>
    <w:p w14:paraId="48457063" w14:textId="4328A721" w:rsidR="00387710" w:rsidRDefault="00387710" w:rsidP="00387710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page"/>
      </w:r>
    </w:p>
    <w:p w14:paraId="00A2E91D" w14:textId="77777777" w:rsidR="00237284" w:rsidRPr="00237284" w:rsidRDefault="00237284" w:rsidP="00237284">
      <w:pPr>
        <w:pStyle w:val="BodyText"/>
        <w:spacing w:after="0"/>
      </w:pPr>
      <w:bookmarkStart w:id="1" w:name="_JAPAN"/>
      <w:bookmarkEnd w:id="1"/>
    </w:p>
    <w:p w14:paraId="33BC56EC" w14:textId="15D19418" w:rsidR="00237284" w:rsidRPr="00E65A19" w:rsidRDefault="005F1191" w:rsidP="00EC6333">
      <w:pPr>
        <w:pStyle w:val="BodyText"/>
        <w:spacing w:after="0"/>
        <w:rPr>
          <w:b/>
          <w:sz w:val="20"/>
        </w:rPr>
      </w:pPr>
      <w:r>
        <w:rPr>
          <w:b/>
          <w:sz w:val="20"/>
        </w:rPr>
        <w:t>Western Australia’s l</w:t>
      </w:r>
      <w:r w:rsidR="00B5060D" w:rsidRPr="00E65A19">
        <w:rPr>
          <w:b/>
          <w:sz w:val="20"/>
        </w:rPr>
        <w:t>abour market</w:t>
      </w:r>
    </w:p>
    <w:tbl>
      <w:tblPr>
        <w:tblStyle w:val="ListTable3-Accent1"/>
        <w:tblW w:w="5863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839"/>
        <w:gridCol w:w="726"/>
        <w:gridCol w:w="726"/>
        <w:gridCol w:w="1043"/>
        <w:gridCol w:w="984"/>
      </w:tblGrid>
      <w:tr w:rsidR="00911864" w:rsidRPr="00AD28BB" w14:paraId="1CBD7935" w14:textId="77777777" w:rsidTr="004073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45" w:type="dxa"/>
            <w:shd w:val="clear" w:color="auto" w:fill="002060"/>
            <w:vAlign w:val="center"/>
          </w:tcPr>
          <w:p w14:paraId="764B3828" w14:textId="77777777" w:rsidR="00911864" w:rsidRPr="007211AE" w:rsidRDefault="00911864" w:rsidP="00375A51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</w:p>
        </w:tc>
        <w:tc>
          <w:tcPr>
            <w:tcW w:w="839" w:type="dxa"/>
            <w:shd w:val="clear" w:color="auto" w:fill="002060"/>
            <w:vAlign w:val="center"/>
          </w:tcPr>
          <w:p w14:paraId="255A4CEA" w14:textId="5E77BD92" w:rsidR="00911864" w:rsidRPr="007211AE" w:rsidRDefault="00911864" w:rsidP="004073D6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211AE">
              <w:rPr>
                <w:rFonts w:cstheme="minorHAnsi"/>
                <w:b w:val="0"/>
                <w:sz w:val="14"/>
                <w:szCs w:val="14"/>
              </w:rPr>
              <w:t>Month</w:t>
            </w:r>
            <w:r w:rsidRPr="007211AE">
              <w:rPr>
                <w:rFonts w:cstheme="minorHAnsi"/>
                <w:b w:val="0"/>
                <w:sz w:val="14"/>
                <w:szCs w:val="14"/>
                <w:vertAlign w:val="superscript"/>
              </w:rPr>
              <w:t>6</w:t>
            </w:r>
          </w:p>
        </w:tc>
        <w:tc>
          <w:tcPr>
            <w:tcW w:w="1452" w:type="dxa"/>
            <w:gridSpan w:val="2"/>
            <w:shd w:val="clear" w:color="auto" w:fill="002060"/>
            <w:vAlign w:val="center"/>
          </w:tcPr>
          <w:p w14:paraId="72782F7F" w14:textId="551B539A" w:rsidR="00911864" w:rsidRPr="007211AE" w:rsidRDefault="00911864" w:rsidP="004073D6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211AE">
              <w:rPr>
                <w:rFonts w:cstheme="minorHAnsi"/>
                <w:b w:val="0"/>
                <w:sz w:val="14"/>
                <w:szCs w:val="14"/>
              </w:rPr>
              <w:t>Change from:</w:t>
            </w:r>
          </w:p>
        </w:tc>
        <w:tc>
          <w:tcPr>
            <w:tcW w:w="1043" w:type="dxa"/>
            <w:shd w:val="clear" w:color="auto" w:fill="002060"/>
            <w:vAlign w:val="center"/>
          </w:tcPr>
          <w:p w14:paraId="07C2FCFF" w14:textId="39419FDF" w:rsidR="00911864" w:rsidRPr="007211AE" w:rsidRDefault="00911864" w:rsidP="004073D6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211AE">
              <w:rPr>
                <w:rFonts w:cstheme="minorHAnsi"/>
                <w:b w:val="0"/>
                <w:sz w:val="14"/>
                <w:szCs w:val="14"/>
              </w:rPr>
              <w:t>Annual average</w:t>
            </w:r>
            <w:r w:rsidRPr="007211AE">
              <w:rPr>
                <w:rFonts w:cstheme="minorHAnsi"/>
                <w:b w:val="0"/>
                <w:sz w:val="14"/>
                <w:szCs w:val="14"/>
                <w:vertAlign w:val="superscript"/>
              </w:rPr>
              <w:t>7</w:t>
            </w:r>
          </w:p>
        </w:tc>
        <w:tc>
          <w:tcPr>
            <w:tcW w:w="984" w:type="dxa"/>
            <w:shd w:val="clear" w:color="auto" w:fill="002060"/>
            <w:vAlign w:val="center"/>
          </w:tcPr>
          <w:p w14:paraId="5E707ECD" w14:textId="1E3676AC" w:rsidR="00911864" w:rsidRPr="007211AE" w:rsidRDefault="00911864" w:rsidP="004073D6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211AE">
              <w:rPr>
                <w:rFonts w:cstheme="minorHAnsi"/>
                <w:b w:val="0"/>
                <w:sz w:val="14"/>
                <w:szCs w:val="14"/>
              </w:rPr>
              <w:t>Change from:</w:t>
            </w:r>
          </w:p>
        </w:tc>
      </w:tr>
      <w:tr w:rsidR="00711F53" w:rsidRPr="00AD28BB" w14:paraId="04372BDE" w14:textId="77777777" w:rsidTr="00407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vAlign w:val="center"/>
          </w:tcPr>
          <w:p w14:paraId="2BDFADF6" w14:textId="63584554" w:rsidR="00B5060D" w:rsidRPr="00AD28BB" w:rsidRDefault="00B5060D" w:rsidP="00375A51">
            <w:pPr>
              <w:pStyle w:val="BodyText"/>
              <w:spacing w:after="0"/>
              <w:jc w:val="both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39" w:type="dxa"/>
            <w:vAlign w:val="center"/>
          </w:tcPr>
          <w:p w14:paraId="479B63CD" w14:textId="37055E8F" w:rsidR="00B5060D" w:rsidRPr="00711F53" w:rsidRDefault="00EE642C" w:rsidP="004073D6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711F53">
              <w:rPr>
                <w:rFonts w:cstheme="minorHAnsi"/>
                <w:b/>
                <w:sz w:val="14"/>
                <w:szCs w:val="14"/>
              </w:rPr>
              <w:t>Oct.</w:t>
            </w:r>
            <w:r w:rsidR="004073D6">
              <w:rPr>
                <w:rFonts w:cstheme="minorHAnsi"/>
                <w:b/>
                <w:sz w:val="14"/>
                <w:szCs w:val="14"/>
              </w:rPr>
              <w:br/>
            </w:r>
            <w:r w:rsidRPr="00711F53">
              <w:rPr>
                <w:rFonts w:cstheme="minorHAnsi"/>
                <w:b/>
                <w:sz w:val="14"/>
                <w:szCs w:val="14"/>
              </w:rPr>
              <w:t>2020</w:t>
            </w:r>
          </w:p>
        </w:tc>
        <w:tc>
          <w:tcPr>
            <w:tcW w:w="726" w:type="dxa"/>
            <w:vAlign w:val="center"/>
          </w:tcPr>
          <w:p w14:paraId="3F2189B0" w14:textId="1ECE2752" w:rsidR="00B5060D" w:rsidRPr="00911864" w:rsidRDefault="00EE642C" w:rsidP="004073D6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911864">
              <w:rPr>
                <w:rFonts w:cstheme="minorHAnsi"/>
                <w:sz w:val="14"/>
                <w:szCs w:val="14"/>
              </w:rPr>
              <w:t>Sep.</w:t>
            </w:r>
            <w:r w:rsidR="004073D6">
              <w:rPr>
                <w:rFonts w:cstheme="minorHAnsi"/>
                <w:sz w:val="14"/>
                <w:szCs w:val="14"/>
              </w:rPr>
              <w:br/>
            </w:r>
            <w:r w:rsidRPr="00911864">
              <w:rPr>
                <w:rFonts w:cstheme="minorHAnsi"/>
                <w:sz w:val="14"/>
                <w:szCs w:val="14"/>
              </w:rPr>
              <w:t>2020</w:t>
            </w:r>
          </w:p>
        </w:tc>
        <w:tc>
          <w:tcPr>
            <w:tcW w:w="726" w:type="dxa"/>
            <w:vAlign w:val="center"/>
          </w:tcPr>
          <w:p w14:paraId="04ABFE2E" w14:textId="01C2263A" w:rsidR="00B5060D" w:rsidRPr="00911864" w:rsidRDefault="00EE642C" w:rsidP="004073D6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911864">
              <w:rPr>
                <w:rFonts w:cstheme="minorHAnsi"/>
                <w:sz w:val="14"/>
                <w:szCs w:val="14"/>
              </w:rPr>
              <w:t>Oct.</w:t>
            </w:r>
            <w:r w:rsidR="004073D6">
              <w:rPr>
                <w:rFonts w:cstheme="minorHAnsi"/>
                <w:sz w:val="14"/>
                <w:szCs w:val="14"/>
              </w:rPr>
              <w:br/>
            </w:r>
            <w:r w:rsidRPr="00911864">
              <w:rPr>
                <w:rFonts w:cstheme="minorHAnsi"/>
                <w:sz w:val="14"/>
                <w:szCs w:val="14"/>
              </w:rPr>
              <w:t>2020</w:t>
            </w:r>
          </w:p>
        </w:tc>
        <w:tc>
          <w:tcPr>
            <w:tcW w:w="1043" w:type="dxa"/>
            <w:vAlign w:val="center"/>
          </w:tcPr>
          <w:p w14:paraId="5542EB00" w14:textId="76F8F01B" w:rsidR="00B5060D" w:rsidRPr="00911864" w:rsidRDefault="00EE642C" w:rsidP="004073D6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911864">
              <w:rPr>
                <w:rFonts w:cstheme="minorHAnsi"/>
                <w:b/>
                <w:sz w:val="14"/>
                <w:szCs w:val="14"/>
              </w:rPr>
              <w:t>12 months to Oct.2020</w:t>
            </w:r>
          </w:p>
        </w:tc>
        <w:tc>
          <w:tcPr>
            <w:tcW w:w="984" w:type="dxa"/>
            <w:vAlign w:val="center"/>
          </w:tcPr>
          <w:p w14:paraId="033E3300" w14:textId="034B205E" w:rsidR="00B5060D" w:rsidRPr="00911864" w:rsidRDefault="00EE642C" w:rsidP="004073D6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911864">
              <w:rPr>
                <w:rFonts w:cstheme="minorHAnsi"/>
                <w:sz w:val="14"/>
                <w:szCs w:val="14"/>
              </w:rPr>
              <w:t>12 months to Oct.2019</w:t>
            </w:r>
          </w:p>
        </w:tc>
      </w:tr>
      <w:tr w:rsidR="00711F53" w:rsidRPr="00AD28BB" w14:paraId="6E22ED31" w14:textId="77777777" w:rsidTr="004073D6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vAlign w:val="center"/>
          </w:tcPr>
          <w:p w14:paraId="539AA536" w14:textId="6A9B4A9D" w:rsidR="00B5060D" w:rsidRPr="00911864" w:rsidRDefault="00EE642C" w:rsidP="004073D6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911864">
              <w:rPr>
                <w:rFonts w:cstheme="minorHAnsi"/>
                <w:b w:val="0"/>
                <w:sz w:val="14"/>
                <w:szCs w:val="14"/>
              </w:rPr>
              <w:t>Employed full-time</w:t>
            </w:r>
            <w:r w:rsidR="00AD28BB" w:rsidRPr="00911864">
              <w:rPr>
                <w:rFonts w:cstheme="minorHAnsi"/>
                <w:b w:val="0"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839" w:type="dxa"/>
            <w:vAlign w:val="center"/>
          </w:tcPr>
          <w:p w14:paraId="3F9994C5" w14:textId="2FB413FB" w:rsidR="00B5060D" w:rsidRPr="00711F53" w:rsidRDefault="00EE642C" w:rsidP="004073D6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711F53">
              <w:rPr>
                <w:rFonts w:cstheme="minorHAnsi"/>
                <w:b/>
                <w:sz w:val="14"/>
                <w:szCs w:val="14"/>
              </w:rPr>
              <w:t>90</w:t>
            </w:r>
            <w:r w:rsidR="008003E3">
              <w:rPr>
                <w:rFonts w:cstheme="minorHAnsi"/>
                <w:b/>
                <w:sz w:val="14"/>
                <w:szCs w:val="14"/>
              </w:rPr>
              <w:t>3</w:t>
            </w:r>
            <w:r w:rsidRPr="00711F53">
              <w:rPr>
                <w:rFonts w:cstheme="minorHAnsi"/>
                <w:b/>
                <w:sz w:val="14"/>
                <w:szCs w:val="14"/>
              </w:rPr>
              <w:t>,</w:t>
            </w:r>
            <w:r w:rsidR="008003E3">
              <w:rPr>
                <w:rFonts w:cstheme="minorHAnsi"/>
                <w:b/>
                <w:sz w:val="14"/>
                <w:szCs w:val="14"/>
              </w:rPr>
              <w:t>466</w:t>
            </w:r>
          </w:p>
        </w:tc>
        <w:tc>
          <w:tcPr>
            <w:tcW w:w="726" w:type="dxa"/>
            <w:vAlign w:val="center"/>
          </w:tcPr>
          <w:p w14:paraId="6EC0F6FA" w14:textId="7ACB4292" w:rsidR="00B5060D" w:rsidRPr="00AD28BB" w:rsidRDefault="008003E3" w:rsidP="004073D6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+7</w:t>
            </w:r>
            <w:r w:rsidR="00EE642C" w:rsidRPr="00AD28BB">
              <w:rPr>
                <w:rFonts w:cstheme="minorHAnsi"/>
                <w:sz w:val="14"/>
                <w:szCs w:val="14"/>
              </w:rPr>
              <w:t>,5</w:t>
            </w:r>
            <w:r>
              <w:rPr>
                <w:rFonts w:cstheme="minorHAnsi"/>
                <w:sz w:val="14"/>
                <w:szCs w:val="14"/>
              </w:rPr>
              <w:t>27</w:t>
            </w:r>
          </w:p>
        </w:tc>
        <w:tc>
          <w:tcPr>
            <w:tcW w:w="726" w:type="dxa"/>
            <w:vAlign w:val="center"/>
          </w:tcPr>
          <w:p w14:paraId="7BCFB4BA" w14:textId="7660FB47" w:rsidR="00B5060D" w:rsidRPr="00AD28BB" w:rsidRDefault="00EE642C" w:rsidP="004073D6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D28BB">
              <w:rPr>
                <w:rFonts w:cstheme="minorHAnsi"/>
                <w:sz w:val="14"/>
                <w:szCs w:val="14"/>
              </w:rPr>
              <w:t>-1</w:t>
            </w:r>
            <w:r w:rsidR="008003E3">
              <w:rPr>
                <w:rFonts w:cstheme="minorHAnsi"/>
                <w:sz w:val="14"/>
                <w:szCs w:val="14"/>
              </w:rPr>
              <w:t>7</w:t>
            </w:r>
            <w:r w:rsidRPr="00AD28BB">
              <w:rPr>
                <w:rFonts w:cstheme="minorHAnsi"/>
                <w:sz w:val="14"/>
                <w:szCs w:val="14"/>
              </w:rPr>
              <w:t>,</w:t>
            </w:r>
            <w:r w:rsidR="008003E3">
              <w:rPr>
                <w:rFonts w:cstheme="minorHAnsi"/>
                <w:sz w:val="14"/>
                <w:szCs w:val="14"/>
              </w:rPr>
              <w:t>762</w:t>
            </w:r>
          </w:p>
        </w:tc>
        <w:tc>
          <w:tcPr>
            <w:tcW w:w="1043" w:type="dxa"/>
            <w:vAlign w:val="center"/>
          </w:tcPr>
          <w:p w14:paraId="6A553097" w14:textId="2C2522B0" w:rsidR="00B5060D" w:rsidRPr="00911864" w:rsidRDefault="00B96B5E" w:rsidP="004073D6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911864">
              <w:rPr>
                <w:rFonts w:cstheme="minorHAnsi"/>
                <w:b/>
                <w:sz w:val="14"/>
                <w:szCs w:val="14"/>
              </w:rPr>
              <w:t>9</w:t>
            </w:r>
            <w:r w:rsidR="008003E3">
              <w:rPr>
                <w:rFonts w:cstheme="minorHAnsi"/>
                <w:b/>
                <w:sz w:val="14"/>
                <w:szCs w:val="14"/>
              </w:rPr>
              <w:t>08</w:t>
            </w:r>
            <w:r w:rsidRPr="00911864">
              <w:rPr>
                <w:rFonts w:cstheme="minorHAnsi"/>
                <w:b/>
                <w:sz w:val="14"/>
                <w:szCs w:val="14"/>
              </w:rPr>
              <w:t>,</w:t>
            </w:r>
            <w:r w:rsidR="008003E3">
              <w:rPr>
                <w:rFonts w:cstheme="minorHAnsi"/>
                <w:b/>
                <w:sz w:val="14"/>
                <w:szCs w:val="14"/>
              </w:rPr>
              <w:t>474</w:t>
            </w:r>
          </w:p>
        </w:tc>
        <w:tc>
          <w:tcPr>
            <w:tcW w:w="984" w:type="dxa"/>
            <w:vAlign w:val="center"/>
          </w:tcPr>
          <w:p w14:paraId="6135F5C8" w14:textId="21790A83" w:rsidR="00B5060D" w:rsidRPr="00AD28BB" w:rsidRDefault="00B96B5E" w:rsidP="004073D6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D28BB">
              <w:rPr>
                <w:rFonts w:cstheme="minorHAnsi"/>
                <w:sz w:val="14"/>
                <w:szCs w:val="14"/>
              </w:rPr>
              <w:t>-1</w:t>
            </w:r>
            <w:r w:rsidR="008003E3">
              <w:rPr>
                <w:rFonts w:cstheme="minorHAnsi"/>
                <w:sz w:val="14"/>
                <w:szCs w:val="14"/>
              </w:rPr>
              <w:t>6</w:t>
            </w:r>
            <w:r w:rsidRPr="00AD28BB">
              <w:rPr>
                <w:rFonts w:cstheme="minorHAnsi"/>
                <w:sz w:val="14"/>
                <w:szCs w:val="14"/>
              </w:rPr>
              <w:t>,</w:t>
            </w:r>
            <w:r w:rsidR="008003E3">
              <w:rPr>
                <w:rFonts w:cstheme="minorHAnsi"/>
                <w:sz w:val="14"/>
                <w:szCs w:val="14"/>
              </w:rPr>
              <w:t>411</w:t>
            </w:r>
          </w:p>
        </w:tc>
      </w:tr>
      <w:tr w:rsidR="00711F53" w:rsidRPr="00AD28BB" w14:paraId="3D7A2C25" w14:textId="77777777" w:rsidTr="00407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vAlign w:val="center"/>
          </w:tcPr>
          <w:p w14:paraId="4CF27473" w14:textId="467A4F71" w:rsidR="00B5060D" w:rsidRPr="00911864" w:rsidRDefault="00EE642C" w:rsidP="004073D6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911864">
              <w:rPr>
                <w:rFonts w:cstheme="minorHAnsi"/>
                <w:b w:val="0"/>
                <w:sz w:val="14"/>
                <w:szCs w:val="14"/>
              </w:rPr>
              <w:t>Employed part-time</w:t>
            </w:r>
            <w:r w:rsidR="00AD28BB" w:rsidRPr="00911864">
              <w:rPr>
                <w:rFonts w:cstheme="minorHAnsi"/>
                <w:b w:val="0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839" w:type="dxa"/>
            <w:vAlign w:val="center"/>
          </w:tcPr>
          <w:p w14:paraId="0093E88B" w14:textId="4CEC02E7" w:rsidR="00B5060D" w:rsidRPr="00711F53" w:rsidRDefault="008003E3" w:rsidP="004073D6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t>46</w:t>
            </w:r>
            <w:r w:rsidR="00EE642C" w:rsidRPr="00711F53">
              <w:rPr>
                <w:rFonts w:cstheme="minorHAnsi"/>
                <w:b/>
                <w:sz w:val="14"/>
                <w:szCs w:val="14"/>
              </w:rPr>
              <w:t>2,</w:t>
            </w:r>
            <w:r>
              <w:rPr>
                <w:rFonts w:cstheme="minorHAnsi"/>
                <w:b/>
                <w:sz w:val="14"/>
                <w:szCs w:val="14"/>
              </w:rPr>
              <w:t>720</w:t>
            </w:r>
          </w:p>
        </w:tc>
        <w:tc>
          <w:tcPr>
            <w:tcW w:w="726" w:type="dxa"/>
            <w:vAlign w:val="center"/>
          </w:tcPr>
          <w:p w14:paraId="0C6A3F2A" w14:textId="3F7A0FB7" w:rsidR="00B5060D" w:rsidRPr="00AD28BB" w:rsidRDefault="00EE642C" w:rsidP="004073D6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D28BB">
              <w:rPr>
                <w:rFonts w:cstheme="minorHAnsi"/>
                <w:sz w:val="14"/>
                <w:szCs w:val="14"/>
              </w:rPr>
              <w:t>+</w:t>
            </w:r>
            <w:r w:rsidR="008003E3">
              <w:rPr>
                <w:rFonts w:cstheme="minorHAnsi"/>
                <w:sz w:val="14"/>
                <w:szCs w:val="14"/>
              </w:rPr>
              <w:t>7</w:t>
            </w:r>
            <w:r w:rsidRPr="00AD28BB">
              <w:rPr>
                <w:rFonts w:cstheme="minorHAnsi"/>
                <w:sz w:val="14"/>
                <w:szCs w:val="14"/>
              </w:rPr>
              <w:t>,</w:t>
            </w:r>
            <w:r w:rsidR="008003E3">
              <w:rPr>
                <w:rFonts w:cstheme="minorHAnsi"/>
                <w:sz w:val="14"/>
                <w:szCs w:val="14"/>
              </w:rPr>
              <w:t>760</w:t>
            </w:r>
          </w:p>
        </w:tc>
        <w:tc>
          <w:tcPr>
            <w:tcW w:w="726" w:type="dxa"/>
            <w:vAlign w:val="center"/>
          </w:tcPr>
          <w:p w14:paraId="6305EA80" w14:textId="738A37E7" w:rsidR="00B5060D" w:rsidRPr="00AD28BB" w:rsidRDefault="00EE642C" w:rsidP="004073D6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D28BB">
              <w:rPr>
                <w:rFonts w:cstheme="minorHAnsi"/>
                <w:sz w:val="14"/>
                <w:szCs w:val="14"/>
              </w:rPr>
              <w:t>+</w:t>
            </w:r>
            <w:r w:rsidR="008003E3">
              <w:rPr>
                <w:rFonts w:cstheme="minorHAnsi"/>
                <w:sz w:val="14"/>
                <w:szCs w:val="14"/>
              </w:rPr>
              <w:t>20</w:t>
            </w:r>
            <w:r w:rsidRPr="00AD28BB">
              <w:rPr>
                <w:rFonts w:cstheme="minorHAnsi"/>
                <w:sz w:val="14"/>
                <w:szCs w:val="14"/>
              </w:rPr>
              <w:t>,5</w:t>
            </w:r>
            <w:r w:rsidR="008003E3">
              <w:rPr>
                <w:rFonts w:cstheme="minorHAnsi"/>
                <w:sz w:val="14"/>
                <w:szCs w:val="14"/>
              </w:rPr>
              <w:t>75</w:t>
            </w:r>
          </w:p>
        </w:tc>
        <w:tc>
          <w:tcPr>
            <w:tcW w:w="1043" w:type="dxa"/>
            <w:vAlign w:val="center"/>
          </w:tcPr>
          <w:p w14:paraId="75020BD6" w14:textId="2A1A1947" w:rsidR="00B5060D" w:rsidRPr="00911864" w:rsidRDefault="00B96B5E" w:rsidP="004073D6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911864">
              <w:rPr>
                <w:rFonts w:cstheme="minorHAnsi"/>
                <w:b/>
                <w:sz w:val="14"/>
                <w:szCs w:val="14"/>
              </w:rPr>
              <w:t>43</w:t>
            </w:r>
            <w:r w:rsidR="008003E3">
              <w:rPr>
                <w:rFonts w:cstheme="minorHAnsi"/>
                <w:b/>
                <w:sz w:val="14"/>
                <w:szCs w:val="14"/>
              </w:rPr>
              <w:t>5</w:t>
            </w:r>
            <w:r w:rsidRPr="00911864">
              <w:rPr>
                <w:rFonts w:cstheme="minorHAnsi"/>
                <w:b/>
                <w:sz w:val="14"/>
                <w:szCs w:val="14"/>
              </w:rPr>
              <w:t>,</w:t>
            </w:r>
            <w:r w:rsidR="008003E3">
              <w:rPr>
                <w:rFonts w:cstheme="minorHAnsi"/>
                <w:b/>
                <w:sz w:val="14"/>
                <w:szCs w:val="14"/>
              </w:rPr>
              <w:t>456</w:t>
            </w:r>
          </w:p>
        </w:tc>
        <w:tc>
          <w:tcPr>
            <w:tcW w:w="984" w:type="dxa"/>
            <w:vAlign w:val="center"/>
          </w:tcPr>
          <w:p w14:paraId="6A8CFAB0" w14:textId="3486ECC2" w:rsidR="00B5060D" w:rsidRPr="00AD28BB" w:rsidRDefault="00B96B5E" w:rsidP="004073D6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D28BB">
              <w:rPr>
                <w:rFonts w:cstheme="minorHAnsi"/>
                <w:sz w:val="14"/>
                <w:szCs w:val="14"/>
              </w:rPr>
              <w:t>+9,</w:t>
            </w:r>
            <w:r w:rsidR="008003E3">
              <w:rPr>
                <w:rFonts w:cstheme="minorHAnsi"/>
                <w:sz w:val="14"/>
                <w:szCs w:val="14"/>
              </w:rPr>
              <w:t>701</w:t>
            </w:r>
          </w:p>
        </w:tc>
      </w:tr>
      <w:tr w:rsidR="00711F53" w:rsidRPr="00AD28BB" w14:paraId="3BBA0147" w14:textId="77777777" w:rsidTr="004073D6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vAlign w:val="center"/>
          </w:tcPr>
          <w:p w14:paraId="12FC6B19" w14:textId="7583D817" w:rsidR="00B5060D" w:rsidRPr="00911864" w:rsidRDefault="00EE642C" w:rsidP="004073D6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911864">
              <w:rPr>
                <w:rFonts w:cstheme="minorHAnsi"/>
                <w:b w:val="0"/>
                <w:sz w:val="14"/>
                <w:szCs w:val="14"/>
              </w:rPr>
              <w:t>Total employed</w:t>
            </w:r>
          </w:p>
        </w:tc>
        <w:tc>
          <w:tcPr>
            <w:tcW w:w="839" w:type="dxa"/>
            <w:vAlign w:val="center"/>
          </w:tcPr>
          <w:p w14:paraId="30EFD3D0" w14:textId="0288B459" w:rsidR="00B5060D" w:rsidRPr="00711F53" w:rsidRDefault="00EE642C" w:rsidP="004073D6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711F53">
              <w:rPr>
                <w:rFonts w:cstheme="minorHAnsi"/>
                <w:b/>
                <w:sz w:val="14"/>
                <w:szCs w:val="14"/>
              </w:rPr>
              <w:t>1,3</w:t>
            </w:r>
            <w:r w:rsidR="008003E3">
              <w:rPr>
                <w:rFonts w:cstheme="minorHAnsi"/>
                <w:b/>
                <w:sz w:val="14"/>
                <w:szCs w:val="14"/>
              </w:rPr>
              <w:t>66</w:t>
            </w:r>
            <w:r w:rsidRPr="00711F53">
              <w:rPr>
                <w:rFonts w:cstheme="minorHAnsi"/>
                <w:b/>
                <w:sz w:val="14"/>
                <w:szCs w:val="14"/>
              </w:rPr>
              <w:t>,</w:t>
            </w:r>
            <w:r w:rsidR="008003E3">
              <w:rPr>
                <w:rFonts w:cstheme="minorHAnsi"/>
                <w:b/>
                <w:sz w:val="14"/>
                <w:szCs w:val="14"/>
              </w:rPr>
              <w:t>186</w:t>
            </w:r>
          </w:p>
        </w:tc>
        <w:tc>
          <w:tcPr>
            <w:tcW w:w="726" w:type="dxa"/>
            <w:vAlign w:val="center"/>
          </w:tcPr>
          <w:p w14:paraId="78A567E2" w14:textId="58536472" w:rsidR="00B5060D" w:rsidRPr="00AD28BB" w:rsidRDefault="00EE642C" w:rsidP="004073D6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D28BB">
              <w:rPr>
                <w:rFonts w:cstheme="minorHAnsi"/>
                <w:sz w:val="14"/>
                <w:szCs w:val="14"/>
              </w:rPr>
              <w:t>+</w:t>
            </w:r>
            <w:r w:rsidR="008003E3">
              <w:rPr>
                <w:rFonts w:cstheme="minorHAnsi"/>
                <w:sz w:val="14"/>
                <w:szCs w:val="14"/>
              </w:rPr>
              <w:t>15</w:t>
            </w:r>
            <w:r w:rsidRPr="00AD28BB">
              <w:rPr>
                <w:rFonts w:cstheme="minorHAnsi"/>
                <w:sz w:val="14"/>
                <w:szCs w:val="14"/>
              </w:rPr>
              <w:t>,</w:t>
            </w:r>
            <w:r w:rsidR="008003E3">
              <w:rPr>
                <w:rFonts w:cstheme="minorHAnsi"/>
                <w:sz w:val="14"/>
                <w:szCs w:val="14"/>
              </w:rPr>
              <w:t>287</w:t>
            </w:r>
          </w:p>
        </w:tc>
        <w:tc>
          <w:tcPr>
            <w:tcW w:w="726" w:type="dxa"/>
            <w:vAlign w:val="center"/>
          </w:tcPr>
          <w:p w14:paraId="7C8F4614" w14:textId="5037FDFF" w:rsidR="00B5060D" w:rsidRPr="00AD28BB" w:rsidRDefault="008003E3" w:rsidP="004073D6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+2,813</w:t>
            </w:r>
          </w:p>
        </w:tc>
        <w:tc>
          <w:tcPr>
            <w:tcW w:w="1043" w:type="dxa"/>
            <w:vAlign w:val="center"/>
          </w:tcPr>
          <w:p w14:paraId="1F806C92" w14:textId="03E4E863" w:rsidR="00B5060D" w:rsidRPr="00911864" w:rsidRDefault="00B96B5E" w:rsidP="004073D6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911864">
              <w:rPr>
                <w:rFonts w:cstheme="minorHAnsi"/>
                <w:b/>
                <w:sz w:val="14"/>
                <w:szCs w:val="14"/>
              </w:rPr>
              <w:t>1,343,</w:t>
            </w:r>
            <w:r w:rsidR="008003E3">
              <w:rPr>
                <w:rFonts w:cstheme="minorHAnsi"/>
                <w:b/>
                <w:sz w:val="14"/>
                <w:szCs w:val="14"/>
              </w:rPr>
              <w:t>931</w:t>
            </w:r>
          </w:p>
        </w:tc>
        <w:tc>
          <w:tcPr>
            <w:tcW w:w="984" w:type="dxa"/>
            <w:vAlign w:val="center"/>
          </w:tcPr>
          <w:p w14:paraId="1CD1E7E5" w14:textId="361E688F" w:rsidR="00B5060D" w:rsidRPr="00AD28BB" w:rsidRDefault="00B96B5E" w:rsidP="004073D6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D28BB">
              <w:rPr>
                <w:rFonts w:cstheme="minorHAnsi"/>
                <w:sz w:val="14"/>
                <w:szCs w:val="14"/>
              </w:rPr>
              <w:t>-</w:t>
            </w:r>
            <w:r w:rsidR="008003E3">
              <w:rPr>
                <w:rFonts w:cstheme="minorHAnsi"/>
                <w:sz w:val="14"/>
                <w:szCs w:val="14"/>
              </w:rPr>
              <w:t>6,710</w:t>
            </w:r>
          </w:p>
        </w:tc>
      </w:tr>
      <w:tr w:rsidR="00711F53" w:rsidRPr="00AD28BB" w14:paraId="5799C43E" w14:textId="77777777" w:rsidTr="00407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vAlign w:val="center"/>
          </w:tcPr>
          <w:p w14:paraId="69CFC666" w14:textId="32957DEC" w:rsidR="00B5060D" w:rsidRPr="00911864" w:rsidRDefault="00EE642C" w:rsidP="004073D6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911864">
              <w:rPr>
                <w:rFonts w:cstheme="minorHAnsi"/>
                <w:b w:val="0"/>
                <w:sz w:val="14"/>
                <w:szCs w:val="14"/>
              </w:rPr>
              <w:t>Participation rate</w:t>
            </w:r>
            <w:r w:rsidR="00AD28BB" w:rsidRPr="00911864">
              <w:rPr>
                <w:rFonts w:cstheme="minorHAnsi"/>
                <w:b w:val="0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839" w:type="dxa"/>
            <w:vAlign w:val="center"/>
          </w:tcPr>
          <w:p w14:paraId="6B41F935" w14:textId="12C2491F" w:rsidR="00B5060D" w:rsidRPr="00711F53" w:rsidRDefault="00B96B5E" w:rsidP="004073D6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711F53">
              <w:rPr>
                <w:rFonts w:cstheme="minorHAnsi"/>
                <w:b/>
                <w:sz w:val="14"/>
                <w:szCs w:val="14"/>
              </w:rPr>
              <w:t>6</w:t>
            </w:r>
            <w:r w:rsidR="008003E3">
              <w:rPr>
                <w:rFonts w:cstheme="minorHAnsi"/>
                <w:b/>
                <w:sz w:val="14"/>
                <w:szCs w:val="14"/>
              </w:rPr>
              <w:t>8.3</w:t>
            </w:r>
            <w:r w:rsidRPr="00711F53">
              <w:rPr>
                <w:rFonts w:cstheme="minorHAnsi"/>
                <w:b/>
                <w:sz w:val="14"/>
                <w:szCs w:val="14"/>
              </w:rPr>
              <w:t>%</w:t>
            </w:r>
          </w:p>
        </w:tc>
        <w:tc>
          <w:tcPr>
            <w:tcW w:w="726" w:type="dxa"/>
            <w:vAlign w:val="center"/>
          </w:tcPr>
          <w:p w14:paraId="62FB2D71" w14:textId="7DBA83AB" w:rsidR="00B5060D" w:rsidRPr="00AD28BB" w:rsidRDefault="008003E3" w:rsidP="004073D6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+</w:t>
            </w:r>
            <w:r w:rsidR="00B96B5E" w:rsidRPr="00AD28BB">
              <w:rPr>
                <w:rFonts w:cstheme="minorHAnsi"/>
                <w:sz w:val="14"/>
                <w:szCs w:val="14"/>
              </w:rPr>
              <w:t>0.</w:t>
            </w:r>
            <w:r>
              <w:rPr>
                <w:rFonts w:cstheme="minorHAnsi"/>
                <w:sz w:val="14"/>
                <w:szCs w:val="14"/>
              </w:rPr>
              <w:t>6</w:t>
            </w:r>
            <w:r w:rsidR="00B96B5E" w:rsidRPr="00AD28BB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726" w:type="dxa"/>
            <w:vAlign w:val="center"/>
          </w:tcPr>
          <w:p w14:paraId="590B2197" w14:textId="6C72EA3B" w:rsidR="00B5060D" w:rsidRPr="00AD28BB" w:rsidRDefault="008003E3" w:rsidP="004073D6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+0.1</w:t>
            </w:r>
            <w:r w:rsidR="003947D4" w:rsidRPr="00AD28BB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1043" w:type="dxa"/>
            <w:vAlign w:val="center"/>
          </w:tcPr>
          <w:p w14:paraId="1B147A05" w14:textId="3B110D73" w:rsidR="00B5060D" w:rsidRPr="00911864" w:rsidRDefault="003947D4" w:rsidP="004073D6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911864">
              <w:rPr>
                <w:rFonts w:cstheme="minorHAnsi"/>
                <w:b/>
                <w:sz w:val="14"/>
                <w:szCs w:val="14"/>
              </w:rPr>
              <w:t>67.4%</w:t>
            </w:r>
          </w:p>
        </w:tc>
        <w:tc>
          <w:tcPr>
            <w:tcW w:w="984" w:type="dxa"/>
            <w:vAlign w:val="center"/>
          </w:tcPr>
          <w:p w14:paraId="7B99D553" w14:textId="55863A81" w:rsidR="00B5060D" w:rsidRPr="00AD28BB" w:rsidRDefault="003947D4" w:rsidP="004073D6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D28BB">
              <w:rPr>
                <w:rFonts w:cstheme="minorHAnsi"/>
                <w:sz w:val="14"/>
                <w:szCs w:val="14"/>
              </w:rPr>
              <w:t>-0.9pp</w:t>
            </w:r>
          </w:p>
        </w:tc>
      </w:tr>
      <w:tr w:rsidR="00711F53" w:rsidRPr="00AD28BB" w14:paraId="590A0F1A" w14:textId="77777777" w:rsidTr="004073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vAlign w:val="center"/>
          </w:tcPr>
          <w:p w14:paraId="410A585D" w14:textId="17A23821" w:rsidR="00B5060D" w:rsidRPr="00911864" w:rsidRDefault="00EE642C" w:rsidP="004073D6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911864">
              <w:rPr>
                <w:rFonts w:cstheme="minorHAnsi"/>
                <w:b w:val="0"/>
                <w:sz w:val="14"/>
                <w:szCs w:val="14"/>
              </w:rPr>
              <w:t>Employment to population ratio</w:t>
            </w:r>
          </w:p>
        </w:tc>
        <w:tc>
          <w:tcPr>
            <w:tcW w:w="839" w:type="dxa"/>
            <w:vAlign w:val="center"/>
          </w:tcPr>
          <w:p w14:paraId="3EC877C5" w14:textId="0F5278A7" w:rsidR="00B5060D" w:rsidRPr="00711F53" w:rsidRDefault="00B96B5E" w:rsidP="004073D6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711F53">
              <w:rPr>
                <w:rFonts w:cstheme="minorHAnsi"/>
                <w:b/>
                <w:sz w:val="14"/>
                <w:szCs w:val="14"/>
              </w:rPr>
              <w:t>63.</w:t>
            </w:r>
            <w:r w:rsidR="008003E3">
              <w:rPr>
                <w:rFonts w:cstheme="minorHAnsi"/>
                <w:b/>
                <w:sz w:val="14"/>
                <w:szCs w:val="14"/>
              </w:rPr>
              <w:t>8</w:t>
            </w:r>
            <w:r w:rsidRPr="00711F53">
              <w:rPr>
                <w:rFonts w:cstheme="minorHAnsi"/>
                <w:b/>
                <w:sz w:val="14"/>
                <w:szCs w:val="14"/>
              </w:rPr>
              <w:t>%</w:t>
            </w:r>
          </w:p>
        </w:tc>
        <w:tc>
          <w:tcPr>
            <w:tcW w:w="726" w:type="dxa"/>
            <w:vAlign w:val="center"/>
          </w:tcPr>
          <w:p w14:paraId="44ECB975" w14:textId="70D52F2F" w:rsidR="00B5060D" w:rsidRPr="00AD28BB" w:rsidRDefault="003947D4" w:rsidP="004073D6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D28BB">
              <w:rPr>
                <w:rFonts w:cstheme="minorHAnsi"/>
                <w:sz w:val="14"/>
                <w:szCs w:val="14"/>
              </w:rPr>
              <w:t>+0.</w:t>
            </w:r>
            <w:r w:rsidR="008003E3">
              <w:rPr>
                <w:rFonts w:cstheme="minorHAnsi"/>
                <w:sz w:val="14"/>
                <w:szCs w:val="14"/>
              </w:rPr>
              <w:t>7</w:t>
            </w:r>
            <w:r w:rsidRPr="00AD28BB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726" w:type="dxa"/>
            <w:vAlign w:val="center"/>
          </w:tcPr>
          <w:p w14:paraId="489396E5" w14:textId="21A309B3" w:rsidR="00B5060D" w:rsidRPr="00AD28BB" w:rsidRDefault="003947D4" w:rsidP="004073D6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D28BB">
              <w:rPr>
                <w:rFonts w:cstheme="minorHAnsi"/>
                <w:sz w:val="14"/>
                <w:szCs w:val="14"/>
              </w:rPr>
              <w:t>-</w:t>
            </w:r>
            <w:r w:rsidR="008003E3">
              <w:rPr>
                <w:rFonts w:cstheme="minorHAnsi"/>
                <w:sz w:val="14"/>
                <w:szCs w:val="14"/>
              </w:rPr>
              <w:t>0.6</w:t>
            </w:r>
            <w:r w:rsidRPr="00AD28BB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1043" w:type="dxa"/>
            <w:vAlign w:val="center"/>
          </w:tcPr>
          <w:p w14:paraId="61109D6A" w14:textId="5B575D77" w:rsidR="00B5060D" w:rsidRPr="00911864" w:rsidRDefault="003947D4" w:rsidP="004073D6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911864">
              <w:rPr>
                <w:rFonts w:cstheme="minorHAnsi"/>
                <w:b/>
                <w:sz w:val="14"/>
                <w:szCs w:val="14"/>
              </w:rPr>
              <w:t>63.0%</w:t>
            </w:r>
          </w:p>
        </w:tc>
        <w:tc>
          <w:tcPr>
            <w:tcW w:w="984" w:type="dxa"/>
            <w:vAlign w:val="center"/>
          </w:tcPr>
          <w:p w14:paraId="5573DD9F" w14:textId="1567BA1F" w:rsidR="00B5060D" w:rsidRPr="00AD28BB" w:rsidRDefault="003947D4" w:rsidP="004073D6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D28BB">
              <w:rPr>
                <w:rFonts w:cstheme="minorHAnsi"/>
                <w:sz w:val="14"/>
                <w:szCs w:val="14"/>
              </w:rPr>
              <w:t>-1.2pp</w:t>
            </w:r>
          </w:p>
        </w:tc>
      </w:tr>
      <w:tr w:rsidR="00711F53" w:rsidRPr="00AD28BB" w14:paraId="71F319AE" w14:textId="77777777" w:rsidTr="00407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vAlign w:val="center"/>
          </w:tcPr>
          <w:p w14:paraId="71F23953" w14:textId="32BB57B9" w:rsidR="00B5060D" w:rsidRPr="00911864" w:rsidRDefault="00EE642C" w:rsidP="004073D6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911864">
              <w:rPr>
                <w:rFonts w:cstheme="minorHAnsi"/>
                <w:b w:val="0"/>
                <w:sz w:val="14"/>
                <w:szCs w:val="14"/>
              </w:rPr>
              <w:t>Unemployed</w:t>
            </w:r>
          </w:p>
        </w:tc>
        <w:tc>
          <w:tcPr>
            <w:tcW w:w="839" w:type="dxa"/>
            <w:vAlign w:val="center"/>
          </w:tcPr>
          <w:p w14:paraId="58347571" w14:textId="010A25A2" w:rsidR="00B5060D" w:rsidRPr="00711F53" w:rsidRDefault="00B96B5E" w:rsidP="004073D6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711F53">
              <w:rPr>
                <w:rFonts w:cstheme="minorHAnsi"/>
                <w:b/>
                <w:sz w:val="14"/>
                <w:szCs w:val="14"/>
              </w:rPr>
              <w:t>96,</w:t>
            </w:r>
            <w:r w:rsidR="008003E3">
              <w:rPr>
                <w:rFonts w:cstheme="minorHAnsi"/>
                <w:b/>
                <w:sz w:val="14"/>
                <w:szCs w:val="14"/>
              </w:rPr>
              <w:t>214</w:t>
            </w:r>
          </w:p>
        </w:tc>
        <w:tc>
          <w:tcPr>
            <w:tcW w:w="726" w:type="dxa"/>
            <w:vAlign w:val="center"/>
          </w:tcPr>
          <w:p w14:paraId="748E2008" w14:textId="6AA9CC92" w:rsidR="00B5060D" w:rsidRPr="00AD28BB" w:rsidRDefault="003947D4" w:rsidP="004073D6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D28BB">
              <w:rPr>
                <w:rFonts w:cstheme="minorHAnsi"/>
                <w:sz w:val="14"/>
                <w:szCs w:val="14"/>
              </w:rPr>
              <w:t>-</w:t>
            </w:r>
            <w:r w:rsidR="008003E3">
              <w:rPr>
                <w:rFonts w:cstheme="minorHAnsi"/>
                <w:sz w:val="14"/>
                <w:szCs w:val="14"/>
              </w:rPr>
              <w:t>1</w:t>
            </w:r>
            <w:r w:rsidRPr="00AD28BB">
              <w:rPr>
                <w:rFonts w:cstheme="minorHAnsi"/>
                <w:sz w:val="14"/>
                <w:szCs w:val="14"/>
              </w:rPr>
              <w:t>,</w:t>
            </w:r>
            <w:r w:rsidR="008003E3">
              <w:rPr>
                <w:rFonts w:cstheme="minorHAnsi"/>
                <w:sz w:val="14"/>
                <w:szCs w:val="14"/>
              </w:rPr>
              <w:t>051</w:t>
            </w:r>
          </w:p>
        </w:tc>
        <w:tc>
          <w:tcPr>
            <w:tcW w:w="726" w:type="dxa"/>
            <w:vAlign w:val="center"/>
          </w:tcPr>
          <w:p w14:paraId="0B6FCEEB" w14:textId="6473E9AC" w:rsidR="00B5060D" w:rsidRPr="00AD28BB" w:rsidRDefault="003947D4" w:rsidP="004073D6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D28BB">
              <w:rPr>
                <w:rFonts w:cstheme="minorHAnsi"/>
                <w:sz w:val="14"/>
                <w:szCs w:val="14"/>
              </w:rPr>
              <w:t>+14,</w:t>
            </w:r>
            <w:r w:rsidR="008003E3">
              <w:rPr>
                <w:rFonts w:cstheme="minorHAnsi"/>
                <w:sz w:val="14"/>
                <w:szCs w:val="14"/>
              </w:rPr>
              <w:t>388</w:t>
            </w:r>
          </w:p>
        </w:tc>
        <w:tc>
          <w:tcPr>
            <w:tcW w:w="1043" w:type="dxa"/>
            <w:vAlign w:val="center"/>
          </w:tcPr>
          <w:p w14:paraId="5B61B229" w14:textId="64298753" w:rsidR="00B5060D" w:rsidRPr="00911864" w:rsidRDefault="003947D4" w:rsidP="004073D6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911864">
              <w:rPr>
                <w:rFonts w:cstheme="minorHAnsi"/>
                <w:b/>
                <w:sz w:val="14"/>
                <w:szCs w:val="14"/>
              </w:rPr>
              <w:t>9</w:t>
            </w:r>
            <w:r w:rsidR="008003E3">
              <w:rPr>
                <w:rFonts w:cstheme="minorHAnsi"/>
                <w:b/>
                <w:sz w:val="14"/>
                <w:szCs w:val="14"/>
              </w:rPr>
              <w:t>3</w:t>
            </w:r>
            <w:r w:rsidRPr="00911864">
              <w:rPr>
                <w:rFonts w:cstheme="minorHAnsi"/>
                <w:b/>
                <w:sz w:val="14"/>
                <w:szCs w:val="14"/>
              </w:rPr>
              <w:t>,</w:t>
            </w:r>
            <w:r w:rsidR="008003E3">
              <w:rPr>
                <w:rFonts w:cstheme="minorHAnsi"/>
                <w:b/>
                <w:sz w:val="14"/>
                <w:szCs w:val="14"/>
              </w:rPr>
              <w:t>540</w:t>
            </w:r>
          </w:p>
        </w:tc>
        <w:tc>
          <w:tcPr>
            <w:tcW w:w="984" w:type="dxa"/>
            <w:vAlign w:val="center"/>
          </w:tcPr>
          <w:p w14:paraId="4DFCAFDA" w14:textId="0C05F216" w:rsidR="00B5060D" w:rsidRPr="00AD28BB" w:rsidRDefault="003947D4" w:rsidP="004073D6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D28BB">
              <w:rPr>
                <w:rFonts w:cstheme="minorHAnsi"/>
                <w:sz w:val="14"/>
                <w:szCs w:val="14"/>
              </w:rPr>
              <w:t>+</w:t>
            </w:r>
            <w:r w:rsidR="008003E3">
              <w:rPr>
                <w:rFonts w:cstheme="minorHAnsi"/>
                <w:sz w:val="14"/>
                <w:szCs w:val="14"/>
              </w:rPr>
              <w:t>6,674</w:t>
            </w:r>
          </w:p>
        </w:tc>
      </w:tr>
      <w:tr w:rsidR="00911864" w:rsidRPr="00AD28BB" w14:paraId="727DB2A5" w14:textId="77777777" w:rsidTr="004073D6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vAlign w:val="center"/>
          </w:tcPr>
          <w:p w14:paraId="73B9AEE6" w14:textId="72456182" w:rsidR="00EE642C" w:rsidRPr="00911864" w:rsidRDefault="00EE642C" w:rsidP="004073D6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911864">
              <w:rPr>
                <w:rFonts w:cstheme="minorHAnsi"/>
                <w:b w:val="0"/>
                <w:sz w:val="14"/>
                <w:szCs w:val="14"/>
              </w:rPr>
              <w:t>Unemployment rate</w:t>
            </w:r>
            <w:r w:rsidR="00AD28BB" w:rsidRPr="00911864">
              <w:rPr>
                <w:rFonts w:cstheme="minorHAnsi"/>
                <w:b w:val="0"/>
                <w:sz w:val="14"/>
                <w:szCs w:val="14"/>
                <w:vertAlign w:val="superscript"/>
              </w:rPr>
              <w:t>4</w:t>
            </w:r>
          </w:p>
        </w:tc>
        <w:tc>
          <w:tcPr>
            <w:tcW w:w="839" w:type="dxa"/>
            <w:vAlign w:val="center"/>
          </w:tcPr>
          <w:p w14:paraId="3577A79D" w14:textId="3183ABBE" w:rsidR="00EE642C" w:rsidRPr="00711F53" w:rsidRDefault="00B96B5E" w:rsidP="004073D6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711F53">
              <w:rPr>
                <w:rFonts w:cstheme="minorHAnsi"/>
                <w:b/>
                <w:sz w:val="14"/>
                <w:szCs w:val="14"/>
              </w:rPr>
              <w:t>6.</w:t>
            </w:r>
            <w:r w:rsidR="008003E3">
              <w:rPr>
                <w:rFonts w:cstheme="minorHAnsi"/>
                <w:b/>
                <w:sz w:val="14"/>
                <w:szCs w:val="14"/>
              </w:rPr>
              <w:t>6</w:t>
            </w:r>
            <w:r w:rsidRPr="00711F53">
              <w:rPr>
                <w:rFonts w:cstheme="minorHAnsi"/>
                <w:b/>
                <w:sz w:val="14"/>
                <w:szCs w:val="14"/>
              </w:rPr>
              <w:t>%</w:t>
            </w:r>
          </w:p>
        </w:tc>
        <w:tc>
          <w:tcPr>
            <w:tcW w:w="726" w:type="dxa"/>
            <w:vAlign w:val="center"/>
          </w:tcPr>
          <w:p w14:paraId="4A6607D4" w14:textId="26A4DE3B" w:rsidR="00EE642C" w:rsidRPr="00AD28BB" w:rsidRDefault="003947D4" w:rsidP="004073D6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D28BB">
              <w:rPr>
                <w:rFonts w:cstheme="minorHAnsi"/>
                <w:sz w:val="14"/>
                <w:szCs w:val="14"/>
              </w:rPr>
              <w:t>-</w:t>
            </w:r>
            <w:r w:rsidR="008003E3">
              <w:rPr>
                <w:rFonts w:cstheme="minorHAnsi"/>
                <w:sz w:val="14"/>
                <w:szCs w:val="14"/>
              </w:rPr>
              <w:t>0.1</w:t>
            </w:r>
            <w:r w:rsidRPr="00AD28BB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726" w:type="dxa"/>
            <w:vAlign w:val="center"/>
          </w:tcPr>
          <w:p w14:paraId="47472908" w14:textId="108B5F03" w:rsidR="00EE642C" w:rsidRPr="00AD28BB" w:rsidRDefault="003947D4" w:rsidP="004073D6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D28BB">
              <w:rPr>
                <w:rFonts w:cstheme="minorHAnsi"/>
                <w:sz w:val="14"/>
                <w:szCs w:val="14"/>
              </w:rPr>
              <w:t>+0.9pp</w:t>
            </w:r>
          </w:p>
        </w:tc>
        <w:tc>
          <w:tcPr>
            <w:tcW w:w="1043" w:type="dxa"/>
            <w:vAlign w:val="center"/>
          </w:tcPr>
          <w:p w14:paraId="0FFDE9A8" w14:textId="3F3E4930" w:rsidR="00EE642C" w:rsidRPr="00911864" w:rsidRDefault="003947D4" w:rsidP="004073D6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911864">
              <w:rPr>
                <w:rFonts w:cstheme="minorHAnsi"/>
                <w:b/>
                <w:sz w:val="14"/>
                <w:szCs w:val="14"/>
              </w:rPr>
              <w:t>6.</w:t>
            </w:r>
            <w:r w:rsidR="008003E3">
              <w:rPr>
                <w:rFonts w:cstheme="minorHAnsi"/>
                <w:b/>
                <w:sz w:val="14"/>
                <w:szCs w:val="14"/>
              </w:rPr>
              <w:t>5</w:t>
            </w:r>
            <w:r w:rsidRPr="00911864">
              <w:rPr>
                <w:rFonts w:cstheme="minorHAnsi"/>
                <w:b/>
                <w:sz w:val="14"/>
                <w:szCs w:val="14"/>
              </w:rPr>
              <w:t>%</w:t>
            </w:r>
          </w:p>
        </w:tc>
        <w:tc>
          <w:tcPr>
            <w:tcW w:w="984" w:type="dxa"/>
            <w:vAlign w:val="center"/>
          </w:tcPr>
          <w:p w14:paraId="1AF98C07" w14:textId="1053DE6B" w:rsidR="00EE642C" w:rsidRPr="00AD28BB" w:rsidRDefault="003947D4" w:rsidP="004073D6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D28BB">
              <w:rPr>
                <w:rFonts w:cstheme="minorHAnsi"/>
                <w:sz w:val="14"/>
                <w:szCs w:val="14"/>
              </w:rPr>
              <w:t>+0.</w:t>
            </w:r>
            <w:r w:rsidR="008003E3">
              <w:rPr>
                <w:rFonts w:cstheme="minorHAnsi"/>
                <w:sz w:val="14"/>
                <w:szCs w:val="14"/>
              </w:rPr>
              <w:t>5</w:t>
            </w:r>
            <w:r w:rsidRPr="00AD28BB">
              <w:rPr>
                <w:rFonts w:cstheme="minorHAnsi"/>
                <w:sz w:val="14"/>
                <w:szCs w:val="14"/>
              </w:rPr>
              <w:t>pp</w:t>
            </w:r>
          </w:p>
        </w:tc>
      </w:tr>
      <w:tr w:rsidR="00911864" w:rsidRPr="00AD28BB" w14:paraId="2A0EEA37" w14:textId="77777777" w:rsidTr="00407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vAlign w:val="center"/>
          </w:tcPr>
          <w:p w14:paraId="74C8C6F7" w14:textId="498641FF" w:rsidR="00EE642C" w:rsidRPr="00911864" w:rsidRDefault="00EE642C" w:rsidP="004073D6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911864">
              <w:rPr>
                <w:rFonts w:cstheme="minorHAnsi"/>
                <w:b w:val="0"/>
                <w:sz w:val="14"/>
                <w:szCs w:val="14"/>
              </w:rPr>
              <w:t>Underemployed</w:t>
            </w:r>
          </w:p>
        </w:tc>
        <w:tc>
          <w:tcPr>
            <w:tcW w:w="839" w:type="dxa"/>
            <w:vAlign w:val="center"/>
          </w:tcPr>
          <w:p w14:paraId="5585FA2D" w14:textId="4A09535D" w:rsidR="00EE642C" w:rsidRPr="00711F53" w:rsidRDefault="00B96B5E" w:rsidP="004073D6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711F53">
              <w:rPr>
                <w:rFonts w:cstheme="minorHAnsi"/>
                <w:b/>
                <w:sz w:val="14"/>
                <w:szCs w:val="14"/>
              </w:rPr>
              <w:t>1</w:t>
            </w:r>
            <w:r w:rsidR="008003E3">
              <w:rPr>
                <w:rFonts w:cstheme="minorHAnsi"/>
                <w:b/>
                <w:sz w:val="14"/>
                <w:szCs w:val="14"/>
              </w:rPr>
              <w:t>23</w:t>
            </w:r>
            <w:r w:rsidRPr="00711F53">
              <w:rPr>
                <w:rFonts w:cstheme="minorHAnsi"/>
                <w:b/>
                <w:sz w:val="14"/>
                <w:szCs w:val="14"/>
              </w:rPr>
              <w:t>,</w:t>
            </w:r>
            <w:r w:rsidR="008003E3">
              <w:rPr>
                <w:rFonts w:cstheme="minorHAnsi"/>
                <w:b/>
                <w:sz w:val="14"/>
                <w:szCs w:val="14"/>
              </w:rPr>
              <w:t>277</w:t>
            </w:r>
          </w:p>
        </w:tc>
        <w:tc>
          <w:tcPr>
            <w:tcW w:w="726" w:type="dxa"/>
            <w:vAlign w:val="center"/>
          </w:tcPr>
          <w:p w14:paraId="0FDB6159" w14:textId="665A8AF5" w:rsidR="00EE642C" w:rsidRPr="00AD28BB" w:rsidRDefault="003947D4" w:rsidP="004073D6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D28BB">
              <w:rPr>
                <w:rFonts w:cstheme="minorHAnsi"/>
                <w:sz w:val="14"/>
                <w:szCs w:val="14"/>
              </w:rPr>
              <w:t>-</w:t>
            </w:r>
            <w:r w:rsidR="008003E3">
              <w:rPr>
                <w:rFonts w:cstheme="minorHAnsi"/>
                <w:sz w:val="14"/>
                <w:szCs w:val="14"/>
              </w:rPr>
              <w:t>11</w:t>
            </w:r>
            <w:r w:rsidRPr="00AD28BB">
              <w:rPr>
                <w:rFonts w:cstheme="minorHAnsi"/>
                <w:sz w:val="14"/>
                <w:szCs w:val="14"/>
              </w:rPr>
              <w:t>,8</w:t>
            </w:r>
            <w:r w:rsidR="008003E3">
              <w:rPr>
                <w:rFonts w:cstheme="minorHAnsi"/>
                <w:sz w:val="14"/>
                <w:szCs w:val="14"/>
              </w:rPr>
              <w:t>05</w:t>
            </w:r>
          </w:p>
        </w:tc>
        <w:tc>
          <w:tcPr>
            <w:tcW w:w="726" w:type="dxa"/>
            <w:vAlign w:val="center"/>
          </w:tcPr>
          <w:p w14:paraId="6E32545E" w14:textId="6E3881F9" w:rsidR="00EE642C" w:rsidRPr="00AD28BB" w:rsidRDefault="003947D4" w:rsidP="004073D6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D28BB">
              <w:rPr>
                <w:rFonts w:cstheme="minorHAnsi"/>
                <w:sz w:val="14"/>
                <w:szCs w:val="14"/>
              </w:rPr>
              <w:t>-</w:t>
            </w:r>
            <w:r w:rsidR="008003E3">
              <w:rPr>
                <w:rFonts w:cstheme="minorHAnsi"/>
                <w:sz w:val="14"/>
                <w:szCs w:val="14"/>
              </w:rPr>
              <w:t>17,906</w:t>
            </w:r>
          </w:p>
        </w:tc>
        <w:tc>
          <w:tcPr>
            <w:tcW w:w="1043" w:type="dxa"/>
            <w:vAlign w:val="center"/>
          </w:tcPr>
          <w:p w14:paraId="1BDB8D77" w14:textId="35E9939A" w:rsidR="00EE642C" w:rsidRPr="00911864" w:rsidRDefault="003947D4" w:rsidP="004073D6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911864">
              <w:rPr>
                <w:rFonts w:cstheme="minorHAnsi"/>
                <w:b/>
                <w:sz w:val="14"/>
                <w:szCs w:val="14"/>
              </w:rPr>
              <w:t>14</w:t>
            </w:r>
            <w:r w:rsidR="008003E3">
              <w:rPr>
                <w:rFonts w:cstheme="minorHAnsi"/>
                <w:b/>
                <w:sz w:val="14"/>
                <w:szCs w:val="14"/>
              </w:rPr>
              <w:t>3</w:t>
            </w:r>
            <w:r w:rsidRPr="00911864">
              <w:rPr>
                <w:rFonts w:cstheme="minorHAnsi"/>
                <w:b/>
                <w:sz w:val="14"/>
                <w:szCs w:val="14"/>
              </w:rPr>
              <w:t>,</w:t>
            </w:r>
            <w:r w:rsidR="008003E3">
              <w:rPr>
                <w:rFonts w:cstheme="minorHAnsi"/>
                <w:b/>
                <w:sz w:val="14"/>
                <w:szCs w:val="14"/>
              </w:rPr>
              <w:t>716</w:t>
            </w:r>
          </w:p>
        </w:tc>
        <w:tc>
          <w:tcPr>
            <w:tcW w:w="984" w:type="dxa"/>
            <w:vAlign w:val="center"/>
          </w:tcPr>
          <w:p w14:paraId="50CED6AF" w14:textId="5D21B54F" w:rsidR="00EE642C" w:rsidRPr="00AD28BB" w:rsidRDefault="003947D4" w:rsidP="004073D6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D28BB">
              <w:rPr>
                <w:rFonts w:cstheme="minorHAnsi"/>
                <w:sz w:val="14"/>
                <w:szCs w:val="14"/>
              </w:rPr>
              <w:t>+1</w:t>
            </w:r>
            <w:r w:rsidR="008003E3">
              <w:rPr>
                <w:rFonts w:cstheme="minorHAnsi"/>
                <w:sz w:val="14"/>
                <w:szCs w:val="14"/>
              </w:rPr>
              <w:t>1</w:t>
            </w:r>
            <w:r w:rsidRPr="00AD28BB">
              <w:rPr>
                <w:rFonts w:cstheme="minorHAnsi"/>
                <w:sz w:val="14"/>
                <w:szCs w:val="14"/>
              </w:rPr>
              <w:t>,</w:t>
            </w:r>
            <w:r w:rsidR="008003E3">
              <w:rPr>
                <w:rFonts w:cstheme="minorHAnsi"/>
                <w:sz w:val="14"/>
                <w:szCs w:val="14"/>
              </w:rPr>
              <w:t>49</w:t>
            </w:r>
            <w:r w:rsidRPr="00AD28BB">
              <w:rPr>
                <w:rFonts w:cstheme="minorHAnsi"/>
                <w:sz w:val="14"/>
                <w:szCs w:val="14"/>
              </w:rPr>
              <w:t>3</w:t>
            </w:r>
          </w:p>
        </w:tc>
      </w:tr>
      <w:tr w:rsidR="00911864" w:rsidRPr="00AD28BB" w14:paraId="1016CA03" w14:textId="77777777" w:rsidTr="004073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vAlign w:val="center"/>
          </w:tcPr>
          <w:p w14:paraId="18DDCBA5" w14:textId="34DA60EC" w:rsidR="00EE642C" w:rsidRPr="00911864" w:rsidRDefault="00EE642C" w:rsidP="004073D6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911864">
              <w:rPr>
                <w:rFonts w:cstheme="minorHAnsi"/>
                <w:b w:val="0"/>
                <w:sz w:val="14"/>
                <w:szCs w:val="14"/>
              </w:rPr>
              <w:t>Underemployment rate</w:t>
            </w:r>
            <w:r w:rsidR="00AD28BB" w:rsidRPr="00911864">
              <w:rPr>
                <w:rFonts w:cstheme="minorHAnsi"/>
                <w:b w:val="0"/>
                <w:sz w:val="14"/>
                <w:szCs w:val="14"/>
                <w:vertAlign w:val="superscript"/>
              </w:rPr>
              <w:t>5</w:t>
            </w:r>
          </w:p>
        </w:tc>
        <w:tc>
          <w:tcPr>
            <w:tcW w:w="839" w:type="dxa"/>
            <w:vAlign w:val="center"/>
          </w:tcPr>
          <w:p w14:paraId="0FDA47B2" w14:textId="2EE14DF0" w:rsidR="00EE642C" w:rsidRPr="00711F53" w:rsidRDefault="008003E3" w:rsidP="004073D6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t>8.4</w:t>
            </w:r>
            <w:r w:rsidR="00B96B5E" w:rsidRPr="00711F53">
              <w:rPr>
                <w:rFonts w:cstheme="minorHAnsi"/>
                <w:b/>
                <w:sz w:val="14"/>
                <w:szCs w:val="14"/>
              </w:rPr>
              <w:t>%</w:t>
            </w:r>
          </w:p>
        </w:tc>
        <w:tc>
          <w:tcPr>
            <w:tcW w:w="726" w:type="dxa"/>
            <w:vAlign w:val="center"/>
          </w:tcPr>
          <w:p w14:paraId="43FD2778" w14:textId="11ED938F" w:rsidR="00EE642C" w:rsidRPr="00AD28BB" w:rsidRDefault="008003E3" w:rsidP="004073D6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-0.9</w:t>
            </w:r>
            <w:r w:rsidR="003947D4" w:rsidRPr="00AD28BB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726" w:type="dxa"/>
            <w:vAlign w:val="center"/>
          </w:tcPr>
          <w:p w14:paraId="61DFFC16" w14:textId="2BC9BDFB" w:rsidR="00EE642C" w:rsidRPr="00AD28BB" w:rsidRDefault="003947D4" w:rsidP="004073D6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D28BB">
              <w:rPr>
                <w:rFonts w:cstheme="minorHAnsi"/>
                <w:sz w:val="14"/>
                <w:szCs w:val="14"/>
              </w:rPr>
              <w:t>-</w:t>
            </w:r>
            <w:r w:rsidR="008003E3">
              <w:rPr>
                <w:rFonts w:cstheme="minorHAnsi"/>
                <w:sz w:val="14"/>
                <w:szCs w:val="14"/>
              </w:rPr>
              <w:t>1.3</w:t>
            </w:r>
            <w:r w:rsidRPr="00AD28BB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1043" w:type="dxa"/>
            <w:vAlign w:val="center"/>
          </w:tcPr>
          <w:p w14:paraId="68D6BB7F" w14:textId="63538897" w:rsidR="00EE642C" w:rsidRPr="00911864" w:rsidRDefault="003947D4" w:rsidP="004073D6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911864">
              <w:rPr>
                <w:rFonts w:cstheme="minorHAnsi"/>
                <w:b/>
                <w:sz w:val="14"/>
                <w:szCs w:val="14"/>
              </w:rPr>
              <w:t>1</w:t>
            </w:r>
            <w:r w:rsidR="008003E3">
              <w:rPr>
                <w:rFonts w:cstheme="minorHAnsi"/>
                <w:b/>
                <w:sz w:val="14"/>
                <w:szCs w:val="14"/>
              </w:rPr>
              <w:t>0.0</w:t>
            </w:r>
            <w:r w:rsidRPr="00911864">
              <w:rPr>
                <w:rFonts w:cstheme="minorHAnsi"/>
                <w:b/>
                <w:sz w:val="14"/>
                <w:szCs w:val="14"/>
              </w:rPr>
              <w:t>%</w:t>
            </w:r>
          </w:p>
        </w:tc>
        <w:tc>
          <w:tcPr>
            <w:tcW w:w="984" w:type="dxa"/>
            <w:vAlign w:val="center"/>
          </w:tcPr>
          <w:p w14:paraId="10E3D95F" w14:textId="21861BBE" w:rsidR="00EE642C" w:rsidRPr="00AD28BB" w:rsidRDefault="003947D4" w:rsidP="004073D6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D28BB">
              <w:rPr>
                <w:rFonts w:cstheme="minorHAnsi"/>
                <w:sz w:val="14"/>
                <w:szCs w:val="14"/>
              </w:rPr>
              <w:t>+0.</w:t>
            </w:r>
            <w:r w:rsidR="008003E3">
              <w:rPr>
                <w:rFonts w:cstheme="minorHAnsi"/>
                <w:sz w:val="14"/>
                <w:szCs w:val="14"/>
              </w:rPr>
              <w:t>8</w:t>
            </w:r>
            <w:r w:rsidRPr="00AD28BB">
              <w:rPr>
                <w:rFonts w:cstheme="minorHAnsi"/>
                <w:sz w:val="14"/>
                <w:szCs w:val="14"/>
              </w:rPr>
              <w:t>pp</w:t>
            </w:r>
          </w:p>
        </w:tc>
      </w:tr>
    </w:tbl>
    <w:p w14:paraId="3164C9F3" w14:textId="5B1E695D" w:rsidR="00B96B5E" w:rsidRDefault="00B96B5E" w:rsidP="00CB298C">
      <w:pPr>
        <w:spacing w:after="0"/>
        <w:jc w:val="both"/>
        <w:rPr>
          <w:sz w:val="10"/>
        </w:rPr>
      </w:pPr>
      <w:r>
        <w:rPr>
          <w:sz w:val="10"/>
        </w:rPr>
        <w:t>pp = percentage point.</w:t>
      </w:r>
      <w:r w:rsidR="003379C5">
        <w:rPr>
          <w:sz w:val="10"/>
        </w:rPr>
        <w:t xml:space="preserve"> </w:t>
      </w:r>
      <w:r w:rsidR="003379C5" w:rsidRPr="003379C5">
        <w:rPr>
          <w:sz w:val="10"/>
          <w:vertAlign w:val="superscript"/>
        </w:rPr>
        <w:t>1</w:t>
      </w:r>
      <w:r w:rsidR="003379C5" w:rsidRPr="003379C5">
        <w:rPr>
          <w:sz w:val="10"/>
        </w:rPr>
        <w:t xml:space="preserve"> Worked 35 hours or more a week. </w:t>
      </w:r>
      <w:r w:rsidR="003379C5" w:rsidRPr="003379C5">
        <w:rPr>
          <w:sz w:val="10"/>
          <w:vertAlign w:val="superscript"/>
        </w:rPr>
        <w:t>2</w:t>
      </w:r>
      <w:r w:rsidR="003379C5" w:rsidRPr="003379C5">
        <w:rPr>
          <w:sz w:val="10"/>
        </w:rPr>
        <w:t xml:space="preserve"> Worked less than 35 hours a week. </w:t>
      </w:r>
      <w:r w:rsidR="003379C5" w:rsidRPr="003379C5">
        <w:rPr>
          <w:sz w:val="10"/>
          <w:vertAlign w:val="superscript"/>
        </w:rPr>
        <w:t>3</w:t>
      </w:r>
      <w:r w:rsidR="003379C5" w:rsidRPr="003379C5">
        <w:rPr>
          <w:sz w:val="10"/>
        </w:rPr>
        <w:t xml:space="preserve"> The proportion of the civilian working age population (aged 15 and older) in the labour force (people who are either employed or unemployed). </w:t>
      </w:r>
      <w:r w:rsidR="003379C5" w:rsidRPr="003379C5">
        <w:rPr>
          <w:sz w:val="10"/>
          <w:vertAlign w:val="superscript"/>
        </w:rPr>
        <w:t>4</w:t>
      </w:r>
      <w:r w:rsidR="003379C5" w:rsidRPr="003379C5">
        <w:rPr>
          <w:sz w:val="10"/>
        </w:rPr>
        <w:t xml:space="preserve"> The proportion of the labour force that is unemployed (people without a job who are actively looking for work). </w:t>
      </w:r>
      <w:r w:rsidR="003379C5" w:rsidRPr="003379C5">
        <w:rPr>
          <w:sz w:val="10"/>
          <w:vertAlign w:val="superscript"/>
        </w:rPr>
        <w:t xml:space="preserve">5 </w:t>
      </w:r>
      <w:r w:rsidR="003379C5" w:rsidRPr="003379C5">
        <w:rPr>
          <w:sz w:val="10"/>
        </w:rPr>
        <w:t xml:space="preserve">The proportion of the labour force that is underemployed (workers wanting more hours). </w:t>
      </w:r>
      <w:r w:rsidR="003379C5" w:rsidRPr="003379C5">
        <w:rPr>
          <w:sz w:val="10"/>
          <w:vertAlign w:val="superscript"/>
        </w:rPr>
        <w:t>6</w:t>
      </w:r>
      <w:r w:rsidR="003379C5" w:rsidRPr="003379C5">
        <w:rPr>
          <w:sz w:val="10"/>
        </w:rPr>
        <w:t xml:space="preserve"> Seasonally adjusted</w:t>
      </w:r>
      <w:r w:rsidR="00C34949">
        <w:rPr>
          <w:sz w:val="10"/>
        </w:rPr>
        <w:t xml:space="preserve"> series</w:t>
      </w:r>
      <w:r w:rsidR="003379C5" w:rsidRPr="003379C5">
        <w:rPr>
          <w:sz w:val="10"/>
        </w:rPr>
        <w:t xml:space="preserve">. </w:t>
      </w:r>
      <w:r w:rsidR="003379C5" w:rsidRPr="003379C5">
        <w:rPr>
          <w:sz w:val="10"/>
          <w:vertAlign w:val="superscript"/>
        </w:rPr>
        <w:t>7</w:t>
      </w:r>
      <w:r w:rsidR="003379C5" w:rsidRPr="003379C5">
        <w:rPr>
          <w:sz w:val="10"/>
        </w:rPr>
        <w:t xml:space="preserve"> Original</w:t>
      </w:r>
      <w:r w:rsidR="00C34949">
        <w:rPr>
          <w:sz w:val="10"/>
        </w:rPr>
        <w:t xml:space="preserve"> series</w:t>
      </w:r>
      <w:r w:rsidR="003379C5" w:rsidRPr="003379C5">
        <w:rPr>
          <w:sz w:val="10"/>
        </w:rPr>
        <w:t>.</w:t>
      </w:r>
      <w:r w:rsidR="003379C5">
        <w:rPr>
          <w:sz w:val="10"/>
        </w:rPr>
        <w:t xml:space="preserve"> </w:t>
      </w:r>
    </w:p>
    <w:p w14:paraId="4D968108" w14:textId="2DDB8C48" w:rsidR="00CB298C" w:rsidRDefault="00A02637" w:rsidP="00CB298C">
      <w:pPr>
        <w:spacing w:after="0"/>
        <w:jc w:val="both"/>
        <w:rPr>
          <w:sz w:val="10"/>
        </w:rPr>
      </w:pPr>
      <w:r w:rsidRPr="00A441A2">
        <w:rPr>
          <w:sz w:val="10"/>
        </w:rPr>
        <w:t xml:space="preserve">Source: ABS </w:t>
      </w:r>
      <w:r w:rsidR="003379C5">
        <w:rPr>
          <w:sz w:val="10"/>
        </w:rPr>
        <w:t>6202.0 Labour Force, Australia (Monthly)</w:t>
      </w:r>
      <w:r>
        <w:rPr>
          <w:sz w:val="10"/>
        </w:rPr>
        <w:t>.</w:t>
      </w:r>
    </w:p>
    <w:p w14:paraId="0E283936" w14:textId="59AB2715" w:rsidR="00CB298C" w:rsidRDefault="00CB298C" w:rsidP="00CB298C">
      <w:pPr>
        <w:spacing w:after="0"/>
        <w:jc w:val="both"/>
        <w:rPr>
          <w:sz w:val="16"/>
        </w:rPr>
      </w:pPr>
    </w:p>
    <w:p w14:paraId="160746B8" w14:textId="14AF8660" w:rsidR="00CB298C" w:rsidRDefault="00CB298C" w:rsidP="00CB298C">
      <w:pPr>
        <w:spacing w:after="0"/>
        <w:jc w:val="both"/>
        <w:rPr>
          <w:sz w:val="16"/>
        </w:rPr>
      </w:pPr>
    </w:p>
    <w:p w14:paraId="0B8807EF" w14:textId="77777777" w:rsidR="00CB298C" w:rsidRDefault="00CB298C" w:rsidP="00CB298C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6D2E38C5" w14:textId="77777777" w:rsidR="00CB298C" w:rsidRDefault="00CB298C" w:rsidP="00CB298C">
      <w:pPr>
        <w:spacing w:after="0"/>
        <w:jc w:val="both"/>
        <w:rPr>
          <w:sz w:val="16"/>
        </w:rPr>
      </w:pPr>
    </w:p>
    <w:p w14:paraId="17BB6185" w14:textId="77777777" w:rsidR="00CB298C" w:rsidRDefault="00CB298C" w:rsidP="00CB298C">
      <w:pPr>
        <w:spacing w:after="0"/>
        <w:jc w:val="both"/>
        <w:rPr>
          <w:sz w:val="16"/>
        </w:rPr>
      </w:pPr>
    </w:p>
    <w:p w14:paraId="6B495716" w14:textId="0C9B4EB6" w:rsidR="008B69DD" w:rsidRPr="00CB298C" w:rsidRDefault="009916A5" w:rsidP="00CB298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 xml:space="preserve">In </w:t>
      </w:r>
      <w:r w:rsidR="00D14E7A">
        <w:rPr>
          <w:sz w:val="16"/>
        </w:rPr>
        <w:t>Octo</w:t>
      </w:r>
      <w:r>
        <w:rPr>
          <w:sz w:val="16"/>
        </w:rPr>
        <w:t>ber</w:t>
      </w:r>
      <w:r w:rsidR="004073D6">
        <w:rPr>
          <w:sz w:val="16"/>
        </w:rPr>
        <w:t> </w:t>
      </w:r>
      <w:r>
        <w:rPr>
          <w:sz w:val="16"/>
        </w:rPr>
        <w:t xml:space="preserve">2020, </w:t>
      </w:r>
      <w:r w:rsidR="0023136A">
        <w:rPr>
          <w:sz w:val="16"/>
        </w:rPr>
        <w:t xml:space="preserve">employed persons accounted for </w:t>
      </w:r>
      <w:r>
        <w:rPr>
          <w:sz w:val="16"/>
        </w:rPr>
        <w:t>63.</w:t>
      </w:r>
      <w:r w:rsidR="00D14E7A">
        <w:rPr>
          <w:sz w:val="16"/>
        </w:rPr>
        <w:t>8</w:t>
      </w:r>
      <w:r>
        <w:rPr>
          <w:sz w:val="16"/>
        </w:rPr>
        <w:t>% (1.3</w:t>
      </w:r>
      <w:r w:rsidR="00D14E7A">
        <w:rPr>
          <w:sz w:val="16"/>
        </w:rPr>
        <w:t>7</w:t>
      </w:r>
      <w:r w:rsidR="004073D6">
        <w:rPr>
          <w:sz w:val="16"/>
        </w:rPr>
        <w:t> </w:t>
      </w:r>
      <w:r>
        <w:rPr>
          <w:sz w:val="16"/>
        </w:rPr>
        <w:t>million) of Western Australia’s civilian wor</w:t>
      </w:r>
      <w:r w:rsidR="0023136A">
        <w:rPr>
          <w:sz w:val="16"/>
        </w:rPr>
        <w:t>king-age population</w:t>
      </w:r>
      <w:r>
        <w:rPr>
          <w:sz w:val="16"/>
        </w:rPr>
        <w:t>.</w:t>
      </w:r>
    </w:p>
    <w:p w14:paraId="779EE71E" w14:textId="732B54D8" w:rsidR="008B69DD" w:rsidRPr="008B69DD" w:rsidRDefault="009916A5" w:rsidP="00CB298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 xml:space="preserve">The number of employed persons in Western Australia rose by </w:t>
      </w:r>
      <w:r w:rsidR="00D14E7A">
        <w:rPr>
          <w:sz w:val="16"/>
        </w:rPr>
        <w:t>15,287</w:t>
      </w:r>
      <w:r>
        <w:rPr>
          <w:sz w:val="16"/>
        </w:rPr>
        <w:t xml:space="preserve"> in </w:t>
      </w:r>
      <w:r w:rsidR="00D14E7A">
        <w:rPr>
          <w:sz w:val="16"/>
        </w:rPr>
        <w:t>Octo</w:t>
      </w:r>
      <w:r w:rsidR="004073D6">
        <w:rPr>
          <w:sz w:val="16"/>
        </w:rPr>
        <w:t>ber </w:t>
      </w:r>
      <w:r>
        <w:rPr>
          <w:sz w:val="16"/>
        </w:rPr>
        <w:t>2020</w:t>
      </w:r>
      <w:r w:rsidR="008B69DD" w:rsidRPr="008B69DD">
        <w:rPr>
          <w:sz w:val="16"/>
        </w:rPr>
        <w:t>.</w:t>
      </w:r>
    </w:p>
    <w:p w14:paraId="26155B1E" w14:textId="143E6AA4" w:rsidR="008B69DD" w:rsidRPr="008B69DD" w:rsidRDefault="004073D6" w:rsidP="00CB298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>Full</w:t>
      </w:r>
      <w:r>
        <w:rPr>
          <w:sz w:val="16"/>
        </w:rPr>
        <w:noBreakHyphen/>
      </w:r>
      <w:r w:rsidR="00D14E7A">
        <w:rPr>
          <w:sz w:val="16"/>
        </w:rPr>
        <w:t>time employment accounted for 66</w:t>
      </w:r>
      <w:r w:rsidR="008B69DD" w:rsidRPr="008B69DD">
        <w:rPr>
          <w:sz w:val="16"/>
        </w:rPr>
        <w:t xml:space="preserve">% of </w:t>
      </w:r>
      <w:r w:rsidR="009916A5">
        <w:rPr>
          <w:sz w:val="16"/>
        </w:rPr>
        <w:t xml:space="preserve">Western </w:t>
      </w:r>
      <w:r w:rsidR="008B69DD" w:rsidRPr="008B69DD">
        <w:rPr>
          <w:sz w:val="16"/>
        </w:rPr>
        <w:t xml:space="preserve">Australia’s </w:t>
      </w:r>
      <w:r w:rsidR="009916A5">
        <w:rPr>
          <w:sz w:val="16"/>
        </w:rPr>
        <w:t xml:space="preserve">total employment in </w:t>
      </w:r>
      <w:r w:rsidR="00D14E7A">
        <w:rPr>
          <w:sz w:val="16"/>
        </w:rPr>
        <w:t>Octo</w:t>
      </w:r>
      <w:r w:rsidR="009916A5">
        <w:rPr>
          <w:sz w:val="16"/>
        </w:rPr>
        <w:t>ber 2020</w:t>
      </w:r>
      <w:r w:rsidR="008B69DD" w:rsidRPr="008B69DD">
        <w:rPr>
          <w:sz w:val="16"/>
        </w:rPr>
        <w:t>.</w:t>
      </w:r>
    </w:p>
    <w:p w14:paraId="3A26B719" w14:textId="4198476D" w:rsidR="009916A5" w:rsidRDefault="009916A5" w:rsidP="00CB298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 xml:space="preserve">The number of unemployed persons in </w:t>
      </w:r>
      <w:r w:rsidR="008B69DD" w:rsidRPr="008B69DD">
        <w:rPr>
          <w:sz w:val="16"/>
        </w:rPr>
        <w:t>Western Australia</w:t>
      </w:r>
      <w:r>
        <w:rPr>
          <w:sz w:val="16"/>
        </w:rPr>
        <w:t xml:space="preserve"> fell by </w:t>
      </w:r>
      <w:r w:rsidR="00D14E7A">
        <w:rPr>
          <w:sz w:val="16"/>
        </w:rPr>
        <w:t>1,051</w:t>
      </w:r>
      <w:r>
        <w:rPr>
          <w:sz w:val="16"/>
        </w:rPr>
        <w:t xml:space="preserve"> in </w:t>
      </w:r>
      <w:r w:rsidR="00D14E7A">
        <w:rPr>
          <w:sz w:val="16"/>
        </w:rPr>
        <w:t>Octo</w:t>
      </w:r>
      <w:r>
        <w:rPr>
          <w:sz w:val="16"/>
        </w:rPr>
        <w:t>ber 2020.</w:t>
      </w:r>
    </w:p>
    <w:p w14:paraId="29313EA6" w14:textId="301BAC6D" w:rsidR="009916A5" w:rsidRDefault="009916A5" w:rsidP="00CB298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>Western Australia’s unemployment rate</w:t>
      </w:r>
      <w:r w:rsidR="007D03F1">
        <w:rPr>
          <w:sz w:val="16"/>
        </w:rPr>
        <w:t xml:space="preserve"> fell from </w:t>
      </w:r>
      <w:r w:rsidR="00D14E7A">
        <w:rPr>
          <w:sz w:val="16"/>
        </w:rPr>
        <w:t>6.7</w:t>
      </w:r>
      <w:r w:rsidR="007D03F1">
        <w:rPr>
          <w:sz w:val="16"/>
        </w:rPr>
        <w:t xml:space="preserve">% in </w:t>
      </w:r>
      <w:r w:rsidR="00D14E7A">
        <w:rPr>
          <w:sz w:val="16"/>
        </w:rPr>
        <w:t>September</w:t>
      </w:r>
      <w:r w:rsidR="007D03F1">
        <w:rPr>
          <w:sz w:val="16"/>
        </w:rPr>
        <w:t xml:space="preserve"> 2020 to </w:t>
      </w:r>
      <w:r w:rsidR="00D14E7A">
        <w:rPr>
          <w:sz w:val="16"/>
        </w:rPr>
        <w:t>6.6</w:t>
      </w:r>
      <w:r>
        <w:rPr>
          <w:sz w:val="16"/>
        </w:rPr>
        <w:t xml:space="preserve">% in </w:t>
      </w:r>
      <w:r w:rsidR="00D14E7A">
        <w:rPr>
          <w:sz w:val="16"/>
        </w:rPr>
        <w:t>Octo</w:t>
      </w:r>
      <w:r>
        <w:rPr>
          <w:sz w:val="16"/>
        </w:rPr>
        <w:t>ber 2020</w:t>
      </w:r>
      <w:r w:rsidR="007D03F1">
        <w:rPr>
          <w:sz w:val="16"/>
        </w:rPr>
        <w:t xml:space="preserve">, although it remained above the rate of </w:t>
      </w:r>
      <w:r>
        <w:rPr>
          <w:sz w:val="16"/>
        </w:rPr>
        <w:t xml:space="preserve">5.7% </w:t>
      </w:r>
      <w:r w:rsidR="007D03F1">
        <w:rPr>
          <w:sz w:val="16"/>
        </w:rPr>
        <w:t xml:space="preserve">in </w:t>
      </w:r>
      <w:r w:rsidR="00D14E7A">
        <w:rPr>
          <w:sz w:val="16"/>
        </w:rPr>
        <w:t>Octo</w:t>
      </w:r>
      <w:r w:rsidR="007D03F1">
        <w:rPr>
          <w:sz w:val="16"/>
        </w:rPr>
        <w:t>ber 2019</w:t>
      </w:r>
      <w:r>
        <w:rPr>
          <w:sz w:val="16"/>
        </w:rPr>
        <w:t>.</w:t>
      </w:r>
    </w:p>
    <w:p w14:paraId="4CA1540F" w14:textId="1B5C7E1E" w:rsidR="008B69DD" w:rsidRDefault="008B69DD" w:rsidP="00CB298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B69DD">
        <w:rPr>
          <w:sz w:val="16"/>
        </w:rPr>
        <w:t xml:space="preserve">Australia’s </w:t>
      </w:r>
      <w:r w:rsidR="00D14E7A">
        <w:rPr>
          <w:sz w:val="16"/>
        </w:rPr>
        <w:t>unemployment rate was 7.0</w:t>
      </w:r>
      <w:r w:rsidR="009916A5">
        <w:rPr>
          <w:sz w:val="16"/>
        </w:rPr>
        <w:t xml:space="preserve">% in </w:t>
      </w:r>
      <w:r w:rsidR="00D14E7A">
        <w:rPr>
          <w:sz w:val="16"/>
        </w:rPr>
        <w:t>Octo</w:t>
      </w:r>
      <w:r w:rsidR="004073D6">
        <w:rPr>
          <w:sz w:val="16"/>
        </w:rPr>
        <w:t>ber </w:t>
      </w:r>
      <w:r w:rsidR="009916A5">
        <w:rPr>
          <w:sz w:val="16"/>
        </w:rPr>
        <w:t>2020</w:t>
      </w:r>
      <w:r w:rsidRPr="008B69DD">
        <w:rPr>
          <w:sz w:val="16"/>
        </w:rPr>
        <w:t>.</w:t>
      </w:r>
    </w:p>
    <w:p w14:paraId="46E2ADCE" w14:textId="77777777" w:rsidR="00006DAE" w:rsidRDefault="00006DAE" w:rsidP="00006DAE">
      <w:pPr>
        <w:pStyle w:val="BodyText"/>
        <w:spacing w:after="0"/>
        <w:jc w:val="both"/>
        <w:rPr>
          <w:sz w:val="16"/>
        </w:rPr>
        <w:sectPr w:rsidR="00006DAE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04520E40" w14:textId="40BBA3BC" w:rsidR="00006DAE" w:rsidRPr="00E65A19" w:rsidRDefault="005F1191" w:rsidP="00EC6333">
      <w:pPr>
        <w:pStyle w:val="BodyText"/>
        <w:spacing w:after="0"/>
        <w:rPr>
          <w:b/>
          <w:sz w:val="20"/>
        </w:rPr>
      </w:pPr>
      <w:r>
        <w:rPr>
          <w:b/>
          <w:sz w:val="20"/>
        </w:rPr>
        <w:t>Western Australia’s e</w:t>
      </w:r>
      <w:r w:rsidR="00E65A19" w:rsidRPr="00E65A19">
        <w:rPr>
          <w:b/>
          <w:sz w:val="20"/>
        </w:rPr>
        <w:t xml:space="preserve">mployment </w:t>
      </w:r>
      <w:r w:rsidR="00090654">
        <w:rPr>
          <w:b/>
          <w:sz w:val="20"/>
        </w:rPr>
        <w:t xml:space="preserve">growth: </w:t>
      </w:r>
      <w:r w:rsidR="00E65A19" w:rsidRPr="00E65A19">
        <w:rPr>
          <w:b/>
          <w:sz w:val="20"/>
        </w:rPr>
        <w:t>Financial years</w:t>
      </w:r>
      <w:r w:rsidR="00C34949" w:rsidRPr="00C34949">
        <w:rPr>
          <w:b/>
          <w:sz w:val="20"/>
          <w:vertAlign w:val="superscript"/>
        </w:rPr>
        <w:t>1</w:t>
      </w:r>
    </w:p>
    <w:p w14:paraId="699C1F2B" w14:textId="29039649" w:rsidR="00F53854" w:rsidRPr="00F53854" w:rsidRDefault="00154364" w:rsidP="00006DAE">
      <w:pPr>
        <w:pStyle w:val="BodyText"/>
        <w:spacing w:after="0"/>
        <w:jc w:val="both"/>
        <w:rPr>
          <w:sz w:val="16"/>
          <w:szCs w:val="16"/>
          <w:vertAlign w:val="superscript"/>
        </w:rPr>
      </w:pPr>
      <w:r>
        <w:rPr>
          <w:noProof/>
          <w:sz w:val="16"/>
          <w:szCs w:val="16"/>
          <w:vertAlign w:val="superscript"/>
          <w:lang w:eastAsia="en-AU"/>
        </w:rPr>
        <w:drawing>
          <wp:inline distT="0" distB="0" distL="0" distR="0" wp14:anchorId="66B599BF" wp14:editId="79E388CA">
            <wp:extent cx="3416300" cy="2049145"/>
            <wp:effectExtent l="0" t="0" r="0" b="825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0" cy="204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DE80B" w14:textId="77777777" w:rsidR="00C34949" w:rsidRDefault="00C34949" w:rsidP="00460DA3">
      <w:pPr>
        <w:spacing w:after="0"/>
        <w:jc w:val="both"/>
        <w:rPr>
          <w:sz w:val="10"/>
        </w:rPr>
      </w:pPr>
      <w:r w:rsidRPr="00C34949">
        <w:rPr>
          <w:sz w:val="10"/>
          <w:vertAlign w:val="superscript"/>
        </w:rPr>
        <w:t>1</w:t>
      </w:r>
      <w:r>
        <w:rPr>
          <w:sz w:val="10"/>
        </w:rPr>
        <w:t xml:space="preserve"> Annual average.</w:t>
      </w:r>
    </w:p>
    <w:p w14:paraId="22BF4996" w14:textId="3818D7DC" w:rsidR="00006DAE" w:rsidRDefault="00460DA3" w:rsidP="00460DA3">
      <w:pPr>
        <w:spacing w:after="0"/>
        <w:jc w:val="both"/>
        <w:rPr>
          <w:sz w:val="10"/>
        </w:rPr>
      </w:pPr>
      <w:r w:rsidRPr="00A441A2">
        <w:rPr>
          <w:sz w:val="10"/>
        </w:rPr>
        <w:t xml:space="preserve">Source: ABS </w:t>
      </w:r>
      <w:r>
        <w:rPr>
          <w:sz w:val="10"/>
        </w:rPr>
        <w:t>6202.0 Labour Force, Australia (Monthly)</w:t>
      </w:r>
      <w:r w:rsidR="00006DAE" w:rsidRPr="00B720D6">
        <w:rPr>
          <w:sz w:val="10"/>
        </w:rPr>
        <w:t>.</w:t>
      </w:r>
    </w:p>
    <w:p w14:paraId="45147B63" w14:textId="5F8B9DBF" w:rsidR="00403DB4" w:rsidRDefault="00403DB4" w:rsidP="00006DAE">
      <w:pPr>
        <w:pStyle w:val="BodyText"/>
        <w:spacing w:after="0"/>
        <w:jc w:val="both"/>
        <w:rPr>
          <w:sz w:val="16"/>
        </w:rPr>
      </w:pPr>
    </w:p>
    <w:p w14:paraId="0A2F9629" w14:textId="755775A8" w:rsidR="00403DB4" w:rsidRDefault="00403DB4" w:rsidP="00006DAE">
      <w:pPr>
        <w:pStyle w:val="BodyText"/>
        <w:spacing w:after="0"/>
        <w:jc w:val="both"/>
        <w:rPr>
          <w:sz w:val="16"/>
        </w:rPr>
      </w:pPr>
    </w:p>
    <w:p w14:paraId="7C387409" w14:textId="520FB1C9" w:rsidR="00CB298C" w:rsidRPr="00EE2521" w:rsidRDefault="00CB298C" w:rsidP="00375A51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EE2521">
        <w:rPr>
          <w:sz w:val="16"/>
        </w:rPr>
        <w:br w:type="column"/>
      </w:r>
      <w:r w:rsidRPr="00EE2521">
        <w:rPr>
          <w:sz w:val="16"/>
        </w:rPr>
        <w:t xml:space="preserve">Western Australia’s </w:t>
      </w:r>
      <w:r w:rsidR="00612B25">
        <w:rPr>
          <w:sz w:val="16"/>
        </w:rPr>
        <w:t xml:space="preserve">annual average </w:t>
      </w:r>
      <w:r w:rsidR="0031702C" w:rsidRPr="00EE2521">
        <w:rPr>
          <w:sz w:val="16"/>
        </w:rPr>
        <w:t>employment rose by</w:t>
      </w:r>
      <w:r w:rsidR="004A4FF1">
        <w:rPr>
          <w:sz w:val="16"/>
        </w:rPr>
        <w:t xml:space="preserve"> </w:t>
      </w:r>
      <w:r w:rsidR="0031702C" w:rsidRPr="00EE2521">
        <w:rPr>
          <w:sz w:val="16"/>
        </w:rPr>
        <w:t>3,722 in 2019-20, due to:</w:t>
      </w:r>
    </w:p>
    <w:p w14:paraId="6A4EFD27" w14:textId="1A22E949" w:rsidR="0031702C" w:rsidRPr="00CB298C" w:rsidRDefault="0031702C" w:rsidP="005A3CC2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>
        <w:rPr>
          <w:sz w:val="16"/>
        </w:rPr>
        <w:t>Part-time employment rising by 12,655</w:t>
      </w:r>
      <w:r w:rsidRPr="00CB298C">
        <w:rPr>
          <w:sz w:val="16"/>
        </w:rPr>
        <w:t>.</w:t>
      </w:r>
    </w:p>
    <w:p w14:paraId="7352B66E" w14:textId="02EAEBD1" w:rsidR="0031702C" w:rsidRPr="00CB298C" w:rsidRDefault="0031702C" w:rsidP="005A3CC2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>
        <w:rPr>
          <w:sz w:val="16"/>
        </w:rPr>
        <w:t>Full-time employment falling by 8,933</w:t>
      </w:r>
      <w:r w:rsidRPr="00CB298C">
        <w:rPr>
          <w:sz w:val="16"/>
        </w:rPr>
        <w:t>.</w:t>
      </w:r>
    </w:p>
    <w:p w14:paraId="3808DD2B" w14:textId="3F2443B0" w:rsidR="00DF5E42" w:rsidRDefault="00DF5E42" w:rsidP="00B75AC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B298C">
        <w:rPr>
          <w:sz w:val="16"/>
        </w:rPr>
        <w:t>Western Australia’s</w:t>
      </w:r>
      <w:r>
        <w:rPr>
          <w:sz w:val="16"/>
        </w:rPr>
        <w:t xml:space="preserve"> </w:t>
      </w:r>
      <w:r w:rsidR="00612B25">
        <w:rPr>
          <w:sz w:val="16"/>
        </w:rPr>
        <w:t xml:space="preserve">annual average </w:t>
      </w:r>
      <w:r>
        <w:rPr>
          <w:sz w:val="16"/>
        </w:rPr>
        <w:t xml:space="preserve">employment rose </w:t>
      </w:r>
      <w:r w:rsidR="004A4FF1">
        <w:rPr>
          <w:sz w:val="16"/>
        </w:rPr>
        <w:t xml:space="preserve">by </w:t>
      </w:r>
      <w:r w:rsidR="00485695">
        <w:rPr>
          <w:sz w:val="16"/>
        </w:rPr>
        <w:t xml:space="preserve">0.3% in 2019-20, below its </w:t>
      </w:r>
      <w:r>
        <w:rPr>
          <w:sz w:val="16"/>
        </w:rPr>
        <w:t>0.9% growth in 2018-19.</w:t>
      </w:r>
    </w:p>
    <w:p w14:paraId="0C65186B" w14:textId="6186F5BA" w:rsidR="00CB298C" w:rsidRPr="0031702C" w:rsidRDefault="0031702C" w:rsidP="00B75AC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 xml:space="preserve">The WA Government State Budget 2020-21 </w:t>
      </w:r>
      <w:r w:rsidR="00826B46">
        <w:rPr>
          <w:sz w:val="16"/>
        </w:rPr>
        <w:t>forecasts</w:t>
      </w:r>
      <w:r>
        <w:rPr>
          <w:sz w:val="16"/>
        </w:rPr>
        <w:t xml:space="preserve"> Western Australia’s </w:t>
      </w:r>
      <w:r w:rsidR="004073D6">
        <w:rPr>
          <w:sz w:val="16"/>
        </w:rPr>
        <w:t xml:space="preserve">annual average </w:t>
      </w:r>
      <w:r w:rsidR="00826B46">
        <w:rPr>
          <w:sz w:val="16"/>
        </w:rPr>
        <w:t>employment</w:t>
      </w:r>
      <w:r>
        <w:rPr>
          <w:sz w:val="16"/>
        </w:rPr>
        <w:t xml:space="preserve"> will </w:t>
      </w:r>
      <w:r w:rsidR="00826B46">
        <w:rPr>
          <w:sz w:val="16"/>
        </w:rPr>
        <w:t xml:space="preserve">contract by 0.25% </w:t>
      </w:r>
      <w:r>
        <w:rPr>
          <w:sz w:val="16"/>
        </w:rPr>
        <w:t>in 2020-21</w:t>
      </w:r>
      <w:r w:rsidR="00CB298C" w:rsidRPr="0031702C">
        <w:rPr>
          <w:sz w:val="16"/>
        </w:rPr>
        <w:t>.</w:t>
      </w:r>
    </w:p>
    <w:p w14:paraId="4959EE3A" w14:textId="77777777" w:rsidR="00403DB4" w:rsidRDefault="00403DB4" w:rsidP="00403DB4">
      <w:pPr>
        <w:pStyle w:val="BodyText"/>
        <w:spacing w:after="0"/>
        <w:jc w:val="both"/>
        <w:rPr>
          <w:sz w:val="16"/>
        </w:rPr>
        <w:sectPr w:rsidR="00403DB4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354D213B" w14:textId="77777777" w:rsidR="008F7B84" w:rsidRDefault="005F1191" w:rsidP="00EC6333">
      <w:pPr>
        <w:pStyle w:val="BodyText"/>
        <w:spacing w:after="0"/>
        <w:rPr>
          <w:b/>
          <w:sz w:val="20"/>
        </w:rPr>
      </w:pPr>
      <w:r>
        <w:rPr>
          <w:b/>
          <w:sz w:val="20"/>
        </w:rPr>
        <w:t>Western Australia’s e</w:t>
      </w:r>
      <w:r w:rsidR="00090654" w:rsidRPr="00090654">
        <w:rPr>
          <w:b/>
          <w:sz w:val="20"/>
        </w:rPr>
        <w:t>mployment by industry</w:t>
      </w:r>
      <w:r w:rsidR="008F7B84">
        <w:rPr>
          <w:b/>
          <w:sz w:val="20"/>
        </w:rPr>
        <w:t>:</w:t>
      </w:r>
    </w:p>
    <w:p w14:paraId="04A1E53B" w14:textId="13364A5E" w:rsidR="00403DB4" w:rsidRPr="00090654" w:rsidRDefault="00090654" w:rsidP="00EC6333">
      <w:pPr>
        <w:pStyle w:val="BodyText"/>
        <w:spacing w:after="0"/>
        <w:rPr>
          <w:b/>
          <w:sz w:val="20"/>
        </w:rPr>
      </w:pPr>
      <w:r>
        <w:rPr>
          <w:b/>
          <w:sz w:val="20"/>
        </w:rPr>
        <w:t>Financial years</w:t>
      </w:r>
      <w:r w:rsidR="003636FF" w:rsidRPr="00C34949">
        <w:rPr>
          <w:b/>
          <w:sz w:val="20"/>
          <w:vertAlign w:val="superscript"/>
        </w:rPr>
        <w:t>1</w:t>
      </w:r>
    </w:p>
    <w:p w14:paraId="06C06770" w14:textId="4E04E5E3" w:rsidR="00403DB4" w:rsidRDefault="00D31E75" w:rsidP="00403DB4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4A5C7C60" wp14:editId="753D5C25">
            <wp:extent cx="3403600" cy="2057400"/>
            <wp:effectExtent l="0" t="0" r="635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0AAA3" w14:textId="790C575F" w:rsidR="00715528" w:rsidRPr="00715528" w:rsidRDefault="003636FF" w:rsidP="00715528">
      <w:pPr>
        <w:pStyle w:val="BodyText"/>
        <w:spacing w:after="0"/>
        <w:jc w:val="both"/>
        <w:rPr>
          <w:sz w:val="10"/>
        </w:rPr>
      </w:pPr>
      <w:r w:rsidRPr="00C34949">
        <w:rPr>
          <w:sz w:val="10"/>
          <w:vertAlign w:val="superscript"/>
        </w:rPr>
        <w:t>1</w:t>
      </w:r>
      <w:r>
        <w:rPr>
          <w:sz w:val="10"/>
        </w:rPr>
        <w:t xml:space="preserve"> Annual average. </w:t>
      </w:r>
      <w:r w:rsidR="00715528" w:rsidRPr="00715528">
        <w:rPr>
          <w:sz w:val="10"/>
        </w:rPr>
        <w:t xml:space="preserve">(a) </w:t>
      </w:r>
      <w:r w:rsidR="00526CED">
        <w:rPr>
          <w:sz w:val="10"/>
        </w:rPr>
        <w:t>Repairs, maintenance and personal services</w:t>
      </w:r>
      <w:r w:rsidR="00715528" w:rsidRPr="00715528">
        <w:rPr>
          <w:sz w:val="10"/>
        </w:rPr>
        <w:t>.</w:t>
      </w:r>
    </w:p>
    <w:p w14:paraId="6BFC70B9" w14:textId="76D48276" w:rsidR="00715528" w:rsidRPr="00715528" w:rsidRDefault="00715528" w:rsidP="00715528">
      <w:pPr>
        <w:pStyle w:val="BodyText"/>
        <w:spacing w:after="0"/>
        <w:jc w:val="both"/>
        <w:rPr>
          <w:sz w:val="10"/>
        </w:rPr>
      </w:pPr>
      <w:r w:rsidRPr="00715528">
        <w:rPr>
          <w:sz w:val="10"/>
        </w:rPr>
        <w:t xml:space="preserve">Source: ABS </w:t>
      </w:r>
      <w:r w:rsidR="00EF72DB">
        <w:rPr>
          <w:sz w:val="10"/>
        </w:rPr>
        <w:t>6291.0.55.003 Labour Force, Australia, Detailed (Quarterly)</w:t>
      </w:r>
      <w:r w:rsidRPr="00715528">
        <w:rPr>
          <w:sz w:val="10"/>
        </w:rPr>
        <w:t>.</w:t>
      </w:r>
    </w:p>
    <w:p w14:paraId="3B332052" w14:textId="224E05D2" w:rsidR="00E81121" w:rsidRDefault="00E81121" w:rsidP="00E81121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br w:type="column"/>
      </w:r>
      <w:r w:rsidR="00423A67">
        <w:rPr>
          <w:sz w:val="16"/>
        </w:rPr>
        <w:t xml:space="preserve">Services industries accounted for 72% of </w:t>
      </w:r>
      <w:r w:rsidR="00C41B9A">
        <w:rPr>
          <w:sz w:val="16"/>
        </w:rPr>
        <w:t>Western Australia’s</w:t>
      </w:r>
      <w:r w:rsidR="00423A67">
        <w:rPr>
          <w:sz w:val="16"/>
        </w:rPr>
        <w:t xml:space="preserve"> total employment in 2019</w:t>
      </w:r>
      <w:r w:rsidR="00423A67">
        <w:rPr>
          <w:sz w:val="16"/>
        </w:rPr>
        <w:noBreakHyphen/>
        <w:t>20, including:</w:t>
      </w:r>
    </w:p>
    <w:p w14:paraId="691BFCA4" w14:textId="094B7FF8" w:rsidR="00423A67" w:rsidRPr="00CB298C" w:rsidRDefault="00423A67" w:rsidP="005A3CC2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>
        <w:rPr>
          <w:sz w:val="16"/>
        </w:rPr>
        <w:t>Healthcare and social assistance (12.4%)</w:t>
      </w:r>
      <w:r w:rsidRPr="00CB298C">
        <w:rPr>
          <w:sz w:val="16"/>
        </w:rPr>
        <w:t>.</w:t>
      </w:r>
    </w:p>
    <w:p w14:paraId="71B8107E" w14:textId="795264B3" w:rsidR="00423A67" w:rsidRDefault="00423A67" w:rsidP="005A3CC2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>
        <w:rPr>
          <w:sz w:val="16"/>
        </w:rPr>
        <w:t>Retail trade (9.2%)</w:t>
      </w:r>
      <w:r w:rsidRPr="00CB298C">
        <w:rPr>
          <w:sz w:val="16"/>
        </w:rPr>
        <w:t>.</w:t>
      </w:r>
    </w:p>
    <w:p w14:paraId="68EE1565" w14:textId="3835333A" w:rsidR="00423A67" w:rsidRPr="00CB298C" w:rsidRDefault="00423A67" w:rsidP="005A3CC2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>
        <w:rPr>
          <w:sz w:val="16"/>
        </w:rPr>
        <w:t>Education and training (8.2%).</w:t>
      </w:r>
    </w:p>
    <w:p w14:paraId="11010291" w14:textId="1937FBC0" w:rsidR="00423A67" w:rsidRDefault="00423A67" w:rsidP="00423A67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>Goods-producing industries accounted for 28% of Western Australia’s total employment in 2019</w:t>
      </w:r>
      <w:r>
        <w:rPr>
          <w:sz w:val="16"/>
        </w:rPr>
        <w:noBreakHyphen/>
        <w:t>20, including:</w:t>
      </w:r>
    </w:p>
    <w:p w14:paraId="6ECC3171" w14:textId="39784B93" w:rsidR="00423A67" w:rsidRPr="00CB298C" w:rsidRDefault="00423A67" w:rsidP="005A3CC2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>
        <w:rPr>
          <w:sz w:val="16"/>
        </w:rPr>
        <w:t>Construction (9.1%)</w:t>
      </w:r>
      <w:r w:rsidRPr="00CB298C">
        <w:rPr>
          <w:sz w:val="16"/>
        </w:rPr>
        <w:t>.</w:t>
      </w:r>
    </w:p>
    <w:p w14:paraId="2A91A1CE" w14:textId="57511E7A" w:rsidR="00423A67" w:rsidRDefault="00423A67" w:rsidP="005A3CC2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>
        <w:rPr>
          <w:sz w:val="16"/>
        </w:rPr>
        <w:t>Mining (8.4%)</w:t>
      </w:r>
      <w:r w:rsidRPr="00CB298C">
        <w:rPr>
          <w:sz w:val="16"/>
        </w:rPr>
        <w:t>.</w:t>
      </w:r>
    </w:p>
    <w:p w14:paraId="2FF92917" w14:textId="62D3F6C5" w:rsidR="00423A67" w:rsidRPr="00CB298C" w:rsidRDefault="00423A67" w:rsidP="005A3CC2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>
        <w:rPr>
          <w:sz w:val="16"/>
        </w:rPr>
        <w:t>Manufacturing (5.8%).</w:t>
      </w:r>
    </w:p>
    <w:p w14:paraId="69D48256" w14:textId="18B5E80A" w:rsidR="006F54DD" w:rsidRDefault="00423A67" w:rsidP="00E81121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 xml:space="preserve">The largest increase in </w:t>
      </w:r>
      <w:r w:rsidR="00E81121" w:rsidRPr="00E81121">
        <w:rPr>
          <w:sz w:val="16"/>
        </w:rPr>
        <w:t>Western Australia’s</w:t>
      </w:r>
      <w:r>
        <w:rPr>
          <w:sz w:val="16"/>
        </w:rPr>
        <w:t xml:space="preserve"> employment in 2019-20 was in professional, scientific and technical services (up 7,762 or 8%), </w:t>
      </w:r>
      <w:r w:rsidR="00E81121" w:rsidRPr="00E81121">
        <w:rPr>
          <w:sz w:val="16"/>
        </w:rPr>
        <w:t xml:space="preserve">followed by </w:t>
      </w:r>
      <w:r>
        <w:rPr>
          <w:sz w:val="16"/>
        </w:rPr>
        <w:t>mining</w:t>
      </w:r>
      <w:r w:rsidR="00E81121" w:rsidRPr="00E81121">
        <w:rPr>
          <w:sz w:val="16"/>
        </w:rPr>
        <w:t xml:space="preserve"> (</w:t>
      </w:r>
      <w:r>
        <w:rPr>
          <w:sz w:val="16"/>
        </w:rPr>
        <w:t>up 6,425 or 6</w:t>
      </w:r>
      <w:r w:rsidR="00E81121" w:rsidRPr="00E81121">
        <w:rPr>
          <w:sz w:val="16"/>
        </w:rPr>
        <w:t>%).</w:t>
      </w:r>
    </w:p>
    <w:p w14:paraId="23ED0684" w14:textId="604A203A" w:rsidR="00C31DEF" w:rsidRPr="00C31DEF" w:rsidRDefault="00C31DEF" w:rsidP="00C31DEF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 xml:space="preserve">The largest decrease in </w:t>
      </w:r>
      <w:r w:rsidRPr="00E81121">
        <w:rPr>
          <w:sz w:val="16"/>
        </w:rPr>
        <w:t>Western Australia’s</w:t>
      </w:r>
      <w:r>
        <w:rPr>
          <w:sz w:val="16"/>
        </w:rPr>
        <w:t xml:space="preserve"> employment in 2019-20 was in accommodation and food services (down 11,954 or 13%), </w:t>
      </w:r>
      <w:r w:rsidRPr="00E81121">
        <w:rPr>
          <w:sz w:val="16"/>
        </w:rPr>
        <w:t xml:space="preserve">followed by </w:t>
      </w:r>
      <w:r>
        <w:rPr>
          <w:sz w:val="16"/>
        </w:rPr>
        <w:t>manufacturing</w:t>
      </w:r>
      <w:r w:rsidRPr="00E81121">
        <w:rPr>
          <w:sz w:val="16"/>
        </w:rPr>
        <w:t xml:space="preserve"> (</w:t>
      </w:r>
      <w:r>
        <w:rPr>
          <w:sz w:val="16"/>
        </w:rPr>
        <w:t>down 9,836 or 11%</w:t>
      </w:r>
      <w:r w:rsidRPr="00E81121">
        <w:rPr>
          <w:sz w:val="16"/>
        </w:rPr>
        <w:t>).</w:t>
      </w:r>
    </w:p>
    <w:p w14:paraId="4225D174" w14:textId="7B93A878" w:rsidR="00E81121" w:rsidRDefault="00E81121" w:rsidP="00E81121">
      <w:pPr>
        <w:spacing w:after="0"/>
        <w:jc w:val="both"/>
        <w:rPr>
          <w:sz w:val="16"/>
        </w:rPr>
      </w:pPr>
      <w:r>
        <w:rPr>
          <w:sz w:val="16"/>
        </w:rPr>
        <w:br w:type="page"/>
      </w:r>
    </w:p>
    <w:p w14:paraId="65C50C67" w14:textId="77777777" w:rsidR="00D426CF" w:rsidRPr="00D426CF" w:rsidRDefault="00D426CF" w:rsidP="00D426CF">
      <w:pPr>
        <w:pStyle w:val="BodyText"/>
        <w:spacing w:after="0"/>
      </w:pPr>
    </w:p>
    <w:p w14:paraId="3135C68F" w14:textId="0E4992E7" w:rsidR="008078FF" w:rsidRDefault="005F1191" w:rsidP="00EC6333">
      <w:pPr>
        <w:pStyle w:val="BodyText"/>
        <w:spacing w:after="0"/>
        <w:rPr>
          <w:b/>
          <w:sz w:val="20"/>
        </w:rPr>
      </w:pPr>
      <w:r>
        <w:rPr>
          <w:b/>
          <w:sz w:val="20"/>
        </w:rPr>
        <w:t>Western Australia’s p</w:t>
      </w:r>
      <w:r w:rsidR="00EC0374">
        <w:rPr>
          <w:b/>
          <w:sz w:val="20"/>
        </w:rPr>
        <w:t>articipation rate</w:t>
      </w:r>
      <w:r w:rsidR="00811387" w:rsidRPr="00811387">
        <w:rPr>
          <w:b/>
          <w:sz w:val="20"/>
          <w:vertAlign w:val="superscript"/>
        </w:rPr>
        <w:t>1</w:t>
      </w:r>
      <w:r w:rsidR="00EC0374">
        <w:rPr>
          <w:b/>
          <w:sz w:val="20"/>
        </w:rPr>
        <w:t xml:space="preserve"> and job vacancies</w:t>
      </w:r>
      <w:r w:rsidR="00811387" w:rsidRPr="00811387">
        <w:rPr>
          <w:b/>
          <w:sz w:val="20"/>
          <w:vertAlign w:val="superscript"/>
        </w:rPr>
        <w:t>2</w:t>
      </w:r>
      <w:r w:rsidR="008078FF">
        <w:rPr>
          <w:b/>
          <w:sz w:val="20"/>
        </w:rPr>
        <w:t>:</w:t>
      </w:r>
    </w:p>
    <w:p w14:paraId="75763FD7" w14:textId="201C4C4C" w:rsidR="00D426CF" w:rsidRPr="00947B07" w:rsidRDefault="00EC0374" w:rsidP="00EC6333">
      <w:pPr>
        <w:pStyle w:val="BodyText"/>
        <w:spacing w:after="0"/>
        <w:rPr>
          <w:b/>
          <w:sz w:val="20"/>
        </w:rPr>
      </w:pPr>
      <w:r>
        <w:rPr>
          <w:b/>
          <w:sz w:val="20"/>
        </w:rPr>
        <w:t>Quarter</w:t>
      </w:r>
      <w:r w:rsidR="007F074F">
        <w:rPr>
          <w:b/>
          <w:sz w:val="20"/>
        </w:rPr>
        <w:t>s</w:t>
      </w:r>
      <w:r w:rsidR="008B38EE" w:rsidRPr="008B38EE">
        <w:rPr>
          <w:b/>
          <w:sz w:val="20"/>
          <w:vertAlign w:val="superscript"/>
        </w:rPr>
        <w:t>3</w:t>
      </w:r>
    </w:p>
    <w:p w14:paraId="6AB2FA21" w14:textId="39AD89D1" w:rsidR="006F54DD" w:rsidRDefault="00EC0374" w:rsidP="00E81121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3813B4A8" wp14:editId="393176F6">
            <wp:extent cx="3416300" cy="204914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0" cy="204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12B5E" w14:textId="1BFFFD0A" w:rsidR="004A647A" w:rsidRDefault="00811387" w:rsidP="004A647A">
      <w:pPr>
        <w:spacing w:after="0"/>
        <w:jc w:val="both"/>
        <w:rPr>
          <w:sz w:val="10"/>
        </w:rPr>
      </w:pPr>
      <w:r w:rsidRPr="00811387">
        <w:rPr>
          <w:sz w:val="10"/>
          <w:vertAlign w:val="superscript"/>
        </w:rPr>
        <w:t>1</w:t>
      </w:r>
      <w:r>
        <w:rPr>
          <w:sz w:val="10"/>
        </w:rPr>
        <w:t xml:space="preserve"> Seasonally adjusted</w:t>
      </w:r>
      <w:r w:rsidR="008B38EE">
        <w:rPr>
          <w:sz w:val="10"/>
        </w:rPr>
        <w:t xml:space="preserve"> series</w:t>
      </w:r>
      <w:r>
        <w:rPr>
          <w:sz w:val="10"/>
        </w:rPr>
        <w:t xml:space="preserve">. </w:t>
      </w:r>
      <w:r w:rsidRPr="00811387">
        <w:rPr>
          <w:sz w:val="10"/>
          <w:vertAlign w:val="superscript"/>
        </w:rPr>
        <w:t>2</w:t>
      </w:r>
      <w:r w:rsidR="008F7B84">
        <w:rPr>
          <w:sz w:val="10"/>
        </w:rPr>
        <w:t xml:space="preserve"> Original</w:t>
      </w:r>
      <w:r>
        <w:rPr>
          <w:sz w:val="10"/>
        </w:rPr>
        <w:t xml:space="preserve"> </w:t>
      </w:r>
      <w:r w:rsidR="008B38EE">
        <w:rPr>
          <w:sz w:val="10"/>
        </w:rPr>
        <w:t xml:space="preserve">series. </w:t>
      </w:r>
      <w:r w:rsidR="008B38EE" w:rsidRPr="008B38EE">
        <w:rPr>
          <w:sz w:val="10"/>
          <w:vertAlign w:val="superscript"/>
        </w:rPr>
        <w:t>3</w:t>
      </w:r>
      <w:r w:rsidR="008B38EE">
        <w:rPr>
          <w:sz w:val="10"/>
        </w:rPr>
        <w:t xml:space="preserve"> Middle month of each quarter: February, May, August and November</w:t>
      </w:r>
      <w:r w:rsidR="004A647A">
        <w:rPr>
          <w:sz w:val="10"/>
        </w:rPr>
        <w:t>.</w:t>
      </w:r>
    </w:p>
    <w:p w14:paraId="540DB768" w14:textId="4CAFBC8F" w:rsidR="009759CC" w:rsidRPr="00FE23FA" w:rsidRDefault="009759CC" w:rsidP="009759CC">
      <w:pPr>
        <w:spacing w:after="0"/>
        <w:jc w:val="both"/>
        <w:rPr>
          <w:sz w:val="16"/>
        </w:rPr>
      </w:pPr>
      <w:r>
        <w:rPr>
          <w:sz w:val="10"/>
        </w:rPr>
        <w:t xml:space="preserve">Source: </w:t>
      </w:r>
      <w:r w:rsidR="00811387" w:rsidRPr="00A441A2">
        <w:rPr>
          <w:sz w:val="10"/>
        </w:rPr>
        <w:t xml:space="preserve">ABS </w:t>
      </w:r>
      <w:r w:rsidR="00811387">
        <w:rPr>
          <w:sz w:val="10"/>
        </w:rPr>
        <w:t>6202.0 Labour Force, Australia (Monthly); and ABS 6354.0 Job Vacancies, Australia</w:t>
      </w:r>
      <w:r w:rsidR="006F4CE7">
        <w:rPr>
          <w:sz w:val="10"/>
        </w:rPr>
        <w:t xml:space="preserve"> (Quarterly)</w:t>
      </w:r>
      <w:r>
        <w:rPr>
          <w:sz w:val="10"/>
        </w:rPr>
        <w:t>.</w:t>
      </w:r>
    </w:p>
    <w:p w14:paraId="3F524E08" w14:textId="36870BEB" w:rsidR="00920EEA" w:rsidRDefault="00920EEA" w:rsidP="00E81121">
      <w:pPr>
        <w:spacing w:after="0"/>
        <w:jc w:val="both"/>
        <w:rPr>
          <w:sz w:val="16"/>
        </w:rPr>
      </w:pPr>
    </w:p>
    <w:p w14:paraId="18D3AB25" w14:textId="28B03965" w:rsidR="00920EEA" w:rsidRDefault="00920EEA" w:rsidP="00E81121">
      <w:pPr>
        <w:spacing w:after="0"/>
        <w:jc w:val="both"/>
        <w:rPr>
          <w:sz w:val="16"/>
        </w:rPr>
      </w:pPr>
    </w:p>
    <w:p w14:paraId="2BEE35BD" w14:textId="77777777" w:rsidR="00920EEA" w:rsidRDefault="00920EEA" w:rsidP="00920EEA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43AEB915" w14:textId="77777777" w:rsidR="00920EEA" w:rsidRDefault="00920EEA" w:rsidP="00920EEA">
      <w:pPr>
        <w:spacing w:after="0"/>
        <w:jc w:val="both"/>
        <w:rPr>
          <w:sz w:val="16"/>
        </w:rPr>
      </w:pPr>
    </w:p>
    <w:p w14:paraId="045F74F8" w14:textId="77777777" w:rsidR="00920EEA" w:rsidRDefault="00920EEA" w:rsidP="00920EEA">
      <w:pPr>
        <w:spacing w:after="0"/>
        <w:jc w:val="both"/>
        <w:rPr>
          <w:sz w:val="16"/>
        </w:rPr>
      </w:pPr>
    </w:p>
    <w:p w14:paraId="01170182" w14:textId="5E11EEA8" w:rsidR="00920EEA" w:rsidRPr="00920EEA" w:rsidRDefault="00C41B9A" w:rsidP="00920EEA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>Western Australia’s</w:t>
      </w:r>
      <w:r w:rsidR="008078FF">
        <w:rPr>
          <w:sz w:val="16"/>
        </w:rPr>
        <w:t xml:space="preserve"> participation rate</w:t>
      </w:r>
      <w:r w:rsidR="00485695">
        <w:rPr>
          <w:sz w:val="16"/>
        </w:rPr>
        <w:t xml:space="preserve"> rose from 65.6% in the June quarter 2020 to </w:t>
      </w:r>
      <w:r w:rsidR="008078FF">
        <w:rPr>
          <w:sz w:val="16"/>
        </w:rPr>
        <w:t>67.6% in the September quarter 2020</w:t>
      </w:r>
      <w:r w:rsidR="00485695">
        <w:rPr>
          <w:sz w:val="16"/>
        </w:rPr>
        <w:t xml:space="preserve">, although it remained below </w:t>
      </w:r>
      <w:r w:rsidR="00E95935">
        <w:rPr>
          <w:sz w:val="16"/>
        </w:rPr>
        <w:t>the</w:t>
      </w:r>
      <w:r w:rsidR="00485695">
        <w:rPr>
          <w:sz w:val="16"/>
        </w:rPr>
        <w:t xml:space="preserve"> rate of </w:t>
      </w:r>
      <w:r w:rsidR="008078FF">
        <w:rPr>
          <w:sz w:val="16"/>
        </w:rPr>
        <w:t>68.3%</w:t>
      </w:r>
      <w:r w:rsidR="00485695">
        <w:rPr>
          <w:sz w:val="16"/>
        </w:rPr>
        <w:t xml:space="preserve"> in the September quarter 2019</w:t>
      </w:r>
      <w:r w:rsidR="00920EEA" w:rsidRPr="00920EEA">
        <w:rPr>
          <w:sz w:val="16"/>
        </w:rPr>
        <w:t>.</w:t>
      </w:r>
    </w:p>
    <w:p w14:paraId="208848D6" w14:textId="2BF401D7" w:rsidR="006B227B" w:rsidRDefault="00F82DAC" w:rsidP="00920EEA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 xml:space="preserve">Western Australia’s </w:t>
      </w:r>
      <w:r w:rsidRPr="00F82DAC">
        <w:rPr>
          <w:sz w:val="16"/>
        </w:rPr>
        <w:t>participation rate</w:t>
      </w:r>
      <w:r w:rsidR="008F7FFA">
        <w:rPr>
          <w:sz w:val="16"/>
        </w:rPr>
        <w:t xml:space="preserve"> averaged </w:t>
      </w:r>
      <w:r w:rsidRPr="00F82DAC">
        <w:rPr>
          <w:sz w:val="16"/>
        </w:rPr>
        <w:t>67.5% in 2019-20</w:t>
      </w:r>
      <w:r>
        <w:rPr>
          <w:sz w:val="16"/>
        </w:rPr>
        <w:t>.</w:t>
      </w:r>
    </w:p>
    <w:p w14:paraId="6AA17C31" w14:textId="6D232094" w:rsidR="00920EEA" w:rsidRPr="00920EEA" w:rsidRDefault="00F82DAC" w:rsidP="00920EEA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82DAC">
        <w:rPr>
          <w:sz w:val="16"/>
        </w:rPr>
        <w:t xml:space="preserve">The WA Government State Budget 2020-21 forecasts </w:t>
      </w:r>
      <w:r>
        <w:rPr>
          <w:sz w:val="16"/>
        </w:rPr>
        <w:t xml:space="preserve">Western Australia’s </w:t>
      </w:r>
      <w:r w:rsidRPr="00F82DAC">
        <w:rPr>
          <w:sz w:val="16"/>
        </w:rPr>
        <w:t xml:space="preserve">participation rate </w:t>
      </w:r>
      <w:r>
        <w:rPr>
          <w:sz w:val="16"/>
        </w:rPr>
        <w:t xml:space="preserve">will </w:t>
      </w:r>
      <w:r w:rsidR="00C97B7A">
        <w:rPr>
          <w:sz w:val="16"/>
        </w:rPr>
        <w:t>average 6</w:t>
      </w:r>
      <w:r w:rsidRPr="00F82DAC">
        <w:rPr>
          <w:sz w:val="16"/>
        </w:rPr>
        <w:t>8.0%</w:t>
      </w:r>
      <w:r>
        <w:rPr>
          <w:sz w:val="16"/>
        </w:rPr>
        <w:t xml:space="preserve"> in 2020-21</w:t>
      </w:r>
      <w:r w:rsidR="00920EEA" w:rsidRPr="00920EEA">
        <w:rPr>
          <w:sz w:val="16"/>
        </w:rPr>
        <w:t>.</w:t>
      </w:r>
    </w:p>
    <w:p w14:paraId="0B96B08F" w14:textId="179D66FA" w:rsidR="00920EEA" w:rsidRPr="00F82DAC" w:rsidRDefault="00F82DAC" w:rsidP="00375A51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82DAC">
        <w:rPr>
          <w:sz w:val="16"/>
        </w:rPr>
        <w:t>Western Australia</w:t>
      </w:r>
      <w:r w:rsidR="00485695">
        <w:rPr>
          <w:sz w:val="16"/>
        </w:rPr>
        <w:t xml:space="preserve"> </w:t>
      </w:r>
      <w:r w:rsidRPr="00F82DAC">
        <w:rPr>
          <w:sz w:val="16"/>
        </w:rPr>
        <w:t xml:space="preserve">had 32,200 job vacancies in the September quarter 2020, 15,400 more than in the previous quarter and 5,800 more </w:t>
      </w:r>
      <w:r>
        <w:rPr>
          <w:sz w:val="16"/>
        </w:rPr>
        <w:t>than a year ago</w:t>
      </w:r>
      <w:r w:rsidR="00920EEA" w:rsidRPr="00F82DAC">
        <w:rPr>
          <w:sz w:val="16"/>
        </w:rPr>
        <w:t>.</w:t>
      </w:r>
    </w:p>
    <w:p w14:paraId="4AD3B9F3" w14:textId="77777777" w:rsidR="000F3A49" w:rsidRDefault="000F3A49" w:rsidP="000F3A49">
      <w:pPr>
        <w:spacing w:after="0"/>
        <w:jc w:val="both"/>
        <w:rPr>
          <w:sz w:val="16"/>
        </w:rPr>
        <w:sectPr w:rsidR="000F3A4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2BDB05E1" w14:textId="69A917F4" w:rsidR="000F3A49" w:rsidRPr="00947B07" w:rsidRDefault="00170BCC" w:rsidP="00EC6333">
      <w:pPr>
        <w:pStyle w:val="BodyText"/>
        <w:spacing w:after="0"/>
        <w:rPr>
          <w:b/>
          <w:sz w:val="20"/>
        </w:rPr>
      </w:pPr>
      <w:r>
        <w:rPr>
          <w:b/>
          <w:sz w:val="20"/>
        </w:rPr>
        <w:t>Underutilisation rate</w:t>
      </w:r>
      <w:r w:rsidR="00DD6F47">
        <w:rPr>
          <w:b/>
          <w:sz w:val="20"/>
        </w:rPr>
        <w:t xml:space="preserve"> (composition)</w:t>
      </w:r>
      <w:r>
        <w:rPr>
          <w:b/>
          <w:sz w:val="20"/>
        </w:rPr>
        <w:t>: Financial years</w:t>
      </w:r>
      <w:r w:rsidR="007302BF" w:rsidRPr="007302BF">
        <w:rPr>
          <w:b/>
          <w:sz w:val="20"/>
          <w:vertAlign w:val="superscript"/>
        </w:rPr>
        <w:t>1</w:t>
      </w:r>
    </w:p>
    <w:p w14:paraId="3A390A83" w14:textId="3DA43779" w:rsidR="006F54DD" w:rsidRDefault="00DA16BB" w:rsidP="000F3A4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7957E238" wp14:editId="531A93C8">
            <wp:extent cx="3411855" cy="2049145"/>
            <wp:effectExtent l="0" t="0" r="0" b="825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855" cy="204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C0CD5" w14:textId="77777777" w:rsidR="007302BF" w:rsidRDefault="007302BF" w:rsidP="007302BF">
      <w:pPr>
        <w:spacing w:after="0"/>
        <w:jc w:val="both"/>
        <w:rPr>
          <w:sz w:val="10"/>
        </w:rPr>
      </w:pPr>
      <w:r w:rsidRPr="00C34949">
        <w:rPr>
          <w:sz w:val="10"/>
          <w:vertAlign w:val="superscript"/>
        </w:rPr>
        <w:t>1</w:t>
      </w:r>
      <w:r>
        <w:rPr>
          <w:sz w:val="10"/>
        </w:rPr>
        <w:t xml:space="preserve"> Annual average.</w:t>
      </w:r>
    </w:p>
    <w:p w14:paraId="4ADCC18A" w14:textId="47EB66BD" w:rsidR="0081205B" w:rsidRDefault="0081205B" w:rsidP="0081205B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>
        <w:rPr>
          <w:sz w:val="10"/>
        </w:rPr>
        <w:t xml:space="preserve">Source: </w:t>
      </w:r>
      <w:r w:rsidR="00346875" w:rsidRPr="00A441A2">
        <w:rPr>
          <w:sz w:val="10"/>
        </w:rPr>
        <w:t xml:space="preserve">ABS </w:t>
      </w:r>
      <w:r w:rsidR="00346875">
        <w:rPr>
          <w:sz w:val="10"/>
        </w:rPr>
        <w:t>6202.0 Labour Force, Australia (Monthly)</w:t>
      </w:r>
      <w:r>
        <w:rPr>
          <w:sz w:val="10"/>
        </w:rPr>
        <w:t>.</w:t>
      </w:r>
    </w:p>
    <w:p w14:paraId="092820B3" w14:textId="6DEA4347" w:rsidR="0081205B" w:rsidRDefault="0081205B" w:rsidP="000F3A49">
      <w:pPr>
        <w:spacing w:after="0"/>
        <w:jc w:val="both"/>
        <w:rPr>
          <w:sz w:val="16"/>
        </w:rPr>
      </w:pPr>
    </w:p>
    <w:p w14:paraId="7A5D4687" w14:textId="1F7CBEF7" w:rsidR="0081205B" w:rsidRDefault="0081205B" w:rsidP="000F3A49">
      <w:pPr>
        <w:spacing w:after="0"/>
        <w:jc w:val="both"/>
        <w:rPr>
          <w:sz w:val="16"/>
        </w:rPr>
      </w:pPr>
    </w:p>
    <w:p w14:paraId="62140A98" w14:textId="77777777" w:rsidR="00F140DA" w:rsidRDefault="0081205B" w:rsidP="00F140DA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br w:type="column"/>
      </w:r>
      <w:r w:rsidR="00F140DA">
        <w:rPr>
          <w:sz w:val="16"/>
        </w:rPr>
        <w:t xml:space="preserve">Western Australia’s underutilisation rate, which is the sum of the unemployment and underemployment rates, averaged </w:t>
      </w:r>
      <w:r w:rsidR="00F140DA" w:rsidRPr="00F140DA">
        <w:rPr>
          <w:sz w:val="16"/>
        </w:rPr>
        <w:t>16.1</w:t>
      </w:r>
      <w:r w:rsidR="00F140DA">
        <w:rPr>
          <w:sz w:val="16"/>
        </w:rPr>
        <w:t>% in 2019-20, above its rate of 15.4% in 2018</w:t>
      </w:r>
      <w:r w:rsidR="00F140DA">
        <w:rPr>
          <w:sz w:val="16"/>
        </w:rPr>
        <w:noBreakHyphen/>
        <w:t>19.</w:t>
      </w:r>
    </w:p>
    <w:p w14:paraId="784D3CD6" w14:textId="3771EC2F" w:rsidR="00EC53CE" w:rsidRDefault="00C41B9A" w:rsidP="00EC53CE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>Western Australia’s</w:t>
      </w:r>
      <w:r w:rsidR="00EC53CE" w:rsidRPr="00EC53CE">
        <w:rPr>
          <w:sz w:val="16"/>
        </w:rPr>
        <w:t xml:space="preserve"> unemployment rate</w:t>
      </w:r>
      <w:r w:rsidR="00B97D0A">
        <w:rPr>
          <w:sz w:val="16"/>
        </w:rPr>
        <w:t xml:space="preserve"> averaged </w:t>
      </w:r>
      <w:r w:rsidR="00EC53CE" w:rsidRPr="00EC53CE">
        <w:rPr>
          <w:sz w:val="16"/>
        </w:rPr>
        <w:t xml:space="preserve">6.1% in 2019-20, in line with </w:t>
      </w:r>
      <w:r w:rsidR="006A367B">
        <w:rPr>
          <w:sz w:val="16"/>
        </w:rPr>
        <w:t xml:space="preserve">its rate of </w:t>
      </w:r>
      <w:r w:rsidR="00EC53CE" w:rsidRPr="00EC53CE">
        <w:rPr>
          <w:sz w:val="16"/>
        </w:rPr>
        <w:t>6.1% in 2018-19</w:t>
      </w:r>
      <w:r w:rsidR="0081205B" w:rsidRPr="00EC53CE">
        <w:rPr>
          <w:sz w:val="16"/>
        </w:rPr>
        <w:t>.</w:t>
      </w:r>
    </w:p>
    <w:p w14:paraId="003E4218" w14:textId="18CE9FC5" w:rsidR="0081205B" w:rsidRPr="00EC53CE" w:rsidRDefault="0081205B" w:rsidP="00EC53CE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EC53CE">
        <w:rPr>
          <w:sz w:val="16"/>
        </w:rPr>
        <w:t>Western Australia</w:t>
      </w:r>
      <w:r w:rsidR="00EC53CE">
        <w:rPr>
          <w:sz w:val="16"/>
        </w:rPr>
        <w:t xml:space="preserve">’s </w:t>
      </w:r>
      <w:r w:rsidR="00EC53CE" w:rsidRPr="00EC53CE">
        <w:rPr>
          <w:sz w:val="16"/>
        </w:rPr>
        <w:t xml:space="preserve">underemployment rate </w:t>
      </w:r>
      <w:r w:rsidR="00B97D0A">
        <w:rPr>
          <w:sz w:val="16"/>
        </w:rPr>
        <w:t>averaged 1</w:t>
      </w:r>
      <w:r w:rsidR="00EC53CE" w:rsidRPr="00EC53CE">
        <w:rPr>
          <w:sz w:val="16"/>
        </w:rPr>
        <w:t xml:space="preserve">0.0% in 2019-20, above </w:t>
      </w:r>
      <w:r w:rsidR="006A367B">
        <w:rPr>
          <w:sz w:val="16"/>
        </w:rPr>
        <w:t xml:space="preserve">its rate of </w:t>
      </w:r>
      <w:r w:rsidR="00EC53CE" w:rsidRPr="00EC53CE">
        <w:rPr>
          <w:sz w:val="16"/>
        </w:rPr>
        <w:t>9.2% in 2018-19</w:t>
      </w:r>
      <w:r w:rsidRPr="00EC53CE">
        <w:rPr>
          <w:sz w:val="16"/>
        </w:rPr>
        <w:t>.</w:t>
      </w:r>
    </w:p>
    <w:p w14:paraId="6F7A4C56" w14:textId="1591EBEE" w:rsidR="0081205B" w:rsidRPr="0081205B" w:rsidRDefault="00F938D7" w:rsidP="0081205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 xml:space="preserve">Australia’s </w:t>
      </w:r>
      <w:r w:rsidRPr="00F938D7">
        <w:rPr>
          <w:sz w:val="16"/>
        </w:rPr>
        <w:t xml:space="preserve">unemployment rate </w:t>
      </w:r>
      <w:r w:rsidR="00B97D0A">
        <w:rPr>
          <w:sz w:val="16"/>
        </w:rPr>
        <w:t xml:space="preserve">averaged </w:t>
      </w:r>
      <w:r w:rsidRPr="00F938D7">
        <w:rPr>
          <w:sz w:val="16"/>
        </w:rPr>
        <w:t>5.6% in 2019</w:t>
      </w:r>
      <w:r w:rsidR="00B97D0A">
        <w:rPr>
          <w:sz w:val="16"/>
        </w:rPr>
        <w:noBreakHyphen/>
      </w:r>
      <w:r w:rsidRPr="00F938D7">
        <w:rPr>
          <w:sz w:val="16"/>
        </w:rPr>
        <w:t>20</w:t>
      </w:r>
      <w:r w:rsidR="00DD6F47">
        <w:rPr>
          <w:sz w:val="16"/>
        </w:rPr>
        <w:t xml:space="preserve">, above its rate of </w:t>
      </w:r>
      <w:r w:rsidR="00F140DA" w:rsidRPr="00F140DA">
        <w:rPr>
          <w:sz w:val="16"/>
        </w:rPr>
        <w:t>5.1</w:t>
      </w:r>
      <w:r w:rsidR="00DD6F47">
        <w:rPr>
          <w:sz w:val="16"/>
        </w:rPr>
        <w:t>% in 2018</w:t>
      </w:r>
      <w:r w:rsidR="00DD6F47">
        <w:rPr>
          <w:sz w:val="16"/>
        </w:rPr>
        <w:noBreakHyphen/>
        <w:t>19.</w:t>
      </w:r>
    </w:p>
    <w:p w14:paraId="33C23342" w14:textId="5903DB27" w:rsidR="0081205B" w:rsidRPr="00F938D7" w:rsidRDefault="005E1D94" w:rsidP="00F938D7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>Western Australia’s unemployment rate average</w:t>
      </w:r>
      <w:r w:rsidR="00474E18">
        <w:rPr>
          <w:sz w:val="16"/>
        </w:rPr>
        <w:t>d 6.5</w:t>
      </w:r>
      <w:r>
        <w:rPr>
          <w:sz w:val="16"/>
        </w:rPr>
        <w:t xml:space="preserve">% and </w:t>
      </w:r>
      <w:r w:rsidRPr="00F938D7">
        <w:rPr>
          <w:sz w:val="16"/>
        </w:rPr>
        <w:t>underemployment rate</w:t>
      </w:r>
      <w:r w:rsidR="00474E18">
        <w:rPr>
          <w:sz w:val="16"/>
        </w:rPr>
        <w:t xml:space="preserve"> averaged 10.0</w:t>
      </w:r>
      <w:r>
        <w:rPr>
          <w:sz w:val="16"/>
        </w:rPr>
        <w:t xml:space="preserve">% over the </w:t>
      </w:r>
      <w:r w:rsidR="00DA4B91">
        <w:rPr>
          <w:sz w:val="16"/>
        </w:rPr>
        <w:t xml:space="preserve">12 </w:t>
      </w:r>
      <w:r w:rsidR="00474E18">
        <w:rPr>
          <w:sz w:val="16"/>
        </w:rPr>
        <w:t>months to Octo</w:t>
      </w:r>
      <w:r w:rsidR="00F938D7" w:rsidRPr="00F938D7">
        <w:rPr>
          <w:sz w:val="16"/>
        </w:rPr>
        <w:t>ber 2020</w:t>
      </w:r>
      <w:r w:rsidR="0081205B" w:rsidRPr="00F938D7">
        <w:rPr>
          <w:sz w:val="16"/>
        </w:rPr>
        <w:t>.</w:t>
      </w:r>
    </w:p>
    <w:p w14:paraId="3A128EDF" w14:textId="77777777" w:rsidR="004F3812" w:rsidRDefault="004F3812" w:rsidP="00FB698D">
      <w:pPr>
        <w:jc w:val="both"/>
        <w:rPr>
          <w:sz w:val="16"/>
        </w:rPr>
        <w:sectPr w:rsidR="004F3812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49E8AC37" w14:textId="5BFAD402" w:rsidR="004F3812" w:rsidRPr="00947B07" w:rsidRDefault="006D07C1" w:rsidP="00EC6333">
      <w:pPr>
        <w:spacing w:after="0"/>
        <w:rPr>
          <w:sz w:val="22"/>
        </w:rPr>
      </w:pPr>
      <w:r>
        <w:rPr>
          <w:b/>
          <w:sz w:val="20"/>
        </w:rPr>
        <w:t>Wages growth</w:t>
      </w:r>
      <w:r>
        <w:rPr>
          <w:b/>
          <w:sz w:val="20"/>
          <w:vertAlign w:val="superscript"/>
        </w:rPr>
        <w:t>1</w:t>
      </w:r>
      <w:r>
        <w:rPr>
          <w:b/>
          <w:sz w:val="20"/>
        </w:rPr>
        <w:t xml:space="preserve"> and a</w:t>
      </w:r>
      <w:r w:rsidR="00375A51">
        <w:rPr>
          <w:b/>
          <w:sz w:val="20"/>
        </w:rPr>
        <w:t>verage earnings</w:t>
      </w:r>
      <w:r w:rsidR="00F4474D">
        <w:rPr>
          <w:b/>
          <w:sz w:val="20"/>
          <w:vertAlign w:val="superscript"/>
        </w:rPr>
        <w:t>2</w:t>
      </w:r>
      <w:r w:rsidR="00375A51">
        <w:rPr>
          <w:b/>
          <w:sz w:val="20"/>
        </w:rPr>
        <w:t>:</w:t>
      </w:r>
      <w:r w:rsidR="00F05CE8">
        <w:rPr>
          <w:b/>
          <w:sz w:val="20"/>
        </w:rPr>
        <w:t xml:space="preserve"> </w:t>
      </w:r>
      <w:r w:rsidR="00375A51">
        <w:rPr>
          <w:b/>
          <w:sz w:val="20"/>
        </w:rPr>
        <w:t>Financial years</w:t>
      </w:r>
      <w:r w:rsidR="00F05CE8" w:rsidRPr="00F05CE8">
        <w:rPr>
          <w:b/>
          <w:sz w:val="20"/>
          <w:vertAlign w:val="superscript"/>
        </w:rPr>
        <w:t>3</w:t>
      </w:r>
    </w:p>
    <w:p w14:paraId="132881AF" w14:textId="5624B7F8" w:rsidR="006F54DD" w:rsidRDefault="007A7BD3" w:rsidP="004F3812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0D2463AC" wp14:editId="43595BD4">
            <wp:extent cx="3416300" cy="2188845"/>
            <wp:effectExtent l="0" t="0" r="0" b="190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0" cy="218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1E262" w14:textId="3A60132D" w:rsidR="00375A51" w:rsidRDefault="006B3907" w:rsidP="00263AEC">
      <w:pPr>
        <w:spacing w:after="0"/>
        <w:jc w:val="both"/>
        <w:rPr>
          <w:sz w:val="10"/>
        </w:rPr>
      </w:pPr>
      <w:r>
        <w:rPr>
          <w:sz w:val="10"/>
        </w:rPr>
        <w:t xml:space="preserve">Note - </w:t>
      </w:r>
      <w:r w:rsidR="00375A51" w:rsidRPr="00375A51">
        <w:rPr>
          <w:sz w:val="10"/>
        </w:rPr>
        <w:t xml:space="preserve">Changes in </w:t>
      </w:r>
      <w:r w:rsidR="003D1855" w:rsidRPr="00375A51">
        <w:rPr>
          <w:sz w:val="10"/>
        </w:rPr>
        <w:t xml:space="preserve">the wage price index </w:t>
      </w:r>
      <w:r w:rsidR="003D1855">
        <w:rPr>
          <w:sz w:val="10"/>
        </w:rPr>
        <w:t xml:space="preserve">and </w:t>
      </w:r>
      <w:r w:rsidR="00375A51" w:rsidRPr="00375A51">
        <w:rPr>
          <w:sz w:val="10"/>
        </w:rPr>
        <w:t>average weekly earnings differ</w:t>
      </w:r>
      <w:r w:rsidR="007C47E3">
        <w:rPr>
          <w:sz w:val="10"/>
        </w:rPr>
        <w:t xml:space="preserve"> </w:t>
      </w:r>
      <w:r w:rsidR="00375A51" w:rsidRPr="00375A51">
        <w:rPr>
          <w:sz w:val="10"/>
        </w:rPr>
        <w:t xml:space="preserve">because labour quality (job specifications and employee performance and experience) and </w:t>
      </w:r>
      <w:r w:rsidR="00375A51">
        <w:rPr>
          <w:sz w:val="10"/>
        </w:rPr>
        <w:t xml:space="preserve">labour </w:t>
      </w:r>
      <w:r w:rsidR="00375A51" w:rsidRPr="00375A51">
        <w:rPr>
          <w:sz w:val="10"/>
        </w:rPr>
        <w:t>quantity (hours worked and employee number</w:t>
      </w:r>
      <w:r w:rsidR="00375A51">
        <w:rPr>
          <w:sz w:val="10"/>
        </w:rPr>
        <w:t>s)</w:t>
      </w:r>
      <w:r w:rsidR="007C47E3">
        <w:rPr>
          <w:sz w:val="10"/>
        </w:rPr>
        <w:t xml:space="preserve"> is held constant by the wage price index</w:t>
      </w:r>
      <w:r w:rsidR="00375A51">
        <w:rPr>
          <w:sz w:val="10"/>
        </w:rPr>
        <w:t>.</w:t>
      </w:r>
      <w:r w:rsidRPr="006B3907">
        <w:rPr>
          <w:sz w:val="10"/>
          <w:vertAlign w:val="superscript"/>
        </w:rPr>
        <w:t xml:space="preserve"> </w:t>
      </w:r>
      <w:r>
        <w:rPr>
          <w:sz w:val="10"/>
          <w:vertAlign w:val="superscript"/>
        </w:rPr>
        <w:t xml:space="preserve">1 </w:t>
      </w:r>
      <w:r w:rsidR="006D07C1">
        <w:rPr>
          <w:sz w:val="10"/>
        </w:rPr>
        <w:t>Wage price index 2008-09 = 100.0</w:t>
      </w:r>
      <w:r>
        <w:rPr>
          <w:sz w:val="10"/>
        </w:rPr>
        <w:t xml:space="preserve">. </w:t>
      </w:r>
      <w:r>
        <w:rPr>
          <w:sz w:val="10"/>
          <w:vertAlign w:val="superscript"/>
        </w:rPr>
        <w:t>2</w:t>
      </w:r>
      <w:r w:rsidRPr="00375A51">
        <w:rPr>
          <w:sz w:val="10"/>
        </w:rPr>
        <w:t xml:space="preserve"> </w:t>
      </w:r>
      <w:r w:rsidR="006D07C1">
        <w:rPr>
          <w:sz w:val="10"/>
        </w:rPr>
        <w:t>Adult full-time total earnings</w:t>
      </w:r>
      <w:r w:rsidR="00F05CE8">
        <w:rPr>
          <w:sz w:val="10"/>
        </w:rPr>
        <w:t xml:space="preserve">. </w:t>
      </w:r>
      <w:r w:rsidR="00F05CE8" w:rsidRPr="00F05CE8">
        <w:rPr>
          <w:sz w:val="10"/>
          <w:vertAlign w:val="superscript"/>
        </w:rPr>
        <w:t>3</w:t>
      </w:r>
      <w:r w:rsidR="00F05CE8">
        <w:rPr>
          <w:sz w:val="10"/>
        </w:rPr>
        <w:t xml:space="preserve"> Annual average</w:t>
      </w:r>
      <w:r>
        <w:rPr>
          <w:sz w:val="10"/>
        </w:rPr>
        <w:t>.</w:t>
      </w:r>
    </w:p>
    <w:p w14:paraId="4D113E54" w14:textId="6A2E55E8" w:rsidR="00263AEC" w:rsidRPr="00716C34" w:rsidRDefault="00263AEC" w:rsidP="00263AEC">
      <w:pPr>
        <w:spacing w:after="0"/>
        <w:jc w:val="both"/>
        <w:rPr>
          <w:sz w:val="10"/>
        </w:rPr>
      </w:pPr>
      <w:r w:rsidRPr="00716C34">
        <w:rPr>
          <w:sz w:val="10"/>
        </w:rPr>
        <w:t>Source:</w:t>
      </w:r>
      <w:r w:rsidR="00686BE5">
        <w:rPr>
          <w:sz w:val="10"/>
        </w:rPr>
        <w:t xml:space="preserve"> </w:t>
      </w:r>
      <w:r w:rsidR="00686BE5" w:rsidRPr="00686BE5">
        <w:rPr>
          <w:sz w:val="10"/>
        </w:rPr>
        <w:t>ABS 6302.0 Average Weekly Earnings</w:t>
      </w:r>
      <w:r w:rsidR="00686BE5">
        <w:rPr>
          <w:sz w:val="10"/>
        </w:rPr>
        <w:t>, Australia</w:t>
      </w:r>
      <w:r w:rsidR="00DA528D">
        <w:rPr>
          <w:sz w:val="10"/>
        </w:rPr>
        <w:t xml:space="preserve"> (Quarterly)</w:t>
      </w:r>
      <w:r w:rsidR="00686BE5" w:rsidRPr="00686BE5">
        <w:rPr>
          <w:sz w:val="10"/>
        </w:rPr>
        <w:t xml:space="preserve">; and </w:t>
      </w:r>
      <w:r w:rsidR="00686BE5">
        <w:rPr>
          <w:sz w:val="10"/>
        </w:rPr>
        <w:t xml:space="preserve">ABS </w:t>
      </w:r>
      <w:r w:rsidR="00686BE5" w:rsidRPr="00686BE5">
        <w:rPr>
          <w:sz w:val="10"/>
        </w:rPr>
        <w:t>6345.0 Wage Price Index</w:t>
      </w:r>
      <w:r w:rsidR="00686BE5">
        <w:rPr>
          <w:sz w:val="10"/>
        </w:rPr>
        <w:t>, Australia</w:t>
      </w:r>
      <w:r w:rsidR="00DA528D">
        <w:rPr>
          <w:sz w:val="10"/>
        </w:rPr>
        <w:t xml:space="preserve"> (</w:t>
      </w:r>
      <w:r w:rsidR="005C32A6">
        <w:rPr>
          <w:sz w:val="10"/>
        </w:rPr>
        <w:t>Quarterly</w:t>
      </w:r>
      <w:r w:rsidR="00DA528D">
        <w:rPr>
          <w:sz w:val="10"/>
        </w:rPr>
        <w:t>)</w:t>
      </w:r>
      <w:r w:rsidRPr="00716C34">
        <w:rPr>
          <w:sz w:val="10"/>
        </w:rPr>
        <w:t>.</w:t>
      </w:r>
    </w:p>
    <w:p w14:paraId="37114D14" w14:textId="68F8E905" w:rsidR="00263AEC" w:rsidRDefault="00263AEC" w:rsidP="004F3812">
      <w:pPr>
        <w:spacing w:after="0"/>
        <w:jc w:val="both"/>
        <w:rPr>
          <w:sz w:val="16"/>
        </w:rPr>
      </w:pPr>
    </w:p>
    <w:p w14:paraId="45B1E815" w14:textId="6D457E57" w:rsidR="006B227B" w:rsidRDefault="00263AEC" w:rsidP="00263AE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263AEC">
        <w:rPr>
          <w:sz w:val="16"/>
        </w:rPr>
        <w:br w:type="column"/>
      </w:r>
      <w:r w:rsidR="006B227B">
        <w:rPr>
          <w:sz w:val="16"/>
        </w:rPr>
        <w:t xml:space="preserve">Western Australia’s </w:t>
      </w:r>
      <w:r w:rsidR="006B227B" w:rsidRPr="006B227B">
        <w:rPr>
          <w:sz w:val="16"/>
        </w:rPr>
        <w:t xml:space="preserve">wage price index rose 1.6% in 2019-20, below </w:t>
      </w:r>
      <w:r w:rsidR="006A367B">
        <w:rPr>
          <w:sz w:val="16"/>
        </w:rPr>
        <w:t xml:space="preserve">its </w:t>
      </w:r>
      <w:r w:rsidR="006B227B">
        <w:rPr>
          <w:sz w:val="16"/>
        </w:rPr>
        <w:t xml:space="preserve">compound </w:t>
      </w:r>
      <w:r w:rsidR="006B227B" w:rsidRPr="006B227B">
        <w:rPr>
          <w:sz w:val="16"/>
        </w:rPr>
        <w:t>annual growth of 2.4% over the past 10</w:t>
      </w:r>
      <w:r w:rsidR="00612B25">
        <w:rPr>
          <w:sz w:val="16"/>
        </w:rPr>
        <w:t> </w:t>
      </w:r>
      <w:r w:rsidR="006B227B" w:rsidRPr="006B227B">
        <w:rPr>
          <w:sz w:val="16"/>
        </w:rPr>
        <w:t>years, and below Australia’s wages growt</w:t>
      </w:r>
      <w:r w:rsidR="00023CD8">
        <w:rPr>
          <w:sz w:val="16"/>
        </w:rPr>
        <w:t>h of 1.7% in 2019</w:t>
      </w:r>
      <w:r w:rsidR="00023CD8">
        <w:rPr>
          <w:sz w:val="16"/>
        </w:rPr>
        <w:noBreakHyphen/>
      </w:r>
      <w:r w:rsidR="006B227B" w:rsidRPr="006B227B">
        <w:rPr>
          <w:sz w:val="16"/>
        </w:rPr>
        <w:t>20</w:t>
      </w:r>
      <w:r w:rsidR="006B227B">
        <w:rPr>
          <w:sz w:val="16"/>
        </w:rPr>
        <w:t>.</w:t>
      </w:r>
    </w:p>
    <w:p w14:paraId="01C63524" w14:textId="55466615" w:rsidR="006B227B" w:rsidRDefault="006B227B" w:rsidP="00263AE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6B227B">
        <w:rPr>
          <w:sz w:val="16"/>
        </w:rPr>
        <w:t>The WA Government State Budget 2020-21 forecasts Western Australia’s</w:t>
      </w:r>
      <w:r>
        <w:rPr>
          <w:sz w:val="16"/>
        </w:rPr>
        <w:t xml:space="preserve"> </w:t>
      </w:r>
      <w:r w:rsidR="00DD6F47">
        <w:rPr>
          <w:sz w:val="16"/>
        </w:rPr>
        <w:t xml:space="preserve">annual average </w:t>
      </w:r>
      <w:r>
        <w:rPr>
          <w:sz w:val="16"/>
          <w:lang w:val="en-US"/>
        </w:rPr>
        <w:t xml:space="preserve">wages </w:t>
      </w:r>
      <w:r w:rsidR="005E1D94">
        <w:rPr>
          <w:sz w:val="16"/>
          <w:lang w:val="en-US"/>
        </w:rPr>
        <w:t xml:space="preserve">will </w:t>
      </w:r>
      <w:r w:rsidR="00B97D0A">
        <w:rPr>
          <w:sz w:val="16"/>
          <w:lang w:val="en-US"/>
        </w:rPr>
        <w:t xml:space="preserve">grow by </w:t>
      </w:r>
      <w:r w:rsidRPr="006B227B">
        <w:rPr>
          <w:sz w:val="16"/>
          <w:lang w:val="en-US"/>
        </w:rPr>
        <w:t>1.5% in 2020</w:t>
      </w:r>
      <w:r w:rsidRPr="006B227B">
        <w:rPr>
          <w:sz w:val="16"/>
          <w:lang w:val="en-US"/>
        </w:rPr>
        <w:noBreakHyphen/>
        <w:t>21</w:t>
      </w:r>
      <w:r>
        <w:rPr>
          <w:sz w:val="16"/>
          <w:lang w:val="en-US"/>
        </w:rPr>
        <w:t>.</w:t>
      </w:r>
    </w:p>
    <w:p w14:paraId="47571E16" w14:textId="3450C4B2" w:rsidR="00263AEC" w:rsidRPr="00263AEC" w:rsidRDefault="00263AEC" w:rsidP="00263AE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263AEC">
        <w:rPr>
          <w:sz w:val="16"/>
        </w:rPr>
        <w:t>Western Australia</w:t>
      </w:r>
      <w:r w:rsidR="006B227B">
        <w:rPr>
          <w:sz w:val="16"/>
        </w:rPr>
        <w:t xml:space="preserve">’s </w:t>
      </w:r>
      <w:r w:rsidR="004F6053">
        <w:rPr>
          <w:sz w:val="16"/>
        </w:rPr>
        <w:t xml:space="preserve">annual </w:t>
      </w:r>
      <w:r w:rsidR="006B227B" w:rsidRPr="006B227B">
        <w:rPr>
          <w:sz w:val="16"/>
        </w:rPr>
        <w:t xml:space="preserve">adult full-time total earnings rose 3% to </w:t>
      </w:r>
      <w:r w:rsidR="004F6053">
        <w:rPr>
          <w:sz w:val="16"/>
        </w:rPr>
        <w:t xml:space="preserve">an average of </w:t>
      </w:r>
      <w:r w:rsidR="006B227B" w:rsidRPr="006B227B">
        <w:rPr>
          <w:sz w:val="16"/>
        </w:rPr>
        <w:t>$99,351 in 2019-20</w:t>
      </w:r>
      <w:r w:rsidRPr="00263AEC">
        <w:rPr>
          <w:sz w:val="16"/>
        </w:rPr>
        <w:t>.</w:t>
      </w:r>
    </w:p>
    <w:p w14:paraId="5E0AEAEF" w14:textId="0D8A68D1" w:rsidR="00263AEC" w:rsidRPr="00263AEC" w:rsidRDefault="00263AEC" w:rsidP="006B227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263AEC">
        <w:rPr>
          <w:sz w:val="16"/>
        </w:rPr>
        <w:t>Western Australia’s</w:t>
      </w:r>
      <w:r w:rsidR="006B227B">
        <w:rPr>
          <w:sz w:val="16"/>
        </w:rPr>
        <w:t xml:space="preserve"> </w:t>
      </w:r>
      <w:r w:rsidR="004F6053">
        <w:rPr>
          <w:sz w:val="16"/>
        </w:rPr>
        <w:t xml:space="preserve">average annual </w:t>
      </w:r>
      <w:r w:rsidR="006B227B" w:rsidRPr="006B227B">
        <w:rPr>
          <w:sz w:val="16"/>
        </w:rPr>
        <w:t>adult full-time total earnings were 8% ($7,368) above the Australian average of $91,983 in 2019-20</w:t>
      </w:r>
      <w:r w:rsidRPr="00263AEC">
        <w:rPr>
          <w:sz w:val="16"/>
        </w:rPr>
        <w:t>.</w:t>
      </w:r>
    </w:p>
    <w:p w14:paraId="73C97F98" w14:textId="1F3BC048" w:rsidR="000B4DCE" w:rsidRDefault="000B4DCE" w:rsidP="00FB698D">
      <w:pPr>
        <w:jc w:val="both"/>
        <w:rPr>
          <w:sz w:val="16"/>
        </w:rPr>
      </w:pPr>
      <w:r>
        <w:rPr>
          <w:sz w:val="16"/>
        </w:rPr>
        <w:br w:type="page"/>
      </w:r>
    </w:p>
    <w:p w14:paraId="61E358CE" w14:textId="77777777" w:rsidR="00AC35CC" w:rsidRPr="00237284" w:rsidRDefault="00AC35CC" w:rsidP="00AC35CC">
      <w:pPr>
        <w:pStyle w:val="BodyText"/>
        <w:spacing w:after="0"/>
      </w:pPr>
      <w:bookmarkStart w:id="2" w:name="_UNITED_KINGDOM"/>
      <w:bookmarkEnd w:id="2"/>
    </w:p>
    <w:p w14:paraId="68B6E0B5" w14:textId="730C92FC" w:rsidR="00BB2424" w:rsidRDefault="005F1191" w:rsidP="00EC6333">
      <w:pPr>
        <w:pStyle w:val="BodyText"/>
        <w:spacing w:after="0"/>
        <w:rPr>
          <w:b/>
          <w:sz w:val="20"/>
        </w:rPr>
      </w:pPr>
      <w:r>
        <w:rPr>
          <w:b/>
          <w:sz w:val="20"/>
        </w:rPr>
        <w:t>Western Australia’s h</w:t>
      </w:r>
      <w:r w:rsidR="00BB2424">
        <w:rPr>
          <w:b/>
          <w:sz w:val="20"/>
        </w:rPr>
        <w:t>ousehold consumption</w:t>
      </w:r>
    </w:p>
    <w:p w14:paraId="69D2B7CA" w14:textId="3BB14F4F" w:rsidR="00AC35CC" w:rsidRPr="00373E55" w:rsidRDefault="00BB2424" w:rsidP="00EC6333">
      <w:pPr>
        <w:pStyle w:val="BodyText"/>
        <w:spacing w:after="0"/>
        <w:rPr>
          <w:b/>
          <w:sz w:val="20"/>
        </w:rPr>
      </w:pPr>
      <w:r>
        <w:rPr>
          <w:b/>
          <w:sz w:val="20"/>
        </w:rPr>
        <w:t>(</w:t>
      </w:r>
      <w:r w:rsidR="00DD749F">
        <w:rPr>
          <w:b/>
          <w:sz w:val="20"/>
        </w:rPr>
        <w:t>real</w:t>
      </w:r>
      <w:r w:rsidR="000F557C" w:rsidRPr="000F557C">
        <w:rPr>
          <w:b/>
          <w:sz w:val="20"/>
          <w:vertAlign w:val="superscript"/>
        </w:rPr>
        <w:t>1</w:t>
      </w:r>
      <w:r w:rsidR="00DD749F">
        <w:rPr>
          <w:b/>
          <w:sz w:val="20"/>
        </w:rPr>
        <w:t xml:space="preserve"> </w:t>
      </w:r>
      <w:r w:rsidR="007015BA">
        <w:rPr>
          <w:b/>
          <w:sz w:val="20"/>
        </w:rPr>
        <w:t>% change): Financial years</w:t>
      </w:r>
    </w:p>
    <w:p w14:paraId="53E1C23C" w14:textId="70CB1C81" w:rsidR="00AC35CC" w:rsidRDefault="006533AC" w:rsidP="00AC35CC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39328FBB" wp14:editId="4E140330">
            <wp:extent cx="3424555" cy="2052955"/>
            <wp:effectExtent l="0" t="0" r="4445" b="4445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4555" cy="205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C5CA7" w14:textId="77777777" w:rsidR="000F557C" w:rsidRDefault="000F557C" w:rsidP="00AC35CC">
      <w:pPr>
        <w:spacing w:after="0"/>
        <w:jc w:val="both"/>
        <w:rPr>
          <w:sz w:val="10"/>
        </w:rPr>
      </w:pPr>
      <w:r w:rsidRPr="00BF1BE3">
        <w:rPr>
          <w:sz w:val="10"/>
          <w:vertAlign w:val="superscript"/>
        </w:rPr>
        <w:t>1</w:t>
      </w:r>
      <w:r>
        <w:rPr>
          <w:sz w:val="10"/>
        </w:rPr>
        <w:t xml:space="preserve"> Adjusted for changes in prices. </w:t>
      </w:r>
    </w:p>
    <w:p w14:paraId="16E54952" w14:textId="028E1D08" w:rsidR="00AC35CC" w:rsidRDefault="00BF3151" w:rsidP="00AC35CC">
      <w:pPr>
        <w:spacing w:after="0"/>
        <w:jc w:val="both"/>
        <w:rPr>
          <w:sz w:val="10"/>
        </w:rPr>
      </w:pPr>
      <w:r>
        <w:rPr>
          <w:sz w:val="10"/>
        </w:rPr>
        <w:t xml:space="preserve">Source: </w:t>
      </w:r>
      <w:r w:rsidRPr="00BF3151">
        <w:rPr>
          <w:sz w:val="10"/>
        </w:rPr>
        <w:t>ABS 5204.0. Australian National Accounts: National Income, Expenditure an</w:t>
      </w:r>
      <w:r>
        <w:rPr>
          <w:sz w:val="10"/>
        </w:rPr>
        <w:t xml:space="preserve">d Product (Quarterly); and </w:t>
      </w:r>
      <w:r w:rsidRPr="00BF3151">
        <w:rPr>
          <w:sz w:val="10"/>
        </w:rPr>
        <w:t>ABS 5220.0 Australian National Ac</w:t>
      </w:r>
      <w:r>
        <w:rPr>
          <w:sz w:val="10"/>
        </w:rPr>
        <w:t>counts: State Accounts (Annual)</w:t>
      </w:r>
      <w:r w:rsidR="00AC35CC">
        <w:rPr>
          <w:sz w:val="10"/>
        </w:rPr>
        <w:t>.</w:t>
      </w:r>
    </w:p>
    <w:p w14:paraId="753A9A3D" w14:textId="77777777" w:rsidR="00AC35CC" w:rsidRDefault="00AC35CC" w:rsidP="00AC35CC">
      <w:pPr>
        <w:spacing w:after="0"/>
        <w:jc w:val="both"/>
        <w:rPr>
          <w:sz w:val="16"/>
        </w:rPr>
      </w:pPr>
    </w:p>
    <w:p w14:paraId="038CE78F" w14:textId="77777777" w:rsidR="00AC35CC" w:rsidRPr="00CB298C" w:rsidRDefault="00AC35CC" w:rsidP="00AC35CC">
      <w:pPr>
        <w:spacing w:after="0"/>
        <w:jc w:val="both"/>
        <w:rPr>
          <w:sz w:val="16"/>
        </w:rPr>
      </w:pPr>
    </w:p>
    <w:p w14:paraId="4F9C0E39" w14:textId="77777777" w:rsidR="00AC35CC" w:rsidRDefault="00AC35CC" w:rsidP="00AC35CC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30DA802B" w14:textId="77777777" w:rsidR="00AC35CC" w:rsidRDefault="00AC35CC" w:rsidP="00AC35CC">
      <w:pPr>
        <w:spacing w:after="0"/>
        <w:jc w:val="both"/>
        <w:rPr>
          <w:sz w:val="16"/>
        </w:rPr>
      </w:pPr>
    </w:p>
    <w:p w14:paraId="4973B4D5" w14:textId="77777777" w:rsidR="00AC35CC" w:rsidRDefault="00AC35CC" w:rsidP="00AC35CC">
      <w:pPr>
        <w:spacing w:after="0"/>
        <w:jc w:val="both"/>
        <w:rPr>
          <w:sz w:val="16"/>
        </w:rPr>
      </w:pPr>
    </w:p>
    <w:p w14:paraId="76ED2698" w14:textId="3B662CAF" w:rsidR="00AC35CC" w:rsidRPr="00CB298C" w:rsidRDefault="00AC35CC" w:rsidP="00AC35C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B69DD">
        <w:rPr>
          <w:sz w:val="16"/>
        </w:rPr>
        <w:t>Western Australia</w:t>
      </w:r>
      <w:r w:rsidR="003F7E00">
        <w:rPr>
          <w:sz w:val="16"/>
        </w:rPr>
        <w:t xml:space="preserve"> </w:t>
      </w:r>
      <w:r w:rsidR="003F7E00" w:rsidRPr="003F7E00">
        <w:rPr>
          <w:sz w:val="16"/>
        </w:rPr>
        <w:t>accounted for 10% of Australia’s household consumption in 2019-20</w:t>
      </w:r>
      <w:r w:rsidRPr="008B69DD">
        <w:rPr>
          <w:sz w:val="16"/>
        </w:rPr>
        <w:t>.</w:t>
      </w:r>
    </w:p>
    <w:p w14:paraId="1BB52088" w14:textId="6D256304" w:rsidR="003F7E00" w:rsidRPr="003F7E00" w:rsidRDefault="003F7E00" w:rsidP="003F7E00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F7E00">
        <w:rPr>
          <w:sz w:val="16"/>
        </w:rPr>
        <w:t>Househ</w:t>
      </w:r>
      <w:r w:rsidR="00943247">
        <w:rPr>
          <w:sz w:val="16"/>
        </w:rPr>
        <w:t>old consumption accounted for 34</w:t>
      </w:r>
      <w:r w:rsidRPr="003F7E00">
        <w:rPr>
          <w:sz w:val="16"/>
        </w:rPr>
        <w:t xml:space="preserve">% of </w:t>
      </w:r>
      <w:r>
        <w:rPr>
          <w:sz w:val="16"/>
        </w:rPr>
        <w:t xml:space="preserve">Western Australia’s </w:t>
      </w:r>
      <w:r w:rsidRPr="003F7E00">
        <w:rPr>
          <w:sz w:val="16"/>
        </w:rPr>
        <w:t xml:space="preserve">GSP and </w:t>
      </w:r>
      <w:r w:rsidR="00943247">
        <w:rPr>
          <w:sz w:val="16"/>
        </w:rPr>
        <w:t>detracted 0.9</w:t>
      </w:r>
      <w:r w:rsidR="001441FA">
        <w:rPr>
          <w:sz w:val="16"/>
        </w:rPr>
        <w:t xml:space="preserve"> </w:t>
      </w:r>
      <w:r w:rsidRPr="003F7E00">
        <w:rPr>
          <w:sz w:val="16"/>
        </w:rPr>
        <w:t xml:space="preserve">percentage points </w:t>
      </w:r>
      <w:r w:rsidR="00921EEB">
        <w:rPr>
          <w:sz w:val="16"/>
        </w:rPr>
        <w:t xml:space="preserve">from </w:t>
      </w:r>
      <w:r>
        <w:rPr>
          <w:sz w:val="16"/>
        </w:rPr>
        <w:t xml:space="preserve">the State’s </w:t>
      </w:r>
      <w:r w:rsidRPr="003F7E00">
        <w:rPr>
          <w:sz w:val="16"/>
        </w:rPr>
        <w:t>real GSP growth</w:t>
      </w:r>
      <w:r w:rsidR="0094632E" w:rsidRPr="0094632E">
        <w:rPr>
          <w:sz w:val="16"/>
        </w:rPr>
        <w:t xml:space="preserve"> </w:t>
      </w:r>
      <w:r w:rsidR="0094632E" w:rsidRPr="003F7E00">
        <w:rPr>
          <w:sz w:val="16"/>
        </w:rPr>
        <w:t>in 20</w:t>
      </w:r>
      <w:r w:rsidR="00943247">
        <w:rPr>
          <w:sz w:val="16"/>
        </w:rPr>
        <w:t>19-20</w:t>
      </w:r>
      <w:r w:rsidRPr="003F7E00">
        <w:rPr>
          <w:sz w:val="16"/>
        </w:rPr>
        <w:t>.</w:t>
      </w:r>
    </w:p>
    <w:p w14:paraId="44227F9D" w14:textId="59EFADD6" w:rsidR="00DD749F" w:rsidRDefault="00DD749F" w:rsidP="00AC35C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 xml:space="preserve">In </w:t>
      </w:r>
      <w:r w:rsidR="00862BDD">
        <w:rPr>
          <w:sz w:val="16"/>
        </w:rPr>
        <w:t xml:space="preserve">real </w:t>
      </w:r>
      <w:r>
        <w:rPr>
          <w:sz w:val="16"/>
        </w:rPr>
        <w:t xml:space="preserve">terms, </w:t>
      </w:r>
      <w:r w:rsidR="003F7E00">
        <w:rPr>
          <w:sz w:val="16"/>
        </w:rPr>
        <w:t xml:space="preserve">Western Australia’s </w:t>
      </w:r>
      <w:r w:rsidR="003F7E00" w:rsidRPr="003F7E00">
        <w:rPr>
          <w:sz w:val="16"/>
        </w:rPr>
        <w:t>household consumption f</w:t>
      </w:r>
      <w:r w:rsidR="004A4E8B">
        <w:rPr>
          <w:sz w:val="16"/>
        </w:rPr>
        <w:t>ell 2.4</w:t>
      </w:r>
      <w:r w:rsidR="00D227B6">
        <w:rPr>
          <w:sz w:val="16"/>
        </w:rPr>
        <w:t xml:space="preserve">% in 2019-20, following its </w:t>
      </w:r>
      <w:r w:rsidR="004A4E8B">
        <w:rPr>
          <w:sz w:val="16"/>
        </w:rPr>
        <w:t>rise of 0.8</w:t>
      </w:r>
      <w:r w:rsidR="003F7E00" w:rsidRPr="003F7E00">
        <w:rPr>
          <w:sz w:val="16"/>
        </w:rPr>
        <w:t>% in 2018-19</w:t>
      </w:r>
      <w:r>
        <w:rPr>
          <w:sz w:val="16"/>
        </w:rPr>
        <w:t>.</w:t>
      </w:r>
    </w:p>
    <w:p w14:paraId="02EE7F8C" w14:textId="6BC19363" w:rsidR="00AC35CC" w:rsidRPr="008B69DD" w:rsidRDefault="00DD749F" w:rsidP="00AC35C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>Western Australia’s household consumption has grown in real terms by an annual average compound rate of 2.1%</w:t>
      </w:r>
      <w:r w:rsidR="003F7E00" w:rsidRPr="003F7E00">
        <w:rPr>
          <w:sz w:val="16"/>
        </w:rPr>
        <w:t xml:space="preserve"> over the past 10</w:t>
      </w:r>
      <w:r w:rsidR="003F7E00">
        <w:rPr>
          <w:sz w:val="16"/>
        </w:rPr>
        <w:t xml:space="preserve"> years</w:t>
      </w:r>
      <w:r w:rsidR="00AC35CC" w:rsidRPr="008B69DD">
        <w:rPr>
          <w:sz w:val="16"/>
        </w:rPr>
        <w:t>.</w:t>
      </w:r>
    </w:p>
    <w:p w14:paraId="2CD18C66" w14:textId="15AD5194" w:rsidR="00AC35CC" w:rsidRDefault="00C34B4C" w:rsidP="00AC35C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6B227B">
        <w:rPr>
          <w:sz w:val="16"/>
        </w:rPr>
        <w:t>The WA Government</w:t>
      </w:r>
      <w:r w:rsidR="00A967DF">
        <w:rPr>
          <w:sz w:val="16"/>
        </w:rPr>
        <w:t xml:space="preserve"> State Budget 2020-21 forecasts</w:t>
      </w:r>
      <w:r w:rsidR="00862BDD">
        <w:rPr>
          <w:sz w:val="16"/>
        </w:rPr>
        <w:t xml:space="preserve"> </w:t>
      </w:r>
      <w:r w:rsidRPr="006B227B">
        <w:rPr>
          <w:sz w:val="16"/>
        </w:rPr>
        <w:t>Western Australia’s</w:t>
      </w:r>
      <w:r>
        <w:rPr>
          <w:sz w:val="16"/>
        </w:rPr>
        <w:t xml:space="preserve"> </w:t>
      </w:r>
      <w:r w:rsidRPr="00C34B4C">
        <w:rPr>
          <w:sz w:val="16"/>
        </w:rPr>
        <w:t xml:space="preserve">household consumption </w:t>
      </w:r>
      <w:r>
        <w:rPr>
          <w:sz w:val="16"/>
        </w:rPr>
        <w:t>will c</w:t>
      </w:r>
      <w:r w:rsidRPr="00C34B4C">
        <w:rPr>
          <w:sz w:val="16"/>
        </w:rPr>
        <w:t xml:space="preserve">ontract </w:t>
      </w:r>
      <w:r w:rsidR="00DD749F">
        <w:rPr>
          <w:sz w:val="16"/>
        </w:rPr>
        <w:t xml:space="preserve">in real terms by </w:t>
      </w:r>
      <w:r w:rsidRPr="00C34B4C">
        <w:rPr>
          <w:sz w:val="16"/>
        </w:rPr>
        <w:t>2.0% in 2020-21</w:t>
      </w:r>
      <w:r w:rsidR="004A4E8B">
        <w:rPr>
          <w:sz w:val="16"/>
        </w:rPr>
        <w:t>, before growing 4.0% in 2021</w:t>
      </w:r>
      <w:r w:rsidR="004A4E8B">
        <w:rPr>
          <w:sz w:val="16"/>
        </w:rPr>
        <w:noBreakHyphen/>
        <w:t>22</w:t>
      </w:r>
      <w:r w:rsidR="00AC35CC" w:rsidRPr="008B69DD">
        <w:rPr>
          <w:sz w:val="16"/>
        </w:rPr>
        <w:t>.</w:t>
      </w:r>
    </w:p>
    <w:p w14:paraId="7E03E09F" w14:textId="77777777" w:rsidR="00AC35CC" w:rsidRDefault="00AC35CC" w:rsidP="00AC35CC">
      <w:pPr>
        <w:pStyle w:val="BodyText"/>
        <w:spacing w:after="0"/>
        <w:jc w:val="both"/>
        <w:rPr>
          <w:sz w:val="16"/>
        </w:rPr>
        <w:sectPr w:rsidR="00AC35CC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75CD1D1C" w14:textId="2BC62A37" w:rsidR="00AC35CC" w:rsidRPr="00373E55" w:rsidRDefault="005F1191" w:rsidP="00EC6333">
      <w:pPr>
        <w:pStyle w:val="BodyText"/>
        <w:spacing w:after="0"/>
        <w:rPr>
          <w:b/>
          <w:sz w:val="20"/>
        </w:rPr>
      </w:pPr>
      <w:r>
        <w:rPr>
          <w:b/>
          <w:sz w:val="20"/>
        </w:rPr>
        <w:t>Western Australia’s h</w:t>
      </w:r>
      <w:r w:rsidR="007C342C">
        <w:rPr>
          <w:b/>
          <w:sz w:val="20"/>
        </w:rPr>
        <w:t>ousehold consumption by</w:t>
      </w:r>
      <w:r w:rsidR="00E67D1C">
        <w:rPr>
          <w:b/>
          <w:sz w:val="20"/>
        </w:rPr>
        <w:t xml:space="preserve"> industry sector</w:t>
      </w:r>
      <w:r w:rsidR="004053DA" w:rsidRPr="000F557C">
        <w:rPr>
          <w:b/>
          <w:sz w:val="20"/>
          <w:vertAlign w:val="superscript"/>
        </w:rPr>
        <w:t>1</w:t>
      </w:r>
      <w:r w:rsidR="007C342C">
        <w:rPr>
          <w:b/>
          <w:sz w:val="20"/>
        </w:rPr>
        <w:t>: Financial years</w:t>
      </w:r>
    </w:p>
    <w:p w14:paraId="719A50A9" w14:textId="5D602B34" w:rsidR="005B1654" w:rsidRPr="005B1654" w:rsidRDefault="00523D2A" w:rsidP="00AC35CC">
      <w:pPr>
        <w:pStyle w:val="BodyText"/>
        <w:spacing w:after="0"/>
        <w:jc w:val="both"/>
        <w:rPr>
          <w:sz w:val="16"/>
          <w:vertAlign w:val="superscript"/>
        </w:rPr>
      </w:pPr>
      <w:r>
        <w:rPr>
          <w:noProof/>
          <w:sz w:val="16"/>
          <w:vertAlign w:val="superscript"/>
          <w:lang w:eastAsia="en-AU"/>
        </w:rPr>
        <w:drawing>
          <wp:inline distT="0" distB="0" distL="0" distR="0" wp14:anchorId="6E13BD1C" wp14:editId="3AD6CC16">
            <wp:extent cx="3420745" cy="2052955"/>
            <wp:effectExtent l="0" t="0" r="8255" b="444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745" cy="205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7CDD4" w14:textId="377F2F1B" w:rsidR="000F557C" w:rsidRDefault="000F557C" w:rsidP="00316E64">
      <w:pPr>
        <w:spacing w:after="0"/>
        <w:jc w:val="both"/>
        <w:rPr>
          <w:sz w:val="10"/>
        </w:rPr>
      </w:pPr>
      <w:r w:rsidRPr="00BF1BE3">
        <w:rPr>
          <w:sz w:val="10"/>
          <w:vertAlign w:val="superscript"/>
        </w:rPr>
        <w:t>1</w:t>
      </w:r>
      <w:r>
        <w:rPr>
          <w:sz w:val="10"/>
        </w:rPr>
        <w:t xml:space="preserve"> Nominal. </w:t>
      </w:r>
    </w:p>
    <w:p w14:paraId="299B486D" w14:textId="5A9BCC41" w:rsidR="00316E64" w:rsidRDefault="00316E64" w:rsidP="00316E64">
      <w:pPr>
        <w:spacing w:after="0"/>
        <w:jc w:val="both"/>
        <w:rPr>
          <w:sz w:val="10"/>
        </w:rPr>
      </w:pPr>
      <w:r>
        <w:rPr>
          <w:sz w:val="10"/>
        </w:rPr>
        <w:t xml:space="preserve">Source: </w:t>
      </w:r>
      <w:r w:rsidRPr="00BF3151">
        <w:rPr>
          <w:sz w:val="10"/>
        </w:rPr>
        <w:t>ABS 5204.0. Australian National Accounts: National Income, Expenditure an</w:t>
      </w:r>
      <w:r>
        <w:rPr>
          <w:sz w:val="10"/>
        </w:rPr>
        <w:t xml:space="preserve">d Product (Quarterly); and </w:t>
      </w:r>
      <w:r w:rsidRPr="00BF3151">
        <w:rPr>
          <w:sz w:val="10"/>
        </w:rPr>
        <w:t>ABS 5220.0 Australian National Ac</w:t>
      </w:r>
      <w:r>
        <w:rPr>
          <w:sz w:val="10"/>
        </w:rPr>
        <w:t>counts: State Accounts (Annual).</w:t>
      </w:r>
    </w:p>
    <w:p w14:paraId="3378A416" w14:textId="77777777" w:rsidR="00AC35CC" w:rsidRDefault="00AC35CC" w:rsidP="00AC35CC">
      <w:pPr>
        <w:pStyle w:val="BodyText"/>
        <w:spacing w:after="0"/>
        <w:jc w:val="both"/>
        <w:rPr>
          <w:sz w:val="16"/>
        </w:rPr>
      </w:pPr>
    </w:p>
    <w:p w14:paraId="11409B67" w14:textId="3F7B690F" w:rsidR="00AC35CC" w:rsidRPr="00403DB4" w:rsidRDefault="00AC35CC" w:rsidP="00AC35CC">
      <w:pPr>
        <w:pStyle w:val="BodyText"/>
        <w:spacing w:after="0"/>
        <w:jc w:val="both"/>
        <w:rPr>
          <w:sz w:val="16"/>
        </w:rPr>
      </w:pPr>
    </w:p>
    <w:p w14:paraId="76968991" w14:textId="210B86CF" w:rsidR="00AC35CC" w:rsidRPr="00CB298C" w:rsidRDefault="00AC35CC" w:rsidP="00AC35C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br w:type="column"/>
      </w:r>
      <w:r w:rsidR="005B3F1F">
        <w:rPr>
          <w:sz w:val="16"/>
        </w:rPr>
        <w:t xml:space="preserve">The value of </w:t>
      </w:r>
      <w:r w:rsidRPr="00CB298C">
        <w:rPr>
          <w:sz w:val="16"/>
        </w:rPr>
        <w:t>Western Australia’s</w:t>
      </w:r>
      <w:r w:rsidR="001441FA" w:rsidRPr="001441FA">
        <w:rPr>
          <w:rFonts w:ascii="Arial" w:hAnsi="Arial" w:cs="Times New Roman"/>
          <w:sz w:val="20"/>
          <w:szCs w:val="20"/>
        </w:rPr>
        <w:t xml:space="preserve"> </w:t>
      </w:r>
      <w:r w:rsidR="000E158E">
        <w:rPr>
          <w:sz w:val="16"/>
        </w:rPr>
        <w:t>household consumption fell 0.9</w:t>
      </w:r>
      <w:r w:rsidR="001441FA" w:rsidRPr="001441FA">
        <w:rPr>
          <w:sz w:val="16"/>
        </w:rPr>
        <w:t>% to $108.</w:t>
      </w:r>
      <w:r w:rsidR="000E158E">
        <w:rPr>
          <w:sz w:val="16"/>
        </w:rPr>
        <w:t>3</w:t>
      </w:r>
      <w:r w:rsidR="001441FA" w:rsidRPr="001441FA">
        <w:rPr>
          <w:sz w:val="16"/>
        </w:rPr>
        <w:t xml:space="preserve"> billion in 2019-20</w:t>
      </w:r>
      <w:r w:rsidRPr="00CB298C">
        <w:rPr>
          <w:sz w:val="16"/>
        </w:rPr>
        <w:t>.</w:t>
      </w:r>
    </w:p>
    <w:p w14:paraId="08288700" w14:textId="6A0DA50E" w:rsidR="00AC35CC" w:rsidRPr="00CB298C" w:rsidRDefault="001441FA" w:rsidP="00AC35C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 xml:space="preserve">Rent and other dwelling services accounted for 21% of </w:t>
      </w:r>
      <w:r w:rsidR="00735D06">
        <w:rPr>
          <w:sz w:val="16"/>
        </w:rPr>
        <w:t xml:space="preserve">Western Australia’s </w:t>
      </w:r>
      <w:r>
        <w:rPr>
          <w:sz w:val="16"/>
        </w:rPr>
        <w:t xml:space="preserve">household consumption in 2019-20, followed by </w:t>
      </w:r>
      <w:r w:rsidR="000E158E">
        <w:rPr>
          <w:sz w:val="16"/>
        </w:rPr>
        <w:t>insurance, finance and other (15</w:t>
      </w:r>
      <w:r>
        <w:rPr>
          <w:sz w:val="16"/>
        </w:rPr>
        <w:t>%) and food (11%)</w:t>
      </w:r>
      <w:r w:rsidR="00AC35CC" w:rsidRPr="00CB298C">
        <w:rPr>
          <w:sz w:val="16"/>
        </w:rPr>
        <w:t>.</w:t>
      </w:r>
    </w:p>
    <w:p w14:paraId="5D58D1FC" w14:textId="77777777" w:rsidR="001441FA" w:rsidRPr="00CB298C" w:rsidRDefault="001441FA" w:rsidP="001441FA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 xml:space="preserve">The largest increases in </w:t>
      </w:r>
      <w:r w:rsidRPr="00CB298C">
        <w:rPr>
          <w:sz w:val="16"/>
        </w:rPr>
        <w:t>West</w:t>
      </w:r>
      <w:r>
        <w:rPr>
          <w:sz w:val="16"/>
        </w:rPr>
        <w:t>ern Australia’s household consumption in 2019-20 were in</w:t>
      </w:r>
      <w:r w:rsidRPr="00CB298C">
        <w:rPr>
          <w:sz w:val="16"/>
        </w:rPr>
        <w:t>:</w:t>
      </w:r>
    </w:p>
    <w:p w14:paraId="337CA07E" w14:textId="29B4B90F" w:rsidR="001441FA" w:rsidRPr="00CB298C" w:rsidRDefault="00473F8A" w:rsidP="005A3CC2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>
        <w:rPr>
          <w:sz w:val="16"/>
        </w:rPr>
        <w:t>Food</w:t>
      </w:r>
      <w:r w:rsidR="001441FA">
        <w:rPr>
          <w:sz w:val="16"/>
        </w:rPr>
        <w:t xml:space="preserve"> (</w:t>
      </w:r>
      <w:r>
        <w:rPr>
          <w:sz w:val="16"/>
        </w:rPr>
        <w:t>up</w:t>
      </w:r>
      <w:r w:rsidR="001441FA">
        <w:rPr>
          <w:sz w:val="16"/>
        </w:rPr>
        <w:t xml:space="preserve"> $</w:t>
      </w:r>
      <w:r>
        <w:rPr>
          <w:sz w:val="16"/>
        </w:rPr>
        <w:t>7</w:t>
      </w:r>
      <w:r w:rsidR="000E158E">
        <w:rPr>
          <w:sz w:val="16"/>
        </w:rPr>
        <w:t>28 million or 6</w:t>
      </w:r>
      <w:r w:rsidR="001441FA">
        <w:rPr>
          <w:sz w:val="16"/>
        </w:rPr>
        <w:t>%)</w:t>
      </w:r>
      <w:r w:rsidR="001441FA" w:rsidRPr="00CB298C">
        <w:rPr>
          <w:sz w:val="16"/>
        </w:rPr>
        <w:t>.</w:t>
      </w:r>
    </w:p>
    <w:p w14:paraId="5A9D755D" w14:textId="3C932E62" w:rsidR="00473F8A" w:rsidRPr="00CB298C" w:rsidRDefault="000B03AB" w:rsidP="005A3CC2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>
        <w:rPr>
          <w:sz w:val="16"/>
        </w:rPr>
        <w:t>Rent and other dwelling services</w:t>
      </w:r>
      <w:r w:rsidR="00473F8A">
        <w:rPr>
          <w:sz w:val="16"/>
        </w:rPr>
        <w:t xml:space="preserve"> (up</w:t>
      </w:r>
      <w:r w:rsidR="001B5124">
        <w:rPr>
          <w:sz w:val="16"/>
        </w:rPr>
        <w:t> </w:t>
      </w:r>
      <w:r w:rsidR="00473F8A">
        <w:rPr>
          <w:sz w:val="16"/>
        </w:rPr>
        <w:t>$</w:t>
      </w:r>
      <w:r>
        <w:rPr>
          <w:sz w:val="16"/>
        </w:rPr>
        <w:t>505 </w:t>
      </w:r>
      <w:r w:rsidR="00473F8A">
        <w:rPr>
          <w:sz w:val="16"/>
        </w:rPr>
        <w:t>m</w:t>
      </w:r>
      <w:r>
        <w:rPr>
          <w:sz w:val="16"/>
        </w:rPr>
        <w:t>illion or 2</w:t>
      </w:r>
      <w:r w:rsidR="00473F8A">
        <w:rPr>
          <w:sz w:val="16"/>
        </w:rPr>
        <w:t>%)</w:t>
      </w:r>
      <w:r w:rsidR="00473F8A" w:rsidRPr="00CB298C">
        <w:rPr>
          <w:sz w:val="16"/>
        </w:rPr>
        <w:t>.</w:t>
      </w:r>
    </w:p>
    <w:p w14:paraId="1AFD70F4" w14:textId="35548E41" w:rsidR="00473F8A" w:rsidRPr="00CB298C" w:rsidRDefault="00473F8A" w:rsidP="005A3CC2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>
        <w:rPr>
          <w:sz w:val="16"/>
        </w:rPr>
        <w:t>F</w:t>
      </w:r>
      <w:r w:rsidR="000B03AB">
        <w:rPr>
          <w:sz w:val="16"/>
        </w:rPr>
        <w:t>urnishings and household equipment</w:t>
      </w:r>
      <w:r>
        <w:rPr>
          <w:sz w:val="16"/>
        </w:rPr>
        <w:t xml:space="preserve"> (up</w:t>
      </w:r>
      <w:r w:rsidR="001B5124">
        <w:rPr>
          <w:sz w:val="16"/>
        </w:rPr>
        <w:t> </w:t>
      </w:r>
      <w:r>
        <w:rPr>
          <w:sz w:val="16"/>
        </w:rPr>
        <w:t>$</w:t>
      </w:r>
      <w:r w:rsidR="000B03AB">
        <w:rPr>
          <w:sz w:val="16"/>
        </w:rPr>
        <w:t>26</w:t>
      </w:r>
      <w:r w:rsidR="000E158E">
        <w:rPr>
          <w:sz w:val="16"/>
        </w:rPr>
        <w:t>2</w:t>
      </w:r>
      <w:r w:rsidR="001B5124">
        <w:rPr>
          <w:sz w:val="16"/>
        </w:rPr>
        <w:t xml:space="preserve"> </w:t>
      </w:r>
      <w:r w:rsidR="000B03AB">
        <w:rPr>
          <w:sz w:val="16"/>
        </w:rPr>
        <w:t> million or 6</w:t>
      </w:r>
      <w:r>
        <w:rPr>
          <w:sz w:val="16"/>
        </w:rPr>
        <w:t>%)</w:t>
      </w:r>
      <w:r w:rsidRPr="00CB298C">
        <w:rPr>
          <w:sz w:val="16"/>
        </w:rPr>
        <w:t>.</w:t>
      </w:r>
    </w:p>
    <w:p w14:paraId="5E101CE3" w14:textId="7B193C57" w:rsidR="00AC35CC" w:rsidRPr="00CB298C" w:rsidRDefault="001441FA" w:rsidP="00AC35C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 xml:space="preserve">The largest decreases in </w:t>
      </w:r>
      <w:r w:rsidR="00AC35CC" w:rsidRPr="00CB298C">
        <w:rPr>
          <w:sz w:val="16"/>
        </w:rPr>
        <w:t>West</w:t>
      </w:r>
      <w:r w:rsidR="00735D06">
        <w:rPr>
          <w:sz w:val="16"/>
        </w:rPr>
        <w:t xml:space="preserve">ern Australia’s </w:t>
      </w:r>
      <w:r>
        <w:rPr>
          <w:sz w:val="16"/>
        </w:rPr>
        <w:t>household consumption in 2019-20 were in</w:t>
      </w:r>
      <w:r w:rsidR="00AC35CC" w:rsidRPr="00CB298C">
        <w:rPr>
          <w:sz w:val="16"/>
        </w:rPr>
        <w:t>:</w:t>
      </w:r>
    </w:p>
    <w:p w14:paraId="2B311A0A" w14:textId="36A9A63A" w:rsidR="00AC35CC" w:rsidRPr="00CB298C" w:rsidRDefault="001441FA" w:rsidP="005A3CC2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>
        <w:rPr>
          <w:sz w:val="16"/>
        </w:rPr>
        <w:t>Transport (down $1.4 billion or 12%)</w:t>
      </w:r>
      <w:r w:rsidR="00AC35CC" w:rsidRPr="00CB298C">
        <w:rPr>
          <w:sz w:val="16"/>
        </w:rPr>
        <w:t>.</w:t>
      </w:r>
    </w:p>
    <w:p w14:paraId="7302E9B0" w14:textId="09579F2E" w:rsidR="001441FA" w:rsidRPr="00CB298C" w:rsidRDefault="001441FA" w:rsidP="005A3CC2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>
        <w:rPr>
          <w:sz w:val="16"/>
        </w:rPr>
        <w:t>Hotels, cafes and restaurants (down</w:t>
      </w:r>
      <w:r w:rsidR="001B5124">
        <w:rPr>
          <w:sz w:val="16"/>
        </w:rPr>
        <w:t> </w:t>
      </w:r>
      <w:r>
        <w:rPr>
          <w:sz w:val="16"/>
        </w:rPr>
        <w:t>$7</w:t>
      </w:r>
      <w:r w:rsidR="000E158E">
        <w:rPr>
          <w:sz w:val="16"/>
        </w:rPr>
        <w:t>72</w:t>
      </w:r>
      <w:r>
        <w:rPr>
          <w:sz w:val="16"/>
        </w:rPr>
        <w:t> million or 10%)</w:t>
      </w:r>
      <w:r w:rsidRPr="00CB298C">
        <w:rPr>
          <w:sz w:val="16"/>
        </w:rPr>
        <w:t>.</w:t>
      </w:r>
    </w:p>
    <w:p w14:paraId="591329B4" w14:textId="0067058D" w:rsidR="00AC35CC" w:rsidRPr="00FD3DFA" w:rsidRDefault="001441FA" w:rsidP="005A3CC2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>
        <w:rPr>
          <w:sz w:val="16"/>
        </w:rPr>
        <w:t>Health (down $</w:t>
      </w:r>
      <w:r w:rsidR="00FD3DFA">
        <w:rPr>
          <w:sz w:val="16"/>
        </w:rPr>
        <w:t>26</w:t>
      </w:r>
      <w:r w:rsidR="000E158E">
        <w:rPr>
          <w:sz w:val="16"/>
        </w:rPr>
        <w:t>0</w:t>
      </w:r>
      <w:r w:rsidR="00FD3DFA">
        <w:rPr>
          <w:sz w:val="16"/>
        </w:rPr>
        <w:t xml:space="preserve"> million or 3</w:t>
      </w:r>
      <w:r>
        <w:rPr>
          <w:sz w:val="16"/>
        </w:rPr>
        <w:t>%)</w:t>
      </w:r>
      <w:r w:rsidR="00AC35CC" w:rsidRPr="00FD3DFA">
        <w:rPr>
          <w:sz w:val="16"/>
        </w:rPr>
        <w:t>.</w:t>
      </w:r>
    </w:p>
    <w:p w14:paraId="4F33C5DE" w14:textId="77777777" w:rsidR="00AC35CC" w:rsidRDefault="00AC35CC" w:rsidP="00AC35CC">
      <w:pPr>
        <w:pStyle w:val="BodyText"/>
        <w:spacing w:after="0"/>
        <w:jc w:val="both"/>
        <w:rPr>
          <w:sz w:val="16"/>
        </w:rPr>
        <w:sectPr w:rsidR="00AC35CC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103AA992" w14:textId="1BAB8111" w:rsidR="00AC35CC" w:rsidRPr="00373E55" w:rsidRDefault="005F1191" w:rsidP="00EC6333">
      <w:pPr>
        <w:pStyle w:val="BodyText"/>
        <w:spacing w:after="0"/>
        <w:rPr>
          <w:b/>
          <w:sz w:val="20"/>
        </w:rPr>
      </w:pPr>
      <w:r>
        <w:rPr>
          <w:b/>
          <w:sz w:val="20"/>
        </w:rPr>
        <w:t>Western Australia’s g</w:t>
      </w:r>
      <w:r w:rsidR="002B1D59">
        <w:rPr>
          <w:b/>
          <w:sz w:val="20"/>
        </w:rPr>
        <w:t>ross household disposable income per capita</w:t>
      </w:r>
      <w:r w:rsidR="00A47200" w:rsidRPr="00C20056">
        <w:rPr>
          <w:b/>
          <w:sz w:val="20"/>
          <w:vertAlign w:val="superscript"/>
        </w:rPr>
        <w:t>1</w:t>
      </w:r>
      <w:r w:rsidR="00921EEB">
        <w:rPr>
          <w:b/>
          <w:sz w:val="20"/>
          <w:vertAlign w:val="superscript"/>
        </w:rPr>
        <w:t>,</w:t>
      </w:r>
      <w:r w:rsidR="004053DA">
        <w:rPr>
          <w:b/>
          <w:sz w:val="20"/>
          <w:vertAlign w:val="superscript"/>
        </w:rPr>
        <w:t>2</w:t>
      </w:r>
      <w:r w:rsidR="00A140E7">
        <w:rPr>
          <w:b/>
          <w:sz w:val="20"/>
        </w:rPr>
        <w:t>:</w:t>
      </w:r>
      <w:r w:rsidR="00E67D1C">
        <w:rPr>
          <w:b/>
          <w:sz w:val="20"/>
        </w:rPr>
        <w:t xml:space="preserve"> </w:t>
      </w:r>
      <w:r w:rsidR="00A140E7">
        <w:rPr>
          <w:b/>
          <w:sz w:val="20"/>
        </w:rPr>
        <w:t>Financial years</w:t>
      </w:r>
    </w:p>
    <w:p w14:paraId="35880A4D" w14:textId="00837244" w:rsidR="00AC35CC" w:rsidRDefault="00722C52" w:rsidP="00AC35CC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375A53BA" wp14:editId="214F768B">
            <wp:extent cx="3433445" cy="206184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445" cy="206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2F181" w14:textId="644245E4" w:rsidR="00C20056" w:rsidRDefault="004053DA" w:rsidP="00DA528D">
      <w:pPr>
        <w:spacing w:after="0"/>
        <w:jc w:val="both"/>
        <w:rPr>
          <w:sz w:val="10"/>
        </w:rPr>
      </w:pPr>
      <w:r>
        <w:rPr>
          <w:sz w:val="10"/>
          <w:vertAlign w:val="superscript"/>
        </w:rPr>
        <w:t xml:space="preserve">1 </w:t>
      </w:r>
      <w:r>
        <w:rPr>
          <w:sz w:val="10"/>
        </w:rPr>
        <w:t>Nominal.</w:t>
      </w:r>
      <w:r>
        <w:rPr>
          <w:sz w:val="10"/>
          <w:vertAlign w:val="superscript"/>
        </w:rPr>
        <w:t xml:space="preserve"> 2</w:t>
      </w:r>
      <w:r w:rsidR="00C20056">
        <w:rPr>
          <w:sz w:val="10"/>
        </w:rPr>
        <w:t xml:space="preserve"> </w:t>
      </w:r>
      <w:r>
        <w:rPr>
          <w:sz w:val="10"/>
        </w:rPr>
        <w:t>H</w:t>
      </w:r>
      <w:r w:rsidR="00C20056">
        <w:rPr>
          <w:sz w:val="10"/>
        </w:rPr>
        <w:t>ousehold income per capita from the sum of wages and salaries, salary sacrifice, non-cash benefits, bonuses, termination payments, government pensions and allowances, profit/loss from own unincorporated business, net investment income and private transfers less income tax, the Medicare levy and the Medicare levy surcharge.</w:t>
      </w:r>
    </w:p>
    <w:p w14:paraId="7BE69105" w14:textId="066A581D" w:rsidR="00AC35CC" w:rsidRPr="00715528" w:rsidRDefault="00DA528D" w:rsidP="00DA528D">
      <w:pPr>
        <w:spacing w:after="0"/>
        <w:jc w:val="both"/>
        <w:rPr>
          <w:sz w:val="10"/>
        </w:rPr>
      </w:pPr>
      <w:r>
        <w:rPr>
          <w:sz w:val="10"/>
        </w:rPr>
        <w:t xml:space="preserve">Source: </w:t>
      </w:r>
      <w:r w:rsidRPr="00BF3151">
        <w:rPr>
          <w:sz w:val="10"/>
        </w:rPr>
        <w:t>ABS 5220.0 Australian National Ac</w:t>
      </w:r>
      <w:r>
        <w:rPr>
          <w:sz w:val="10"/>
        </w:rPr>
        <w:t>counts: State Accounts (Annual).</w:t>
      </w:r>
    </w:p>
    <w:p w14:paraId="57566899" w14:textId="4E54759B" w:rsidR="00AC35CC" w:rsidRPr="00E81121" w:rsidRDefault="00AC35CC" w:rsidP="00AC35C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br w:type="column"/>
      </w:r>
      <w:r w:rsidR="00E2682C">
        <w:rPr>
          <w:sz w:val="16"/>
        </w:rPr>
        <w:t>Western Australia’s</w:t>
      </w:r>
      <w:r w:rsidR="001E1980">
        <w:rPr>
          <w:sz w:val="16"/>
        </w:rPr>
        <w:t xml:space="preserve"> </w:t>
      </w:r>
      <w:r w:rsidR="001E1980" w:rsidRPr="001E1980">
        <w:rPr>
          <w:sz w:val="16"/>
        </w:rPr>
        <w:t>gross household disposable income per</w:t>
      </w:r>
      <w:r w:rsidR="00921EEB">
        <w:rPr>
          <w:sz w:val="16"/>
        </w:rPr>
        <w:t> </w:t>
      </w:r>
      <w:r w:rsidR="001E1980" w:rsidRPr="001E1980">
        <w:rPr>
          <w:sz w:val="16"/>
        </w:rPr>
        <w:t>capita of $5</w:t>
      </w:r>
      <w:r w:rsidR="004A4C0F">
        <w:rPr>
          <w:sz w:val="16"/>
        </w:rPr>
        <w:t>5</w:t>
      </w:r>
      <w:r w:rsidR="001E1980" w:rsidRPr="001E1980">
        <w:rPr>
          <w:sz w:val="16"/>
        </w:rPr>
        <w:t>,</w:t>
      </w:r>
      <w:r w:rsidR="004A4C0F">
        <w:rPr>
          <w:sz w:val="16"/>
        </w:rPr>
        <w:t>10</w:t>
      </w:r>
      <w:r w:rsidR="001E1980" w:rsidRPr="001E1980">
        <w:rPr>
          <w:sz w:val="16"/>
        </w:rPr>
        <w:t>1 in 201</w:t>
      </w:r>
      <w:r w:rsidR="004A4C0F">
        <w:rPr>
          <w:sz w:val="16"/>
        </w:rPr>
        <w:t>9-20 was 7</w:t>
      </w:r>
      <w:r w:rsidR="001E1980" w:rsidRPr="001E1980">
        <w:rPr>
          <w:sz w:val="16"/>
        </w:rPr>
        <w:t>% ($</w:t>
      </w:r>
      <w:r w:rsidR="004A4C0F">
        <w:rPr>
          <w:sz w:val="16"/>
        </w:rPr>
        <w:t>3,707</w:t>
      </w:r>
      <w:r w:rsidR="001E1980" w:rsidRPr="001E1980">
        <w:rPr>
          <w:sz w:val="16"/>
        </w:rPr>
        <w:t>) above the Australian average of $</w:t>
      </w:r>
      <w:r w:rsidR="004A4C0F">
        <w:rPr>
          <w:sz w:val="16"/>
        </w:rPr>
        <w:t>51,394</w:t>
      </w:r>
      <w:r w:rsidRPr="00E81121">
        <w:rPr>
          <w:sz w:val="16"/>
        </w:rPr>
        <w:t>.</w:t>
      </w:r>
    </w:p>
    <w:p w14:paraId="28F7921F" w14:textId="19309D8B" w:rsidR="00AC35CC" w:rsidRPr="00E81121" w:rsidRDefault="00AC35CC" w:rsidP="00AC35C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E81121">
        <w:rPr>
          <w:sz w:val="16"/>
        </w:rPr>
        <w:t xml:space="preserve">Western Australia’s </w:t>
      </w:r>
      <w:r w:rsidR="001E1980">
        <w:rPr>
          <w:sz w:val="16"/>
        </w:rPr>
        <w:t xml:space="preserve">gross </w:t>
      </w:r>
      <w:r w:rsidR="001E1980" w:rsidRPr="001E1980">
        <w:rPr>
          <w:sz w:val="16"/>
        </w:rPr>
        <w:t>household disposable income per</w:t>
      </w:r>
      <w:r w:rsidR="00921EEB">
        <w:rPr>
          <w:sz w:val="16"/>
        </w:rPr>
        <w:t> </w:t>
      </w:r>
      <w:r w:rsidR="001E1980" w:rsidRPr="001E1980">
        <w:rPr>
          <w:sz w:val="16"/>
        </w:rPr>
        <w:t xml:space="preserve">capita </w:t>
      </w:r>
      <w:r w:rsidR="00D707B4">
        <w:rPr>
          <w:sz w:val="16"/>
        </w:rPr>
        <w:t>rose</w:t>
      </w:r>
      <w:r w:rsidR="007B6BB2">
        <w:rPr>
          <w:sz w:val="16"/>
        </w:rPr>
        <w:t xml:space="preserve"> by</w:t>
      </w:r>
      <w:r w:rsidR="00D707B4">
        <w:rPr>
          <w:sz w:val="16"/>
        </w:rPr>
        <w:t xml:space="preserve"> 3.6</w:t>
      </w:r>
      <w:r w:rsidR="001E1980" w:rsidRPr="001E1980">
        <w:rPr>
          <w:sz w:val="16"/>
        </w:rPr>
        <w:t>%</w:t>
      </w:r>
      <w:r w:rsidR="007B6BB2">
        <w:rPr>
          <w:sz w:val="16"/>
        </w:rPr>
        <w:t xml:space="preserve"> in nominal terms</w:t>
      </w:r>
      <w:r w:rsidR="001E1980" w:rsidRPr="001E1980">
        <w:rPr>
          <w:sz w:val="16"/>
        </w:rPr>
        <w:t xml:space="preserve"> in 201</w:t>
      </w:r>
      <w:r w:rsidR="00D707B4">
        <w:rPr>
          <w:sz w:val="16"/>
        </w:rPr>
        <w:t>9-20</w:t>
      </w:r>
      <w:r w:rsidR="001E1980" w:rsidRPr="001E1980">
        <w:rPr>
          <w:sz w:val="16"/>
        </w:rPr>
        <w:t xml:space="preserve">, following </w:t>
      </w:r>
      <w:r w:rsidR="00D227B6">
        <w:rPr>
          <w:sz w:val="16"/>
        </w:rPr>
        <w:t xml:space="preserve">its </w:t>
      </w:r>
      <w:r w:rsidR="00D707B4">
        <w:rPr>
          <w:sz w:val="16"/>
        </w:rPr>
        <w:t xml:space="preserve">fall </w:t>
      </w:r>
      <w:r w:rsidR="001E1980" w:rsidRPr="001E1980">
        <w:rPr>
          <w:sz w:val="16"/>
        </w:rPr>
        <w:t>of 1</w:t>
      </w:r>
      <w:r w:rsidR="00D707B4">
        <w:rPr>
          <w:sz w:val="16"/>
        </w:rPr>
        <w:t>.2</w:t>
      </w:r>
      <w:r w:rsidR="001E1980" w:rsidRPr="001E1980">
        <w:rPr>
          <w:sz w:val="16"/>
        </w:rPr>
        <w:t>% in 201</w:t>
      </w:r>
      <w:r w:rsidR="00D707B4">
        <w:rPr>
          <w:sz w:val="16"/>
        </w:rPr>
        <w:t>8-19</w:t>
      </w:r>
      <w:r w:rsidR="001E1980" w:rsidRPr="001E1980">
        <w:rPr>
          <w:sz w:val="16"/>
        </w:rPr>
        <w:t xml:space="preserve">, and </w:t>
      </w:r>
      <w:r w:rsidR="00D707B4">
        <w:rPr>
          <w:sz w:val="16"/>
        </w:rPr>
        <w:t xml:space="preserve">was above </w:t>
      </w:r>
      <w:r w:rsidR="00D227B6">
        <w:rPr>
          <w:sz w:val="16"/>
        </w:rPr>
        <w:t xml:space="preserve">its </w:t>
      </w:r>
      <w:r w:rsidR="001E1980">
        <w:rPr>
          <w:sz w:val="16"/>
        </w:rPr>
        <w:t xml:space="preserve">compound </w:t>
      </w:r>
      <w:r w:rsidR="00D707B4">
        <w:rPr>
          <w:sz w:val="16"/>
        </w:rPr>
        <w:t>annual growth of 2.2</w:t>
      </w:r>
      <w:r w:rsidR="001E1980" w:rsidRPr="001E1980">
        <w:rPr>
          <w:sz w:val="16"/>
        </w:rPr>
        <w:t>% over the past 10</w:t>
      </w:r>
      <w:r w:rsidR="005540BC">
        <w:rPr>
          <w:sz w:val="16"/>
        </w:rPr>
        <w:t> </w:t>
      </w:r>
      <w:r w:rsidR="001E1980" w:rsidRPr="001E1980">
        <w:rPr>
          <w:sz w:val="16"/>
        </w:rPr>
        <w:t>years.</w:t>
      </w:r>
    </w:p>
    <w:p w14:paraId="1E06C562" w14:textId="63461B45" w:rsidR="001D14B2" w:rsidRDefault="00D707B4" w:rsidP="00AC35C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 xml:space="preserve">The total value of </w:t>
      </w:r>
      <w:r w:rsidR="00AC35CC" w:rsidRPr="00E81121">
        <w:rPr>
          <w:sz w:val="16"/>
        </w:rPr>
        <w:t>Western Australia</w:t>
      </w:r>
      <w:r w:rsidR="001D14B2">
        <w:rPr>
          <w:sz w:val="16"/>
        </w:rPr>
        <w:t xml:space="preserve">’s </w:t>
      </w:r>
      <w:r w:rsidR="001D14B2" w:rsidRPr="001D14B2">
        <w:rPr>
          <w:sz w:val="16"/>
        </w:rPr>
        <w:t>gross household disposable income rose by $</w:t>
      </w:r>
      <w:r>
        <w:rPr>
          <w:sz w:val="16"/>
        </w:rPr>
        <w:t>6.8</w:t>
      </w:r>
      <w:r w:rsidR="001D14B2" w:rsidRPr="001D14B2">
        <w:rPr>
          <w:sz w:val="16"/>
        </w:rPr>
        <w:t xml:space="preserve"> billion</w:t>
      </w:r>
      <w:r w:rsidR="000B183D">
        <w:rPr>
          <w:sz w:val="16"/>
        </w:rPr>
        <w:t xml:space="preserve"> </w:t>
      </w:r>
      <w:r w:rsidR="001D14B2" w:rsidRPr="001D14B2">
        <w:rPr>
          <w:sz w:val="16"/>
        </w:rPr>
        <w:t>in 201</w:t>
      </w:r>
      <w:r>
        <w:rPr>
          <w:sz w:val="16"/>
        </w:rPr>
        <w:t>9-20</w:t>
      </w:r>
      <w:r w:rsidR="001D14B2" w:rsidRPr="001D14B2">
        <w:rPr>
          <w:sz w:val="16"/>
        </w:rPr>
        <w:t>, due to</w:t>
      </w:r>
      <w:r w:rsidR="001D14B2">
        <w:rPr>
          <w:sz w:val="16"/>
        </w:rPr>
        <w:t>:</w:t>
      </w:r>
    </w:p>
    <w:p w14:paraId="6BBA03FF" w14:textId="0CDE2E00" w:rsidR="001D14B2" w:rsidRDefault="001D14B2" w:rsidP="005A3CC2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>
        <w:rPr>
          <w:sz w:val="16"/>
        </w:rPr>
        <w:t>E</w:t>
      </w:r>
      <w:r w:rsidRPr="001D14B2">
        <w:rPr>
          <w:sz w:val="16"/>
        </w:rPr>
        <w:t>mployee wages</w:t>
      </w:r>
      <w:r>
        <w:rPr>
          <w:sz w:val="16"/>
        </w:rPr>
        <w:t xml:space="preserve"> rising by </w:t>
      </w:r>
      <w:r w:rsidRPr="001D14B2">
        <w:rPr>
          <w:sz w:val="16"/>
        </w:rPr>
        <w:t>$</w:t>
      </w:r>
      <w:r w:rsidR="00D707B4">
        <w:rPr>
          <w:sz w:val="16"/>
        </w:rPr>
        <w:t>4.4</w:t>
      </w:r>
      <w:r>
        <w:rPr>
          <w:sz w:val="16"/>
        </w:rPr>
        <w:t xml:space="preserve"> </w:t>
      </w:r>
      <w:r w:rsidRPr="001D14B2">
        <w:rPr>
          <w:sz w:val="16"/>
        </w:rPr>
        <w:t>b</w:t>
      </w:r>
      <w:r>
        <w:rPr>
          <w:sz w:val="16"/>
        </w:rPr>
        <w:t>illion</w:t>
      </w:r>
      <w:r w:rsidRPr="00CB298C">
        <w:rPr>
          <w:sz w:val="16"/>
        </w:rPr>
        <w:t>.</w:t>
      </w:r>
    </w:p>
    <w:p w14:paraId="14107D44" w14:textId="5C21E318" w:rsidR="001D14B2" w:rsidRPr="00CB298C" w:rsidRDefault="001D14B2" w:rsidP="005A3CC2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>
        <w:rPr>
          <w:sz w:val="16"/>
        </w:rPr>
        <w:t>S</w:t>
      </w:r>
      <w:r w:rsidRPr="001D14B2">
        <w:rPr>
          <w:sz w:val="16"/>
        </w:rPr>
        <w:t>ocial benefits and other secondary income</w:t>
      </w:r>
      <w:r>
        <w:rPr>
          <w:sz w:val="16"/>
        </w:rPr>
        <w:t xml:space="preserve"> rising by </w:t>
      </w:r>
      <w:r w:rsidRPr="001D14B2">
        <w:rPr>
          <w:sz w:val="16"/>
        </w:rPr>
        <w:t>$</w:t>
      </w:r>
      <w:r w:rsidR="00D707B4">
        <w:rPr>
          <w:sz w:val="16"/>
        </w:rPr>
        <w:t>3.0 b</w:t>
      </w:r>
      <w:r>
        <w:rPr>
          <w:sz w:val="16"/>
        </w:rPr>
        <w:t>illion.</w:t>
      </w:r>
    </w:p>
    <w:p w14:paraId="5A3835A3" w14:textId="3F3F0977" w:rsidR="001D14B2" w:rsidRPr="00CB298C" w:rsidRDefault="001D14B2" w:rsidP="005A3CC2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>
        <w:rPr>
          <w:sz w:val="16"/>
        </w:rPr>
        <w:t>S</w:t>
      </w:r>
      <w:r w:rsidRPr="001D14B2">
        <w:rPr>
          <w:sz w:val="16"/>
        </w:rPr>
        <w:t>elf-employed and property income</w:t>
      </w:r>
      <w:r>
        <w:rPr>
          <w:sz w:val="16"/>
        </w:rPr>
        <w:t xml:space="preserve"> </w:t>
      </w:r>
      <w:r w:rsidR="00D707B4">
        <w:rPr>
          <w:sz w:val="16"/>
        </w:rPr>
        <w:t xml:space="preserve">falling </w:t>
      </w:r>
      <w:r>
        <w:rPr>
          <w:sz w:val="16"/>
        </w:rPr>
        <w:t xml:space="preserve">by </w:t>
      </w:r>
      <w:r w:rsidRPr="001D14B2">
        <w:rPr>
          <w:sz w:val="16"/>
        </w:rPr>
        <w:t>$</w:t>
      </w:r>
      <w:r w:rsidR="00D707B4">
        <w:rPr>
          <w:sz w:val="16"/>
        </w:rPr>
        <w:t>1.2</w:t>
      </w:r>
      <w:r w:rsidR="00921EEB">
        <w:rPr>
          <w:sz w:val="16"/>
        </w:rPr>
        <w:t> </w:t>
      </w:r>
      <w:r w:rsidR="00D707B4">
        <w:rPr>
          <w:sz w:val="16"/>
        </w:rPr>
        <w:t>b</w:t>
      </w:r>
      <w:r>
        <w:rPr>
          <w:sz w:val="16"/>
        </w:rPr>
        <w:t>illion</w:t>
      </w:r>
      <w:r w:rsidRPr="00CB298C">
        <w:rPr>
          <w:sz w:val="16"/>
        </w:rPr>
        <w:t>.</w:t>
      </w:r>
    </w:p>
    <w:p w14:paraId="6491C8BC" w14:textId="5CAB21D9" w:rsidR="00AC35CC" w:rsidRPr="00F97A50" w:rsidRDefault="00D707B4" w:rsidP="00ED467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 xml:space="preserve">Also contributing to Western Australia’s increase in total </w:t>
      </w:r>
      <w:r w:rsidR="00F97A50">
        <w:rPr>
          <w:sz w:val="16"/>
        </w:rPr>
        <w:t xml:space="preserve">household </w:t>
      </w:r>
      <w:r>
        <w:rPr>
          <w:sz w:val="16"/>
        </w:rPr>
        <w:t xml:space="preserve">disposable </w:t>
      </w:r>
      <w:r w:rsidR="00F97A50" w:rsidRPr="00F97A50">
        <w:rPr>
          <w:sz w:val="16"/>
        </w:rPr>
        <w:t xml:space="preserve">income </w:t>
      </w:r>
      <w:r w:rsidR="005540BC">
        <w:rPr>
          <w:sz w:val="16"/>
        </w:rPr>
        <w:t>in 2019</w:t>
      </w:r>
      <w:r w:rsidR="005540BC">
        <w:rPr>
          <w:sz w:val="16"/>
        </w:rPr>
        <w:noBreakHyphen/>
        <w:t xml:space="preserve">20 </w:t>
      </w:r>
      <w:r w:rsidR="00F97A50" w:rsidRPr="00F97A50">
        <w:rPr>
          <w:sz w:val="16"/>
        </w:rPr>
        <w:t>w</w:t>
      </w:r>
      <w:r w:rsidR="00F67C70">
        <w:rPr>
          <w:sz w:val="16"/>
        </w:rPr>
        <w:t xml:space="preserve">as </w:t>
      </w:r>
      <w:r w:rsidR="001D14B2" w:rsidRPr="00F97A50">
        <w:rPr>
          <w:sz w:val="16"/>
        </w:rPr>
        <w:t>a</w:t>
      </w:r>
      <w:r w:rsidR="00F67C70">
        <w:rPr>
          <w:sz w:val="16"/>
        </w:rPr>
        <w:t xml:space="preserve"> </w:t>
      </w:r>
      <w:r>
        <w:rPr>
          <w:sz w:val="16"/>
        </w:rPr>
        <w:t xml:space="preserve">fall </w:t>
      </w:r>
      <w:r w:rsidR="00F67C70">
        <w:rPr>
          <w:sz w:val="16"/>
        </w:rPr>
        <w:t xml:space="preserve">of </w:t>
      </w:r>
      <w:r w:rsidR="00F97A50" w:rsidRPr="00F97A50">
        <w:rPr>
          <w:sz w:val="16"/>
        </w:rPr>
        <w:t>$</w:t>
      </w:r>
      <w:r>
        <w:rPr>
          <w:sz w:val="16"/>
        </w:rPr>
        <w:t>669</w:t>
      </w:r>
      <w:r w:rsidR="007B6BB2">
        <w:rPr>
          <w:sz w:val="16"/>
        </w:rPr>
        <w:t> </w:t>
      </w:r>
      <w:r>
        <w:rPr>
          <w:sz w:val="16"/>
        </w:rPr>
        <w:t>m</w:t>
      </w:r>
      <w:r w:rsidR="00F97A50" w:rsidRPr="00F97A50">
        <w:rPr>
          <w:sz w:val="16"/>
        </w:rPr>
        <w:t xml:space="preserve">illion </w:t>
      </w:r>
      <w:r w:rsidR="001D14B2" w:rsidRPr="00F97A50">
        <w:rPr>
          <w:sz w:val="16"/>
        </w:rPr>
        <w:t xml:space="preserve">in interest and tax paid </w:t>
      </w:r>
      <w:r w:rsidR="00F97A50" w:rsidRPr="00F97A50">
        <w:rPr>
          <w:sz w:val="16"/>
        </w:rPr>
        <w:t>on secondary income</w:t>
      </w:r>
      <w:r w:rsidR="00AC35CC" w:rsidRPr="00F97A50">
        <w:rPr>
          <w:sz w:val="16"/>
        </w:rPr>
        <w:t>.</w:t>
      </w:r>
    </w:p>
    <w:p w14:paraId="47CEB002" w14:textId="77777777" w:rsidR="00AC35CC" w:rsidRDefault="00AC35CC" w:rsidP="00AC35CC">
      <w:pPr>
        <w:spacing w:after="0"/>
        <w:jc w:val="both"/>
        <w:rPr>
          <w:sz w:val="16"/>
        </w:rPr>
      </w:pPr>
      <w:r>
        <w:rPr>
          <w:sz w:val="16"/>
        </w:rPr>
        <w:br w:type="page"/>
      </w:r>
    </w:p>
    <w:p w14:paraId="2DA8749F" w14:textId="77777777" w:rsidR="00AC35CC" w:rsidRPr="00D426CF" w:rsidRDefault="00AC35CC" w:rsidP="00AC35CC">
      <w:pPr>
        <w:pStyle w:val="BodyText"/>
        <w:spacing w:after="0"/>
      </w:pPr>
    </w:p>
    <w:p w14:paraId="328ECF5B" w14:textId="049EDA4E" w:rsidR="00AC35CC" w:rsidRPr="002404B1" w:rsidRDefault="005F1191" w:rsidP="00EC6333">
      <w:pPr>
        <w:pStyle w:val="BodyText"/>
        <w:spacing w:after="0"/>
        <w:rPr>
          <w:b/>
          <w:sz w:val="20"/>
        </w:rPr>
      </w:pPr>
      <w:r>
        <w:rPr>
          <w:b/>
          <w:sz w:val="20"/>
        </w:rPr>
        <w:t>Western Australia’s i</w:t>
      </w:r>
      <w:r w:rsidR="00F47608">
        <w:rPr>
          <w:b/>
          <w:sz w:val="20"/>
        </w:rPr>
        <w:t>nvestment</w:t>
      </w:r>
      <w:r w:rsidR="00A8430F" w:rsidRPr="00A8430F">
        <w:rPr>
          <w:b/>
          <w:sz w:val="20"/>
          <w:vertAlign w:val="superscript"/>
        </w:rPr>
        <w:t>1</w:t>
      </w:r>
      <w:r>
        <w:rPr>
          <w:b/>
          <w:sz w:val="20"/>
        </w:rPr>
        <w:t>:</w:t>
      </w:r>
      <w:r w:rsidR="00A339AC">
        <w:rPr>
          <w:b/>
          <w:sz w:val="20"/>
        </w:rPr>
        <w:t xml:space="preserve"> </w:t>
      </w:r>
      <w:r w:rsidR="00F47608">
        <w:rPr>
          <w:b/>
          <w:sz w:val="20"/>
        </w:rPr>
        <w:t>Financial years</w:t>
      </w:r>
    </w:p>
    <w:p w14:paraId="2BB59680" w14:textId="399347CF" w:rsidR="00AC35CC" w:rsidRDefault="00F31A99" w:rsidP="00AC35CC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68C9DA26" wp14:editId="1203DF1E">
            <wp:extent cx="3416300" cy="2049145"/>
            <wp:effectExtent l="0" t="0" r="0" b="825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0" cy="204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0DFE3" w14:textId="77777777" w:rsidR="00A8430F" w:rsidRDefault="00A8430F" w:rsidP="00AC35CC">
      <w:pPr>
        <w:spacing w:after="0"/>
        <w:jc w:val="both"/>
        <w:rPr>
          <w:sz w:val="10"/>
        </w:rPr>
      </w:pPr>
      <w:r w:rsidRPr="00A8430F">
        <w:rPr>
          <w:sz w:val="10"/>
          <w:vertAlign w:val="superscript"/>
        </w:rPr>
        <w:t>1</w:t>
      </w:r>
      <w:r>
        <w:rPr>
          <w:sz w:val="10"/>
        </w:rPr>
        <w:t xml:space="preserve"> Nominal.</w:t>
      </w:r>
    </w:p>
    <w:p w14:paraId="705B6811" w14:textId="781426C9" w:rsidR="00AC35CC" w:rsidRPr="00241CBD" w:rsidRDefault="00241CBD" w:rsidP="00AC35CC">
      <w:pPr>
        <w:spacing w:after="0"/>
        <w:jc w:val="both"/>
        <w:rPr>
          <w:sz w:val="10"/>
        </w:rPr>
      </w:pPr>
      <w:r>
        <w:rPr>
          <w:sz w:val="10"/>
        </w:rPr>
        <w:t xml:space="preserve">Source: </w:t>
      </w:r>
      <w:r w:rsidRPr="00BF3151">
        <w:rPr>
          <w:sz w:val="10"/>
        </w:rPr>
        <w:t>ABS 5204.0. Australian National Accounts: National Income, Expenditure an</w:t>
      </w:r>
      <w:r>
        <w:rPr>
          <w:sz w:val="10"/>
        </w:rPr>
        <w:t xml:space="preserve">d Product (Quarterly); and </w:t>
      </w:r>
      <w:r w:rsidRPr="00BF3151">
        <w:rPr>
          <w:sz w:val="10"/>
        </w:rPr>
        <w:t>ABS 5220.0 Australian National Ac</w:t>
      </w:r>
      <w:r>
        <w:rPr>
          <w:sz w:val="10"/>
        </w:rPr>
        <w:t>counts: State Accounts (Annual)</w:t>
      </w:r>
      <w:r w:rsidR="00AC35CC">
        <w:rPr>
          <w:sz w:val="10"/>
        </w:rPr>
        <w:t>.</w:t>
      </w:r>
    </w:p>
    <w:p w14:paraId="22370133" w14:textId="7215764F" w:rsidR="00AC35CC" w:rsidRDefault="00AC35CC" w:rsidP="00AC35CC">
      <w:pPr>
        <w:spacing w:after="0"/>
        <w:jc w:val="both"/>
        <w:rPr>
          <w:sz w:val="16"/>
        </w:rPr>
      </w:pPr>
    </w:p>
    <w:p w14:paraId="3335CF4E" w14:textId="77777777" w:rsidR="00AC35CC" w:rsidRDefault="00AC35CC" w:rsidP="00AC35CC">
      <w:pPr>
        <w:spacing w:after="0"/>
        <w:jc w:val="both"/>
        <w:rPr>
          <w:sz w:val="16"/>
        </w:rPr>
      </w:pPr>
    </w:p>
    <w:p w14:paraId="325EABA5" w14:textId="77777777" w:rsidR="00AC35CC" w:rsidRDefault="00AC35CC" w:rsidP="00AC35CC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74EB9747" w14:textId="77777777" w:rsidR="00AC35CC" w:rsidRDefault="00AC35CC" w:rsidP="00AC35CC">
      <w:pPr>
        <w:spacing w:after="0"/>
        <w:jc w:val="both"/>
        <w:rPr>
          <w:sz w:val="16"/>
        </w:rPr>
      </w:pPr>
    </w:p>
    <w:p w14:paraId="0D1783CB" w14:textId="77777777" w:rsidR="00AC35CC" w:rsidRDefault="00AC35CC" w:rsidP="00AC35CC">
      <w:pPr>
        <w:spacing w:after="0"/>
        <w:jc w:val="both"/>
        <w:rPr>
          <w:sz w:val="16"/>
        </w:rPr>
      </w:pPr>
    </w:p>
    <w:p w14:paraId="5A27C61B" w14:textId="10A677E9" w:rsidR="00AC35CC" w:rsidRPr="00920EEA" w:rsidRDefault="00AC35CC" w:rsidP="00AC35C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920EEA">
        <w:rPr>
          <w:sz w:val="16"/>
        </w:rPr>
        <w:t>Western Australia</w:t>
      </w:r>
      <w:r w:rsidR="003E1F3E">
        <w:rPr>
          <w:sz w:val="16"/>
        </w:rPr>
        <w:t xml:space="preserve"> </w:t>
      </w:r>
      <w:r w:rsidR="003E1F3E" w:rsidRPr="003E1F3E">
        <w:rPr>
          <w:sz w:val="16"/>
        </w:rPr>
        <w:t>accounted for 18% of Australia’s business investment in 2019-20</w:t>
      </w:r>
      <w:r w:rsidRPr="00920EEA">
        <w:rPr>
          <w:sz w:val="16"/>
        </w:rPr>
        <w:t>.</w:t>
      </w:r>
    </w:p>
    <w:p w14:paraId="42E7DEF6" w14:textId="15F0F7DB" w:rsidR="00AC35CC" w:rsidRPr="00920EEA" w:rsidRDefault="003E1F3E" w:rsidP="00AC35C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E1F3E">
        <w:rPr>
          <w:sz w:val="16"/>
        </w:rPr>
        <w:t xml:space="preserve">Business investment accounted for 12% of </w:t>
      </w:r>
      <w:r>
        <w:rPr>
          <w:sz w:val="16"/>
        </w:rPr>
        <w:t xml:space="preserve">Western Australia’s </w:t>
      </w:r>
      <w:r w:rsidRPr="003E1F3E">
        <w:rPr>
          <w:sz w:val="16"/>
        </w:rPr>
        <w:t xml:space="preserve">GSP and </w:t>
      </w:r>
      <w:r w:rsidR="00F31A99">
        <w:rPr>
          <w:sz w:val="16"/>
        </w:rPr>
        <w:t>contribut</w:t>
      </w:r>
      <w:r w:rsidRPr="003E1F3E">
        <w:rPr>
          <w:sz w:val="16"/>
        </w:rPr>
        <w:t>ed 1.</w:t>
      </w:r>
      <w:r w:rsidR="00F31A99">
        <w:rPr>
          <w:sz w:val="16"/>
        </w:rPr>
        <w:t>1</w:t>
      </w:r>
      <w:r>
        <w:rPr>
          <w:sz w:val="16"/>
        </w:rPr>
        <w:t> </w:t>
      </w:r>
      <w:r w:rsidRPr="003E1F3E">
        <w:rPr>
          <w:sz w:val="16"/>
        </w:rPr>
        <w:t xml:space="preserve">percentage points </w:t>
      </w:r>
      <w:r w:rsidR="005540BC">
        <w:rPr>
          <w:sz w:val="16"/>
        </w:rPr>
        <w:t xml:space="preserve">to </w:t>
      </w:r>
      <w:r>
        <w:rPr>
          <w:sz w:val="16"/>
        </w:rPr>
        <w:t xml:space="preserve">the State’s </w:t>
      </w:r>
      <w:r w:rsidRPr="003E1F3E">
        <w:rPr>
          <w:sz w:val="16"/>
        </w:rPr>
        <w:t>real GSP growth</w:t>
      </w:r>
      <w:r>
        <w:rPr>
          <w:sz w:val="16"/>
        </w:rPr>
        <w:t xml:space="preserve"> </w:t>
      </w:r>
      <w:r w:rsidRPr="003E1F3E">
        <w:rPr>
          <w:sz w:val="16"/>
        </w:rPr>
        <w:t>in 201</w:t>
      </w:r>
      <w:r w:rsidR="00F31A99">
        <w:rPr>
          <w:sz w:val="16"/>
        </w:rPr>
        <w:t>9-20</w:t>
      </w:r>
      <w:r w:rsidR="00AC35CC" w:rsidRPr="00920EEA">
        <w:rPr>
          <w:sz w:val="16"/>
        </w:rPr>
        <w:t>.</w:t>
      </w:r>
    </w:p>
    <w:p w14:paraId="71756827" w14:textId="359ADC4A" w:rsidR="00DC4C04" w:rsidRDefault="00DC4C04" w:rsidP="00AC35C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>In 2019-20,</w:t>
      </w:r>
      <w:r w:rsidR="005B3F1F">
        <w:rPr>
          <w:sz w:val="16"/>
        </w:rPr>
        <w:t xml:space="preserve"> the value of </w:t>
      </w:r>
      <w:r>
        <w:rPr>
          <w:sz w:val="16"/>
        </w:rPr>
        <w:t>Western Australia’s:</w:t>
      </w:r>
    </w:p>
    <w:p w14:paraId="023EB961" w14:textId="34CF2C36" w:rsidR="00DC4C04" w:rsidRDefault="00DC4C04" w:rsidP="005A3CC2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>
        <w:rPr>
          <w:sz w:val="16"/>
        </w:rPr>
        <w:t xml:space="preserve">Business investment </w:t>
      </w:r>
      <w:r w:rsidRPr="00DC4C04">
        <w:rPr>
          <w:sz w:val="16"/>
        </w:rPr>
        <w:t>rose 12% to $39.</w:t>
      </w:r>
      <w:r w:rsidR="00F31A99">
        <w:rPr>
          <w:sz w:val="16"/>
        </w:rPr>
        <w:t>1</w:t>
      </w:r>
      <w:r w:rsidRPr="00DC4C04">
        <w:rPr>
          <w:sz w:val="16"/>
        </w:rPr>
        <w:t xml:space="preserve"> billion</w:t>
      </w:r>
      <w:r w:rsidRPr="00CB298C">
        <w:rPr>
          <w:sz w:val="16"/>
        </w:rPr>
        <w:t>.</w:t>
      </w:r>
    </w:p>
    <w:p w14:paraId="1F73088E" w14:textId="4FC1C41F" w:rsidR="00DC4C04" w:rsidRDefault="00F31A99" w:rsidP="005A3CC2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>
        <w:rPr>
          <w:sz w:val="16"/>
        </w:rPr>
        <w:t>Public investment rose 3</w:t>
      </w:r>
      <w:r w:rsidR="00DC4C04">
        <w:rPr>
          <w:sz w:val="16"/>
        </w:rPr>
        <w:t>% to $9.</w:t>
      </w:r>
      <w:r>
        <w:rPr>
          <w:sz w:val="16"/>
        </w:rPr>
        <w:t>0</w:t>
      </w:r>
      <w:r w:rsidR="00DC4C04">
        <w:rPr>
          <w:sz w:val="16"/>
        </w:rPr>
        <w:t xml:space="preserve"> billion</w:t>
      </w:r>
    </w:p>
    <w:p w14:paraId="22E21494" w14:textId="4A8E128D" w:rsidR="00DC4C04" w:rsidRPr="00DC4C04" w:rsidRDefault="00DC4C04" w:rsidP="005A3CC2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>
        <w:rPr>
          <w:sz w:val="16"/>
        </w:rPr>
        <w:t>Dwelling investment fell 12% to $7.</w:t>
      </w:r>
      <w:r w:rsidR="00F31A99">
        <w:rPr>
          <w:sz w:val="16"/>
        </w:rPr>
        <w:t>2</w:t>
      </w:r>
      <w:r>
        <w:rPr>
          <w:sz w:val="16"/>
        </w:rPr>
        <w:t xml:space="preserve"> billion.</w:t>
      </w:r>
    </w:p>
    <w:p w14:paraId="5204F47B" w14:textId="19A400FA" w:rsidR="00DC4C04" w:rsidRDefault="00DF5A5E" w:rsidP="00AC35C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 xml:space="preserve">In real terms, </w:t>
      </w:r>
      <w:r w:rsidR="004A647A">
        <w:rPr>
          <w:sz w:val="16"/>
        </w:rPr>
        <w:t>Western Australia</w:t>
      </w:r>
      <w:r w:rsidR="00DC4C04">
        <w:rPr>
          <w:sz w:val="16"/>
        </w:rPr>
        <w:t xml:space="preserve">’s </w:t>
      </w:r>
      <w:r w:rsidR="00DC4C04" w:rsidRPr="00DC4C04">
        <w:rPr>
          <w:sz w:val="16"/>
        </w:rPr>
        <w:t>business investment</w:t>
      </w:r>
      <w:r w:rsidR="00D227B6">
        <w:rPr>
          <w:sz w:val="16"/>
        </w:rPr>
        <w:t xml:space="preserve"> rose 9</w:t>
      </w:r>
      <w:r w:rsidR="00F31A99">
        <w:rPr>
          <w:sz w:val="16"/>
        </w:rPr>
        <w:t>.4</w:t>
      </w:r>
      <w:r w:rsidR="00D227B6">
        <w:rPr>
          <w:sz w:val="16"/>
        </w:rPr>
        <w:t xml:space="preserve">% in 2019-20, following its </w:t>
      </w:r>
      <w:r w:rsidR="00F31A99">
        <w:rPr>
          <w:sz w:val="16"/>
        </w:rPr>
        <w:t>fall of 9.0</w:t>
      </w:r>
      <w:r w:rsidR="00DC4C04" w:rsidRPr="00DC4C04">
        <w:rPr>
          <w:sz w:val="16"/>
        </w:rPr>
        <w:t>% in 2018-19</w:t>
      </w:r>
      <w:r w:rsidR="00DC4C04">
        <w:rPr>
          <w:sz w:val="16"/>
        </w:rPr>
        <w:t>.</w:t>
      </w:r>
    </w:p>
    <w:p w14:paraId="465EEBF1" w14:textId="3F319E0B" w:rsidR="00AC35CC" w:rsidRPr="00DC4C04" w:rsidRDefault="00DC4C04" w:rsidP="00ED467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C4C04">
        <w:rPr>
          <w:sz w:val="16"/>
        </w:rPr>
        <w:t>The WA Government State Budget 2020-21 forecasts Western Australia’s business investment will grow</w:t>
      </w:r>
      <w:r w:rsidR="00DF5A5E">
        <w:rPr>
          <w:sz w:val="16"/>
        </w:rPr>
        <w:t xml:space="preserve"> in real terms by</w:t>
      </w:r>
      <w:r w:rsidRPr="00DC4C04">
        <w:rPr>
          <w:sz w:val="16"/>
        </w:rPr>
        <w:t xml:space="preserve"> </w:t>
      </w:r>
      <w:r w:rsidRPr="00DC4C04">
        <w:rPr>
          <w:sz w:val="16"/>
          <w:lang w:val="en-US"/>
        </w:rPr>
        <w:t>0.75% in 2020-21</w:t>
      </w:r>
      <w:r w:rsidR="00F31A99">
        <w:rPr>
          <w:sz w:val="16"/>
          <w:lang w:val="en-US"/>
        </w:rPr>
        <w:t xml:space="preserve"> and 2.5% in 2021-22</w:t>
      </w:r>
      <w:r w:rsidR="00AC35CC" w:rsidRPr="00DC4C04">
        <w:rPr>
          <w:sz w:val="16"/>
        </w:rPr>
        <w:t>.</w:t>
      </w:r>
    </w:p>
    <w:p w14:paraId="428E44B5" w14:textId="77777777" w:rsidR="00AC35CC" w:rsidRDefault="00AC35CC" w:rsidP="00AC35CC">
      <w:pPr>
        <w:spacing w:after="0"/>
        <w:jc w:val="both"/>
        <w:rPr>
          <w:sz w:val="16"/>
        </w:rPr>
        <w:sectPr w:rsidR="00AC35CC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66EEAA85" w14:textId="361F2E94" w:rsidR="00AC35CC" w:rsidRPr="002404B1" w:rsidRDefault="005F1191" w:rsidP="00EC6333">
      <w:pPr>
        <w:pStyle w:val="BodyText"/>
        <w:spacing w:after="0"/>
        <w:rPr>
          <w:b/>
          <w:sz w:val="20"/>
        </w:rPr>
      </w:pPr>
      <w:r>
        <w:rPr>
          <w:b/>
          <w:sz w:val="20"/>
        </w:rPr>
        <w:t>Western Australia’s p</w:t>
      </w:r>
      <w:r w:rsidR="00B54144">
        <w:rPr>
          <w:b/>
          <w:sz w:val="20"/>
        </w:rPr>
        <w:t>rivate new capital expenditure</w:t>
      </w:r>
      <w:r w:rsidR="00A8430F" w:rsidRPr="00A8430F">
        <w:rPr>
          <w:b/>
          <w:sz w:val="20"/>
          <w:vertAlign w:val="superscript"/>
        </w:rPr>
        <w:t>1</w:t>
      </w:r>
      <w:r w:rsidR="00B54144">
        <w:rPr>
          <w:b/>
          <w:sz w:val="20"/>
        </w:rPr>
        <w:t>:</w:t>
      </w:r>
      <w:r>
        <w:rPr>
          <w:b/>
          <w:sz w:val="20"/>
        </w:rPr>
        <w:t xml:space="preserve"> </w:t>
      </w:r>
      <w:r w:rsidR="00B54144">
        <w:rPr>
          <w:b/>
          <w:sz w:val="20"/>
        </w:rPr>
        <w:t>Financial years</w:t>
      </w:r>
    </w:p>
    <w:p w14:paraId="6D109731" w14:textId="2B6FE1A7" w:rsidR="00AC35CC" w:rsidRDefault="00ED4133" w:rsidP="00AC35CC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7D2AEACE" wp14:editId="7EC37517">
            <wp:extent cx="3411855" cy="2049145"/>
            <wp:effectExtent l="0" t="0" r="0" b="8255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855" cy="204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78C9A" w14:textId="5AA50B67" w:rsidR="00BC7009" w:rsidRPr="00BC7009" w:rsidRDefault="00A8430F" w:rsidP="00A8430F">
      <w:pPr>
        <w:spacing w:after="0"/>
        <w:jc w:val="both"/>
        <w:rPr>
          <w:sz w:val="10"/>
        </w:rPr>
      </w:pPr>
      <w:r w:rsidRPr="00A8430F">
        <w:rPr>
          <w:sz w:val="10"/>
          <w:vertAlign w:val="superscript"/>
        </w:rPr>
        <w:t>1</w:t>
      </w:r>
      <w:r>
        <w:rPr>
          <w:sz w:val="10"/>
        </w:rPr>
        <w:t xml:space="preserve"> Nominal. </w:t>
      </w:r>
      <w:r w:rsidR="00BC7009" w:rsidRPr="00BC7009">
        <w:rPr>
          <w:sz w:val="10"/>
        </w:rPr>
        <w:t>(a) Includes manufacturing and other industries</w:t>
      </w:r>
      <w:r w:rsidR="00BC7009">
        <w:rPr>
          <w:sz w:val="10"/>
        </w:rPr>
        <w:t xml:space="preserve">. Excludes </w:t>
      </w:r>
      <w:r w:rsidR="00BC7009" w:rsidRPr="00BC7009">
        <w:rPr>
          <w:sz w:val="10"/>
        </w:rPr>
        <w:t>agriculture, forestry and fishing; pu</w:t>
      </w:r>
      <w:r w:rsidR="00BC7009">
        <w:rPr>
          <w:sz w:val="10"/>
        </w:rPr>
        <w:t xml:space="preserve">blic administration and safety; </w:t>
      </w:r>
      <w:r w:rsidR="00BC7009" w:rsidRPr="00BC7009">
        <w:rPr>
          <w:sz w:val="10"/>
        </w:rPr>
        <w:t>education and training; healthcare and social assistance; and superannuation funds.</w:t>
      </w:r>
    </w:p>
    <w:p w14:paraId="30851BB4" w14:textId="27E1CFAE" w:rsidR="00AC35CC" w:rsidRDefault="00AC35CC" w:rsidP="00BC7009">
      <w:pPr>
        <w:spacing w:after="0"/>
        <w:jc w:val="both"/>
        <w:rPr>
          <w:sz w:val="10"/>
        </w:rPr>
      </w:pPr>
      <w:r>
        <w:rPr>
          <w:sz w:val="10"/>
        </w:rPr>
        <w:t xml:space="preserve">Source: </w:t>
      </w:r>
      <w:r w:rsidR="00BC7009">
        <w:rPr>
          <w:sz w:val="10"/>
        </w:rPr>
        <w:t>ABS 5625.0 Private New Capital Expenditure and Expected Expenditure, Australia (Quarterly)</w:t>
      </w:r>
      <w:r>
        <w:rPr>
          <w:sz w:val="10"/>
        </w:rPr>
        <w:t>.</w:t>
      </w:r>
    </w:p>
    <w:p w14:paraId="7D848741" w14:textId="77777777" w:rsidR="00AC35CC" w:rsidRDefault="00AC35CC" w:rsidP="00AC35CC">
      <w:pPr>
        <w:spacing w:after="0"/>
        <w:jc w:val="both"/>
        <w:rPr>
          <w:sz w:val="16"/>
        </w:rPr>
      </w:pPr>
    </w:p>
    <w:p w14:paraId="3FD87580" w14:textId="374A24DF" w:rsidR="00AC35CC" w:rsidRDefault="00AC35CC" w:rsidP="00AC35CC">
      <w:pPr>
        <w:spacing w:after="0"/>
        <w:jc w:val="both"/>
        <w:rPr>
          <w:sz w:val="16"/>
        </w:rPr>
      </w:pPr>
    </w:p>
    <w:p w14:paraId="6E2074F5" w14:textId="3D0213D7" w:rsidR="00AC35CC" w:rsidRPr="0081205B" w:rsidRDefault="00AC35CC" w:rsidP="00AC35C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br w:type="column"/>
      </w:r>
      <w:r w:rsidR="00BC7664">
        <w:rPr>
          <w:sz w:val="16"/>
        </w:rPr>
        <w:t>Western Australia</w:t>
      </w:r>
      <w:r w:rsidR="00C96FF7">
        <w:rPr>
          <w:sz w:val="16"/>
        </w:rPr>
        <w:t xml:space="preserve"> </w:t>
      </w:r>
      <w:r w:rsidR="00C96FF7" w:rsidRPr="00C96FF7">
        <w:rPr>
          <w:sz w:val="16"/>
        </w:rPr>
        <w:t>accounted for 54% of Australia’s</w:t>
      </w:r>
      <w:r w:rsidR="00C96FF7">
        <w:rPr>
          <w:sz w:val="16"/>
        </w:rPr>
        <w:t xml:space="preserve"> </w:t>
      </w:r>
      <w:r w:rsidR="00C96FF7" w:rsidRPr="00C96FF7">
        <w:rPr>
          <w:sz w:val="16"/>
        </w:rPr>
        <w:t>new capital expenditure</w:t>
      </w:r>
      <w:r w:rsidR="00C96FF7">
        <w:rPr>
          <w:sz w:val="16"/>
        </w:rPr>
        <w:t xml:space="preserve"> in the mining industry </w:t>
      </w:r>
      <w:r w:rsidR="00C96FF7" w:rsidRPr="00C96FF7">
        <w:rPr>
          <w:sz w:val="16"/>
        </w:rPr>
        <w:t>in 2019-20</w:t>
      </w:r>
      <w:r w:rsidRPr="0081205B">
        <w:rPr>
          <w:sz w:val="16"/>
        </w:rPr>
        <w:t>.</w:t>
      </w:r>
    </w:p>
    <w:p w14:paraId="7F25077E" w14:textId="77777777" w:rsidR="00C96FF7" w:rsidRPr="00C96FF7" w:rsidRDefault="00BC7664" w:rsidP="00C96FF7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 xml:space="preserve">The </w:t>
      </w:r>
      <w:r w:rsidR="00C96FF7">
        <w:rPr>
          <w:sz w:val="16"/>
        </w:rPr>
        <w:t xml:space="preserve">mining industry </w:t>
      </w:r>
      <w:r w:rsidR="00C96FF7" w:rsidRPr="00C96FF7">
        <w:rPr>
          <w:sz w:val="16"/>
        </w:rPr>
        <w:t>accounted for 73% of Western Australia’s private new capital expenditure in 2019-20.</w:t>
      </w:r>
    </w:p>
    <w:p w14:paraId="5F93FAEA" w14:textId="076FE6FB" w:rsidR="00C96FF7" w:rsidRPr="0081205B" w:rsidRDefault="00C96FF7" w:rsidP="00C96FF7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 xml:space="preserve">In 2019-20, </w:t>
      </w:r>
      <w:r w:rsidR="009A4E76">
        <w:rPr>
          <w:sz w:val="16"/>
        </w:rPr>
        <w:t xml:space="preserve">the </w:t>
      </w:r>
      <w:r w:rsidR="00DC4449">
        <w:rPr>
          <w:sz w:val="16"/>
        </w:rPr>
        <w:t xml:space="preserve">value of </w:t>
      </w:r>
      <w:r>
        <w:rPr>
          <w:sz w:val="16"/>
        </w:rPr>
        <w:t>Western Australia’s new capital expenditure in the:</w:t>
      </w:r>
    </w:p>
    <w:p w14:paraId="4B0DD7E5" w14:textId="66D54F1C" w:rsidR="00C96FF7" w:rsidRPr="0081205B" w:rsidRDefault="00C96FF7" w:rsidP="005A3CC2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>
        <w:rPr>
          <w:sz w:val="16"/>
        </w:rPr>
        <w:t xml:space="preserve">Mining industry </w:t>
      </w:r>
      <w:r w:rsidRPr="00C96FF7">
        <w:rPr>
          <w:sz w:val="16"/>
        </w:rPr>
        <w:t>rose 12% to $19.0</w:t>
      </w:r>
      <w:r>
        <w:rPr>
          <w:sz w:val="16"/>
        </w:rPr>
        <w:t xml:space="preserve"> billion</w:t>
      </w:r>
      <w:r w:rsidRPr="0081205B">
        <w:rPr>
          <w:sz w:val="16"/>
        </w:rPr>
        <w:t>.</w:t>
      </w:r>
    </w:p>
    <w:p w14:paraId="6D2053D1" w14:textId="3265641D" w:rsidR="00C96FF7" w:rsidRPr="0081205B" w:rsidRDefault="00C96FF7" w:rsidP="005A3CC2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>
        <w:rPr>
          <w:sz w:val="16"/>
        </w:rPr>
        <w:t>O</w:t>
      </w:r>
      <w:r w:rsidRPr="00C96FF7">
        <w:rPr>
          <w:sz w:val="16"/>
        </w:rPr>
        <w:t>ther selected industries fell 2% to $7.1</w:t>
      </w:r>
      <w:r>
        <w:rPr>
          <w:sz w:val="16"/>
        </w:rPr>
        <w:t xml:space="preserve"> </w:t>
      </w:r>
      <w:r w:rsidRPr="00C96FF7">
        <w:rPr>
          <w:sz w:val="16"/>
        </w:rPr>
        <w:t>billion</w:t>
      </w:r>
      <w:r w:rsidRPr="0081205B">
        <w:rPr>
          <w:sz w:val="16"/>
        </w:rPr>
        <w:t>.</w:t>
      </w:r>
    </w:p>
    <w:p w14:paraId="5E45CC82" w14:textId="5101AF26" w:rsidR="00AC35CC" w:rsidRPr="00C96FF7" w:rsidRDefault="00DA5421" w:rsidP="00C96FF7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 xml:space="preserve">According to the WA Department of Mines, Industry Regulation and Safety, </w:t>
      </w:r>
      <w:r w:rsidR="00C96FF7" w:rsidRPr="00C96FF7">
        <w:rPr>
          <w:sz w:val="16"/>
        </w:rPr>
        <w:t>Western Australia had $28.4 billion of major resource projects under construction or committed and $100.5</w:t>
      </w:r>
      <w:r w:rsidR="00C96FF7">
        <w:rPr>
          <w:sz w:val="16"/>
        </w:rPr>
        <w:t> billion under consideration</w:t>
      </w:r>
      <w:r>
        <w:rPr>
          <w:sz w:val="16"/>
        </w:rPr>
        <w:t xml:space="preserve"> i</w:t>
      </w:r>
      <w:r w:rsidRPr="00C96FF7">
        <w:rPr>
          <w:sz w:val="16"/>
        </w:rPr>
        <w:t>n September 2020</w:t>
      </w:r>
      <w:r w:rsidR="00AC35CC" w:rsidRPr="00C96FF7">
        <w:rPr>
          <w:sz w:val="16"/>
        </w:rPr>
        <w:t>.</w:t>
      </w:r>
    </w:p>
    <w:p w14:paraId="36C3903D" w14:textId="77777777" w:rsidR="00AC35CC" w:rsidRDefault="00AC35CC" w:rsidP="00AC35CC">
      <w:pPr>
        <w:jc w:val="both"/>
        <w:rPr>
          <w:sz w:val="16"/>
        </w:rPr>
        <w:sectPr w:rsidR="00AC35CC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14AE9D35" w14:textId="65E8762D" w:rsidR="00A8430F" w:rsidRDefault="005F1191" w:rsidP="00EC6333">
      <w:pPr>
        <w:spacing w:after="0"/>
        <w:rPr>
          <w:b/>
          <w:sz w:val="20"/>
        </w:rPr>
      </w:pPr>
      <w:r>
        <w:rPr>
          <w:b/>
          <w:sz w:val="20"/>
        </w:rPr>
        <w:t>Western Australia’s e</w:t>
      </w:r>
      <w:r w:rsidR="00A8430F">
        <w:rPr>
          <w:b/>
          <w:sz w:val="20"/>
        </w:rPr>
        <w:t>xploration expenditure</w:t>
      </w:r>
      <w:r w:rsidR="00A8430F" w:rsidRPr="00A8430F">
        <w:rPr>
          <w:b/>
          <w:sz w:val="20"/>
          <w:vertAlign w:val="superscript"/>
        </w:rPr>
        <w:t>1</w:t>
      </w:r>
      <w:r w:rsidR="00A8430F">
        <w:rPr>
          <w:b/>
          <w:sz w:val="20"/>
        </w:rPr>
        <w:t>:</w:t>
      </w:r>
    </w:p>
    <w:p w14:paraId="0781350D" w14:textId="72B13E44" w:rsidR="00AC35CC" w:rsidRPr="002404B1" w:rsidRDefault="004C7EBC" w:rsidP="00EC6333">
      <w:pPr>
        <w:spacing w:after="0"/>
        <w:rPr>
          <w:sz w:val="22"/>
        </w:rPr>
      </w:pPr>
      <w:r>
        <w:rPr>
          <w:b/>
          <w:sz w:val="20"/>
        </w:rPr>
        <w:t>Financial years</w:t>
      </w:r>
    </w:p>
    <w:p w14:paraId="02DCF2BE" w14:textId="39771BD3" w:rsidR="00AC35CC" w:rsidRDefault="00297373" w:rsidP="00AC35CC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787362E5" wp14:editId="6018FB8C">
            <wp:extent cx="3416300" cy="2049145"/>
            <wp:effectExtent l="0" t="0" r="0" b="825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0" cy="204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3B098" w14:textId="77777777" w:rsidR="00A8430F" w:rsidRDefault="00A8430F" w:rsidP="00A8430F">
      <w:pPr>
        <w:spacing w:after="0"/>
        <w:jc w:val="both"/>
        <w:rPr>
          <w:sz w:val="10"/>
        </w:rPr>
      </w:pPr>
      <w:r w:rsidRPr="00A8430F">
        <w:rPr>
          <w:sz w:val="10"/>
          <w:vertAlign w:val="superscript"/>
        </w:rPr>
        <w:t>1</w:t>
      </w:r>
      <w:r>
        <w:rPr>
          <w:sz w:val="10"/>
        </w:rPr>
        <w:t xml:space="preserve"> Nominal.</w:t>
      </w:r>
    </w:p>
    <w:p w14:paraId="71590D48" w14:textId="20109828" w:rsidR="00AC35CC" w:rsidRPr="00716C34" w:rsidRDefault="00AC35CC" w:rsidP="00AC35CC">
      <w:pPr>
        <w:spacing w:after="0"/>
        <w:jc w:val="both"/>
        <w:rPr>
          <w:sz w:val="10"/>
        </w:rPr>
      </w:pPr>
      <w:r w:rsidRPr="00716C34">
        <w:rPr>
          <w:sz w:val="10"/>
        </w:rPr>
        <w:t xml:space="preserve">Source: ABS </w:t>
      </w:r>
      <w:r w:rsidR="00F1489A">
        <w:rPr>
          <w:sz w:val="10"/>
        </w:rPr>
        <w:t xml:space="preserve">8412.0 Mineral </w:t>
      </w:r>
      <w:r w:rsidR="007073DD">
        <w:rPr>
          <w:sz w:val="10"/>
        </w:rPr>
        <w:t>and Petroleum Exploration</w:t>
      </w:r>
      <w:r w:rsidR="00F1489A">
        <w:rPr>
          <w:sz w:val="10"/>
        </w:rPr>
        <w:t>, Australia (Quarterly)</w:t>
      </w:r>
      <w:r w:rsidRPr="00716C34">
        <w:rPr>
          <w:sz w:val="10"/>
        </w:rPr>
        <w:t>.</w:t>
      </w:r>
    </w:p>
    <w:p w14:paraId="005F6E16" w14:textId="77777777" w:rsidR="00AC35CC" w:rsidRDefault="00AC35CC" w:rsidP="00AC35CC">
      <w:pPr>
        <w:spacing w:after="0"/>
        <w:jc w:val="both"/>
        <w:rPr>
          <w:sz w:val="16"/>
        </w:rPr>
      </w:pPr>
    </w:p>
    <w:p w14:paraId="680EEDD3" w14:textId="736CF639" w:rsidR="00AC35CC" w:rsidRDefault="00AC35CC" w:rsidP="00AC35C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263AEC">
        <w:rPr>
          <w:sz w:val="16"/>
        </w:rPr>
        <w:br w:type="column"/>
      </w:r>
      <w:r w:rsidR="00F5370E">
        <w:rPr>
          <w:sz w:val="16"/>
        </w:rPr>
        <w:t xml:space="preserve">Western Australia </w:t>
      </w:r>
      <w:r w:rsidR="00091204" w:rsidRPr="00091204">
        <w:rPr>
          <w:sz w:val="16"/>
        </w:rPr>
        <w:t>accounted for 61% of Australia’s minerals exploration expenditure in 2019-20</w:t>
      </w:r>
      <w:r w:rsidRPr="00263AEC">
        <w:rPr>
          <w:sz w:val="16"/>
        </w:rPr>
        <w:t>.</w:t>
      </w:r>
    </w:p>
    <w:p w14:paraId="362EDA4D" w14:textId="45130905" w:rsidR="00091204" w:rsidRPr="00091204" w:rsidRDefault="00DC4449" w:rsidP="00ED467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>The value of m</w:t>
      </w:r>
      <w:r w:rsidR="00091204" w:rsidRPr="00091204">
        <w:rPr>
          <w:sz w:val="16"/>
        </w:rPr>
        <w:t>inerals exploration expenditure in Western Australia rose 17% to $1.7 billion in 2019</w:t>
      </w:r>
      <w:r>
        <w:rPr>
          <w:sz w:val="16"/>
        </w:rPr>
        <w:noBreakHyphen/>
      </w:r>
      <w:r w:rsidR="00091204" w:rsidRPr="00091204">
        <w:rPr>
          <w:sz w:val="16"/>
        </w:rPr>
        <w:t>20, mainly due to increases in gold and copper exploration.</w:t>
      </w:r>
    </w:p>
    <w:p w14:paraId="1FC69B76" w14:textId="43AFEEEE" w:rsidR="00AC35CC" w:rsidRPr="00263AEC" w:rsidRDefault="00AC35CC" w:rsidP="00AC35C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263AEC">
        <w:rPr>
          <w:sz w:val="16"/>
        </w:rPr>
        <w:t>Western Australia</w:t>
      </w:r>
      <w:r w:rsidR="00091204">
        <w:rPr>
          <w:sz w:val="16"/>
        </w:rPr>
        <w:t xml:space="preserve"> </w:t>
      </w:r>
      <w:r w:rsidR="00091204" w:rsidRPr="00091204">
        <w:rPr>
          <w:sz w:val="16"/>
        </w:rPr>
        <w:t>accounted for 47% of Australia’s petroleum exploration expenditure in 2019-20</w:t>
      </w:r>
      <w:r w:rsidRPr="00263AEC">
        <w:rPr>
          <w:sz w:val="16"/>
        </w:rPr>
        <w:t>.</w:t>
      </w:r>
    </w:p>
    <w:p w14:paraId="2146BDA2" w14:textId="7B408665" w:rsidR="00AC35CC" w:rsidRPr="00263AEC" w:rsidRDefault="00DC4449" w:rsidP="00AC35C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>The value of p</w:t>
      </w:r>
      <w:r w:rsidR="00091204" w:rsidRPr="00091204">
        <w:rPr>
          <w:sz w:val="16"/>
        </w:rPr>
        <w:t>etroleum exploration expenditure</w:t>
      </w:r>
      <w:r w:rsidR="00091204">
        <w:rPr>
          <w:sz w:val="16"/>
        </w:rPr>
        <w:t xml:space="preserve"> in Western Australia </w:t>
      </w:r>
      <w:r w:rsidR="00091204" w:rsidRPr="00091204">
        <w:rPr>
          <w:sz w:val="16"/>
        </w:rPr>
        <w:t>fell 19% to $595 million in 2019</w:t>
      </w:r>
      <w:r>
        <w:rPr>
          <w:sz w:val="16"/>
        </w:rPr>
        <w:noBreakHyphen/>
      </w:r>
      <w:r w:rsidR="00091204" w:rsidRPr="00091204">
        <w:rPr>
          <w:sz w:val="16"/>
        </w:rPr>
        <w:t>20</w:t>
      </w:r>
      <w:r w:rsidR="00AC35CC" w:rsidRPr="00263AEC">
        <w:rPr>
          <w:sz w:val="16"/>
        </w:rPr>
        <w:t>.</w:t>
      </w:r>
    </w:p>
    <w:p w14:paraId="31E5B96F" w14:textId="77777777" w:rsidR="00AC35CC" w:rsidRDefault="00AC35CC" w:rsidP="00AC35CC">
      <w:pPr>
        <w:jc w:val="both"/>
        <w:rPr>
          <w:sz w:val="16"/>
        </w:rPr>
      </w:pPr>
      <w:r>
        <w:rPr>
          <w:sz w:val="16"/>
        </w:rPr>
        <w:br w:type="page"/>
      </w:r>
    </w:p>
    <w:p w14:paraId="1C34F436" w14:textId="77777777" w:rsidR="00591BD4" w:rsidRPr="00237284" w:rsidRDefault="00591BD4" w:rsidP="00591BD4">
      <w:pPr>
        <w:pStyle w:val="BodyText"/>
        <w:spacing w:after="0"/>
      </w:pPr>
      <w:bookmarkStart w:id="3" w:name="_SOUTH_KOREA"/>
      <w:bookmarkEnd w:id="3"/>
    </w:p>
    <w:p w14:paraId="36897B02" w14:textId="428424FD" w:rsidR="00591BD4" w:rsidRPr="00733D32" w:rsidRDefault="007D1C96" w:rsidP="00EC6333">
      <w:pPr>
        <w:pStyle w:val="BodyText"/>
        <w:spacing w:after="0"/>
        <w:rPr>
          <w:b/>
          <w:sz w:val="20"/>
        </w:rPr>
      </w:pPr>
      <w:r>
        <w:rPr>
          <w:b/>
          <w:sz w:val="20"/>
        </w:rPr>
        <w:t>House prices</w:t>
      </w:r>
      <w:r w:rsidRPr="007D1C96">
        <w:rPr>
          <w:b/>
          <w:sz w:val="20"/>
          <w:vertAlign w:val="superscript"/>
        </w:rPr>
        <w:t>1</w:t>
      </w:r>
      <w:r>
        <w:rPr>
          <w:b/>
          <w:sz w:val="20"/>
        </w:rPr>
        <w:t xml:space="preserve"> and rents</w:t>
      </w:r>
      <w:r w:rsidRPr="007D1C96">
        <w:rPr>
          <w:b/>
          <w:sz w:val="20"/>
          <w:vertAlign w:val="superscript"/>
        </w:rPr>
        <w:t>2</w:t>
      </w:r>
      <w:r>
        <w:rPr>
          <w:b/>
          <w:sz w:val="20"/>
        </w:rPr>
        <w:t>: Quarter</w:t>
      </w:r>
      <w:r w:rsidR="000A576B">
        <w:rPr>
          <w:b/>
          <w:sz w:val="20"/>
        </w:rPr>
        <w:t>s</w:t>
      </w:r>
    </w:p>
    <w:p w14:paraId="5340C8D4" w14:textId="1F25FEA3" w:rsidR="00591BD4" w:rsidRDefault="00A82EED" w:rsidP="00591BD4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6ED0199B" wp14:editId="1ADCAEAE">
            <wp:extent cx="3424555" cy="2052955"/>
            <wp:effectExtent l="0" t="0" r="4445" b="444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4555" cy="205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B81C7" w14:textId="662C451D" w:rsidR="007D1C96" w:rsidRDefault="008A035D" w:rsidP="00591BD4">
      <w:pPr>
        <w:spacing w:after="0"/>
        <w:jc w:val="both"/>
        <w:rPr>
          <w:sz w:val="10"/>
        </w:rPr>
      </w:pPr>
      <w:r>
        <w:rPr>
          <w:sz w:val="10"/>
        </w:rPr>
        <w:t xml:space="preserve">Note – Axis does not start at zero. </w:t>
      </w:r>
      <w:r w:rsidR="007D1C96" w:rsidRPr="007D1C96">
        <w:rPr>
          <w:sz w:val="10"/>
          <w:vertAlign w:val="superscript"/>
        </w:rPr>
        <w:t>1</w:t>
      </w:r>
      <w:r w:rsidR="007D1C96">
        <w:rPr>
          <w:sz w:val="10"/>
        </w:rPr>
        <w:t xml:space="preserve"> Median established house prices. </w:t>
      </w:r>
      <w:r w:rsidR="007D1C96" w:rsidRPr="007D1C96">
        <w:rPr>
          <w:sz w:val="10"/>
          <w:vertAlign w:val="superscript"/>
        </w:rPr>
        <w:t>2</w:t>
      </w:r>
      <w:r w:rsidR="007D1C96">
        <w:rPr>
          <w:sz w:val="10"/>
        </w:rPr>
        <w:t xml:space="preserve"> Index of rent prices in Perth 2011-12 = 100.0.</w:t>
      </w:r>
    </w:p>
    <w:p w14:paraId="77654354" w14:textId="6D95780C" w:rsidR="00591BD4" w:rsidRDefault="00591BD4" w:rsidP="00591BD4">
      <w:pPr>
        <w:spacing w:after="0"/>
        <w:jc w:val="both"/>
        <w:rPr>
          <w:sz w:val="10"/>
        </w:rPr>
      </w:pPr>
      <w:r w:rsidRPr="00A441A2">
        <w:rPr>
          <w:sz w:val="10"/>
        </w:rPr>
        <w:t xml:space="preserve">Source: </w:t>
      </w:r>
      <w:r w:rsidR="00997D43" w:rsidRPr="00997D43">
        <w:rPr>
          <w:sz w:val="10"/>
        </w:rPr>
        <w:t>ABS 6416.0 Residential Property Price Indexes</w:t>
      </w:r>
      <w:r w:rsidR="00997D43">
        <w:rPr>
          <w:sz w:val="10"/>
        </w:rPr>
        <w:t xml:space="preserve">, </w:t>
      </w:r>
      <w:r w:rsidR="002A575F">
        <w:rPr>
          <w:sz w:val="10"/>
        </w:rPr>
        <w:t>Eight Capital Cities</w:t>
      </w:r>
      <w:r w:rsidR="00997D43">
        <w:rPr>
          <w:sz w:val="10"/>
        </w:rPr>
        <w:t xml:space="preserve"> (Quarterly)</w:t>
      </w:r>
      <w:r w:rsidR="00997D43" w:rsidRPr="00997D43">
        <w:rPr>
          <w:sz w:val="10"/>
        </w:rPr>
        <w:t xml:space="preserve">; and </w:t>
      </w:r>
      <w:r w:rsidR="00997D43">
        <w:rPr>
          <w:sz w:val="10"/>
        </w:rPr>
        <w:t xml:space="preserve">ABS </w:t>
      </w:r>
      <w:r w:rsidR="00997D43" w:rsidRPr="00997D43">
        <w:rPr>
          <w:sz w:val="10"/>
        </w:rPr>
        <w:t>6401.0 Consumer Price Index</w:t>
      </w:r>
      <w:r w:rsidR="00997D43">
        <w:rPr>
          <w:sz w:val="10"/>
        </w:rPr>
        <w:t>, Australia (Quarterly)</w:t>
      </w:r>
      <w:r>
        <w:rPr>
          <w:sz w:val="10"/>
        </w:rPr>
        <w:t>.</w:t>
      </w:r>
    </w:p>
    <w:p w14:paraId="02D4F750" w14:textId="77777777" w:rsidR="00591BD4" w:rsidRDefault="00591BD4" w:rsidP="00591BD4">
      <w:pPr>
        <w:spacing w:after="0"/>
        <w:jc w:val="both"/>
        <w:rPr>
          <w:sz w:val="16"/>
        </w:rPr>
      </w:pPr>
    </w:p>
    <w:p w14:paraId="61243B0A" w14:textId="77777777" w:rsidR="00591BD4" w:rsidRPr="00CB298C" w:rsidRDefault="00591BD4" w:rsidP="00591BD4">
      <w:pPr>
        <w:spacing w:after="0"/>
        <w:jc w:val="both"/>
        <w:rPr>
          <w:sz w:val="16"/>
        </w:rPr>
      </w:pPr>
    </w:p>
    <w:p w14:paraId="45F9E1A6" w14:textId="77777777" w:rsidR="00591BD4" w:rsidRDefault="00591BD4" w:rsidP="00591BD4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1E52702E" w14:textId="77777777" w:rsidR="00591BD4" w:rsidRDefault="00591BD4" w:rsidP="00591BD4">
      <w:pPr>
        <w:spacing w:after="0"/>
        <w:jc w:val="both"/>
        <w:rPr>
          <w:sz w:val="16"/>
        </w:rPr>
      </w:pPr>
    </w:p>
    <w:p w14:paraId="5BA64424" w14:textId="77777777" w:rsidR="00591BD4" w:rsidRDefault="00591BD4" w:rsidP="00591BD4">
      <w:pPr>
        <w:spacing w:after="0"/>
        <w:jc w:val="both"/>
        <w:rPr>
          <w:sz w:val="16"/>
        </w:rPr>
      </w:pPr>
    </w:p>
    <w:p w14:paraId="55AAE3A2" w14:textId="77777777" w:rsidR="002A575F" w:rsidRDefault="002A575F" w:rsidP="002A575F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2A575F">
        <w:rPr>
          <w:sz w:val="16"/>
        </w:rPr>
        <w:t>Perth’s median established house price fell 2.0% to $470,300 in the June quarter 2020.</w:t>
      </w:r>
    </w:p>
    <w:p w14:paraId="63731867" w14:textId="57497472" w:rsidR="002A575F" w:rsidRPr="002A575F" w:rsidRDefault="002A575F" w:rsidP="002A575F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 xml:space="preserve">Perth’s </w:t>
      </w:r>
      <w:r w:rsidRPr="002A575F">
        <w:rPr>
          <w:sz w:val="16"/>
        </w:rPr>
        <w:t>median established house price</w:t>
      </w:r>
      <w:r>
        <w:rPr>
          <w:sz w:val="16"/>
        </w:rPr>
        <w:t xml:space="preserve"> </w:t>
      </w:r>
      <w:r w:rsidR="0082027E">
        <w:rPr>
          <w:sz w:val="16"/>
        </w:rPr>
        <w:t xml:space="preserve">fell </w:t>
      </w:r>
      <w:r w:rsidRPr="002A575F">
        <w:rPr>
          <w:sz w:val="16"/>
        </w:rPr>
        <w:t>3.0% through the year to the June quarter 2020.</w:t>
      </w:r>
    </w:p>
    <w:p w14:paraId="3B0B12C3" w14:textId="0CC26F58" w:rsidR="002A575F" w:rsidRDefault="002A575F" w:rsidP="002A575F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2A575F">
        <w:rPr>
          <w:sz w:val="16"/>
        </w:rPr>
        <w:t xml:space="preserve">The </w:t>
      </w:r>
      <w:r w:rsidR="005540BC" w:rsidRPr="002A575F">
        <w:rPr>
          <w:sz w:val="16"/>
        </w:rPr>
        <w:t>median established house</w:t>
      </w:r>
      <w:r w:rsidR="0082027E">
        <w:rPr>
          <w:sz w:val="16"/>
        </w:rPr>
        <w:t xml:space="preserve"> price</w:t>
      </w:r>
      <w:r w:rsidR="005540BC">
        <w:rPr>
          <w:sz w:val="16"/>
        </w:rPr>
        <w:t xml:space="preserve"> for the</w:t>
      </w:r>
      <w:r w:rsidR="005540BC" w:rsidRPr="002A575F">
        <w:rPr>
          <w:sz w:val="16"/>
        </w:rPr>
        <w:t xml:space="preserve"> </w:t>
      </w:r>
      <w:r w:rsidRPr="002A575F">
        <w:rPr>
          <w:sz w:val="16"/>
        </w:rPr>
        <w:t>rest of Western Australia’s (excluding Perth) fell 4.5% to $320,000 in the June quarter 2020.</w:t>
      </w:r>
    </w:p>
    <w:p w14:paraId="45307B59" w14:textId="718D0C91" w:rsidR="002A575F" w:rsidRPr="002A575F" w:rsidRDefault="002A575F" w:rsidP="002A575F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2A575F">
        <w:rPr>
          <w:sz w:val="16"/>
        </w:rPr>
        <w:t xml:space="preserve">The </w:t>
      </w:r>
      <w:r w:rsidR="005540BC" w:rsidRPr="002A575F">
        <w:rPr>
          <w:sz w:val="16"/>
        </w:rPr>
        <w:t xml:space="preserve">median established house price </w:t>
      </w:r>
      <w:r w:rsidR="005540BC">
        <w:rPr>
          <w:sz w:val="16"/>
        </w:rPr>
        <w:t xml:space="preserve">for the </w:t>
      </w:r>
      <w:r w:rsidRPr="002A575F">
        <w:rPr>
          <w:sz w:val="16"/>
        </w:rPr>
        <w:t>rest of Western Australia’s (excluding Perth) was steady through the year to the June quarter 2020.</w:t>
      </w:r>
    </w:p>
    <w:p w14:paraId="4D71814C" w14:textId="77777777" w:rsidR="002A575F" w:rsidRDefault="002A575F" w:rsidP="00591BD4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2A575F">
        <w:rPr>
          <w:sz w:val="16"/>
        </w:rPr>
        <w:t>Perth rents fell 0.3% in the September quarter 2020</w:t>
      </w:r>
      <w:r>
        <w:rPr>
          <w:sz w:val="16"/>
        </w:rPr>
        <w:t>.</w:t>
      </w:r>
    </w:p>
    <w:p w14:paraId="04468C99" w14:textId="2DD070B4" w:rsidR="00591BD4" w:rsidRPr="002A575F" w:rsidRDefault="002A575F" w:rsidP="00ED467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2A575F">
        <w:rPr>
          <w:sz w:val="16"/>
        </w:rPr>
        <w:t>Perth rents fell 1.2% through the year to the September quarter 2020</w:t>
      </w:r>
      <w:r w:rsidR="00591BD4" w:rsidRPr="002A575F">
        <w:rPr>
          <w:sz w:val="16"/>
        </w:rPr>
        <w:t>.</w:t>
      </w:r>
    </w:p>
    <w:p w14:paraId="218C6F7F" w14:textId="77777777" w:rsidR="00591BD4" w:rsidRDefault="00591BD4" w:rsidP="00591BD4">
      <w:pPr>
        <w:pStyle w:val="BodyText"/>
        <w:spacing w:after="0"/>
        <w:jc w:val="both"/>
        <w:rPr>
          <w:sz w:val="16"/>
        </w:rPr>
        <w:sectPr w:rsidR="00591BD4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239E3188" w14:textId="1AE2866A" w:rsidR="00591BD4" w:rsidRPr="00733D32" w:rsidRDefault="005F1191" w:rsidP="00EC6333">
      <w:pPr>
        <w:pStyle w:val="BodyText"/>
        <w:spacing w:after="0"/>
        <w:rPr>
          <w:b/>
          <w:sz w:val="20"/>
        </w:rPr>
      </w:pPr>
      <w:r>
        <w:rPr>
          <w:b/>
          <w:sz w:val="20"/>
        </w:rPr>
        <w:t>Western Australia’s b</w:t>
      </w:r>
      <w:r w:rsidR="00933F29">
        <w:rPr>
          <w:b/>
          <w:sz w:val="20"/>
        </w:rPr>
        <w:t>uildin</w:t>
      </w:r>
      <w:r w:rsidR="000A576B">
        <w:rPr>
          <w:b/>
          <w:sz w:val="20"/>
        </w:rPr>
        <w:t>g and engineering construction activity</w:t>
      </w:r>
      <w:r w:rsidR="00100AA3" w:rsidRPr="00100AA3">
        <w:rPr>
          <w:b/>
          <w:sz w:val="20"/>
          <w:vertAlign w:val="superscript"/>
        </w:rPr>
        <w:t>1</w:t>
      </w:r>
      <w:r w:rsidR="00933F29">
        <w:rPr>
          <w:b/>
          <w:sz w:val="20"/>
        </w:rPr>
        <w:t>:</w:t>
      </w:r>
      <w:r>
        <w:rPr>
          <w:b/>
          <w:sz w:val="20"/>
        </w:rPr>
        <w:t xml:space="preserve"> </w:t>
      </w:r>
      <w:r w:rsidR="00933F29">
        <w:rPr>
          <w:b/>
          <w:sz w:val="20"/>
        </w:rPr>
        <w:t>Financial years</w:t>
      </w:r>
    </w:p>
    <w:p w14:paraId="117ACA13" w14:textId="5ACF378D" w:rsidR="00933F29" w:rsidRPr="00933F29" w:rsidRDefault="0012712C" w:rsidP="00591BD4">
      <w:pPr>
        <w:pStyle w:val="BodyText"/>
        <w:spacing w:after="0"/>
        <w:jc w:val="both"/>
        <w:rPr>
          <w:sz w:val="16"/>
          <w:vertAlign w:val="superscript"/>
        </w:rPr>
      </w:pPr>
      <w:r>
        <w:rPr>
          <w:noProof/>
          <w:sz w:val="16"/>
          <w:vertAlign w:val="superscript"/>
          <w:lang w:eastAsia="en-AU"/>
        </w:rPr>
        <w:drawing>
          <wp:inline distT="0" distB="0" distL="0" distR="0" wp14:anchorId="51AF47C8" wp14:editId="5D107116">
            <wp:extent cx="3424555" cy="2052955"/>
            <wp:effectExtent l="0" t="0" r="4445" b="4445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4555" cy="205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A7B29" w14:textId="77777777" w:rsidR="00100AA3" w:rsidRDefault="00100AA3" w:rsidP="00100AA3">
      <w:pPr>
        <w:spacing w:after="0"/>
        <w:jc w:val="both"/>
        <w:rPr>
          <w:sz w:val="10"/>
        </w:rPr>
      </w:pPr>
      <w:r w:rsidRPr="00A8430F">
        <w:rPr>
          <w:sz w:val="10"/>
          <w:vertAlign w:val="superscript"/>
        </w:rPr>
        <w:t>1</w:t>
      </w:r>
      <w:r>
        <w:rPr>
          <w:sz w:val="10"/>
        </w:rPr>
        <w:t xml:space="preserve"> Nominal.</w:t>
      </w:r>
    </w:p>
    <w:p w14:paraId="7FAE609A" w14:textId="692E4620" w:rsidR="00591BD4" w:rsidRDefault="005E7006" w:rsidP="00591BD4">
      <w:pPr>
        <w:pStyle w:val="BodyText"/>
        <w:spacing w:after="0"/>
        <w:jc w:val="both"/>
        <w:rPr>
          <w:sz w:val="10"/>
        </w:rPr>
      </w:pPr>
      <w:r>
        <w:rPr>
          <w:sz w:val="10"/>
        </w:rPr>
        <w:t>Source: ABS</w:t>
      </w:r>
      <w:r w:rsidRPr="005E7006">
        <w:rPr>
          <w:sz w:val="10"/>
        </w:rPr>
        <w:t xml:space="preserve"> 8752.0 Building Activity</w:t>
      </w:r>
      <w:r>
        <w:rPr>
          <w:sz w:val="10"/>
        </w:rPr>
        <w:t>, Australia (Quarterly)</w:t>
      </w:r>
      <w:r w:rsidRPr="005E7006">
        <w:rPr>
          <w:sz w:val="10"/>
        </w:rPr>
        <w:t xml:space="preserve">; and </w:t>
      </w:r>
      <w:r>
        <w:rPr>
          <w:sz w:val="10"/>
        </w:rPr>
        <w:t xml:space="preserve">ABS </w:t>
      </w:r>
      <w:r w:rsidRPr="005E7006">
        <w:rPr>
          <w:sz w:val="10"/>
        </w:rPr>
        <w:t>8762.0 Engineering Construction Activity</w:t>
      </w:r>
      <w:r w:rsidR="000A576B">
        <w:rPr>
          <w:sz w:val="10"/>
        </w:rPr>
        <w:t>, Australia (Quarterly</w:t>
      </w:r>
      <w:r>
        <w:rPr>
          <w:sz w:val="10"/>
        </w:rPr>
        <w:t>)</w:t>
      </w:r>
      <w:r w:rsidR="00591BD4" w:rsidRPr="00B720D6">
        <w:rPr>
          <w:sz w:val="10"/>
        </w:rPr>
        <w:t>.</w:t>
      </w:r>
    </w:p>
    <w:p w14:paraId="5FBCF93E" w14:textId="77777777" w:rsidR="00591BD4" w:rsidRDefault="00591BD4" w:rsidP="00591BD4">
      <w:pPr>
        <w:pStyle w:val="BodyText"/>
        <w:spacing w:after="0"/>
        <w:jc w:val="both"/>
        <w:rPr>
          <w:sz w:val="16"/>
        </w:rPr>
      </w:pPr>
    </w:p>
    <w:p w14:paraId="2579682C" w14:textId="77777777" w:rsidR="00591BD4" w:rsidRPr="00403DB4" w:rsidRDefault="00591BD4" w:rsidP="00591BD4">
      <w:pPr>
        <w:pStyle w:val="BodyText"/>
        <w:spacing w:after="0"/>
        <w:jc w:val="both"/>
        <w:rPr>
          <w:sz w:val="16"/>
        </w:rPr>
      </w:pPr>
    </w:p>
    <w:p w14:paraId="25484C30" w14:textId="08128A8C" w:rsidR="00591BD4" w:rsidRPr="005E7006" w:rsidRDefault="00591BD4" w:rsidP="005E7006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br w:type="column"/>
      </w:r>
      <w:r w:rsidR="005E7006">
        <w:rPr>
          <w:sz w:val="16"/>
        </w:rPr>
        <w:t xml:space="preserve">In 2019-20, the value of </w:t>
      </w:r>
      <w:r w:rsidRPr="00CB298C">
        <w:rPr>
          <w:sz w:val="16"/>
        </w:rPr>
        <w:t>Western Australia’s</w:t>
      </w:r>
      <w:r w:rsidR="005E7006">
        <w:rPr>
          <w:sz w:val="16"/>
        </w:rPr>
        <w:t xml:space="preserve"> activity on</w:t>
      </w:r>
      <w:r w:rsidRPr="005E7006">
        <w:rPr>
          <w:sz w:val="16"/>
        </w:rPr>
        <w:t>:</w:t>
      </w:r>
    </w:p>
    <w:p w14:paraId="619F9D4F" w14:textId="3C8DEBED" w:rsidR="00591BD4" w:rsidRPr="00CB298C" w:rsidRDefault="005E7006" w:rsidP="005A3CC2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5E7006">
        <w:rPr>
          <w:sz w:val="16"/>
        </w:rPr>
        <w:t>Residential building fell 13% to $4.8</w:t>
      </w:r>
      <w:r>
        <w:rPr>
          <w:sz w:val="16"/>
        </w:rPr>
        <w:t xml:space="preserve"> billion</w:t>
      </w:r>
      <w:r w:rsidR="00591BD4" w:rsidRPr="00CB298C">
        <w:rPr>
          <w:sz w:val="16"/>
        </w:rPr>
        <w:t>.</w:t>
      </w:r>
    </w:p>
    <w:p w14:paraId="4362D1AA" w14:textId="286196D5" w:rsidR="00591BD4" w:rsidRPr="00CB298C" w:rsidRDefault="005E7006" w:rsidP="005A3CC2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5E7006">
        <w:rPr>
          <w:sz w:val="16"/>
        </w:rPr>
        <w:t>Non-residential building rose 5</w:t>
      </w:r>
      <w:r>
        <w:rPr>
          <w:sz w:val="16"/>
        </w:rPr>
        <w:t>% to $4.0 billion</w:t>
      </w:r>
      <w:r w:rsidR="00591BD4" w:rsidRPr="00CB298C">
        <w:rPr>
          <w:sz w:val="16"/>
        </w:rPr>
        <w:t>.</w:t>
      </w:r>
    </w:p>
    <w:p w14:paraId="41124B29" w14:textId="1D82208B" w:rsidR="00591BD4" w:rsidRPr="00CB298C" w:rsidRDefault="005E7006" w:rsidP="005A3CC2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5E7006">
        <w:rPr>
          <w:sz w:val="16"/>
        </w:rPr>
        <w:t>Heavy industry engineering construction rose 9% to $11.3 billion</w:t>
      </w:r>
      <w:r w:rsidR="00591BD4" w:rsidRPr="00CB298C">
        <w:rPr>
          <w:sz w:val="16"/>
        </w:rPr>
        <w:t>.</w:t>
      </w:r>
    </w:p>
    <w:p w14:paraId="75DA4D04" w14:textId="2A84BB64" w:rsidR="00591BD4" w:rsidRDefault="005E7006" w:rsidP="005A3CC2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5E7006">
        <w:rPr>
          <w:sz w:val="16"/>
        </w:rPr>
        <w:t>Other engineering construction rose 1% to $6.3</w:t>
      </w:r>
      <w:r>
        <w:rPr>
          <w:sz w:val="16"/>
        </w:rPr>
        <w:t> </w:t>
      </w:r>
      <w:r w:rsidRPr="005E7006">
        <w:rPr>
          <w:sz w:val="16"/>
        </w:rPr>
        <w:t xml:space="preserve">billion in 2019-20, mainly due to an increase in the construction of </w:t>
      </w:r>
      <w:r w:rsidR="005540BC">
        <w:rPr>
          <w:sz w:val="16"/>
        </w:rPr>
        <w:t xml:space="preserve">infrastructure for </w:t>
      </w:r>
      <w:r w:rsidRPr="005E7006">
        <w:rPr>
          <w:sz w:val="16"/>
        </w:rPr>
        <w:t>electricity generation, transmission and distribution and pipelines</w:t>
      </w:r>
      <w:r w:rsidR="00591BD4" w:rsidRPr="00CB298C">
        <w:rPr>
          <w:sz w:val="16"/>
        </w:rPr>
        <w:t>.</w:t>
      </w:r>
    </w:p>
    <w:p w14:paraId="52C98C96" w14:textId="77777777" w:rsidR="00591BD4" w:rsidRDefault="00591BD4" w:rsidP="00591BD4">
      <w:pPr>
        <w:pStyle w:val="BodyText"/>
        <w:spacing w:after="0"/>
        <w:jc w:val="both"/>
        <w:rPr>
          <w:sz w:val="16"/>
        </w:rPr>
        <w:sectPr w:rsidR="00591BD4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19233355" w14:textId="7F9F0D5D" w:rsidR="00591BD4" w:rsidRPr="00733D32" w:rsidRDefault="005F1191" w:rsidP="00EC6333">
      <w:pPr>
        <w:pStyle w:val="BodyText"/>
        <w:spacing w:after="0"/>
        <w:rPr>
          <w:b/>
          <w:sz w:val="20"/>
        </w:rPr>
      </w:pPr>
      <w:r>
        <w:rPr>
          <w:b/>
          <w:sz w:val="20"/>
        </w:rPr>
        <w:t>Western Australia’s b</w:t>
      </w:r>
      <w:r w:rsidR="0047115C">
        <w:rPr>
          <w:b/>
          <w:sz w:val="20"/>
        </w:rPr>
        <w:t>uilding approvals and housing finance</w:t>
      </w:r>
      <w:r w:rsidR="0047115C" w:rsidRPr="0047115C">
        <w:rPr>
          <w:b/>
          <w:sz w:val="20"/>
          <w:vertAlign w:val="superscript"/>
        </w:rPr>
        <w:t>1</w:t>
      </w:r>
      <w:r w:rsidR="000A576B">
        <w:rPr>
          <w:b/>
          <w:sz w:val="20"/>
        </w:rPr>
        <w:t>: Quarters</w:t>
      </w:r>
    </w:p>
    <w:p w14:paraId="7674F960" w14:textId="78D2D974" w:rsidR="00591BD4" w:rsidRDefault="00E77E98" w:rsidP="00591BD4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1750B863" wp14:editId="4573716A">
            <wp:extent cx="3424555" cy="2052955"/>
            <wp:effectExtent l="0" t="0" r="4445" b="4445"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4555" cy="205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A7E2C" w14:textId="0E1C8448" w:rsidR="0047115C" w:rsidRPr="0047115C" w:rsidRDefault="0047115C" w:rsidP="0047115C">
      <w:pPr>
        <w:pStyle w:val="BodyText"/>
        <w:spacing w:after="0"/>
        <w:jc w:val="both"/>
        <w:rPr>
          <w:sz w:val="10"/>
        </w:rPr>
      </w:pPr>
      <w:r w:rsidRPr="0047115C">
        <w:rPr>
          <w:sz w:val="10"/>
          <w:vertAlign w:val="superscript"/>
        </w:rPr>
        <w:t>1</w:t>
      </w:r>
      <w:r>
        <w:rPr>
          <w:sz w:val="10"/>
        </w:rPr>
        <w:t xml:space="preserve"> Seasonally adjusted</w:t>
      </w:r>
      <w:r w:rsidR="000A576B">
        <w:rPr>
          <w:sz w:val="10"/>
        </w:rPr>
        <w:t xml:space="preserve"> series</w:t>
      </w:r>
      <w:r>
        <w:rPr>
          <w:sz w:val="10"/>
        </w:rPr>
        <w:t>.</w:t>
      </w:r>
      <w:r w:rsidR="00100AA3">
        <w:rPr>
          <w:sz w:val="10"/>
        </w:rPr>
        <w:t xml:space="preserve"> Nominal.</w:t>
      </w:r>
      <w:r>
        <w:rPr>
          <w:sz w:val="10"/>
        </w:rPr>
        <w:t xml:space="preserve"> (a) </w:t>
      </w:r>
      <w:r w:rsidRPr="0047115C">
        <w:rPr>
          <w:sz w:val="10"/>
        </w:rPr>
        <w:t>New loan commitments by owner-occupiers.</w:t>
      </w:r>
    </w:p>
    <w:p w14:paraId="279B1D73" w14:textId="4993128F" w:rsidR="00591BD4" w:rsidRPr="00715528" w:rsidRDefault="0047115C" w:rsidP="00591BD4">
      <w:pPr>
        <w:pStyle w:val="BodyText"/>
        <w:spacing w:after="0"/>
        <w:jc w:val="both"/>
        <w:rPr>
          <w:sz w:val="10"/>
        </w:rPr>
      </w:pPr>
      <w:r w:rsidRPr="0047115C">
        <w:rPr>
          <w:sz w:val="10"/>
        </w:rPr>
        <w:t>Source: ABS 8731.0 Building Approvals</w:t>
      </w:r>
      <w:r>
        <w:rPr>
          <w:sz w:val="10"/>
        </w:rPr>
        <w:t>, Australia (Monthly)</w:t>
      </w:r>
      <w:r w:rsidRPr="0047115C">
        <w:rPr>
          <w:sz w:val="10"/>
        </w:rPr>
        <w:t>; and 5601.0 Lending Indicators</w:t>
      </w:r>
      <w:r>
        <w:rPr>
          <w:sz w:val="10"/>
        </w:rPr>
        <w:t>, Australia (</w:t>
      </w:r>
      <w:r w:rsidR="00A2613E">
        <w:rPr>
          <w:sz w:val="10"/>
        </w:rPr>
        <w:t>Month</w:t>
      </w:r>
      <w:r>
        <w:rPr>
          <w:sz w:val="10"/>
        </w:rPr>
        <w:t>ly)</w:t>
      </w:r>
      <w:r w:rsidR="00591BD4" w:rsidRPr="00715528">
        <w:rPr>
          <w:sz w:val="10"/>
        </w:rPr>
        <w:t>.</w:t>
      </w:r>
    </w:p>
    <w:p w14:paraId="02464901" w14:textId="4130A4D7" w:rsidR="00291395" w:rsidRPr="00291395" w:rsidRDefault="00591BD4" w:rsidP="00291395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br w:type="column"/>
      </w:r>
      <w:r w:rsidR="00C71BF6">
        <w:rPr>
          <w:sz w:val="16"/>
        </w:rPr>
        <w:t>Western Australia</w:t>
      </w:r>
      <w:r w:rsidR="00291395">
        <w:rPr>
          <w:sz w:val="16"/>
        </w:rPr>
        <w:t xml:space="preserve"> </w:t>
      </w:r>
      <w:r w:rsidR="00291395" w:rsidRPr="00291395">
        <w:rPr>
          <w:sz w:val="16"/>
        </w:rPr>
        <w:t>had $5.</w:t>
      </w:r>
      <w:r w:rsidR="00B45600">
        <w:rPr>
          <w:sz w:val="16"/>
        </w:rPr>
        <w:t>7</w:t>
      </w:r>
      <w:r w:rsidR="00291395">
        <w:rPr>
          <w:sz w:val="16"/>
        </w:rPr>
        <w:t xml:space="preserve"> </w:t>
      </w:r>
      <w:r w:rsidR="00291395" w:rsidRPr="00291395">
        <w:rPr>
          <w:sz w:val="16"/>
        </w:rPr>
        <w:t xml:space="preserve">billion of building activity in the pipeline in the </w:t>
      </w:r>
      <w:r w:rsidR="00B45600">
        <w:rPr>
          <w:sz w:val="16"/>
        </w:rPr>
        <w:t>June</w:t>
      </w:r>
      <w:r w:rsidR="00291395" w:rsidRPr="00291395">
        <w:rPr>
          <w:sz w:val="16"/>
        </w:rPr>
        <w:t xml:space="preserve"> quarter 2020, above </w:t>
      </w:r>
      <w:r w:rsidR="00D227B6">
        <w:rPr>
          <w:sz w:val="16"/>
        </w:rPr>
        <w:t xml:space="preserve">its value of </w:t>
      </w:r>
      <w:r w:rsidR="00291395" w:rsidRPr="00291395">
        <w:rPr>
          <w:sz w:val="16"/>
        </w:rPr>
        <w:t>$5.</w:t>
      </w:r>
      <w:r w:rsidR="00B45600">
        <w:rPr>
          <w:sz w:val="16"/>
        </w:rPr>
        <w:t>1</w:t>
      </w:r>
      <w:r w:rsidR="00291395">
        <w:rPr>
          <w:sz w:val="16"/>
        </w:rPr>
        <w:t> </w:t>
      </w:r>
      <w:r w:rsidR="00291395" w:rsidRPr="00291395">
        <w:rPr>
          <w:sz w:val="16"/>
        </w:rPr>
        <w:t>billion in the same quarter of 2019.</w:t>
      </w:r>
    </w:p>
    <w:p w14:paraId="27750959" w14:textId="0626C3FF" w:rsidR="00591BD4" w:rsidRPr="00291395" w:rsidRDefault="0055663F" w:rsidP="00ED467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>The value of r</w:t>
      </w:r>
      <w:r w:rsidR="00291395" w:rsidRPr="00291395">
        <w:rPr>
          <w:sz w:val="16"/>
        </w:rPr>
        <w:t>esidential building approvals</w:t>
      </w:r>
      <w:r w:rsidR="00291395">
        <w:rPr>
          <w:sz w:val="16"/>
        </w:rPr>
        <w:t xml:space="preserve"> in Western Australia</w:t>
      </w:r>
      <w:r w:rsidR="00B45600">
        <w:rPr>
          <w:sz w:val="16"/>
        </w:rPr>
        <w:t xml:space="preserve"> rose 11</w:t>
      </w:r>
      <w:r w:rsidR="00291395" w:rsidRPr="00291395">
        <w:rPr>
          <w:sz w:val="16"/>
        </w:rPr>
        <w:t>% to $1.</w:t>
      </w:r>
      <w:r w:rsidR="00B45600">
        <w:rPr>
          <w:sz w:val="16"/>
        </w:rPr>
        <w:t>3</w:t>
      </w:r>
      <w:r w:rsidR="00291395" w:rsidRPr="00291395">
        <w:rPr>
          <w:sz w:val="16"/>
        </w:rPr>
        <w:t xml:space="preserve"> billion in the </w:t>
      </w:r>
      <w:r w:rsidR="00B45600">
        <w:rPr>
          <w:sz w:val="16"/>
        </w:rPr>
        <w:t>September</w:t>
      </w:r>
      <w:r w:rsidR="00291395" w:rsidRPr="00291395">
        <w:rPr>
          <w:sz w:val="16"/>
        </w:rPr>
        <w:t xml:space="preserve"> quarter 2020. Residential building approvals typically lead building activity by one to two </w:t>
      </w:r>
      <w:r w:rsidR="00291395">
        <w:rPr>
          <w:sz w:val="16"/>
        </w:rPr>
        <w:t>quarters</w:t>
      </w:r>
      <w:r w:rsidR="00591BD4" w:rsidRPr="00291395">
        <w:rPr>
          <w:sz w:val="16"/>
        </w:rPr>
        <w:t>.</w:t>
      </w:r>
    </w:p>
    <w:p w14:paraId="4FF46313" w14:textId="5AAA3992" w:rsidR="00591BD4" w:rsidRPr="00E81121" w:rsidRDefault="0055663F" w:rsidP="00591BD4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>The value of n</w:t>
      </w:r>
      <w:r w:rsidR="00291395" w:rsidRPr="00291395">
        <w:rPr>
          <w:sz w:val="16"/>
        </w:rPr>
        <w:t>on-residential building approvals</w:t>
      </w:r>
      <w:r w:rsidR="00291395">
        <w:rPr>
          <w:sz w:val="16"/>
        </w:rPr>
        <w:t xml:space="preserve"> in Western Australia </w:t>
      </w:r>
      <w:r w:rsidR="00291395" w:rsidRPr="00291395">
        <w:rPr>
          <w:sz w:val="16"/>
        </w:rPr>
        <w:t xml:space="preserve">fell </w:t>
      </w:r>
      <w:r w:rsidR="00B45600">
        <w:rPr>
          <w:sz w:val="16"/>
        </w:rPr>
        <w:t>23</w:t>
      </w:r>
      <w:r w:rsidR="00291395" w:rsidRPr="00291395">
        <w:rPr>
          <w:sz w:val="16"/>
        </w:rPr>
        <w:t>% to $</w:t>
      </w:r>
      <w:r w:rsidR="00B45600">
        <w:rPr>
          <w:sz w:val="16"/>
        </w:rPr>
        <w:t>672</w:t>
      </w:r>
      <w:r w:rsidR="00291395" w:rsidRPr="00291395">
        <w:rPr>
          <w:sz w:val="16"/>
        </w:rPr>
        <w:t xml:space="preserve"> million in the </w:t>
      </w:r>
      <w:r w:rsidR="00B45600">
        <w:rPr>
          <w:sz w:val="16"/>
        </w:rPr>
        <w:t>September</w:t>
      </w:r>
      <w:r w:rsidR="00291395" w:rsidRPr="00291395">
        <w:rPr>
          <w:sz w:val="16"/>
        </w:rPr>
        <w:t xml:space="preserve"> quarter 2020</w:t>
      </w:r>
      <w:r w:rsidR="00591BD4" w:rsidRPr="00E81121">
        <w:rPr>
          <w:sz w:val="16"/>
        </w:rPr>
        <w:t>.</w:t>
      </w:r>
    </w:p>
    <w:p w14:paraId="6D89B9E3" w14:textId="31A77AB4" w:rsidR="00591BD4" w:rsidRPr="00E81121" w:rsidRDefault="0055663F" w:rsidP="00591BD4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>The value of d</w:t>
      </w:r>
      <w:r w:rsidR="005E5BC4" w:rsidRPr="005E5BC4">
        <w:rPr>
          <w:sz w:val="16"/>
        </w:rPr>
        <w:t>welling construction</w:t>
      </w:r>
      <w:r w:rsidR="005E5BC4">
        <w:rPr>
          <w:sz w:val="16"/>
        </w:rPr>
        <w:t xml:space="preserve"> finance in Western Australia</w:t>
      </w:r>
      <w:r w:rsidR="005E5BC4" w:rsidRPr="005E5BC4">
        <w:rPr>
          <w:sz w:val="16"/>
        </w:rPr>
        <w:t xml:space="preserve"> rose </w:t>
      </w:r>
      <w:r w:rsidR="00B45600">
        <w:rPr>
          <w:sz w:val="16"/>
        </w:rPr>
        <w:t>47</w:t>
      </w:r>
      <w:r w:rsidR="005E5BC4" w:rsidRPr="005E5BC4">
        <w:rPr>
          <w:sz w:val="16"/>
        </w:rPr>
        <w:t>% to $</w:t>
      </w:r>
      <w:r w:rsidR="00B45600">
        <w:rPr>
          <w:sz w:val="16"/>
        </w:rPr>
        <w:t>927</w:t>
      </w:r>
      <w:r w:rsidR="005E5BC4" w:rsidRPr="005E5BC4">
        <w:rPr>
          <w:sz w:val="16"/>
        </w:rPr>
        <w:t xml:space="preserve"> million in the </w:t>
      </w:r>
      <w:r w:rsidR="00B45600">
        <w:rPr>
          <w:sz w:val="16"/>
        </w:rPr>
        <w:t>September</w:t>
      </w:r>
      <w:r w:rsidR="005E5BC4" w:rsidRPr="005E5BC4">
        <w:rPr>
          <w:sz w:val="16"/>
        </w:rPr>
        <w:t xml:space="preserve"> quarter 2020. Housing finance typically leads residential building activity by two to three quarters</w:t>
      </w:r>
      <w:r w:rsidR="00591BD4" w:rsidRPr="00E81121">
        <w:rPr>
          <w:sz w:val="16"/>
        </w:rPr>
        <w:t>.</w:t>
      </w:r>
    </w:p>
    <w:p w14:paraId="57AD23DD" w14:textId="77777777" w:rsidR="00591BD4" w:rsidRDefault="00591BD4" w:rsidP="00591BD4">
      <w:pPr>
        <w:spacing w:after="0"/>
        <w:jc w:val="both"/>
        <w:rPr>
          <w:sz w:val="16"/>
        </w:rPr>
      </w:pPr>
      <w:r>
        <w:rPr>
          <w:sz w:val="16"/>
        </w:rPr>
        <w:br w:type="page"/>
      </w:r>
    </w:p>
    <w:p w14:paraId="13F4B4F5" w14:textId="77777777" w:rsidR="00591BD4" w:rsidRPr="00D426CF" w:rsidRDefault="00591BD4" w:rsidP="00591BD4">
      <w:pPr>
        <w:pStyle w:val="BodyText"/>
        <w:spacing w:after="0"/>
      </w:pPr>
    </w:p>
    <w:p w14:paraId="7DCA6F09" w14:textId="5BB6FE3C" w:rsidR="000A576B" w:rsidRDefault="005F1191" w:rsidP="00EC6333">
      <w:pPr>
        <w:pStyle w:val="BodyText"/>
        <w:spacing w:after="0"/>
        <w:rPr>
          <w:b/>
          <w:sz w:val="20"/>
        </w:rPr>
      </w:pPr>
      <w:r>
        <w:rPr>
          <w:b/>
          <w:sz w:val="20"/>
        </w:rPr>
        <w:t>Western Australia’s e</w:t>
      </w:r>
      <w:r w:rsidR="00DF08EE">
        <w:rPr>
          <w:b/>
          <w:sz w:val="20"/>
        </w:rPr>
        <w:t xml:space="preserve">xports </w:t>
      </w:r>
      <w:r w:rsidR="005B3F1F">
        <w:rPr>
          <w:b/>
          <w:sz w:val="20"/>
        </w:rPr>
        <w:t>of goods</w:t>
      </w:r>
      <w:r w:rsidR="00306D17" w:rsidRPr="00306D17">
        <w:rPr>
          <w:b/>
          <w:sz w:val="20"/>
          <w:vertAlign w:val="superscript"/>
        </w:rPr>
        <w:t>1</w:t>
      </w:r>
      <w:r w:rsidR="000A576B">
        <w:rPr>
          <w:b/>
          <w:sz w:val="20"/>
        </w:rPr>
        <w:t>:</w:t>
      </w:r>
    </w:p>
    <w:p w14:paraId="2DCEC8F0" w14:textId="7B336584" w:rsidR="00591BD4" w:rsidRPr="000C0C03" w:rsidRDefault="00DF08EE" w:rsidP="00EC6333">
      <w:pPr>
        <w:pStyle w:val="BodyText"/>
        <w:spacing w:after="0"/>
        <w:rPr>
          <w:b/>
          <w:sz w:val="20"/>
        </w:rPr>
      </w:pPr>
      <w:r>
        <w:rPr>
          <w:b/>
          <w:sz w:val="20"/>
        </w:rPr>
        <w:t>Financial years</w:t>
      </w:r>
    </w:p>
    <w:p w14:paraId="70FF5FEC" w14:textId="21081604" w:rsidR="00591BD4" w:rsidRDefault="00D63620" w:rsidP="00591BD4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260357DE" wp14:editId="3D452779">
            <wp:extent cx="3424555" cy="2052955"/>
            <wp:effectExtent l="0" t="0" r="4445" b="444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4555" cy="205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808E3" w14:textId="77777777" w:rsidR="00306D17" w:rsidRDefault="00306D17" w:rsidP="00306D17">
      <w:pPr>
        <w:spacing w:after="0"/>
        <w:jc w:val="both"/>
        <w:rPr>
          <w:sz w:val="10"/>
        </w:rPr>
      </w:pPr>
      <w:r w:rsidRPr="00A8430F">
        <w:rPr>
          <w:sz w:val="10"/>
          <w:vertAlign w:val="superscript"/>
        </w:rPr>
        <w:t>1</w:t>
      </w:r>
      <w:r>
        <w:rPr>
          <w:sz w:val="10"/>
        </w:rPr>
        <w:t xml:space="preserve"> Nominal.</w:t>
      </w:r>
    </w:p>
    <w:p w14:paraId="4BD92D13" w14:textId="2B802144" w:rsidR="00591BD4" w:rsidRPr="00FE23FA" w:rsidRDefault="00591BD4" w:rsidP="00591BD4">
      <w:pPr>
        <w:spacing w:after="0"/>
        <w:jc w:val="both"/>
        <w:rPr>
          <w:sz w:val="16"/>
        </w:rPr>
      </w:pPr>
      <w:r>
        <w:rPr>
          <w:sz w:val="10"/>
        </w:rPr>
        <w:t xml:space="preserve">Source: </w:t>
      </w:r>
      <w:r w:rsidR="00DF08EE">
        <w:rPr>
          <w:sz w:val="10"/>
        </w:rPr>
        <w:t>ABS 5368.0 International Trade in Goods and Services, Australia (Monthly);</w:t>
      </w:r>
      <w:r w:rsidR="00DF08EE" w:rsidRPr="00DF08EE">
        <w:rPr>
          <w:sz w:val="10"/>
        </w:rPr>
        <w:t xml:space="preserve"> </w:t>
      </w:r>
      <w:r w:rsidR="00DF08EE" w:rsidRPr="00BF3151">
        <w:rPr>
          <w:sz w:val="10"/>
        </w:rPr>
        <w:t>ABS 5204.0. Australian National Accounts: National Income, Expenditure an</w:t>
      </w:r>
      <w:r w:rsidR="00DF08EE">
        <w:rPr>
          <w:sz w:val="10"/>
        </w:rPr>
        <w:t xml:space="preserve">d Product (Quarterly); and </w:t>
      </w:r>
      <w:r w:rsidR="00DF08EE" w:rsidRPr="00BF3151">
        <w:rPr>
          <w:sz w:val="10"/>
        </w:rPr>
        <w:t>ABS 5220.0 Australian National Ac</w:t>
      </w:r>
      <w:r w:rsidR="00DF08EE">
        <w:rPr>
          <w:sz w:val="10"/>
        </w:rPr>
        <w:t>counts: State Accounts (Annual)</w:t>
      </w:r>
      <w:r>
        <w:rPr>
          <w:sz w:val="10"/>
        </w:rPr>
        <w:t>.</w:t>
      </w:r>
    </w:p>
    <w:p w14:paraId="65A2FCAE" w14:textId="77777777" w:rsidR="00591BD4" w:rsidRDefault="00591BD4" w:rsidP="00591BD4">
      <w:pPr>
        <w:spacing w:after="0"/>
        <w:jc w:val="both"/>
        <w:rPr>
          <w:sz w:val="16"/>
        </w:rPr>
      </w:pPr>
    </w:p>
    <w:p w14:paraId="3237ED8E" w14:textId="77777777" w:rsidR="00591BD4" w:rsidRDefault="00591BD4" w:rsidP="00591BD4">
      <w:pPr>
        <w:spacing w:after="0"/>
        <w:jc w:val="both"/>
        <w:rPr>
          <w:sz w:val="16"/>
        </w:rPr>
      </w:pPr>
    </w:p>
    <w:p w14:paraId="26A13DA6" w14:textId="77777777" w:rsidR="00591BD4" w:rsidRDefault="00591BD4" w:rsidP="00591BD4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12C6D3B6" w14:textId="77777777" w:rsidR="00591BD4" w:rsidRDefault="00591BD4" w:rsidP="00591BD4">
      <w:pPr>
        <w:spacing w:after="0"/>
        <w:jc w:val="both"/>
        <w:rPr>
          <w:sz w:val="16"/>
        </w:rPr>
      </w:pPr>
    </w:p>
    <w:p w14:paraId="70B4AEC0" w14:textId="77777777" w:rsidR="00591BD4" w:rsidRDefault="00591BD4" w:rsidP="00591BD4">
      <w:pPr>
        <w:spacing w:after="0"/>
        <w:jc w:val="both"/>
        <w:rPr>
          <w:sz w:val="16"/>
        </w:rPr>
      </w:pPr>
    </w:p>
    <w:p w14:paraId="5EA10072" w14:textId="68011E7E" w:rsidR="00591BD4" w:rsidRPr="00920EEA" w:rsidRDefault="00591BD4" w:rsidP="00591BD4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920EEA">
        <w:rPr>
          <w:sz w:val="16"/>
        </w:rPr>
        <w:t>Western Australia</w:t>
      </w:r>
      <w:r w:rsidR="001D09B9">
        <w:rPr>
          <w:sz w:val="16"/>
        </w:rPr>
        <w:t xml:space="preserve"> </w:t>
      </w:r>
      <w:r w:rsidR="001D09B9" w:rsidRPr="001D09B9">
        <w:rPr>
          <w:sz w:val="16"/>
        </w:rPr>
        <w:t>accounted for 4</w:t>
      </w:r>
      <w:r w:rsidR="008B1ECF">
        <w:rPr>
          <w:sz w:val="16"/>
        </w:rPr>
        <w:t>9</w:t>
      </w:r>
      <w:r w:rsidR="001D09B9">
        <w:rPr>
          <w:sz w:val="16"/>
        </w:rPr>
        <w:t>% of</w:t>
      </w:r>
      <w:r w:rsidR="005B3F1F">
        <w:rPr>
          <w:sz w:val="16"/>
        </w:rPr>
        <w:t xml:space="preserve"> </w:t>
      </w:r>
      <w:r w:rsidR="001D09B9">
        <w:rPr>
          <w:sz w:val="16"/>
        </w:rPr>
        <w:t>Australia’s</w:t>
      </w:r>
      <w:r w:rsidR="001D09B9" w:rsidRPr="001D09B9">
        <w:rPr>
          <w:sz w:val="16"/>
        </w:rPr>
        <w:t xml:space="preserve"> exports</w:t>
      </w:r>
      <w:r w:rsidR="001D09B9">
        <w:rPr>
          <w:sz w:val="16"/>
        </w:rPr>
        <w:t xml:space="preserve"> of goods</w:t>
      </w:r>
      <w:r w:rsidR="001D09B9" w:rsidRPr="001D09B9">
        <w:rPr>
          <w:sz w:val="16"/>
        </w:rPr>
        <w:t xml:space="preserve"> in 2019-20</w:t>
      </w:r>
      <w:r w:rsidRPr="00920EEA">
        <w:rPr>
          <w:sz w:val="16"/>
        </w:rPr>
        <w:t>.</w:t>
      </w:r>
    </w:p>
    <w:p w14:paraId="339C65A3" w14:textId="41F371B2" w:rsidR="001D09B9" w:rsidRPr="001D09B9" w:rsidRDefault="001D09B9" w:rsidP="001D09B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>E</w:t>
      </w:r>
      <w:r w:rsidRPr="001D09B9">
        <w:rPr>
          <w:sz w:val="16"/>
        </w:rPr>
        <w:t>xports</w:t>
      </w:r>
      <w:r>
        <w:rPr>
          <w:sz w:val="16"/>
        </w:rPr>
        <w:t xml:space="preserve"> of goods</w:t>
      </w:r>
      <w:r w:rsidRPr="001D09B9">
        <w:rPr>
          <w:sz w:val="16"/>
        </w:rPr>
        <w:t xml:space="preserve"> accounted for 5</w:t>
      </w:r>
      <w:r w:rsidR="008B1ECF">
        <w:rPr>
          <w:sz w:val="16"/>
        </w:rPr>
        <w:t>9</w:t>
      </w:r>
      <w:r w:rsidRPr="001D09B9">
        <w:rPr>
          <w:sz w:val="16"/>
        </w:rPr>
        <w:t xml:space="preserve">% of </w:t>
      </w:r>
      <w:r>
        <w:rPr>
          <w:sz w:val="16"/>
        </w:rPr>
        <w:t xml:space="preserve">Western Australia’s </w:t>
      </w:r>
      <w:r w:rsidRPr="001D09B9">
        <w:rPr>
          <w:sz w:val="16"/>
        </w:rPr>
        <w:t>GSP and contributed 0.</w:t>
      </w:r>
      <w:r w:rsidR="008B1ECF">
        <w:rPr>
          <w:sz w:val="16"/>
        </w:rPr>
        <w:t>2</w:t>
      </w:r>
      <w:r w:rsidRPr="001D09B9">
        <w:rPr>
          <w:sz w:val="16"/>
        </w:rPr>
        <w:t xml:space="preserve"> percentage points to </w:t>
      </w:r>
      <w:r>
        <w:rPr>
          <w:sz w:val="16"/>
        </w:rPr>
        <w:t xml:space="preserve">the State’s </w:t>
      </w:r>
      <w:r w:rsidRPr="001D09B9">
        <w:rPr>
          <w:sz w:val="16"/>
        </w:rPr>
        <w:t>real GSP growth</w:t>
      </w:r>
      <w:r>
        <w:rPr>
          <w:sz w:val="16"/>
        </w:rPr>
        <w:t xml:space="preserve"> </w:t>
      </w:r>
      <w:r w:rsidRPr="001D09B9">
        <w:rPr>
          <w:sz w:val="16"/>
        </w:rPr>
        <w:t>in 20</w:t>
      </w:r>
      <w:r w:rsidR="008B1ECF">
        <w:rPr>
          <w:sz w:val="16"/>
        </w:rPr>
        <w:t>19-20</w:t>
      </w:r>
      <w:r w:rsidRPr="001D09B9">
        <w:rPr>
          <w:sz w:val="16"/>
        </w:rPr>
        <w:t>.</w:t>
      </w:r>
    </w:p>
    <w:p w14:paraId="619B09A0" w14:textId="354C982A" w:rsidR="00591BD4" w:rsidRPr="00920EEA" w:rsidRDefault="005B3F1F" w:rsidP="00591BD4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 xml:space="preserve">The value of </w:t>
      </w:r>
      <w:r w:rsidR="00591BD4" w:rsidRPr="00920EEA">
        <w:rPr>
          <w:sz w:val="16"/>
        </w:rPr>
        <w:t>Western Australia</w:t>
      </w:r>
      <w:r>
        <w:rPr>
          <w:sz w:val="16"/>
        </w:rPr>
        <w:t xml:space="preserve">’s </w:t>
      </w:r>
      <w:r w:rsidRPr="005B3F1F">
        <w:rPr>
          <w:sz w:val="16"/>
        </w:rPr>
        <w:t>exports</w:t>
      </w:r>
      <w:r>
        <w:rPr>
          <w:sz w:val="16"/>
        </w:rPr>
        <w:t xml:space="preserve"> of goods</w:t>
      </w:r>
      <w:r w:rsidRPr="005B3F1F">
        <w:rPr>
          <w:sz w:val="16"/>
        </w:rPr>
        <w:t xml:space="preserve"> rose 13% to $18</w:t>
      </w:r>
      <w:r w:rsidR="008B1ECF">
        <w:rPr>
          <w:sz w:val="16"/>
        </w:rPr>
        <w:t>7.1</w:t>
      </w:r>
      <w:r w:rsidRPr="005B3F1F">
        <w:rPr>
          <w:sz w:val="16"/>
        </w:rPr>
        <w:t xml:space="preserve"> billion in 2019-20</w:t>
      </w:r>
      <w:r w:rsidR="00591BD4" w:rsidRPr="00920EEA">
        <w:rPr>
          <w:sz w:val="16"/>
        </w:rPr>
        <w:t>.</w:t>
      </w:r>
    </w:p>
    <w:p w14:paraId="596453CA" w14:textId="705AEC20" w:rsidR="005B3F1F" w:rsidRDefault="001A2D3B" w:rsidP="005B3F1F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 xml:space="preserve">In real terms, </w:t>
      </w:r>
      <w:r w:rsidR="00B4125F">
        <w:rPr>
          <w:sz w:val="16"/>
        </w:rPr>
        <w:t>Western Australia</w:t>
      </w:r>
      <w:r w:rsidR="005B3F1F">
        <w:rPr>
          <w:sz w:val="16"/>
        </w:rPr>
        <w:t xml:space="preserve">’s </w:t>
      </w:r>
      <w:r w:rsidR="005B3F1F" w:rsidRPr="005B3F1F">
        <w:rPr>
          <w:sz w:val="16"/>
        </w:rPr>
        <w:t>exports</w:t>
      </w:r>
      <w:r w:rsidR="005B3F1F">
        <w:rPr>
          <w:sz w:val="16"/>
        </w:rPr>
        <w:t xml:space="preserve"> of goods</w:t>
      </w:r>
      <w:r w:rsidR="008B1ECF">
        <w:rPr>
          <w:sz w:val="16"/>
        </w:rPr>
        <w:t xml:space="preserve"> rose 0.3</w:t>
      </w:r>
      <w:r w:rsidR="005B3F1F" w:rsidRPr="005B3F1F">
        <w:rPr>
          <w:sz w:val="16"/>
        </w:rPr>
        <w:t xml:space="preserve">% in 2019-20, below </w:t>
      </w:r>
      <w:r w:rsidR="00D227B6">
        <w:rPr>
          <w:sz w:val="16"/>
        </w:rPr>
        <w:t xml:space="preserve">its </w:t>
      </w:r>
      <w:r w:rsidR="005B3F1F" w:rsidRPr="005B3F1F">
        <w:rPr>
          <w:sz w:val="16"/>
        </w:rPr>
        <w:t>rise of 1.6% in 2018</w:t>
      </w:r>
      <w:r w:rsidR="00D227B6">
        <w:rPr>
          <w:sz w:val="16"/>
        </w:rPr>
        <w:noBreakHyphen/>
      </w:r>
      <w:r w:rsidR="005B3F1F" w:rsidRPr="005B3F1F">
        <w:rPr>
          <w:sz w:val="16"/>
        </w:rPr>
        <w:t>19</w:t>
      </w:r>
      <w:r w:rsidR="008B1ECF">
        <w:rPr>
          <w:sz w:val="16"/>
        </w:rPr>
        <w:t xml:space="preserve"> and below its compound annual growth of 5.0% over the past 10</w:t>
      </w:r>
      <w:r w:rsidR="00921EEB">
        <w:rPr>
          <w:sz w:val="16"/>
        </w:rPr>
        <w:t> </w:t>
      </w:r>
      <w:r w:rsidR="008B1ECF">
        <w:rPr>
          <w:sz w:val="16"/>
        </w:rPr>
        <w:t>years</w:t>
      </w:r>
      <w:r w:rsidR="005B3F1F">
        <w:rPr>
          <w:sz w:val="16"/>
        </w:rPr>
        <w:t>.</w:t>
      </w:r>
    </w:p>
    <w:p w14:paraId="63DCEBA6" w14:textId="6E9682EE" w:rsidR="00591BD4" w:rsidRPr="00D31393" w:rsidRDefault="00C57117" w:rsidP="00ED467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31393">
        <w:rPr>
          <w:sz w:val="16"/>
        </w:rPr>
        <w:t>The WA Government State Budget 2020</w:t>
      </w:r>
      <w:r w:rsidR="00FF568F">
        <w:rPr>
          <w:sz w:val="16"/>
        </w:rPr>
        <w:t xml:space="preserve">-21 forecasts </w:t>
      </w:r>
      <w:r w:rsidRPr="00D31393">
        <w:rPr>
          <w:sz w:val="16"/>
        </w:rPr>
        <w:t xml:space="preserve">Western Australia’s exports of goods </w:t>
      </w:r>
      <w:r w:rsidR="000A3DA1" w:rsidRPr="00D31393">
        <w:rPr>
          <w:sz w:val="16"/>
        </w:rPr>
        <w:t>in</w:t>
      </w:r>
      <w:r w:rsidR="000A3DA1">
        <w:rPr>
          <w:sz w:val="16"/>
        </w:rPr>
        <w:t xml:space="preserve"> real terms </w:t>
      </w:r>
      <w:r w:rsidRPr="00D31393">
        <w:rPr>
          <w:sz w:val="16"/>
        </w:rPr>
        <w:t xml:space="preserve">will be </w:t>
      </w:r>
      <w:r w:rsidR="005B3F1F" w:rsidRPr="00D31393">
        <w:rPr>
          <w:sz w:val="16"/>
        </w:rPr>
        <w:t xml:space="preserve">unchanged </w:t>
      </w:r>
      <w:r w:rsidR="001A2D3B">
        <w:rPr>
          <w:sz w:val="16"/>
        </w:rPr>
        <w:t>in</w:t>
      </w:r>
      <w:r w:rsidR="005B3F1F" w:rsidRPr="00D31393">
        <w:rPr>
          <w:sz w:val="16"/>
        </w:rPr>
        <w:t xml:space="preserve"> 2020-21</w:t>
      </w:r>
      <w:r w:rsidR="008B1ECF">
        <w:rPr>
          <w:sz w:val="16"/>
        </w:rPr>
        <w:t xml:space="preserve"> and grow 1.5% in 2021-22</w:t>
      </w:r>
      <w:r w:rsidR="00591BD4" w:rsidRPr="00D31393">
        <w:rPr>
          <w:sz w:val="16"/>
        </w:rPr>
        <w:t>.</w:t>
      </w:r>
    </w:p>
    <w:p w14:paraId="2D492F40" w14:textId="77777777" w:rsidR="00591BD4" w:rsidRDefault="00591BD4" w:rsidP="00591BD4">
      <w:pPr>
        <w:spacing w:after="0"/>
        <w:jc w:val="both"/>
        <w:rPr>
          <w:sz w:val="16"/>
        </w:rPr>
        <w:sectPr w:rsidR="00591BD4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6BA66BF6" w14:textId="22994505" w:rsidR="00591BD4" w:rsidRPr="000C0C03" w:rsidRDefault="005F1191" w:rsidP="00EC6333">
      <w:pPr>
        <w:pStyle w:val="BodyText"/>
        <w:spacing w:after="0"/>
        <w:rPr>
          <w:b/>
          <w:sz w:val="20"/>
        </w:rPr>
      </w:pPr>
      <w:r>
        <w:rPr>
          <w:b/>
          <w:sz w:val="20"/>
        </w:rPr>
        <w:t>Western Australia’s m</w:t>
      </w:r>
      <w:r w:rsidR="006E3BC2">
        <w:rPr>
          <w:b/>
          <w:sz w:val="20"/>
        </w:rPr>
        <w:t xml:space="preserve">ajor </w:t>
      </w:r>
      <w:r w:rsidR="009D1726">
        <w:rPr>
          <w:b/>
          <w:sz w:val="20"/>
        </w:rPr>
        <w:t>markets for</w:t>
      </w:r>
      <w:r w:rsidR="006E3BC2">
        <w:rPr>
          <w:b/>
          <w:sz w:val="20"/>
        </w:rPr>
        <w:t xml:space="preserve"> </w:t>
      </w:r>
      <w:r w:rsidR="000A576B">
        <w:rPr>
          <w:b/>
          <w:sz w:val="20"/>
        </w:rPr>
        <w:t>goods</w:t>
      </w:r>
      <w:r w:rsidR="00DA10DD">
        <w:rPr>
          <w:b/>
          <w:sz w:val="20"/>
        </w:rPr>
        <w:t xml:space="preserve"> exports</w:t>
      </w:r>
      <w:r w:rsidR="006E3BC2">
        <w:rPr>
          <w:b/>
          <w:sz w:val="20"/>
        </w:rPr>
        <w:t>: Financial years</w:t>
      </w:r>
    </w:p>
    <w:p w14:paraId="6A88A1AB" w14:textId="257B3DEA" w:rsidR="00591BD4" w:rsidRDefault="009A6B37" w:rsidP="00591BD4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12B88DBC" wp14:editId="1CE20234">
            <wp:extent cx="3420745" cy="2052955"/>
            <wp:effectExtent l="0" t="0" r="8255" b="4445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745" cy="205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F0D24" w14:textId="716798D8" w:rsidR="00591BD4" w:rsidRDefault="00591BD4" w:rsidP="00591BD4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>
        <w:rPr>
          <w:sz w:val="10"/>
        </w:rPr>
        <w:t xml:space="preserve">Source: </w:t>
      </w:r>
      <w:r w:rsidR="009D1726">
        <w:rPr>
          <w:sz w:val="10"/>
        </w:rPr>
        <w:t>ABS 5368.0 International Trade in Goods and Services, Australia (Monthly)</w:t>
      </w:r>
      <w:r>
        <w:rPr>
          <w:sz w:val="10"/>
        </w:rPr>
        <w:t>.</w:t>
      </w:r>
    </w:p>
    <w:p w14:paraId="5497E6C2" w14:textId="77777777" w:rsidR="00591BD4" w:rsidRDefault="00591BD4" w:rsidP="00591BD4">
      <w:pPr>
        <w:spacing w:after="0"/>
        <w:jc w:val="both"/>
        <w:rPr>
          <w:sz w:val="16"/>
        </w:rPr>
      </w:pPr>
    </w:p>
    <w:p w14:paraId="1E41ECC2" w14:textId="77777777" w:rsidR="00591BD4" w:rsidRDefault="00591BD4" w:rsidP="00591BD4">
      <w:pPr>
        <w:spacing w:after="0"/>
        <w:jc w:val="both"/>
        <w:rPr>
          <w:sz w:val="16"/>
        </w:rPr>
      </w:pPr>
    </w:p>
    <w:p w14:paraId="62249B0D" w14:textId="26362F49" w:rsidR="00591BD4" w:rsidRPr="0081205B" w:rsidRDefault="00591BD4" w:rsidP="00591BD4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br w:type="column"/>
      </w:r>
      <w:r w:rsidR="006E3BC2">
        <w:rPr>
          <w:sz w:val="16"/>
        </w:rPr>
        <w:t xml:space="preserve">In 2019-20, </w:t>
      </w:r>
      <w:r w:rsidR="00C56D2A">
        <w:rPr>
          <w:sz w:val="16"/>
        </w:rPr>
        <w:t>Western Australia’s</w:t>
      </w:r>
      <w:r w:rsidR="006E3BC2">
        <w:rPr>
          <w:sz w:val="16"/>
        </w:rPr>
        <w:t xml:space="preserve"> </w:t>
      </w:r>
      <w:r w:rsidR="006E3BC2" w:rsidRPr="006E3BC2">
        <w:rPr>
          <w:sz w:val="16"/>
        </w:rPr>
        <w:t>largest market</w:t>
      </w:r>
      <w:r w:rsidR="006E3BC2">
        <w:rPr>
          <w:sz w:val="16"/>
        </w:rPr>
        <w:t xml:space="preserve"> for </w:t>
      </w:r>
      <w:r w:rsidR="00CF0A38">
        <w:rPr>
          <w:sz w:val="16"/>
        </w:rPr>
        <w:t xml:space="preserve">goods </w:t>
      </w:r>
      <w:r w:rsidR="006E3BC2">
        <w:rPr>
          <w:sz w:val="16"/>
        </w:rPr>
        <w:t xml:space="preserve">exports </w:t>
      </w:r>
      <w:r w:rsidR="006E3BC2" w:rsidRPr="006E3BC2">
        <w:rPr>
          <w:sz w:val="16"/>
        </w:rPr>
        <w:t>was China ($98.5</w:t>
      </w:r>
      <w:r w:rsidR="006E3BC2">
        <w:rPr>
          <w:sz w:val="16"/>
        </w:rPr>
        <w:t xml:space="preserve"> billion</w:t>
      </w:r>
      <w:r w:rsidR="006E3BC2" w:rsidRPr="006E3BC2">
        <w:rPr>
          <w:sz w:val="16"/>
        </w:rPr>
        <w:t xml:space="preserve"> or 54%), followed by Japan ($22.7</w:t>
      </w:r>
      <w:r w:rsidR="006E3BC2">
        <w:rPr>
          <w:sz w:val="16"/>
        </w:rPr>
        <w:t xml:space="preserve"> billion</w:t>
      </w:r>
      <w:r w:rsidR="006E3BC2" w:rsidRPr="006E3BC2">
        <w:rPr>
          <w:sz w:val="16"/>
        </w:rPr>
        <w:t xml:space="preserve"> or 12%) and the United Kingdom ($13.0</w:t>
      </w:r>
      <w:r w:rsidR="006E3BC2">
        <w:rPr>
          <w:sz w:val="16"/>
        </w:rPr>
        <w:t xml:space="preserve"> billion </w:t>
      </w:r>
      <w:r w:rsidR="006E3BC2" w:rsidRPr="006E3BC2">
        <w:rPr>
          <w:sz w:val="16"/>
        </w:rPr>
        <w:t>or 7</w:t>
      </w:r>
      <w:r w:rsidR="006E3BC2">
        <w:rPr>
          <w:sz w:val="16"/>
        </w:rPr>
        <w:t>%)</w:t>
      </w:r>
      <w:r w:rsidRPr="0081205B">
        <w:rPr>
          <w:sz w:val="16"/>
        </w:rPr>
        <w:t>.</w:t>
      </w:r>
    </w:p>
    <w:p w14:paraId="6E81A098" w14:textId="5A952A0E" w:rsidR="006E3BC2" w:rsidRPr="006E3BC2" w:rsidRDefault="006E3BC2" w:rsidP="006E3BC2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6E3BC2">
        <w:rPr>
          <w:sz w:val="16"/>
        </w:rPr>
        <w:t>Western Australia had majority shares of Australia’s exports</w:t>
      </w:r>
      <w:r>
        <w:rPr>
          <w:sz w:val="16"/>
        </w:rPr>
        <w:t xml:space="preserve"> of goods </w:t>
      </w:r>
      <w:r w:rsidRPr="006E3BC2">
        <w:rPr>
          <w:sz w:val="16"/>
        </w:rPr>
        <w:t>to the United Kingdom (83%), China (65%), Singapore (59%) and Hong Kong</w:t>
      </w:r>
      <w:r>
        <w:rPr>
          <w:sz w:val="16"/>
        </w:rPr>
        <w:t xml:space="preserve"> SAR of China</w:t>
      </w:r>
      <w:r w:rsidRPr="006E3BC2">
        <w:rPr>
          <w:sz w:val="16"/>
        </w:rPr>
        <w:t xml:space="preserve"> (53%) in 2019-20.</w:t>
      </w:r>
    </w:p>
    <w:p w14:paraId="68E209C4" w14:textId="13116DA4" w:rsidR="006E3BC2" w:rsidRPr="006E3BC2" w:rsidRDefault="006E3BC2" w:rsidP="006E3BC2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6E3BC2">
        <w:rPr>
          <w:sz w:val="16"/>
        </w:rPr>
        <w:t>Minerals and petroleum accounted for 94% ($173.7</w:t>
      </w:r>
      <w:r w:rsidR="00CF0A38">
        <w:rPr>
          <w:sz w:val="16"/>
        </w:rPr>
        <w:t> </w:t>
      </w:r>
      <w:r>
        <w:rPr>
          <w:sz w:val="16"/>
        </w:rPr>
        <w:t>billion</w:t>
      </w:r>
      <w:r w:rsidRPr="006E3BC2">
        <w:rPr>
          <w:sz w:val="16"/>
        </w:rPr>
        <w:t xml:space="preserve">) of </w:t>
      </w:r>
      <w:r>
        <w:rPr>
          <w:sz w:val="16"/>
        </w:rPr>
        <w:t xml:space="preserve">Western Australia’s exports of goods </w:t>
      </w:r>
      <w:r w:rsidRPr="006E3BC2">
        <w:rPr>
          <w:sz w:val="16"/>
        </w:rPr>
        <w:t>in 2019</w:t>
      </w:r>
      <w:r>
        <w:rPr>
          <w:sz w:val="16"/>
        </w:rPr>
        <w:noBreakHyphen/>
      </w:r>
      <w:r w:rsidRPr="006E3BC2">
        <w:rPr>
          <w:sz w:val="16"/>
        </w:rPr>
        <w:t>20.</w:t>
      </w:r>
    </w:p>
    <w:p w14:paraId="728C6BA9" w14:textId="5BEB9253" w:rsidR="00591BD4" w:rsidRPr="006E3BC2" w:rsidRDefault="006E3BC2" w:rsidP="00ED467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6E3BC2">
        <w:rPr>
          <w:sz w:val="16"/>
        </w:rPr>
        <w:t>Agriculture, food, fibre, fisheries and forestry (excluding confidential items) accounted for 4% ($7.9 billion) of Western Australia’s exports of goods in 2019-20</w:t>
      </w:r>
      <w:r w:rsidR="00591BD4" w:rsidRPr="006E3BC2">
        <w:rPr>
          <w:sz w:val="16"/>
        </w:rPr>
        <w:t>.</w:t>
      </w:r>
    </w:p>
    <w:p w14:paraId="100B153A" w14:textId="77777777" w:rsidR="00591BD4" w:rsidRDefault="00591BD4" w:rsidP="00591BD4">
      <w:pPr>
        <w:jc w:val="both"/>
        <w:rPr>
          <w:sz w:val="16"/>
        </w:rPr>
        <w:sectPr w:rsidR="00591BD4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143A1C07" w14:textId="5DEC161A" w:rsidR="00591BD4" w:rsidRPr="000C0C03" w:rsidRDefault="005F1191" w:rsidP="00EC6333">
      <w:pPr>
        <w:spacing w:after="0"/>
        <w:rPr>
          <w:sz w:val="22"/>
        </w:rPr>
      </w:pPr>
      <w:r>
        <w:rPr>
          <w:b/>
          <w:sz w:val="20"/>
        </w:rPr>
        <w:t>Western Australia’s m</w:t>
      </w:r>
      <w:r w:rsidR="00F85C18">
        <w:rPr>
          <w:b/>
          <w:sz w:val="20"/>
        </w:rPr>
        <w:t>ajor export commo</w:t>
      </w:r>
      <w:r w:rsidR="000A576B">
        <w:rPr>
          <w:b/>
          <w:sz w:val="20"/>
        </w:rPr>
        <w:t>dities by market</w:t>
      </w:r>
      <w:r w:rsidR="00F85C18">
        <w:rPr>
          <w:b/>
          <w:sz w:val="20"/>
        </w:rPr>
        <w:t>:</w:t>
      </w:r>
      <w:r w:rsidR="003801D1">
        <w:rPr>
          <w:b/>
          <w:sz w:val="20"/>
        </w:rPr>
        <w:t xml:space="preserve"> </w:t>
      </w:r>
      <w:r w:rsidR="00F85C18">
        <w:rPr>
          <w:b/>
          <w:sz w:val="20"/>
        </w:rPr>
        <w:t>2019-20 financial year</w:t>
      </w:r>
    </w:p>
    <w:tbl>
      <w:tblPr>
        <w:tblStyle w:val="ListTable3-Accent1"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018"/>
        <w:gridCol w:w="741"/>
        <w:gridCol w:w="462"/>
        <w:gridCol w:w="1019"/>
        <w:gridCol w:w="660"/>
        <w:gridCol w:w="462"/>
        <w:gridCol w:w="1051"/>
        <w:gridCol w:w="660"/>
        <w:gridCol w:w="462"/>
        <w:gridCol w:w="1043"/>
        <w:gridCol w:w="581"/>
        <w:gridCol w:w="462"/>
        <w:gridCol w:w="1019"/>
        <w:gridCol w:w="581"/>
        <w:gridCol w:w="462"/>
      </w:tblGrid>
      <w:tr w:rsidR="005309D9" w:rsidRPr="00AF5DB7" w14:paraId="3728FA6E" w14:textId="08946803" w:rsidTr="002200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77" w:type="pct"/>
            <w:shd w:val="clear" w:color="auto" w:fill="002060"/>
          </w:tcPr>
          <w:p w14:paraId="46CE0285" w14:textId="1EA420E6" w:rsidR="00EA6CD8" w:rsidRPr="00FA2DA3" w:rsidRDefault="00EA6CD8" w:rsidP="00D243FB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Iron ore</w:t>
            </w:r>
          </w:p>
        </w:tc>
        <w:tc>
          <w:tcPr>
            <w:tcW w:w="347" w:type="pct"/>
            <w:shd w:val="clear" w:color="auto" w:fill="002060"/>
          </w:tcPr>
          <w:p w14:paraId="344D269C" w14:textId="4385B724" w:rsidR="00EA6CD8" w:rsidRPr="00FA2DA3" w:rsidRDefault="00EA6CD8" w:rsidP="00CF0A38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$m</w:t>
            </w:r>
          </w:p>
        </w:tc>
        <w:tc>
          <w:tcPr>
            <w:tcW w:w="216" w:type="pct"/>
            <w:shd w:val="clear" w:color="auto" w:fill="002060"/>
          </w:tcPr>
          <w:p w14:paraId="77B9979E" w14:textId="2BCFE6AA" w:rsidR="00EA6CD8" w:rsidRPr="00FA2DA3" w:rsidRDefault="00EA6CD8" w:rsidP="00CF0A38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%</w:t>
            </w:r>
          </w:p>
        </w:tc>
        <w:tc>
          <w:tcPr>
            <w:tcW w:w="477" w:type="pct"/>
            <w:shd w:val="clear" w:color="auto" w:fill="002060"/>
          </w:tcPr>
          <w:p w14:paraId="68436FF2" w14:textId="4CFBECD5" w:rsidR="00EA6CD8" w:rsidRPr="00FA2DA3" w:rsidRDefault="00EA6CD8" w:rsidP="00D243FB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Petroleum</w:t>
            </w:r>
            <w:r w:rsidRPr="00FA2DA3">
              <w:rPr>
                <w:rFonts w:cstheme="minorHAnsi"/>
                <w:b w:val="0"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309" w:type="pct"/>
            <w:shd w:val="clear" w:color="auto" w:fill="002060"/>
          </w:tcPr>
          <w:p w14:paraId="51227D68" w14:textId="6A515BCD" w:rsidR="00EA6CD8" w:rsidRPr="00FA2DA3" w:rsidRDefault="00EA6CD8" w:rsidP="00CF0A38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$m</w:t>
            </w:r>
          </w:p>
        </w:tc>
        <w:tc>
          <w:tcPr>
            <w:tcW w:w="216" w:type="pct"/>
            <w:shd w:val="clear" w:color="auto" w:fill="002060"/>
          </w:tcPr>
          <w:p w14:paraId="4DC829BD" w14:textId="4E3BA608" w:rsidR="00EA6CD8" w:rsidRPr="00FA2DA3" w:rsidRDefault="00EA6CD8" w:rsidP="00CF0A38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%</w:t>
            </w:r>
          </w:p>
        </w:tc>
        <w:tc>
          <w:tcPr>
            <w:tcW w:w="492" w:type="pct"/>
            <w:shd w:val="clear" w:color="auto" w:fill="002060"/>
          </w:tcPr>
          <w:p w14:paraId="19ECA8B1" w14:textId="379798A8" w:rsidR="00EA6CD8" w:rsidRPr="00FA2DA3" w:rsidRDefault="00EA6CD8" w:rsidP="00D243FB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Gold</w:t>
            </w:r>
          </w:p>
        </w:tc>
        <w:tc>
          <w:tcPr>
            <w:tcW w:w="309" w:type="pct"/>
            <w:shd w:val="clear" w:color="auto" w:fill="002060"/>
          </w:tcPr>
          <w:p w14:paraId="30433A0C" w14:textId="37293201" w:rsidR="00EA6CD8" w:rsidRPr="00FA2DA3" w:rsidRDefault="00EA6CD8" w:rsidP="00CF0A38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$m</w:t>
            </w:r>
          </w:p>
        </w:tc>
        <w:tc>
          <w:tcPr>
            <w:tcW w:w="216" w:type="pct"/>
            <w:shd w:val="clear" w:color="auto" w:fill="002060"/>
          </w:tcPr>
          <w:p w14:paraId="279295D3" w14:textId="427024CF" w:rsidR="00EA6CD8" w:rsidRPr="00FA2DA3" w:rsidRDefault="00EA6CD8" w:rsidP="00CF0A38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%</w:t>
            </w:r>
          </w:p>
        </w:tc>
        <w:tc>
          <w:tcPr>
            <w:tcW w:w="488" w:type="pct"/>
            <w:shd w:val="clear" w:color="auto" w:fill="002060"/>
          </w:tcPr>
          <w:p w14:paraId="1E0CD8A0" w14:textId="497EFBE6" w:rsidR="00EA6CD8" w:rsidRPr="00FA2DA3" w:rsidRDefault="00EA6CD8" w:rsidP="00D243FB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Alumina</w:t>
            </w:r>
            <w:r w:rsidRPr="00FA2DA3">
              <w:rPr>
                <w:rFonts w:cstheme="minorHAnsi"/>
                <w:b w:val="0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272" w:type="pct"/>
            <w:shd w:val="clear" w:color="auto" w:fill="002060"/>
          </w:tcPr>
          <w:p w14:paraId="64DA021C" w14:textId="3E58E3BB" w:rsidR="00EA6CD8" w:rsidRPr="00FA2DA3" w:rsidRDefault="00EA6CD8" w:rsidP="00CF0A38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$m</w:t>
            </w:r>
          </w:p>
        </w:tc>
        <w:tc>
          <w:tcPr>
            <w:tcW w:w="216" w:type="pct"/>
            <w:shd w:val="clear" w:color="auto" w:fill="002060"/>
          </w:tcPr>
          <w:p w14:paraId="42843847" w14:textId="73255233" w:rsidR="00EA6CD8" w:rsidRPr="00FA2DA3" w:rsidRDefault="00EA6CD8" w:rsidP="00CF0A38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%</w:t>
            </w:r>
          </w:p>
        </w:tc>
        <w:tc>
          <w:tcPr>
            <w:tcW w:w="477" w:type="pct"/>
            <w:shd w:val="clear" w:color="auto" w:fill="002060"/>
          </w:tcPr>
          <w:p w14:paraId="4957C13C" w14:textId="2EAD1ED2" w:rsidR="00EA6CD8" w:rsidRPr="00FA2DA3" w:rsidRDefault="00EA6CD8" w:rsidP="00D243FB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Nickel ore</w:t>
            </w:r>
          </w:p>
        </w:tc>
        <w:tc>
          <w:tcPr>
            <w:tcW w:w="272" w:type="pct"/>
            <w:shd w:val="clear" w:color="auto" w:fill="002060"/>
          </w:tcPr>
          <w:p w14:paraId="2AD66A9D" w14:textId="3797EC82" w:rsidR="00EA6CD8" w:rsidRPr="00FA2DA3" w:rsidRDefault="00EA6CD8" w:rsidP="00CF0A38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$m</w:t>
            </w:r>
          </w:p>
        </w:tc>
        <w:tc>
          <w:tcPr>
            <w:tcW w:w="216" w:type="pct"/>
            <w:shd w:val="clear" w:color="auto" w:fill="002060"/>
          </w:tcPr>
          <w:p w14:paraId="4066E4AD" w14:textId="5A58F62A" w:rsidR="00EA6CD8" w:rsidRPr="00FA2DA3" w:rsidRDefault="00EA6CD8" w:rsidP="00CF0A38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%</w:t>
            </w:r>
          </w:p>
        </w:tc>
      </w:tr>
      <w:tr w:rsidR="00220037" w:rsidRPr="00AF5DB7" w14:paraId="55FED680" w14:textId="465F936B" w:rsidTr="002200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</w:tcPr>
          <w:p w14:paraId="3A1C258E" w14:textId="7E35D652" w:rsidR="00EA6CD8" w:rsidRPr="00902083" w:rsidRDefault="00872594" w:rsidP="008F7B84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902083">
              <w:rPr>
                <w:rFonts w:cstheme="minorHAnsi"/>
                <w:b w:val="0"/>
                <w:sz w:val="14"/>
                <w:szCs w:val="14"/>
              </w:rPr>
              <w:t>China</w:t>
            </w:r>
            <w:r w:rsidR="008F7B84" w:rsidRPr="00902083">
              <w:rPr>
                <w:rFonts w:cstheme="minorHAnsi"/>
                <w:b w:val="0"/>
                <w:sz w:val="14"/>
                <w:szCs w:val="14"/>
                <w:vertAlign w:val="superscript"/>
              </w:rPr>
              <w:t>(a)</w:t>
            </w:r>
          </w:p>
        </w:tc>
        <w:tc>
          <w:tcPr>
            <w:tcW w:w="347" w:type="pct"/>
          </w:tcPr>
          <w:p w14:paraId="37751C0A" w14:textId="17C63C14" w:rsidR="00EA6CD8" w:rsidRPr="00902083" w:rsidRDefault="00E85DFD" w:rsidP="00CF0A3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902083">
              <w:rPr>
                <w:rFonts w:cstheme="minorHAnsi"/>
                <w:sz w:val="14"/>
                <w:szCs w:val="14"/>
              </w:rPr>
              <w:t>83,</w:t>
            </w:r>
            <w:r w:rsidR="00441917">
              <w:rPr>
                <w:rFonts w:cstheme="minorHAnsi"/>
                <w:sz w:val="14"/>
                <w:szCs w:val="14"/>
              </w:rPr>
              <w:t>684</w:t>
            </w:r>
          </w:p>
        </w:tc>
        <w:tc>
          <w:tcPr>
            <w:tcW w:w="216" w:type="pct"/>
          </w:tcPr>
          <w:p w14:paraId="17E7073B" w14:textId="58314813" w:rsidR="00EA6CD8" w:rsidRPr="00902083" w:rsidRDefault="00E85DFD" w:rsidP="00CF0A3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902083">
              <w:rPr>
                <w:rFonts w:cstheme="minorHAnsi"/>
                <w:sz w:val="14"/>
                <w:szCs w:val="14"/>
              </w:rPr>
              <w:t>8</w:t>
            </w:r>
            <w:r w:rsidR="00441917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477" w:type="pct"/>
          </w:tcPr>
          <w:p w14:paraId="64D97906" w14:textId="719FD6BE" w:rsidR="00EA6CD8" w:rsidRPr="00902083" w:rsidRDefault="00872594" w:rsidP="00872594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902083">
              <w:rPr>
                <w:rFonts w:cstheme="minorHAnsi"/>
                <w:sz w:val="14"/>
                <w:szCs w:val="14"/>
              </w:rPr>
              <w:t>Japan</w:t>
            </w:r>
          </w:p>
        </w:tc>
        <w:tc>
          <w:tcPr>
            <w:tcW w:w="309" w:type="pct"/>
          </w:tcPr>
          <w:p w14:paraId="1C9D62ED" w14:textId="37E63B58" w:rsidR="00EA6CD8" w:rsidRPr="00902083" w:rsidRDefault="00E85DFD" w:rsidP="00CF0A3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902083">
              <w:rPr>
                <w:rFonts w:cstheme="minorHAnsi"/>
                <w:sz w:val="14"/>
                <w:szCs w:val="14"/>
              </w:rPr>
              <w:t>15,160</w:t>
            </w:r>
          </w:p>
        </w:tc>
        <w:tc>
          <w:tcPr>
            <w:tcW w:w="216" w:type="pct"/>
          </w:tcPr>
          <w:p w14:paraId="0848E7CD" w14:textId="405EA53C" w:rsidR="00EA6CD8" w:rsidRPr="00902083" w:rsidRDefault="00E85DFD" w:rsidP="00CF0A3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902083">
              <w:rPr>
                <w:rFonts w:cstheme="minorHAnsi"/>
                <w:sz w:val="14"/>
                <w:szCs w:val="14"/>
              </w:rPr>
              <w:t>43</w:t>
            </w:r>
          </w:p>
        </w:tc>
        <w:tc>
          <w:tcPr>
            <w:tcW w:w="492" w:type="pct"/>
          </w:tcPr>
          <w:p w14:paraId="3A446C97" w14:textId="15F82CC8" w:rsidR="00EA6CD8" w:rsidRPr="00902083" w:rsidRDefault="00872594" w:rsidP="008F7B84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902083">
              <w:rPr>
                <w:rFonts w:cstheme="minorHAnsi"/>
                <w:sz w:val="14"/>
                <w:szCs w:val="14"/>
              </w:rPr>
              <w:t>U</w:t>
            </w:r>
            <w:r w:rsidR="008F7B84" w:rsidRPr="00902083">
              <w:rPr>
                <w:rFonts w:cstheme="minorHAnsi"/>
                <w:sz w:val="14"/>
                <w:szCs w:val="14"/>
              </w:rPr>
              <w:t>K</w:t>
            </w:r>
          </w:p>
        </w:tc>
        <w:tc>
          <w:tcPr>
            <w:tcW w:w="309" w:type="pct"/>
          </w:tcPr>
          <w:p w14:paraId="64BCFB34" w14:textId="490D5F62" w:rsidR="00EA6CD8" w:rsidRPr="00902083" w:rsidRDefault="00E85DFD" w:rsidP="00CF0A3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902083">
              <w:rPr>
                <w:rFonts w:cstheme="minorHAnsi"/>
                <w:sz w:val="14"/>
                <w:szCs w:val="14"/>
              </w:rPr>
              <w:t>12,705</w:t>
            </w:r>
          </w:p>
        </w:tc>
        <w:tc>
          <w:tcPr>
            <w:tcW w:w="216" w:type="pct"/>
          </w:tcPr>
          <w:p w14:paraId="07AB39E8" w14:textId="45C0A7A7" w:rsidR="00EA6CD8" w:rsidRPr="00902083" w:rsidRDefault="00E85DFD" w:rsidP="00CF0A3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902083">
              <w:rPr>
                <w:rFonts w:cstheme="minorHAnsi"/>
                <w:sz w:val="14"/>
                <w:szCs w:val="14"/>
              </w:rPr>
              <w:t>59</w:t>
            </w:r>
          </w:p>
        </w:tc>
        <w:tc>
          <w:tcPr>
            <w:tcW w:w="488" w:type="pct"/>
          </w:tcPr>
          <w:p w14:paraId="27CE92CC" w14:textId="18ED0494" w:rsidR="00EA6CD8" w:rsidRPr="00902083" w:rsidRDefault="00872594" w:rsidP="008F7B84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902083">
              <w:rPr>
                <w:rFonts w:cstheme="minorHAnsi"/>
                <w:sz w:val="14"/>
                <w:szCs w:val="14"/>
              </w:rPr>
              <w:t>U</w:t>
            </w:r>
            <w:r w:rsidR="008F7B84" w:rsidRPr="00902083">
              <w:rPr>
                <w:rFonts w:cstheme="minorHAnsi"/>
                <w:sz w:val="14"/>
                <w:szCs w:val="14"/>
              </w:rPr>
              <w:t>AE</w:t>
            </w:r>
          </w:p>
        </w:tc>
        <w:tc>
          <w:tcPr>
            <w:tcW w:w="272" w:type="pct"/>
          </w:tcPr>
          <w:p w14:paraId="1CAB84B9" w14:textId="6F372614" w:rsidR="00EA6CD8" w:rsidRPr="00902083" w:rsidRDefault="00E85DFD" w:rsidP="00CF0A3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902083">
              <w:rPr>
                <w:rFonts w:cstheme="minorHAnsi"/>
                <w:sz w:val="14"/>
                <w:szCs w:val="14"/>
              </w:rPr>
              <w:t>1,898</w:t>
            </w:r>
          </w:p>
        </w:tc>
        <w:tc>
          <w:tcPr>
            <w:tcW w:w="216" w:type="pct"/>
          </w:tcPr>
          <w:p w14:paraId="0F40CF92" w14:textId="4249EE17" w:rsidR="00EA6CD8" w:rsidRPr="00902083" w:rsidRDefault="00E85DFD" w:rsidP="00CF0A3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902083">
              <w:rPr>
                <w:rFonts w:cstheme="minorHAnsi"/>
                <w:sz w:val="14"/>
                <w:szCs w:val="14"/>
              </w:rPr>
              <w:t>31</w:t>
            </w:r>
          </w:p>
        </w:tc>
        <w:tc>
          <w:tcPr>
            <w:tcW w:w="477" w:type="pct"/>
          </w:tcPr>
          <w:p w14:paraId="0E70423E" w14:textId="103DF410" w:rsidR="00EA6CD8" w:rsidRPr="00DD1970" w:rsidRDefault="008F7B84" w:rsidP="00872594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DD1970">
              <w:rPr>
                <w:rFonts w:cstheme="minorHAnsi"/>
                <w:sz w:val="14"/>
                <w:szCs w:val="14"/>
              </w:rPr>
              <w:t>China</w:t>
            </w:r>
            <w:r w:rsidRPr="00DD1970">
              <w:rPr>
                <w:rFonts w:cstheme="minorHAnsi"/>
                <w:sz w:val="14"/>
                <w:szCs w:val="14"/>
                <w:vertAlign w:val="superscript"/>
              </w:rPr>
              <w:t>(a)</w:t>
            </w:r>
          </w:p>
        </w:tc>
        <w:tc>
          <w:tcPr>
            <w:tcW w:w="272" w:type="pct"/>
          </w:tcPr>
          <w:p w14:paraId="61D901B3" w14:textId="2BB8B21E" w:rsidR="00EA6CD8" w:rsidRPr="00902083" w:rsidRDefault="00E85DFD" w:rsidP="00CF0A3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902083">
              <w:rPr>
                <w:rFonts w:cstheme="minorHAnsi"/>
                <w:sz w:val="14"/>
                <w:szCs w:val="14"/>
              </w:rPr>
              <w:t>1,573</w:t>
            </w:r>
          </w:p>
        </w:tc>
        <w:tc>
          <w:tcPr>
            <w:tcW w:w="216" w:type="pct"/>
          </w:tcPr>
          <w:p w14:paraId="5BA75027" w14:textId="7F532DF8" w:rsidR="00EA6CD8" w:rsidRPr="00902083" w:rsidRDefault="00E85DFD" w:rsidP="00CF0A3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902083">
              <w:rPr>
                <w:rFonts w:cstheme="minorHAnsi"/>
                <w:sz w:val="14"/>
                <w:szCs w:val="14"/>
              </w:rPr>
              <w:t>40</w:t>
            </w:r>
          </w:p>
        </w:tc>
      </w:tr>
      <w:tr w:rsidR="00220037" w:rsidRPr="00AF5DB7" w14:paraId="0D984024" w14:textId="3CBAD1AB" w:rsidTr="00220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</w:tcPr>
          <w:p w14:paraId="2C77DA6C" w14:textId="2269BCDF" w:rsidR="00EA6CD8" w:rsidRPr="00902083" w:rsidRDefault="00872594" w:rsidP="00872594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902083">
              <w:rPr>
                <w:rFonts w:cstheme="minorHAnsi"/>
                <w:b w:val="0"/>
                <w:sz w:val="14"/>
                <w:szCs w:val="14"/>
              </w:rPr>
              <w:t>Japan</w:t>
            </w:r>
          </w:p>
        </w:tc>
        <w:tc>
          <w:tcPr>
            <w:tcW w:w="347" w:type="pct"/>
          </w:tcPr>
          <w:p w14:paraId="730DDCF0" w14:textId="1C731A91" w:rsidR="00EA6CD8" w:rsidRPr="00902083" w:rsidRDefault="00E85DFD" w:rsidP="00CF0A3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902083">
              <w:rPr>
                <w:rFonts w:cstheme="minorHAnsi"/>
                <w:sz w:val="14"/>
                <w:szCs w:val="14"/>
              </w:rPr>
              <w:t>7,0</w:t>
            </w:r>
            <w:r w:rsidR="00441917">
              <w:rPr>
                <w:rFonts w:cstheme="minorHAnsi"/>
                <w:sz w:val="14"/>
                <w:szCs w:val="14"/>
              </w:rPr>
              <w:t>32</w:t>
            </w:r>
          </w:p>
        </w:tc>
        <w:tc>
          <w:tcPr>
            <w:tcW w:w="216" w:type="pct"/>
          </w:tcPr>
          <w:p w14:paraId="30E64AA3" w14:textId="1E0E9B1A" w:rsidR="00EA6CD8" w:rsidRPr="00902083" w:rsidRDefault="00E85DFD" w:rsidP="00CF0A3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902083">
              <w:rPr>
                <w:rFonts w:cstheme="minorHAnsi"/>
                <w:sz w:val="14"/>
                <w:szCs w:val="14"/>
              </w:rPr>
              <w:t>7</w:t>
            </w:r>
          </w:p>
        </w:tc>
        <w:tc>
          <w:tcPr>
            <w:tcW w:w="477" w:type="pct"/>
          </w:tcPr>
          <w:p w14:paraId="0D03269F" w14:textId="3FAD5271" w:rsidR="00EA6CD8" w:rsidRPr="00DD1970" w:rsidRDefault="008F7B84" w:rsidP="00872594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DD1970">
              <w:rPr>
                <w:rFonts w:cstheme="minorHAnsi"/>
                <w:sz w:val="14"/>
                <w:szCs w:val="14"/>
              </w:rPr>
              <w:t>China</w:t>
            </w:r>
            <w:r w:rsidRPr="00DD1970">
              <w:rPr>
                <w:rFonts w:cstheme="minorHAnsi"/>
                <w:sz w:val="14"/>
                <w:szCs w:val="14"/>
                <w:vertAlign w:val="superscript"/>
              </w:rPr>
              <w:t>(a)</w:t>
            </w:r>
          </w:p>
        </w:tc>
        <w:tc>
          <w:tcPr>
            <w:tcW w:w="309" w:type="pct"/>
          </w:tcPr>
          <w:p w14:paraId="6A8BE845" w14:textId="729A6B81" w:rsidR="00EA6CD8" w:rsidRPr="00902083" w:rsidRDefault="00E85DFD" w:rsidP="00CF0A3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902083">
              <w:rPr>
                <w:rFonts w:cstheme="minorHAnsi"/>
                <w:sz w:val="14"/>
                <w:szCs w:val="14"/>
              </w:rPr>
              <w:t>5,955</w:t>
            </w:r>
          </w:p>
        </w:tc>
        <w:tc>
          <w:tcPr>
            <w:tcW w:w="216" w:type="pct"/>
          </w:tcPr>
          <w:p w14:paraId="184E1DB4" w14:textId="02EDAFD6" w:rsidR="00EA6CD8" w:rsidRPr="00902083" w:rsidRDefault="00E85DFD" w:rsidP="00CF0A3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902083">
              <w:rPr>
                <w:rFonts w:cstheme="minorHAnsi"/>
                <w:sz w:val="14"/>
                <w:szCs w:val="14"/>
              </w:rPr>
              <w:t>17</w:t>
            </w:r>
          </w:p>
        </w:tc>
        <w:tc>
          <w:tcPr>
            <w:tcW w:w="492" w:type="pct"/>
          </w:tcPr>
          <w:p w14:paraId="0FA1DE9C" w14:textId="4B61DD04" w:rsidR="00EA6CD8" w:rsidRPr="00902083" w:rsidRDefault="00872594" w:rsidP="008F7B84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902083">
              <w:rPr>
                <w:rFonts w:cstheme="minorHAnsi"/>
                <w:sz w:val="14"/>
                <w:szCs w:val="14"/>
              </w:rPr>
              <w:t>U</w:t>
            </w:r>
            <w:r w:rsidR="008F7B84" w:rsidRPr="00902083">
              <w:rPr>
                <w:rFonts w:cstheme="minorHAnsi"/>
                <w:sz w:val="14"/>
                <w:szCs w:val="14"/>
              </w:rPr>
              <w:t>S</w:t>
            </w:r>
            <w:r w:rsidR="00F14951">
              <w:rPr>
                <w:rFonts w:cstheme="minorHAnsi"/>
                <w:sz w:val="14"/>
                <w:szCs w:val="14"/>
              </w:rPr>
              <w:t>A</w:t>
            </w:r>
          </w:p>
        </w:tc>
        <w:tc>
          <w:tcPr>
            <w:tcW w:w="309" w:type="pct"/>
          </w:tcPr>
          <w:p w14:paraId="66D2A608" w14:textId="3EE04BED" w:rsidR="00EA6CD8" w:rsidRPr="00902083" w:rsidRDefault="00E85DFD" w:rsidP="00CF0A3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902083">
              <w:rPr>
                <w:rFonts w:cstheme="minorHAnsi"/>
                <w:sz w:val="14"/>
                <w:szCs w:val="14"/>
              </w:rPr>
              <w:t>3,011</w:t>
            </w:r>
          </w:p>
        </w:tc>
        <w:tc>
          <w:tcPr>
            <w:tcW w:w="216" w:type="pct"/>
          </w:tcPr>
          <w:p w14:paraId="7F685FAF" w14:textId="2E0E3935" w:rsidR="00EA6CD8" w:rsidRPr="00902083" w:rsidRDefault="00E85DFD" w:rsidP="00CF0A3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902083">
              <w:rPr>
                <w:rFonts w:cstheme="minorHAnsi"/>
                <w:sz w:val="14"/>
                <w:szCs w:val="14"/>
              </w:rPr>
              <w:t>14</w:t>
            </w:r>
          </w:p>
        </w:tc>
        <w:tc>
          <w:tcPr>
            <w:tcW w:w="488" w:type="pct"/>
          </w:tcPr>
          <w:p w14:paraId="186CEFA6" w14:textId="6295C4D3" w:rsidR="00EA6CD8" w:rsidRPr="00902083" w:rsidRDefault="00872594" w:rsidP="00872594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902083">
              <w:rPr>
                <w:rFonts w:cstheme="minorHAnsi"/>
                <w:sz w:val="14"/>
                <w:szCs w:val="14"/>
              </w:rPr>
              <w:t>Bahrain</w:t>
            </w:r>
          </w:p>
        </w:tc>
        <w:tc>
          <w:tcPr>
            <w:tcW w:w="272" w:type="pct"/>
          </w:tcPr>
          <w:p w14:paraId="1C46F9D9" w14:textId="459622AE" w:rsidR="00EA6CD8" w:rsidRPr="00902083" w:rsidRDefault="00E85DFD" w:rsidP="00CF0A3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902083">
              <w:rPr>
                <w:rFonts w:cstheme="minorHAnsi"/>
                <w:sz w:val="14"/>
                <w:szCs w:val="14"/>
              </w:rPr>
              <w:t>581</w:t>
            </w:r>
          </w:p>
        </w:tc>
        <w:tc>
          <w:tcPr>
            <w:tcW w:w="216" w:type="pct"/>
          </w:tcPr>
          <w:p w14:paraId="5ABD1760" w14:textId="22E9037D" w:rsidR="00EA6CD8" w:rsidRPr="00902083" w:rsidRDefault="00E85DFD" w:rsidP="00CF0A3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902083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477" w:type="pct"/>
          </w:tcPr>
          <w:p w14:paraId="2D33EBCD" w14:textId="4416FCFE" w:rsidR="00EA6CD8" w:rsidRPr="00902083" w:rsidRDefault="001D0577" w:rsidP="00872594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902083">
              <w:rPr>
                <w:rFonts w:cstheme="minorHAnsi"/>
                <w:sz w:val="14"/>
                <w:szCs w:val="14"/>
              </w:rPr>
              <w:t>Malaysia</w:t>
            </w:r>
          </w:p>
        </w:tc>
        <w:tc>
          <w:tcPr>
            <w:tcW w:w="272" w:type="pct"/>
          </w:tcPr>
          <w:p w14:paraId="292F226B" w14:textId="73E1742B" w:rsidR="00EA6CD8" w:rsidRPr="00902083" w:rsidRDefault="00E85DFD" w:rsidP="00CF0A3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902083">
              <w:rPr>
                <w:rFonts w:cstheme="minorHAnsi"/>
                <w:sz w:val="14"/>
                <w:szCs w:val="14"/>
              </w:rPr>
              <w:t>393</w:t>
            </w:r>
          </w:p>
        </w:tc>
        <w:tc>
          <w:tcPr>
            <w:tcW w:w="216" w:type="pct"/>
          </w:tcPr>
          <w:p w14:paraId="660A5D5E" w14:textId="55F151A9" w:rsidR="00EA6CD8" w:rsidRPr="00902083" w:rsidRDefault="00E85DFD" w:rsidP="00CF0A3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902083">
              <w:rPr>
                <w:rFonts w:cstheme="minorHAnsi"/>
                <w:sz w:val="14"/>
                <w:szCs w:val="14"/>
              </w:rPr>
              <w:t>10</w:t>
            </w:r>
          </w:p>
        </w:tc>
      </w:tr>
      <w:tr w:rsidR="00220037" w:rsidRPr="00AF5DB7" w14:paraId="7F1262EE" w14:textId="36ACCD98" w:rsidTr="002200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</w:tcPr>
          <w:p w14:paraId="24E152F0" w14:textId="23BCB211" w:rsidR="00EA6CD8" w:rsidRPr="00902083" w:rsidRDefault="00872594" w:rsidP="00872594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902083">
              <w:rPr>
                <w:rFonts w:cstheme="minorHAnsi"/>
                <w:b w:val="0"/>
                <w:sz w:val="14"/>
                <w:szCs w:val="14"/>
              </w:rPr>
              <w:t>South Korea</w:t>
            </w:r>
          </w:p>
        </w:tc>
        <w:tc>
          <w:tcPr>
            <w:tcW w:w="347" w:type="pct"/>
          </w:tcPr>
          <w:p w14:paraId="76EB78EA" w14:textId="4AF7F3D3" w:rsidR="00EA6CD8" w:rsidRPr="00902083" w:rsidRDefault="00E85DFD" w:rsidP="00CF0A3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902083">
              <w:rPr>
                <w:rFonts w:cstheme="minorHAnsi"/>
                <w:sz w:val="14"/>
                <w:szCs w:val="14"/>
              </w:rPr>
              <w:t>6,2</w:t>
            </w:r>
            <w:r w:rsidR="00441917">
              <w:rPr>
                <w:rFonts w:cstheme="minorHAnsi"/>
                <w:sz w:val="14"/>
                <w:szCs w:val="14"/>
              </w:rPr>
              <w:t>07</w:t>
            </w:r>
          </w:p>
        </w:tc>
        <w:tc>
          <w:tcPr>
            <w:tcW w:w="216" w:type="pct"/>
          </w:tcPr>
          <w:p w14:paraId="1FE36C45" w14:textId="7839A4CC" w:rsidR="00EA6CD8" w:rsidRPr="00902083" w:rsidRDefault="00E85DFD" w:rsidP="00CF0A3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902083">
              <w:rPr>
                <w:rFonts w:cstheme="minorHAnsi"/>
                <w:sz w:val="14"/>
                <w:szCs w:val="14"/>
              </w:rPr>
              <w:t>6</w:t>
            </w:r>
          </w:p>
        </w:tc>
        <w:tc>
          <w:tcPr>
            <w:tcW w:w="477" w:type="pct"/>
          </w:tcPr>
          <w:p w14:paraId="73377AF4" w14:textId="70242564" w:rsidR="00EA6CD8" w:rsidRPr="00902083" w:rsidRDefault="00872594" w:rsidP="00872594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902083">
              <w:rPr>
                <w:rFonts w:cstheme="minorHAnsi"/>
                <w:sz w:val="14"/>
                <w:szCs w:val="14"/>
              </w:rPr>
              <w:t>Singapore</w:t>
            </w:r>
          </w:p>
        </w:tc>
        <w:tc>
          <w:tcPr>
            <w:tcW w:w="309" w:type="pct"/>
          </w:tcPr>
          <w:p w14:paraId="728BD805" w14:textId="2BD6B924" w:rsidR="00EA6CD8" w:rsidRPr="00902083" w:rsidRDefault="00E85DFD" w:rsidP="00CF0A3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902083">
              <w:rPr>
                <w:rFonts w:cstheme="minorHAnsi"/>
                <w:sz w:val="14"/>
                <w:szCs w:val="14"/>
              </w:rPr>
              <w:t>5,742</w:t>
            </w:r>
          </w:p>
        </w:tc>
        <w:tc>
          <w:tcPr>
            <w:tcW w:w="216" w:type="pct"/>
          </w:tcPr>
          <w:p w14:paraId="40789056" w14:textId="0D9F0748" w:rsidR="00EA6CD8" w:rsidRPr="00902083" w:rsidRDefault="00E85DFD" w:rsidP="00CF0A3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902083">
              <w:rPr>
                <w:rFonts w:cstheme="minorHAnsi"/>
                <w:sz w:val="14"/>
                <w:szCs w:val="14"/>
              </w:rPr>
              <w:t>16</w:t>
            </w:r>
          </w:p>
        </w:tc>
        <w:tc>
          <w:tcPr>
            <w:tcW w:w="492" w:type="pct"/>
          </w:tcPr>
          <w:p w14:paraId="3DC3B737" w14:textId="27AC5F5D" w:rsidR="00EA6CD8" w:rsidRPr="00902083" w:rsidRDefault="00872594" w:rsidP="008F7B84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902083">
              <w:rPr>
                <w:rFonts w:cstheme="minorHAnsi"/>
                <w:sz w:val="14"/>
                <w:szCs w:val="14"/>
              </w:rPr>
              <w:t>Hong Kong</w:t>
            </w:r>
            <w:r w:rsidR="008F7B84" w:rsidRPr="00902083">
              <w:rPr>
                <w:rFonts w:cstheme="minorHAnsi"/>
                <w:sz w:val="14"/>
                <w:szCs w:val="14"/>
                <w:vertAlign w:val="superscript"/>
              </w:rPr>
              <w:t>(b)</w:t>
            </w:r>
          </w:p>
        </w:tc>
        <w:tc>
          <w:tcPr>
            <w:tcW w:w="309" w:type="pct"/>
          </w:tcPr>
          <w:p w14:paraId="2250FCC8" w14:textId="19044479" w:rsidR="00EA6CD8" w:rsidRPr="00902083" w:rsidRDefault="00E85DFD" w:rsidP="00CF0A3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902083">
              <w:rPr>
                <w:rFonts w:cstheme="minorHAnsi"/>
                <w:sz w:val="14"/>
                <w:szCs w:val="14"/>
              </w:rPr>
              <w:t>2,971</w:t>
            </w:r>
          </w:p>
        </w:tc>
        <w:tc>
          <w:tcPr>
            <w:tcW w:w="216" w:type="pct"/>
          </w:tcPr>
          <w:p w14:paraId="431B4E49" w14:textId="6EF1D04E" w:rsidR="00EA6CD8" w:rsidRPr="00902083" w:rsidRDefault="00E85DFD" w:rsidP="00CF0A3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902083">
              <w:rPr>
                <w:rFonts w:cstheme="minorHAnsi"/>
                <w:sz w:val="14"/>
                <w:szCs w:val="14"/>
              </w:rPr>
              <w:t>14</w:t>
            </w:r>
          </w:p>
        </w:tc>
        <w:tc>
          <w:tcPr>
            <w:tcW w:w="488" w:type="pct"/>
          </w:tcPr>
          <w:p w14:paraId="772D91DC" w14:textId="2535C657" w:rsidR="00EA6CD8" w:rsidRPr="00DD1970" w:rsidRDefault="008F7B84" w:rsidP="00872594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DD1970">
              <w:rPr>
                <w:rFonts w:cstheme="minorHAnsi"/>
                <w:sz w:val="14"/>
                <w:szCs w:val="14"/>
              </w:rPr>
              <w:t>China</w:t>
            </w:r>
            <w:r w:rsidRPr="00DD1970">
              <w:rPr>
                <w:rFonts w:cstheme="minorHAnsi"/>
                <w:sz w:val="14"/>
                <w:szCs w:val="14"/>
                <w:vertAlign w:val="superscript"/>
              </w:rPr>
              <w:t>(a)</w:t>
            </w:r>
          </w:p>
        </w:tc>
        <w:tc>
          <w:tcPr>
            <w:tcW w:w="272" w:type="pct"/>
          </w:tcPr>
          <w:p w14:paraId="111F847A" w14:textId="5685D77A" w:rsidR="00EA6CD8" w:rsidRPr="00902083" w:rsidRDefault="00E85DFD" w:rsidP="00CF0A3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902083">
              <w:rPr>
                <w:rFonts w:cstheme="minorHAnsi"/>
                <w:sz w:val="14"/>
                <w:szCs w:val="14"/>
              </w:rPr>
              <w:t>543</w:t>
            </w:r>
          </w:p>
        </w:tc>
        <w:tc>
          <w:tcPr>
            <w:tcW w:w="216" w:type="pct"/>
          </w:tcPr>
          <w:p w14:paraId="03A5D3C8" w14:textId="35BD4DDC" w:rsidR="00EA6CD8" w:rsidRPr="00902083" w:rsidRDefault="00E85DFD" w:rsidP="00CF0A3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902083">
              <w:rPr>
                <w:rFonts w:cstheme="minorHAnsi"/>
                <w:sz w:val="14"/>
                <w:szCs w:val="14"/>
              </w:rPr>
              <w:t>9</w:t>
            </w:r>
          </w:p>
        </w:tc>
        <w:tc>
          <w:tcPr>
            <w:tcW w:w="477" w:type="pct"/>
          </w:tcPr>
          <w:p w14:paraId="141B7271" w14:textId="080B413F" w:rsidR="00EA6CD8" w:rsidRPr="00902083" w:rsidRDefault="001D0577" w:rsidP="00872594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902083">
              <w:rPr>
                <w:rFonts w:cstheme="minorHAnsi"/>
                <w:sz w:val="14"/>
                <w:szCs w:val="14"/>
              </w:rPr>
              <w:t>Japan</w:t>
            </w:r>
          </w:p>
        </w:tc>
        <w:tc>
          <w:tcPr>
            <w:tcW w:w="272" w:type="pct"/>
          </w:tcPr>
          <w:p w14:paraId="3CB5B627" w14:textId="2F98C6DE" w:rsidR="00EA6CD8" w:rsidRPr="00902083" w:rsidRDefault="00E85DFD" w:rsidP="00CF0A3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902083">
              <w:rPr>
                <w:rFonts w:cstheme="minorHAnsi"/>
                <w:sz w:val="14"/>
                <w:szCs w:val="14"/>
              </w:rPr>
              <w:t>373</w:t>
            </w:r>
          </w:p>
        </w:tc>
        <w:tc>
          <w:tcPr>
            <w:tcW w:w="216" w:type="pct"/>
          </w:tcPr>
          <w:p w14:paraId="1E581005" w14:textId="50A2C6FC" w:rsidR="00EA6CD8" w:rsidRPr="00902083" w:rsidRDefault="00E85DFD" w:rsidP="00CF0A3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902083">
              <w:rPr>
                <w:rFonts w:cstheme="minorHAnsi"/>
                <w:sz w:val="14"/>
                <w:szCs w:val="14"/>
              </w:rPr>
              <w:t>9</w:t>
            </w:r>
          </w:p>
        </w:tc>
      </w:tr>
      <w:tr w:rsidR="00220037" w:rsidRPr="00AF5DB7" w14:paraId="23B48622" w14:textId="77777777" w:rsidTr="00220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</w:tcPr>
          <w:p w14:paraId="3F754FAE" w14:textId="58CD07F5" w:rsidR="00950C0F" w:rsidRPr="00441917" w:rsidRDefault="00441917" w:rsidP="00872594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441917">
              <w:rPr>
                <w:rFonts w:cstheme="minorHAnsi"/>
                <w:b w:val="0"/>
                <w:sz w:val="14"/>
                <w:szCs w:val="14"/>
              </w:rPr>
              <w:t>Taiwan</w:t>
            </w:r>
          </w:p>
        </w:tc>
        <w:tc>
          <w:tcPr>
            <w:tcW w:w="347" w:type="pct"/>
          </w:tcPr>
          <w:p w14:paraId="127EA632" w14:textId="3E3C4EB1" w:rsidR="00950C0F" w:rsidRPr="00902083" w:rsidRDefault="00441917" w:rsidP="00CF0A3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1,874</w:t>
            </w:r>
          </w:p>
        </w:tc>
        <w:tc>
          <w:tcPr>
            <w:tcW w:w="216" w:type="pct"/>
          </w:tcPr>
          <w:p w14:paraId="1FBA99CB" w14:textId="3AA5D522" w:rsidR="00950C0F" w:rsidRPr="00902083" w:rsidRDefault="00441917" w:rsidP="00CF0A3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477" w:type="pct"/>
          </w:tcPr>
          <w:p w14:paraId="54AABB1D" w14:textId="41BC085C" w:rsidR="00950C0F" w:rsidRPr="00902083" w:rsidRDefault="00950C0F" w:rsidP="00872594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South Korea</w:t>
            </w:r>
          </w:p>
        </w:tc>
        <w:tc>
          <w:tcPr>
            <w:tcW w:w="309" w:type="pct"/>
          </w:tcPr>
          <w:p w14:paraId="34D9347B" w14:textId="30AD56B3" w:rsidR="00950C0F" w:rsidRPr="00902083" w:rsidRDefault="00950C0F" w:rsidP="00CF0A3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2,886</w:t>
            </w:r>
          </w:p>
        </w:tc>
        <w:tc>
          <w:tcPr>
            <w:tcW w:w="216" w:type="pct"/>
          </w:tcPr>
          <w:p w14:paraId="0BBF3092" w14:textId="4734C669" w:rsidR="00950C0F" w:rsidRPr="00902083" w:rsidRDefault="00950C0F" w:rsidP="00CF0A3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8</w:t>
            </w:r>
          </w:p>
        </w:tc>
        <w:tc>
          <w:tcPr>
            <w:tcW w:w="492" w:type="pct"/>
          </w:tcPr>
          <w:p w14:paraId="40B71B5E" w14:textId="50E15355" w:rsidR="00950C0F" w:rsidRPr="00902083" w:rsidRDefault="00441917" w:rsidP="008F7B84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Singapore</w:t>
            </w:r>
          </w:p>
        </w:tc>
        <w:tc>
          <w:tcPr>
            <w:tcW w:w="309" w:type="pct"/>
          </w:tcPr>
          <w:p w14:paraId="4BA1C62E" w14:textId="00DB48A9" w:rsidR="00950C0F" w:rsidRPr="00902083" w:rsidRDefault="00441917" w:rsidP="00CF0A3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854</w:t>
            </w:r>
          </w:p>
        </w:tc>
        <w:tc>
          <w:tcPr>
            <w:tcW w:w="216" w:type="pct"/>
          </w:tcPr>
          <w:p w14:paraId="183CB52B" w14:textId="490E7001" w:rsidR="00950C0F" w:rsidRPr="00902083" w:rsidRDefault="00441917" w:rsidP="00CF0A3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4</w:t>
            </w:r>
          </w:p>
        </w:tc>
        <w:tc>
          <w:tcPr>
            <w:tcW w:w="488" w:type="pct"/>
          </w:tcPr>
          <w:p w14:paraId="6BFF0005" w14:textId="4BBB0565" w:rsidR="00950C0F" w:rsidRPr="00902083" w:rsidRDefault="005309D9" w:rsidP="00872594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South Africa</w:t>
            </w:r>
          </w:p>
        </w:tc>
        <w:tc>
          <w:tcPr>
            <w:tcW w:w="272" w:type="pct"/>
          </w:tcPr>
          <w:p w14:paraId="30B0B202" w14:textId="3F0F53D8" w:rsidR="00950C0F" w:rsidRPr="00902083" w:rsidRDefault="005309D9" w:rsidP="00CF0A3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508</w:t>
            </w:r>
          </w:p>
        </w:tc>
        <w:tc>
          <w:tcPr>
            <w:tcW w:w="216" w:type="pct"/>
          </w:tcPr>
          <w:p w14:paraId="05A9C9AD" w14:textId="7AEAD05C" w:rsidR="00950C0F" w:rsidRPr="00902083" w:rsidRDefault="005309D9" w:rsidP="00CF0A3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8</w:t>
            </w:r>
          </w:p>
        </w:tc>
        <w:tc>
          <w:tcPr>
            <w:tcW w:w="477" w:type="pct"/>
          </w:tcPr>
          <w:p w14:paraId="5DAAA83E" w14:textId="47A43560" w:rsidR="00950C0F" w:rsidRPr="00902083" w:rsidRDefault="005362A4" w:rsidP="00872594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South Korea</w:t>
            </w:r>
          </w:p>
        </w:tc>
        <w:tc>
          <w:tcPr>
            <w:tcW w:w="272" w:type="pct"/>
          </w:tcPr>
          <w:p w14:paraId="77054DC7" w14:textId="7EFF44CF" w:rsidR="00950C0F" w:rsidRPr="00902083" w:rsidRDefault="005362A4" w:rsidP="00CF0A3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341</w:t>
            </w:r>
          </w:p>
        </w:tc>
        <w:tc>
          <w:tcPr>
            <w:tcW w:w="216" w:type="pct"/>
          </w:tcPr>
          <w:p w14:paraId="2185C3C8" w14:textId="6DB1F717" w:rsidR="00950C0F" w:rsidRPr="00902083" w:rsidRDefault="005362A4" w:rsidP="00CF0A3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9</w:t>
            </w:r>
          </w:p>
        </w:tc>
      </w:tr>
      <w:tr w:rsidR="00220037" w:rsidRPr="00AF5DB7" w14:paraId="75F589FD" w14:textId="77777777" w:rsidTr="002200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</w:tcPr>
          <w:p w14:paraId="30B0C67A" w14:textId="4739B6F8" w:rsidR="00950C0F" w:rsidRPr="00441917" w:rsidRDefault="00441917" w:rsidP="00872594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441917">
              <w:rPr>
                <w:rFonts w:cstheme="minorHAnsi"/>
                <w:b w:val="0"/>
                <w:sz w:val="14"/>
                <w:szCs w:val="14"/>
              </w:rPr>
              <w:t>Vietnam</w:t>
            </w:r>
          </w:p>
        </w:tc>
        <w:tc>
          <w:tcPr>
            <w:tcW w:w="347" w:type="pct"/>
          </w:tcPr>
          <w:p w14:paraId="08BAFA95" w14:textId="42D4CC94" w:rsidR="00950C0F" w:rsidRPr="00902083" w:rsidRDefault="00441917" w:rsidP="00CF0A3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765</w:t>
            </w:r>
          </w:p>
        </w:tc>
        <w:tc>
          <w:tcPr>
            <w:tcW w:w="216" w:type="pct"/>
          </w:tcPr>
          <w:p w14:paraId="082BEBD1" w14:textId="0C59D9F4" w:rsidR="00950C0F" w:rsidRPr="00902083" w:rsidRDefault="00441917" w:rsidP="00CF0A3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</w:t>
            </w:r>
          </w:p>
        </w:tc>
        <w:tc>
          <w:tcPr>
            <w:tcW w:w="477" w:type="pct"/>
          </w:tcPr>
          <w:p w14:paraId="1802618F" w14:textId="034E4C48" w:rsidR="00950C0F" w:rsidRPr="00902083" w:rsidRDefault="00950C0F" w:rsidP="00872594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Indonesia</w:t>
            </w:r>
          </w:p>
        </w:tc>
        <w:tc>
          <w:tcPr>
            <w:tcW w:w="309" w:type="pct"/>
          </w:tcPr>
          <w:p w14:paraId="2E655A01" w14:textId="63369863" w:rsidR="00950C0F" w:rsidRPr="00902083" w:rsidRDefault="00950C0F" w:rsidP="00CF0A3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1,184</w:t>
            </w:r>
          </w:p>
        </w:tc>
        <w:tc>
          <w:tcPr>
            <w:tcW w:w="216" w:type="pct"/>
          </w:tcPr>
          <w:p w14:paraId="013AB4E7" w14:textId="1C4CC815" w:rsidR="00950C0F" w:rsidRPr="00902083" w:rsidRDefault="00950C0F" w:rsidP="00CF0A3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</w:t>
            </w:r>
          </w:p>
        </w:tc>
        <w:tc>
          <w:tcPr>
            <w:tcW w:w="492" w:type="pct"/>
          </w:tcPr>
          <w:p w14:paraId="443AC1E8" w14:textId="7C9D2886" w:rsidR="00950C0F" w:rsidRPr="00902083" w:rsidRDefault="00441917" w:rsidP="008F7B84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902083">
              <w:rPr>
                <w:rFonts w:cstheme="minorHAnsi"/>
                <w:sz w:val="14"/>
                <w:szCs w:val="14"/>
              </w:rPr>
              <w:t>China</w:t>
            </w:r>
            <w:r w:rsidRPr="00902083">
              <w:rPr>
                <w:rFonts w:cstheme="minorHAnsi"/>
                <w:sz w:val="14"/>
                <w:szCs w:val="14"/>
                <w:vertAlign w:val="superscript"/>
              </w:rPr>
              <w:t>(a)</w:t>
            </w:r>
          </w:p>
        </w:tc>
        <w:tc>
          <w:tcPr>
            <w:tcW w:w="309" w:type="pct"/>
          </w:tcPr>
          <w:p w14:paraId="1D2DBFC5" w14:textId="00D0EF62" w:rsidR="00950C0F" w:rsidRPr="00902083" w:rsidRDefault="00441917" w:rsidP="00CF0A3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824</w:t>
            </w:r>
          </w:p>
        </w:tc>
        <w:tc>
          <w:tcPr>
            <w:tcW w:w="216" w:type="pct"/>
          </w:tcPr>
          <w:p w14:paraId="7F22A960" w14:textId="7381616C" w:rsidR="00950C0F" w:rsidRPr="00902083" w:rsidRDefault="00441917" w:rsidP="00CF0A3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4</w:t>
            </w:r>
          </w:p>
        </w:tc>
        <w:tc>
          <w:tcPr>
            <w:tcW w:w="488" w:type="pct"/>
          </w:tcPr>
          <w:p w14:paraId="6FC8CCA5" w14:textId="007E3DD8" w:rsidR="00950C0F" w:rsidRPr="00902083" w:rsidRDefault="005309D9" w:rsidP="00872594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Mozambique</w:t>
            </w:r>
          </w:p>
        </w:tc>
        <w:tc>
          <w:tcPr>
            <w:tcW w:w="272" w:type="pct"/>
          </w:tcPr>
          <w:p w14:paraId="055FD10D" w14:textId="628A6878" w:rsidR="00950C0F" w:rsidRPr="00902083" w:rsidRDefault="005309D9" w:rsidP="00CF0A3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446</w:t>
            </w:r>
          </w:p>
        </w:tc>
        <w:tc>
          <w:tcPr>
            <w:tcW w:w="216" w:type="pct"/>
          </w:tcPr>
          <w:p w14:paraId="47E3A3FB" w14:textId="167394FF" w:rsidR="00950C0F" w:rsidRPr="00902083" w:rsidRDefault="005309D9" w:rsidP="00CF0A3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7</w:t>
            </w:r>
          </w:p>
        </w:tc>
        <w:tc>
          <w:tcPr>
            <w:tcW w:w="477" w:type="pct"/>
          </w:tcPr>
          <w:p w14:paraId="0316C03C" w14:textId="6C4CBCC3" w:rsidR="00950C0F" w:rsidRPr="00902083" w:rsidRDefault="005362A4" w:rsidP="00872594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Taiwan</w:t>
            </w:r>
          </w:p>
        </w:tc>
        <w:tc>
          <w:tcPr>
            <w:tcW w:w="272" w:type="pct"/>
          </w:tcPr>
          <w:p w14:paraId="1AD96E6E" w14:textId="1EC22889" w:rsidR="00950C0F" w:rsidRPr="00902083" w:rsidRDefault="005362A4" w:rsidP="00CF0A3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329</w:t>
            </w:r>
          </w:p>
        </w:tc>
        <w:tc>
          <w:tcPr>
            <w:tcW w:w="216" w:type="pct"/>
          </w:tcPr>
          <w:p w14:paraId="226E2105" w14:textId="1780D4D9" w:rsidR="00950C0F" w:rsidRPr="00902083" w:rsidRDefault="005362A4" w:rsidP="00CF0A3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8</w:t>
            </w:r>
          </w:p>
        </w:tc>
      </w:tr>
      <w:tr w:rsidR="00220037" w:rsidRPr="00AF5DB7" w14:paraId="688E1625" w14:textId="336B5474" w:rsidTr="00220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</w:tcPr>
          <w:p w14:paraId="7F6A488E" w14:textId="696973A3" w:rsidR="00872594" w:rsidRPr="00902083" w:rsidRDefault="00872594" w:rsidP="00872594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902083">
              <w:rPr>
                <w:rFonts w:cstheme="minorHAnsi"/>
                <w:b w:val="0"/>
                <w:sz w:val="14"/>
                <w:szCs w:val="14"/>
              </w:rPr>
              <w:t>Other</w:t>
            </w:r>
          </w:p>
        </w:tc>
        <w:tc>
          <w:tcPr>
            <w:tcW w:w="347" w:type="pct"/>
          </w:tcPr>
          <w:p w14:paraId="5CF78973" w14:textId="59326B7F" w:rsidR="00872594" w:rsidRPr="00902083" w:rsidRDefault="00441917" w:rsidP="00CF0A3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2,055</w:t>
            </w:r>
          </w:p>
        </w:tc>
        <w:tc>
          <w:tcPr>
            <w:tcW w:w="216" w:type="pct"/>
          </w:tcPr>
          <w:p w14:paraId="62C96E59" w14:textId="42D4CF18" w:rsidR="00872594" w:rsidRPr="00902083" w:rsidRDefault="00441917" w:rsidP="00CF0A3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477" w:type="pct"/>
          </w:tcPr>
          <w:p w14:paraId="2B6E78C8" w14:textId="45AE75ED" w:rsidR="00872594" w:rsidRPr="00902083" w:rsidRDefault="00872594" w:rsidP="00872594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902083">
              <w:rPr>
                <w:rFonts w:cstheme="minorHAnsi"/>
                <w:sz w:val="14"/>
                <w:szCs w:val="14"/>
              </w:rPr>
              <w:t>Other</w:t>
            </w:r>
          </w:p>
        </w:tc>
        <w:tc>
          <w:tcPr>
            <w:tcW w:w="309" w:type="pct"/>
          </w:tcPr>
          <w:p w14:paraId="50ED7CD6" w14:textId="3D707EFE" w:rsidR="00872594" w:rsidRPr="00902083" w:rsidRDefault="00950C0F" w:rsidP="00CF0A3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4,210</w:t>
            </w:r>
          </w:p>
        </w:tc>
        <w:tc>
          <w:tcPr>
            <w:tcW w:w="216" w:type="pct"/>
          </w:tcPr>
          <w:p w14:paraId="5784A3E2" w14:textId="4A85B021" w:rsidR="00872594" w:rsidRPr="00902083" w:rsidRDefault="00950C0F" w:rsidP="00CF0A3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12</w:t>
            </w:r>
          </w:p>
        </w:tc>
        <w:tc>
          <w:tcPr>
            <w:tcW w:w="492" w:type="pct"/>
          </w:tcPr>
          <w:p w14:paraId="182ADDCB" w14:textId="37BBD656" w:rsidR="00872594" w:rsidRPr="00902083" w:rsidRDefault="00872594" w:rsidP="00872594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902083">
              <w:rPr>
                <w:rFonts w:cstheme="minorHAnsi"/>
                <w:sz w:val="14"/>
                <w:szCs w:val="14"/>
              </w:rPr>
              <w:t>Other</w:t>
            </w:r>
          </w:p>
        </w:tc>
        <w:tc>
          <w:tcPr>
            <w:tcW w:w="309" w:type="pct"/>
          </w:tcPr>
          <w:p w14:paraId="0FD5F55A" w14:textId="71171645" w:rsidR="00872594" w:rsidRPr="00902083" w:rsidRDefault="00441917" w:rsidP="00CF0A3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1,150</w:t>
            </w:r>
          </w:p>
        </w:tc>
        <w:tc>
          <w:tcPr>
            <w:tcW w:w="216" w:type="pct"/>
          </w:tcPr>
          <w:p w14:paraId="03687620" w14:textId="43C147CA" w:rsidR="00872594" w:rsidRPr="00902083" w:rsidRDefault="00441917" w:rsidP="00CF0A3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5</w:t>
            </w:r>
          </w:p>
        </w:tc>
        <w:tc>
          <w:tcPr>
            <w:tcW w:w="488" w:type="pct"/>
          </w:tcPr>
          <w:p w14:paraId="313527B9" w14:textId="79CF02F7" w:rsidR="00872594" w:rsidRPr="00902083" w:rsidRDefault="00872594" w:rsidP="00872594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902083">
              <w:rPr>
                <w:rFonts w:cstheme="minorHAnsi"/>
                <w:sz w:val="14"/>
                <w:szCs w:val="14"/>
              </w:rPr>
              <w:t>Other</w:t>
            </w:r>
          </w:p>
        </w:tc>
        <w:tc>
          <w:tcPr>
            <w:tcW w:w="272" w:type="pct"/>
          </w:tcPr>
          <w:p w14:paraId="4422D147" w14:textId="57913931" w:rsidR="00872594" w:rsidRPr="00902083" w:rsidRDefault="005309D9" w:rsidP="00CF0A3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2,107</w:t>
            </w:r>
          </w:p>
        </w:tc>
        <w:tc>
          <w:tcPr>
            <w:tcW w:w="216" w:type="pct"/>
          </w:tcPr>
          <w:p w14:paraId="05C0B4C7" w14:textId="2D6FFC93" w:rsidR="00872594" w:rsidRPr="00902083" w:rsidRDefault="005309D9" w:rsidP="00CF0A3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35</w:t>
            </w:r>
          </w:p>
        </w:tc>
        <w:tc>
          <w:tcPr>
            <w:tcW w:w="477" w:type="pct"/>
          </w:tcPr>
          <w:p w14:paraId="781CEC64" w14:textId="71B103B3" w:rsidR="00872594" w:rsidRPr="00902083" w:rsidRDefault="00872594" w:rsidP="00872594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902083">
              <w:rPr>
                <w:rFonts w:cstheme="minorHAnsi"/>
                <w:sz w:val="14"/>
                <w:szCs w:val="14"/>
              </w:rPr>
              <w:t>Other</w:t>
            </w:r>
          </w:p>
        </w:tc>
        <w:tc>
          <w:tcPr>
            <w:tcW w:w="272" w:type="pct"/>
          </w:tcPr>
          <w:p w14:paraId="54B21E5C" w14:textId="58DDB589" w:rsidR="00872594" w:rsidRPr="00902083" w:rsidRDefault="005362A4" w:rsidP="00CF0A3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930</w:t>
            </w:r>
          </w:p>
        </w:tc>
        <w:tc>
          <w:tcPr>
            <w:tcW w:w="216" w:type="pct"/>
          </w:tcPr>
          <w:p w14:paraId="3793A84E" w14:textId="6836B668" w:rsidR="00872594" w:rsidRPr="00902083" w:rsidRDefault="005362A4" w:rsidP="00CF0A3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24</w:t>
            </w:r>
          </w:p>
        </w:tc>
      </w:tr>
      <w:tr w:rsidR="00220037" w:rsidRPr="00AF5DB7" w14:paraId="12137F7A" w14:textId="36AC7AB9" w:rsidTr="002200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</w:tcPr>
          <w:p w14:paraId="2DF484DA" w14:textId="49973A17" w:rsidR="00872594" w:rsidRPr="00CF0A38" w:rsidRDefault="00872594" w:rsidP="00872594">
            <w:pPr>
              <w:pStyle w:val="BodyText"/>
              <w:spacing w:after="0"/>
              <w:rPr>
                <w:rFonts w:cstheme="minorHAnsi"/>
                <w:sz w:val="14"/>
                <w:szCs w:val="14"/>
              </w:rPr>
            </w:pPr>
            <w:r w:rsidRPr="00CF0A38">
              <w:rPr>
                <w:rFonts w:cstheme="minorHAnsi"/>
                <w:sz w:val="14"/>
                <w:szCs w:val="14"/>
              </w:rPr>
              <w:t>Total</w:t>
            </w:r>
          </w:p>
        </w:tc>
        <w:tc>
          <w:tcPr>
            <w:tcW w:w="347" w:type="pct"/>
          </w:tcPr>
          <w:p w14:paraId="62310B40" w14:textId="197690E4" w:rsidR="00872594" w:rsidRPr="00CF0A38" w:rsidRDefault="00E85DFD" w:rsidP="00CF0A3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CF0A38">
              <w:rPr>
                <w:rFonts w:cstheme="minorHAnsi"/>
                <w:b/>
                <w:sz w:val="14"/>
                <w:szCs w:val="14"/>
              </w:rPr>
              <w:t>101,</w:t>
            </w:r>
            <w:r w:rsidR="00441917" w:rsidRPr="00CF0A38">
              <w:rPr>
                <w:rFonts w:cstheme="minorHAnsi"/>
                <w:b/>
                <w:sz w:val="14"/>
                <w:szCs w:val="14"/>
              </w:rPr>
              <w:t>617</w:t>
            </w:r>
          </w:p>
        </w:tc>
        <w:tc>
          <w:tcPr>
            <w:tcW w:w="216" w:type="pct"/>
          </w:tcPr>
          <w:p w14:paraId="2FFA2D50" w14:textId="370CDA42" w:rsidR="00872594" w:rsidRPr="00CF0A38" w:rsidRDefault="00E85DFD" w:rsidP="00CF0A3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CF0A38">
              <w:rPr>
                <w:rFonts w:cstheme="minorHAnsi"/>
                <w:b/>
                <w:sz w:val="14"/>
                <w:szCs w:val="14"/>
              </w:rPr>
              <w:t>100</w:t>
            </w:r>
          </w:p>
        </w:tc>
        <w:tc>
          <w:tcPr>
            <w:tcW w:w="477" w:type="pct"/>
          </w:tcPr>
          <w:p w14:paraId="189958E5" w14:textId="2DE61C37" w:rsidR="00872594" w:rsidRPr="00CF0A38" w:rsidRDefault="00872594" w:rsidP="00872594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CF0A38">
              <w:rPr>
                <w:rFonts w:cstheme="minorHAnsi"/>
                <w:b/>
                <w:sz w:val="14"/>
                <w:szCs w:val="14"/>
              </w:rPr>
              <w:t>Total</w:t>
            </w:r>
          </w:p>
        </w:tc>
        <w:tc>
          <w:tcPr>
            <w:tcW w:w="309" w:type="pct"/>
          </w:tcPr>
          <w:p w14:paraId="06BAF36D" w14:textId="35661EFE" w:rsidR="00872594" w:rsidRPr="00CF0A38" w:rsidRDefault="00E85DFD" w:rsidP="00CF0A3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CF0A38">
              <w:rPr>
                <w:rFonts w:cstheme="minorHAnsi"/>
                <w:b/>
                <w:sz w:val="14"/>
                <w:szCs w:val="14"/>
              </w:rPr>
              <w:t>35,136</w:t>
            </w:r>
          </w:p>
        </w:tc>
        <w:tc>
          <w:tcPr>
            <w:tcW w:w="216" w:type="pct"/>
          </w:tcPr>
          <w:p w14:paraId="2EB6B838" w14:textId="52186FFA" w:rsidR="00872594" w:rsidRPr="00CF0A38" w:rsidRDefault="00E85DFD" w:rsidP="00CF0A3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CF0A38">
              <w:rPr>
                <w:rFonts w:cstheme="minorHAnsi"/>
                <w:b/>
                <w:sz w:val="14"/>
                <w:szCs w:val="14"/>
              </w:rPr>
              <w:t>100</w:t>
            </w:r>
          </w:p>
        </w:tc>
        <w:tc>
          <w:tcPr>
            <w:tcW w:w="492" w:type="pct"/>
          </w:tcPr>
          <w:p w14:paraId="630A5A4A" w14:textId="33E2B1E6" w:rsidR="00872594" w:rsidRPr="00CF0A38" w:rsidRDefault="00872594" w:rsidP="00872594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CF0A38">
              <w:rPr>
                <w:rFonts w:cstheme="minorHAnsi"/>
                <w:b/>
                <w:sz w:val="14"/>
                <w:szCs w:val="14"/>
              </w:rPr>
              <w:t>Total</w:t>
            </w:r>
          </w:p>
        </w:tc>
        <w:tc>
          <w:tcPr>
            <w:tcW w:w="309" w:type="pct"/>
          </w:tcPr>
          <w:p w14:paraId="093B9824" w14:textId="215B80AE" w:rsidR="00872594" w:rsidRPr="00CF0A38" w:rsidRDefault="00E85DFD" w:rsidP="00CF0A3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CF0A38">
              <w:rPr>
                <w:rFonts w:cstheme="minorHAnsi"/>
                <w:b/>
                <w:sz w:val="14"/>
                <w:szCs w:val="14"/>
              </w:rPr>
              <w:t>21,51</w:t>
            </w:r>
            <w:r w:rsidR="00441917" w:rsidRPr="00CF0A38">
              <w:rPr>
                <w:rFonts w:cstheme="minorHAnsi"/>
                <w:b/>
                <w:sz w:val="14"/>
                <w:szCs w:val="14"/>
              </w:rPr>
              <w:t>5</w:t>
            </w:r>
          </w:p>
        </w:tc>
        <w:tc>
          <w:tcPr>
            <w:tcW w:w="216" w:type="pct"/>
          </w:tcPr>
          <w:p w14:paraId="61EF4304" w14:textId="4EBE8786" w:rsidR="00872594" w:rsidRPr="00CF0A38" w:rsidRDefault="00E85DFD" w:rsidP="00CF0A3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CF0A38">
              <w:rPr>
                <w:rFonts w:cstheme="minorHAnsi"/>
                <w:b/>
                <w:sz w:val="14"/>
                <w:szCs w:val="14"/>
              </w:rPr>
              <w:t>100</w:t>
            </w:r>
          </w:p>
        </w:tc>
        <w:tc>
          <w:tcPr>
            <w:tcW w:w="488" w:type="pct"/>
          </w:tcPr>
          <w:p w14:paraId="73AF775F" w14:textId="15B1B1A6" w:rsidR="00872594" w:rsidRPr="00CF0A38" w:rsidRDefault="00872594" w:rsidP="00872594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CF0A38">
              <w:rPr>
                <w:rFonts w:cstheme="minorHAnsi"/>
                <w:b/>
                <w:sz w:val="14"/>
                <w:szCs w:val="14"/>
              </w:rPr>
              <w:t>Total</w:t>
            </w:r>
          </w:p>
        </w:tc>
        <w:tc>
          <w:tcPr>
            <w:tcW w:w="272" w:type="pct"/>
          </w:tcPr>
          <w:p w14:paraId="10ED30DB" w14:textId="0EE54AA2" w:rsidR="00872594" w:rsidRPr="00CF0A38" w:rsidRDefault="00E85DFD" w:rsidP="00CF0A3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CF0A38">
              <w:rPr>
                <w:rFonts w:cstheme="minorHAnsi"/>
                <w:b/>
                <w:sz w:val="14"/>
                <w:szCs w:val="14"/>
              </w:rPr>
              <w:t>6,084</w:t>
            </w:r>
          </w:p>
        </w:tc>
        <w:tc>
          <w:tcPr>
            <w:tcW w:w="216" w:type="pct"/>
          </w:tcPr>
          <w:p w14:paraId="5F245562" w14:textId="7F5FA549" w:rsidR="00872594" w:rsidRPr="00CF0A38" w:rsidRDefault="00E85DFD" w:rsidP="00CF0A3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CF0A38">
              <w:rPr>
                <w:rFonts w:cstheme="minorHAnsi"/>
                <w:b/>
                <w:sz w:val="14"/>
                <w:szCs w:val="14"/>
              </w:rPr>
              <w:t>100</w:t>
            </w:r>
          </w:p>
        </w:tc>
        <w:tc>
          <w:tcPr>
            <w:tcW w:w="477" w:type="pct"/>
          </w:tcPr>
          <w:p w14:paraId="55916E96" w14:textId="2EE7EB35" w:rsidR="00872594" w:rsidRPr="00CF0A38" w:rsidRDefault="00872594" w:rsidP="00872594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CF0A38">
              <w:rPr>
                <w:rFonts w:cstheme="minorHAnsi"/>
                <w:b/>
                <w:sz w:val="14"/>
                <w:szCs w:val="14"/>
              </w:rPr>
              <w:t>Total</w:t>
            </w:r>
          </w:p>
        </w:tc>
        <w:tc>
          <w:tcPr>
            <w:tcW w:w="272" w:type="pct"/>
          </w:tcPr>
          <w:p w14:paraId="4DCCB4C8" w14:textId="5FFB138B" w:rsidR="00872594" w:rsidRPr="00CF0A38" w:rsidRDefault="00E85DFD" w:rsidP="00CF0A3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CF0A38">
              <w:rPr>
                <w:rFonts w:cstheme="minorHAnsi"/>
                <w:b/>
                <w:sz w:val="14"/>
                <w:szCs w:val="14"/>
              </w:rPr>
              <w:t>3,940</w:t>
            </w:r>
          </w:p>
        </w:tc>
        <w:tc>
          <w:tcPr>
            <w:tcW w:w="216" w:type="pct"/>
          </w:tcPr>
          <w:p w14:paraId="11ECE280" w14:textId="42F43C68" w:rsidR="00872594" w:rsidRPr="00CF0A38" w:rsidRDefault="00E85DFD" w:rsidP="00CF0A3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CF0A38">
              <w:rPr>
                <w:rFonts w:cstheme="minorHAnsi"/>
                <w:b/>
                <w:sz w:val="14"/>
                <w:szCs w:val="14"/>
              </w:rPr>
              <w:t>100</w:t>
            </w:r>
          </w:p>
        </w:tc>
      </w:tr>
    </w:tbl>
    <w:p w14:paraId="1451F6BD" w14:textId="53CC3DD3" w:rsidR="00591BD4" w:rsidRPr="00485967" w:rsidRDefault="00591BD4" w:rsidP="00591BD4">
      <w:pPr>
        <w:spacing w:after="0"/>
        <w:jc w:val="both"/>
        <w:rPr>
          <w:sz w:val="10"/>
        </w:rPr>
      </w:pPr>
    </w:p>
    <w:tbl>
      <w:tblPr>
        <w:tblStyle w:val="ListTable3-Accent1"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003"/>
        <w:gridCol w:w="571"/>
        <w:gridCol w:w="454"/>
        <w:gridCol w:w="974"/>
        <w:gridCol w:w="570"/>
        <w:gridCol w:w="453"/>
        <w:gridCol w:w="1444"/>
        <w:gridCol w:w="570"/>
        <w:gridCol w:w="453"/>
        <w:gridCol w:w="1145"/>
        <w:gridCol w:w="570"/>
        <w:gridCol w:w="453"/>
        <w:gridCol w:w="1002"/>
        <w:gridCol w:w="570"/>
        <w:gridCol w:w="451"/>
      </w:tblGrid>
      <w:tr w:rsidR="008F7B84" w:rsidRPr="00AD28BB" w14:paraId="3D9B1628" w14:textId="77777777" w:rsidTr="007A54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9" w:type="pct"/>
            <w:shd w:val="clear" w:color="auto" w:fill="002060"/>
          </w:tcPr>
          <w:p w14:paraId="07D53D6E" w14:textId="15A32E05" w:rsidR="00EA6CD8" w:rsidRPr="00FA2DA3" w:rsidRDefault="00EA6CD8" w:rsidP="00D243FB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Wheat</w:t>
            </w:r>
          </w:p>
        </w:tc>
        <w:tc>
          <w:tcPr>
            <w:tcW w:w="267" w:type="pct"/>
            <w:shd w:val="clear" w:color="auto" w:fill="002060"/>
          </w:tcPr>
          <w:p w14:paraId="1AA24BED" w14:textId="77777777" w:rsidR="00EA6CD8" w:rsidRPr="00FA2DA3" w:rsidRDefault="00EA6CD8" w:rsidP="00CF0A38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$m</w:t>
            </w:r>
          </w:p>
        </w:tc>
        <w:tc>
          <w:tcPr>
            <w:tcW w:w="212" w:type="pct"/>
            <w:shd w:val="clear" w:color="auto" w:fill="002060"/>
          </w:tcPr>
          <w:p w14:paraId="5F4787F5" w14:textId="77777777" w:rsidR="00EA6CD8" w:rsidRPr="00FA2DA3" w:rsidRDefault="00EA6CD8" w:rsidP="00CF0A38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%</w:t>
            </w:r>
          </w:p>
        </w:tc>
        <w:tc>
          <w:tcPr>
            <w:tcW w:w="456" w:type="pct"/>
            <w:shd w:val="clear" w:color="auto" w:fill="002060"/>
          </w:tcPr>
          <w:p w14:paraId="56379912" w14:textId="798E35A0" w:rsidR="00EA6CD8" w:rsidRPr="00FA2DA3" w:rsidRDefault="00EA6CD8" w:rsidP="00D243FB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Copper ore</w:t>
            </w:r>
            <w:r w:rsidR="00FB67E3" w:rsidRPr="00FA2DA3">
              <w:rPr>
                <w:rFonts w:cstheme="minorHAnsi"/>
                <w:b w:val="0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267" w:type="pct"/>
            <w:shd w:val="clear" w:color="auto" w:fill="002060"/>
          </w:tcPr>
          <w:p w14:paraId="2DF823ED" w14:textId="77777777" w:rsidR="00EA6CD8" w:rsidRPr="00FA2DA3" w:rsidRDefault="00EA6CD8" w:rsidP="00CF0A38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$m</w:t>
            </w:r>
          </w:p>
        </w:tc>
        <w:tc>
          <w:tcPr>
            <w:tcW w:w="212" w:type="pct"/>
            <w:shd w:val="clear" w:color="auto" w:fill="002060"/>
          </w:tcPr>
          <w:p w14:paraId="23871384" w14:textId="77777777" w:rsidR="00EA6CD8" w:rsidRPr="00FA2DA3" w:rsidRDefault="00EA6CD8" w:rsidP="00CF0A38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%</w:t>
            </w:r>
          </w:p>
        </w:tc>
        <w:tc>
          <w:tcPr>
            <w:tcW w:w="676" w:type="pct"/>
            <w:shd w:val="clear" w:color="auto" w:fill="002060"/>
          </w:tcPr>
          <w:p w14:paraId="10046F52" w14:textId="318B444F" w:rsidR="00EA6CD8" w:rsidRPr="00FA2DA3" w:rsidRDefault="00EA6CD8" w:rsidP="00D243FB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Precious metal ore</w:t>
            </w:r>
            <w:r w:rsidR="00FB67E3" w:rsidRPr="00FA2DA3">
              <w:rPr>
                <w:rFonts w:cstheme="minorHAnsi"/>
                <w:b w:val="0"/>
                <w:sz w:val="14"/>
                <w:szCs w:val="14"/>
                <w:vertAlign w:val="superscript"/>
              </w:rPr>
              <w:t>4</w:t>
            </w:r>
          </w:p>
        </w:tc>
        <w:tc>
          <w:tcPr>
            <w:tcW w:w="267" w:type="pct"/>
            <w:shd w:val="clear" w:color="auto" w:fill="002060"/>
          </w:tcPr>
          <w:p w14:paraId="152F5164" w14:textId="77777777" w:rsidR="00EA6CD8" w:rsidRPr="00FA2DA3" w:rsidRDefault="00EA6CD8" w:rsidP="00CF0A38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$m</w:t>
            </w:r>
          </w:p>
        </w:tc>
        <w:tc>
          <w:tcPr>
            <w:tcW w:w="212" w:type="pct"/>
            <w:shd w:val="clear" w:color="auto" w:fill="002060"/>
          </w:tcPr>
          <w:p w14:paraId="5352306F" w14:textId="77777777" w:rsidR="00EA6CD8" w:rsidRPr="00FA2DA3" w:rsidRDefault="00EA6CD8" w:rsidP="00CF0A38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%</w:t>
            </w:r>
          </w:p>
        </w:tc>
        <w:tc>
          <w:tcPr>
            <w:tcW w:w="536" w:type="pct"/>
            <w:shd w:val="clear" w:color="auto" w:fill="002060"/>
          </w:tcPr>
          <w:p w14:paraId="1318FAA1" w14:textId="01E86518" w:rsidR="00EA6CD8" w:rsidRPr="00FA2DA3" w:rsidRDefault="00EA6CD8" w:rsidP="00D243FB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Mineral sands</w:t>
            </w:r>
            <w:r w:rsidR="00FB67E3" w:rsidRPr="00FA2DA3">
              <w:rPr>
                <w:rFonts w:cstheme="minorHAnsi"/>
                <w:b w:val="0"/>
                <w:sz w:val="14"/>
                <w:szCs w:val="14"/>
                <w:vertAlign w:val="superscript"/>
              </w:rPr>
              <w:t>5</w:t>
            </w:r>
          </w:p>
        </w:tc>
        <w:tc>
          <w:tcPr>
            <w:tcW w:w="267" w:type="pct"/>
            <w:shd w:val="clear" w:color="auto" w:fill="002060"/>
          </w:tcPr>
          <w:p w14:paraId="40539FF8" w14:textId="77777777" w:rsidR="00EA6CD8" w:rsidRPr="00FA2DA3" w:rsidRDefault="00EA6CD8" w:rsidP="00CF0A38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$m</w:t>
            </w:r>
          </w:p>
        </w:tc>
        <w:tc>
          <w:tcPr>
            <w:tcW w:w="212" w:type="pct"/>
            <w:shd w:val="clear" w:color="auto" w:fill="002060"/>
          </w:tcPr>
          <w:p w14:paraId="632CD0BF" w14:textId="77777777" w:rsidR="00EA6CD8" w:rsidRPr="00FA2DA3" w:rsidRDefault="00EA6CD8" w:rsidP="00CF0A38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%</w:t>
            </w:r>
          </w:p>
        </w:tc>
        <w:tc>
          <w:tcPr>
            <w:tcW w:w="469" w:type="pct"/>
            <w:shd w:val="clear" w:color="auto" w:fill="002060"/>
          </w:tcPr>
          <w:p w14:paraId="49511F8E" w14:textId="68A99C28" w:rsidR="00EA6CD8" w:rsidRPr="00FA2DA3" w:rsidRDefault="00EA6CD8" w:rsidP="00D243FB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Lithium</w:t>
            </w:r>
            <w:r w:rsidR="00FB67E3" w:rsidRPr="00FA2DA3">
              <w:rPr>
                <w:rFonts w:cstheme="minorHAnsi"/>
                <w:b w:val="0"/>
                <w:sz w:val="14"/>
                <w:szCs w:val="14"/>
                <w:vertAlign w:val="superscript"/>
              </w:rPr>
              <w:t>6</w:t>
            </w:r>
          </w:p>
        </w:tc>
        <w:tc>
          <w:tcPr>
            <w:tcW w:w="267" w:type="pct"/>
            <w:shd w:val="clear" w:color="auto" w:fill="002060"/>
          </w:tcPr>
          <w:p w14:paraId="48346134" w14:textId="77777777" w:rsidR="00EA6CD8" w:rsidRPr="00FA2DA3" w:rsidRDefault="00EA6CD8" w:rsidP="00CF0A38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$m</w:t>
            </w:r>
          </w:p>
        </w:tc>
        <w:tc>
          <w:tcPr>
            <w:tcW w:w="211" w:type="pct"/>
            <w:shd w:val="clear" w:color="auto" w:fill="002060"/>
          </w:tcPr>
          <w:p w14:paraId="1C81E0D5" w14:textId="77777777" w:rsidR="00EA6CD8" w:rsidRPr="00FA2DA3" w:rsidRDefault="00EA6CD8" w:rsidP="00CF0A38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%</w:t>
            </w:r>
          </w:p>
        </w:tc>
      </w:tr>
      <w:tr w:rsidR="008F7B84" w:rsidRPr="00AD28BB" w14:paraId="1AE53B29" w14:textId="77777777" w:rsidTr="007A54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</w:tcPr>
          <w:p w14:paraId="01ADE104" w14:textId="1BAC8FDC" w:rsidR="00EA6CD8" w:rsidRPr="00872594" w:rsidRDefault="00F87A5C" w:rsidP="00872594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>
              <w:rPr>
                <w:rFonts w:cstheme="minorHAnsi"/>
                <w:b w:val="0"/>
                <w:sz w:val="14"/>
                <w:szCs w:val="14"/>
              </w:rPr>
              <w:t>South Korea</w:t>
            </w:r>
          </w:p>
        </w:tc>
        <w:tc>
          <w:tcPr>
            <w:tcW w:w="267" w:type="pct"/>
          </w:tcPr>
          <w:p w14:paraId="069DF9D3" w14:textId="062AC089" w:rsidR="00EA6CD8" w:rsidRPr="00417EFE" w:rsidRDefault="00E85DFD" w:rsidP="00CF0A3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417</w:t>
            </w:r>
          </w:p>
        </w:tc>
        <w:tc>
          <w:tcPr>
            <w:tcW w:w="212" w:type="pct"/>
          </w:tcPr>
          <w:p w14:paraId="7585BCF0" w14:textId="7022C74B" w:rsidR="00EA6CD8" w:rsidRPr="00417EFE" w:rsidRDefault="00E85DFD" w:rsidP="00CF0A3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15</w:t>
            </w:r>
          </w:p>
        </w:tc>
        <w:tc>
          <w:tcPr>
            <w:tcW w:w="456" w:type="pct"/>
          </w:tcPr>
          <w:p w14:paraId="26AE373E" w14:textId="395C5BD4" w:rsidR="00EA6CD8" w:rsidRPr="00DD1970" w:rsidRDefault="008F7B84" w:rsidP="00872594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DD1970">
              <w:rPr>
                <w:rFonts w:cstheme="minorHAnsi"/>
                <w:sz w:val="14"/>
                <w:szCs w:val="14"/>
              </w:rPr>
              <w:t>China</w:t>
            </w:r>
            <w:r w:rsidRPr="00DD1970">
              <w:rPr>
                <w:rFonts w:cstheme="minorHAnsi"/>
                <w:sz w:val="14"/>
                <w:szCs w:val="14"/>
                <w:vertAlign w:val="superscript"/>
              </w:rPr>
              <w:t>(a)</w:t>
            </w:r>
          </w:p>
        </w:tc>
        <w:tc>
          <w:tcPr>
            <w:tcW w:w="267" w:type="pct"/>
          </w:tcPr>
          <w:p w14:paraId="048A1E05" w14:textId="3D769D78" w:rsidR="00EA6CD8" w:rsidRDefault="00DD1970" w:rsidP="00CF0A3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981</w:t>
            </w:r>
          </w:p>
        </w:tc>
        <w:tc>
          <w:tcPr>
            <w:tcW w:w="212" w:type="pct"/>
          </w:tcPr>
          <w:p w14:paraId="41AE46C9" w14:textId="7A682914" w:rsidR="00EA6CD8" w:rsidRDefault="00DD1970" w:rsidP="00CF0A3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51</w:t>
            </w:r>
          </w:p>
        </w:tc>
        <w:tc>
          <w:tcPr>
            <w:tcW w:w="676" w:type="pct"/>
          </w:tcPr>
          <w:p w14:paraId="55DE63DC" w14:textId="6FD3E198" w:rsidR="00EA6CD8" w:rsidRDefault="00F87A5C" w:rsidP="00872594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South Korea</w:t>
            </w:r>
          </w:p>
        </w:tc>
        <w:tc>
          <w:tcPr>
            <w:tcW w:w="267" w:type="pct"/>
          </w:tcPr>
          <w:p w14:paraId="4FA9DCC4" w14:textId="51D64A6E" w:rsidR="00EA6CD8" w:rsidRDefault="00DD1970" w:rsidP="00CF0A3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500</w:t>
            </w:r>
          </w:p>
        </w:tc>
        <w:tc>
          <w:tcPr>
            <w:tcW w:w="212" w:type="pct"/>
          </w:tcPr>
          <w:p w14:paraId="42872FFB" w14:textId="7B04D4AD" w:rsidR="00EA6CD8" w:rsidRDefault="00DD1970" w:rsidP="00CF0A3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33</w:t>
            </w:r>
          </w:p>
        </w:tc>
        <w:tc>
          <w:tcPr>
            <w:tcW w:w="536" w:type="pct"/>
          </w:tcPr>
          <w:p w14:paraId="574895C9" w14:textId="628D6B39" w:rsidR="00EA6CD8" w:rsidRPr="00DD1970" w:rsidRDefault="008F7B84" w:rsidP="00872594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DD1970">
              <w:rPr>
                <w:rFonts w:cstheme="minorHAnsi"/>
                <w:sz w:val="14"/>
                <w:szCs w:val="14"/>
              </w:rPr>
              <w:t>China</w:t>
            </w:r>
            <w:r w:rsidRPr="00DD1970">
              <w:rPr>
                <w:rFonts w:cstheme="minorHAnsi"/>
                <w:sz w:val="14"/>
                <w:szCs w:val="14"/>
                <w:vertAlign w:val="superscript"/>
              </w:rPr>
              <w:t>(a)</w:t>
            </w:r>
          </w:p>
        </w:tc>
        <w:tc>
          <w:tcPr>
            <w:tcW w:w="267" w:type="pct"/>
          </w:tcPr>
          <w:p w14:paraId="16A7258D" w14:textId="18CD6A57" w:rsidR="00EA6CD8" w:rsidRDefault="00E85DFD" w:rsidP="00CF0A3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504</w:t>
            </w:r>
          </w:p>
        </w:tc>
        <w:tc>
          <w:tcPr>
            <w:tcW w:w="212" w:type="pct"/>
          </w:tcPr>
          <w:p w14:paraId="25584A6C" w14:textId="1B23FC4B" w:rsidR="00EA6CD8" w:rsidRDefault="00E85DFD" w:rsidP="00CF0A3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41</w:t>
            </w:r>
          </w:p>
        </w:tc>
        <w:tc>
          <w:tcPr>
            <w:tcW w:w="469" w:type="pct"/>
          </w:tcPr>
          <w:p w14:paraId="472BCD8D" w14:textId="45D4250B" w:rsidR="00EA6CD8" w:rsidRPr="00DD1970" w:rsidRDefault="008F7B84" w:rsidP="00872594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DD1970">
              <w:rPr>
                <w:rFonts w:cstheme="minorHAnsi"/>
                <w:sz w:val="14"/>
                <w:szCs w:val="14"/>
              </w:rPr>
              <w:t>China</w:t>
            </w:r>
            <w:r w:rsidRPr="00DD1970">
              <w:rPr>
                <w:rFonts w:cstheme="minorHAnsi"/>
                <w:sz w:val="14"/>
                <w:szCs w:val="14"/>
                <w:vertAlign w:val="superscript"/>
              </w:rPr>
              <w:t>(a)</w:t>
            </w:r>
          </w:p>
        </w:tc>
        <w:tc>
          <w:tcPr>
            <w:tcW w:w="267" w:type="pct"/>
          </w:tcPr>
          <w:p w14:paraId="76797C87" w14:textId="20150115" w:rsidR="00EA6CD8" w:rsidRDefault="00E85DFD" w:rsidP="00CF0A3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1,08</w:t>
            </w:r>
            <w:r w:rsidR="00F14951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211" w:type="pct"/>
          </w:tcPr>
          <w:p w14:paraId="2DAB2CDF" w14:textId="0DC5D2A1" w:rsidR="00EA6CD8" w:rsidRDefault="00E85DFD" w:rsidP="00CF0A3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90</w:t>
            </w:r>
          </w:p>
        </w:tc>
      </w:tr>
      <w:tr w:rsidR="008F7B84" w:rsidRPr="00AD28BB" w14:paraId="0288D991" w14:textId="77777777" w:rsidTr="007A54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</w:tcPr>
          <w:p w14:paraId="671B46B2" w14:textId="795BCF9D" w:rsidR="00EA6CD8" w:rsidRPr="00204CC7" w:rsidRDefault="008F7B84" w:rsidP="00872594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AF5DB7">
              <w:rPr>
                <w:rFonts w:cstheme="minorHAnsi"/>
                <w:b w:val="0"/>
                <w:sz w:val="14"/>
                <w:szCs w:val="14"/>
              </w:rPr>
              <w:t>China</w:t>
            </w:r>
            <w:r w:rsidRPr="008F7B84">
              <w:rPr>
                <w:rFonts w:cstheme="minorHAnsi"/>
                <w:b w:val="0"/>
                <w:sz w:val="14"/>
                <w:szCs w:val="14"/>
                <w:vertAlign w:val="superscript"/>
              </w:rPr>
              <w:t>(a)</w:t>
            </w:r>
          </w:p>
        </w:tc>
        <w:tc>
          <w:tcPr>
            <w:tcW w:w="267" w:type="pct"/>
          </w:tcPr>
          <w:p w14:paraId="1C73FA5A" w14:textId="05E2AD9E" w:rsidR="00EA6CD8" w:rsidRPr="00417EFE" w:rsidRDefault="00E85DFD" w:rsidP="00CF0A3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383</w:t>
            </w:r>
          </w:p>
        </w:tc>
        <w:tc>
          <w:tcPr>
            <w:tcW w:w="212" w:type="pct"/>
          </w:tcPr>
          <w:p w14:paraId="28580073" w14:textId="08934FF5" w:rsidR="00EA6CD8" w:rsidRPr="00417EFE" w:rsidRDefault="00E85DFD" w:rsidP="00CF0A3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14</w:t>
            </w:r>
          </w:p>
        </w:tc>
        <w:tc>
          <w:tcPr>
            <w:tcW w:w="456" w:type="pct"/>
          </w:tcPr>
          <w:p w14:paraId="531606A1" w14:textId="41C550D2" w:rsidR="00EA6CD8" w:rsidRPr="00417EFE" w:rsidRDefault="00F87A5C" w:rsidP="00872594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Philippines</w:t>
            </w:r>
          </w:p>
        </w:tc>
        <w:tc>
          <w:tcPr>
            <w:tcW w:w="267" w:type="pct"/>
          </w:tcPr>
          <w:p w14:paraId="0F0939F0" w14:textId="6552E8CC" w:rsidR="00EA6CD8" w:rsidRPr="00417EFE" w:rsidRDefault="00DD1970" w:rsidP="00CF0A3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246</w:t>
            </w:r>
          </w:p>
        </w:tc>
        <w:tc>
          <w:tcPr>
            <w:tcW w:w="212" w:type="pct"/>
          </w:tcPr>
          <w:p w14:paraId="700071CB" w14:textId="2CD1776F" w:rsidR="00EA6CD8" w:rsidRPr="00417EFE" w:rsidRDefault="00DD1970" w:rsidP="00CF0A3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</w:t>
            </w:r>
          </w:p>
        </w:tc>
        <w:tc>
          <w:tcPr>
            <w:tcW w:w="676" w:type="pct"/>
          </w:tcPr>
          <w:p w14:paraId="5C1A6F22" w14:textId="0B2E2405" w:rsidR="00EA6CD8" w:rsidRPr="00417EFE" w:rsidRDefault="00F87A5C" w:rsidP="00872594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Philippines</w:t>
            </w:r>
          </w:p>
        </w:tc>
        <w:tc>
          <w:tcPr>
            <w:tcW w:w="267" w:type="pct"/>
          </w:tcPr>
          <w:p w14:paraId="7D2644E3" w14:textId="141569C3" w:rsidR="00EA6CD8" w:rsidRPr="00417EFE" w:rsidRDefault="00DD1970" w:rsidP="00CF0A3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375</w:t>
            </w:r>
          </w:p>
        </w:tc>
        <w:tc>
          <w:tcPr>
            <w:tcW w:w="212" w:type="pct"/>
          </w:tcPr>
          <w:p w14:paraId="402DBAFE" w14:textId="5DCD1AA2" w:rsidR="00EA6CD8" w:rsidRPr="00417EFE" w:rsidRDefault="00DD1970" w:rsidP="00CF0A3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</w:t>
            </w:r>
          </w:p>
        </w:tc>
        <w:tc>
          <w:tcPr>
            <w:tcW w:w="536" w:type="pct"/>
          </w:tcPr>
          <w:p w14:paraId="356B65EF" w14:textId="315C5D94" w:rsidR="00EA6CD8" w:rsidRPr="00417EFE" w:rsidRDefault="00F87A5C" w:rsidP="008F7B84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U</w:t>
            </w:r>
            <w:r w:rsidR="008F7B84">
              <w:rPr>
                <w:rFonts w:cstheme="minorHAnsi"/>
                <w:sz w:val="14"/>
                <w:szCs w:val="14"/>
              </w:rPr>
              <w:t>K</w:t>
            </w:r>
          </w:p>
        </w:tc>
        <w:tc>
          <w:tcPr>
            <w:tcW w:w="267" w:type="pct"/>
          </w:tcPr>
          <w:p w14:paraId="74325C7C" w14:textId="0EF87C7E" w:rsidR="00EA6CD8" w:rsidRPr="00417EFE" w:rsidRDefault="00E85DFD" w:rsidP="00CF0A3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120</w:t>
            </w:r>
          </w:p>
        </w:tc>
        <w:tc>
          <w:tcPr>
            <w:tcW w:w="212" w:type="pct"/>
          </w:tcPr>
          <w:p w14:paraId="4B12F902" w14:textId="569FE2EB" w:rsidR="00EA6CD8" w:rsidRPr="00417EFE" w:rsidRDefault="00E85DFD" w:rsidP="00CF0A3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469" w:type="pct"/>
          </w:tcPr>
          <w:p w14:paraId="31E79439" w14:textId="0541F4F9" w:rsidR="00EA6CD8" w:rsidRPr="00417EFE" w:rsidRDefault="001D0577" w:rsidP="00872594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Belgium</w:t>
            </w:r>
          </w:p>
        </w:tc>
        <w:tc>
          <w:tcPr>
            <w:tcW w:w="267" w:type="pct"/>
          </w:tcPr>
          <w:p w14:paraId="1C2E2806" w14:textId="0142BBC4" w:rsidR="00EA6CD8" w:rsidRPr="00417EFE" w:rsidRDefault="00E85DFD" w:rsidP="00CF0A3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67</w:t>
            </w:r>
          </w:p>
        </w:tc>
        <w:tc>
          <w:tcPr>
            <w:tcW w:w="211" w:type="pct"/>
          </w:tcPr>
          <w:p w14:paraId="31C23570" w14:textId="40B819F8" w:rsidR="00EA6CD8" w:rsidRPr="00417EFE" w:rsidRDefault="00E85DFD" w:rsidP="00CF0A3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6</w:t>
            </w:r>
          </w:p>
        </w:tc>
      </w:tr>
      <w:tr w:rsidR="008F7B84" w:rsidRPr="00AD28BB" w14:paraId="210AA029" w14:textId="77777777" w:rsidTr="007A54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</w:tcPr>
          <w:p w14:paraId="570F34EA" w14:textId="30350035" w:rsidR="00EA6CD8" w:rsidRPr="00872594" w:rsidRDefault="00F87A5C" w:rsidP="00872594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>
              <w:rPr>
                <w:rFonts w:cstheme="minorHAnsi"/>
                <w:b w:val="0"/>
                <w:sz w:val="14"/>
                <w:szCs w:val="14"/>
              </w:rPr>
              <w:t>Philippines</w:t>
            </w:r>
          </w:p>
        </w:tc>
        <w:tc>
          <w:tcPr>
            <w:tcW w:w="267" w:type="pct"/>
          </w:tcPr>
          <w:p w14:paraId="7D6DD969" w14:textId="16EB4931" w:rsidR="00EA6CD8" w:rsidRPr="00417EFE" w:rsidRDefault="00E85DFD" w:rsidP="00CF0A3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319</w:t>
            </w:r>
          </w:p>
        </w:tc>
        <w:tc>
          <w:tcPr>
            <w:tcW w:w="212" w:type="pct"/>
          </w:tcPr>
          <w:p w14:paraId="7A3A9145" w14:textId="5C09395F" w:rsidR="00EA6CD8" w:rsidRPr="00417EFE" w:rsidRDefault="00E85DFD" w:rsidP="00CF0A3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12</w:t>
            </w:r>
          </w:p>
        </w:tc>
        <w:tc>
          <w:tcPr>
            <w:tcW w:w="456" w:type="pct"/>
          </w:tcPr>
          <w:p w14:paraId="33E3F549" w14:textId="2F26BBE7" w:rsidR="00EA6CD8" w:rsidRPr="00417EFE" w:rsidRDefault="00F87A5C" w:rsidP="00872594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Japan</w:t>
            </w:r>
          </w:p>
        </w:tc>
        <w:tc>
          <w:tcPr>
            <w:tcW w:w="267" w:type="pct"/>
          </w:tcPr>
          <w:p w14:paraId="4B45B6AE" w14:textId="6B80FFCF" w:rsidR="00EA6CD8" w:rsidRPr="00417EFE" w:rsidRDefault="00DD1970" w:rsidP="00CF0A3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204</w:t>
            </w:r>
          </w:p>
        </w:tc>
        <w:tc>
          <w:tcPr>
            <w:tcW w:w="212" w:type="pct"/>
          </w:tcPr>
          <w:p w14:paraId="4C7DFDCA" w14:textId="58DAF56B" w:rsidR="00EA6CD8" w:rsidRPr="00417EFE" w:rsidRDefault="00DD1970" w:rsidP="00CF0A3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11</w:t>
            </w:r>
          </w:p>
        </w:tc>
        <w:tc>
          <w:tcPr>
            <w:tcW w:w="676" w:type="pct"/>
          </w:tcPr>
          <w:p w14:paraId="187DFA4A" w14:textId="337AB58F" w:rsidR="00EA6CD8" w:rsidRPr="00417EFE" w:rsidRDefault="00F87A5C" w:rsidP="00872594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Germany</w:t>
            </w:r>
          </w:p>
        </w:tc>
        <w:tc>
          <w:tcPr>
            <w:tcW w:w="267" w:type="pct"/>
          </w:tcPr>
          <w:p w14:paraId="33F79C6F" w14:textId="46506810" w:rsidR="00EA6CD8" w:rsidRPr="00417EFE" w:rsidRDefault="00DD1970" w:rsidP="00CF0A3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368</w:t>
            </w:r>
          </w:p>
        </w:tc>
        <w:tc>
          <w:tcPr>
            <w:tcW w:w="212" w:type="pct"/>
          </w:tcPr>
          <w:p w14:paraId="3D3926F7" w14:textId="30DE0E84" w:rsidR="00EA6CD8" w:rsidRPr="00417EFE" w:rsidRDefault="00DD1970" w:rsidP="00CF0A3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24</w:t>
            </w:r>
          </w:p>
        </w:tc>
        <w:tc>
          <w:tcPr>
            <w:tcW w:w="536" w:type="pct"/>
          </w:tcPr>
          <w:p w14:paraId="5498A6FF" w14:textId="2E1D0F0E" w:rsidR="00EA6CD8" w:rsidRPr="00417EFE" w:rsidRDefault="00F87A5C" w:rsidP="00872594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Netherlands</w:t>
            </w:r>
          </w:p>
        </w:tc>
        <w:tc>
          <w:tcPr>
            <w:tcW w:w="267" w:type="pct"/>
          </w:tcPr>
          <w:p w14:paraId="7F4B7999" w14:textId="7712E263" w:rsidR="00EA6CD8" w:rsidRPr="00417EFE" w:rsidRDefault="00E85DFD" w:rsidP="00CF0A3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102</w:t>
            </w:r>
          </w:p>
        </w:tc>
        <w:tc>
          <w:tcPr>
            <w:tcW w:w="212" w:type="pct"/>
          </w:tcPr>
          <w:p w14:paraId="0D84D12E" w14:textId="311F9D5C" w:rsidR="00EA6CD8" w:rsidRPr="00417EFE" w:rsidRDefault="00E85DFD" w:rsidP="00CF0A3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8</w:t>
            </w:r>
          </w:p>
        </w:tc>
        <w:tc>
          <w:tcPr>
            <w:tcW w:w="469" w:type="pct"/>
          </w:tcPr>
          <w:p w14:paraId="3B598915" w14:textId="6199EB80" w:rsidR="00EA6CD8" w:rsidRPr="00417EFE" w:rsidRDefault="001D0577" w:rsidP="00872594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South Korea</w:t>
            </w:r>
          </w:p>
        </w:tc>
        <w:tc>
          <w:tcPr>
            <w:tcW w:w="267" w:type="pct"/>
          </w:tcPr>
          <w:p w14:paraId="74ECCD62" w14:textId="7A7FFF76" w:rsidR="00EA6CD8" w:rsidRPr="00417EFE" w:rsidRDefault="00E85DFD" w:rsidP="00CF0A3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24</w:t>
            </w:r>
          </w:p>
        </w:tc>
        <w:tc>
          <w:tcPr>
            <w:tcW w:w="211" w:type="pct"/>
          </w:tcPr>
          <w:p w14:paraId="3B9011E0" w14:textId="7B4FA099" w:rsidR="00EA6CD8" w:rsidRPr="00417EFE" w:rsidRDefault="00E85DFD" w:rsidP="00CF0A3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</w:tr>
      <w:tr w:rsidR="007A5491" w:rsidRPr="00AD28BB" w14:paraId="410282C4" w14:textId="77777777" w:rsidTr="007A54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</w:tcPr>
          <w:p w14:paraId="0A6FB0F6" w14:textId="3E6A2155" w:rsidR="007A5491" w:rsidRPr="00546D8D" w:rsidRDefault="00546D8D" w:rsidP="00872594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546D8D">
              <w:rPr>
                <w:rFonts w:cstheme="minorHAnsi"/>
                <w:b w:val="0"/>
                <w:sz w:val="14"/>
                <w:szCs w:val="14"/>
              </w:rPr>
              <w:t>Japan</w:t>
            </w:r>
          </w:p>
        </w:tc>
        <w:tc>
          <w:tcPr>
            <w:tcW w:w="267" w:type="pct"/>
          </w:tcPr>
          <w:p w14:paraId="79E48AA8" w14:textId="20607CD6" w:rsidR="007A5491" w:rsidRDefault="00546D8D" w:rsidP="00CF0A3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318</w:t>
            </w:r>
          </w:p>
        </w:tc>
        <w:tc>
          <w:tcPr>
            <w:tcW w:w="212" w:type="pct"/>
          </w:tcPr>
          <w:p w14:paraId="4FA83F33" w14:textId="5B5F8344" w:rsidR="007A5491" w:rsidRDefault="00546D8D" w:rsidP="00CF0A3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12</w:t>
            </w:r>
          </w:p>
        </w:tc>
        <w:tc>
          <w:tcPr>
            <w:tcW w:w="456" w:type="pct"/>
          </w:tcPr>
          <w:p w14:paraId="048D5E39" w14:textId="14FDAEA3" w:rsidR="007A5491" w:rsidRDefault="00DD1970" w:rsidP="00872594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Taiwan</w:t>
            </w:r>
          </w:p>
        </w:tc>
        <w:tc>
          <w:tcPr>
            <w:tcW w:w="267" w:type="pct"/>
          </w:tcPr>
          <w:p w14:paraId="3E646A41" w14:textId="620CE564" w:rsidR="007A5491" w:rsidRDefault="00DD1970" w:rsidP="00CF0A3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186</w:t>
            </w:r>
          </w:p>
        </w:tc>
        <w:tc>
          <w:tcPr>
            <w:tcW w:w="212" w:type="pct"/>
          </w:tcPr>
          <w:p w14:paraId="2D4D0646" w14:textId="6DE39217" w:rsidR="007A5491" w:rsidRDefault="00DD1970" w:rsidP="00CF0A3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676" w:type="pct"/>
          </w:tcPr>
          <w:p w14:paraId="7EF669EB" w14:textId="63CA26AC" w:rsidR="007A5491" w:rsidRDefault="00DD1970" w:rsidP="00872594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Japan</w:t>
            </w:r>
          </w:p>
        </w:tc>
        <w:tc>
          <w:tcPr>
            <w:tcW w:w="267" w:type="pct"/>
          </w:tcPr>
          <w:p w14:paraId="4E4A48F1" w14:textId="019C2B5D" w:rsidR="007A5491" w:rsidRDefault="00DD1970" w:rsidP="00CF0A3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220</w:t>
            </w:r>
          </w:p>
        </w:tc>
        <w:tc>
          <w:tcPr>
            <w:tcW w:w="212" w:type="pct"/>
          </w:tcPr>
          <w:p w14:paraId="12DD2709" w14:textId="1AEFC16F" w:rsidR="007A5491" w:rsidRDefault="00DD1970" w:rsidP="00CF0A3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14</w:t>
            </w:r>
          </w:p>
        </w:tc>
        <w:tc>
          <w:tcPr>
            <w:tcW w:w="536" w:type="pct"/>
          </w:tcPr>
          <w:p w14:paraId="492F43CF" w14:textId="2AFB289A" w:rsidR="007A5491" w:rsidRDefault="007A5491" w:rsidP="00872594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Mexico</w:t>
            </w:r>
          </w:p>
        </w:tc>
        <w:tc>
          <w:tcPr>
            <w:tcW w:w="267" w:type="pct"/>
          </w:tcPr>
          <w:p w14:paraId="3549373D" w14:textId="667DA563" w:rsidR="007A5491" w:rsidRDefault="007A5491" w:rsidP="00CF0A3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66</w:t>
            </w:r>
          </w:p>
        </w:tc>
        <w:tc>
          <w:tcPr>
            <w:tcW w:w="212" w:type="pct"/>
          </w:tcPr>
          <w:p w14:paraId="54D8ED3C" w14:textId="79B54CCF" w:rsidR="007A5491" w:rsidRDefault="007A5491" w:rsidP="00CF0A3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5</w:t>
            </w:r>
          </w:p>
        </w:tc>
        <w:tc>
          <w:tcPr>
            <w:tcW w:w="469" w:type="pct"/>
          </w:tcPr>
          <w:p w14:paraId="2111FAFA" w14:textId="579ABE79" w:rsidR="007A5491" w:rsidRDefault="00F14951" w:rsidP="00872594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USA</w:t>
            </w:r>
          </w:p>
        </w:tc>
        <w:tc>
          <w:tcPr>
            <w:tcW w:w="267" w:type="pct"/>
          </w:tcPr>
          <w:p w14:paraId="49D61D0A" w14:textId="287EA4EE" w:rsidR="007A5491" w:rsidRDefault="00F14951" w:rsidP="00CF0A3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21</w:t>
            </w:r>
          </w:p>
        </w:tc>
        <w:tc>
          <w:tcPr>
            <w:tcW w:w="211" w:type="pct"/>
          </w:tcPr>
          <w:p w14:paraId="3624E8C4" w14:textId="01B26029" w:rsidR="007A5491" w:rsidRDefault="00F14951" w:rsidP="00CF0A3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</w:tr>
      <w:tr w:rsidR="007A5491" w:rsidRPr="00AD28BB" w14:paraId="7C0B5DA2" w14:textId="77777777" w:rsidTr="007A54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</w:tcPr>
          <w:p w14:paraId="70C0F043" w14:textId="16F9C172" w:rsidR="007A5491" w:rsidRPr="00546D8D" w:rsidRDefault="00546D8D" w:rsidP="00872594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546D8D">
              <w:rPr>
                <w:rFonts w:cstheme="minorHAnsi"/>
                <w:b w:val="0"/>
                <w:sz w:val="14"/>
                <w:szCs w:val="14"/>
              </w:rPr>
              <w:t>Indonesia</w:t>
            </w:r>
          </w:p>
        </w:tc>
        <w:tc>
          <w:tcPr>
            <w:tcW w:w="267" w:type="pct"/>
          </w:tcPr>
          <w:p w14:paraId="34CE33A6" w14:textId="6CA40118" w:rsidR="007A5491" w:rsidRDefault="00546D8D" w:rsidP="00CF0A3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213</w:t>
            </w:r>
          </w:p>
        </w:tc>
        <w:tc>
          <w:tcPr>
            <w:tcW w:w="212" w:type="pct"/>
          </w:tcPr>
          <w:p w14:paraId="65A04424" w14:textId="19D1E98F" w:rsidR="007A5491" w:rsidRDefault="00546D8D" w:rsidP="00CF0A3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8</w:t>
            </w:r>
          </w:p>
        </w:tc>
        <w:tc>
          <w:tcPr>
            <w:tcW w:w="456" w:type="pct"/>
          </w:tcPr>
          <w:p w14:paraId="5062F4F1" w14:textId="60240179" w:rsidR="007A5491" w:rsidRDefault="00DD1970" w:rsidP="00872594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India</w:t>
            </w:r>
          </w:p>
        </w:tc>
        <w:tc>
          <w:tcPr>
            <w:tcW w:w="267" w:type="pct"/>
          </w:tcPr>
          <w:p w14:paraId="7F5B8F8C" w14:textId="35F65291" w:rsidR="007A5491" w:rsidRDefault="00DD1970" w:rsidP="00CF0A3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126</w:t>
            </w:r>
          </w:p>
        </w:tc>
        <w:tc>
          <w:tcPr>
            <w:tcW w:w="212" w:type="pct"/>
          </w:tcPr>
          <w:p w14:paraId="769EF16E" w14:textId="547FBC0E" w:rsidR="007A5491" w:rsidRDefault="00DD1970" w:rsidP="00CF0A3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7</w:t>
            </w:r>
          </w:p>
        </w:tc>
        <w:tc>
          <w:tcPr>
            <w:tcW w:w="676" w:type="pct"/>
          </w:tcPr>
          <w:p w14:paraId="4AA107AA" w14:textId="1525E20F" w:rsidR="007A5491" w:rsidRDefault="00DD1970" w:rsidP="00872594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South Africa</w:t>
            </w:r>
          </w:p>
        </w:tc>
        <w:tc>
          <w:tcPr>
            <w:tcW w:w="267" w:type="pct"/>
          </w:tcPr>
          <w:p w14:paraId="1EAFE498" w14:textId="73564CCD" w:rsidR="007A5491" w:rsidRDefault="00DD1970" w:rsidP="00CF0A3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53</w:t>
            </w:r>
          </w:p>
        </w:tc>
        <w:tc>
          <w:tcPr>
            <w:tcW w:w="212" w:type="pct"/>
          </w:tcPr>
          <w:p w14:paraId="5CE15AE8" w14:textId="3BE81DE3" w:rsidR="007A5491" w:rsidRDefault="00DD1970" w:rsidP="00CF0A3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</w:t>
            </w:r>
          </w:p>
        </w:tc>
        <w:tc>
          <w:tcPr>
            <w:tcW w:w="536" w:type="pct"/>
          </w:tcPr>
          <w:p w14:paraId="4C695F41" w14:textId="14EF8FD2" w:rsidR="007A5491" w:rsidRDefault="007A5491" w:rsidP="00872594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Saudi Arabia</w:t>
            </w:r>
          </w:p>
        </w:tc>
        <w:tc>
          <w:tcPr>
            <w:tcW w:w="267" w:type="pct"/>
          </w:tcPr>
          <w:p w14:paraId="01782CD0" w14:textId="720E9457" w:rsidR="007A5491" w:rsidRDefault="007A5491" w:rsidP="00CF0A3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62</w:t>
            </w:r>
          </w:p>
        </w:tc>
        <w:tc>
          <w:tcPr>
            <w:tcW w:w="212" w:type="pct"/>
          </w:tcPr>
          <w:p w14:paraId="7A5BE620" w14:textId="297EDD31" w:rsidR="007A5491" w:rsidRDefault="007A5491" w:rsidP="00CF0A3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5</w:t>
            </w:r>
          </w:p>
        </w:tc>
        <w:tc>
          <w:tcPr>
            <w:tcW w:w="469" w:type="pct"/>
          </w:tcPr>
          <w:p w14:paraId="32984D2B" w14:textId="7AE6C844" w:rsidR="007A5491" w:rsidRDefault="00F14951" w:rsidP="00872594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Japan</w:t>
            </w:r>
          </w:p>
        </w:tc>
        <w:tc>
          <w:tcPr>
            <w:tcW w:w="267" w:type="pct"/>
          </w:tcPr>
          <w:p w14:paraId="17D52D16" w14:textId="7505573D" w:rsidR="007A5491" w:rsidRDefault="00F14951" w:rsidP="00CF0A3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6</w:t>
            </w:r>
          </w:p>
        </w:tc>
        <w:tc>
          <w:tcPr>
            <w:tcW w:w="211" w:type="pct"/>
          </w:tcPr>
          <w:p w14:paraId="682F5CE3" w14:textId="11580429" w:rsidR="007A5491" w:rsidRDefault="00F14951" w:rsidP="00CF0A3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</w:t>
            </w:r>
          </w:p>
        </w:tc>
      </w:tr>
      <w:tr w:rsidR="008F7B84" w:rsidRPr="00AD28BB" w14:paraId="3DDC6D2A" w14:textId="77777777" w:rsidTr="007A54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</w:tcPr>
          <w:p w14:paraId="2FAEF9F2" w14:textId="36B2CDFA" w:rsidR="00872594" w:rsidRPr="00872594" w:rsidRDefault="00872594" w:rsidP="00872594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872594">
              <w:rPr>
                <w:rFonts w:cstheme="minorHAnsi"/>
                <w:b w:val="0"/>
                <w:sz w:val="14"/>
                <w:szCs w:val="14"/>
              </w:rPr>
              <w:t>Other</w:t>
            </w:r>
          </w:p>
        </w:tc>
        <w:tc>
          <w:tcPr>
            <w:tcW w:w="267" w:type="pct"/>
          </w:tcPr>
          <w:p w14:paraId="66B78377" w14:textId="7FD8260D" w:rsidR="00872594" w:rsidRPr="00417EFE" w:rsidRDefault="00546D8D" w:rsidP="00CF0A3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1,098</w:t>
            </w:r>
          </w:p>
        </w:tc>
        <w:tc>
          <w:tcPr>
            <w:tcW w:w="212" w:type="pct"/>
          </w:tcPr>
          <w:p w14:paraId="293B622B" w14:textId="0925AA8B" w:rsidR="00872594" w:rsidRPr="00417EFE" w:rsidRDefault="00546D8D" w:rsidP="00CF0A3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40</w:t>
            </w:r>
          </w:p>
        </w:tc>
        <w:tc>
          <w:tcPr>
            <w:tcW w:w="456" w:type="pct"/>
          </w:tcPr>
          <w:p w14:paraId="6631E1B6" w14:textId="578FE471" w:rsidR="00872594" w:rsidRPr="00417EFE" w:rsidRDefault="00872594" w:rsidP="00872594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Other</w:t>
            </w:r>
          </w:p>
        </w:tc>
        <w:tc>
          <w:tcPr>
            <w:tcW w:w="267" w:type="pct"/>
          </w:tcPr>
          <w:p w14:paraId="22ACF802" w14:textId="32E706C6" w:rsidR="00872594" w:rsidRPr="00417EFE" w:rsidRDefault="00DD1970" w:rsidP="00CF0A3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163</w:t>
            </w:r>
          </w:p>
        </w:tc>
        <w:tc>
          <w:tcPr>
            <w:tcW w:w="212" w:type="pct"/>
          </w:tcPr>
          <w:p w14:paraId="60B325FD" w14:textId="3645646B" w:rsidR="00872594" w:rsidRPr="00417EFE" w:rsidRDefault="00DD1970" w:rsidP="00CF0A3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9</w:t>
            </w:r>
          </w:p>
        </w:tc>
        <w:tc>
          <w:tcPr>
            <w:tcW w:w="676" w:type="pct"/>
          </w:tcPr>
          <w:p w14:paraId="53C53CC4" w14:textId="3E480344" w:rsidR="00872594" w:rsidRPr="00417EFE" w:rsidRDefault="00872594" w:rsidP="00872594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Other</w:t>
            </w:r>
          </w:p>
        </w:tc>
        <w:tc>
          <w:tcPr>
            <w:tcW w:w="267" w:type="pct"/>
          </w:tcPr>
          <w:p w14:paraId="50B90D95" w14:textId="5FE29F78" w:rsidR="00872594" w:rsidRPr="00417EFE" w:rsidRDefault="00DD1970" w:rsidP="00CF0A3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</w:t>
            </w:r>
          </w:p>
        </w:tc>
        <w:tc>
          <w:tcPr>
            <w:tcW w:w="212" w:type="pct"/>
          </w:tcPr>
          <w:p w14:paraId="664AF9EC" w14:textId="62EDC671" w:rsidR="00872594" w:rsidRPr="00417EFE" w:rsidRDefault="00DD1970" w:rsidP="00CF0A3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</w:t>
            </w:r>
          </w:p>
        </w:tc>
        <w:tc>
          <w:tcPr>
            <w:tcW w:w="536" w:type="pct"/>
          </w:tcPr>
          <w:p w14:paraId="6562C90B" w14:textId="7AD55A74" w:rsidR="00872594" w:rsidRPr="00417EFE" w:rsidRDefault="00872594" w:rsidP="00872594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Other</w:t>
            </w:r>
          </w:p>
        </w:tc>
        <w:tc>
          <w:tcPr>
            <w:tcW w:w="267" w:type="pct"/>
          </w:tcPr>
          <w:p w14:paraId="19C7A3EF" w14:textId="7C969CCF" w:rsidR="00872594" w:rsidRPr="00417EFE" w:rsidRDefault="007A5491" w:rsidP="00CF0A3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367</w:t>
            </w:r>
          </w:p>
        </w:tc>
        <w:tc>
          <w:tcPr>
            <w:tcW w:w="212" w:type="pct"/>
          </w:tcPr>
          <w:p w14:paraId="1AE8C1BF" w14:textId="782AD648" w:rsidR="00872594" w:rsidRPr="00417EFE" w:rsidRDefault="007A5491" w:rsidP="00CF0A3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</w:t>
            </w:r>
          </w:p>
        </w:tc>
        <w:tc>
          <w:tcPr>
            <w:tcW w:w="469" w:type="pct"/>
          </w:tcPr>
          <w:p w14:paraId="6E5D7F85" w14:textId="48A2DF6F" w:rsidR="00872594" w:rsidRPr="00417EFE" w:rsidRDefault="00872594" w:rsidP="00872594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Other</w:t>
            </w:r>
          </w:p>
        </w:tc>
        <w:tc>
          <w:tcPr>
            <w:tcW w:w="267" w:type="pct"/>
          </w:tcPr>
          <w:p w14:paraId="13F207EE" w14:textId="77FCBE94" w:rsidR="00872594" w:rsidRPr="00417EFE" w:rsidRDefault="00F14951" w:rsidP="00CF0A3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9</w:t>
            </w:r>
          </w:p>
        </w:tc>
        <w:tc>
          <w:tcPr>
            <w:tcW w:w="211" w:type="pct"/>
          </w:tcPr>
          <w:p w14:paraId="4726FD9E" w14:textId="1B610BEE" w:rsidR="00872594" w:rsidRPr="00417EFE" w:rsidRDefault="00F14951" w:rsidP="00CF0A3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</w:t>
            </w:r>
          </w:p>
        </w:tc>
      </w:tr>
      <w:tr w:rsidR="008F7B84" w:rsidRPr="00AD28BB" w14:paraId="1C7DDD0D" w14:textId="77777777" w:rsidTr="007A54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</w:tcPr>
          <w:p w14:paraId="4C54CB22" w14:textId="0494B25C" w:rsidR="00872594" w:rsidRPr="00CF0A38" w:rsidRDefault="00872594" w:rsidP="00872594">
            <w:pPr>
              <w:pStyle w:val="BodyText"/>
              <w:spacing w:after="0"/>
              <w:rPr>
                <w:rFonts w:cstheme="minorHAnsi"/>
                <w:sz w:val="14"/>
                <w:szCs w:val="14"/>
              </w:rPr>
            </w:pPr>
            <w:r w:rsidRPr="00CF0A38">
              <w:rPr>
                <w:rFonts w:cstheme="minorHAnsi"/>
                <w:sz w:val="14"/>
                <w:szCs w:val="14"/>
              </w:rPr>
              <w:t>Total</w:t>
            </w:r>
          </w:p>
        </w:tc>
        <w:tc>
          <w:tcPr>
            <w:tcW w:w="267" w:type="pct"/>
          </w:tcPr>
          <w:p w14:paraId="6C01C040" w14:textId="2B37F691" w:rsidR="00872594" w:rsidRPr="00CF0A38" w:rsidRDefault="00E85DFD" w:rsidP="00CF0A3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CF0A38">
              <w:rPr>
                <w:rFonts w:cstheme="minorHAnsi"/>
                <w:b/>
                <w:sz w:val="14"/>
                <w:szCs w:val="14"/>
              </w:rPr>
              <w:t>2,749</w:t>
            </w:r>
          </w:p>
        </w:tc>
        <w:tc>
          <w:tcPr>
            <w:tcW w:w="212" w:type="pct"/>
          </w:tcPr>
          <w:p w14:paraId="1A393C7B" w14:textId="7FE9A3A0" w:rsidR="00872594" w:rsidRPr="00CF0A38" w:rsidRDefault="00E85DFD" w:rsidP="00CF0A3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CF0A38">
              <w:rPr>
                <w:rFonts w:cstheme="minorHAnsi"/>
                <w:b/>
                <w:sz w:val="14"/>
                <w:szCs w:val="14"/>
              </w:rPr>
              <w:t>100</w:t>
            </w:r>
          </w:p>
        </w:tc>
        <w:tc>
          <w:tcPr>
            <w:tcW w:w="456" w:type="pct"/>
          </w:tcPr>
          <w:p w14:paraId="20D1FD72" w14:textId="463B9F4A" w:rsidR="00872594" w:rsidRPr="00CF0A38" w:rsidRDefault="00872594" w:rsidP="00872594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CF0A38">
              <w:rPr>
                <w:rFonts w:cstheme="minorHAnsi"/>
                <w:b/>
                <w:sz w:val="14"/>
                <w:szCs w:val="14"/>
              </w:rPr>
              <w:t>Total</w:t>
            </w:r>
          </w:p>
        </w:tc>
        <w:tc>
          <w:tcPr>
            <w:tcW w:w="267" w:type="pct"/>
          </w:tcPr>
          <w:p w14:paraId="32F4D22F" w14:textId="325D622D" w:rsidR="00872594" w:rsidRPr="00CF0A38" w:rsidRDefault="00E85DFD" w:rsidP="00CF0A3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CF0A38">
              <w:rPr>
                <w:rFonts w:cstheme="minorHAnsi"/>
                <w:b/>
                <w:sz w:val="14"/>
                <w:szCs w:val="14"/>
              </w:rPr>
              <w:t>1,</w:t>
            </w:r>
            <w:r w:rsidR="00DD1970" w:rsidRPr="00CF0A38">
              <w:rPr>
                <w:rFonts w:cstheme="minorHAnsi"/>
                <w:b/>
                <w:sz w:val="14"/>
                <w:szCs w:val="14"/>
              </w:rPr>
              <w:t>906</w:t>
            </w:r>
          </w:p>
        </w:tc>
        <w:tc>
          <w:tcPr>
            <w:tcW w:w="212" w:type="pct"/>
          </w:tcPr>
          <w:p w14:paraId="753031C2" w14:textId="30333A7D" w:rsidR="00872594" w:rsidRPr="00CF0A38" w:rsidRDefault="00E85DFD" w:rsidP="00CF0A3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CF0A38">
              <w:rPr>
                <w:rFonts w:cstheme="minorHAnsi"/>
                <w:b/>
                <w:sz w:val="14"/>
                <w:szCs w:val="14"/>
              </w:rPr>
              <w:t>100</w:t>
            </w:r>
          </w:p>
        </w:tc>
        <w:tc>
          <w:tcPr>
            <w:tcW w:w="676" w:type="pct"/>
          </w:tcPr>
          <w:p w14:paraId="54F1D3C4" w14:textId="6BB21BB2" w:rsidR="00872594" w:rsidRPr="00CF0A38" w:rsidRDefault="00872594" w:rsidP="00872594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CF0A38">
              <w:rPr>
                <w:rFonts w:cstheme="minorHAnsi"/>
                <w:b/>
                <w:sz w:val="14"/>
                <w:szCs w:val="14"/>
              </w:rPr>
              <w:t>Total</w:t>
            </w:r>
          </w:p>
        </w:tc>
        <w:tc>
          <w:tcPr>
            <w:tcW w:w="267" w:type="pct"/>
          </w:tcPr>
          <w:p w14:paraId="5C55DC72" w14:textId="5871FAAC" w:rsidR="00872594" w:rsidRPr="00CF0A38" w:rsidRDefault="00E85DFD" w:rsidP="00CF0A3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CF0A38">
              <w:rPr>
                <w:rFonts w:cstheme="minorHAnsi"/>
                <w:b/>
                <w:sz w:val="14"/>
                <w:szCs w:val="14"/>
              </w:rPr>
              <w:t>1,</w:t>
            </w:r>
            <w:r w:rsidR="00DD1970" w:rsidRPr="00CF0A38">
              <w:rPr>
                <w:rFonts w:cstheme="minorHAnsi"/>
                <w:b/>
                <w:sz w:val="14"/>
                <w:szCs w:val="14"/>
              </w:rPr>
              <w:t>51</w:t>
            </w:r>
            <w:r w:rsidRPr="00CF0A38">
              <w:rPr>
                <w:rFonts w:cstheme="minorHAnsi"/>
                <w:b/>
                <w:sz w:val="14"/>
                <w:szCs w:val="14"/>
              </w:rPr>
              <w:t>6</w:t>
            </w:r>
          </w:p>
        </w:tc>
        <w:tc>
          <w:tcPr>
            <w:tcW w:w="212" w:type="pct"/>
          </w:tcPr>
          <w:p w14:paraId="64F6DDE0" w14:textId="33BA996E" w:rsidR="00872594" w:rsidRPr="00CF0A38" w:rsidRDefault="00E85DFD" w:rsidP="00CF0A3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CF0A38">
              <w:rPr>
                <w:rFonts w:cstheme="minorHAnsi"/>
                <w:b/>
                <w:sz w:val="14"/>
                <w:szCs w:val="14"/>
              </w:rPr>
              <w:t>100</w:t>
            </w:r>
          </w:p>
        </w:tc>
        <w:tc>
          <w:tcPr>
            <w:tcW w:w="536" w:type="pct"/>
          </w:tcPr>
          <w:p w14:paraId="6DAAB9C2" w14:textId="65FC09A0" w:rsidR="00872594" w:rsidRPr="00CF0A38" w:rsidRDefault="00872594" w:rsidP="00872594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CF0A38">
              <w:rPr>
                <w:rFonts w:cstheme="minorHAnsi"/>
                <w:b/>
                <w:sz w:val="14"/>
                <w:szCs w:val="14"/>
              </w:rPr>
              <w:t>Total</w:t>
            </w:r>
          </w:p>
        </w:tc>
        <w:tc>
          <w:tcPr>
            <w:tcW w:w="267" w:type="pct"/>
          </w:tcPr>
          <w:p w14:paraId="49A52A15" w14:textId="5EC6B71B" w:rsidR="00872594" w:rsidRPr="00CF0A38" w:rsidRDefault="00E85DFD" w:rsidP="00CF0A3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CF0A38">
              <w:rPr>
                <w:rFonts w:cstheme="minorHAnsi"/>
                <w:b/>
                <w:sz w:val="14"/>
                <w:szCs w:val="14"/>
              </w:rPr>
              <w:t>1,220</w:t>
            </w:r>
          </w:p>
        </w:tc>
        <w:tc>
          <w:tcPr>
            <w:tcW w:w="212" w:type="pct"/>
          </w:tcPr>
          <w:p w14:paraId="604C42F7" w14:textId="1C9CF7EE" w:rsidR="00872594" w:rsidRPr="00CF0A38" w:rsidRDefault="00E85DFD" w:rsidP="00CF0A3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CF0A38">
              <w:rPr>
                <w:rFonts w:cstheme="minorHAnsi"/>
                <w:b/>
                <w:sz w:val="14"/>
                <w:szCs w:val="14"/>
              </w:rPr>
              <w:t>100</w:t>
            </w:r>
          </w:p>
        </w:tc>
        <w:tc>
          <w:tcPr>
            <w:tcW w:w="469" w:type="pct"/>
          </w:tcPr>
          <w:p w14:paraId="68B1E7AD" w14:textId="2B626FBB" w:rsidR="00872594" w:rsidRPr="00CF0A38" w:rsidRDefault="00872594" w:rsidP="00872594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CF0A38">
              <w:rPr>
                <w:rFonts w:cstheme="minorHAnsi"/>
                <w:b/>
                <w:sz w:val="14"/>
                <w:szCs w:val="14"/>
              </w:rPr>
              <w:t>Total</w:t>
            </w:r>
          </w:p>
        </w:tc>
        <w:tc>
          <w:tcPr>
            <w:tcW w:w="267" w:type="pct"/>
          </w:tcPr>
          <w:p w14:paraId="0C11D1E9" w14:textId="3F2B60E3" w:rsidR="00872594" w:rsidRPr="00CF0A38" w:rsidRDefault="00E85DFD" w:rsidP="00CF0A3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CF0A38">
              <w:rPr>
                <w:rFonts w:cstheme="minorHAnsi"/>
                <w:b/>
                <w:sz w:val="14"/>
                <w:szCs w:val="14"/>
              </w:rPr>
              <w:t>1,2</w:t>
            </w:r>
            <w:r w:rsidR="00DD1970" w:rsidRPr="00CF0A38">
              <w:rPr>
                <w:rFonts w:cstheme="minorHAnsi"/>
                <w:b/>
                <w:sz w:val="14"/>
                <w:szCs w:val="14"/>
              </w:rPr>
              <w:t>09</w:t>
            </w:r>
          </w:p>
        </w:tc>
        <w:tc>
          <w:tcPr>
            <w:tcW w:w="211" w:type="pct"/>
          </w:tcPr>
          <w:p w14:paraId="22AE8700" w14:textId="6C63194F" w:rsidR="00872594" w:rsidRPr="00CF0A38" w:rsidRDefault="00E85DFD" w:rsidP="00CF0A3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CF0A38">
              <w:rPr>
                <w:rFonts w:cstheme="minorHAnsi"/>
                <w:b/>
                <w:sz w:val="14"/>
                <w:szCs w:val="14"/>
              </w:rPr>
              <w:t>100</w:t>
            </w:r>
          </w:p>
        </w:tc>
      </w:tr>
    </w:tbl>
    <w:p w14:paraId="5EC5670A" w14:textId="5B054A57" w:rsidR="00FB67E3" w:rsidRPr="00FB67E3" w:rsidRDefault="00FB67E3" w:rsidP="00FB67E3">
      <w:pPr>
        <w:spacing w:after="0"/>
        <w:jc w:val="both"/>
        <w:rPr>
          <w:sz w:val="10"/>
        </w:rPr>
      </w:pPr>
      <w:r w:rsidRPr="00FB67E3">
        <w:rPr>
          <w:sz w:val="10"/>
        </w:rPr>
        <w:t xml:space="preserve">Note – Components may not add to totals due to rounding. </w:t>
      </w:r>
      <w:r w:rsidRPr="00FB67E3">
        <w:rPr>
          <w:sz w:val="10"/>
          <w:vertAlign w:val="superscript"/>
        </w:rPr>
        <w:t>1</w:t>
      </w:r>
      <w:r w:rsidRPr="00FB67E3">
        <w:rPr>
          <w:sz w:val="10"/>
        </w:rPr>
        <w:t xml:space="preserve"> LNG, condensate, crude oil and LPG. </w:t>
      </w:r>
      <w:r w:rsidRPr="00FB67E3">
        <w:rPr>
          <w:sz w:val="10"/>
          <w:vertAlign w:val="superscript"/>
        </w:rPr>
        <w:t>2</w:t>
      </w:r>
      <w:r w:rsidRPr="00FB67E3">
        <w:rPr>
          <w:sz w:val="10"/>
        </w:rPr>
        <w:t xml:space="preserve"> Includes bauxite. </w:t>
      </w:r>
      <w:r w:rsidRPr="00FB67E3">
        <w:rPr>
          <w:sz w:val="10"/>
          <w:vertAlign w:val="superscript"/>
        </w:rPr>
        <w:t>3</w:t>
      </w:r>
      <w:r w:rsidRPr="00FB67E3">
        <w:rPr>
          <w:sz w:val="10"/>
        </w:rPr>
        <w:t xml:space="preserve"> Includes concentrates. </w:t>
      </w:r>
      <w:r w:rsidRPr="00FB67E3">
        <w:rPr>
          <w:sz w:val="10"/>
          <w:vertAlign w:val="superscript"/>
        </w:rPr>
        <w:t>4</w:t>
      </w:r>
      <w:r w:rsidRPr="00FB67E3">
        <w:rPr>
          <w:sz w:val="10"/>
        </w:rPr>
        <w:t xml:space="preserve"> Excludes gold and silver. </w:t>
      </w:r>
      <w:r w:rsidRPr="00FB67E3">
        <w:rPr>
          <w:sz w:val="10"/>
          <w:vertAlign w:val="superscript"/>
        </w:rPr>
        <w:t>5</w:t>
      </w:r>
      <w:r>
        <w:rPr>
          <w:sz w:val="10"/>
        </w:rPr>
        <w:t xml:space="preserve"> G</w:t>
      </w:r>
      <w:r w:rsidRPr="00FB67E3">
        <w:rPr>
          <w:sz w:val="10"/>
        </w:rPr>
        <w:t xml:space="preserve">arnet, illmenite, leucoxene, zircon and rutile. </w:t>
      </w:r>
      <w:r w:rsidRPr="00FB67E3">
        <w:rPr>
          <w:sz w:val="10"/>
          <w:vertAlign w:val="superscript"/>
        </w:rPr>
        <w:t>6</w:t>
      </w:r>
      <w:r w:rsidRPr="00FB67E3">
        <w:rPr>
          <w:sz w:val="10"/>
        </w:rPr>
        <w:t xml:space="preserve"> </w:t>
      </w:r>
      <w:r>
        <w:rPr>
          <w:sz w:val="10"/>
        </w:rPr>
        <w:t>S</w:t>
      </w:r>
      <w:r w:rsidRPr="00FB67E3">
        <w:rPr>
          <w:sz w:val="10"/>
        </w:rPr>
        <w:t xml:space="preserve">podumene. Includes </w:t>
      </w:r>
      <w:r>
        <w:rPr>
          <w:sz w:val="10"/>
        </w:rPr>
        <w:t>some other crude minerals</w:t>
      </w:r>
      <w:r w:rsidRPr="00FB67E3">
        <w:rPr>
          <w:sz w:val="10"/>
        </w:rPr>
        <w:t>.</w:t>
      </w:r>
      <w:r w:rsidR="008F7B84">
        <w:rPr>
          <w:sz w:val="10"/>
        </w:rPr>
        <w:t xml:space="preserve"> (a) Mainland. (b) Special Administrative Region of China.</w:t>
      </w:r>
    </w:p>
    <w:p w14:paraId="780C8140" w14:textId="631832ED" w:rsidR="00591BD4" w:rsidRPr="00E106CB" w:rsidRDefault="00FB67E3" w:rsidP="00FB67E3">
      <w:pPr>
        <w:spacing w:after="0"/>
        <w:jc w:val="both"/>
        <w:rPr>
          <w:sz w:val="10"/>
        </w:rPr>
      </w:pPr>
      <w:r w:rsidRPr="00FB67E3">
        <w:rPr>
          <w:sz w:val="10"/>
        </w:rPr>
        <w:t>Source: ABS 5368.0 International Trade in Goods and Services</w:t>
      </w:r>
      <w:r>
        <w:rPr>
          <w:sz w:val="10"/>
        </w:rPr>
        <w:t xml:space="preserve">, Australia (Monthly); and </w:t>
      </w:r>
      <w:r w:rsidRPr="00FB67E3">
        <w:rPr>
          <w:sz w:val="10"/>
        </w:rPr>
        <w:t>WA Department of Mines, Industry Regulation and Safety, Resource Data Files</w:t>
      </w:r>
      <w:r>
        <w:rPr>
          <w:sz w:val="10"/>
        </w:rPr>
        <w:t xml:space="preserve"> (Bi-annual)</w:t>
      </w:r>
      <w:r w:rsidR="00591BD4" w:rsidRPr="00716C34">
        <w:rPr>
          <w:sz w:val="10"/>
        </w:rPr>
        <w:t>.</w:t>
      </w:r>
    </w:p>
    <w:p w14:paraId="36548D1F" w14:textId="77777777" w:rsidR="00E106CB" w:rsidRDefault="00E106CB" w:rsidP="00591BD4">
      <w:pPr>
        <w:jc w:val="both"/>
        <w:rPr>
          <w:sz w:val="16"/>
        </w:rPr>
        <w:sectPr w:rsidR="00E106CB" w:rsidSect="00E106CB">
          <w:type w:val="continuous"/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</w:p>
    <w:p w14:paraId="12C77AD3" w14:textId="1A0B15EB" w:rsidR="00591BD4" w:rsidRDefault="00591BD4" w:rsidP="00591BD4">
      <w:pPr>
        <w:jc w:val="both"/>
        <w:rPr>
          <w:sz w:val="16"/>
        </w:rPr>
      </w:pPr>
      <w:r>
        <w:rPr>
          <w:sz w:val="16"/>
        </w:rPr>
        <w:br w:type="page"/>
      </w:r>
    </w:p>
    <w:p w14:paraId="03961009" w14:textId="77777777" w:rsidR="00CE1DC1" w:rsidRPr="00237284" w:rsidRDefault="00CE1DC1" w:rsidP="00CE1DC1">
      <w:pPr>
        <w:pStyle w:val="BodyText"/>
        <w:spacing w:after="0"/>
      </w:pPr>
      <w:bookmarkStart w:id="4" w:name="_SINGAPORE"/>
      <w:bookmarkEnd w:id="4"/>
    </w:p>
    <w:p w14:paraId="3D665306" w14:textId="49EBEC55" w:rsidR="004478B8" w:rsidRDefault="005F1191" w:rsidP="00EC6333">
      <w:pPr>
        <w:pStyle w:val="BodyText"/>
        <w:spacing w:after="0"/>
        <w:rPr>
          <w:b/>
          <w:sz w:val="20"/>
        </w:rPr>
      </w:pPr>
      <w:r>
        <w:rPr>
          <w:b/>
          <w:sz w:val="20"/>
        </w:rPr>
        <w:t>Western Australia’s e</w:t>
      </w:r>
      <w:r w:rsidR="00036C0B" w:rsidRPr="001F2273">
        <w:rPr>
          <w:b/>
          <w:sz w:val="20"/>
        </w:rPr>
        <w:t xml:space="preserve">xports </w:t>
      </w:r>
      <w:r w:rsidR="004478B8">
        <w:rPr>
          <w:b/>
          <w:sz w:val="20"/>
        </w:rPr>
        <w:t>of services</w:t>
      </w:r>
      <w:r w:rsidR="007D3CCE" w:rsidRPr="007D3CCE">
        <w:rPr>
          <w:b/>
          <w:sz w:val="20"/>
          <w:vertAlign w:val="superscript"/>
        </w:rPr>
        <w:t>1</w:t>
      </w:r>
      <w:r w:rsidR="004478B8">
        <w:rPr>
          <w:b/>
          <w:sz w:val="20"/>
        </w:rPr>
        <w:t>:</w:t>
      </w:r>
    </w:p>
    <w:p w14:paraId="2EF1ED9B" w14:textId="023D81F2" w:rsidR="00CE1DC1" w:rsidRPr="001F2273" w:rsidRDefault="005C4954" w:rsidP="00EC6333">
      <w:pPr>
        <w:pStyle w:val="BodyText"/>
        <w:spacing w:after="0"/>
        <w:rPr>
          <w:b/>
          <w:sz w:val="20"/>
        </w:rPr>
      </w:pPr>
      <w:r>
        <w:rPr>
          <w:b/>
          <w:sz w:val="20"/>
        </w:rPr>
        <w:t>Financial</w:t>
      </w:r>
      <w:r w:rsidR="00D17B87">
        <w:rPr>
          <w:b/>
          <w:sz w:val="20"/>
        </w:rPr>
        <w:t xml:space="preserve"> </w:t>
      </w:r>
      <w:r w:rsidR="003B1D40">
        <w:rPr>
          <w:b/>
          <w:sz w:val="20"/>
        </w:rPr>
        <w:t>years</w:t>
      </w:r>
    </w:p>
    <w:p w14:paraId="12351FF7" w14:textId="192BDD9A" w:rsidR="00CE1DC1" w:rsidRDefault="005C4954" w:rsidP="00CE1DC1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100BE937" wp14:editId="4C41F39E">
            <wp:extent cx="3420745" cy="2052955"/>
            <wp:effectExtent l="0" t="0" r="8255" b="444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745" cy="205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6FE93" w14:textId="77777777" w:rsidR="007D3CCE" w:rsidRDefault="007D3CCE" w:rsidP="007D3CCE">
      <w:pPr>
        <w:spacing w:after="0"/>
        <w:jc w:val="both"/>
        <w:rPr>
          <w:sz w:val="10"/>
        </w:rPr>
      </w:pPr>
      <w:r w:rsidRPr="00A8430F">
        <w:rPr>
          <w:sz w:val="10"/>
          <w:vertAlign w:val="superscript"/>
        </w:rPr>
        <w:t>1</w:t>
      </w:r>
      <w:r>
        <w:rPr>
          <w:sz w:val="10"/>
        </w:rPr>
        <w:t xml:space="preserve"> Nominal.</w:t>
      </w:r>
    </w:p>
    <w:p w14:paraId="1B17F33E" w14:textId="49D154FC" w:rsidR="00CE1DC1" w:rsidRDefault="00CE1DC1" w:rsidP="00CE1DC1">
      <w:pPr>
        <w:spacing w:after="0"/>
        <w:jc w:val="both"/>
        <w:rPr>
          <w:sz w:val="10"/>
        </w:rPr>
      </w:pPr>
      <w:r w:rsidRPr="00A441A2">
        <w:rPr>
          <w:sz w:val="10"/>
        </w:rPr>
        <w:t xml:space="preserve">Source: </w:t>
      </w:r>
      <w:r w:rsidR="00CD3038" w:rsidRPr="00BF3151">
        <w:rPr>
          <w:sz w:val="10"/>
        </w:rPr>
        <w:t>ABS 5220.0 Australian National Ac</w:t>
      </w:r>
      <w:r w:rsidR="00CD3038">
        <w:rPr>
          <w:sz w:val="10"/>
        </w:rPr>
        <w:t xml:space="preserve">counts: State Accounts (Annual); and ABS </w:t>
      </w:r>
      <w:r w:rsidR="00CD3038" w:rsidRPr="00CD3038">
        <w:rPr>
          <w:sz w:val="10"/>
        </w:rPr>
        <w:t>5368.0.55.003/004</w:t>
      </w:r>
      <w:r w:rsidR="00873386">
        <w:rPr>
          <w:sz w:val="10"/>
        </w:rPr>
        <w:t xml:space="preserve"> International Trade: Supplementary Information, Financial Year/Calendar Year (Annual)</w:t>
      </w:r>
      <w:r>
        <w:rPr>
          <w:sz w:val="10"/>
        </w:rPr>
        <w:t>.</w:t>
      </w:r>
    </w:p>
    <w:p w14:paraId="00DB40F5" w14:textId="77777777" w:rsidR="00CE1DC1" w:rsidRDefault="00CE1DC1" w:rsidP="00CE1DC1">
      <w:pPr>
        <w:spacing w:after="0"/>
        <w:jc w:val="both"/>
        <w:rPr>
          <w:sz w:val="16"/>
        </w:rPr>
      </w:pPr>
    </w:p>
    <w:p w14:paraId="5544B543" w14:textId="77777777" w:rsidR="00CE1DC1" w:rsidRPr="00CB298C" w:rsidRDefault="00CE1DC1" w:rsidP="00CE1DC1">
      <w:pPr>
        <w:spacing w:after="0"/>
        <w:jc w:val="both"/>
        <w:rPr>
          <w:sz w:val="16"/>
        </w:rPr>
      </w:pPr>
    </w:p>
    <w:p w14:paraId="47EAC1BA" w14:textId="77777777" w:rsidR="00CE1DC1" w:rsidRDefault="00CE1DC1" w:rsidP="00CE1DC1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1416D61D" w14:textId="77777777" w:rsidR="00CE1DC1" w:rsidRDefault="00CE1DC1" w:rsidP="00CE1DC1">
      <w:pPr>
        <w:spacing w:after="0"/>
        <w:jc w:val="both"/>
        <w:rPr>
          <w:sz w:val="16"/>
        </w:rPr>
      </w:pPr>
    </w:p>
    <w:p w14:paraId="4B20CC55" w14:textId="77777777" w:rsidR="00CE1DC1" w:rsidRDefault="00CE1DC1" w:rsidP="00CE1DC1">
      <w:pPr>
        <w:spacing w:after="0"/>
        <w:jc w:val="both"/>
        <w:rPr>
          <w:sz w:val="16"/>
        </w:rPr>
      </w:pPr>
    </w:p>
    <w:p w14:paraId="444BC2C1" w14:textId="6C143446" w:rsidR="00CE1DC1" w:rsidRPr="00CB298C" w:rsidRDefault="00CE1DC1" w:rsidP="00CE1DC1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B69DD">
        <w:rPr>
          <w:sz w:val="16"/>
        </w:rPr>
        <w:t>Western Australia</w:t>
      </w:r>
      <w:r w:rsidR="00AD29FB">
        <w:rPr>
          <w:sz w:val="16"/>
        </w:rPr>
        <w:t xml:space="preserve"> </w:t>
      </w:r>
      <w:r w:rsidR="00AD29FB" w:rsidRPr="00AD29FB">
        <w:rPr>
          <w:sz w:val="16"/>
        </w:rPr>
        <w:t>accounted for 8% of Australia’s services exports in 2019</w:t>
      </w:r>
      <w:r w:rsidR="00431AC6">
        <w:rPr>
          <w:sz w:val="16"/>
        </w:rPr>
        <w:t>-20</w:t>
      </w:r>
      <w:r w:rsidRPr="008B69DD">
        <w:rPr>
          <w:sz w:val="16"/>
        </w:rPr>
        <w:t>.</w:t>
      </w:r>
    </w:p>
    <w:p w14:paraId="297B32D7" w14:textId="1FA206DF" w:rsidR="00CE1DC1" w:rsidRPr="008B69DD" w:rsidRDefault="00AD29FB" w:rsidP="00CE1DC1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D29FB">
        <w:rPr>
          <w:sz w:val="16"/>
        </w:rPr>
        <w:t xml:space="preserve">Services exports accounted for 2% of </w:t>
      </w:r>
      <w:r>
        <w:rPr>
          <w:sz w:val="16"/>
        </w:rPr>
        <w:t xml:space="preserve">Western Australia’s </w:t>
      </w:r>
      <w:r w:rsidRPr="00AD29FB">
        <w:rPr>
          <w:sz w:val="16"/>
        </w:rPr>
        <w:t xml:space="preserve">GSP and </w:t>
      </w:r>
      <w:r w:rsidR="00431AC6">
        <w:rPr>
          <w:sz w:val="16"/>
        </w:rPr>
        <w:t>contribu</w:t>
      </w:r>
      <w:r w:rsidRPr="00AD29FB">
        <w:rPr>
          <w:sz w:val="16"/>
        </w:rPr>
        <w:t>ted 0.</w:t>
      </w:r>
      <w:r w:rsidR="00431AC6">
        <w:rPr>
          <w:sz w:val="16"/>
        </w:rPr>
        <w:t xml:space="preserve">2 </w:t>
      </w:r>
      <w:r w:rsidRPr="00AD29FB">
        <w:rPr>
          <w:sz w:val="16"/>
        </w:rPr>
        <w:t xml:space="preserve">percentage points </w:t>
      </w:r>
      <w:r w:rsidR="00CF0A38">
        <w:rPr>
          <w:sz w:val="16"/>
        </w:rPr>
        <w:t>to</w:t>
      </w:r>
      <w:r w:rsidR="00CF0A38" w:rsidRPr="00AD29FB">
        <w:rPr>
          <w:sz w:val="16"/>
        </w:rPr>
        <w:t xml:space="preserve"> </w:t>
      </w:r>
      <w:r>
        <w:rPr>
          <w:sz w:val="16"/>
        </w:rPr>
        <w:t xml:space="preserve">the State’s </w:t>
      </w:r>
      <w:r w:rsidRPr="00AD29FB">
        <w:rPr>
          <w:sz w:val="16"/>
        </w:rPr>
        <w:t>real GSP growth</w:t>
      </w:r>
      <w:r>
        <w:rPr>
          <w:sz w:val="16"/>
        </w:rPr>
        <w:t xml:space="preserve"> </w:t>
      </w:r>
      <w:r w:rsidRPr="00AD29FB">
        <w:rPr>
          <w:sz w:val="16"/>
        </w:rPr>
        <w:t>in 20</w:t>
      </w:r>
      <w:r w:rsidR="00431AC6">
        <w:rPr>
          <w:sz w:val="16"/>
        </w:rPr>
        <w:t>19-20</w:t>
      </w:r>
      <w:r w:rsidR="00CE1DC1" w:rsidRPr="008B69DD">
        <w:rPr>
          <w:sz w:val="16"/>
        </w:rPr>
        <w:t>.</w:t>
      </w:r>
    </w:p>
    <w:p w14:paraId="765A3BF1" w14:textId="652E5397" w:rsidR="00CE1DC1" w:rsidRPr="008B69DD" w:rsidRDefault="00112A67" w:rsidP="00CE1DC1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 xml:space="preserve">The </w:t>
      </w:r>
      <w:r w:rsidR="00AD29FB">
        <w:rPr>
          <w:sz w:val="16"/>
        </w:rPr>
        <w:t xml:space="preserve">value of </w:t>
      </w:r>
      <w:r w:rsidR="00CE1DC1" w:rsidRPr="008B69DD">
        <w:rPr>
          <w:sz w:val="16"/>
        </w:rPr>
        <w:t>We</w:t>
      </w:r>
      <w:r w:rsidR="00172F4D">
        <w:rPr>
          <w:sz w:val="16"/>
        </w:rPr>
        <w:t>stern Australia</w:t>
      </w:r>
      <w:r w:rsidR="00AD29FB">
        <w:rPr>
          <w:sz w:val="16"/>
        </w:rPr>
        <w:t xml:space="preserve">’s exports of </w:t>
      </w:r>
      <w:r w:rsidR="00AD29FB" w:rsidRPr="00AD29FB">
        <w:rPr>
          <w:sz w:val="16"/>
        </w:rPr>
        <w:t>services rose 1</w:t>
      </w:r>
      <w:r w:rsidR="00431AC6">
        <w:rPr>
          <w:sz w:val="16"/>
        </w:rPr>
        <w:t>0</w:t>
      </w:r>
      <w:r w:rsidR="00AD29FB" w:rsidRPr="00AD29FB">
        <w:rPr>
          <w:sz w:val="16"/>
        </w:rPr>
        <w:t>% to $7.</w:t>
      </w:r>
      <w:r w:rsidR="00431AC6">
        <w:rPr>
          <w:sz w:val="16"/>
        </w:rPr>
        <w:t>4</w:t>
      </w:r>
      <w:r w:rsidR="00AD29FB" w:rsidRPr="00AD29FB">
        <w:rPr>
          <w:sz w:val="16"/>
        </w:rPr>
        <w:t xml:space="preserve"> billion in 2019</w:t>
      </w:r>
      <w:r w:rsidR="00431AC6">
        <w:rPr>
          <w:sz w:val="16"/>
        </w:rPr>
        <w:t>-20</w:t>
      </w:r>
      <w:r w:rsidR="00CE1DC1" w:rsidRPr="008B69DD">
        <w:rPr>
          <w:sz w:val="16"/>
        </w:rPr>
        <w:t>.</w:t>
      </w:r>
    </w:p>
    <w:p w14:paraId="547D4808" w14:textId="3E40A081" w:rsidR="00CE1DC1" w:rsidRPr="00AD29FB" w:rsidRDefault="00112A67" w:rsidP="00AC05F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 xml:space="preserve">In real terms, </w:t>
      </w:r>
      <w:r w:rsidR="00172F4D" w:rsidRPr="00AD29FB">
        <w:rPr>
          <w:sz w:val="16"/>
        </w:rPr>
        <w:t>Western Australia</w:t>
      </w:r>
      <w:r w:rsidR="00431AC6">
        <w:rPr>
          <w:sz w:val="16"/>
        </w:rPr>
        <w:t>’s exports of services rose 8.4</w:t>
      </w:r>
      <w:r w:rsidR="00AD29FB" w:rsidRPr="00AD29FB">
        <w:rPr>
          <w:sz w:val="16"/>
        </w:rPr>
        <w:t>% in 2019</w:t>
      </w:r>
      <w:r w:rsidR="00431AC6">
        <w:rPr>
          <w:sz w:val="16"/>
        </w:rPr>
        <w:t>-20</w:t>
      </w:r>
      <w:r w:rsidR="00AD29FB" w:rsidRPr="00AD29FB">
        <w:rPr>
          <w:sz w:val="16"/>
        </w:rPr>
        <w:t xml:space="preserve">, above </w:t>
      </w:r>
      <w:r w:rsidR="00C93C6B">
        <w:rPr>
          <w:sz w:val="16"/>
        </w:rPr>
        <w:t xml:space="preserve">its </w:t>
      </w:r>
      <w:r w:rsidR="00431AC6">
        <w:rPr>
          <w:sz w:val="16"/>
        </w:rPr>
        <w:t>compound annual growth of 0.4</w:t>
      </w:r>
      <w:r w:rsidR="00AD29FB" w:rsidRPr="00AD29FB">
        <w:rPr>
          <w:sz w:val="16"/>
        </w:rPr>
        <w:t xml:space="preserve">% over the past </w:t>
      </w:r>
      <w:r w:rsidR="00431AC6">
        <w:rPr>
          <w:sz w:val="16"/>
        </w:rPr>
        <w:t>10</w:t>
      </w:r>
      <w:r w:rsidR="00AD29FB" w:rsidRPr="00AD29FB">
        <w:rPr>
          <w:sz w:val="16"/>
        </w:rPr>
        <w:t xml:space="preserve"> years</w:t>
      </w:r>
      <w:r w:rsidR="00CE1DC1" w:rsidRPr="00AD29FB">
        <w:rPr>
          <w:sz w:val="16"/>
        </w:rPr>
        <w:t>.</w:t>
      </w:r>
    </w:p>
    <w:p w14:paraId="65413724" w14:textId="77777777" w:rsidR="00CE1DC1" w:rsidRDefault="00CE1DC1" w:rsidP="00CE1DC1">
      <w:pPr>
        <w:pStyle w:val="BodyText"/>
        <w:spacing w:after="0"/>
        <w:jc w:val="both"/>
        <w:rPr>
          <w:sz w:val="16"/>
        </w:rPr>
        <w:sectPr w:rsidR="00CE1DC1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11ED50EC" w14:textId="1966C4C9" w:rsidR="00CE1DC1" w:rsidRDefault="005F1191" w:rsidP="00EC6333">
      <w:pPr>
        <w:pStyle w:val="BodyText"/>
        <w:spacing w:after="0"/>
        <w:rPr>
          <w:b/>
          <w:sz w:val="20"/>
        </w:rPr>
      </w:pPr>
      <w:r>
        <w:rPr>
          <w:b/>
          <w:sz w:val="20"/>
        </w:rPr>
        <w:t xml:space="preserve">Western Australia’s </w:t>
      </w:r>
      <w:r w:rsidR="00D17B87">
        <w:rPr>
          <w:b/>
          <w:sz w:val="20"/>
        </w:rPr>
        <w:t>services</w:t>
      </w:r>
      <w:r w:rsidR="001E197F">
        <w:rPr>
          <w:b/>
          <w:sz w:val="20"/>
        </w:rPr>
        <w:t xml:space="preserve"> exports</w:t>
      </w:r>
      <w:r w:rsidR="00D17B87">
        <w:rPr>
          <w:b/>
          <w:sz w:val="20"/>
        </w:rPr>
        <w:t xml:space="preserve"> by </w:t>
      </w:r>
      <w:r w:rsidR="00DC0FED">
        <w:rPr>
          <w:b/>
          <w:sz w:val="20"/>
        </w:rPr>
        <w:t xml:space="preserve">major </w:t>
      </w:r>
      <w:r w:rsidR="00D17B87">
        <w:rPr>
          <w:b/>
          <w:sz w:val="20"/>
        </w:rPr>
        <w:t>industry sector: Calendar years</w:t>
      </w:r>
    </w:p>
    <w:p w14:paraId="37E8B5F6" w14:textId="41F49CFE" w:rsidR="00DC0FED" w:rsidRPr="00DC0FED" w:rsidRDefault="00450B63" w:rsidP="00CE1DC1">
      <w:pPr>
        <w:pStyle w:val="BodyText"/>
        <w:spacing w:after="0"/>
        <w:jc w:val="both"/>
        <w:rPr>
          <w:b/>
          <w:sz w:val="16"/>
        </w:rPr>
      </w:pPr>
      <w:r>
        <w:rPr>
          <w:b/>
          <w:noProof/>
          <w:sz w:val="16"/>
          <w:lang w:eastAsia="en-AU"/>
        </w:rPr>
        <w:drawing>
          <wp:inline distT="0" distB="0" distL="0" distR="0" wp14:anchorId="19C4C5E3" wp14:editId="3A469CA8">
            <wp:extent cx="3420745" cy="2052955"/>
            <wp:effectExtent l="0" t="0" r="8255" b="4445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745" cy="205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73C74" w14:textId="0D7E85E6" w:rsidR="00CE1DC1" w:rsidRPr="00B720D6" w:rsidRDefault="004C1089" w:rsidP="00CE1DC1">
      <w:pPr>
        <w:pStyle w:val="BodyText"/>
        <w:spacing w:after="0"/>
        <w:jc w:val="both"/>
        <w:rPr>
          <w:sz w:val="10"/>
        </w:rPr>
      </w:pPr>
      <w:r w:rsidRPr="004C1089">
        <w:rPr>
          <w:sz w:val="10"/>
          <w:lang w:val="en-US"/>
        </w:rPr>
        <w:t>(a) Goods and services purchased in Western Australia by international embassies, consulates, military units and defence agencies, and personal expenditures of diplomats, consular and military staff and their dependants</w:t>
      </w:r>
      <w:r w:rsidR="003441B3">
        <w:rPr>
          <w:sz w:val="10"/>
        </w:rPr>
        <w:t>.</w:t>
      </w:r>
    </w:p>
    <w:p w14:paraId="4726EBF5" w14:textId="151B202C" w:rsidR="00CE1DC1" w:rsidRDefault="004C1089" w:rsidP="00CE1DC1">
      <w:pPr>
        <w:pStyle w:val="BodyText"/>
        <w:spacing w:after="0"/>
        <w:jc w:val="both"/>
        <w:rPr>
          <w:sz w:val="10"/>
        </w:rPr>
      </w:pPr>
      <w:r>
        <w:rPr>
          <w:sz w:val="10"/>
        </w:rPr>
        <w:t xml:space="preserve">Source: ABS </w:t>
      </w:r>
      <w:r w:rsidRPr="00CD3038">
        <w:rPr>
          <w:sz w:val="10"/>
        </w:rPr>
        <w:t>5368.0.55.003/004</w:t>
      </w:r>
      <w:r>
        <w:rPr>
          <w:sz w:val="10"/>
        </w:rPr>
        <w:t xml:space="preserve"> International Trade: Supplementary Information, Financial Year/Calendar Year (Annual)</w:t>
      </w:r>
      <w:r w:rsidR="00CE1DC1" w:rsidRPr="00B720D6">
        <w:rPr>
          <w:sz w:val="10"/>
        </w:rPr>
        <w:t>.</w:t>
      </w:r>
    </w:p>
    <w:p w14:paraId="3B36EA39" w14:textId="77777777" w:rsidR="00CE1DC1" w:rsidRDefault="00CE1DC1" w:rsidP="00CE1DC1">
      <w:pPr>
        <w:pStyle w:val="BodyText"/>
        <w:spacing w:after="0"/>
        <w:jc w:val="both"/>
        <w:rPr>
          <w:sz w:val="16"/>
        </w:rPr>
      </w:pPr>
    </w:p>
    <w:p w14:paraId="414D2B9D" w14:textId="77777777" w:rsidR="00CE1DC1" w:rsidRPr="00403DB4" w:rsidRDefault="00CE1DC1" w:rsidP="00CE1DC1">
      <w:pPr>
        <w:pStyle w:val="BodyText"/>
        <w:spacing w:after="0"/>
        <w:jc w:val="both"/>
        <w:rPr>
          <w:sz w:val="16"/>
        </w:rPr>
      </w:pPr>
    </w:p>
    <w:p w14:paraId="488EED5E" w14:textId="06AF79FF" w:rsidR="00CE1DC1" w:rsidRPr="00CB298C" w:rsidRDefault="00CE1DC1" w:rsidP="00CE1DC1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br w:type="column"/>
      </w:r>
      <w:r w:rsidRPr="00CB298C">
        <w:rPr>
          <w:sz w:val="16"/>
        </w:rPr>
        <w:t xml:space="preserve">Western Australia’s </w:t>
      </w:r>
      <w:r w:rsidR="006F1F0B">
        <w:rPr>
          <w:sz w:val="16"/>
        </w:rPr>
        <w:t xml:space="preserve">main </w:t>
      </w:r>
      <w:r w:rsidR="00127949">
        <w:rPr>
          <w:sz w:val="16"/>
        </w:rPr>
        <w:t>exports of s</w:t>
      </w:r>
      <w:r w:rsidR="00127949" w:rsidRPr="00127949">
        <w:rPr>
          <w:sz w:val="16"/>
        </w:rPr>
        <w:t>ervices</w:t>
      </w:r>
      <w:r w:rsidR="00CF0A38">
        <w:rPr>
          <w:sz w:val="16"/>
        </w:rPr>
        <w:t xml:space="preserve"> in 2019</w:t>
      </w:r>
      <w:r w:rsidR="00127949" w:rsidRPr="00127949">
        <w:rPr>
          <w:sz w:val="16"/>
        </w:rPr>
        <w:t xml:space="preserve"> </w:t>
      </w:r>
      <w:r w:rsidR="006F1F0B">
        <w:rPr>
          <w:sz w:val="16"/>
        </w:rPr>
        <w:t>were</w:t>
      </w:r>
      <w:r w:rsidR="00127949" w:rsidRPr="00127949">
        <w:rPr>
          <w:sz w:val="16"/>
        </w:rPr>
        <w:t xml:space="preserve"> personal travel (31%</w:t>
      </w:r>
      <w:r w:rsidR="006F1F0B">
        <w:rPr>
          <w:sz w:val="16"/>
        </w:rPr>
        <w:t xml:space="preserve"> of total services exports</w:t>
      </w:r>
      <w:r w:rsidR="00127949" w:rsidRPr="00127949">
        <w:rPr>
          <w:sz w:val="16"/>
        </w:rPr>
        <w:t>), education</w:t>
      </w:r>
      <w:r w:rsidR="00127949" w:rsidRPr="00127949">
        <w:rPr>
          <w:sz w:val="16"/>
        </w:rPr>
        <w:noBreakHyphen/>
        <w:t>related travel (28%) and transport (13%)</w:t>
      </w:r>
      <w:r w:rsidRPr="00CB298C">
        <w:rPr>
          <w:sz w:val="16"/>
        </w:rPr>
        <w:t>.</w:t>
      </w:r>
    </w:p>
    <w:p w14:paraId="61F7A3E4" w14:textId="1A52A116" w:rsidR="00127949" w:rsidRPr="00CB298C" w:rsidRDefault="00127949" w:rsidP="0012794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 xml:space="preserve">The largest increases in </w:t>
      </w:r>
      <w:r w:rsidRPr="00CB298C">
        <w:rPr>
          <w:sz w:val="16"/>
        </w:rPr>
        <w:t>West</w:t>
      </w:r>
      <w:r>
        <w:rPr>
          <w:sz w:val="16"/>
        </w:rPr>
        <w:t>ern Australia’s exports of services in 2019 were in</w:t>
      </w:r>
      <w:r w:rsidRPr="00CB298C">
        <w:rPr>
          <w:sz w:val="16"/>
        </w:rPr>
        <w:t>:</w:t>
      </w:r>
    </w:p>
    <w:p w14:paraId="745756DD" w14:textId="6B2175EB" w:rsidR="00127949" w:rsidRPr="00CB298C" w:rsidRDefault="00127949" w:rsidP="005A3CC2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>
        <w:rPr>
          <w:sz w:val="16"/>
        </w:rPr>
        <w:t>I</w:t>
      </w:r>
      <w:r w:rsidRPr="00127949">
        <w:rPr>
          <w:sz w:val="16"/>
        </w:rPr>
        <w:t>nsurance, pension and financial services (up $377</w:t>
      </w:r>
      <w:r w:rsidR="00921EEB">
        <w:rPr>
          <w:sz w:val="16"/>
        </w:rPr>
        <w:t> </w:t>
      </w:r>
      <w:r>
        <w:rPr>
          <w:sz w:val="16"/>
        </w:rPr>
        <w:t xml:space="preserve">million </w:t>
      </w:r>
      <w:r w:rsidRPr="00127949">
        <w:rPr>
          <w:sz w:val="16"/>
        </w:rPr>
        <w:t>or 346%)</w:t>
      </w:r>
      <w:r w:rsidRPr="00CB298C">
        <w:rPr>
          <w:sz w:val="16"/>
        </w:rPr>
        <w:t>.</w:t>
      </w:r>
    </w:p>
    <w:p w14:paraId="55AC51D9" w14:textId="68C13E3C" w:rsidR="00127949" w:rsidRPr="00CB298C" w:rsidRDefault="00127949" w:rsidP="005A3CC2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>
        <w:rPr>
          <w:sz w:val="16"/>
        </w:rPr>
        <w:t>T</w:t>
      </w:r>
      <w:r w:rsidRPr="00127949">
        <w:rPr>
          <w:sz w:val="16"/>
        </w:rPr>
        <w:t>echnical, trade-related and other business services (up $355</w:t>
      </w:r>
      <w:r>
        <w:rPr>
          <w:sz w:val="16"/>
        </w:rPr>
        <w:t xml:space="preserve"> million </w:t>
      </w:r>
      <w:r w:rsidRPr="00127949">
        <w:rPr>
          <w:sz w:val="16"/>
        </w:rPr>
        <w:t>or 130%)</w:t>
      </w:r>
      <w:r w:rsidRPr="00CB298C">
        <w:rPr>
          <w:sz w:val="16"/>
        </w:rPr>
        <w:t>.</w:t>
      </w:r>
    </w:p>
    <w:p w14:paraId="4ECCCB85" w14:textId="3DC7FC41" w:rsidR="00127949" w:rsidRPr="00CB298C" w:rsidRDefault="00127949" w:rsidP="005A3CC2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>
        <w:rPr>
          <w:sz w:val="16"/>
        </w:rPr>
        <w:t>E</w:t>
      </w:r>
      <w:r w:rsidRPr="00127949">
        <w:rPr>
          <w:sz w:val="16"/>
        </w:rPr>
        <w:t>ducation-related travel services</w:t>
      </w:r>
      <w:r>
        <w:rPr>
          <w:sz w:val="16"/>
        </w:rPr>
        <w:t xml:space="preserve"> </w:t>
      </w:r>
      <w:r w:rsidRPr="00127949">
        <w:rPr>
          <w:sz w:val="16"/>
        </w:rPr>
        <w:t>(up $239</w:t>
      </w:r>
      <w:r>
        <w:rPr>
          <w:sz w:val="16"/>
        </w:rPr>
        <w:t xml:space="preserve"> million </w:t>
      </w:r>
      <w:r w:rsidRPr="00127949">
        <w:rPr>
          <w:sz w:val="16"/>
        </w:rPr>
        <w:t>or 12%)</w:t>
      </w:r>
      <w:r w:rsidRPr="00CB298C">
        <w:rPr>
          <w:sz w:val="16"/>
        </w:rPr>
        <w:t>.</w:t>
      </w:r>
    </w:p>
    <w:p w14:paraId="21A8976B" w14:textId="043E875C" w:rsidR="00127949" w:rsidRPr="00CB298C" w:rsidRDefault="00127949" w:rsidP="0012794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 xml:space="preserve">The largest decreases in </w:t>
      </w:r>
      <w:r w:rsidRPr="00CB298C">
        <w:rPr>
          <w:sz w:val="16"/>
        </w:rPr>
        <w:t>West</w:t>
      </w:r>
      <w:r>
        <w:rPr>
          <w:sz w:val="16"/>
        </w:rPr>
        <w:t>ern Australia’s exports of services in 2019 were in</w:t>
      </w:r>
      <w:r w:rsidRPr="00CB298C">
        <w:rPr>
          <w:sz w:val="16"/>
        </w:rPr>
        <w:t>:</w:t>
      </w:r>
    </w:p>
    <w:p w14:paraId="5BC59F23" w14:textId="3EED806A" w:rsidR="00127949" w:rsidRPr="00CB298C" w:rsidRDefault="002244A2" w:rsidP="005A3CC2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>
        <w:rPr>
          <w:sz w:val="16"/>
        </w:rPr>
        <w:t>Professional and management consulting</w:t>
      </w:r>
      <w:r w:rsidR="00127949">
        <w:rPr>
          <w:sz w:val="16"/>
        </w:rPr>
        <w:t xml:space="preserve"> (down $</w:t>
      </w:r>
      <w:r>
        <w:rPr>
          <w:sz w:val="16"/>
        </w:rPr>
        <w:t>92 m</w:t>
      </w:r>
      <w:r w:rsidR="00127949">
        <w:rPr>
          <w:sz w:val="16"/>
        </w:rPr>
        <w:t xml:space="preserve">illion or </w:t>
      </w:r>
      <w:r>
        <w:rPr>
          <w:sz w:val="16"/>
        </w:rPr>
        <w:t>56</w:t>
      </w:r>
      <w:r w:rsidR="00127949">
        <w:rPr>
          <w:sz w:val="16"/>
        </w:rPr>
        <w:t>%)</w:t>
      </w:r>
      <w:r w:rsidR="00127949" w:rsidRPr="00CB298C">
        <w:rPr>
          <w:sz w:val="16"/>
        </w:rPr>
        <w:t>.</w:t>
      </w:r>
    </w:p>
    <w:p w14:paraId="4776F58E" w14:textId="7E070E81" w:rsidR="00127949" w:rsidRPr="00CB298C" w:rsidRDefault="002244A2" w:rsidP="005A3CC2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>
        <w:rPr>
          <w:sz w:val="16"/>
        </w:rPr>
        <w:t>Business travel</w:t>
      </w:r>
      <w:r w:rsidR="00127949">
        <w:rPr>
          <w:sz w:val="16"/>
        </w:rPr>
        <w:t xml:space="preserve"> (down</w:t>
      </w:r>
      <w:r>
        <w:rPr>
          <w:sz w:val="16"/>
        </w:rPr>
        <w:t xml:space="preserve"> </w:t>
      </w:r>
      <w:r w:rsidR="00127949">
        <w:rPr>
          <w:sz w:val="16"/>
        </w:rPr>
        <w:t>$</w:t>
      </w:r>
      <w:r>
        <w:rPr>
          <w:sz w:val="16"/>
        </w:rPr>
        <w:t>33 million or 11</w:t>
      </w:r>
      <w:r w:rsidR="00127949">
        <w:rPr>
          <w:sz w:val="16"/>
        </w:rPr>
        <w:t>%)</w:t>
      </w:r>
      <w:r w:rsidR="00127949" w:rsidRPr="00CB298C">
        <w:rPr>
          <w:sz w:val="16"/>
        </w:rPr>
        <w:t>.</w:t>
      </w:r>
    </w:p>
    <w:p w14:paraId="0E7CB5F9" w14:textId="5C337D00" w:rsidR="006705C4" w:rsidRPr="006705C4" w:rsidRDefault="006705C4" w:rsidP="006705C4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6705C4">
        <w:rPr>
          <w:sz w:val="16"/>
        </w:rPr>
        <w:t>International student enrolments</w:t>
      </w:r>
      <w:r>
        <w:rPr>
          <w:sz w:val="16"/>
        </w:rPr>
        <w:t xml:space="preserve"> in Western Australia </w:t>
      </w:r>
      <w:r w:rsidRPr="006705C4">
        <w:rPr>
          <w:sz w:val="16"/>
        </w:rPr>
        <w:t>rose 4% to 53,459 in 2019.</w:t>
      </w:r>
    </w:p>
    <w:p w14:paraId="528452B8" w14:textId="43008A74" w:rsidR="00CE1DC1" w:rsidRPr="006705C4" w:rsidRDefault="006705C4" w:rsidP="006705C4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6705C4">
        <w:rPr>
          <w:sz w:val="16"/>
        </w:rPr>
        <w:t xml:space="preserve">Western Australia accounted for 5.6% of Australia’s international student enrolments in 2019, below </w:t>
      </w:r>
      <w:r w:rsidR="00D227B6">
        <w:rPr>
          <w:sz w:val="16"/>
        </w:rPr>
        <w:t xml:space="preserve">its </w:t>
      </w:r>
      <w:r w:rsidRPr="006705C4">
        <w:rPr>
          <w:sz w:val="16"/>
        </w:rPr>
        <w:t>5.9% share in 2018</w:t>
      </w:r>
      <w:r w:rsidR="00CE1DC1" w:rsidRPr="006705C4">
        <w:rPr>
          <w:sz w:val="16"/>
        </w:rPr>
        <w:t>.</w:t>
      </w:r>
    </w:p>
    <w:p w14:paraId="396641FF" w14:textId="77777777" w:rsidR="00CE1DC1" w:rsidRDefault="00CE1DC1" w:rsidP="00CE1DC1">
      <w:pPr>
        <w:pStyle w:val="BodyText"/>
        <w:spacing w:after="0"/>
        <w:jc w:val="both"/>
        <w:rPr>
          <w:sz w:val="16"/>
        </w:rPr>
        <w:sectPr w:rsidR="00CE1DC1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6F11FADE" w14:textId="77777777" w:rsidR="001872E7" w:rsidRDefault="005F1191" w:rsidP="00EC6333">
      <w:pPr>
        <w:pStyle w:val="BodyText"/>
        <w:spacing w:after="0"/>
        <w:rPr>
          <w:b/>
          <w:sz w:val="20"/>
        </w:rPr>
      </w:pPr>
      <w:r>
        <w:rPr>
          <w:b/>
          <w:sz w:val="20"/>
        </w:rPr>
        <w:t>Western Australia’s o</w:t>
      </w:r>
      <w:r w:rsidR="00C86934">
        <w:rPr>
          <w:b/>
          <w:sz w:val="20"/>
        </w:rPr>
        <w:t>vernight visitors</w:t>
      </w:r>
      <w:r w:rsidR="00A61CA2">
        <w:rPr>
          <w:b/>
          <w:sz w:val="20"/>
        </w:rPr>
        <w:t xml:space="preserve"> and </w:t>
      </w:r>
      <w:r w:rsidR="00373896">
        <w:rPr>
          <w:b/>
          <w:sz w:val="20"/>
        </w:rPr>
        <w:t>spend</w:t>
      </w:r>
      <w:r w:rsidR="00A61CA2">
        <w:rPr>
          <w:b/>
          <w:sz w:val="20"/>
        </w:rPr>
        <w:t>:</w:t>
      </w:r>
    </w:p>
    <w:p w14:paraId="22FEB5B8" w14:textId="7C26943E" w:rsidR="00CE1DC1" w:rsidRPr="001F2273" w:rsidRDefault="00C86934" w:rsidP="00EC6333">
      <w:pPr>
        <w:pStyle w:val="BodyText"/>
        <w:spacing w:after="0"/>
        <w:rPr>
          <w:b/>
          <w:sz w:val="20"/>
        </w:rPr>
      </w:pPr>
      <w:r>
        <w:rPr>
          <w:b/>
          <w:sz w:val="20"/>
        </w:rPr>
        <w:t>Financial years</w:t>
      </w:r>
    </w:p>
    <w:p w14:paraId="208E24C5" w14:textId="48A9AB6A" w:rsidR="00CE1DC1" w:rsidRDefault="00BB2A01" w:rsidP="00CE1DC1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6C9AB928" wp14:editId="4871968E">
            <wp:extent cx="3420745" cy="2052955"/>
            <wp:effectExtent l="0" t="0" r="8255" b="4445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745" cy="205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6654A" w14:textId="686893C8" w:rsidR="00CE1DC1" w:rsidRPr="00715528" w:rsidRDefault="00514046" w:rsidP="00CE1DC1">
      <w:pPr>
        <w:pStyle w:val="BodyText"/>
        <w:spacing w:after="0"/>
        <w:jc w:val="both"/>
        <w:rPr>
          <w:sz w:val="10"/>
        </w:rPr>
      </w:pPr>
      <w:r>
        <w:rPr>
          <w:sz w:val="10"/>
        </w:rPr>
        <w:t xml:space="preserve">Source: </w:t>
      </w:r>
      <w:r w:rsidRPr="00514046">
        <w:rPr>
          <w:sz w:val="10"/>
        </w:rPr>
        <w:t>Tourism Research Australia, International and National Visitor Surveys</w:t>
      </w:r>
      <w:r w:rsidR="00930B05">
        <w:rPr>
          <w:sz w:val="10"/>
        </w:rPr>
        <w:t xml:space="preserve"> (Quarterly)</w:t>
      </w:r>
      <w:r w:rsidR="00CE1DC1" w:rsidRPr="00715528">
        <w:rPr>
          <w:sz w:val="10"/>
        </w:rPr>
        <w:t>.</w:t>
      </w:r>
    </w:p>
    <w:p w14:paraId="5183C525" w14:textId="4B2ECCC1" w:rsidR="00CA3828" w:rsidRPr="00CA3828" w:rsidRDefault="00CE1DC1" w:rsidP="00F36FDF">
      <w:pPr>
        <w:pStyle w:val="BodyText"/>
        <w:numPr>
          <w:ilvl w:val="0"/>
          <w:numId w:val="9"/>
        </w:numPr>
        <w:spacing w:before="240" w:after="0"/>
        <w:jc w:val="both"/>
        <w:rPr>
          <w:sz w:val="16"/>
        </w:rPr>
      </w:pPr>
      <w:r>
        <w:rPr>
          <w:sz w:val="16"/>
        </w:rPr>
        <w:br w:type="column"/>
      </w:r>
      <w:r w:rsidR="00CA3828" w:rsidRPr="00CA3828">
        <w:rPr>
          <w:sz w:val="16"/>
        </w:rPr>
        <w:t>T</w:t>
      </w:r>
      <w:r w:rsidR="00CA3828">
        <w:rPr>
          <w:sz w:val="16"/>
        </w:rPr>
        <w:t>he t</w:t>
      </w:r>
      <w:r w:rsidR="00CA3828" w:rsidRPr="00CA3828">
        <w:rPr>
          <w:sz w:val="16"/>
        </w:rPr>
        <w:t xml:space="preserve">ourism </w:t>
      </w:r>
      <w:r w:rsidR="00CA3828">
        <w:rPr>
          <w:sz w:val="16"/>
        </w:rPr>
        <w:t xml:space="preserve">industry </w:t>
      </w:r>
      <w:r w:rsidR="00CA3828" w:rsidRPr="00CA3828">
        <w:rPr>
          <w:sz w:val="16"/>
        </w:rPr>
        <w:t>accounted for 2.1% ($6.0</w:t>
      </w:r>
      <w:r w:rsidR="00CA3828">
        <w:rPr>
          <w:sz w:val="16"/>
        </w:rPr>
        <w:t xml:space="preserve"> </w:t>
      </w:r>
      <w:r w:rsidR="00CA3828" w:rsidRPr="00CA3828">
        <w:rPr>
          <w:sz w:val="16"/>
        </w:rPr>
        <w:t>b</w:t>
      </w:r>
      <w:r w:rsidR="00CA3828">
        <w:rPr>
          <w:sz w:val="16"/>
        </w:rPr>
        <w:t>illion</w:t>
      </w:r>
      <w:r w:rsidR="00CA3828" w:rsidRPr="00CA3828">
        <w:rPr>
          <w:sz w:val="16"/>
        </w:rPr>
        <w:t xml:space="preserve">) of </w:t>
      </w:r>
      <w:r w:rsidR="00414479">
        <w:rPr>
          <w:sz w:val="16"/>
        </w:rPr>
        <w:t xml:space="preserve">Western Australia’s </w:t>
      </w:r>
      <w:r w:rsidR="00CA3828" w:rsidRPr="00CA3828">
        <w:rPr>
          <w:sz w:val="16"/>
        </w:rPr>
        <w:t xml:space="preserve">GSP and 5.0% (66,600) of </w:t>
      </w:r>
      <w:r w:rsidR="00CA3828">
        <w:rPr>
          <w:sz w:val="16"/>
        </w:rPr>
        <w:t xml:space="preserve">the State’s </w:t>
      </w:r>
      <w:r w:rsidR="00CA3828" w:rsidRPr="00CA3828">
        <w:rPr>
          <w:sz w:val="16"/>
        </w:rPr>
        <w:t>total employment in 2018-19.</w:t>
      </w:r>
    </w:p>
    <w:p w14:paraId="4C5A154D" w14:textId="1A44DAC2" w:rsidR="007310A6" w:rsidRPr="007310A6" w:rsidRDefault="007310A6" w:rsidP="007310A6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>T</w:t>
      </w:r>
      <w:r w:rsidRPr="007310A6">
        <w:rPr>
          <w:sz w:val="16"/>
        </w:rPr>
        <w:t xml:space="preserve">otal </w:t>
      </w:r>
      <w:r>
        <w:rPr>
          <w:sz w:val="16"/>
        </w:rPr>
        <w:t xml:space="preserve">international and domestic </w:t>
      </w:r>
      <w:r w:rsidRPr="007310A6">
        <w:rPr>
          <w:sz w:val="16"/>
        </w:rPr>
        <w:t>overnight visitors</w:t>
      </w:r>
      <w:r>
        <w:rPr>
          <w:sz w:val="16"/>
        </w:rPr>
        <w:t xml:space="preserve"> to Western Australia</w:t>
      </w:r>
      <w:r w:rsidRPr="007310A6">
        <w:rPr>
          <w:sz w:val="16"/>
        </w:rPr>
        <w:t xml:space="preserve"> fell 13% to 10.1</w:t>
      </w:r>
      <w:r>
        <w:rPr>
          <w:sz w:val="16"/>
        </w:rPr>
        <w:t xml:space="preserve"> </w:t>
      </w:r>
      <w:r w:rsidRPr="007310A6">
        <w:rPr>
          <w:sz w:val="16"/>
        </w:rPr>
        <w:t>mi</w:t>
      </w:r>
      <w:r w:rsidR="009A0CA1">
        <w:rPr>
          <w:sz w:val="16"/>
        </w:rPr>
        <w:t>llion in 2019-20</w:t>
      </w:r>
      <w:r w:rsidRPr="007310A6">
        <w:rPr>
          <w:sz w:val="16"/>
        </w:rPr>
        <w:t>.</w:t>
      </w:r>
    </w:p>
    <w:p w14:paraId="1911659D" w14:textId="67230876" w:rsidR="007310A6" w:rsidRPr="007310A6" w:rsidRDefault="007310A6" w:rsidP="007310A6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7310A6">
        <w:rPr>
          <w:sz w:val="16"/>
        </w:rPr>
        <w:t>Total spending</w:t>
      </w:r>
      <w:r w:rsidR="001872E7">
        <w:rPr>
          <w:sz w:val="16"/>
        </w:rPr>
        <w:t xml:space="preserve"> </w:t>
      </w:r>
      <w:r w:rsidR="00EF773C">
        <w:rPr>
          <w:sz w:val="16"/>
        </w:rPr>
        <w:t xml:space="preserve">in Western Australia </w:t>
      </w:r>
      <w:r>
        <w:rPr>
          <w:sz w:val="16"/>
        </w:rPr>
        <w:t>by international</w:t>
      </w:r>
      <w:r w:rsidR="00EF773C">
        <w:rPr>
          <w:sz w:val="16"/>
        </w:rPr>
        <w:t xml:space="preserve"> and d</w:t>
      </w:r>
      <w:r>
        <w:rPr>
          <w:sz w:val="16"/>
        </w:rPr>
        <w:t>omestic</w:t>
      </w:r>
      <w:r w:rsidR="00EF773C">
        <w:rPr>
          <w:sz w:val="16"/>
        </w:rPr>
        <w:t xml:space="preserve"> visitors</w:t>
      </w:r>
      <w:r>
        <w:rPr>
          <w:sz w:val="16"/>
        </w:rPr>
        <w:t xml:space="preserve"> and locals on daytrips </w:t>
      </w:r>
      <w:r w:rsidRPr="007310A6">
        <w:rPr>
          <w:sz w:val="16"/>
        </w:rPr>
        <w:t xml:space="preserve">fell </w:t>
      </w:r>
      <w:r w:rsidR="00DB0993">
        <w:rPr>
          <w:sz w:val="16"/>
        </w:rPr>
        <w:t xml:space="preserve">in nominal terms by </w:t>
      </w:r>
      <w:r w:rsidRPr="007310A6">
        <w:rPr>
          <w:sz w:val="16"/>
        </w:rPr>
        <w:t>14% to $9.0</w:t>
      </w:r>
      <w:r>
        <w:rPr>
          <w:sz w:val="16"/>
        </w:rPr>
        <w:t xml:space="preserve"> </w:t>
      </w:r>
      <w:r w:rsidRPr="007310A6">
        <w:rPr>
          <w:sz w:val="16"/>
        </w:rPr>
        <w:t>billion in 2019-20.</w:t>
      </w:r>
    </w:p>
    <w:p w14:paraId="653C7A57" w14:textId="4009F951" w:rsidR="00EF773C" w:rsidRPr="00CB298C" w:rsidRDefault="006E7ABB" w:rsidP="00EF773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>In 2019-20, Western Australia’s</w:t>
      </w:r>
      <w:r w:rsidR="00EF773C" w:rsidRPr="00CB298C">
        <w:rPr>
          <w:sz w:val="16"/>
        </w:rPr>
        <w:t>:</w:t>
      </w:r>
    </w:p>
    <w:p w14:paraId="493B9872" w14:textId="0AB4EEBE" w:rsidR="006E7ABB" w:rsidRPr="006E7ABB" w:rsidRDefault="006E7ABB" w:rsidP="005A3CC2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6E7ABB">
        <w:rPr>
          <w:sz w:val="16"/>
        </w:rPr>
        <w:t>International overnight visitors fell 23% to 747,000 and their spending fell 23% to $1.7</w:t>
      </w:r>
      <w:r>
        <w:rPr>
          <w:sz w:val="16"/>
        </w:rPr>
        <w:t> </w:t>
      </w:r>
      <w:r w:rsidRPr="006E7ABB">
        <w:rPr>
          <w:sz w:val="16"/>
        </w:rPr>
        <w:t>billion.</w:t>
      </w:r>
    </w:p>
    <w:p w14:paraId="5C2E5404" w14:textId="6447D690" w:rsidR="00EF773C" w:rsidRPr="00CB298C" w:rsidRDefault="006E7ABB" w:rsidP="005A3CC2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6E7ABB">
        <w:rPr>
          <w:sz w:val="16"/>
        </w:rPr>
        <w:t>Domestic overnight visitors fell 12% to 9.4</w:t>
      </w:r>
      <w:r>
        <w:rPr>
          <w:sz w:val="16"/>
        </w:rPr>
        <w:t> </w:t>
      </w:r>
      <w:r w:rsidRPr="006E7ABB">
        <w:rPr>
          <w:sz w:val="16"/>
        </w:rPr>
        <w:t>million and their spending fell 13% to $5.3</w:t>
      </w:r>
      <w:r>
        <w:rPr>
          <w:sz w:val="16"/>
        </w:rPr>
        <w:t> </w:t>
      </w:r>
      <w:r w:rsidRPr="006E7ABB">
        <w:rPr>
          <w:sz w:val="16"/>
        </w:rPr>
        <w:t>billion</w:t>
      </w:r>
      <w:r w:rsidR="00EF773C" w:rsidRPr="00CB298C">
        <w:rPr>
          <w:sz w:val="16"/>
        </w:rPr>
        <w:t>.</w:t>
      </w:r>
    </w:p>
    <w:p w14:paraId="58195BF4" w14:textId="1BFD2E1E" w:rsidR="00CE1DC1" w:rsidRPr="006E7ABB" w:rsidRDefault="006E7ABB" w:rsidP="005A3CC2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6E7ABB">
        <w:rPr>
          <w:sz w:val="16"/>
        </w:rPr>
        <w:t>Local residents spending on day trips fell 5% to $2.1 billion</w:t>
      </w:r>
      <w:r w:rsidR="00CE1DC1" w:rsidRPr="006E7ABB">
        <w:rPr>
          <w:sz w:val="16"/>
        </w:rPr>
        <w:t>.</w:t>
      </w:r>
    </w:p>
    <w:p w14:paraId="5FE98BE9" w14:textId="77777777" w:rsidR="00CE1DC1" w:rsidRDefault="00CE1DC1" w:rsidP="00CE1DC1">
      <w:pPr>
        <w:spacing w:after="0"/>
        <w:jc w:val="both"/>
        <w:rPr>
          <w:sz w:val="16"/>
        </w:rPr>
      </w:pPr>
      <w:r>
        <w:rPr>
          <w:sz w:val="16"/>
        </w:rPr>
        <w:br w:type="page"/>
      </w:r>
    </w:p>
    <w:p w14:paraId="04437E8E" w14:textId="77777777" w:rsidR="00CE1DC1" w:rsidRPr="00D426CF" w:rsidRDefault="00CE1DC1" w:rsidP="00CE1DC1">
      <w:pPr>
        <w:pStyle w:val="BodyText"/>
        <w:spacing w:after="0"/>
      </w:pPr>
    </w:p>
    <w:p w14:paraId="00960C4F" w14:textId="77777777" w:rsidR="00210923" w:rsidRDefault="00A77D00" w:rsidP="00EC6333">
      <w:pPr>
        <w:pStyle w:val="BodyText"/>
        <w:spacing w:after="0"/>
        <w:rPr>
          <w:b/>
          <w:sz w:val="20"/>
        </w:rPr>
      </w:pPr>
      <w:r>
        <w:rPr>
          <w:b/>
          <w:sz w:val="20"/>
        </w:rPr>
        <w:t xml:space="preserve">Production of </w:t>
      </w:r>
      <w:r w:rsidR="00210923">
        <w:rPr>
          <w:b/>
          <w:sz w:val="20"/>
        </w:rPr>
        <w:t xml:space="preserve">major </w:t>
      </w:r>
      <w:r>
        <w:rPr>
          <w:b/>
          <w:sz w:val="20"/>
        </w:rPr>
        <w:t>minerals</w:t>
      </w:r>
      <w:r w:rsidR="00210923">
        <w:rPr>
          <w:b/>
          <w:sz w:val="20"/>
        </w:rPr>
        <w:t xml:space="preserve"> and petroleum</w:t>
      </w:r>
      <w:r>
        <w:rPr>
          <w:b/>
          <w:sz w:val="20"/>
        </w:rPr>
        <w:t>:</w:t>
      </w:r>
    </w:p>
    <w:p w14:paraId="2C5AC4E2" w14:textId="35686276" w:rsidR="00CE1DC1" w:rsidRPr="00800813" w:rsidRDefault="00A77D00" w:rsidP="00EC6333">
      <w:pPr>
        <w:pStyle w:val="BodyText"/>
        <w:spacing w:after="0"/>
        <w:rPr>
          <w:b/>
          <w:sz w:val="20"/>
        </w:rPr>
      </w:pPr>
      <w:r>
        <w:rPr>
          <w:b/>
          <w:sz w:val="20"/>
        </w:rPr>
        <w:t>2019 calendar year</w:t>
      </w:r>
    </w:p>
    <w:tbl>
      <w:tblPr>
        <w:tblStyle w:val="ListTable3-Accent1"/>
        <w:tblW w:w="5816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1"/>
        <w:gridCol w:w="465"/>
        <w:gridCol w:w="799"/>
        <w:gridCol w:w="839"/>
        <w:gridCol w:w="660"/>
        <w:gridCol w:w="1041"/>
        <w:gridCol w:w="1041"/>
      </w:tblGrid>
      <w:tr w:rsidR="006F1F0B" w:rsidRPr="00AD28BB" w14:paraId="56EA5D59" w14:textId="77777777" w:rsidTr="006F1F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shd w:val="clear" w:color="auto" w:fill="002060"/>
            <w:vAlign w:val="center"/>
          </w:tcPr>
          <w:p w14:paraId="6949177B" w14:textId="50DFED1B" w:rsidR="006F1F0B" w:rsidRPr="007211AE" w:rsidRDefault="006F1F0B" w:rsidP="006F1F0B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7211AE">
              <w:rPr>
                <w:rFonts w:cstheme="minorHAnsi"/>
                <w:b w:val="0"/>
                <w:sz w:val="14"/>
                <w:szCs w:val="14"/>
              </w:rPr>
              <w:t>Commodity</w:t>
            </w:r>
          </w:p>
        </w:tc>
        <w:tc>
          <w:tcPr>
            <w:tcW w:w="0" w:type="auto"/>
            <w:shd w:val="clear" w:color="auto" w:fill="002060"/>
            <w:vAlign w:val="center"/>
          </w:tcPr>
          <w:p w14:paraId="7E7C7F7D" w14:textId="44F3BF99" w:rsidR="006F1F0B" w:rsidRPr="007211AE" w:rsidRDefault="006F1F0B" w:rsidP="006F1F0B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211AE">
              <w:rPr>
                <w:rFonts w:cstheme="minorHAnsi"/>
                <w:b w:val="0"/>
                <w:sz w:val="14"/>
                <w:szCs w:val="14"/>
              </w:rPr>
              <w:t>Unit</w:t>
            </w:r>
          </w:p>
        </w:tc>
        <w:tc>
          <w:tcPr>
            <w:tcW w:w="799" w:type="dxa"/>
            <w:shd w:val="clear" w:color="auto" w:fill="002060"/>
            <w:vAlign w:val="center"/>
          </w:tcPr>
          <w:p w14:paraId="591F16DC" w14:textId="591B1602" w:rsidR="006F1F0B" w:rsidRPr="007211AE" w:rsidRDefault="006F1F0B" w:rsidP="006F1F0B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211AE">
              <w:rPr>
                <w:rFonts w:cstheme="minorHAnsi"/>
                <w:b w:val="0"/>
                <w:sz w:val="14"/>
                <w:szCs w:val="14"/>
              </w:rPr>
              <w:t>Western Australia</w:t>
            </w:r>
          </w:p>
        </w:tc>
        <w:tc>
          <w:tcPr>
            <w:tcW w:w="839" w:type="dxa"/>
            <w:shd w:val="clear" w:color="auto" w:fill="002060"/>
            <w:vAlign w:val="center"/>
          </w:tcPr>
          <w:p w14:paraId="15262442" w14:textId="5A53813A" w:rsidR="006F1F0B" w:rsidRPr="007211AE" w:rsidRDefault="006F1F0B" w:rsidP="006F1F0B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211AE">
              <w:rPr>
                <w:rFonts w:cstheme="minorHAnsi"/>
                <w:b w:val="0"/>
                <w:sz w:val="14"/>
                <w:szCs w:val="14"/>
              </w:rPr>
              <w:t>Australia</w:t>
            </w:r>
          </w:p>
        </w:tc>
        <w:tc>
          <w:tcPr>
            <w:tcW w:w="660" w:type="dxa"/>
            <w:shd w:val="clear" w:color="auto" w:fill="002060"/>
            <w:vAlign w:val="center"/>
          </w:tcPr>
          <w:p w14:paraId="0B66FCA5" w14:textId="374C3B47" w:rsidR="006F1F0B" w:rsidRPr="007211AE" w:rsidRDefault="006F1F0B" w:rsidP="006F1F0B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211AE">
              <w:rPr>
                <w:rFonts w:cstheme="minorHAnsi"/>
                <w:b w:val="0"/>
                <w:sz w:val="14"/>
                <w:szCs w:val="14"/>
              </w:rPr>
              <w:t>World</w:t>
            </w:r>
          </w:p>
        </w:tc>
        <w:tc>
          <w:tcPr>
            <w:tcW w:w="1041" w:type="dxa"/>
            <w:shd w:val="clear" w:color="auto" w:fill="002060"/>
            <w:vAlign w:val="center"/>
          </w:tcPr>
          <w:p w14:paraId="30F1E728" w14:textId="77777777" w:rsidR="006F1F0B" w:rsidRDefault="006F1F0B" w:rsidP="006F1F0B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211AE">
              <w:rPr>
                <w:rFonts w:cstheme="minorHAnsi"/>
                <w:b w:val="0"/>
                <w:sz w:val="14"/>
                <w:szCs w:val="14"/>
              </w:rPr>
              <w:t>W</w:t>
            </w:r>
            <w:r>
              <w:rPr>
                <w:rFonts w:cstheme="minorHAnsi"/>
                <w:b w:val="0"/>
                <w:sz w:val="14"/>
                <w:szCs w:val="14"/>
              </w:rPr>
              <w:t>A share</w:t>
            </w:r>
          </w:p>
          <w:p w14:paraId="10A4BDBE" w14:textId="4B3DB06A" w:rsidR="006F1F0B" w:rsidRPr="007211AE" w:rsidRDefault="006F1F0B" w:rsidP="006F1F0B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>
              <w:rPr>
                <w:rFonts w:cstheme="minorHAnsi"/>
                <w:b w:val="0"/>
                <w:sz w:val="14"/>
                <w:szCs w:val="14"/>
              </w:rPr>
              <w:t xml:space="preserve">of </w:t>
            </w:r>
            <w:r w:rsidRPr="007211AE">
              <w:rPr>
                <w:rFonts w:cstheme="minorHAnsi"/>
                <w:b w:val="0"/>
                <w:sz w:val="14"/>
                <w:szCs w:val="14"/>
              </w:rPr>
              <w:t>Aust. (%)</w:t>
            </w:r>
          </w:p>
        </w:tc>
        <w:tc>
          <w:tcPr>
            <w:tcW w:w="1041" w:type="dxa"/>
            <w:shd w:val="clear" w:color="auto" w:fill="002060"/>
            <w:vAlign w:val="center"/>
          </w:tcPr>
          <w:p w14:paraId="7D2B0109" w14:textId="114B4BB9" w:rsidR="006F1F0B" w:rsidRDefault="006F1F0B" w:rsidP="006F1F0B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211AE">
              <w:rPr>
                <w:rFonts w:cstheme="minorHAnsi"/>
                <w:b w:val="0"/>
                <w:sz w:val="14"/>
                <w:szCs w:val="14"/>
              </w:rPr>
              <w:t>W</w:t>
            </w:r>
            <w:r>
              <w:rPr>
                <w:rFonts w:cstheme="minorHAnsi"/>
                <w:b w:val="0"/>
                <w:sz w:val="14"/>
                <w:szCs w:val="14"/>
              </w:rPr>
              <w:t>A</w:t>
            </w:r>
            <w:r w:rsidRPr="007211AE">
              <w:rPr>
                <w:rFonts w:cstheme="minorHAnsi"/>
                <w:b w:val="0"/>
                <w:sz w:val="14"/>
                <w:szCs w:val="14"/>
              </w:rPr>
              <w:t xml:space="preserve"> share</w:t>
            </w:r>
          </w:p>
          <w:p w14:paraId="3416C444" w14:textId="47009A44" w:rsidR="006F1F0B" w:rsidRPr="007211AE" w:rsidRDefault="006F1F0B" w:rsidP="006F1F0B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211AE">
              <w:rPr>
                <w:rFonts w:cstheme="minorHAnsi"/>
                <w:b w:val="0"/>
                <w:sz w:val="14"/>
                <w:szCs w:val="14"/>
              </w:rPr>
              <w:t>of world (%)</w:t>
            </w:r>
          </w:p>
        </w:tc>
      </w:tr>
      <w:tr w:rsidR="006F1F0B" w:rsidRPr="00AD28BB" w14:paraId="66E76010" w14:textId="77777777" w:rsidTr="006F1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80BF62C" w14:textId="21BC7EF7" w:rsidR="006F1F0B" w:rsidRPr="00130A6A" w:rsidRDefault="006F1F0B" w:rsidP="006F1F0B">
            <w:pPr>
              <w:pStyle w:val="BodyText"/>
              <w:spacing w:after="0"/>
              <w:jc w:val="both"/>
              <w:rPr>
                <w:rFonts w:cstheme="minorHAnsi"/>
                <w:sz w:val="14"/>
                <w:szCs w:val="14"/>
              </w:rPr>
            </w:pPr>
            <w:r w:rsidRPr="00130A6A">
              <w:rPr>
                <w:rFonts w:cstheme="minorHAnsi"/>
                <w:sz w:val="14"/>
                <w:szCs w:val="14"/>
              </w:rPr>
              <w:t>Iron ore</w:t>
            </w:r>
          </w:p>
        </w:tc>
        <w:tc>
          <w:tcPr>
            <w:tcW w:w="0" w:type="auto"/>
            <w:vAlign w:val="center"/>
          </w:tcPr>
          <w:p w14:paraId="2748EF44" w14:textId="560A3B21" w:rsidR="006F1F0B" w:rsidRPr="00CB731D" w:rsidRDefault="006F1F0B" w:rsidP="006F1F0B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CB731D">
              <w:rPr>
                <w:rFonts w:cstheme="minorHAnsi"/>
                <w:sz w:val="14"/>
                <w:szCs w:val="14"/>
              </w:rPr>
              <w:t>Mt</w:t>
            </w:r>
          </w:p>
        </w:tc>
        <w:tc>
          <w:tcPr>
            <w:tcW w:w="799" w:type="dxa"/>
            <w:vAlign w:val="center"/>
          </w:tcPr>
          <w:p w14:paraId="20CE42BE" w14:textId="7F283A71" w:rsidR="006F1F0B" w:rsidRPr="00CB731D" w:rsidRDefault="006F1F0B" w:rsidP="006F1F0B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810</w:t>
            </w:r>
          </w:p>
        </w:tc>
        <w:tc>
          <w:tcPr>
            <w:tcW w:w="839" w:type="dxa"/>
            <w:vAlign w:val="center"/>
          </w:tcPr>
          <w:p w14:paraId="6D0C89C2" w14:textId="50917732" w:rsidR="006F1F0B" w:rsidRPr="00CB731D" w:rsidRDefault="006F1F0B" w:rsidP="006F1F0B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819</w:t>
            </w:r>
          </w:p>
        </w:tc>
        <w:tc>
          <w:tcPr>
            <w:tcW w:w="660" w:type="dxa"/>
            <w:vAlign w:val="center"/>
          </w:tcPr>
          <w:p w14:paraId="0771DC89" w14:textId="31807F4E" w:rsidR="006F1F0B" w:rsidRPr="00CB731D" w:rsidRDefault="006F1F0B" w:rsidP="006F1F0B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2,500</w:t>
            </w:r>
          </w:p>
        </w:tc>
        <w:tc>
          <w:tcPr>
            <w:tcW w:w="1041" w:type="dxa"/>
            <w:vAlign w:val="center"/>
          </w:tcPr>
          <w:p w14:paraId="4CBA3BED" w14:textId="18A5A5E8" w:rsidR="006F1F0B" w:rsidRPr="00CB731D" w:rsidRDefault="006F1F0B" w:rsidP="006F1F0B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99</w:t>
            </w:r>
          </w:p>
        </w:tc>
        <w:tc>
          <w:tcPr>
            <w:tcW w:w="1041" w:type="dxa"/>
            <w:vAlign w:val="center"/>
          </w:tcPr>
          <w:p w14:paraId="7DEFE3D3" w14:textId="1B0FEB15" w:rsidR="006F1F0B" w:rsidRPr="00CB731D" w:rsidRDefault="006F1F0B" w:rsidP="006F1F0B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CB731D">
              <w:rPr>
                <w:rFonts w:cstheme="minorHAnsi"/>
                <w:sz w:val="14"/>
                <w:szCs w:val="14"/>
              </w:rPr>
              <w:t>32</w:t>
            </w:r>
          </w:p>
        </w:tc>
      </w:tr>
      <w:tr w:rsidR="006F1F0B" w:rsidRPr="00AD28BB" w14:paraId="2ED9ECB8" w14:textId="77777777" w:rsidTr="006F1F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55D4484" w14:textId="648E6B43" w:rsidR="006F1F0B" w:rsidRPr="00130A6A" w:rsidRDefault="006F1F0B" w:rsidP="006F1F0B">
            <w:pPr>
              <w:pStyle w:val="BodyText"/>
              <w:spacing w:after="0"/>
              <w:jc w:val="both"/>
              <w:rPr>
                <w:rFonts w:cstheme="minorHAnsi"/>
                <w:sz w:val="14"/>
                <w:szCs w:val="14"/>
              </w:rPr>
            </w:pPr>
            <w:r w:rsidRPr="00130A6A">
              <w:rPr>
                <w:rFonts w:cstheme="minorHAnsi"/>
                <w:sz w:val="14"/>
                <w:szCs w:val="14"/>
              </w:rPr>
              <w:t>Garnet</w:t>
            </w:r>
          </w:p>
        </w:tc>
        <w:tc>
          <w:tcPr>
            <w:tcW w:w="0" w:type="auto"/>
            <w:vAlign w:val="center"/>
          </w:tcPr>
          <w:p w14:paraId="5B8E3EE3" w14:textId="618B4611" w:rsidR="006F1F0B" w:rsidRPr="00CB731D" w:rsidRDefault="006F1F0B" w:rsidP="006F1F0B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CB731D">
              <w:rPr>
                <w:rFonts w:cstheme="minorHAnsi"/>
                <w:sz w:val="14"/>
                <w:szCs w:val="14"/>
              </w:rPr>
              <w:t>Kt</w:t>
            </w:r>
          </w:p>
        </w:tc>
        <w:tc>
          <w:tcPr>
            <w:tcW w:w="799" w:type="dxa"/>
            <w:vAlign w:val="center"/>
          </w:tcPr>
          <w:p w14:paraId="609B7C61" w14:textId="4556FA96" w:rsidR="006F1F0B" w:rsidRPr="00CB731D" w:rsidRDefault="006F1F0B" w:rsidP="006F1F0B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353</w:t>
            </w:r>
          </w:p>
        </w:tc>
        <w:tc>
          <w:tcPr>
            <w:tcW w:w="839" w:type="dxa"/>
            <w:vAlign w:val="center"/>
          </w:tcPr>
          <w:p w14:paraId="4C0A2322" w14:textId="77968CEE" w:rsidR="006F1F0B" w:rsidRPr="00CB731D" w:rsidRDefault="006F1F0B" w:rsidP="006F1F0B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353</w:t>
            </w:r>
          </w:p>
        </w:tc>
        <w:tc>
          <w:tcPr>
            <w:tcW w:w="660" w:type="dxa"/>
            <w:vAlign w:val="center"/>
          </w:tcPr>
          <w:p w14:paraId="71DEC07E" w14:textId="29A0AC5A" w:rsidR="006F1F0B" w:rsidRPr="00CB731D" w:rsidRDefault="006F1F0B" w:rsidP="006F1F0B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1,200</w:t>
            </w:r>
          </w:p>
        </w:tc>
        <w:tc>
          <w:tcPr>
            <w:tcW w:w="1041" w:type="dxa"/>
            <w:vAlign w:val="center"/>
          </w:tcPr>
          <w:p w14:paraId="6AA2A17F" w14:textId="25DA6F21" w:rsidR="006F1F0B" w:rsidRPr="00CB731D" w:rsidRDefault="006F1F0B" w:rsidP="006F1F0B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100</w:t>
            </w:r>
          </w:p>
        </w:tc>
        <w:tc>
          <w:tcPr>
            <w:tcW w:w="1041" w:type="dxa"/>
            <w:vAlign w:val="center"/>
          </w:tcPr>
          <w:p w14:paraId="761A5BB5" w14:textId="1F99CEE3" w:rsidR="006F1F0B" w:rsidRPr="00CB731D" w:rsidRDefault="006F1F0B" w:rsidP="006F1F0B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CB731D">
              <w:rPr>
                <w:rFonts w:cstheme="minorHAnsi"/>
                <w:sz w:val="14"/>
                <w:szCs w:val="14"/>
              </w:rPr>
              <w:t>29</w:t>
            </w:r>
          </w:p>
        </w:tc>
      </w:tr>
      <w:tr w:rsidR="006F1F0B" w:rsidRPr="00AD28BB" w14:paraId="255B4123" w14:textId="77777777" w:rsidTr="006F1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95B2502" w14:textId="5DFD380D" w:rsidR="006F1F0B" w:rsidRPr="00130A6A" w:rsidRDefault="006F1F0B" w:rsidP="006F1F0B">
            <w:pPr>
              <w:pStyle w:val="BodyText"/>
              <w:spacing w:after="0"/>
              <w:jc w:val="both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LNG</w:t>
            </w:r>
          </w:p>
        </w:tc>
        <w:tc>
          <w:tcPr>
            <w:tcW w:w="0" w:type="auto"/>
            <w:vAlign w:val="center"/>
          </w:tcPr>
          <w:p w14:paraId="1C228C7F" w14:textId="370BD54A" w:rsidR="006F1F0B" w:rsidRPr="00CB731D" w:rsidRDefault="006F1F0B" w:rsidP="006F1F0B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CB731D">
              <w:rPr>
                <w:rFonts w:cstheme="minorHAnsi"/>
                <w:sz w:val="14"/>
                <w:szCs w:val="14"/>
              </w:rPr>
              <w:t>Mt</w:t>
            </w:r>
          </w:p>
        </w:tc>
        <w:tc>
          <w:tcPr>
            <w:tcW w:w="799" w:type="dxa"/>
            <w:vAlign w:val="center"/>
          </w:tcPr>
          <w:p w14:paraId="30F59A2B" w14:textId="34D817F2" w:rsidR="006F1F0B" w:rsidRPr="00CB731D" w:rsidRDefault="006F1F0B" w:rsidP="006F1F0B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44</w:t>
            </w:r>
          </w:p>
        </w:tc>
        <w:tc>
          <w:tcPr>
            <w:tcW w:w="839" w:type="dxa"/>
            <w:vAlign w:val="center"/>
          </w:tcPr>
          <w:p w14:paraId="698D94BC" w14:textId="65A98982" w:rsidR="006F1F0B" w:rsidRPr="00CB731D" w:rsidRDefault="006F1F0B" w:rsidP="006F1F0B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75</w:t>
            </w:r>
          </w:p>
        </w:tc>
        <w:tc>
          <w:tcPr>
            <w:tcW w:w="660" w:type="dxa"/>
            <w:vAlign w:val="center"/>
          </w:tcPr>
          <w:p w14:paraId="4D9DDC76" w14:textId="1400CA72" w:rsidR="006F1F0B" w:rsidRPr="00CB731D" w:rsidRDefault="006F1F0B" w:rsidP="006F1F0B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348</w:t>
            </w:r>
          </w:p>
        </w:tc>
        <w:tc>
          <w:tcPr>
            <w:tcW w:w="1041" w:type="dxa"/>
            <w:vAlign w:val="center"/>
          </w:tcPr>
          <w:p w14:paraId="1BD9E190" w14:textId="47E60128" w:rsidR="006F1F0B" w:rsidRPr="00CB731D" w:rsidRDefault="006F1F0B" w:rsidP="006F1F0B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59</w:t>
            </w:r>
          </w:p>
        </w:tc>
        <w:tc>
          <w:tcPr>
            <w:tcW w:w="1041" w:type="dxa"/>
            <w:vAlign w:val="center"/>
          </w:tcPr>
          <w:p w14:paraId="38A7B995" w14:textId="7C1A6677" w:rsidR="006F1F0B" w:rsidRPr="00CB731D" w:rsidRDefault="006F1F0B" w:rsidP="006F1F0B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CB731D">
              <w:rPr>
                <w:rFonts w:cstheme="minorHAnsi"/>
                <w:sz w:val="14"/>
                <w:szCs w:val="14"/>
              </w:rPr>
              <w:t>13</w:t>
            </w:r>
          </w:p>
        </w:tc>
      </w:tr>
      <w:tr w:rsidR="006F1F0B" w:rsidRPr="00AD28BB" w14:paraId="7B28EB70" w14:textId="77777777" w:rsidTr="006F1F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8DEAE70" w14:textId="131AEAC4" w:rsidR="006F1F0B" w:rsidRPr="00130A6A" w:rsidRDefault="006F1F0B" w:rsidP="006F1F0B">
            <w:pPr>
              <w:pStyle w:val="BodyText"/>
              <w:spacing w:after="0"/>
              <w:jc w:val="both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Rare earths</w:t>
            </w:r>
          </w:p>
        </w:tc>
        <w:tc>
          <w:tcPr>
            <w:tcW w:w="0" w:type="auto"/>
            <w:vAlign w:val="center"/>
          </w:tcPr>
          <w:p w14:paraId="3AD49215" w14:textId="5C024CED" w:rsidR="006F1F0B" w:rsidRPr="00CB731D" w:rsidRDefault="006F1F0B" w:rsidP="006F1F0B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CB731D">
              <w:rPr>
                <w:rFonts w:cstheme="minorHAnsi"/>
                <w:sz w:val="14"/>
                <w:szCs w:val="14"/>
              </w:rPr>
              <w:t>Kt</w:t>
            </w:r>
          </w:p>
        </w:tc>
        <w:tc>
          <w:tcPr>
            <w:tcW w:w="799" w:type="dxa"/>
            <w:vAlign w:val="center"/>
          </w:tcPr>
          <w:p w14:paraId="73B7387B" w14:textId="611B7561" w:rsidR="006F1F0B" w:rsidRPr="00CB731D" w:rsidRDefault="006F1F0B" w:rsidP="006F1F0B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26</w:t>
            </w:r>
          </w:p>
        </w:tc>
        <w:tc>
          <w:tcPr>
            <w:tcW w:w="839" w:type="dxa"/>
            <w:vAlign w:val="center"/>
          </w:tcPr>
          <w:p w14:paraId="65CE29E8" w14:textId="340D3497" w:rsidR="006F1F0B" w:rsidRPr="00CB731D" w:rsidRDefault="006F1F0B" w:rsidP="006F1F0B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26</w:t>
            </w:r>
          </w:p>
        </w:tc>
        <w:tc>
          <w:tcPr>
            <w:tcW w:w="660" w:type="dxa"/>
            <w:vAlign w:val="center"/>
          </w:tcPr>
          <w:p w14:paraId="1C37C7AA" w14:textId="7D633168" w:rsidR="006F1F0B" w:rsidRPr="00CB731D" w:rsidRDefault="006F1F0B" w:rsidP="006F1F0B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210</w:t>
            </w:r>
          </w:p>
        </w:tc>
        <w:tc>
          <w:tcPr>
            <w:tcW w:w="1041" w:type="dxa"/>
            <w:vAlign w:val="center"/>
          </w:tcPr>
          <w:p w14:paraId="26C77A81" w14:textId="5DC72FE6" w:rsidR="006F1F0B" w:rsidRPr="00CB731D" w:rsidRDefault="006F1F0B" w:rsidP="006F1F0B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100</w:t>
            </w:r>
          </w:p>
        </w:tc>
        <w:tc>
          <w:tcPr>
            <w:tcW w:w="1041" w:type="dxa"/>
            <w:vAlign w:val="center"/>
          </w:tcPr>
          <w:p w14:paraId="51D6C68B" w14:textId="10AF0E62" w:rsidR="006F1F0B" w:rsidRPr="00CB731D" w:rsidRDefault="006F1F0B" w:rsidP="006F1F0B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CB731D">
              <w:rPr>
                <w:rFonts w:cstheme="minorHAnsi"/>
                <w:sz w:val="14"/>
                <w:szCs w:val="14"/>
              </w:rPr>
              <w:t>12</w:t>
            </w:r>
          </w:p>
        </w:tc>
      </w:tr>
      <w:tr w:rsidR="006F1F0B" w:rsidRPr="00AD28BB" w14:paraId="1565D6F4" w14:textId="77777777" w:rsidTr="006F1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BDD30A7" w14:textId="0A1A8BB1" w:rsidR="006F1F0B" w:rsidRPr="00130A6A" w:rsidRDefault="006F1F0B" w:rsidP="006F1F0B">
            <w:pPr>
              <w:pStyle w:val="BodyText"/>
              <w:spacing w:after="0"/>
              <w:jc w:val="both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Zircon</w:t>
            </w:r>
          </w:p>
        </w:tc>
        <w:tc>
          <w:tcPr>
            <w:tcW w:w="0" w:type="auto"/>
            <w:vAlign w:val="center"/>
          </w:tcPr>
          <w:p w14:paraId="5ED50E20" w14:textId="5F4E0027" w:rsidR="006F1F0B" w:rsidRPr="00CB731D" w:rsidRDefault="006F1F0B" w:rsidP="006F1F0B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CB731D">
              <w:rPr>
                <w:rFonts w:cstheme="minorHAnsi"/>
                <w:sz w:val="14"/>
                <w:szCs w:val="14"/>
              </w:rPr>
              <w:t>Kt</w:t>
            </w:r>
          </w:p>
        </w:tc>
        <w:tc>
          <w:tcPr>
            <w:tcW w:w="799" w:type="dxa"/>
            <w:vAlign w:val="center"/>
          </w:tcPr>
          <w:p w14:paraId="0706E574" w14:textId="7572FB9A" w:rsidR="006F1F0B" w:rsidRPr="00CB731D" w:rsidRDefault="006F1F0B" w:rsidP="006F1F0B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171</w:t>
            </w:r>
          </w:p>
        </w:tc>
        <w:tc>
          <w:tcPr>
            <w:tcW w:w="839" w:type="dxa"/>
            <w:vAlign w:val="center"/>
          </w:tcPr>
          <w:p w14:paraId="4911759F" w14:textId="79A76210" w:rsidR="006F1F0B" w:rsidRPr="00CB731D" w:rsidRDefault="006F1F0B" w:rsidP="006F1F0B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550</w:t>
            </w:r>
          </w:p>
        </w:tc>
        <w:tc>
          <w:tcPr>
            <w:tcW w:w="660" w:type="dxa"/>
            <w:vAlign w:val="center"/>
          </w:tcPr>
          <w:p w14:paraId="721EBE8B" w14:textId="616B533F" w:rsidR="006F1F0B" w:rsidRPr="00CB731D" w:rsidRDefault="006F1F0B" w:rsidP="006F1F0B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1,400</w:t>
            </w:r>
          </w:p>
        </w:tc>
        <w:tc>
          <w:tcPr>
            <w:tcW w:w="1041" w:type="dxa"/>
            <w:vAlign w:val="center"/>
          </w:tcPr>
          <w:p w14:paraId="75FC3D7F" w14:textId="3D8578A0" w:rsidR="006F1F0B" w:rsidRPr="00CB731D" w:rsidRDefault="006F1F0B" w:rsidP="006F1F0B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31</w:t>
            </w:r>
          </w:p>
        </w:tc>
        <w:tc>
          <w:tcPr>
            <w:tcW w:w="1041" w:type="dxa"/>
            <w:vAlign w:val="center"/>
          </w:tcPr>
          <w:p w14:paraId="1FA0785F" w14:textId="4DB3637B" w:rsidR="006F1F0B" w:rsidRPr="00CB731D" w:rsidRDefault="006F1F0B" w:rsidP="006F1F0B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CB731D">
              <w:rPr>
                <w:rFonts w:cstheme="minorHAnsi"/>
                <w:sz w:val="14"/>
                <w:szCs w:val="14"/>
              </w:rPr>
              <w:t>12</w:t>
            </w:r>
          </w:p>
        </w:tc>
      </w:tr>
      <w:tr w:rsidR="006F1F0B" w:rsidRPr="00AD28BB" w14:paraId="3DBE3605" w14:textId="77777777" w:rsidTr="006F1F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EF41A04" w14:textId="73E10A8D" w:rsidR="006F1F0B" w:rsidRPr="00130A6A" w:rsidRDefault="006F1F0B" w:rsidP="006F1F0B">
            <w:pPr>
              <w:pStyle w:val="BodyText"/>
              <w:spacing w:after="0"/>
              <w:jc w:val="both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Diamonds</w:t>
            </w:r>
          </w:p>
        </w:tc>
        <w:tc>
          <w:tcPr>
            <w:tcW w:w="0" w:type="auto"/>
            <w:vAlign w:val="center"/>
          </w:tcPr>
          <w:p w14:paraId="44CE316F" w14:textId="4E68D320" w:rsidR="006F1F0B" w:rsidRPr="00CB731D" w:rsidRDefault="006F1F0B" w:rsidP="006F1F0B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CB731D">
              <w:rPr>
                <w:rFonts w:cstheme="minorHAnsi"/>
                <w:sz w:val="14"/>
                <w:szCs w:val="14"/>
              </w:rPr>
              <w:t>Mc</w:t>
            </w:r>
            <w:r>
              <w:rPr>
                <w:rFonts w:cstheme="minorHAnsi"/>
                <w:sz w:val="14"/>
                <w:szCs w:val="14"/>
              </w:rPr>
              <w:t>t</w:t>
            </w:r>
          </w:p>
        </w:tc>
        <w:tc>
          <w:tcPr>
            <w:tcW w:w="799" w:type="dxa"/>
            <w:vAlign w:val="center"/>
          </w:tcPr>
          <w:p w14:paraId="647F77FD" w14:textId="572B3C54" w:rsidR="006F1F0B" w:rsidRPr="00CB731D" w:rsidRDefault="006F1F0B" w:rsidP="006F1F0B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16</w:t>
            </w:r>
          </w:p>
        </w:tc>
        <w:tc>
          <w:tcPr>
            <w:tcW w:w="839" w:type="dxa"/>
            <w:vAlign w:val="center"/>
          </w:tcPr>
          <w:p w14:paraId="7509E953" w14:textId="2569FE85" w:rsidR="006F1F0B" w:rsidRPr="00CB731D" w:rsidRDefault="006F1F0B" w:rsidP="006F1F0B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16</w:t>
            </w:r>
          </w:p>
        </w:tc>
        <w:tc>
          <w:tcPr>
            <w:tcW w:w="660" w:type="dxa"/>
            <w:vAlign w:val="center"/>
          </w:tcPr>
          <w:p w14:paraId="07E312EB" w14:textId="6D658A73" w:rsidR="006F1F0B" w:rsidRPr="00CB731D" w:rsidRDefault="006F1F0B" w:rsidP="006F1F0B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147</w:t>
            </w:r>
          </w:p>
        </w:tc>
        <w:tc>
          <w:tcPr>
            <w:tcW w:w="1041" w:type="dxa"/>
            <w:vAlign w:val="center"/>
          </w:tcPr>
          <w:p w14:paraId="1555301D" w14:textId="44716572" w:rsidR="006F1F0B" w:rsidRPr="00CB731D" w:rsidRDefault="006F1F0B" w:rsidP="006F1F0B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100</w:t>
            </w:r>
          </w:p>
        </w:tc>
        <w:tc>
          <w:tcPr>
            <w:tcW w:w="1041" w:type="dxa"/>
            <w:vAlign w:val="center"/>
          </w:tcPr>
          <w:p w14:paraId="75970150" w14:textId="68D02CD7" w:rsidR="006F1F0B" w:rsidRPr="00CB731D" w:rsidRDefault="006F1F0B" w:rsidP="006F1F0B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CB731D">
              <w:rPr>
                <w:rFonts w:cstheme="minorHAnsi"/>
                <w:sz w:val="14"/>
                <w:szCs w:val="14"/>
              </w:rPr>
              <w:t>11</w:t>
            </w:r>
          </w:p>
        </w:tc>
      </w:tr>
      <w:tr w:rsidR="006F1F0B" w:rsidRPr="00AD28BB" w14:paraId="22F04901" w14:textId="77777777" w:rsidTr="006F1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52B309D" w14:textId="3301BB99" w:rsidR="006F1F0B" w:rsidRPr="00130A6A" w:rsidRDefault="006F1F0B" w:rsidP="006F1F0B">
            <w:pPr>
              <w:pStyle w:val="BodyText"/>
              <w:spacing w:after="0"/>
              <w:jc w:val="both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Alumina</w:t>
            </w:r>
          </w:p>
        </w:tc>
        <w:tc>
          <w:tcPr>
            <w:tcW w:w="0" w:type="auto"/>
            <w:vAlign w:val="center"/>
          </w:tcPr>
          <w:p w14:paraId="2282361B" w14:textId="26784F3D" w:rsidR="006F1F0B" w:rsidRPr="00CB731D" w:rsidRDefault="006F1F0B" w:rsidP="006F1F0B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CB731D">
              <w:rPr>
                <w:rFonts w:cstheme="minorHAnsi"/>
                <w:sz w:val="14"/>
                <w:szCs w:val="14"/>
              </w:rPr>
              <w:t>Mt</w:t>
            </w:r>
          </w:p>
        </w:tc>
        <w:tc>
          <w:tcPr>
            <w:tcW w:w="799" w:type="dxa"/>
            <w:vAlign w:val="center"/>
          </w:tcPr>
          <w:p w14:paraId="543C1DBC" w14:textId="30B6463F" w:rsidR="006F1F0B" w:rsidRPr="00CB731D" w:rsidRDefault="006F1F0B" w:rsidP="006F1F0B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14</w:t>
            </w:r>
          </w:p>
        </w:tc>
        <w:tc>
          <w:tcPr>
            <w:tcW w:w="839" w:type="dxa"/>
            <w:vAlign w:val="center"/>
          </w:tcPr>
          <w:p w14:paraId="432D3F31" w14:textId="6E55EDC9" w:rsidR="006F1F0B" w:rsidRPr="00CB731D" w:rsidRDefault="006F1F0B" w:rsidP="006F1F0B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20</w:t>
            </w:r>
          </w:p>
        </w:tc>
        <w:tc>
          <w:tcPr>
            <w:tcW w:w="660" w:type="dxa"/>
            <w:vAlign w:val="center"/>
          </w:tcPr>
          <w:p w14:paraId="59F330E0" w14:textId="6B7D5390" w:rsidR="006F1F0B" w:rsidRPr="00CB731D" w:rsidRDefault="006F1F0B" w:rsidP="006F1F0B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132</w:t>
            </w:r>
          </w:p>
        </w:tc>
        <w:tc>
          <w:tcPr>
            <w:tcW w:w="1041" w:type="dxa"/>
            <w:vAlign w:val="center"/>
          </w:tcPr>
          <w:p w14:paraId="6FE2C805" w14:textId="4D4D9FA7" w:rsidR="006F1F0B" w:rsidRPr="00CB731D" w:rsidRDefault="006F1F0B" w:rsidP="006F1F0B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69</w:t>
            </w:r>
          </w:p>
        </w:tc>
        <w:tc>
          <w:tcPr>
            <w:tcW w:w="1041" w:type="dxa"/>
            <w:vAlign w:val="center"/>
          </w:tcPr>
          <w:p w14:paraId="24F4C5DD" w14:textId="0023939E" w:rsidR="006F1F0B" w:rsidRPr="00CB731D" w:rsidRDefault="006F1F0B" w:rsidP="006F1F0B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CB731D">
              <w:rPr>
                <w:rFonts w:cstheme="minorHAnsi"/>
                <w:sz w:val="14"/>
                <w:szCs w:val="14"/>
              </w:rPr>
              <w:t>11</w:t>
            </w:r>
          </w:p>
        </w:tc>
      </w:tr>
      <w:tr w:rsidR="006F1F0B" w:rsidRPr="00AD28BB" w14:paraId="7C8DF107" w14:textId="77777777" w:rsidTr="006F1F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72D814E" w14:textId="623A5949" w:rsidR="006F1F0B" w:rsidRPr="00130A6A" w:rsidRDefault="006F1F0B" w:rsidP="006F1F0B">
            <w:pPr>
              <w:pStyle w:val="BodyText"/>
              <w:spacing w:after="0"/>
              <w:jc w:val="both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Gold</w:t>
            </w:r>
          </w:p>
        </w:tc>
        <w:tc>
          <w:tcPr>
            <w:tcW w:w="0" w:type="auto"/>
            <w:vAlign w:val="center"/>
          </w:tcPr>
          <w:p w14:paraId="74EB99C9" w14:textId="70849E1D" w:rsidR="006F1F0B" w:rsidRPr="00CB731D" w:rsidRDefault="006F1F0B" w:rsidP="006F1F0B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CB731D">
              <w:rPr>
                <w:rFonts w:cstheme="minorHAnsi"/>
                <w:sz w:val="14"/>
                <w:szCs w:val="14"/>
              </w:rPr>
              <w:t>t</w:t>
            </w:r>
          </w:p>
        </w:tc>
        <w:tc>
          <w:tcPr>
            <w:tcW w:w="799" w:type="dxa"/>
            <w:vAlign w:val="center"/>
          </w:tcPr>
          <w:p w14:paraId="3B52F707" w14:textId="5BB1AFA8" w:rsidR="006F1F0B" w:rsidRPr="00CB731D" w:rsidRDefault="006F1F0B" w:rsidP="006F1F0B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219</w:t>
            </w:r>
          </w:p>
        </w:tc>
        <w:tc>
          <w:tcPr>
            <w:tcW w:w="839" w:type="dxa"/>
            <w:vAlign w:val="center"/>
          </w:tcPr>
          <w:p w14:paraId="152CE763" w14:textId="71901E12" w:rsidR="006F1F0B" w:rsidRPr="00CB731D" w:rsidRDefault="006F1F0B" w:rsidP="006F1F0B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324</w:t>
            </w:r>
          </w:p>
        </w:tc>
        <w:tc>
          <w:tcPr>
            <w:tcW w:w="660" w:type="dxa"/>
            <w:vAlign w:val="center"/>
          </w:tcPr>
          <w:p w14:paraId="5C7ED8C2" w14:textId="41FBA9D5" w:rsidR="006F1F0B" w:rsidRPr="00CB731D" w:rsidRDefault="006F1F0B" w:rsidP="006F1F0B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3,464</w:t>
            </w:r>
          </w:p>
        </w:tc>
        <w:tc>
          <w:tcPr>
            <w:tcW w:w="1041" w:type="dxa"/>
            <w:vAlign w:val="center"/>
          </w:tcPr>
          <w:p w14:paraId="7920BDEA" w14:textId="35F2B052" w:rsidR="006F1F0B" w:rsidRPr="00CB731D" w:rsidRDefault="006F1F0B" w:rsidP="006F1F0B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67</w:t>
            </w:r>
          </w:p>
        </w:tc>
        <w:tc>
          <w:tcPr>
            <w:tcW w:w="1041" w:type="dxa"/>
            <w:vAlign w:val="center"/>
          </w:tcPr>
          <w:p w14:paraId="27C6744A" w14:textId="6A206DCA" w:rsidR="006F1F0B" w:rsidRPr="00CB731D" w:rsidRDefault="006F1F0B" w:rsidP="006F1F0B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CB731D">
              <w:rPr>
                <w:rFonts w:cstheme="minorHAnsi"/>
                <w:sz w:val="14"/>
                <w:szCs w:val="14"/>
              </w:rPr>
              <w:t>6</w:t>
            </w:r>
          </w:p>
        </w:tc>
      </w:tr>
      <w:tr w:rsidR="006F1F0B" w:rsidRPr="00AD28BB" w14:paraId="10E0BDBE" w14:textId="77777777" w:rsidTr="006F1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C648C7B" w14:textId="4EAB106C" w:rsidR="006F1F0B" w:rsidRPr="00130A6A" w:rsidRDefault="006F1F0B" w:rsidP="006F1F0B">
            <w:pPr>
              <w:pStyle w:val="BodyText"/>
              <w:spacing w:after="0"/>
              <w:jc w:val="both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Nickel ore</w:t>
            </w:r>
          </w:p>
        </w:tc>
        <w:tc>
          <w:tcPr>
            <w:tcW w:w="0" w:type="auto"/>
            <w:vAlign w:val="center"/>
          </w:tcPr>
          <w:p w14:paraId="4404C38F" w14:textId="2AB2BF43" w:rsidR="006F1F0B" w:rsidRPr="00CB731D" w:rsidRDefault="006F1F0B" w:rsidP="006F1F0B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CB731D">
              <w:rPr>
                <w:rFonts w:cstheme="minorHAnsi"/>
                <w:sz w:val="14"/>
                <w:szCs w:val="14"/>
              </w:rPr>
              <w:t>Kt</w:t>
            </w:r>
          </w:p>
        </w:tc>
        <w:tc>
          <w:tcPr>
            <w:tcW w:w="799" w:type="dxa"/>
            <w:vAlign w:val="center"/>
          </w:tcPr>
          <w:p w14:paraId="1D9CD4D6" w14:textId="4AACB8E4" w:rsidR="006F1F0B" w:rsidRPr="00CB731D" w:rsidRDefault="006F1F0B" w:rsidP="006F1F0B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154</w:t>
            </w:r>
          </w:p>
        </w:tc>
        <w:tc>
          <w:tcPr>
            <w:tcW w:w="839" w:type="dxa"/>
            <w:vAlign w:val="center"/>
          </w:tcPr>
          <w:p w14:paraId="2A5AC38F" w14:textId="40DE81AA" w:rsidR="006F1F0B" w:rsidRPr="00CB731D" w:rsidRDefault="006F1F0B" w:rsidP="006F1F0B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154</w:t>
            </w:r>
          </w:p>
        </w:tc>
        <w:tc>
          <w:tcPr>
            <w:tcW w:w="660" w:type="dxa"/>
            <w:vAlign w:val="center"/>
          </w:tcPr>
          <w:p w14:paraId="225F4716" w14:textId="6EAF2738" w:rsidR="006F1F0B" w:rsidRPr="00CB731D" w:rsidRDefault="006F1F0B" w:rsidP="006F1F0B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2,700</w:t>
            </w:r>
          </w:p>
        </w:tc>
        <w:tc>
          <w:tcPr>
            <w:tcW w:w="1041" w:type="dxa"/>
            <w:vAlign w:val="center"/>
          </w:tcPr>
          <w:p w14:paraId="64F5B677" w14:textId="3A630DC9" w:rsidR="006F1F0B" w:rsidRPr="00CB731D" w:rsidRDefault="006F1F0B" w:rsidP="006F1F0B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100</w:t>
            </w:r>
          </w:p>
        </w:tc>
        <w:tc>
          <w:tcPr>
            <w:tcW w:w="1041" w:type="dxa"/>
            <w:vAlign w:val="center"/>
          </w:tcPr>
          <w:p w14:paraId="686E3D19" w14:textId="7822AA8C" w:rsidR="006F1F0B" w:rsidRPr="00CB731D" w:rsidRDefault="006F1F0B" w:rsidP="006F1F0B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CB731D">
              <w:rPr>
                <w:rFonts w:cstheme="minorHAnsi"/>
                <w:sz w:val="14"/>
                <w:szCs w:val="14"/>
              </w:rPr>
              <w:t>6</w:t>
            </w:r>
          </w:p>
        </w:tc>
      </w:tr>
      <w:tr w:rsidR="006F1F0B" w:rsidRPr="00AD28BB" w14:paraId="0D03C000" w14:textId="77777777" w:rsidTr="006F1F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8DBEEE7" w14:textId="14464897" w:rsidR="006F1F0B" w:rsidRPr="00130A6A" w:rsidRDefault="006F1F0B" w:rsidP="006F1F0B">
            <w:pPr>
              <w:pStyle w:val="BodyText"/>
              <w:spacing w:after="0"/>
              <w:jc w:val="both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Illmenite</w:t>
            </w:r>
            <w:r w:rsidRPr="00EB3453">
              <w:rPr>
                <w:rFonts w:cstheme="minorHAnsi"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0" w:type="auto"/>
            <w:vAlign w:val="center"/>
          </w:tcPr>
          <w:p w14:paraId="746A2DBC" w14:textId="26604994" w:rsidR="006F1F0B" w:rsidRPr="00CB731D" w:rsidRDefault="006F1F0B" w:rsidP="006F1F0B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CB731D">
              <w:rPr>
                <w:rFonts w:cstheme="minorHAnsi"/>
                <w:sz w:val="14"/>
                <w:szCs w:val="14"/>
              </w:rPr>
              <w:t>Kt</w:t>
            </w:r>
          </w:p>
        </w:tc>
        <w:tc>
          <w:tcPr>
            <w:tcW w:w="799" w:type="dxa"/>
            <w:vAlign w:val="center"/>
          </w:tcPr>
          <w:p w14:paraId="5517B130" w14:textId="5F3DDC24" w:rsidR="006F1F0B" w:rsidRPr="00CB731D" w:rsidRDefault="006F1F0B" w:rsidP="006F1F0B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359</w:t>
            </w:r>
          </w:p>
        </w:tc>
        <w:tc>
          <w:tcPr>
            <w:tcW w:w="839" w:type="dxa"/>
            <w:vAlign w:val="center"/>
          </w:tcPr>
          <w:p w14:paraId="4D857B81" w14:textId="33212A9B" w:rsidR="006F1F0B" w:rsidRPr="00CB731D" w:rsidRDefault="006F1F0B" w:rsidP="006F1F0B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660</w:t>
            </w:r>
          </w:p>
        </w:tc>
        <w:tc>
          <w:tcPr>
            <w:tcW w:w="660" w:type="dxa"/>
            <w:vAlign w:val="center"/>
          </w:tcPr>
          <w:p w14:paraId="213DDE83" w14:textId="50807D30" w:rsidR="006F1F0B" w:rsidRPr="00CB731D" w:rsidRDefault="006F1F0B" w:rsidP="006F1F0B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7,000</w:t>
            </w:r>
          </w:p>
        </w:tc>
        <w:tc>
          <w:tcPr>
            <w:tcW w:w="1041" w:type="dxa"/>
            <w:vAlign w:val="center"/>
          </w:tcPr>
          <w:p w14:paraId="7E1947ED" w14:textId="0514A340" w:rsidR="006F1F0B" w:rsidRPr="00CB731D" w:rsidRDefault="006F1F0B" w:rsidP="006F1F0B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54</w:t>
            </w:r>
          </w:p>
        </w:tc>
        <w:tc>
          <w:tcPr>
            <w:tcW w:w="1041" w:type="dxa"/>
            <w:vAlign w:val="center"/>
          </w:tcPr>
          <w:p w14:paraId="4868D555" w14:textId="4165EBF1" w:rsidR="006F1F0B" w:rsidRPr="00CB731D" w:rsidRDefault="006F1F0B" w:rsidP="006F1F0B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CB731D">
              <w:rPr>
                <w:rFonts w:cstheme="minorHAnsi"/>
                <w:sz w:val="14"/>
                <w:szCs w:val="14"/>
              </w:rPr>
              <w:t>5</w:t>
            </w:r>
          </w:p>
        </w:tc>
      </w:tr>
      <w:tr w:rsidR="006F1F0B" w:rsidRPr="00AD28BB" w14:paraId="1B2E36F0" w14:textId="77777777" w:rsidTr="006F1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06B9A7A" w14:textId="13FC1225" w:rsidR="006F1F0B" w:rsidRDefault="006F1F0B" w:rsidP="006F1F0B">
            <w:pPr>
              <w:pStyle w:val="BodyText"/>
              <w:spacing w:after="0"/>
              <w:jc w:val="both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Cobalt</w:t>
            </w:r>
          </w:p>
        </w:tc>
        <w:tc>
          <w:tcPr>
            <w:tcW w:w="0" w:type="auto"/>
            <w:vAlign w:val="center"/>
          </w:tcPr>
          <w:p w14:paraId="72503B63" w14:textId="56F37D3E" w:rsidR="006F1F0B" w:rsidRPr="00CB731D" w:rsidRDefault="006F1F0B" w:rsidP="006F1F0B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CB731D">
              <w:rPr>
                <w:rFonts w:cstheme="minorHAnsi"/>
                <w:sz w:val="14"/>
                <w:szCs w:val="14"/>
              </w:rPr>
              <w:t>Kt</w:t>
            </w:r>
          </w:p>
        </w:tc>
        <w:tc>
          <w:tcPr>
            <w:tcW w:w="799" w:type="dxa"/>
            <w:vAlign w:val="center"/>
          </w:tcPr>
          <w:p w14:paraId="4645B91B" w14:textId="63333EB2" w:rsidR="006F1F0B" w:rsidRPr="00CB731D" w:rsidRDefault="006F1F0B" w:rsidP="006F1F0B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6</w:t>
            </w:r>
          </w:p>
        </w:tc>
        <w:tc>
          <w:tcPr>
            <w:tcW w:w="839" w:type="dxa"/>
            <w:vAlign w:val="center"/>
          </w:tcPr>
          <w:p w14:paraId="699427B8" w14:textId="1A6C399A" w:rsidR="006F1F0B" w:rsidRPr="00CB731D" w:rsidRDefault="006F1F0B" w:rsidP="006F1F0B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6</w:t>
            </w:r>
          </w:p>
        </w:tc>
        <w:tc>
          <w:tcPr>
            <w:tcW w:w="660" w:type="dxa"/>
            <w:vAlign w:val="center"/>
          </w:tcPr>
          <w:p w14:paraId="2DB70C63" w14:textId="6C4F7F5D" w:rsidR="006F1F0B" w:rsidRPr="00CB731D" w:rsidRDefault="006F1F0B" w:rsidP="006F1F0B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140</w:t>
            </w:r>
          </w:p>
        </w:tc>
        <w:tc>
          <w:tcPr>
            <w:tcW w:w="1041" w:type="dxa"/>
            <w:vAlign w:val="center"/>
          </w:tcPr>
          <w:p w14:paraId="52076091" w14:textId="03C78FD1" w:rsidR="006F1F0B" w:rsidRPr="00CB731D" w:rsidRDefault="006F1F0B" w:rsidP="006F1F0B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100</w:t>
            </w:r>
          </w:p>
        </w:tc>
        <w:tc>
          <w:tcPr>
            <w:tcW w:w="1041" w:type="dxa"/>
            <w:vAlign w:val="center"/>
          </w:tcPr>
          <w:p w14:paraId="3B11E362" w14:textId="2AE944F6" w:rsidR="006F1F0B" w:rsidRPr="00CB731D" w:rsidRDefault="006F1F0B" w:rsidP="006F1F0B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CB731D">
              <w:rPr>
                <w:rFonts w:cstheme="minorHAnsi"/>
                <w:sz w:val="14"/>
                <w:szCs w:val="14"/>
              </w:rPr>
              <w:t>4</w:t>
            </w:r>
          </w:p>
        </w:tc>
      </w:tr>
      <w:tr w:rsidR="006F1F0B" w:rsidRPr="00AD28BB" w14:paraId="6C833506" w14:textId="77777777" w:rsidTr="006F1F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D9889D5" w14:textId="55A753F9" w:rsidR="006F1F0B" w:rsidRDefault="006F1F0B" w:rsidP="006F1F0B">
            <w:pPr>
              <w:pStyle w:val="BodyText"/>
              <w:spacing w:after="0"/>
              <w:jc w:val="both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Salt</w:t>
            </w:r>
          </w:p>
        </w:tc>
        <w:tc>
          <w:tcPr>
            <w:tcW w:w="0" w:type="auto"/>
            <w:vAlign w:val="center"/>
          </w:tcPr>
          <w:p w14:paraId="147C173C" w14:textId="5618A27E" w:rsidR="006F1F0B" w:rsidRPr="00CB731D" w:rsidRDefault="006F1F0B" w:rsidP="006F1F0B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CB731D">
              <w:rPr>
                <w:rFonts w:cstheme="minorHAnsi"/>
                <w:sz w:val="14"/>
                <w:szCs w:val="14"/>
              </w:rPr>
              <w:t>Mt</w:t>
            </w:r>
          </w:p>
        </w:tc>
        <w:tc>
          <w:tcPr>
            <w:tcW w:w="799" w:type="dxa"/>
            <w:vAlign w:val="center"/>
          </w:tcPr>
          <w:p w14:paraId="1DA03ABE" w14:textId="3FF928E7" w:rsidR="006F1F0B" w:rsidRPr="00CB731D" w:rsidRDefault="006F1F0B" w:rsidP="006F1F0B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11</w:t>
            </w:r>
          </w:p>
        </w:tc>
        <w:tc>
          <w:tcPr>
            <w:tcW w:w="839" w:type="dxa"/>
            <w:vAlign w:val="center"/>
          </w:tcPr>
          <w:p w14:paraId="59CD914B" w14:textId="44EA92C0" w:rsidR="006F1F0B" w:rsidRPr="00CB731D" w:rsidRDefault="006F1F0B" w:rsidP="006F1F0B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</w:t>
            </w:r>
          </w:p>
        </w:tc>
        <w:tc>
          <w:tcPr>
            <w:tcW w:w="660" w:type="dxa"/>
            <w:vAlign w:val="center"/>
          </w:tcPr>
          <w:p w14:paraId="0CEE0DD4" w14:textId="40D60653" w:rsidR="006F1F0B" w:rsidRPr="00CB731D" w:rsidRDefault="006F1F0B" w:rsidP="006F1F0B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293</w:t>
            </w:r>
          </w:p>
        </w:tc>
        <w:tc>
          <w:tcPr>
            <w:tcW w:w="1041" w:type="dxa"/>
            <w:vAlign w:val="center"/>
          </w:tcPr>
          <w:p w14:paraId="124A1E04" w14:textId="19E4F5EE" w:rsidR="006F1F0B" w:rsidRPr="00CB731D" w:rsidRDefault="006F1F0B" w:rsidP="006F1F0B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88</w:t>
            </w:r>
          </w:p>
        </w:tc>
        <w:tc>
          <w:tcPr>
            <w:tcW w:w="1041" w:type="dxa"/>
            <w:vAlign w:val="center"/>
          </w:tcPr>
          <w:p w14:paraId="4FEC8127" w14:textId="0010744B" w:rsidR="006F1F0B" w:rsidRPr="00CB731D" w:rsidRDefault="006F1F0B" w:rsidP="006F1F0B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CB731D">
              <w:rPr>
                <w:rFonts w:cstheme="minorHAnsi"/>
                <w:sz w:val="14"/>
                <w:szCs w:val="14"/>
              </w:rPr>
              <w:t>4</w:t>
            </w:r>
          </w:p>
        </w:tc>
      </w:tr>
    </w:tbl>
    <w:p w14:paraId="7C960ADB" w14:textId="46A8607E" w:rsidR="00CE1DC1" w:rsidRDefault="00EB3453" w:rsidP="00CE1DC1">
      <w:pPr>
        <w:spacing w:after="0"/>
        <w:jc w:val="both"/>
        <w:rPr>
          <w:sz w:val="10"/>
        </w:rPr>
      </w:pPr>
      <w:r>
        <w:rPr>
          <w:sz w:val="10"/>
        </w:rPr>
        <w:t>Mt = Million tonnes. Kt = Thousand tonnes. t = tonnes. Mct = Million carats</w:t>
      </w:r>
      <w:r w:rsidR="00CE1DC1">
        <w:rPr>
          <w:sz w:val="10"/>
        </w:rPr>
        <w:t>.</w:t>
      </w:r>
      <w:r>
        <w:rPr>
          <w:sz w:val="10"/>
        </w:rPr>
        <w:t xml:space="preserve"> </w:t>
      </w:r>
      <w:r w:rsidRPr="00EB3453">
        <w:rPr>
          <w:sz w:val="10"/>
          <w:vertAlign w:val="superscript"/>
        </w:rPr>
        <w:t>1</w:t>
      </w:r>
      <w:r w:rsidRPr="00EB3453">
        <w:rPr>
          <w:sz w:val="10"/>
        </w:rPr>
        <w:t xml:space="preserve"> Excludes ilmenite feedstock for synthetic rutile production.</w:t>
      </w:r>
    </w:p>
    <w:p w14:paraId="232B7B41" w14:textId="32F8C1FE" w:rsidR="00CE1DC1" w:rsidRPr="00FE23FA" w:rsidRDefault="00CE1DC1" w:rsidP="00CE1DC1">
      <w:pPr>
        <w:spacing w:after="0"/>
        <w:jc w:val="both"/>
        <w:rPr>
          <w:sz w:val="16"/>
        </w:rPr>
      </w:pPr>
      <w:r>
        <w:rPr>
          <w:sz w:val="10"/>
        </w:rPr>
        <w:t xml:space="preserve">Source: </w:t>
      </w:r>
      <w:r w:rsidR="00EB3453">
        <w:rPr>
          <w:color w:val="000000"/>
          <w:sz w:val="10"/>
        </w:rPr>
        <w:t>WA Department of Mines, Industry Regulation and Safety, Resource Data Files (Annual)</w:t>
      </w:r>
      <w:r>
        <w:rPr>
          <w:sz w:val="10"/>
        </w:rPr>
        <w:t>.</w:t>
      </w:r>
    </w:p>
    <w:p w14:paraId="562444A7" w14:textId="77777777" w:rsidR="00CE1DC1" w:rsidRDefault="00CE1DC1" w:rsidP="00CE1DC1">
      <w:pPr>
        <w:spacing w:after="0"/>
        <w:jc w:val="both"/>
        <w:rPr>
          <w:sz w:val="16"/>
        </w:rPr>
      </w:pPr>
    </w:p>
    <w:p w14:paraId="0E61B701" w14:textId="77777777" w:rsidR="00CE1DC1" w:rsidRDefault="00CE1DC1" w:rsidP="00CE1DC1">
      <w:pPr>
        <w:spacing w:after="0"/>
        <w:jc w:val="both"/>
        <w:rPr>
          <w:sz w:val="16"/>
        </w:rPr>
      </w:pPr>
    </w:p>
    <w:p w14:paraId="55B64E8B" w14:textId="77777777" w:rsidR="00CE1DC1" w:rsidRDefault="00CE1DC1" w:rsidP="00CE1DC1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4DF018A4" w14:textId="77777777" w:rsidR="00CE1DC1" w:rsidRDefault="00CE1DC1" w:rsidP="00CE1DC1">
      <w:pPr>
        <w:spacing w:after="0"/>
        <w:jc w:val="both"/>
        <w:rPr>
          <w:sz w:val="16"/>
        </w:rPr>
      </w:pPr>
    </w:p>
    <w:p w14:paraId="0EEE25DF" w14:textId="77777777" w:rsidR="00CE1DC1" w:rsidRDefault="00CE1DC1" w:rsidP="00CE1DC1">
      <w:pPr>
        <w:spacing w:after="0"/>
        <w:jc w:val="both"/>
        <w:rPr>
          <w:sz w:val="16"/>
        </w:rPr>
      </w:pPr>
    </w:p>
    <w:p w14:paraId="612F8AC4" w14:textId="7DB5A098" w:rsidR="00CE1DC1" w:rsidRPr="00920EEA" w:rsidRDefault="00817AD8" w:rsidP="00CE1DC1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>Western Australia</w:t>
      </w:r>
      <w:r w:rsidR="009619F5">
        <w:rPr>
          <w:sz w:val="16"/>
        </w:rPr>
        <w:t xml:space="preserve"> </w:t>
      </w:r>
      <w:r w:rsidR="009619F5" w:rsidRPr="009619F5">
        <w:rPr>
          <w:sz w:val="16"/>
          <w:lang w:val="en"/>
        </w:rPr>
        <w:t xml:space="preserve">is the main exporter of minerals and petroleum in Australia </w:t>
      </w:r>
      <w:r w:rsidR="009619F5" w:rsidRPr="009619F5">
        <w:rPr>
          <w:sz w:val="16"/>
        </w:rPr>
        <w:t xml:space="preserve">and </w:t>
      </w:r>
      <w:r w:rsidR="00217984">
        <w:rPr>
          <w:sz w:val="16"/>
        </w:rPr>
        <w:t xml:space="preserve">accounts for a significant proportion of </w:t>
      </w:r>
      <w:r w:rsidR="00921EEB">
        <w:rPr>
          <w:sz w:val="16"/>
        </w:rPr>
        <w:t xml:space="preserve">the </w:t>
      </w:r>
      <w:r w:rsidR="00217984">
        <w:rPr>
          <w:sz w:val="16"/>
        </w:rPr>
        <w:t>world</w:t>
      </w:r>
      <w:r w:rsidR="00921EEB">
        <w:rPr>
          <w:sz w:val="16"/>
        </w:rPr>
        <w:t>’s</w:t>
      </w:r>
      <w:r w:rsidR="00217984">
        <w:rPr>
          <w:sz w:val="16"/>
        </w:rPr>
        <w:t xml:space="preserve"> production </w:t>
      </w:r>
      <w:r w:rsidR="00921EEB">
        <w:rPr>
          <w:sz w:val="16"/>
        </w:rPr>
        <w:t xml:space="preserve">of </w:t>
      </w:r>
      <w:r w:rsidR="00217984">
        <w:rPr>
          <w:sz w:val="16"/>
        </w:rPr>
        <w:t xml:space="preserve">a number of </w:t>
      </w:r>
      <w:r w:rsidR="009619F5" w:rsidRPr="009619F5">
        <w:rPr>
          <w:sz w:val="16"/>
          <w:lang w:val="en"/>
        </w:rPr>
        <w:t xml:space="preserve">mineral and petroleum </w:t>
      </w:r>
      <w:r w:rsidR="009619F5" w:rsidRPr="009619F5">
        <w:rPr>
          <w:sz w:val="16"/>
        </w:rPr>
        <w:t>commodities</w:t>
      </w:r>
      <w:r w:rsidR="00CE1DC1" w:rsidRPr="00920EEA">
        <w:rPr>
          <w:sz w:val="16"/>
        </w:rPr>
        <w:t>.</w:t>
      </w:r>
    </w:p>
    <w:p w14:paraId="1D0A6FE9" w14:textId="3BDEDA89" w:rsidR="00CE1DC1" w:rsidRPr="00275369" w:rsidRDefault="005E2BAE" w:rsidP="00AC05F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275369">
        <w:rPr>
          <w:sz w:val="16"/>
          <w:lang w:val="en"/>
        </w:rPr>
        <w:t>In 2019-20, Western Australia had 123 high-value, export</w:t>
      </w:r>
      <w:r w:rsidR="00921EEB">
        <w:rPr>
          <w:sz w:val="16"/>
          <w:lang w:val="en"/>
        </w:rPr>
        <w:noBreakHyphen/>
      </w:r>
      <w:r w:rsidRPr="00275369">
        <w:rPr>
          <w:sz w:val="16"/>
          <w:lang w:val="en"/>
        </w:rPr>
        <w:t xml:space="preserve">oriented mining projects and </w:t>
      </w:r>
      <w:r w:rsidRPr="00275369">
        <w:rPr>
          <w:sz w:val="16"/>
        </w:rPr>
        <w:t>13 major mineral processing operations transform</w:t>
      </w:r>
      <w:r w:rsidR="00D227B6">
        <w:rPr>
          <w:sz w:val="16"/>
        </w:rPr>
        <w:t>ing</w:t>
      </w:r>
      <w:r w:rsidRPr="00275369">
        <w:rPr>
          <w:sz w:val="16"/>
        </w:rPr>
        <w:t xml:space="preserve"> bauxite into alumina; gold ore into gold bars; nickel ore into nickel concentrate, matte, powder and briquettes; rutile into titanium dioxide pigment; zircon into fused zirconia; and silica sand into silicon metal</w:t>
      </w:r>
      <w:r w:rsidR="00CE1DC1" w:rsidRPr="00275369">
        <w:rPr>
          <w:sz w:val="16"/>
        </w:rPr>
        <w:t>.</w:t>
      </w:r>
    </w:p>
    <w:p w14:paraId="131BF468" w14:textId="20C28A42" w:rsidR="00CE1DC1" w:rsidRPr="00275369" w:rsidRDefault="00217984" w:rsidP="00AC05F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>In 2019</w:t>
      </w:r>
      <w:r>
        <w:rPr>
          <w:sz w:val="16"/>
        </w:rPr>
        <w:noBreakHyphen/>
        <w:t xml:space="preserve">20, </w:t>
      </w:r>
      <w:r w:rsidR="005E2BAE" w:rsidRPr="00275369">
        <w:rPr>
          <w:sz w:val="16"/>
        </w:rPr>
        <w:t>Western Australia</w:t>
      </w:r>
      <w:r w:rsidR="00275369" w:rsidRPr="00275369">
        <w:rPr>
          <w:sz w:val="16"/>
        </w:rPr>
        <w:t xml:space="preserve"> also had 2</w:t>
      </w:r>
      <w:r w:rsidR="005E2BAE" w:rsidRPr="00275369">
        <w:rPr>
          <w:sz w:val="16"/>
        </w:rPr>
        <w:t xml:space="preserve">2 </w:t>
      </w:r>
      <w:r w:rsidR="00275369" w:rsidRPr="00275369">
        <w:rPr>
          <w:sz w:val="16"/>
        </w:rPr>
        <w:t xml:space="preserve">petroleum </w:t>
      </w:r>
      <w:r w:rsidR="005E2BAE" w:rsidRPr="00275369">
        <w:rPr>
          <w:sz w:val="16"/>
        </w:rPr>
        <w:t>projects that produced gas</w:t>
      </w:r>
      <w:r w:rsidR="00275369" w:rsidRPr="00275369">
        <w:rPr>
          <w:sz w:val="16"/>
        </w:rPr>
        <w:t xml:space="preserve">, </w:t>
      </w:r>
      <w:r w:rsidR="005E2BAE" w:rsidRPr="00275369">
        <w:rPr>
          <w:sz w:val="16"/>
        </w:rPr>
        <w:t>condensate</w:t>
      </w:r>
      <w:r w:rsidR="00275369" w:rsidRPr="00275369">
        <w:rPr>
          <w:sz w:val="16"/>
        </w:rPr>
        <w:t xml:space="preserve"> and crude oil</w:t>
      </w:r>
      <w:r w:rsidR="005E2BAE" w:rsidRPr="00275369">
        <w:rPr>
          <w:sz w:val="16"/>
        </w:rPr>
        <w:t xml:space="preserve"> from 53 fields in onshore and offshore areas of the State. These projects had 13 processing plants, </w:t>
      </w:r>
      <w:r w:rsidR="00275369" w:rsidRPr="00275369">
        <w:rPr>
          <w:sz w:val="16"/>
        </w:rPr>
        <w:t xml:space="preserve">mainly </w:t>
      </w:r>
      <w:r w:rsidR="005E2BAE" w:rsidRPr="00275369">
        <w:rPr>
          <w:sz w:val="16"/>
        </w:rPr>
        <w:t>for LN</w:t>
      </w:r>
      <w:r w:rsidR="00275369" w:rsidRPr="00275369">
        <w:rPr>
          <w:sz w:val="16"/>
        </w:rPr>
        <w:t>G exports and domestic gas supply</w:t>
      </w:r>
      <w:r w:rsidR="00CE1DC1" w:rsidRPr="00275369">
        <w:rPr>
          <w:sz w:val="16"/>
        </w:rPr>
        <w:t>.</w:t>
      </w:r>
    </w:p>
    <w:p w14:paraId="327BF221" w14:textId="77777777" w:rsidR="00CE1DC1" w:rsidRDefault="00CE1DC1" w:rsidP="00CE1DC1">
      <w:pPr>
        <w:spacing w:after="0"/>
        <w:jc w:val="both"/>
        <w:rPr>
          <w:sz w:val="16"/>
        </w:rPr>
        <w:sectPr w:rsidR="00CE1DC1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5804A63E" w14:textId="0DEDF69E" w:rsidR="00CE1DC1" w:rsidRPr="00800813" w:rsidRDefault="005F1191" w:rsidP="00EC6333">
      <w:pPr>
        <w:pStyle w:val="BodyText"/>
        <w:spacing w:after="0"/>
        <w:rPr>
          <w:b/>
          <w:sz w:val="20"/>
        </w:rPr>
      </w:pPr>
      <w:r>
        <w:rPr>
          <w:b/>
          <w:sz w:val="20"/>
        </w:rPr>
        <w:t>Western Australia’s m</w:t>
      </w:r>
      <w:r w:rsidR="001E197F">
        <w:rPr>
          <w:b/>
          <w:sz w:val="20"/>
        </w:rPr>
        <w:t>ining industry</w:t>
      </w:r>
      <w:r w:rsidR="00CD5264">
        <w:rPr>
          <w:b/>
          <w:sz w:val="20"/>
        </w:rPr>
        <w:t>: Financial years</w:t>
      </w:r>
    </w:p>
    <w:p w14:paraId="456A7296" w14:textId="720AF7C9" w:rsidR="00CE1DC1" w:rsidRDefault="00FD68BB" w:rsidP="00CE1DC1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139E9587" wp14:editId="2396FA3F">
            <wp:extent cx="3424555" cy="2052955"/>
            <wp:effectExtent l="0" t="0" r="4445" b="444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4555" cy="205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0AB4A" w14:textId="24CEEE45" w:rsidR="001E197F" w:rsidRDefault="001E197F" w:rsidP="001E197F">
      <w:pPr>
        <w:spacing w:after="0"/>
        <w:jc w:val="both"/>
        <w:rPr>
          <w:sz w:val="10"/>
        </w:rPr>
      </w:pPr>
      <w:r w:rsidRPr="001E197F">
        <w:rPr>
          <w:sz w:val="10"/>
        </w:rPr>
        <w:t>(a)</w:t>
      </w:r>
      <w:r>
        <w:rPr>
          <w:sz w:val="10"/>
          <w:vertAlign w:val="superscript"/>
        </w:rPr>
        <w:t xml:space="preserve"> </w:t>
      </w:r>
      <w:r>
        <w:rPr>
          <w:sz w:val="10"/>
        </w:rPr>
        <w:t>Nominal.</w:t>
      </w:r>
    </w:p>
    <w:p w14:paraId="1FBACB12" w14:textId="2D353616" w:rsidR="00CE1DC1" w:rsidRDefault="00CE1DC1" w:rsidP="00CE1DC1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>
        <w:rPr>
          <w:sz w:val="10"/>
        </w:rPr>
        <w:t xml:space="preserve">Source: </w:t>
      </w:r>
      <w:r w:rsidR="00BA1F4C" w:rsidRPr="00BF3151">
        <w:rPr>
          <w:sz w:val="10"/>
        </w:rPr>
        <w:t>ABS 5220.0 Australian National Ac</w:t>
      </w:r>
      <w:r w:rsidR="00BA1F4C">
        <w:rPr>
          <w:sz w:val="10"/>
        </w:rPr>
        <w:t>counts: State Accounts (Annual)</w:t>
      </w:r>
      <w:r>
        <w:rPr>
          <w:sz w:val="10"/>
        </w:rPr>
        <w:t>.</w:t>
      </w:r>
    </w:p>
    <w:p w14:paraId="5C0D3E90" w14:textId="77777777" w:rsidR="00CE1DC1" w:rsidRDefault="00CE1DC1" w:rsidP="00CE1DC1">
      <w:pPr>
        <w:spacing w:after="0"/>
        <w:jc w:val="both"/>
        <w:rPr>
          <w:sz w:val="16"/>
        </w:rPr>
      </w:pPr>
    </w:p>
    <w:p w14:paraId="7E4CE9D2" w14:textId="77777777" w:rsidR="00CE1DC1" w:rsidRDefault="00CE1DC1" w:rsidP="00CE1DC1">
      <w:pPr>
        <w:spacing w:after="0"/>
        <w:jc w:val="both"/>
        <w:rPr>
          <w:sz w:val="16"/>
        </w:rPr>
      </w:pPr>
    </w:p>
    <w:p w14:paraId="67B31ACB" w14:textId="7F5628F7" w:rsidR="00CE1DC1" w:rsidRPr="0081205B" w:rsidRDefault="00CE1DC1" w:rsidP="00CE1DC1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br w:type="column"/>
      </w:r>
      <w:r w:rsidR="003E271F" w:rsidRPr="003E271F">
        <w:rPr>
          <w:sz w:val="16"/>
        </w:rPr>
        <w:t xml:space="preserve">Western Australia accounted </w:t>
      </w:r>
      <w:r w:rsidR="004B2D06">
        <w:rPr>
          <w:sz w:val="16"/>
        </w:rPr>
        <w:t>for 65</w:t>
      </w:r>
      <w:r w:rsidR="003E271F" w:rsidRPr="003E271F">
        <w:rPr>
          <w:sz w:val="16"/>
        </w:rPr>
        <w:t>% of Australia’s mining</w:t>
      </w:r>
      <w:r w:rsidR="003E271F">
        <w:rPr>
          <w:sz w:val="16"/>
        </w:rPr>
        <w:t xml:space="preserve"> industry </w:t>
      </w:r>
      <w:r w:rsidR="003E271F" w:rsidRPr="003E271F">
        <w:rPr>
          <w:sz w:val="16"/>
        </w:rPr>
        <w:t>gross value added in 20</w:t>
      </w:r>
      <w:r w:rsidR="004B2D06">
        <w:rPr>
          <w:sz w:val="16"/>
        </w:rPr>
        <w:t>19-20</w:t>
      </w:r>
      <w:r w:rsidR="003E271F" w:rsidRPr="003E271F">
        <w:rPr>
          <w:sz w:val="16"/>
        </w:rPr>
        <w:t>, above</w:t>
      </w:r>
      <w:r w:rsidR="00C93C6B">
        <w:rPr>
          <w:sz w:val="16"/>
        </w:rPr>
        <w:t xml:space="preserve"> its</w:t>
      </w:r>
      <w:r w:rsidR="004B2D06">
        <w:rPr>
          <w:sz w:val="16"/>
        </w:rPr>
        <w:t xml:space="preserve"> 56</w:t>
      </w:r>
      <w:r w:rsidR="003E271F" w:rsidRPr="003E271F">
        <w:rPr>
          <w:sz w:val="16"/>
        </w:rPr>
        <w:t xml:space="preserve">% share in </w:t>
      </w:r>
      <w:r w:rsidR="004B2D06">
        <w:rPr>
          <w:sz w:val="16"/>
        </w:rPr>
        <w:t>2018-19</w:t>
      </w:r>
      <w:r w:rsidR="003E271F">
        <w:rPr>
          <w:sz w:val="16"/>
        </w:rPr>
        <w:t>, but below it</w:t>
      </w:r>
      <w:r w:rsidR="00C93C6B">
        <w:rPr>
          <w:sz w:val="16"/>
        </w:rPr>
        <w:t>s</w:t>
      </w:r>
      <w:r w:rsidR="003E271F" w:rsidRPr="003E271F">
        <w:rPr>
          <w:sz w:val="16"/>
        </w:rPr>
        <w:t xml:space="preserve"> 67% share in 2013-14</w:t>
      </w:r>
      <w:r w:rsidRPr="0081205B">
        <w:rPr>
          <w:sz w:val="16"/>
        </w:rPr>
        <w:t>.</w:t>
      </w:r>
    </w:p>
    <w:p w14:paraId="2F895ABE" w14:textId="7FFDD5EE" w:rsidR="003E271F" w:rsidRPr="003E271F" w:rsidRDefault="003E271F" w:rsidP="003E271F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>The m</w:t>
      </w:r>
      <w:r w:rsidRPr="003E271F">
        <w:rPr>
          <w:sz w:val="16"/>
        </w:rPr>
        <w:t xml:space="preserve">ining </w:t>
      </w:r>
      <w:r>
        <w:rPr>
          <w:sz w:val="16"/>
        </w:rPr>
        <w:t xml:space="preserve">industry </w:t>
      </w:r>
      <w:r w:rsidR="004B2D06">
        <w:rPr>
          <w:sz w:val="16"/>
        </w:rPr>
        <w:t>accounted for 43</w:t>
      </w:r>
      <w:r w:rsidRPr="003E271F">
        <w:rPr>
          <w:sz w:val="16"/>
        </w:rPr>
        <w:t xml:space="preserve">% of </w:t>
      </w:r>
      <w:r>
        <w:rPr>
          <w:sz w:val="16"/>
        </w:rPr>
        <w:t xml:space="preserve">Western Australia’s </w:t>
      </w:r>
      <w:r w:rsidRPr="003E271F">
        <w:rPr>
          <w:sz w:val="16"/>
        </w:rPr>
        <w:t>GSP in 20</w:t>
      </w:r>
      <w:r w:rsidR="004B2D06">
        <w:rPr>
          <w:sz w:val="16"/>
        </w:rPr>
        <w:t>19-20</w:t>
      </w:r>
      <w:r w:rsidRPr="003E271F">
        <w:rPr>
          <w:sz w:val="16"/>
        </w:rPr>
        <w:t xml:space="preserve">, above </w:t>
      </w:r>
      <w:r w:rsidR="00D227B6">
        <w:rPr>
          <w:sz w:val="16"/>
        </w:rPr>
        <w:t xml:space="preserve">its </w:t>
      </w:r>
      <w:r w:rsidR="004B2D06">
        <w:rPr>
          <w:sz w:val="16"/>
        </w:rPr>
        <w:t>37</w:t>
      </w:r>
      <w:r w:rsidRPr="003E271F">
        <w:rPr>
          <w:sz w:val="16"/>
        </w:rPr>
        <w:t xml:space="preserve">% share in </w:t>
      </w:r>
      <w:r w:rsidR="004B2D06">
        <w:rPr>
          <w:sz w:val="16"/>
        </w:rPr>
        <w:t>2018</w:t>
      </w:r>
      <w:r w:rsidR="00243B23">
        <w:rPr>
          <w:sz w:val="16"/>
        </w:rPr>
        <w:noBreakHyphen/>
      </w:r>
      <w:r w:rsidR="004B2D06">
        <w:rPr>
          <w:sz w:val="16"/>
        </w:rPr>
        <w:t xml:space="preserve">19 and </w:t>
      </w:r>
      <w:r w:rsidR="00217984">
        <w:rPr>
          <w:sz w:val="16"/>
        </w:rPr>
        <w:t>the</w:t>
      </w:r>
      <w:r w:rsidR="004B2D06">
        <w:rPr>
          <w:sz w:val="16"/>
        </w:rPr>
        <w:t xml:space="preserve"> highest share of GSP on record</w:t>
      </w:r>
      <w:r w:rsidRPr="003E271F">
        <w:rPr>
          <w:sz w:val="16"/>
        </w:rPr>
        <w:t>.</w:t>
      </w:r>
    </w:p>
    <w:p w14:paraId="6D2EA3C1" w14:textId="5999EBA3" w:rsidR="00CE1DC1" w:rsidRPr="003E271F" w:rsidRDefault="003E271F" w:rsidP="003E271F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E271F">
        <w:rPr>
          <w:sz w:val="16"/>
        </w:rPr>
        <w:t>The value of Western Australia’s mining in</w:t>
      </w:r>
      <w:r w:rsidR="00D851CA">
        <w:rPr>
          <w:sz w:val="16"/>
        </w:rPr>
        <w:t>dustry gross value added rose 25</w:t>
      </w:r>
      <w:r w:rsidRPr="003E271F">
        <w:rPr>
          <w:sz w:val="16"/>
        </w:rPr>
        <w:t>% to $1</w:t>
      </w:r>
      <w:r w:rsidR="00D851CA">
        <w:rPr>
          <w:sz w:val="16"/>
        </w:rPr>
        <w:t>35.3</w:t>
      </w:r>
      <w:r w:rsidRPr="003E271F">
        <w:rPr>
          <w:sz w:val="16"/>
        </w:rPr>
        <w:t xml:space="preserve"> billion in 20</w:t>
      </w:r>
      <w:r w:rsidR="00D851CA">
        <w:rPr>
          <w:sz w:val="16"/>
        </w:rPr>
        <w:t>19-20</w:t>
      </w:r>
      <w:r w:rsidRPr="003E271F">
        <w:rPr>
          <w:sz w:val="16"/>
        </w:rPr>
        <w:t xml:space="preserve">, above </w:t>
      </w:r>
      <w:r w:rsidR="00952E92">
        <w:rPr>
          <w:sz w:val="16"/>
        </w:rPr>
        <w:t xml:space="preserve">its </w:t>
      </w:r>
      <w:r w:rsidR="00D851CA">
        <w:rPr>
          <w:sz w:val="16"/>
        </w:rPr>
        <w:t>compound annual growth of 10</w:t>
      </w:r>
      <w:r w:rsidRPr="003E271F">
        <w:rPr>
          <w:sz w:val="16"/>
        </w:rPr>
        <w:t>% over the past 10 years</w:t>
      </w:r>
      <w:r w:rsidR="00CE1DC1" w:rsidRPr="003E271F">
        <w:rPr>
          <w:sz w:val="16"/>
        </w:rPr>
        <w:t>.</w:t>
      </w:r>
    </w:p>
    <w:p w14:paraId="314D2484" w14:textId="77777777" w:rsidR="00CE1DC1" w:rsidRDefault="00CE1DC1" w:rsidP="00CE1DC1">
      <w:pPr>
        <w:jc w:val="both"/>
        <w:rPr>
          <w:sz w:val="16"/>
        </w:rPr>
        <w:sectPr w:rsidR="00CE1DC1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777EAA1A" w14:textId="780EB3A9" w:rsidR="00CE1DC1" w:rsidRPr="00800813" w:rsidRDefault="005F1191" w:rsidP="00EC6333">
      <w:pPr>
        <w:spacing w:after="0"/>
        <w:rPr>
          <w:sz w:val="22"/>
        </w:rPr>
      </w:pPr>
      <w:r>
        <w:rPr>
          <w:b/>
          <w:sz w:val="20"/>
        </w:rPr>
        <w:t>Western Australia’s m</w:t>
      </w:r>
      <w:r w:rsidR="009C3B5E">
        <w:rPr>
          <w:b/>
          <w:sz w:val="20"/>
        </w:rPr>
        <w:t>ajor minerals and petroleum sales</w:t>
      </w:r>
      <w:r w:rsidR="002B0920" w:rsidRPr="002B0920">
        <w:rPr>
          <w:b/>
          <w:sz w:val="20"/>
          <w:vertAlign w:val="superscript"/>
        </w:rPr>
        <w:t>1</w:t>
      </w:r>
      <w:r w:rsidR="009C3B5E">
        <w:rPr>
          <w:b/>
          <w:sz w:val="20"/>
        </w:rPr>
        <w:t>: Financial years</w:t>
      </w:r>
    </w:p>
    <w:p w14:paraId="51509298" w14:textId="1C56EFBB" w:rsidR="00CE1DC1" w:rsidRDefault="006D4F9E" w:rsidP="00CE1DC1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3ACFA3E9" wp14:editId="6B75AC11">
            <wp:extent cx="3429000" cy="2052955"/>
            <wp:effectExtent l="0" t="0" r="0" b="4445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05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46C50" w14:textId="082DB2A2" w:rsidR="006C6044" w:rsidRPr="006C6044" w:rsidRDefault="002B0920" w:rsidP="006C6044">
      <w:pPr>
        <w:spacing w:after="0"/>
        <w:jc w:val="both"/>
        <w:rPr>
          <w:sz w:val="10"/>
        </w:rPr>
      </w:pPr>
      <w:r w:rsidRPr="002B0920">
        <w:rPr>
          <w:sz w:val="10"/>
          <w:vertAlign w:val="superscript"/>
        </w:rPr>
        <w:t>1</w:t>
      </w:r>
      <w:r>
        <w:rPr>
          <w:sz w:val="10"/>
        </w:rPr>
        <w:t xml:space="preserve"> Nominal. </w:t>
      </w:r>
      <w:r w:rsidR="006C6044" w:rsidRPr="006C6044">
        <w:rPr>
          <w:sz w:val="10"/>
        </w:rPr>
        <w:t>(a) Copper, lead and zinc (contains gold and silver). (b) Spodumene.</w:t>
      </w:r>
    </w:p>
    <w:p w14:paraId="1B14A178" w14:textId="55DE911B" w:rsidR="00CE1DC1" w:rsidRPr="00716C34" w:rsidRDefault="006C6044" w:rsidP="006C6044">
      <w:pPr>
        <w:spacing w:after="0"/>
        <w:jc w:val="both"/>
        <w:rPr>
          <w:sz w:val="10"/>
        </w:rPr>
      </w:pPr>
      <w:r w:rsidRPr="006C6044">
        <w:rPr>
          <w:sz w:val="10"/>
        </w:rPr>
        <w:t xml:space="preserve">Source: WA Department of Mines, Industry Regulation </w:t>
      </w:r>
      <w:r>
        <w:rPr>
          <w:sz w:val="10"/>
        </w:rPr>
        <w:t>and Safety, Resource Data Files</w:t>
      </w:r>
      <w:r w:rsidR="00930B05">
        <w:rPr>
          <w:sz w:val="10"/>
        </w:rPr>
        <w:t xml:space="preserve"> (Bi-Annual)</w:t>
      </w:r>
      <w:r w:rsidR="00CE1DC1" w:rsidRPr="00716C34">
        <w:rPr>
          <w:sz w:val="10"/>
        </w:rPr>
        <w:t>.</w:t>
      </w:r>
    </w:p>
    <w:p w14:paraId="018340AE" w14:textId="77777777" w:rsidR="00CE1DC1" w:rsidRDefault="00CE1DC1" w:rsidP="00CE1DC1">
      <w:pPr>
        <w:spacing w:after="0"/>
        <w:jc w:val="both"/>
        <w:rPr>
          <w:sz w:val="16"/>
        </w:rPr>
      </w:pPr>
    </w:p>
    <w:p w14:paraId="7379A204" w14:textId="33DF7879" w:rsidR="00794A9D" w:rsidRPr="00CB298C" w:rsidRDefault="00CE1DC1" w:rsidP="00794A9D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263AEC">
        <w:rPr>
          <w:sz w:val="16"/>
        </w:rPr>
        <w:br w:type="column"/>
      </w:r>
      <w:r w:rsidR="00794A9D">
        <w:rPr>
          <w:sz w:val="16"/>
        </w:rPr>
        <w:t>I</w:t>
      </w:r>
      <w:r w:rsidR="00794A9D" w:rsidRPr="00794A9D">
        <w:rPr>
          <w:sz w:val="16"/>
        </w:rPr>
        <w:t xml:space="preserve">ron ore accounted for 60% of </w:t>
      </w:r>
      <w:r w:rsidR="001872E7">
        <w:rPr>
          <w:sz w:val="16"/>
        </w:rPr>
        <w:t xml:space="preserve">the value of Western Australia’s </w:t>
      </w:r>
      <w:r w:rsidR="00794A9D" w:rsidRPr="00794A9D">
        <w:rPr>
          <w:sz w:val="16"/>
        </w:rPr>
        <w:t>minerals and petroleum sales in 2019</w:t>
      </w:r>
      <w:r w:rsidR="00794A9D" w:rsidRPr="00794A9D">
        <w:rPr>
          <w:sz w:val="16"/>
        </w:rPr>
        <w:noBreakHyphen/>
        <w:t>20, followed by</w:t>
      </w:r>
      <w:r w:rsidR="00794A9D" w:rsidRPr="00CB298C">
        <w:rPr>
          <w:sz w:val="16"/>
        </w:rPr>
        <w:t>:</w:t>
      </w:r>
    </w:p>
    <w:p w14:paraId="1C495A7B" w14:textId="52106533" w:rsidR="00794A9D" w:rsidRPr="006E7ABB" w:rsidRDefault="00794A9D" w:rsidP="005A3CC2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>
        <w:rPr>
          <w:sz w:val="16"/>
        </w:rPr>
        <w:t>LNG (16%)</w:t>
      </w:r>
      <w:r w:rsidRPr="006E7ABB">
        <w:rPr>
          <w:sz w:val="16"/>
        </w:rPr>
        <w:t>.</w:t>
      </w:r>
    </w:p>
    <w:p w14:paraId="6CE6A502" w14:textId="77777777" w:rsidR="00794A9D" w:rsidRDefault="00794A9D" w:rsidP="005A3CC2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>
        <w:rPr>
          <w:sz w:val="16"/>
        </w:rPr>
        <w:t>Gold (9%)</w:t>
      </w:r>
    </w:p>
    <w:p w14:paraId="329B7BB1" w14:textId="77777777" w:rsidR="00794A9D" w:rsidRDefault="00794A9D" w:rsidP="005A3CC2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>
        <w:rPr>
          <w:sz w:val="16"/>
        </w:rPr>
        <w:t>Alumina and bauxite (4%)</w:t>
      </w:r>
    </w:p>
    <w:p w14:paraId="40C8A82C" w14:textId="77777777" w:rsidR="00794A9D" w:rsidRDefault="00794A9D" w:rsidP="005A3CC2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>
        <w:rPr>
          <w:sz w:val="16"/>
        </w:rPr>
        <w:t>Condensate (3%)</w:t>
      </w:r>
    </w:p>
    <w:p w14:paraId="6CBA47E2" w14:textId="77777777" w:rsidR="00794A9D" w:rsidRDefault="00794A9D" w:rsidP="005A3CC2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>
        <w:rPr>
          <w:sz w:val="16"/>
        </w:rPr>
        <w:t>Nickel ore (2%)</w:t>
      </w:r>
    </w:p>
    <w:p w14:paraId="23992DC8" w14:textId="77777777" w:rsidR="00794A9D" w:rsidRDefault="00794A9D" w:rsidP="005A3CC2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>
        <w:rPr>
          <w:sz w:val="16"/>
        </w:rPr>
        <w:t>Crude oil (2%)</w:t>
      </w:r>
    </w:p>
    <w:p w14:paraId="5BF061BA" w14:textId="77777777" w:rsidR="00794A9D" w:rsidRDefault="00794A9D" w:rsidP="005A3CC2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>
        <w:rPr>
          <w:sz w:val="16"/>
        </w:rPr>
        <w:t>Natural gas (1%)</w:t>
      </w:r>
    </w:p>
    <w:p w14:paraId="30F2C669" w14:textId="77777777" w:rsidR="00794A9D" w:rsidRDefault="00794A9D" w:rsidP="005A3CC2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>
        <w:rPr>
          <w:sz w:val="16"/>
        </w:rPr>
        <w:t>Base metal ore (1%)</w:t>
      </w:r>
    </w:p>
    <w:p w14:paraId="1BD34864" w14:textId="37595C68" w:rsidR="00794A9D" w:rsidRPr="006E7ABB" w:rsidRDefault="00794A9D" w:rsidP="005A3CC2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>
        <w:rPr>
          <w:sz w:val="16"/>
        </w:rPr>
        <w:t>Lithium (1%)</w:t>
      </w:r>
      <w:r w:rsidRPr="006E7ABB">
        <w:rPr>
          <w:sz w:val="16"/>
        </w:rPr>
        <w:t>.</w:t>
      </w:r>
    </w:p>
    <w:p w14:paraId="0DFB5B38" w14:textId="139C57A7" w:rsidR="00CE1DC1" w:rsidRPr="00794A9D" w:rsidRDefault="00794A9D" w:rsidP="00AC05F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794A9D">
        <w:rPr>
          <w:sz w:val="16"/>
        </w:rPr>
        <w:t xml:space="preserve">The value of Western Australia’s minerals and petroleum sales rose 14% to $171.6 billion in 2019-20, mainly due to increases </w:t>
      </w:r>
      <w:r w:rsidR="003B216F">
        <w:rPr>
          <w:sz w:val="16"/>
        </w:rPr>
        <w:t xml:space="preserve">in </w:t>
      </w:r>
      <w:r w:rsidRPr="00794A9D">
        <w:rPr>
          <w:sz w:val="16"/>
        </w:rPr>
        <w:t>iron ore and gold sales</w:t>
      </w:r>
      <w:r w:rsidR="00CE1DC1" w:rsidRPr="00794A9D">
        <w:rPr>
          <w:sz w:val="16"/>
        </w:rPr>
        <w:t>.</w:t>
      </w:r>
    </w:p>
    <w:p w14:paraId="7EE71E03" w14:textId="77777777" w:rsidR="00CE1DC1" w:rsidRDefault="00CE1DC1" w:rsidP="00CE1DC1">
      <w:pPr>
        <w:jc w:val="both"/>
        <w:rPr>
          <w:sz w:val="16"/>
        </w:rPr>
      </w:pPr>
      <w:r>
        <w:rPr>
          <w:sz w:val="16"/>
        </w:rPr>
        <w:br w:type="page"/>
      </w:r>
    </w:p>
    <w:p w14:paraId="3E2166D7" w14:textId="77777777" w:rsidR="00035E69" w:rsidRPr="00237284" w:rsidRDefault="00035E69" w:rsidP="00035E69">
      <w:pPr>
        <w:pStyle w:val="BodyText"/>
        <w:spacing w:after="0"/>
      </w:pPr>
      <w:bookmarkStart w:id="5" w:name="_UNITED_STATES"/>
      <w:bookmarkEnd w:id="5"/>
    </w:p>
    <w:p w14:paraId="22731070" w14:textId="3C873C24" w:rsidR="00035E69" w:rsidRPr="003F7FF9" w:rsidRDefault="005F1191" w:rsidP="00EC6333">
      <w:pPr>
        <w:pStyle w:val="BodyText"/>
        <w:spacing w:after="0"/>
        <w:rPr>
          <w:b/>
          <w:sz w:val="20"/>
        </w:rPr>
      </w:pPr>
      <w:r>
        <w:rPr>
          <w:b/>
          <w:sz w:val="20"/>
        </w:rPr>
        <w:t>Western Australia’s</w:t>
      </w:r>
      <w:r w:rsidR="00471334">
        <w:rPr>
          <w:b/>
          <w:sz w:val="20"/>
        </w:rPr>
        <w:t xml:space="preserve"> </w:t>
      </w:r>
      <w:r w:rsidR="003F34CF">
        <w:rPr>
          <w:b/>
          <w:sz w:val="20"/>
        </w:rPr>
        <w:t>iron ore sales</w:t>
      </w:r>
      <w:r w:rsidR="00F179D2" w:rsidRPr="00F179D2">
        <w:rPr>
          <w:b/>
          <w:sz w:val="20"/>
          <w:vertAlign w:val="superscript"/>
        </w:rPr>
        <w:t>1</w:t>
      </w:r>
      <w:r w:rsidR="003F34CF">
        <w:rPr>
          <w:b/>
          <w:sz w:val="20"/>
        </w:rPr>
        <w:t>: Financial years</w:t>
      </w:r>
    </w:p>
    <w:p w14:paraId="334A535C" w14:textId="6D00B266" w:rsidR="00035E69" w:rsidRDefault="00A50D6E" w:rsidP="00035E6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35BF8A12" wp14:editId="2587FCF9">
            <wp:extent cx="3411855" cy="2049145"/>
            <wp:effectExtent l="0" t="0" r="0" b="8255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855" cy="204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C4910" w14:textId="0ED7B24C" w:rsidR="003F34CF" w:rsidRDefault="00F179D2" w:rsidP="00035E69">
      <w:pPr>
        <w:spacing w:after="0"/>
        <w:jc w:val="both"/>
        <w:rPr>
          <w:sz w:val="10"/>
        </w:rPr>
      </w:pPr>
      <w:r w:rsidRPr="002B0920">
        <w:rPr>
          <w:sz w:val="10"/>
          <w:vertAlign w:val="superscript"/>
        </w:rPr>
        <w:t>1</w:t>
      </w:r>
      <w:r>
        <w:rPr>
          <w:sz w:val="10"/>
        </w:rPr>
        <w:t xml:space="preserve"> Nominal. </w:t>
      </w:r>
      <w:r w:rsidR="003F34CF">
        <w:rPr>
          <w:sz w:val="10"/>
        </w:rPr>
        <w:t>Indexes 2009-10 = 100.0.</w:t>
      </w:r>
    </w:p>
    <w:p w14:paraId="456CAC84" w14:textId="34CC1F69" w:rsidR="00035E69" w:rsidRDefault="00035E69" w:rsidP="00035E69">
      <w:pPr>
        <w:spacing w:after="0"/>
        <w:jc w:val="both"/>
        <w:rPr>
          <w:sz w:val="10"/>
        </w:rPr>
      </w:pPr>
      <w:r w:rsidRPr="00A441A2">
        <w:rPr>
          <w:sz w:val="10"/>
        </w:rPr>
        <w:t xml:space="preserve">Source: </w:t>
      </w:r>
      <w:r w:rsidR="00CC7058">
        <w:rPr>
          <w:sz w:val="10"/>
        </w:rPr>
        <w:t xml:space="preserve">WA </w:t>
      </w:r>
      <w:r w:rsidRPr="003875B0">
        <w:rPr>
          <w:sz w:val="10"/>
        </w:rPr>
        <w:t>Department of Mines, Industry Regulation and Safety, Resource Data Files</w:t>
      </w:r>
      <w:r w:rsidR="00CC7058">
        <w:rPr>
          <w:sz w:val="10"/>
        </w:rPr>
        <w:t xml:space="preserve"> (Bi-Annual)</w:t>
      </w:r>
      <w:r>
        <w:rPr>
          <w:sz w:val="10"/>
        </w:rPr>
        <w:t>.</w:t>
      </w:r>
    </w:p>
    <w:p w14:paraId="7523115A" w14:textId="77777777" w:rsidR="00035E69" w:rsidRDefault="00035E69" w:rsidP="00035E69">
      <w:pPr>
        <w:spacing w:after="0"/>
        <w:jc w:val="both"/>
        <w:rPr>
          <w:sz w:val="16"/>
        </w:rPr>
      </w:pPr>
    </w:p>
    <w:p w14:paraId="7DF866E7" w14:textId="77777777" w:rsidR="00035E69" w:rsidRPr="00CB298C" w:rsidRDefault="00035E69" w:rsidP="00035E69">
      <w:pPr>
        <w:spacing w:after="0"/>
        <w:jc w:val="both"/>
        <w:rPr>
          <w:sz w:val="16"/>
        </w:rPr>
      </w:pPr>
    </w:p>
    <w:p w14:paraId="3D90A753" w14:textId="77777777" w:rsidR="00035E69" w:rsidRDefault="00035E69" w:rsidP="00035E69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716FFB48" w14:textId="77777777" w:rsidR="00035E69" w:rsidRDefault="00035E69" w:rsidP="00035E69">
      <w:pPr>
        <w:spacing w:after="0"/>
        <w:jc w:val="both"/>
        <w:rPr>
          <w:sz w:val="16"/>
        </w:rPr>
      </w:pPr>
    </w:p>
    <w:p w14:paraId="7007FB14" w14:textId="77777777" w:rsidR="00035E69" w:rsidRDefault="00035E69" w:rsidP="00035E69">
      <w:pPr>
        <w:spacing w:after="0"/>
        <w:jc w:val="both"/>
        <w:rPr>
          <w:sz w:val="16"/>
        </w:rPr>
      </w:pPr>
    </w:p>
    <w:p w14:paraId="7D382D44" w14:textId="5D6BB480" w:rsidR="00035E69" w:rsidRPr="00CB298C" w:rsidRDefault="00B37BBC" w:rsidP="00035E6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 xml:space="preserve">The value of </w:t>
      </w:r>
      <w:r w:rsidR="00035E69" w:rsidRPr="008B69DD">
        <w:rPr>
          <w:sz w:val="16"/>
        </w:rPr>
        <w:t>Western Australia’s</w:t>
      </w:r>
      <w:r>
        <w:rPr>
          <w:sz w:val="16"/>
        </w:rPr>
        <w:t xml:space="preserve"> </w:t>
      </w:r>
      <w:r w:rsidRPr="00B37BBC">
        <w:rPr>
          <w:sz w:val="16"/>
        </w:rPr>
        <w:t>iron ore sales rose 26% to $103.4</w:t>
      </w:r>
      <w:r>
        <w:rPr>
          <w:sz w:val="16"/>
        </w:rPr>
        <w:t xml:space="preserve"> </w:t>
      </w:r>
      <w:r w:rsidRPr="00B37BBC">
        <w:rPr>
          <w:sz w:val="16"/>
        </w:rPr>
        <w:t>billion in 2019-20, due to rising sales volumes and average prices</w:t>
      </w:r>
      <w:r w:rsidR="00035E69" w:rsidRPr="008B69DD">
        <w:rPr>
          <w:sz w:val="16"/>
        </w:rPr>
        <w:t>.</w:t>
      </w:r>
    </w:p>
    <w:p w14:paraId="6B4F5444" w14:textId="3F4B60C6" w:rsidR="00B37BBC" w:rsidRPr="00B37BBC" w:rsidRDefault="00B37BBC" w:rsidP="00B37BB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B37BBC">
        <w:rPr>
          <w:sz w:val="16"/>
        </w:rPr>
        <w:t>The volume of</w:t>
      </w:r>
      <w:r>
        <w:rPr>
          <w:sz w:val="16"/>
        </w:rPr>
        <w:t xml:space="preserve"> Western Australia’s </w:t>
      </w:r>
      <w:r w:rsidRPr="00B37BBC">
        <w:rPr>
          <w:sz w:val="16"/>
        </w:rPr>
        <w:t>iron ore sales rose 5% to 836 million tonnes in 2019-20, below</w:t>
      </w:r>
      <w:r w:rsidR="009029FB">
        <w:rPr>
          <w:sz w:val="16"/>
        </w:rPr>
        <w:t xml:space="preserve"> its</w:t>
      </w:r>
      <w:r w:rsidRPr="00B37BBC">
        <w:rPr>
          <w:sz w:val="16"/>
        </w:rPr>
        <w:t xml:space="preserve"> </w:t>
      </w:r>
      <w:r>
        <w:rPr>
          <w:sz w:val="16"/>
        </w:rPr>
        <w:t xml:space="preserve">compound </w:t>
      </w:r>
      <w:r w:rsidRPr="00B37BBC">
        <w:rPr>
          <w:sz w:val="16"/>
        </w:rPr>
        <w:t>annual growth of 8% over the past 10 years.</w:t>
      </w:r>
    </w:p>
    <w:p w14:paraId="4AAE8370" w14:textId="194D3D19" w:rsidR="00F8038E" w:rsidRPr="00F8038E" w:rsidRDefault="00F8038E" w:rsidP="00F8038E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C4C04">
        <w:rPr>
          <w:sz w:val="16"/>
        </w:rPr>
        <w:t>The WA Government State Budget 2020-21 forecasts</w:t>
      </w:r>
      <w:r>
        <w:rPr>
          <w:sz w:val="16"/>
        </w:rPr>
        <w:t xml:space="preserve"> the volume of </w:t>
      </w:r>
      <w:r w:rsidR="00035E69" w:rsidRPr="008B69DD">
        <w:rPr>
          <w:sz w:val="16"/>
        </w:rPr>
        <w:t>Western Australia’s</w:t>
      </w:r>
      <w:r>
        <w:rPr>
          <w:sz w:val="16"/>
        </w:rPr>
        <w:t xml:space="preserve"> i</w:t>
      </w:r>
      <w:r w:rsidRPr="00F8038E">
        <w:rPr>
          <w:sz w:val="16"/>
        </w:rPr>
        <w:t xml:space="preserve">ron ore sales </w:t>
      </w:r>
      <w:r>
        <w:rPr>
          <w:sz w:val="16"/>
        </w:rPr>
        <w:t xml:space="preserve">will </w:t>
      </w:r>
      <w:r w:rsidRPr="00F8038E">
        <w:rPr>
          <w:sz w:val="16"/>
        </w:rPr>
        <w:t>rise to 878 million tonnes by 2023-24.</w:t>
      </w:r>
    </w:p>
    <w:p w14:paraId="486CAABA" w14:textId="6F728239" w:rsidR="00035E69" w:rsidRPr="0015794A" w:rsidRDefault="00A57FED" w:rsidP="00AC05F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 xml:space="preserve">The </w:t>
      </w:r>
      <w:r w:rsidR="00921EEB">
        <w:rPr>
          <w:sz w:val="16"/>
        </w:rPr>
        <w:t xml:space="preserve">annual average </w:t>
      </w:r>
      <w:r w:rsidR="00F8038E" w:rsidRPr="0015794A">
        <w:rPr>
          <w:sz w:val="16"/>
        </w:rPr>
        <w:t>$A unit price (free on board) of</w:t>
      </w:r>
      <w:r>
        <w:rPr>
          <w:sz w:val="16"/>
        </w:rPr>
        <w:t xml:space="preserve"> Western Australia’s </w:t>
      </w:r>
      <w:r w:rsidR="00F8038E" w:rsidRPr="0015794A">
        <w:rPr>
          <w:sz w:val="16"/>
        </w:rPr>
        <w:t xml:space="preserve">iron ore sales rose </w:t>
      </w:r>
      <w:r w:rsidR="00952E92">
        <w:rPr>
          <w:sz w:val="16"/>
        </w:rPr>
        <w:t xml:space="preserve">by </w:t>
      </w:r>
      <w:r w:rsidR="00F8038E" w:rsidRPr="0015794A">
        <w:rPr>
          <w:sz w:val="16"/>
        </w:rPr>
        <w:t>20% in 2019-20</w:t>
      </w:r>
      <w:r w:rsidR="00035E69" w:rsidRPr="0015794A">
        <w:rPr>
          <w:sz w:val="16"/>
        </w:rPr>
        <w:t>.</w:t>
      </w:r>
    </w:p>
    <w:p w14:paraId="0BDE7D10" w14:textId="77777777" w:rsidR="00035E69" w:rsidRDefault="00035E69" w:rsidP="00035E69">
      <w:pPr>
        <w:pStyle w:val="BodyText"/>
        <w:spacing w:after="0"/>
        <w:jc w:val="both"/>
        <w:rPr>
          <w:sz w:val="16"/>
        </w:rPr>
        <w:sectPr w:rsidR="00035E6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0FD8E8C6" w14:textId="5895A291" w:rsidR="00CC7058" w:rsidRPr="003F7FF9" w:rsidRDefault="00CC7058" w:rsidP="00CC7058">
      <w:pPr>
        <w:pStyle w:val="BodyText"/>
        <w:spacing w:after="0"/>
        <w:rPr>
          <w:b/>
          <w:sz w:val="20"/>
        </w:rPr>
      </w:pPr>
      <w:r>
        <w:rPr>
          <w:b/>
          <w:sz w:val="20"/>
        </w:rPr>
        <w:t>Western Australia’s LNG sales</w:t>
      </w:r>
      <w:r w:rsidR="00F179D2" w:rsidRPr="00F179D2">
        <w:rPr>
          <w:b/>
          <w:sz w:val="20"/>
          <w:vertAlign w:val="superscript"/>
        </w:rPr>
        <w:t>1</w:t>
      </w:r>
      <w:r>
        <w:rPr>
          <w:b/>
          <w:sz w:val="20"/>
        </w:rPr>
        <w:t>:</w:t>
      </w:r>
      <w:r w:rsidR="00471334">
        <w:rPr>
          <w:b/>
          <w:sz w:val="20"/>
        </w:rPr>
        <w:t xml:space="preserve"> </w:t>
      </w:r>
      <w:r>
        <w:rPr>
          <w:b/>
          <w:sz w:val="20"/>
        </w:rPr>
        <w:t>Financial years</w:t>
      </w:r>
    </w:p>
    <w:p w14:paraId="48BF120F" w14:textId="034EBFA0" w:rsidR="00CC7058" w:rsidRPr="00CC7058" w:rsidRDefault="00A50D6E" w:rsidP="00EC6333">
      <w:pPr>
        <w:pStyle w:val="BodyText"/>
        <w:spacing w:after="0"/>
        <w:rPr>
          <w:sz w:val="20"/>
        </w:rPr>
      </w:pPr>
      <w:r>
        <w:rPr>
          <w:noProof/>
          <w:sz w:val="20"/>
          <w:lang w:eastAsia="en-AU"/>
        </w:rPr>
        <w:drawing>
          <wp:inline distT="0" distB="0" distL="0" distR="0" wp14:anchorId="1DCAE81C" wp14:editId="37C107A3">
            <wp:extent cx="3420745" cy="2052955"/>
            <wp:effectExtent l="0" t="0" r="8255" b="4445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745" cy="205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2CB42" w14:textId="5ADEF70A" w:rsidR="00F04F93" w:rsidRDefault="00F179D2" w:rsidP="00F04F93">
      <w:pPr>
        <w:spacing w:after="0"/>
        <w:jc w:val="both"/>
        <w:rPr>
          <w:sz w:val="10"/>
        </w:rPr>
      </w:pPr>
      <w:r w:rsidRPr="002B0920">
        <w:rPr>
          <w:sz w:val="10"/>
          <w:vertAlign w:val="superscript"/>
        </w:rPr>
        <w:t>1</w:t>
      </w:r>
      <w:r>
        <w:rPr>
          <w:sz w:val="10"/>
        </w:rPr>
        <w:t xml:space="preserve"> Nominal. </w:t>
      </w:r>
      <w:r w:rsidR="00F04F93">
        <w:rPr>
          <w:sz w:val="10"/>
        </w:rPr>
        <w:t>Indexes 2009-10 = 100.0.</w:t>
      </w:r>
    </w:p>
    <w:p w14:paraId="09EC8D74" w14:textId="77777777" w:rsidR="00F04F93" w:rsidRDefault="00F04F93" w:rsidP="00F04F93">
      <w:pPr>
        <w:spacing w:after="0"/>
        <w:jc w:val="both"/>
        <w:rPr>
          <w:sz w:val="10"/>
        </w:rPr>
      </w:pPr>
      <w:r w:rsidRPr="00A441A2">
        <w:rPr>
          <w:sz w:val="10"/>
        </w:rPr>
        <w:t xml:space="preserve">Source: </w:t>
      </w:r>
      <w:r>
        <w:rPr>
          <w:sz w:val="10"/>
        </w:rPr>
        <w:t xml:space="preserve">WA </w:t>
      </w:r>
      <w:r w:rsidRPr="003875B0">
        <w:rPr>
          <w:sz w:val="10"/>
        </w:rPr>
        <w:t>Department of Mines, Industry Regulation and Safety, Resource Data Files</w:t>
      </w:r>
      <w:r>
        <w:rPr>
          <w:sz w:val="10"/>
        </w:rPr>
        <w:t xml:space="preserve"> (Bi-Annual).</w:t>
      </w:r>
    </w:p>
    <w:p w14:paraId="120A3515" w14:textId="77777777" w:rsidR="00035E69" w:rsidRDefault="00035E69" w:rsidP="00035E69">
      <w:pPr>
        <w:pStyle w:val="BodyText"/>
        <w:spacing w:after="0"/>
        <w:jc w:val="both"/>
        <w:rPr>
          <w:sz w:val="16"/>
        </w:rPr>
      </w:pPr>
    </w:p>
    <w:p w14:paraId="4CF1A3C0" w14:textId="77777777" w:rsidR="00035E69" w:rsidRPr="00403DB4" w:rsidRDefault="00035E69" w:rsidP="00035E69">
      <w:pPr>
        <w:pStyle w:val="BodyText"/>
        <w:spacing w:after="0"/>
        <w:jc w:val="both"/>
        <w:rPr>
          <w:sz w:val="16"/>
        </w:rPr>
      </w:pPr>
    </w:p>
    <w:p w14:paraId="743A2F61" w14:textId="16FAB75A" w:rsidR="00A466F9" w:rsidRPr="00CB298C" w:rsidRDefault="00035E69" w:rsidP="00A466F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br w:type="column"/>
      </w:r>
      <w:r w:rsidR="00A466F9">
        <w:rPr>
          <w:sz w:val="16"/>
        </w:rPr>
        <w:t xml:space="preserve">The value of </w:t>
      </w:r>
      <w:r w:rsidR="00A466F9" w:rsidRPr="008B69DD">
        <w:rPr>
          <w:sz w:val="16"/>
        </w:rPr>
        <w:t>Western Australia’s</w:t>
      </w:r>
      <w:r w:rsidR="00A466F9">
        <w:rPr>
          <w:sz w:val="16"/>
        </w:rPr>
        <w:t xml:space="preserve"> </w:t>
      </w:r>
      <w:r w:rsidR="00303CBB">
        <w:rPr>
          <w:sz w:val="16"/>
        </w:rPr>
        <w:t>LNG sales fell 7</w:t>
      </w:r>
      <w:r w:rsidR="00A466F9" w:rsidRPr="00B37BBC">
        <w:rPr>
          <w:sz w:val="16"/>
        </w:rPr>
        <w:t>% to $</w:t>
      </w:r>
      <w:r w:rsidR="00303CBB">
        <w:rPr>
          <w:sz w:val="16"/>
        </w:rPr>
        <w:t>27.1</w:t>
      </w:r>
      <w:r w:rsidR="00921EEB">
        <w:rPr>
          <w:sz w:val="16"/>
        </w:rPr>
        <w:t> </w:t>
      </w:r>
      <w:r w:rsidR="00A466F9" w:rsidRPr="00B37BBC">
        <w:rPr>
          <w:sz w:val="16"/>
        </w:rPr>
        <w:t xml:space="preserve">billion in 2019-20, due to </w:t>
      </w:r>
      <w:r w:rsidR="00303CBB">
        <w:rPr>
          <w:sz w:val="16"/>
        </w:rPr>
        <w:t xml:space="preserve">falling </w:t>
      </w:r>
      <w:r w:rsidR="00A466F9" w:rsidRPr="00B37BBC">
        <w:rPr>
          <w:sz w:val="16"/>
        </w:rPr>
        <w:t>average prices</w:t>
      </w:r>
      <w:r w:rsidR="00303CBB">
        <w:rPr>
          <w:sz w:val="16"/>
        </w:rPr>
        <w:t xml:space="preserve"> offsetting rising sales volumes</w:t>
      </w:r>
      <w:r w:rsidR="00A466F9" w:rsidRPr="008B69DD">
        <w:rPr>
          <w:sz w:val="16"/>
        </w:rPr>
        <w:t>.</w:t>
      </w:r>
    </w:p>
    <w:p w14:paraId="77389744" w14:textId="61D0679B" w:rsidR="00A466F9" w:rsidRPr="00B37BBC" w:rsidRDefault="00A466F9" w:rsidP="00A466F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B37BBC">
        <w:rPr>
          <w:sz w:val="16"/>
        </w:rPr>
        <w:t>The volume of</w:t>
      </w:r>
      <w:r>
        <w:rPr>
          <w:sz w:val="16"/>
        </w:rPr>
        <w:t xml:space="preserve"> Western Australia’s </w:t>
      </w:r>
      <w:r w:rsidR="00303CBB">
        <w:rPr>
          <w:sz w:val="16"/>
        </w:rPr>
        <w:t>LNG sales rose 8% to 47</w:t>
      </w:r>
      <w:r w:rsidRPr="00B37BBC">
        <w:rPr>
          <w:sz w:val="16"/>
        </w:rPr>
        <w:t xml:space="preserve"> million tonnes in 2019-20, below </w:t>
      </w:r>
      <w:r w:rsidR="00303CBB">
        <w:rPr>
          <w:sz w:val="16"/>
        </w:rPr>
        <w:t xml:space="preserve">its </w:t>
      </w:r>
      <w:r>
        <w:rPr>
          <w:sz w:val="16"/>
        </w:rPr>
        <w:t xml:space="preserve">compound </w:t>
      </w:r>
      <w:r w:rsidR="00303CBB">
        <w:rPr>
          <w:sz w:val="16"/>
        </w:rPr>
        <w:t>annual growth of 12</w:t>
      </w:r>
      <w:r w:rsidRPr="00B37BBC">
        <w:rPr>
          <w:sz w:val="16"/>
        </w:rPr>
        <w:t>% over the past 10 years.</w:t>
      </w:r>
    </w:p>
    <w:p w14:paraId="3741F2EC" w14:textId="2B58A7E0" w:rsidR="00035E69" w:rsidRPr="00A466F9" w:rsidRDefault="00A466F9" w:rsidP="00AC05F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466F9">
        <w:rPr>
          <w:sz w:val="16"/>
        </w:rPr>
        <w:t xml:space="preserve">The </w:t>
      </w:r>
      <w:r w:rsidR="00921EEB">
        <w:rPr>
          <w:sz w:val="16"/>
        </w:rPr>
        <w:t xml:space="preserve">annual average </w:t>
      </w:r>
      <w:r w:rsidRPr="00A466F9">
        <w:rPr>
          <w:sz w:val="16"/>
        </w:rPr>
        <w:t xml:space="preserve">$A unit price (free on board) of Western Australia’s </w:t>
      </w:r>
      <w:r w:rsidR="00303CBB">
        <w:rPr>
          <w:sz w:val="16"/>
        </w:rPr>
        <w:t>LNG sales fell</w:t>
      </w:r>
      <w:r w:rsidRPr="00A466F9">
        <w:rPr>
          <w:sz w:val="16"/>
        </w:rPr>
        <w:t xml:space="preserve"> by </w:t>
      </w:r>
      <w:r w:rsidR="00303CBB">
        <w:rPr>
          <w:sz w:val="16"/>
        </w:rPr>
        <w:t>14</w:t>
      </w:r>
      <w:r w:rsidRPr="00A466F9">
        <w:rPr>
          <w:sz w:val="16"/>
        </w:rPr>
        <w:t>% in 2019</w:t>
      </w:r>
      <w:r w:rsidR="00303CBB">
        <w:rPr>
          <w:sz w:val="16"/>
        </w:rPr>
        <w:noBreakHyphen/>
      </w:r>
      <w:r w:rsidRPr="00A466F9">
        <w:rPr>
          <w:sz w:val="16"/>
        </w:rPr>
        <w:t>20</w:t>
      </w:r>
      <w:r w:rsidR="00035E69" w:rsidRPr="00A466F9">
        <w:rPr>
          <w:sz w:val="16"/>
        </w:rPr>
        <w:t>.</w:t>
      </w:r>
    </w:p>
    <w:p w14:paraId="78111B6D" w14:textId="77777777" w:rsidR="00035E69" w:rsidRDefault="00035E69" w:rsidP="00035E69">
      <w:pPr>
        <w:pStyle w:val="BodyText"/>
        <w:spacing w:after="0"/>
        <w:jc w:val="both"/>
        <w:rPr>
          <w:sz w:val="16"/>
        </w:rPr>
        <w:sectPr w:rsidR="00035E6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55CA9629" w14:textId="0CC14E0B" w:rsidR="00CC7058" w:rsidRPr="003F7FF9" w:rsidRDefault="00CC7058" w:rsidP="00CC7058">
      <w:pPr>
        <w:pStyle w:val="BodyText"/>
        <w:spacing w:after="0"/>
        <w:rPr>
          <w:b/>
          <w:sz w:val="20"/>
        </w:rPr>
      </w:pPr>
      <w:r>
        <w:rPr>
          <w:b/>
          <w:sz w:val="20"/>
        </w:rPr>
        <w:t>Western Australia’s gold sales</w:t>
      </w:r>
      <w:r w:rsidR="00F179D2" w:rsidRPr="00F179D2">
        <w:rPr>
          <w:b/>
          <w:sz w:val="20"/>
          <w:vertAlign w:val="superscript"/>
        </w:rPr>
        <w:t>1</w:t>
      </w:r>
      <w:r>
        <w:rPr>
          <w:b/>
          <w:sz w:val="20"/>
        </w:rPr>
        <w:t>:</w:t>
      </w:r>
      <w:r w:rsidR="00D01563">
        <w:rPr>
          <w:b/>
          <w:sz w:val="20"/>
        </w:rPr>
        <w:t xml:space="preserve"> </w:t>
      </w:r>
      <w:r>
        <w:rPr>
          <w:b/>
          <w:sz w:val="20"/>
        </w:rPr>
        <w:t>Financial years</w:t>
      </w:r>
    </w:p>
    <w:p w14:paraId="5A308542" w14:textId="6D11EFEC" w:rsidR="00035E69" w:rsidRDefault="00A50D6E" w:rsidP="00035E69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7041B39F" wp14:editId="31E303B4">
            <wp:extent cx="3420745" cy="2052955"/>
            <wp:effectExtent l="0" t="0" r="8255" b="4445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745" cy="205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95F77" w14:textId="55A248A5" w:rsidR="00F04F93" w:rsidRDefault="00F179D2" w:rsidP="00F04F93">
      <w:pPr>
        <w:spacing w:after="0"/>
        <w:jc w:val="both"/>
        <w:rPr>
          <w:sz w:val="10"/>
        </w:rPr>
      </w:pPr>
      <w:r w:rsidRPr="002B0920">
        <w:rPr>
          <w:sz w:val="10"/>
          <w:vertAlign w:val="superscript"/>
        </w:rPr>
        <w:t>1</w:t>
      </w:r>
      <w:r>
        <w:rPr>
          <w:sz w:val="10"/>
        </w:rPr>
        <w:t xml:space="preserve"> Nominal. </w:t>
      </w:r>
      <w:r w:rsidR="00F04F93">
        <w:rPr>
          <w:sz w:val="10"/>
        </w:rPr>
        <w:t>Indexes 2009-10 = 100.0.</w:t>
      </w:r>
    </w:p>
    <w:p w14:paraId="2F2DE074" w14:textId="7B375EE9" w:rsidR="00035E69" w:rsidRPr="00715528" w:rsidRDefault="00F04F93" w:rsidP="00035E69">
      <w:pPr>
        <w:pStyle w:val="BodyText"/>
        <w:spacing w:after="0"/>
        <w:jc w:val="both"/>
        <w:rPr>
          <w:sz w:val="10"/>
        </w:rPr>
      </w:pPr>
      <w:r w:rsidRPr="00A441A2">
        <w:rPr>
          <w:sz w:val="10"/>
        </w:rPr>
        <w:t xml:space="preserve">Source: </w:t>
      </w:r>
      <w:r>
        <w:rPr>
          <w:sz w:val="10"/>
        </w:rPr>
        <w:t xml:space="preserve">WA </w:t>
      </w:r>
      <w:r w:rsidRPr="003875B0">
        <w:rPr>
          <w:sz w:val="10"/>
        </w:rPr>
        <w:t>Department of Mines, Industry Regulation and Safety, Resource Data Files</w:t>
      </w:r>
      <w:r>
        <w:rPr>
          <w:sz w:val="10"/>
        </w:rPr>
        <w:t xml:space="preserve"> (Bi-Annual).</w:t>
      </w:r>
    </w:p>
    <w:p w14:paraId="112427E1" w14:textId="6A24D77D" w:rsidR="00A466F9" w:rsidRPr="00CB298C" w:rsidRDefault="00035E69" w:rsidP="00A466F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br w:type="column"/>
      </w:r>
      <w:r w:rsidR="00A466F9">
        <w:rPr>
          <w:sz w:val="16"/>
        </w:rPr>
        <w:t xml:space="preserve">The value of </w:t>
      </w:r>
      <w:r w:rsidR="00A466F9" w:rsidRPr="008B69DD">
        <w:rPr>
          <w:sz w:val="16"/>
        </w:rPr>
        <w:t>Western Australia’s</w:t>
      </w:r>
      <w:r w:rsidR="00A466F9">
        <w:rPr>
          <w:sz w:val="16"/>
        </w:rPr>
        <w:t xml:space="preserve"> </w:t>
      </w:r>
      <w:r w:rsidR="00FF275A">
        <w:rPr>
          <w:sz w:val="16"/>
        </w:rPr>
        <w:t>gold sales rose 32</w:t>
      </w:r>
      <w:r w:rsidR="00A466F9" w:rsidRPr="00B37BBC">
        <w:rPr>
          <w:sz w:val="16"/>
        </w:rPr>
        <w:t>% to $1</w:t>
      </w:r>
      <w:r w:rsidR="00FF275A">
        <w:rPr>
          <w:sz w:val="16"/>
        </w:rPr>
        <w:t>5.8</w:t>
      </w:r>
      <w:r w:rsidR="00A466F9">
        <w:rPr>
          <w:sz w:val="16"/>
        </w:rPr>
        <w:t xml:space="preserve"> </w:t>
      </w:r>
      <w:r w:rsidR="00A466F9" w:rsidRPr="00B37BBC">
        <w:rPr>
          <w:sz w:val="16"/>
        </w:rPr>
        <w:t>billion in 2019-20,</w:t>
      </w:r>
      <w:r w:rsidR="00FF275A">
        <w:rPr>
          <w:sz w:val="16"/>
        </w:rPr>
        <w:t xml:space="preserve"> due to rising</w:t>
      </w:r>
      <w:r w:rsidR="00A466F9" w:rsidRPr="00B37BBC">
        <w:rPr>
          <w:sz w:val="16"/>
        </w:rPr>
        <w:t xml:space="preserve"> average prices</w:t>
      </w:r>
      <w:r w:rsidR="00FF275A">
        <w:rPr>
          <w:sz w:val="16"/>
        </w:rPr>
        <w:t xml:space="preserve"> and sales volumes</w:t>
      </w:r>
      <w:r w:rsidR="00A466F9" w:rsidRPr="008B69DD">
        <w:rPr>
          <w:sz w:val="16"/>
        </w:rPr>
        <w:t>.</w:t>
      </w:r>
    </w:p>
    <w:p w14:paraId="331A9D2F" w14:textId="1369296B" w:rsidR="00A466F9" w:rsidRPr="00B37BBC" w:rsidRDefault="00A466F9" w:rsidP="00A466F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B37BBC">
        <w:rPr>
          <w:sz w:val="16"/>
        </w:rPr>
        <w:t>The volume of</w:t>
      </w:r>
      <w:r>
        <w:rPr>
          <w:sz w:val="16"/>
        </w:rPr>
        <w:t xml:space="preserve"> Western Australia’s </w:t>
      </w:r>
      <w:r w:rsidR="00FF275A">
        <w:rPr>
          <w:sz w:val="16"/>
        </w:rPr>
        <w:t>gold sales rose 0.3</w:t>
      </w:r>
      <w:r w:rsidRPr="00B37BBC">
        <w:rPr>
          <w:sz w:val="16"/>
        </w:rPr>
        <w:t xml:space="preserve">% to </w:t>
      </w:r>
      <w:r w:rsidR="00FF275A">
        <w:rPr>
          <w:sz w:val="16"/>
        </w:rPr>
        <w:t xml:space="preserve">212 </w:t>
      </w:r>
      <w:r w:rsidRPr="00B37BBC">
        <w:rPr>
          <w:sz w:val="16"/>
        </w:rPr>
        <w:t xml:space="preserve">tonnes in 2019-20, below </w:t>
      </w:r>
      <w:r w:rsidR="00FF275A">
        <w:rPr>
          <w:sz w:val="16"/>
        </w:rPr>
        <w:t>its c</w:t>
      </w:r>
      <w:r>
        <w:rPr>
          <w:sz w:val="16"/>
        </w:rPr>
        <w:t xml:space="preserve">ompound </w:t>
      </w:r>
      <w:r w:rsidR="00FF275A">
        <w:rPr>
          <w:sz w:val="16"/>
        </w:rPr>
        <w:t>annual growth of 3</w:t>
      </w:r>
      <w:r w:rsidRPr="00B37BBC">
        <w:rPr>
          <w:sz w:val="16"/>
        </w:rPr>
        <w:t>% over the past 10 years.</w:t>
      </w:r>
    </w:p>
    <w:p w14:paraId="1F0CE1A1" w14:textId="032D0E5A" w:rsidR="00A466F9" w:rsidRPr="00A466F9" w:rsidRDefault="00A466F9" w:rsidP="00A466F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466F9">
        <w:rPr>
          <w:sz w:val="16"/>
        </w:rPr>
        <w:t xml:space="preserve">The </w:t>
      </w:r>
      <w:r w:rsidR="00921EEB">
        <w:rPr>
          <w:sz w:val="16"/>
        </w:rPr>
        <w:t xml:space="preserve">annual average </w:t>
      </w:r>
      <w:r w:rsidRPr="00A466F9">
        <w:rPr>
          <w:sz w:val="16"/>
        </w:rPr>
        <w:t xml:space="preserve">$A unit price (free on board) of Western Australia’s </w:t>
      </w:r>
      <w:r w:rsidR="00FF275A">
        <w:rPr>
          <w:sz w:val="16"/>
        </w:rPr>
        <w:t>gold</w:t>
      </w:r>
      <w:r w:rsidRPr="00A466F9">
        <w:rPr>
          <w:sz w:val="16"/>
        </w:rPr>
        <w:t xml:space="preserve"> sales rose by </w:t>
      </w:r>
      <w:r w:rsidR="00FF275A">
        <w:rPr>
          <w:sz w:val="16"/>
        </w:rPr>
        <w:t>32</w:t>
      </w:r>
      <w:r w:rsidRPr="00A466F9">
        <w:rPr>
          <w:sz w:val="16"/>
        </w:rPr>
        <w:t>% in 2019</w:t>
      </w:r>
      <w:r w:rsidR="00FF275A">
        <w:rPr>
          <w:sz w:val="16"/>
        </w:rPr>
        <w:noBreakHyphen/>
      </w:r>
      <w:r w:rsidRPr="00A466F9">
        <w:rPr>
          <w:sz w:val="16"/>
        </w:rPr>
        <w:t>20.</w:t>
      </w:r>
    </w:p>
    <w:p w14:paraId="589A4236" w14:textId="62AC902E" w:rsidR="00035E69" w:rsidRDefault="00035E69" w:rsidP="00A466F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br w:type="page"/>
      </w:r>
    </w:p>
    <w:p w14:paraId="2BDB2495" w14:textId="77777777" w:rsidR="005C3D09" w:rsidRDefault="005C3D09" w:rsidP="00035E69">
      <w:pPr>
        <w:pStyle w:val="BodyText"/>
        <w:spacing w:after="0"/>
        <w:sectPr w:rsidR="005C3D0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3F2F7AFD" w14:textId="160A7FF2" w:rsidR="00035E69" w:rsidRPr="00D426CF" w:rsidRDefault="00035E69" w:rsidP="00035E69">
      <w:pPr>
        <w:pStyle w:val="BodyText"/>
        <w:spacing w:after="0"/>
      </w:pPr>
    </w:p>
    <w:p w14:paraId="1B8E0245" w14:textId="08256FAC" w:rsidR="00035E69" w:rsidRPr="00EC6333" w:rsidRDefault="005C3D09" w:rsidP="00EC6333">
      <w:pPr>
        <w:pStyle w:val="BodyText"/>
        <w:spacing w:after="0"/>
        <w:rPr>
          <w:b/>
          <w:sz w:val="20"/>
        </w:rPr>
      </w:pPr>
      <w:r>
        <w:rPr>
          <w:b/>
          <w:sz w:val="20"/>
        </w:rPr>
        <w:t>Western Australia’s regional economies (</w:t>
      </w:r>
      <w:r w:rsidR="00167179">
        <w:rPr>
          <w:b/>
          <w:sz w:val="20"/>
        </w:rPr>
        <w:t xml:space="preserve">Regional </w:t>
      </w:r>
      <w:r>
        <w:rPr>
          <w:b/>
          <w:sz w:val="20"/>
        </w:rPr>
        <w:t>Development Commission Regions)</w:t>
      </w:r>
    </w:p>
    <w:p w14:paraId="31F9DA0C" w14:textId="43B3FEA9" w:rsidR="00035E69" w:rsidRDefault="0073708B" w:rsidP="00C85FDD">
      <w:pPr>
        <w:spacing w:after="0"/>
        <w:jc w:val="center"/>
        <w:rPr>
          <w:sz w:val="16"/>
        </w:rPr>
      </w:pPr>
      <w:r>
        <w:rPr>
          <w:noProof/>
          <w:sz w:val="16"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3D704F" wp14:editId="32961237">
                <wp:simplePos x="0" y="0"/>
                <wp:positionH relativeFrom="column">
                  <wp:posOffset>29633</wp:posOffset>
                </wp:positionH>
                <wp:positionV relativeFrom="paragraph">
                  <wp:posOffset>53127</wp:posOffset>
                </wp:positionV>
                <wp:extent cx="6667500" cy="7412567"/>
                <wp:effectExtent l="0" t="0" r="19050" b="1714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0" cy="741256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334"/>
                              <w:gridCol w:w="795"/>
                              <w:gridCol w:w="1128"/>
                              <w:gridCol w:w="787"/>
                              <w:gridCol w:w="222"/>
                              <w:gridCol w:w="1167"/>
                              <w:gridCol w:w="1167"/>
                              <w:gridCol w:w="795"/>
                              <w:gridCol w:w="1128"/>
                              <w:gridCol w:w="787"/>
                            </w:tblGrid>
                            <w:tr w:rsidR="00612B25" w:rsidRPr="00EE46E2" w14:paraId="3DDCA44A" w14:textId="77777777" w:rsidTr="00EE46E2">
                              <w:trPr>
                                <w:gridAfter w:val="4"/>
                              </w:trPr>
                              <w:tc>
                                <w:tcPr>
                                  <w:tcW w:w="0" w:type="auto"/>
                                </w:tcPr>
                                <w:p w14:paraId="42B935F1" w14:textId="77777777" w:rsidR="00612B25" w:rsidRPr="00EE46E2" w:rsidRDefault="00612B25" w:rsidP="00FD646A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3"/>
                                </w:tcPr>
                                <w:p w14:paraId="5657486D" w14:textId="77777777" w:rsidR="00612B25" w:rsidRPr="00EE46E2" w:rsidRDefault="00612B25" w:rsidP="00FD646A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</w:tcPr>
                                <w:p w14:paraId="6D826153" w14:textId="77777777" w:rsidR="00612B25" w:rsidRPr="00EE46E2" w:rsidRDefault="00612B25" w:rsidP="00FD646A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612B25" w:rsidRPr="00EE46E2" w14:paraId="3D0184DB" w14:textId="7D02F05B" w:rsidTr="00EE46E2">
                              <w:trPr>
                                <w:gridAfter w:val="4"/>
                              </w:trPr>
                              <w:tc>
                                <w:tcPr>
                                  <w:tcW w:w="0" w:type="auto"/>
                                </w:tcPr>
                                <w:p w14:paraId="2B2F7613" w14:textId="77777777" w:rsidR="00612B25" w:rsidRPr="00EE46E2" w:rsidRDefault="00612B25" w:rsidP="00FD646A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3"/>
                                </w:tcPr>
                                <w:p w14:paraId="56D17850" w14:textId="77777777" w:rsidR="00612B25" w:rsidRPr="00EE46E2" w:rsidRDefault="00612B25" w:rsidP="00FD646A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</w:tcPr>
                                <w:p w14:paraId="74CBDD26" w14:textId="2F9183B5" w:rsidR="00612B25" w:rsidRPr="00EE46E2" w:rsidRDefault="00612B25" w:rsidP="00FD646A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694402" w:rsidRPr="00EE46E2" w14:paraId="479BDE5F" w14:textId="18AA054F" w:rsidTr="00DB06EA">
                              <w:tc>
                                <w:tcPr>
                                  <w:tcW w:w="0" w:type="auto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9594" w:themeFill="accent2" w:themeFillTint="99"/>
                                </w:tcPr>
                                <w:p w14:paraId="59F0DF84" w14:textId="20D7F220" w:rsidR="00694402" w:rsidRPr="00EE46E2" w:rsidRDefault="00694402" w:rsidP="008C34A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b/>
                                      <w:color w:val="FFFFFF" w:themeColor="background1"/>
                                      <w:sz w:val="13"/>
                                      <w:szCs w:val="13"/>
                                    </w:rPr>
                                  </w:pPr>
                                  <w:r w:rsidRPr="00694402">
                                    <w:rPr>
                                      <w:rFonts w:cstheme="minorHAnsi"/>
                                      <w:b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PILBARA &amp; OFFSHORE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262E946" w14:textId="76C1D2F4" w:rsidR="00694402" w:rsidRPr="00EE46E2" w:rsidRDefault="00694402" w:rsidP="008C34A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993366"/>
                                </w:tcPr>
                                <w:p w14:paraId="4B4E5761" w14:textId="2332B184" w:rsidR="00694402" w:rsidRPr="00EE46E2" w:rsidRDefault="00694402" w:rsidP="008C34A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694402">
                                    <w:rPr>
                                      <w:rFonts w:cstheme="minorHAnsi"/>
                                      <w:b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KIMBERLEY</w:t>
                                  </w:r>
                                </w:p>
                              </w:tc>
                            </w:tr>
                            <w:tr w:rsidR="00612B25" w:rsidRPr="00EE46E2" w14:paraId="2DFFBB98" w14:textId="77777777" w:rsidTr="00EE46E2"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8ECDDAD" w14:textId="77777777" w:rsidR="00612B25" w:rsidRPr="00EE46E2" w:rsidRDefault="00612B25" w:rsidP="00993C31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EE317AD" w14:textId="4758F05B" w:rsidR="00612B25" w:rsidRPr="00EE46E2" w:rsidRDefault="00612B25" w:rsidP="00993C31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Figure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9102B21" w14:textId="53CF7505" w:rsidR="00612B25" w:rsidRPr="00EE46E2" w:rsidRDefault="00612B25" w:rsidP="00993C31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Annual change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C535E51" w14:textId="58C91AE2" w:rsidR="00612B25" w:rsidRPr="00EE46E2" w:rsidRDefault="00612B25" w:rsidP="00993C31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WA share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5560E48" w14:textId="5B6D4626" w:rsidR="00612B25" w:rsidRPr="00EE46E2" w:rsidRDefault="00612B25" w:rsidP="00993C31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16EDD97" w14:textId="77777777" w:rsidR="00612B25" w:rsidRPr="00EE46E2" w:rsidRDefault="00612B25" w:rsidP="00993C31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20312E6" w14:textId="488AB2C1" w:rsidR="00612B25" w:rsidRPr="00EE46E2" w:rsidRDefault="00612B25" w:rsidP="00993C31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Figure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AF8C52E" w14:textId="028B8DC0" w:rsidR="00612B25" w:rsidRPr="00EE46E2" w:rsidRDefault="00612B25" w:rsidP="00993C31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Annual change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4B139B5" w14:textId="3EC9BA9E" w:rsidR="00612B25" w:rsidRPr="00EE46E2" w:rsidRDefault="00612B25" w:rsidP="00993C31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WA share</w:t>
                                  </w:r>
                                </w:p>
                              </w:tc>
                            </w:tr>
                            <w:tr w:rsidR="00612B25" w:rsidRPr="00EE46E2" w14:paraId="0EA6A5C0" w14:textId="378B894B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1AEC857" w14:textId="3D807B1E" w:rsidR="00612B25" w:rsidRPr="00EE46E2" w:rsidRDefault="00612B25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Gross regional product: 2018-19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744CD37" w14:textId="4FBBEDEC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$46.6b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E3D100C" w14:textId="5D6B6707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+24.6%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79D59CD" w14:textId="5167D147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16.3%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D883D5C" w14:textId="62D28B88" w:rsidR="00612B25" w:rsidRPr="00EE46E2" w:rsidRDefault="00612B25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F0196ED" w14:textId="6BED4D98" w:rsidR="00612B25" w:rsidRPr="00EE46E2" w:rsidRDefault="00612B25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Gross regional product: 2018-19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7E6EFB0" w14:textId="35FE95BE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$3.0b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0379702" w14:textId="75B245EF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+8.7%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41BDAD1" w14:textId="1BA60079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1.1%</w:t>
                                  </w:r>
                                </w:p>
                              </w:tc>
                            </w:tr>
                            <w:tr w:rsidR="00612B25" w:rsidRPr="00EE46E2" w14:paraId="2DAE696E" w14:textId="5D97CD8B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A317A7D" w14:textId="2D7B4787" w:rsidR="00612B25" w:rsidRPr="00EE46E2" w:rsidRDefault="00612B25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Population: 2018-19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C299A12" w14:textId="461BDB63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62,093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F0388B0" w14:textId="46EFECE3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+0.7%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59F9ABB" w14:textId="10CB01A2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2.4%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3389B67" w14:textId="249914E0" w:rsidR="00612B25" w:rsidRPr="00EE46E2" w:rsidRDefault="00612B25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573CDA" w14:textId="2607E10E" w:rsidR="00612B25" w:rsidRPr="00EE46E2" w:rsidRDefault="00612B25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Population: 2018-19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198FDF5" w14:textId="5B683BF9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35,901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4E4045D" w14:textId="454A0B8C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-0.3%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99E6BE8" w14:textId="2C5D257F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1.4%</w:t>
                                  </w:r>
                                </w:p>
                              </w:tc>
                            </w:tr>
                            <w:tr w:rsidR="00612B25" w:rsidRPr="00EE46E2" w14:paraId="3E9C1828" w14:textId="78E951F2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70F5E7B" w14:textId="0678FAB3" w:rsidR="00612B25" w:rsidRPr="00EE46E2" w:rsidRDefault="00612B25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Employed persons: Jun.2020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D31E3F1" w14:textId="6CC5D43D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37,265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126E75" w14:textId="73B1D2F0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+19.5%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4245965" w14:textId="783D7A93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2.8%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518AC70" w14:textId="08E2D883" w:rsidR="00612B25" w:rsidRPr="00EE46E2" w:rsidRDefault="00612B25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8B66D4C" w14:textId="32C01551" w:rsidR="00612B25" w:rsidRPr="00EE46E2" w:rsidRDefault="00612B25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Employed persons: Jun.2020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7326451" w14:textId="505819B2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14,037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78256D" w14:textId="713E7AE5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-2.7%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66C0654" w14:textId="13548663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1.0%</w:t>
                                  </w:r>
                                </w:p>
                              </w:tc>
                            </w:tr>
                            <w:tr w:rsidR="00612B25" w:rsidRPr="00EE46E2" w14:paraId="7D02C0F2" w14:textId="67860640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5579DB6" w14:textId="3015311A" w:rsidR="00612B25" w:rsidRPr="00EE46E2" w:rsidRDefault="00612B25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Unemployment rate: Jun.2020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100C518" w14:textId="12838326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3.2%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C01AB00" w14:textId="5BBB1A68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+0.0pp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70A098D" w14:textId="77777777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424A60B" w14:textId="5ED1AD68" w:rsidR="00612B25" w:rsidRPr="00EE46E2" w:rsidRDefault="00612B25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40812F4" w14:textId="78A36F8F" w:rsidR="00612B25" w:rsidRPr="00EE46E2" w:rsidRDefault="00612B25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Unemployment rate: Jun.2020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E6127CE" w14:textId="7C23DAC9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16.1%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DC5A37B" w14:textId="44133E34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+0.6pp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D98ED5B" w14:textId="77777777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612B25" w:rsidRPr="00EE46E2" w14:paraId="2F24FC06" w14:textId="00D32B6A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DB0F2A8" w14:textId="6AD43CE0" w:rsidR="00612B25" w:rsidRPr="00EE46E2" w:rsidRDefault="00612B25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Minerals &amp; petroleum sales: 2019-20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3226404" w14:textId="77D30708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$140.6b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02C4DB8" w14:textId="1F48C770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+19.9%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EAE7497" w14:textId="2592BF51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81.9%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F27A655" w14:textId="00246F34" w:rsidR="00612B25" w:rsidRPr="00EE46E2" w:rsidRDefault="00612B25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AF11815" w14:textId="428485A4" w:rsidR="00612B25" w:rsidRPr="00EE46E2" w:rsidRDefault="00612B25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Minerals &amp; petroleum sales: 2019-20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9C937C6" w14:textId="0126B8B5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$765m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74C3D61" w14:textId="01CF6A14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+77.0%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6224E2D" w14:textId="28F532E6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0.4%</w:t>
                                  </w:r>
                                </w:p>
                              </w:tc>
                            </w:tr>
                            <w:tr w:rsidR="00612B25" w:rsidRPr="00EE46E2" w14:paraId="14C04BE6" w14:textId="512DBC86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8E53072" w14:textId="6E945FD4" w:rsidR="00612B25" w:rsidRPr="00EE46E2" w:rsidRDefault="00612B25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Building approvals: 2019-20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21E0E39" w14:textId="39957DE9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$358m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67FB60A" w14:textId="1B8622E4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+68.5%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C775515" w14:textId="6670DFCA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3.9%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4ADCD410" w14:textId="4E36A72F" w:rsidR="00612B25" w:rsidRPr="00EE46E2" w:rsidRDefault="00612B25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34CC8F9" w14:textId="500A0D16" w:rsidR="00612B25" w:rsidRPr="00EE46E2" w:rsidRDefault="00612B25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Building approvals: 2019-20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3AC00CC" w14:textId="15CC18A8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$87m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1620A55" w14:textId="24C552B5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+18.5%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52CC0BA" w14:textId="4A5E81CB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1.0%</w:t>
                                  </w:r>
                                </w:p>
                              </w:tc>
                            </w:tr>
                            <w:tr w:rsidR="00612B25" w:rsidRPr="00EE46E2" w14:paraId="2418FA8A" w14:textId="21A66962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02C611E" w14:textId="1BC2561B" w:rsidR="00612B25" w:rsidRPr="00EE46E2" w:rsidRDefault="00612B25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Overnight visitors a year: 2017-2019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9D6883C" w14:textId="1941B16D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940,000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4387C2A" w14:textId="761474EC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60045A1" w14:textId="08405002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7.6%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641C46B" w14:textId="440174DD" w:rsidR="00612B25" w:rsidRPr="00EE46E2" w:rsidRDefault="00612B25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ACF7E31" w14:textId="4E6107E4" w:rsidR="00612B25" w:rsidRPr="00EE46E2" w:rsidRDefault="00612B25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Overnight visitors a year: 2017-2019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C98CD0" w14:textId="077B4FB1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430,000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0EAD05D" w14:textId="77777777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960FAF1" w14:textId="20ACE31D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3.5%</w:t>
                                  </w:r>
                                </w:p>
                              </w:tc>
                            </w:tr>
                            <w:tr w:rsidR="00612B25" w:rsidRPr="00EE46E2" w14:paraId="7D7E5388" w14:textId="77777777" w:rsidTr="00EE46E2"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6B5E7A33" w14:textId="77777777" w:rsidR="00612B25" w:rsidRPr="00EE46E2" w:rsidRDefault="00612B25" w:rsidP="00993C31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10D96861" w14:textId="77777777" w:rsidR="00612B25" w:rsidRPr="00EE46E2" w:rsidRDefault="00612B25" w:rsidP="00993C31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7F860F6D" w14:textId="77777777" w:rsidR="00612B25" w:rsidRPr="00EE46E2" w:rsidRDefault="00612B25" w:rsidP="00993C31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550ABFA8" w14:textId="77777777" w:rsidR="00612B25" w:rsidRPr="00EE46E2" w:rsidRDefault="00612B25" w:rsidP="00993C31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652280C1" w14:textId="520661AA" w:rsidR="00612B25" w:rsidRPr="00EE46E2" w:rsidRDefault="00612B25" w:rsidP="00993C31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77B2663E" w14:textId="77777777" w:rsidR="00612B25" w:rsidRPr="00EE46E2" w:rsidRDefault="00612B25" w:rsidP="00993C31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0C0AE468" w14:textId="77777777" w:rsidR="00612B25" w:rsidRPr="00EE46E2" w:rsidRDefault="00612B25" w:rsidP="00993C31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18E920A2" w14:textId="77777777" w:rsidR="00612B25" w:rsidRPr="00EE46E2" w:rsidRDefault="00612B25" w:rsidP="00993C31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429598D4" w14:textId="77777777" w:rsidR="00612B25" w:rsidRPr="00EE46E2" w:rsidRDefault="00612B25" w:rsidP="00993C31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694402" w:rsidRPr="00EE46E2" w14:paraId="5C861426" w14:textId="245DA7DE" w:rsidTr="00107684">
                              <w:tc>
                                <w:tcPr>
                                  <w:tcW w:w="0" w:type="auto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8DB3E2" w:themeFill="text2" w:themeFillTint="66"/>
                                </w:tcPr>
                                <w:p w14:paraId="534D55D5" w14:textId="422C0D8E" w:rsidR="00694402" w:rsidRPr="00EE46E2" w:rsidRDefault="00694402" w:rsidP="00993C31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694402">
                                    <w:rPr>
                                      <w:rFonts w:cstheme="minorHAnsi"/>
                                      <w:b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GASCOYNE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D6AFD5A" w14:textId="54D7EA1C" w:rsidR="00694402" w:rsidRPr="00EE46E2" w:rsidRDefault="00694402" w:rsidP="00993C31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31849B" w:themeFill="accent5" w:themeFillShade="BF"/>
                                </w:tcPr>
                                <w:p w14:paraId="1FC6AAA7" w14:textId="6C593B91" w:rsidR="00694402" w:rsidRPr="00EE46E2" w:rsidRDefault="00694402" w:rsidP="00993C31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694402">
                                    <w:rPr>
                                      <w:rFonts w:cstheme="minorHAnsi"/>
                                      <w:b/>
                                      <w:color w:val="FFFFFF"/>
                                      <w:sz w:val="14"/>
                                      <w:szCs w:val="14"/>
                                    </w:rPr>
                                    <w:t>MID WEST</w:t>
                                  </w:r>
                                </w:p>
                              </w:tc>
                            </w:tr>
                            <w:tr w:rsidR="00612B25" w:rsidRPr="00EE46E2" w14:paraId="59F11D2F" w14:textId="77777777" w:rsidTr="00EE46E2"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E9A1CE9" w14:textId="77777777" w:rsidR="00612B25" w:rsidRPr="00EE46E2" w:rsidRDefault="00612B25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BC1108" w14:textId="6C18379B" w:rsidR="00612B25" w:rsidRPr="00EE46E2" w:rsidRDefault="00612B25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Figure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DE61D6C" w14:textId="37ADB2CA" w:rsidR="00612B25" w:rsidRPr="00EE46E2" w:rsidRDefault="00612B25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Annual change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00396F2" w14:textId="1DB0D151" w:rsidR="00612B25" w:rsidRPr="00EE46E2" w:rsidRDefault="00612B25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WA share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64C28C2B" w14:textId="13AE367F" w:rsidR="00612B25" w:rsidRPr="00EE46E2" w:rsidRDefault="00612B25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68827B0" w14:textId="77777777" w:rsidR="00612B25" w:rsidRPr="00EE46E2" w:rsidRDefault="00612B25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5BAE432" w14:textId="52F681D1" w:rsidR="00612B25" w:rsidRPr="00EE46E2" w:rsidRDefault="00612B25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Figure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DD12184" w14:textId="07DD1DA3" w:rsidR="00612B25" w:rsidRPr="00EE46E2" w:rsidRDefault="00612B25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Annual change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AFF9483" w14:textId="48C6B35B" w:rsidR="00612B25" w:rsidRPr="00EE46E2" w:rsidRDefault="00612B25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WA share</w:t>
                                  </w:r>
                                </w:p>
                              </w:tc>
                            </w:tr>
                            <w:tr w:rsidR="00612B25" w:rsidRPr="00EE46E2" w14:paraId="4F9A902B" w14:textId="1D0DDEC2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EBFE753" w14:textId="43B066E6" w:rsidR="00612B25" w:rsidRPr="00EE46E2" w:rsidRDefault="00612B25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Gross regional product: 2018-19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CCEEED5" w14:textId="7202879C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$1.5b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C11BDF" w14:textId="41B95274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+14.9%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D5731E6" w14:textId="76AE54BE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0.5%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6CCF332" w14:textId="09A31039" w:rsidR="00612B25" w:rsidRPr="00EE46E2" w:rsidRDefault="00612B25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65E0EAB" w14:textId="36050458" w:rsidR="00612B25" w:rsidRPr="00EE46E2" w:rsidRDefault="00612B25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Gross regional product: 2018-19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43C3966" w14:textId="48F83E37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$8.2b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3BFB098" w14:textId="6FDAA580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+16.2%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89809D2" w14:textId="64BAC0CC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2.9%</w:t>
                                  </w:r>
                                </w:p>
                              </w:tc>
                            </w:tr>
                            <w:tr w:rsidR="00612B25" w:rsidRPr="00EE46E2" w14:paraId="3AB1A015" w14:textId="5E5C1F2B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79994A3" w14:textId="7DC70459" w:rsidR="00612B25" w:rsidRPr="00EE46E2" w:rsidRDefault="00612B25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Population: 2018-19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83E0890" w14:textId="6A556B61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9,277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D38168C" w14:textId="3044716D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-1.5%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BC5D253" w14:textId="6AA75E30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0.4%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4BE210F7" w14:textId="7FB111E5" w:rsidR="00612B25" w:rsidRPr="00EE46E2" w:rsidRDefault="00612B25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1871412" w14:textId="682F35A7" w:rsidR="00612B25" w:rsidRPr="00EE46E2" w:rsidRDefault="00612B25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Population: 2018-19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D1FB3EB" w14:textId="74C80AB3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52,941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2F6B090" w14:textId="3F286DAC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-1.3%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D906165" w14:textId="35576C87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2.0%</w:t>
                                  </w:r>
                                </w:p>
                              </w:tc>
                            </w:tr>
                            <w:tr w:rsidR="00612B25" w:rsidRPr="00EE46E2" w14:paraId="630DE239" w14:textId="0C17ACE6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B5722FD" w14:textId="08CF0E62" w:rsidR="00612B25" w:rsidRPr="00EE46E2" w:rsidRDefault="00612B25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Employed persons: Jun.2020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190104E" w14:textId="1A4E47AD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4,415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0ED4AF4" w14:textId="7036D8A3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-3.3%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A61527A" w14:textId="2BE4E9C6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0.3%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E767FB4" w14:textId="2A30CE19" w:rsidR="00612B25" w:rsidRPr="00EE46E2" w:rsidRDefault="00612B25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995114D" w14:textId="4B2BB4B0" w:rsidR="00612B25" w:rsidRPr="00EE46E2" w:rsidRDefault="00612B25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Employed persons: Jun.2020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53A6664" w14:textId="41F223F8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23,718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01C99D0" w14:textId="53736D22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+12.9%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5544E9E" w14:textId="561471C7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1.8%</w:t>
                                  </w:r>
                                </w:p>
                              </w:tc>
                            </w:tr>
                            <w:tr w:rsidR="00612B25" w:rsidRPr="00EE46E2" w14:paraId="10383AC8" w14:textId="4A6F1532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6AC89A3" w14:textId="3F68DCC1" w:rsidR="00612B25" w:rsidRPr="00EE46E2" w:rsidRDefault="00612B25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Unemployment rate: Jun.2020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A2A6744" w14:textId="3DE39E62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9.1%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3DA7C9C" w14:textId="60973D33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+0.2pp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FEB7259" w14:textId="77777777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42429AC4" w14:textId="3E4C66A5" w:rsidR="00612B25" w:rsidRPr="00EE46E2" w:rsidRDefault="00612B25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8731DA5" w14:textId="623C9422" w:rsidR="00612B25" w:rsidRPr="00EE46E2" w:rsidRDefault="00612B25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Unemployment rate: Jun.2020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2D2B02" w14:textId="4AE7FF01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8.4%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FBF5661" w14:textId="7C2B4368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-0.6pp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22C3ED5" w14:textId="77777777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612B25" w:rsidRPr="00EE46E2" w14:paraId="5F2FF429" w14:textId="15A6BF20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833BB82" w14:textId="06707764" w:rsidR="00612B25" w:rsidRPr="00EE46E2" w:rsidRDefault="00612B25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Minerals &amp; petroleum sales: 2019-20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FE4EC15" w14:textId="1BBF30DE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$98m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B917566" w14:textId="04C28390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+1.5%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6518B2B" w14:textId="65DC851C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0.1%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C04CCC1" w14:textId="749A4218" w:rsidR="00612B25" w:rsidRPr="00EE46E2" w:rsidRDefault="00612B25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4EDA47" w14:textId="636FEF6B" w:rsidR="00612B25" w:rsidRPr="00EE46E2" w:rsidRDefault="00612B25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Minerals &amp; petroleum sales: 2019-20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840BB4" w14:textId="7CF22BFB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$4.8b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F3C449F" w14:textId="36A62A52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+22.8%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00DF589" w14:textId="786A76D0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2.8%</w:t>
                                  </w:r>
                                </w:p>
                              </w:tc>
                            </w:tr>
                            <w:tr w:rsidR="00612B25" w:rsidRPr="00EE46E2" w14:paraId="36EEF753" w14:textId="290EC4C3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DB6A009" w14:textId="70064AE0" w:rsidR="00612B25" w:rsidRPr="00EE46E2" w:rsidRDefault="00612B25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Building approvals: 2019-20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129379D" w14:textId="51BA1962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$36m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4BC3A6B" w14:textId="76DF9572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+76.3%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1A020D" w14:textId="3F803850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0.4%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69FAE50" w14:textId="15E9CAB0" w:rsidR="00612B25" w:rsidRPr="00EE46E2" w:rsidRDefault="00612B25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8FBF323" w14:textId="45935846" w:rsidR="00612B25" w:rsidRPr="00EE46E2" w:rsidRDefault="00612B25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Building approvals: 2019-20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52998EE" w14:textId="6820D9A1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$164m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0DF8FAB" w14:textId="01A63A83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+99.4%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B2832E2" w14:textId="5F97C4AF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1.8%</w:t>
                                  </w:r>
                                </w:p>
                              </w:tc>
                            </w:tr>
                            <w:tr w:rsidR="00612B25" w:rsidRPr="00EE46E2" w14:paraId="0FAE4544" w14:textId="12796BA9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892F0D7" w14:textId="32233D97" w:rsidR="00612B25" w:rsidRPr="00EE46E2" w:rsidRDefault="00612B25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Overnight visitors a year: 2017-2019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894ABFD" w14:textId="7D7B898C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306,000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B77B9B6" w14:textId="25473A4F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B1C7E04" w14:textId="0758B4D4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2.5%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454AE45" w14:textId="49CF554F" w:rsidR="00612B25" w:rsidRPr="00EE46E2" w:rsidRDefault="00612B25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E6391EA" w14:textId="779A38F6" w:rsidR="00612B25" w:rsidRPr="00EE46E2" w:rsidRDefault="00612B25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Overnight visitors a year: 2017-2019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36E357F" w14:textId="03D3C07C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709,000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6A9FFAD" w14:textId="77777777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7CCAC39" w14:textId="6D8C0F7D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5.7%</w:t>
                                  </w:r>
                                </w:p>
                              </w:tc>
                            </w:tr>
                            <w:tr w:rsidR="00612B25" w:rsidRPr="00EE46E2" w14:paraId="73513FDC" w14:textId="77777777" w:rsidTr="00EE46E2"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0BD350AE" w14:textId="77777777" w:rsidR="00612B25" w:rsidRPr="00EE46E2" w:rsidRDefault="00612B25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3621DE06" w14:textId="77777777" w:rsidR="00612B25" w:rsidRPr="00EE46E2" w:rsidRDefault="00612B25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4C4F4E31" w14:textId="77777777" w:rsidR="00612B25" w:rsidRPr="00EE46E2" w:rsidRDefault="00612B25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1977889E" w14:textId="77777777" w:rsidR="00612B25" w:rsidRPr="00EE46E2" w:rsidRDefault="00612B25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5E871470" w14:textId="0E510679" w:rsidR="00612B25" w:rsidRPr="00EE46E2" w:rsidRDefault="00612B25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7F27F762" w14:textId="77777777" w:rsidR="00612B25" w:rsidRPr="00EE46E2" w:rsidRDefault="00612B25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2EF64958" w14:textId="77777777" w:rsidR="00612B25" w:rsidRPr="00EE46E2" w:rsidRDefault="00612B25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396891BB" w14:textId="77777777" w:rsidR="00612B25" w:rsidRPr="00EE46E2" w:rsidRDefault="00612B25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7BAB87D3" w14:textId="77777777" w:rsidR="00612B25" w:rsidRPr="00EE46E2" w:rsidRDefault="00612B25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694402" w:rsidRPr="00EE46E2" w14:paraId="2598A6DE" w14:textId="180E03FD" w:rsidTr="00E217AF">
                              <w:tc>
                                <w:tcPr>
                                  <w:tcW w:w="0" w:type="auto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5F497A" w:themeFill="accent4" w:themeFillShade="BF"/>
                                </w:tcPr>
                                <w:p w14:paraId="2B8375BF" w14:textId="5604214B" w:rsidR="00694402" w:rsidRPr="00EE46E2" w:rsidRDefault="00694402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694402">
                                    <w:rPr>
                                      <w:rFonts w:cstheme="minorHAnsi"/>
                                      <w:b/>
                                      <w:color w:val="FFFFFF"/>
                                      <w:sz w:val="14"/>
                                      <w:szCs w:val="14"/>
                                    </w:rPr>
                                    <w:t>PERTH METROPOLITAN AREA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FC36223" w14:textId="4B8AD82D" w:rsidR="00694402" w:rsidRPr="00EE46E2" w:rsidRDefault="00694402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C000"/>
                                </w:tcPr>
                                <w:p w14:paraId="6D5CED4E" w14:textId="01F8645D" w:rsidR="00694402" w:rsidRPr="00EE46E2" w:rsidRDefault="00694402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694402">
                                    <w:rPr>
                                      <w:rFonts w:cstheme="minorHAnsi"/>
                                      <w:b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WHEATBELT</w:t>
                                  </w:r>
                                </w:p>
                              </w:tc>
                            </w:tr>
                            <w:tr w:rsidR="00612B25" w:rsidRPr="00EE46E2" w14:paraId="271DF028" w14:textId="77777777" w:rsidTr="00EE46E2"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14D9BDA" w14:textId="77777777" w:rsidR="00612B25" w:rsidRPr="00EE46E2" w:rsidRDefault="00612B25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5ACECAD" w14:textId="50709813" w:rsidR="00612B25" w:rsidRPr="00EE46E2" w:rsidRDefault="00612B25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Figure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60049F7" w14:textId="660D4861" w:rsidR="00612B25" w:rsidRPr="00EE46E2" w:rsidRDefault="00612B25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Annual change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4226D82" w14:textId="269E8EAD" w:rsidR="00612B25" w:rsidRPr="00EE46E2" w:rsidRDefault="00612B25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WA share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7CFF9D5" w14:textId="568DCCF5" w:rsidR="00612B25" w:rsidRPr="00EE46E2" w:rsidRDefault="00612B25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0B01F8C" w14:textId="77777777" w:rsidR="00612B25" w:rsidRPr="00EE46E2" w:rsidRDefault="00612B25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90A59C4" w14:textId="315D91B7" w:rsidR="00612B25" w:rsidRPr="00EE46E2" w:rsidRDefault="00612B25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Figure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D229683" w14:textId="11B4FD1D" w:rsidR="00612B25" w:rsidRPr="00EE46E2" w:rsidRDefault="00612B25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Annual change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2F4DF0E" w14:textId="675F06C4" w:rsidR="00612B25" w:rsidRPr="00EE46E2" w:rsidRDefault="00612B25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WA share</w:t>
                                  </w:r>
                                </w:p>
                              </w:tc>
                            </w:tr>
                            <w:tr w:rsidR="00612B25" w:rsidRPr="00EE46E2" w14:paraId="5CA41C6B" w14:textId="779F7029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C46576E" w14:textId="0633D21C" w:rsidR="00612B25" w:rsidRPr="00EE46E2" w:rsidRDefault="00612B25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Gross regional product: 2018-19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894B95D" w14:textId="23B89CBA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$173.8b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30C8D1" w14:textId="6668DC3B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+6.7%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094D8F0" w14:textId="3B09F208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60.8%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73D1038" w14:textId="3237785B" w:rsidR="00612B25" w:rsidRPr="00EE46E2" w:rsidRDefault="00612B25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AA89BFC" w14:textId="77BF9F69" w:rsidR="00612B25" w:rsidRPr="00EE46E2" w:rsidRDefault="00612B25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Gross regional product: 2018-19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7DB7E9D" w14:textId="2D919CB7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$7.1b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A7C6E08" w14:textId="55C7E8C3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+7.7%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70C1D31" w14:textId="1DE8ED9C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2.5%</w:t>
                                  </w:r>
                                </w:p>
                              </w:tc>
                            </w:tr>
                            <w:tr w:rsidR="00612B25" w:rsidRPr="00EE46E2" w14:paraId="67E82FA6" w14:textId="78F20261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EE31A2D" w14:textId="3F85560C" w:rsidR="00612B25" w:rsidRPr="00EE46E2" w:rsidRDefault="00612B25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Population: 2018-19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F57C30E" w14:textId="31050615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1,949,753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7D6C10C" w14:textId="6529FA2C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+1.3%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4B8A42D" w14:textId="7870B112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74.4%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F30382F" w14:textId="48C94AD8" w:rsidR="00612B25" w:rsidRPr="00EE46E2" w:rsidRDefault="00612B25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8679FA6" w14:textId="538EF604" w:rsidR="00612B25" w:rsidRPr="00EE46E2" w:rsidRDefault="00612B25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Population: 2018-19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5CABF04" w14:textId="28892166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73,437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B765ECA" w14:textId="2F20A1F4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-0.5%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FC67F10" w14:textId="4E790886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2.8%</w:t>
                                  </w:r>
                                </w:p>
                              </w:tc>
                            </w:tr>
                            <w:tr w:rsidR="00612B25" w:rsidRPr="00EE46E2" w14:paraId="13F2D337" w14:textId="297C3D2D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178E592" w14:textId="17307F14" w:rsidR="00612B25" w:rsidRPr="00EE46E2" w:rsidRDefault="00612B25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Employed persons: Jun.2020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EDEBD7" w14:textId="29BAC96F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1,011,535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267C848" w14:textId="1A4C0873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+2.5%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27B476D" w14:textId="7BC042DF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75.2%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7383FC3" w14:textId="262495A9" w:rsidR="00612B25" w:rsidRPr="00EE46E2" w:rsidRDefault="00612B25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56AD373" w14:textId="1DF5A6EA" w:rsidR="00612B25" w:rsidRPr="00EE46E2" w:rsidRDefault="00612B25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Employed persons: Jun.2020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7E42813" w14:textId="4202F960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39,161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570303A" w14:textId="53A5B76D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+25.7%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7D396B8" w14:textId="5AAB9FF4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2.9%</w:t>
                                  </w:r>
                                </w:p>
                              </w:tc>
                            </w:tr>
                            <w:tr w:rsidR="00612B25" w:rsidRPr="00EE46E2" w14:paraId="4B844E0D" w14:textId="26F2B026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59DA15F" w14:textId="0C6F7A0A" w:rsidR="00612B25" w:rsidRPr="00EE46E2" w:rsidRDefault="00612B25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Unemployment rate: Jun.2020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35FBA35" w14:textId="3CD281C0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6.2%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325DABA" w14:textId="50F068F2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-0.2pp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E44E604" w14:textId="77777777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8471F30" w14:textId="40623C3B" w:rsidR="00612B25" w:rsidRPr="00EE46E2" w:rsidRDefault="00612B25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9243C11" w14:textId="4EAE48D4" w:rsidR="00612B25" w:rsidRPr="00EE46E2" w:rsidRDefault="00612B25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Unemployment rate: Jun.2020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319387D" w14:textId="53143CCB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3.2%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94A3941" w14:textId="61BB6A85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-0.7pp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06C0E57" w14:textId="77777777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612B25" w:rsidRPr="00EE46E2" w14:paraId="01439278" w14:textId="3E06A865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DB32BDB" w14:textId="1FE3262D" w:rsidR="00612B25" w:rsidRPr="00EE46E2" w:rsidRDefault="00612B25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Minerals &amp; petroleum sales: 2019-20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D94D1E9" w14:textId="2B13AF2E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$4.1b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B8A4A60" w14:textId="7712D74A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-33.0%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354418F" w14:textId="48328209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2.4%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8FD1CB8" w14:textId="01107F17" w:rsidR="00612B25" w:rsidRPr="00EE46E2" w:rsidRDefault="00612B25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D9671F3" w14:textId="46597443" w:rsidR="00612B25" w:rsidRPr="00EE46E2" w:rsidRDefault="00612B25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Minerals &amp; petroleum sales: 2019-20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8E8A17" w14:textId="1E4794B8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$2.0b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91926D4" w14:textId="63E0B5D0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+129.7%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473697B" w14:textId="02024A83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1.2%</w:t>
                                  </w:r>
                                </w:p>
                              </w:tc>
                            </w:tr>
                            <w:tr w:rsidR="00612B25" w:rsidRPr="00EE46E2" w14:paraId="141BEF64" w14:textId="110CA60C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856ADFC" w14:textId="6C9CB9F9" w:rsidR="00612B25" w:rsidRPr="00EE46E2" w:rsidRDefault="00612B25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Building approvals: 2019-20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BAADD37" w14:textId="6F1C8465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$7.1b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646F9B1" w14:textId="7F929AF7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+1.0%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BE5C722" w14:textId="650C6663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78.1%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8112097" w14:textId="19087306" w:rsidR="00612B25" w:rsidRPr="00EE46E2" w:rsidRDefault="00612B25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6478CD4" w14:textId="2AAF634C" w:rsidR="00612B25" w:rsidRPr="00EE46E2" w:rsidRDefault="00612B25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Building approvals: 2019-20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AED0CB6" w14:textId="08404809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$150m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00495DA" w14:textId="00781F92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+6.0%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444FFDE" w14:textId="2B6A638B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1.7%</w:t>
                                  </w:r>
                                </w:p>
                              </w:tc>
                            </w:tr>
                            <w:tr w:rsidR="00612B25" w:rsidRPr="00EE46E2" w14:paraId="0E16DE88" w14:textId="2A8513E1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EBB7B17" w14:textId="768DBA89" w:rsidR="00612B25" w:rsidRPr="00EE46E2" w:rsidRDefault="00612B25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Overnight visitors a year: 2017-2019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645164D" w14:textId="6CD2A16B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4,414,000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5FDBBE1" w14:textId="24F56C36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1D74BD" w14:textId="678779C8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35.6%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49E26A5A" w14:textId="24B4E5F3" w:rsidR="00612B25" w:rsidRPr="00EE46E2" w:rsidRDefault="00612B25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314956" w14:textId="692D6CCB" w:rsidR="00612B25" w:rsidRPr="00EE46E2" w:rsidRDefault="00612B25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Overnight visitors a year: 2017-2019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0CA8335" w14:textId="1F51FE4E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1,047,000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812D0F0" w14:textId="77777777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12ACE7B" w14:textId="2795C862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8.4%</w:t>
                                  </w:r>
                                </w:p>
                              </w:tc>
                            </w:tr>
                            <w:tr w:rsidR="00612B25" w:rsidRPr="00EE46E2" w14:paraId="09BBE0C6" w14:textId="77777777" w:rsidTr="00EE46E2"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049FB645" w14:textId="77777777" w:rsidR="00612B25" w:rsidRPr="00EE46E2" w:rsidRDefault="00612B25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31C059AE" w14:textId="77777777" w:rsidR="00612B25" w:rsidRPr="00EE46E2" w:rsidRDefault="00612B25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3B3D30D1" w14:textId="77777777" w:rsidR="00612B25" w:rsidRPr="00EE46E2" w:rsidRDefault="00612B25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35869C24" w14:textId="77777777" w:rsidR="00612B25" w:rsidRPr="00EE46E2" w:rsidRDefault="00612B25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2E88F772" w14:textId="00739346" w:rsidR="00612B25" w:rsidRPr="00EE46E2" w:rsidRDefault="00612B25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57898AA2" w14:textId="77777777" w:rsidR="00612B25" w:rsidRPr="00EE46E2" w:rsidRDefault="00612B25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3709A90D" w14:textId="77777777" w:rsidR="00612B25" w:rsidRPr="00EE46E2" w:rsidRDefault="00612B25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08A7214E" w14:textId="77777777" w:rsidR="00612B25" w:rsidRPr="00EE46E2" w:rsidRDefault="00612B25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0EB56F0D" w14:textId="77777777" w:rsidR="00612B25" w:rsidRPr="00EE46E2" w:rsidRDefault="00612B25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694402" w:rsidRPr="00EE46E2" w14:paraId="6EA54CE5" w14:textId="32811E2A" w:rsidTr="00CA7EE7">
                              <w:tc>
                                <w:tcPr>
                                  <w:tcW w:w="0" w:type="auto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6699"/>
                                </w:tcPr>
                                <w:p w14:paraId="2CC0D23D" w14:textId="566A0750" w:rsidR="00694402" w:rsidRPr="00EE46E2" w:rsidRDefault="00694402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694402">
                                    <w:rPr>
                                      <w:rFonts w:cstheme="minorHAnsi"/>
                                      <w:b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PEEL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615E02FB" w14:textId="01EA5165" w:rsidR="00694402" w:rsidRPr="00EE46E2" w:rsidRDefault="00694402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2D69B" w:themeFill="accent3" w:themeFillTint="99"/>
                                </w:tcPr>
                                <w:p w14:paraId="21EB2054" w14:textId="73CB39D0" w:rsidR="00694402" w:rsidRPr="00EE46E2" w:rsidRDefault="00694402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694402">
                                    <w:rPr>
                                      <w:rFonts w:cstheme="minorHAnsi"/>
                                      <w:b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GOLDFIELDS-ESPERANCE</w:t>
                                  </w:r>
                                </w:p>
                              </w:tc>
                            </w:tr>
                            <w:tr w:rsidR="00612B25" w:rsidRPr="00EE46E2" w14:paraId="10DA2508" w14:textId="77777777" w:rsidTr="00EE46E2"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B6E3454" w14:textId="77777777" w:rsidR="00612B25" w:rsidRPr="00EE46E2" w:rsidRDefault="00612B25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9F48EF9" w14:textId="52310CEF" w:rsidR="00612B25" w:rsidRPr="00EE46E2" w:rsidRDefault="00612B25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Figure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61DD221" w14:textId="0E4D1969" w:rsidR="00612B25" w:rsidRPr="00EE46E2" w:rsidRDefault="00612B25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Annual change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1131694" w14:textId="3ED47C74" w:rsidR="00612B25" w:rsidRPr="00EE46E2" w:rsidRDefault="00612B25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WA share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4455F665" w14:textId="02C9252A" w:rsidR="00612B25" w:rsidRPr="00EE46E2" w:rsidRDefault="00612B25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0DA573C" w14:textId="77777777" w:rsidR="00612B25" w:rsidRPr="00EE46E2" w:rsidRDefault="00612B25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579D678" w14:textId="03ECBE78" w:rsidR="00612B25" w:rsidRPr="00EE46E2" w:rsidRDefault="00612B25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Figure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E257756" w14:textId="40444E2C" w:rsidR="00612B25" w:rsidRPr="00EE46E2" w:rsidRDefault="00612B25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Annual change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E5FEB7F" w14:textId="1777D696" w:rsidR="00612B25" w:rsidRPr="00EE46E2" w:rsidRDefault="00612B25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WA share</w:t>
                                  </w:r>
                                </w:p>
                              </w:tc>
                            </w:tr>
                            <w:tr w:rsidR="00612B25" w:rsidRPr="00EE46E2" w14:paraId="0431DA1C" w14:textId="2296EBF3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683D4BE" w14:textId="3EA9D284" w:rsidR="00612B25" w:rsidRPr="00EE46E2" w:rsidRDefault="00612B25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Gross regional product: 2018-19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35AF316" w14:textId="737EE49A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$9.2b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8902BE4" w14:textId="629D6E65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+11.6%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DF087A5" w14:textId="4907038D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3.2%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9509A07" w14:textId="0BC64AB6" w:rsidR="00612B25" w:rsidRPr="00EE46E2" w:rsidRDefault="00612B25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75F192D" w14:textId="06F1D104" w:rsidR="00612B25" w:rsidRPr="00EE46E2" w:rsidRDefault="00612B25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Gross regional product: 2018-19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5D7AD8B" w14:textId="0043B2D2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$18.0b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A286D0C" w14:textId="572222BB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+23.3%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C7486F2" w14:textId="05A737B3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6.3%</w:t>
                                  </w:r>
                                </w:p>
                              </w:tc>
                            </w:tr>
                            <w:tr w:rsidR="00612B25" w:rsidRPr="00EE46E2" w14:paraId="3535B4AD" w14:textId="31A2AEE3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789164D" w14:textId="1070CF3B" w:rsidR="00612B25" w:rsidRPr="00EE46E2" w:rsidRDefault="00612B25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Population: 2018-19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DE17050" w14:textId="44EA1CDD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142,960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8D43A2E" w14:textId="6A0D1E2D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+2.2%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0C8BE32" w14:textId="23083D32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5.5%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6480D5F" w14:textId="40BD6A38" w:rsidR="00612B25" w:rsidRPr="00EE46E2" w:rsidRDefault="00612B25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67090A8" w14:textId="4FD0CFA7" w:rsidR="00612B25" w:rsidRPr="00EE46E2" w:rsidRDefault="00612B25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Population: 2018-19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AF1B7A4" w14:textId="4B6D3F31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54,363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6B65A6C" w14:textId="56EDA013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-1.4%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EA93D8F" w14:textId="5144522C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2.1%</w:t>
                                  </w:r>
                                </w:p>
                              </w:tc>
                            </w:tr>
                            <w:tr w:rsidR="00612B25" w:rsidRPr="00EE46E2" w14:paraId="75D0E70D" w14:textId="53389D8B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8612F68" w14:textId="4712633F" w:rsidR="00612B25" w:rsidRPr="00EE46E2" w:rsidRDefault="00612B25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Employed persons: Jun.2020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8773A2" w14:textId="7CC43FB3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63,484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347102C" w14:textId="51D6C3F4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-1.3%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8444DD1" w14:textId="3FED8129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4.7%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F7710EB" w14:textId="5A86A1EB" w:rsidR="00612B25" w:rsidRPr="00EE46E2" w:rsidRDefault="00612B25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8147DFF" w14:textId="5DDC5D65" w:rsidR="00612B25" w:rsidRPr="00EE46E2" w:rsidRDefault="00612B25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Employed persons: Jun.2020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5AE1D43" w14:textId="56F03B2E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27,259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F5CDBE6" w14:textId="106D241F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+19.3%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8B61D27" w14:textId="6D24819A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2.0%</w:t>
                                  </w:r>
                                </w:p>
                              </w:tc>
                            </w:tr>
                            <w:tr w:rsidR="00612B25" w:rsidRPr="00EE46E2" w14:paraId="079F6ABB" w14:textId="3F9F8C38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3CDC33" w14:textId="0050FC66" w:rsidR="00612B25" w:rsidRPr="00EE46E2" w:rsidRDefault="00612B25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Unemployment rate: Jun.2020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10375B9" w14:textId="63B268E0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7.2%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BF64178" w14:textId="20B5817B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+2.0pp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13A8491" w14:textId="77777777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6D98526F" w14:textId="37462C69" w:rsidR="00612B25" w:rsidRPr="00EE46E2" w:rsidRDefault="00612B25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8F2D6F4" w14:textId="6316B06B" w:rsidR="00612B25" w:rsidRPr="00EE46E2" w:rsidRDefault="00612B25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Unemployment rate: Jun.2020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53621A3" w14:textId="0DD81B40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5.6%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9361765" w14:textId="27ECD7F9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+1.1pp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5B7C13D" w14:textId="77777777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612B25" w:rsidRPr="00EE46E2" w14:paraId="009E477C" w14:textId="4D94783E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9CE4BE6" w14:textId="2A471038" w:rsidR="00612B25" w:rsidRPr="00EE46E2" w:rsidRDefault="00612B25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Minerals &amp; petroleum sales: 2019-20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5F49CA9" w14:textId="1343048F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$1.8b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F77B742" w14:textId="20431A62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+23.3%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EBE5942" w14:textId="1E2BFA90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1.0%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72990A1" w14:textId="3747F042" w:rsidR="00612B25" w:rsidRPr="00EE46E2" w:rsidRDefault="00612B25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B821C54" w14:textId="1EBDF614" w:rsidR="00612B25" w:rsidRPr="00EE46E2" w:rsidRDefault="00612B25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Minerals &amp; petroleum sales: 2019-20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9070C8A" w14:textId="7F3592CA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$14.2b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1D5CF51" w14:textId="4B60215D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+23.0%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0A065B3" w14:textId="4254BAD8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8.3%</w:t>
                                  </w:r>
                                </w:p>
                              </w:tc>
                            </w:tr>
                            <w:tr w:rsidR="00612B25" w:rsidRPr="00EE46E2" w14:paraId="2FA93EAD" w14:textId="4B5CF9CD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3290F1A" w14:textId="2DCF5E76" w:rsidR="00612B25" w:rsidRPr="00EE46E2" w:rsidRDefault="00612B25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Building approvals: 2019-20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4C98A6F" w14:textId="215854CD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$382m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3E7300" w14:textId="1AF291F8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-6.0%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BCE9D78" w14:textId="0044C044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4.2%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8D7F39B" w14:textId="677B6D56" w:rsidR="00612B25" w:rsidRPr="00EE46E2" w:rsidRDefault="00612B25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5C940DC" w14:textId="33F56DB1" w:rsidR="00612B25" w:rsidRPr="00EE46E2" w:rsidRDefault="00612B25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Building approvals: 2019-20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EE59818" w14:textId="01E08CE9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$110m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850E580" w14:textId="7581C464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-7.5%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FA59F0F" w14:textId="431F760E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1.2%</w:t>
                                  </w:r>
                                </w:p>
                              </w:tc>
                            </w:tr>
                            <w:tr w:rsidR="00612B25" w:rsidRPr="00EE46E2" w14:paraId="43B0B2D2" w14:textId="0679303E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AD643A0" w14:textId="2B9B6CFD" w:rsidR="00612B25" w:rsidRPr="00EE46E2" w:rsidRDefault="00612B25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Overnight visitors a year: 2017-2019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8E8DC14" w14:textId="345BBBAE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659,000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6BCA64B" w14:textId="52D0A222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E445280" w14:textId="3E3BCD5D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5.3%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D5C9443" w14:textId="79A5209B" w:rsidR="00612B25" w:rsidRPr="00EE46E2" w:rsidRDefault="00612B25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7A5112C" w14:textId="1E8CC59E" w:rsidR="00612B25" w:rsidRPr="00EE46E2" w:rsidRDefault="00612B25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Overnight visitors a year: 2017-2019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D41B916" w14:textId="08104B51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690,000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0DB034B" w14:textId="77777777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2292158" w14:textId="74261E4A" w:rsidR="00612B25" w:rsidRPr="00EE46E2" w:rsidRDefault="00612B25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5.6%</w:t>
                                  </w:r>
                                </w:p>
                              </w:tc>
                            </w:tr>
                            <w:tr w:rsidR="00612B25" w:rsidRPr="00EE46E2" w14:paraId="6AEB16EF" w14:textId="77777777" w:rsidTr="00EE46E2"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6C5C44D4" w14:textId="77777777" w:rsidR="00612B25" w:rsidRPr="00EE46E2" w:rsidRDefault="00612B25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0E7B6840" w14:textId="77777777" w:rsidR="00612B25" w:rsidRPr="00EE46E2" w:rsidRDefault="00612B25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2F5B0B4F" w14:textId="77777777" w:rsidR="00612B25" w:rsidRPr="00EE46E2" w:rsidRDefault="00612B25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52CDA80B" w14:textId="77777777" w:rsidR="00612B25" w:rsidRPr="00EE46E2" w:rsidRDefault="00612B25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02442506" w14:textId="22067288" w:rsidR="00612B25" w:rsidRPr="00EE46E2" w:rsidRDefault="00612B25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0B4D0377" w14:textId="77777777" w:rsidR="00612B25" w:rsidRPr="00EE46E2" w:rsidRDefault="00612B25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77205444" w14:textId="77777777" w:rsidR="00612B25" w:rsidRPr="00EE46E2" w:rsidRDefault="00612B25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2E4DB9BD" w14:textId="77777777" w:rsidR="00612B25" w:rsidRPr="00EE46E2" w:rsidRDefault="00612B25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76DB61A5" w14:textId="77777777" w:rsidR="00612B25" w:rsidRPr="00EE46E2" w:rsidRDefault="00612B25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694402" w:rsidRPr="00EE46E2" w14:paraId="31E4E860" w14:textId="117D5CE2" w:rsidTr="00963C93">
                              <w:tc>
                                <w:tcPr>
                                  <w:tcW w:w="0" w:type="auto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76923C" w:themeFill="accent3" w:themeFillShade="BF"/>
                                </w:tcPr>
                                <w:p w14:paraId="59C912A5" w14:textId="230BABE1" w:rsidR="00694402" w:rsidRPr="00EE46E2" w:rsidRDefault="00694402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694402">
                                    <w:rPr>
                                      <w:rFonts w:cstheme="minorHAnsi"/>
                                      <w:b/>
                                      <w:color w:val="FFFFFF"/>
                                      <w:sz w:val="14"/>
                                      <w:szCs w:val="14"/>
                                    </w:rPr>
                                    <w:t>SOUTH WEST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6A3C99CB" w14:textId="79ED8310" w:rsidR="00694402" w:rsidRPr="00EE46E2" w:rsidRDefault="00694402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C66FF"/>
                                </w:tcPr>
                                <w:p w14:paraId="2C7A2915" w14:textId="79F04808" w:rsidR="00694402" w:rsidRPr="00EE46E2" w:rsidRDefault="00694402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694402">
                                    <w:rPr>
                                      <w:rFonts w:cstheme="minorHAnsi"/>
                                      <w:b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GREAT SOUTHERN</w:t>
                                  </w:r>
                                </w:p>
                              </w:tc>
                            </w:tr>
                            <w:tr w:rsidR="00612B25" w:rsidRPr="00EE46E2" w14:paraId="6EC73CB1" w14:textId="77777777" w:rsidTr="00EE46E2"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6613F64" w14:textId="77777777" w:rsidR="00612B25" w:rsidRPr="00EE46E2" w:rsidRDefault="00612B25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249487" w14:textId="1BD068AA" w:rsidR="00612B25" w:rsidRPr="00EE46E2" w:rsidRDefault="00612B25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Figure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162C64E" w14:textId="2C0590A0" w:rsidR="00612B25" w:rsidRPr="00EE46E2" w:rsidRDefault="00612B25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Annual change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55E47D9" w14:textId="6C8A19EC" w:rsidR="00612B25" w:rsidRPr="00EE46E2" w:rsidRDefault="00612B25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WA share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CF71B6F" w14:textId="0872B16E" w:rsidR="00612B25" w:rsidRPr="00EE46E2" w:rsidRDefault="00612B25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EE455BB" w14:textId="77777777" w:rsidR="00612B25" w:rsidRPr="00EE46E2" w:rsidRDefault="00612B25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5AFE56F" w14:textId="7B2E37DC" w:rsidR="00612B25" w:rsidRPr="00EE46E2" w:rsidRDefault="00612B25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Figure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801B003" w14:textId="5DCE97A2" w:rsidR="00612B25" w:rsidRPr="00EE46E2" w:rsidRDefault="00612B25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Annual change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CA3104" w14:textId="599BFEC3" w:rsidR="00612B25" w:rsidRPr="00EE46E2" w:rsidRDefault="00612B25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WA share</w:t>
                                  </w:r>
                                </w:p>
                              </w:tc>
                            </w:tr>
                            <w:tr w:rsidR="00612B25" w:rsidRPr="00EE46E2" w14:paraId="556EAF90" w14:textId="546DC016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5B3665E" w14:textId="41FB4C6B" w:rsidR="00612B25" w:rsidRPr="00EE46E2" w:rsidRDefault="00612B25" w:rsidP="00212039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Gross regional product: 2018-19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45D13ED" w14:textId="5F9BEC41" w:rsidR="00612B25" w:rsidRPr="00EE46E2" w:rsidRDefault="00612B25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$14.2b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AE655D7" w14:textId="3B81EC2F" w:rsidR="00612B25" w:rsidRPr="00EE46E2" w:rsidRDefault="00612B25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+6.3%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177E90D" w14:textId="0F095EF4" w:rsidR="00612B25" w:rsidRPr="00EE46E2" w:rsidRDefault="00612B25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5.0%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B9E5D51" w14:textId="29FDE8BF" w:rsidR="00612B25" w:rsidRPr="00EE46E2" w:rsidRDefault="00612B25" w:rsidP="00212039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F233CBB" w14:textId="121ECECE" w:rsidR="00612B25" w:rsidRPr="00EE46E2" w:rsidRDefault="00612B25" w:rsidP="00212039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Gross regional product: 2018-19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E321F4B" w14:textId="38F7465F" w:rsidR="00612B25" w:rsidRPr="00EE46E2" w:rsidRDefault="00612B25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$4.1b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283834C" w14:textId="4E19CAC4" w:rsidR="00612B25" w:rsidRPr="00EE46E2" w:rsidRDefault="00612B25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+1.6%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35F1C9D" w14:textId="7B48AB07" w:rsidR="00612B25" w:rsidRPr="00EE46E2" w:rsidRDefault="00612B25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1.4%</w:t>
                                  </w:r>
                                </w:p>
                              </w:tc>
                            </w:tr>
                            <w:tr w:rsidR="00612B25" w:rsidRPr="00EE46E2" w14:paraId="3CF4117D" w14:textId="692B8EC0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251F790" w14:textId="4920EC54" w:rsidR="00612B25" w:rsidRPr="00EE46E2" w:rsidRDefault="00612B25" w:rsidP="00212039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Population: 2018-19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F1AE9C6" w14:textId="52510486" w:rsidR="00612B25" w:rsidRPr="00EE46E2" w:rsidRDefault="00612B25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179,791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EF54D7E" w14:textId="335F1185" w:rsidR="00612B25" w:rsidRPr="00EE46E2" w:rsidRDefault="00612B25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+0.8%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3AA9F7B" w14:textId="482EEC26" w:rsidR="00612B25" w:rsidRPr="00EE46E2" w:rsidRDefault="00612B25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6.9%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6C69FF9" w14:textId="223BE839" w:rsidR="00612B25" w:rsidRPr="00EE46E2" w:rsidRDefault="00612B25" w:rsidP="00212039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1C0975F" w14:textId="1FD26937" w:rsidR="00612B25" w:rsidRPr="00EE46E2" w:rsidRDefault="00612B25" w:rsidP="00212039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Population: 2018-19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B194AF4" w14:textId="3DA5E089" w:rsidR="00612B25" w:rsidRPr="00EE46E2" w:rsidRDefault="00612B25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60,993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FBB6EFF" w14:textId="27AD3800" w:rsidR="00612B25" w:rsidRPr="00EE46E2" w:rsidRDefault="00612B25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+0.3%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9F0B93F" w14:textId="68C009E9" w:rsidR="00612B25" w:rsidRPr="00EE46E2" w:rsidRDefault="00612B25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2.3%</w:t>
                                  </w:r>
                                </w:p>
                              </w:tc>
                            </w:tr>
                            <w:tr w:rsidR="00612B25" w:rsidRPr="00EE46E2" w14:paraId="142E696B" w14:textId="5998F1D4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A4FAFF7" w14:textId="09D93088" w:rsidR="00612B25" w:rsidRPr="00EE46E2" w:rsidRDefault="00612B25" w:rsidP="00212039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Employed persons: Jun.2020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DB3D462" w14:textId="429262B6" w:rsidR="00612B25" w:rsidRPr="00EE46E2" w:rsidRDefault="00612B25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92,921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38063F3" w14:textId="73D7470B" w:rsidR="00612B25" w:rsidRPr="00EE46E2" w:rsidRDefault="00612B25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-1.6%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F87551D" w14:textId="2D7D07C3" w:rsidR="00612B25" w:rsidRPr="00EE46E2" w:rsidRDefault="00612B25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6.9%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87AA58F" w14:textId="4FD44244" w:rsidR="00612B25" w:rsidRPr="00EE46E2" w:rsidRDefault="00612B25" w:rsidP="00212039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3316C7E" w14:textId="393C0C8A" w:rsidR="00612B25" w:rsidRPr="00EE46E2" w:rsidRDefault="00612B25" w:rsidP="00212039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Employed persons: Jun.2020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84F133F" w14:textId="3F1CF17A" w:rsidR="00612B25" w:rsidRPr="00EE46E2" w:rsidRDefault="00612B25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31,832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D96660E" w14:textId="65371917" w:rsidR="00612B25" w:rsidRPr="00EE46E2" w:rsidRDefault="00612B25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+3.9%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F700BB" w14:textId="679336F7" w:rsidR="00612B25" w:rsidRPr="00EE46E2" w:rsidRDefault="00612B25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2.4%</w:t>
                                  </w:r>
                                </w:p>
                              </w:tc>
                            </w:tr>
                            <w:tr w:rsidR="00612B25" w:rsidRPr="00EE46E2" w14:paraId="4F016F04" w14:textId="2E40668E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38EFB1F" w14:textId="448333DE" w:rsidR="00612B25" w:rsidRPr="00EE46E2" w:rsidRDefault="00612B25" w:rsidP="00212039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Unemployment rate: Jun.2020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88F433C" w14:textId="1E3C4CE7" w:rsidR="00612B25" w:rsidRPr="00EE46E2" w:rsidRDefault="00612B25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5.0%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A677B23" w14:textId="45996F39" w:rsidR="00612B25" w:rsidRPr="00EE46E2" w:rsidRDefault="00612B25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+0.6pp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EEBF016" w14:textId="77777777" w:rsidR="00612B25" w:rsidRPr="00EE46E2" w:rsidRDefault="00612B25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307D84A" w14:textId="007A81DC" w:rsidR="00612B25" w:rsidRPr="00EE46E2" w:rsidRDefault="00612B25" w:rsidP="00212039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19D49AD" w14:textId="25834623" w:rsidR="00612B25" w:rsidRPr="00EE46E2" w:rsidRDefault="00612B25" w:rsidP="00212039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Unemployment rate: Jun.2020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55D5E1C" w14:textId="3FB64E89" w:rsidR="00612B25" w:rsidRPr="00EE46E2" w:rsidRDefault="00612B25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3.3%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2595F07" w14:textId="418AC23D" w:rsidR="00612B25" w:rsidRPr="00EE46E2" w:rsidRDefault="00612B25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-0.5pp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0B6447B" w14:textId="77777777" w:rsidR="00612B25" w:rsidRPr="00EE46E2" w:rsidRDefault="00612B25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612B25" w:rsidRPr="00EE46E2" w14:paraId="63039932" w14:textId="7D473A44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50CC805" w14:textId="06B6CCD4" w:rsidR="00612B25" w:rsidRPr="00EE46E2" w:rsidRDefault="00612B25" w:rsidP="00212039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Minerals &amp; petroleum sales: 2019-20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CA5B5B7" w14:textId="27D90AAC" w:rsidR="00612B25" w:rsidRPr="00EE46E2" w:rsidRDefault="00612B25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$3.1b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C8A2040" w14:textId="6C54D5B0" w:rsidR="00612B25" w:rsidRPr="00EE46E2" w:rsidRDefault="00612B25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-13.5%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A03E7BB" w14:textId="2CE91BA4" w:rsidR="00612B25" w:rsidRPr="00EE46E2" w:rsidRDefault="00612B25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1.8%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EF89F49" w14:textId="5150D06F" w:rsidR="00612B25" w:rsidRPr="00EE46E2" w:rsidRDefault="00612B25" w:rsidP="00212039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4748B91" w14:textId="356730E7" w:rsidR="00612B25" w:rsidRPr="00EE46E2" w:rsidRDefault="00612B25" w:rsidP="00212039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Minerals &amp; petroleum sales: 2019-20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CEB462" w14:textId="75A0E7D6" w:rsidR="00612B25" w:rsidRPr="00EE46E2" w:rsidRDefault="00612B25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$7m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F53778D" w14:textId="7C737E84" w:rsidR="00612B25" w:rsidRPr="00EE46E2" w:rsidRDefault="00612B25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-10.6%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6B3E462" w14:textId="2AEDD68A" w:rsidR="00612B25" w:rsidRPr="00EE46E2" w:rsidRDefault="00612B25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0.0%</w:t>
                                  </w:r>
                                </w:p>
                              </w:tc>
                            </w:tr>
                            <w:tr w:rsidR="00612B25" w:rsidRPr="00EE46E2" w14:paraId="4F86E3CD" w14:textId="1C6F108C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C18FFAA" w14:textId="039267EE" w:rsidR="00612B25" w:rsidRPr="00EE46E2" w:rsidRDefault="00612B25" w:rsidP="00212039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Building approvals: 2019-20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2CFDCD" w14:textId="05F5E4B1" w:rsidR="00612B25" w:rsidRPr="00EE46E2" w:rsidRDefault="00612B25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$544m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79C5E6F" w14:textId="2F8654F3" w:rsidR="00612B25" w:rsidRPr="00EE46E2" w:rsidRDefault="00612B25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-17.5%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4DFA71B" w14:textId="1CEE4C5B" w:rsidR="00612B25" w:rsidRPr="00EE46E2" w:rsidRDefault="00612B25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6.0%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1A12EA2" w14:textId="0B170C30" w:rsidR="00612B25" w:rsidRPr="00EE46E2" w:rsidRDefault="00612B25" w:rsidP="00212039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6A34DD2" w14:textId="7119EB15" w:rsidR="00612B25" w:rsidRPr="00EE46E2" w:rsidRDefault="00612B25" w:rsidP="00212039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Building approvals: 2019-20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C6D9334" w14:textId="2886D835" w:rsidR="00612B25" w:rsidRPr="00EE46E2" w:rsidRDefault="00612B25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$156m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F43F58F" w14:textId="6AA4CE9E" w:rsidR="00612B25" w:rsidRPr="00EE46E2" w:rsidRDefault="00612B25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-6.3%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B456FDB" w14:textId="0D1AF849" w:rsidR="00612B25" w:rsidRPr="00EE46E2" w:rsidRDefault="00612B25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1.7%</w:t>
                                  </w:r>
                                </w:p>
                              </w:tc>
                            </w:tr>
                            <w:tr w:rsidR="00612B25" w:rsidRPr="00EE46E2" w14:paraId="73A11EED" w14:textId="3B9FF336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DE1F7F" w14:textId="671E2A64" w:rsidR="00612B25" w:rsidRPr="00EE46E2" w:rsidRDefault="00612B25" w:rsidP="00212039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Overnight visitors a year: 2017-2019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EFC8603" w14:textId="53498254" w:rsidR="00612B25" w:rsidRPr="00EE46E2" w:rsidRDefault="00612B25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2,461,000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9245C53" w14:textId="0E117685" w:rsidR="00612B25" w:rsidRPr="00EE46E2" w:rsidRDefault="00612B25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2F6A62F" w14:textId="4619A03D" w:rsidR="00612B25" w:rsidRPr="00EE46E2" w:rsidRDefault="00612B25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19.8%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485EB060" w14:textId="112DAE95" w:rsidR="00612B25" w:rsidRPr="00EE46E2" w:rsidRDefault="00612B25" w:rsidP="00212039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157C87F" w14:textId="15BAA6AB" w:rsidR="00612B25" w:rsidRPr="00EE46E2" w:rsidRDefault="00612B25" w:rsidP="00212039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Overnight visitors a year: 2017-2019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1AD6EDC" w14:textId="0F45D4FC" w:rsidR="00612B25" w:rsidRPr="00EE46E2" w:rsidRDefault="00612B25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744,000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E4317A0" w14:textId="77777777" w:rsidR="00612B25" w:rsidRPr="00EE46E2" w:rsidRDefault="00612B25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277BF2E" w14:textId="05086FCA" w:rsidR="00612B25" w:rsidRPr="00EE46E2" w:rsidRDefault="00612B25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6.0%</w:t>
                                  </w:r>
                                </w:p>
                              </w:tc>
                            </w:tr>
                            <w:tr w:rsidR="00612B25" w:rsidRPr="00EE46E2" w14:paraId="42D8CD9F" w14:textId="77777777" w:rsidTr="00EE46E2"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311AEBDA" w14:textId="77777777" w:rsidR="00612B25" w:rsidRPr="00EE46E2" w:rsidRDefault="00612B25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7BFD4136" w14:textId="77777777" w:rsidR="00612B25" w:rsidRPr="00EE46E2" w:rsidRDefault="00612B25" w:rsidP="00A545D6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3DBB9FFD" w14:textId="77777777" w:rsidR="00612B25" w:rsidRPr="00EE46E2" w:rsidRDefault="00612B25" w:rsidP="00A545D6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61F591FD" w14:textId="77777777" w:rsidR="00612B25" w:rsidRPr="00EE46E2" w:rsidRDefault="00612B25" w:rsidP="00A545D6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24EE7206" w14:textId="317D7D84" w:rsidR="00612B25" w:rsidRPr="00EE46E2" w:rsidRDefault="00612B25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6A992539" w14:textId="77777777" w:rsidR="00612B25" w:rsidRPr="00EE46E2" w:rsidRDefault="00612B25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7D3CC2CB" w14:textId="77777777" w:rsidR="00612B25" w:rsidRPr="00EE46E2" w:rsidRDefault="00612B25" w:rsidP="00A545D6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1F09E8B9" w14:textId="77777777" w:rsidR="00612B25" w:rsidRPr="00EE46E2" w:rsidRDefault="00612B25" w:rsidP="00A545D6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5A31C82A" w14:textId="77777777" w:rsidR="00612B25" w:rsidRPr="00EE46E2" w:rsidRDefault="00612B25" w:rsidP="00A545D6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612B25" w:rsidRPr="00EE46E2" w14:paraId="47B6AFA1" w14:textId="77777777" w:rsidTr="00EE46E2">
                              <w:tc>
                                <w:tcPr>
                                  <w:tcW w:w="0" w:type="auto"/>
                                </w:tcPr>
                                <w:p w14:paraId="48D9FEFE" w14:textId="77777777" w:rsidR="00612B25" w:rsidRPr="00EE46E2" w:rsidRDefault="00612B25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32FD230F" w14:textId="77777777" w:rsidR="00612B25" w:rsidRPr="00EE46E2" w:rsidRDefault="00612B25" w:rsidP="00A545D6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3436C726" w14:textId="77777777" w:rsidR="00612B25" w:rsidRPr="00EE46E2" w:rsidRDefault="00612B25" w:rsidP="00A545D6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3482C855" w14:textId="77777777" w:rsidR="00612B25" w:rsidRPr="00EE46E2" w:rsidRDefault="00612B25" w:rsidP="00A545D6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184C4251" w14:textId="122EDA3F" w:rsidR="00612B25" w:rsidRPr="00EE46E2" w:rsidRDefault="00612B25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</w:tcPr>
                                <w:p w14:paraId="4098E44F" w14:textId="77777777" w:rsidR="00612B25" w:rsidRPr="00EE46E2" w:rsidRDefault="00612B25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50A13EED" w14:textId="77777777" w:rsidR="00612B25" w:rsidRPr="00EE46E2" w:rsidRDefault="00612B25" w:rsidP="00A545D6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54F7ECA1" w14:textId="77777777" w:rsidR="00612B25" w:rsidRPr="00EE46E2" w:rsidRDefault="00612B25" w:rsidP="00A545D6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463DB0DC" w14:textId="77777777" w:rsidR="00612B25" w:rsidRPr="00EE46E2" w:rsidRDefault="00612B25" w:rsidP="00A545D6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5D81885" w14:textId="77777777" w:rsidR="00612B25" w:rsidRDefault="00612B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3D704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.35pt;margin-top:4.2pt;width:525pt;height:58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" fill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334"/>
                        <w:gridCol w:w="795"/>
                        <w:gridCol w:w="1128"/>
                        <w:gridCol w:w="787"/>
                        <w:gridCol w:w="222"/>
                        <w:gridCol w:w="1167"/>
                        <w:gridCol w:w="1167"/>
                        <w:gridCol w:w="795"/>
                        <w:gridCol w:w="1128"/>
                        <w:gridCol w:w="787"/>
                      </w:tblGrid>
                      <w:tr w:rsidR="00612B25" w:rsidRPr="00EE46E2" w14:paraId="3DDCA44A" w14:textId="77777777" w:rsidTr="00EE46E2">
                        <w:trPr>
                          <w:gridAfter w:val="4"/>
                        </w:trPr>
                        <w:tc>
                          <w:tcPr>
                            <w:tcW w:w="0" w:type="auto"/>
                          </w:tcPr>
                          <w:p w14:paraId="42B935F1" w14:textId="77777777" w:rsidR="00612B25" w:rsidRPr="00EE46E2" w:rsidRDefault="00612B25" w:rsidP="00FD646A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3"/>
                          </w:tcPr>
                          <w:p w14:paraId="5657486D" w14:textId="77777777" w:rsidR="00612B25" w:rsidRPr="00EE46E2" w:rsidRDefault="00612B25" w:rsidP="00FD646A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</w:tcPr>
                          <w:p w14:paraId="6D826153" w14:textId="77777777" w:rsidR="00612B25" w:rsidRPr="00EE46E2" w:rsidRDefault="00612B25" w:rsidP="00FD646A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612B25" w:rsidRPr="00EE46E2" w14:paraId="3D0184DB" w14:textId="7D02F05B" w:rsidTr="00EE46E2">
                        <w:trPr>
                          <w:gridAfter w:val="4"/>
                        </w:trPr>
                        <w:tc>
                          <w:tcPr>
                            <w:tcW w:w="0" w:type="auto"/>
                          </w:tcPr>
                          <w:p w14:paraId="2B2F7613" w14:textId="77777777" w:rsidR="00612B25" w:rsidRPr="00EE46E2" w:rsidRDefault="00612B25" w:rsidP="00FD646A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3"/>
                          </w:tcPr>
                          <w:p w14:paraId="56D17850" w14:textId="77777777" w:rsidR="00612B25" w:rsidRPr="00EE46E2" w:rsidRDefault="00612B25" w:rsidP="00FD646A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</w:tcPr>
                          <w:p w14:paraId="74CBDD26" w14:textId="2F9183B5" w:rsidR="00612B25" w:rsidRPr="00EE46E2" w:rsidRDefault="00612B25" w:rsidP="00FD646A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694402" w:rsidRPr="00EE46E2" w14:paraId="479BDE5F" w14:textId="18AA054F" w:rsidTr="00DB06EA">
                        <w:tc>
                          <w:tcPr>
                            <w:tcW w:w="0" w:type="auto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9594" w:themeFill="accent2" w:themeFillTint="99"/>
                          </w:tcPr>
                          <w:p w14:paraId="59F0DF84" w14:textId="20D7F220" w:rsidR="00694402" w:rsidRPr="00EE46E2" w:rsidRDefault="00694402" w:rsidP="008C34A6">
                            <w:pPr>
                              <w:spacing w:line="360" w:lineRule="auto"/>
                              <w:rPr>
                                <w:rFonts w:cstheme="minorHAnsi"/>
                                <w:b/>
                                <w:color w:val="FFFFFF" w:themeColor="background1"/>
                                <w:sz w:val="13"/>
                                <w:szCs w:val="13"/>
                              </w:rPr>
                            </w:pPr>
                            <w:r w:rsidRPr="00694402">
                              <w:rPr>
                                <w:rFonts w:cstheme="minorHAnsi"/>
                                <w:b/>
                                <w:color w:val="FFFFFF" w:themeColor="background1"/>
                                <w:sz w:val="14"/>
                                <w:szCs w:val="14"/>
                              </w:rPr>
                              <w:t>PILBARA &amp; OFFSHORE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2262E946" w14:textId="76C1D2F4" w:rsidR="00694402" w:rsidRPr="00EE46E2" w:rsidRDefault="00694402" w:rsidP="008C34A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993366"/>
                          </w:tcPr>
                          <w:p w14:paraId="4B4E5761" w14:textId="2332B184" w:rsidR="00694402" w:rsidRPr="00EE46E2" w:rsidRDefault="00694402" w:rsidP="008C34A6">
                            <w:pPr>
                              <w:spacing w:line="360" w:lineRule="auto"/>
                              <w:rPr>
                                <w:rFonts w:cstheme="minorHAnsi"/>
                                <w:b/>
                                <w:sz w:val="13"/>
                                <w:szCs w:val="13"/>
                              </w:rPr>
                            </w:pPr>
                            <w:r w:rsidRPr="00694402">
                              <w:rPr>
                                <w:rFonts w:cstheme="minorHAnsi"/>
                                <w:b/>
                                <w:color w:val="FFFFFF" w:themeColor="background1"/>
                                <w:sz w:val="14"/>
                                <w:szCs w:val="14"/>
                              </w:rPr>
                              <w:t>KIMBERLEY</w:t>
                            </w:r>
                          </w:p>
                        </w:tc>
                      </w:tr>
                      <w:tr w:rsidR="00612B25" w:rsidRPr="00EE46E2" w14:paraId="2DFFBB98" w14:textId="77777777" w:rsidTr="00EE46E2"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8ECDDAD" w14:textId="77777777" w:rsidR="00612B25" w:rsidRPr="00EE46E2" w:rsidRDefault="00612B25" w:rsidP="00993C31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EE317AD" w14:textId="4758F05B" w:rsidR="00612B25" w:rsidRPr="00EE46E2" w:rsidRDefault="00612B25" w:rsidP="00993C31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Figure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9102B21" w14:textId="53CF7505" w:rsidR="00612B25" w:rsidRPr="00EE46E2" w:rsidRDefault="00612B25" w:rsidP="00993C31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Annual change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C535E51" w14:textId="58C91AE2" w:rsidR="00612B25" w:rsidRPr="00EE46E2" w:rsidRDefault="00612B25" w:rsidP="00993C31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WA share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75560E48" w14:textId="5B6D4626" w:rsidR="00612B25" w:rsidRPr="00EE46E2" w:rsidRDefault="00612B25" w:rsidP="00993C31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16EDD97" w14:textId="77777777" w:rsidR="00612B25" w:rsidRPr="00EE46E2" w:rsidRDefault="00612B25" w:rsidP="00993C31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20312E6" w14:textId="488AB2C1" w:rsidR="00612B25" w:rsidRPr="00EE46E2" w:rsidRDefault="00612B25" w:rsidP="00993C31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Figure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AF8C52E" w14:textId="028B8DC0" w:rsidR="00612B25" w:rsidRPr="00EE46E2" w:rsidRDefault="00612B25" w:rsidP="00993C31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Annual change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4B139B5" w14:textId="3EC9BA9E" w:rsidR="00612B25" w:rsidRPr="00EE46E2" w:rsidRDefault="00612B25" w:rsidP="00993C31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WA share</w:t>
                            </w:r>
                          </w:p>
                        </w:tc>
                      </w:tr>
                      <w:tr w:rsidR="00612B25" w:rsidRPr="00EE46E2" w14:paraId="0EA6A5C0" w14:textId="378B894B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1AEC857" w14:textId="3D807B1E" w:rsidR="00612B25" w:rsidRPr="00EE46E2" w:rsidRDefault="00612B25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Gross regional product: 2018-19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744CD37" w14:textId="4FBBEDEC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$46.6b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E3D100C" w14:textId="5D6B6707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+24.6%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79D59CD" w14:textId="5167D147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16.3%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1D883D5C" w14:textId="62D28B88" w:rsidR="00612B25" w:rsidRPr="00EE46E2" w:rsidRDefault="00612B25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F0196ED" w14:textId="6BED4D98" w:rsidR="00612B25" w:rsidRPr="00EE46E2" w:rsidRDefault="00612B25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Gross regional product: 2018-19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7E6EFB0" w14:textId="35FE95BE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$3.0b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0379702" w14:textId="75B245EF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+8.7%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41BDAD1" w14:textId="1BA60079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1.1%</w:t>
                            </w:r>
                          </w:p>
                        </w:tc>
                      </w:tr>
                      <w:tr w:rsidR="00612B25" w:rsidRPr="00EE46E2" w14:paraId="2DAE696E" w14:textId="5D97CD8B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A317A7D" w14:textId="2D7B4787" w:rsidR="00612B25" w:rsidRPr="00EE46E2" w:rsidRDefault="00612B25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Population: 2018-19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C299A12" w14:textId="461BDB63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62,093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F0388B0" w14:textId="46EFECE3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+0.7%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59F9ABB" w14:textId="10CB01A2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2.4%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03389B67" w14:textId="249914E0" w:rsidR="00612B25" w:rsidRPr="00EE46E2" w:rsidRDefault="00612B25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4573CDA" w14:textId="2607E10E" w:rsidR="00612B25" w:rsidRPr="00EE46E2" w:rsidRDefault="00612B25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Population: 2018-19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198FDF5" w14:textId="5B683BF9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35,901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4E4045D" w14:textId="454A0B8C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-0.3%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99E6BE8" w14:textId="2C5D257F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1.4%</w:t>
                            </w:r>
                          </w:p>
                        </w:tc>
                      </w:tr>
                      <w:tr w:rsidR="00612B25" w:rsidRPr="00EE46E2" w14:paraId="3E9C1828" w14:textId="78E951F2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70F5E7B" w14:textId="0678FAB3" w:rsidR="00612B25" w:rsidRPr="00EE46E2" w:rsidRDefault="00612B25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Employed persons: Jun.2020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D31E3F1" w14:textId="6CC5D43D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37,265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E126E75" w14:textId="73B1D2F0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+19.5%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4245965" w14:textId="783D7A93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2.8%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2518AC70" w14:textId="08E2D883" w:rsidR="00612B25" w:rsidRPr="00EE46E2" w:rsidRDefault="00612B25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8B66D4C" w14:textId="32C01551" w:rsidR="00612B25" w:rsidRPr="00EE46E2" w:rsidRDefault="00612B25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Employed persons: Jun.2020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7326451" w14:textId="505819B2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14,037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378256D" w14:textId="713E7AE5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-2.7%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66C0654" w14:textId="13548663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1.0%</w:t>
                            </w:r>
                          </w:p>
                        </w:tc>
                      </w:tr>
                      <w:tr w:rsidR="00612B25" w:rsidRPr="00EE46E2" w14:paraId="7D02C0F2" w14:textId="67860640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5579DB6" w14:textId="3015311A" w:rsidR="00612B25" w:rsidRPr="00EE46E2" w:rsidRDefault="00612B25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Unemployment rate: Jun.2020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100C518" w14:textId="12838326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3.2%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C01AB00" w14:textId="5BBB1A68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+0.0pp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70A098D" w14:textId="77777777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3424A60B" w14:textId="5ED1AD68" w:rsidR="00612B25" w:rsidRPr="00EE46E2" w:rsidRDefault="00612B25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40812F4" w14:textId="78A36F8F" w:rsidR="00612B25" w:rsidRPr="00EE46E2" w:rsidRDefault="00612B25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Unemployment rate: Jun.2020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E6127CE" w14:textId="7C23DAC9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16.1%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DC5A37B" w14:textId="44133E34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+0.6pp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D98ED5B" w14:textId="77777777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612B25" w:rsidRPr="00EE46E2" w14:paraId="2F24FC06" w14:textId="00D32B6A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DB0F2A8" w14:textId="6AD43CE0" w:rsidR="00612B25" w:rsidRPr="00EE46E2" w:rsidRDefault="00612B25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Minerals &amp; petroleum sales: 2019-20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3226404" w14:textId="77D30708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$140.6b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02C4DB8" w14:textId="1F48C770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+19.9%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EAE7497" w14:textId="2592BF51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81.9%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7F27A655" w14:textId="00246F34" w:rsidR="00612B25" w:rsidRPr="00EE46E2" w:rsidRDefault="00612B25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AF11815" w14:textId="428485A4" w:rsidR="00612B25" w:rsidRPr="00EE46E2" w:rsidRDefault="00612B25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Minerals &amp; petroleum sales: 2019-20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9C937C6" w14:textId="0126B8B5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$765m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74C3D61" w14:textId="01CF6A14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+77.0%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6224E2D" w14:textId="28F532E6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0.4%</w:t>
                            </w:r>
                          </w:p>
                        </w:tc>
                      </w:tr>
                      <w:tr w:rsidR="00612B25" w:rsidRPr="00EE46E2" w14:paraId="14C04BE6" w14:textId="512DBC86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8E53072" w14:textId="6E945FD4" w:rsidR="00612B25" w:rsidRPr="00EE46E2" w:rsidRDefault="00612B25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Building approvals: 2019-20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21E0E39" w14:textId="39957DE9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$358m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67FB60A" w14:textId="1B8622E4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+68.5%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C775515" w14:textId="6670DFCA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3.9%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4ADCD410" w14:textId="4E36A72F" w:rsidR="00612B25" w:rsidRPr="00EE46E2" w:rsidRDefault="00612B25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34CC8F9" w14:textId="500A0D16" w:rsidR="00612B25" w:rsidRPr="00EE46E2" w:rsidRDefault="00612B25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Building approvals: 2019-20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3AC00CC" w14:textId="15CC18A8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$87m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1620A55" w14:textId="24C552B5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+18.5%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52CC0BA" w14:textId="4A5E81CB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1.0%</w:t>
                            </w:r>
                          </w:p>
                        </w:tc>
                      </w:tr>
                      <w:tr w:rsidR="00612B25" w:rsidRPr="00EE46E2" w14:paraId="2418FA8A" w14:textId="21A66962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02C611E" w14:textId="1BC2561B" w:rsidR="00612B25" w:rsidRPr="00EE46E2" w:rsidRDefault="00612B25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Overnight visitors a year: 2017-2019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9D6883C" w14:textId="1941B16D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940,000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4387C2A" w14:textId="761474EC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60045A1" w14:textId="08405002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7.6%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0641C46B" w14:textId="440174DD" w:rsidR="00612B25" w:rsidRPr="00EE46E2" w:rsidRDefault="00612B25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ACF7E31" w14:textId="4E6107E4" w:rsidR="00612B25" w:rsidRPr="00EE46E2" w:rsidRDefault="00612B25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Overnight visitors a year: 2017-2019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2C98CD0" w14:textId="077B4FB1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430,000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0EAD05D" w14:textId="77777777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960FAF1" w14:textId="20ACE31D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3.5%</w:t>
                            </w:r>
                          </w:p>
                        </w:tc>
                      </w:tr>
                      <w:tr w:rsidR="00612B25" w:rsidRPr="00EE46E2" w14:paraId="7D7E5388" w14:textId="77777777" w:rsidTr="00EE46E2"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6B5E7A33" w14:textId="77777777" w:rsidR="00612B25" w:rsidRPr="00EE46E2" w:rsidRDefault="00612B25" w:rsidP="00993C31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10D96861" w14:textId="77777777" w:rsidR="00612B25" w:rsidRPr="00EE46E2" w:rsidRDefault="00612B25" w:rsidP="00993C31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7F860F6D" w14:textId="77777777" w:rsidR="00612B25" w:rsidRPr="00EE46E2" w:rsidRDefault="00612B25" w:rsidP="00993C31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550ABFA8" w14:textId="77777777" w:rsidR="00612B25" w:rsidRPr="00EE46E2" w:rsidRDefault="00612B25" w:rsidP="00993C31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652280C1" w14:textId="520661AA" w:rsidR="00612B25" w:rsidRPr="00EE46E2" w:rsidRDefault="00612B25" w:rsidP="00993C31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</w:tcBorders>
                          </w:tcPr>
                          <w:p w14:paraId="77B2663E" w14:textId="77777777" w:rsidR="00612B25" w:rsidRPr="00EE46E2" w:rsidRDefault="00612B25" w:rsidP="00993C31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0C0AE468" w14:textId="77777777" w:rsidR="00612B25" w:rsidRPr="00EE46E2" w:rsidRDefault="00612B25" w:rsidP="00993C31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18E920A2" w14:textId="77777777" w:rsidR="00612B25" w:rsidRPr="00EE46E2" w:rsidRDefault="00612B25" w:rsidP="00993C31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429598D4" w14:textId="77777777" w:rsidR="00612B25" w:rsidRPr="00EE46E2" w:rsidRDefault="00612B25" w:rsidP="00993C31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694402" w:rsidRPr="00EE46E2" w14:paraId="5C861426" w14:textId="245DA7DE" w:rsidTr="00107684">
                        <w:tc>
                          <w:tcPr>
                            <w:tcW w:w="0" w:type="auto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8DB3E2" w:themeFill="text2" w:themeFillTint="66"/>
                          </w:tcPr>
                          <w:p w14:paraId="534D55D5" w14:textId="422C0D8E" w:rsidR="00694402" w:rsidRPr="00EE46E2" w:rsidRDefault="00694402" w:rsidP="00993C31">
                            <w:pPr>
                              <w:spacing w:line="360" w:lineRule="auto"/>
                              <w:rPr>
                                <w:rFonts w:cstheme="minorHAnsi"/>
                                <w:b/>
                                <w:sz w:val="13"/>
                                <w:szCs w:val="13"/>
                              </w:rPr>
                            </w:pPr>
                            <w:r w:rsidRPr="00694402">
                              <w:rPr>
                                <w:rFonts w:cstheme="minorHAnsi"/>
                                <w:b/>
                                <w:color w:val="FFFFFF" w:themeColor="background1"/>
                                <w:sz w:val="14"/>
                                <w:szCs w:val="14"/>
                              </w:rPr>
                              <w:t>GASCOYNE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0D6AFD5A" w14:textId="54D7EA1C" w:rsidR="00694402" w:rsidRPr="00EE46E2" w:rsidRDefault="00694402" w:rsidP="00993C31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31849B" w:themeFill="accent5" w:themeFillShade="BF"/>
                          </w:tcPr>
                          <w:p w14:paraId="1FC6AAA7" w14:textId="6C593B91" w:rsidR="00694402" w:rsidRPr="00EE46E2" w:rsidRDefault="00694402" w:rsidP="00993C31">
                            <w:pPr>
                              <w:spacing w:line="360" w:lineRule="auto"/>
                              <w:rPr>
                                <w:rFonts w:cstheme="minorHAnsi"/>
                                <w:b/>
                                <w:sz w:val="13"/>
                                <w:szCs w:val="13"/>
                              </w:rPr>
                            </w:pPr>
                            <w:r w:rsidRPr="00694402">
                              <w:rPr>
                                <w:rFonts w:cstheme="minorHAnsi"/>
                                <w:b/>
                                <w:color w:val="FFFFFF"/>
                                <w:sz w:val="14"/>
                                <w:szCs w:val="14"/>
                              </w:rPr>
                              <w:t>MID WEST</w:t>
                            </w:r>
                          </w:p>
                        </w:tc>
                      </w:tr>
                      <w:tr w:rsidR="00612B25" w:rsidRPr="00EE46E2" w14:paraId="59F11D2F" w14:textId="77777777" w:rsidTr="00EE46E2"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E9A1CE9" w14:textId="77777777" w:rsidR="00612B25" w:rsidRPr="00EE46E2" w:rsidRDefault="00612B25" w:rsidP="00A545D6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4BC1108" w14:textId="6C18379B" w:rsidR="00612B25" w:rsidRPr="00EE46E2" w:rsidRDefault="00612B25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Figure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DE61D6C" w14:textId="37ADB2CA" w:rsidR="00612B25" w:rsidRPr="00EE46E2" w:rsidRDefault="00612B25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Annual change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00396F2" w14:textId="1DB0D151" w:rsidR="00612B25" w:rsidRPr="00EE46E2" w:rsidRDefault="00612B25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WA share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64C28C2B" w14:textId="13AE367F" w:rsidR="00612B25" w:rsidRPr="00EE46E2" w:rsidRDefault="00612B25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68827B0" w14:textId="77777777" w:rsidR="00612B25" w:rsidRPr="00EE46E2" w:rsidRDefault="00612B25" w:rsidP="00A545D6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5BAE432" w14:textId="52F681D1" w:rsidR="00612B25" w:rsidRPr="00EE46E2" w:rsidRDefault="00612B25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Figure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DD12184" w14:textId="07DD1DA3" w:rsidR="00612B25" w:rsidRPr="00EE46E2" w:rsidRDefault="00612B25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Annual change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AFF9483" w14:textId="48C6B35B" w:rsidR="00612B25" w:rsidRPr="00EE46E2" w:rsidRDefault="00612B25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WA share</w:t>
                            </w:r>
                          </w:p>
                        </w:tc>
                      </w:tr>
                      <w:tr w:rsidR="00612B25" w:rsidRPr="00EE46E2" w14:paraId="4F9A902B" w14:textId="1D0DDEC2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EBFE753" w14:textId="43B066E6" w:rsidR="00612B25" w:rsidRPr="00EE46E2" w:rsidRDefault="00612B25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Gross regional product: 2018-19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CCEEED5" w14:textId="7202879C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$1.5b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AC11BDF" w14:textId="41B95274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+14.9%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D5731E6" w14:textId="76AE54BE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0.5%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16CCF332" w14:textId="09A31039" w:rsidR="00612B25" w:rsidRPr="00EE46E2" w:rsidRDefault="00612B25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65E0EAB" w14:textId="36050458" w:rsidR="00612B25" w:rsidRPr="00EE46E2" w:rsidRDefault="00612B25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Gross regional product: 2018-19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43C3966" w14:textId="48F83E37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$8.2b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3BFB098" w14:textId="6FDAA580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+16.2%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89809D2" w14:textId="64BAC0CC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2.9%</w:t>
                            </w:r>
                          </w:p>
                        </w:tc>
                      </w:tr>
                      <w:tr w:rsidR="00612B25" w:rsidRPr="00EE46E2" w14:paraId="3AB1A015" w14:textId="5E5C1F2B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79994A3" w14:textId="7DC70459" w:rsidR="00612B25" w:rsidRPr="00EE46E2" w:rsidRDefault="00612B25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Population: 2018-19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83E0890" w14:textId="6A556B61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9,277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D38168C" w14:textId="3044716D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-1.5%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BC5D253" w14:textId="6AA75E30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0.4%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4BE210F7" w14:textId="7FB111E5" w:rsidR="00612B25" w:rsidRPr="00EE46E2" w:rsidRDefault="00612B25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1871412" w14:textId="682F35A7" w:rsidR="00612B25" w:rsidRPr="00EE46E2" w:rsidRDefault="00612B25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Population: 2018-19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D1FB3EB" w14:textId="74C80AB3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52,941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2F6B090" w14:textId="3F286DAC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-1.3%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D906165" w14:textId="35576C87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2.0%</w:t>
                            </w:r>
                          </w:p>
                        </w:tc>
                      </w:tr>
                      <w:tr w:rsidR="00612B25" w:rsidRPr="00EE46E2" w14:paraId="630DE239" w14:textId="0C17ACE6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B5722FD" w14:textId="08CF0E62" w:rsidR="00612B25" w:rsidRPr="00EE46E2" w:rsidRDefault="00612B25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Employed persons: Jun.2020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190104E" w14:textId="1A4E47AD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4,415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0ED4AF4" w14:textId="7036D8A3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-3.3%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A61527A" w14:textId="2BE4E9C6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0.3%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3E767FB4" w14:textId="2A30CE19" w:rsidR="00612B25" w:rsidRPr="00EE46E2" w:rsidRDefault="00612B25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995114D" w14:textId="4B2BB4B0" w:rsidR="00612B25" w:rsidRPr="00EE46E2" w:rsidRDefault="00612B25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Employed persons: Jun.2020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53A6664" w14:textId="41F223F8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23,718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01C99D0" w14:textId="53736D22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+12.9%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5544E9E" w14:textId="561471C7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1.8%</w:t>
                            </w:r>
                          </w:p>
                        </w:tc>
                      </w:tr>
                      <w:tr w:rsidR="00612B25" w:rsidRPr="00EE46E2" w14:paraId="10383AC8" w14:textId="4A6F1532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6AC89A3" w14:textId="3F68DCC1" w:rsidR="00612B25" w:rsidRPr="00EE46E2" w:rsidRDefault="00612B25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Unemployment rate: Jun.2020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A2A6744" w14:textId="3DE39E62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9.1%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3DA7C9C" w14:textId="60973D33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+0.2pp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FEB7259" w14:textId="77777777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42429AC4" w14:textId="3E4C66A5" w:rsidR="00612B25" w:rsidRPr="00EE46E2" w:rsidRDefault="00612B25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8731DA5" w14:textId="623C9422" w:rsidR="00612B25" w:rsidRPr="00EE46E2" w:rsidRDefault="00612B25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Unemployment rate: Jun.2020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92D2B02" w14:textId="4AE7FF01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8.4%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FBF5661" w14:textId="7C2B4368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-0.6pp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22C3ED5" w14:textId="77777777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612B25" w:rsidRPr="00EE46E2" w14:paraId="5F2FF429" w14:textId="15A6BF20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833BB82" w14:textId="06707764" w:rsidR="00612B25" w:rsidRPr="00EE46E2" w:rsidRDefault="00612B25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Minerals &amp; petroleum sales: 2019-20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FE4EC15" w14:textId="1BBF30DE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$98m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B917566" w14:textId="04C28390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+1.5%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6518B2B" w14:textId="65DC851C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0.1%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7C04CCC1" w14:textId="749A4218" w:rsidR="00612B25" w:rsidRPr="00EE46E2" w:rsidRDefault="00612B25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A4EDA47" w14:textId="636FEF6B" w:rsidR="00612B25" w:rsidRPr="00EE46E2" w:rsidRDefault="00612B25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Minerals &amp; petroleum sales: 2019-20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3840BB4" w14:textId="7CF22BFB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$4.8b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F3C449F" w14:textId="36A62A52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+22.8%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00DF589" w14:textId="786A76D0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2.8%</w:t>
                            </w:r>
                          </w:p>
                        </w:tc>
                      </w:tr>
                      <w:tr w:rsidR="00612B25" w:rsidRPr="00EE46E2" w14:paraId="36EEF753" w14:textId="290EC4C3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DB6A009" w14:textId="70064AE0" w:rsidR="00612B25" w:rsidRPr="00EE46E2" w:rsidRDefault="00612B25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Building approvals: 2019-20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129379D" w14:textId="51BA1962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$36m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4BC3A6B" w14:textId="76DF9572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+76.3%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41A020D" w14:textId="3F803850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0.4%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069FAE50" w14:textId="15E9CAB0" w:rsidR="00612B25" w:rsidRPr="00EE46E2" w:rsidRDefault="00612B25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8FBF323" w14:textId="45935846" w:rsidR="00612B25" w:rsidRPr="00EE46E2" w:rsidRDefault="00612B25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Building approvals: 2019-20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52998EE" w14:textId="6820D9A1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$164m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0DF8FAB" w14:textId="01A63A83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+99.4%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B2832E2" w14:textId="5F97C4AF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1.8%</w:t>
                            </w:r>
                          </w:p>
                        </w:tc>
                      </w:tr>
                      <w:tr w:rsidR="00612B25" w:rsidRPr="00EE46E2" w14:paraId="0FAE4544" w14:textId="12796BA9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892F0D7" w14:textId="32233D97" w:rsidR="00612B25" w:rsidRPr="00EE46E2" w:rsidRDefault="00612B25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Overnight visitors a year: 2017-2019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894ABFD" w14:textId="7D7B898C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306,000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B77B9B6" w14:textId="25473A4F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B1C7E04" w14:textId="0758B4D4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2.5%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1454AE45" w14:textId="49CF554F" w:rsidR="00612B25" w:rsidRPr="00EE46E2" w:rsidRDefault="00612B25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E6391EA" w14:textId="779A38F6" w:rsidR="00612B25" w:rsidRPr="00EE46E2" w:rsidRDefault="00612B25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Overnight visitors a year: 2017-2019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36E357F" w14:textId="03D3C07C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709,000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6A9FFAD" w14:textId="77777777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7CCAC39" w14:textId="6D8C0F7D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5.7%</w:t>
                            </w:r>
                          </w:p>
                        </w:tc>
                      </w:tr>
                      <w:tr w:rsidR="00612B25" w:rsidRPr="00EE46E2" w14:paraId="73513FDC" w14:textId="77777777" w:rsidTr="00EE46E2"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0BD350AE" w14:textId="77777777" w:rsidR="00612B25" w:rsidRPr="00EE46E2" w:rsidRDefault="00612B25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3621DE06" w14:textId="77777777" w:rsidR="00612B25" w:rsidRPr="00EE46E2" w:rsidRDefault="00612B25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4C4F4E31" w14:textId="77777777" w:rsidR="00612B25" w:rsidRPr="00EE46E2" w:rsidRDefault="00612B25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1977889E" w14:textId="77777777" w:rsidR="00612B25" w:rsidRPr="00EE46E2" w:rsidRDefault="00612B25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5E871470" w14:textId="0E510679" w:rsidR="00612B25" w:rsidRPr="00EE46E2" w:rsidRDefault="00612B25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</w:tcBorders>
                          </w:tcPr>
                          <w:p w14:paraId="7F27F762" w14:textId="77777777" w:rsidR="00612B25" w:rsidRPr="00EE46E2" w:rsidRDefault="00612B25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2EF64958" w14:textId="77777777" w:rsidR="00612B25" w:rsidRPr="00EE46E2" w:rsidRDefault="00612B25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396891BB" w14:textId="77777777" w:rsidR="00612B25" w:rsidRPr="00EE46E2" w:rsidRDefault="00612B25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7BAB87D3" w14:textId="77777777" w:rsidR="00612B25" w:rsidRPr="00EE46E2" w:rsidRDefault="00612B25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694402" w:rsidRPr="00EE46E2" w14:paraId="2598A6DE" w14:textId="180E03FD" w:rsidTr="00E217AF">
                        <w:tc>
                          <w:tcPr>
                            <w:tcW w:w="0" w:type="auto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5F497A" w:themeFill="accent4" w:themeFillShade="BF"/>
                          </w:tcPr>
                          <w:p w14:paraId="2B8375BF" w14:textId="5604214B" w:rsidR="00694402" w:rsidRPr="00EE46E2" w:rsidRDefault="00694402" w:rsidP="00A545D6">
                            <w:pPr>
                              <w:spacing w:line="360" w:lineRule="auto"/>
                              <w:rPr>
                                <w:rFonts w:cstheme="minorHAnsi"/>
                                <w:b/>
                                <w:sz w:val="13"/>
                                <w:szCs w:val="13"/>
                              </w:rPr>
                            </w:pPr>
                            <w:r w:rsidRPr="00694402">
                              <w:rPr>
                                <w:rFonts w:cstheme="minorHAnsi"/>
                                <w:b/>
                                <w:color w:val="FFFFFF"/>
                                <w:sz w:val="14"/>
                                <w:szCs w:val="14"/>
                              </w:rPr>
                              <w:t>PERTH METROPOLITAN AREA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1FC36223" w14:textId="4B8AD82D" w:rsidR="00694402" w:rsidRPr="00EE46E2" w:rsidRDefault="00694402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C000"/>
                          </w:tcPr>
                          <w:p w14:paraId="6D5CED4E" w14:textId="01F8645D" w:rsidR="00694402" w:rsidRPr="00EE46E2" w:rsidRDefault="00694402" w:rsidP="00A545D6">
                            <w:pPr>
                              <w:spacing w:line="360" w:lineRule="auto"/>
                              <w:rPr>
                                <w:rFonts w:cstheme="minorHAnsi"/>
                                <w:b/>
                                <w:sz w:val="13"/>
                                <w:szCs w:val="13"/>
                              </w:rPr>
                            </w:pPr>
                            <w:r w:rsidRPr="00694402">
                              <w:rPr>
                                <w:rFonts w:cstheme="minorHAnsi"/>
                                <w:b/>
                                <w:color w:val="FFFFFF" w:themeColor="background1"/>
                                <w:sz w:val="14"/>
                                <w:szCs w:val="14"/>
                              </w:rPr>
                              <w:t>WHEATBELT</w:t>
                            </w:r>
                          </w:p>
                        </w:tc>
                      </w:tr>
                      <w:tr w:rsidR="00612B25" w:rsidRPr="00EE46E2" w14:paraId="271DF028" w14:textId="77777777" w:rsidTr="00EE46E2"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14D9BDA" w14:textId="77777777" w:rsidR="00612B25" w:rsidRPr="00EE46E2" w:rsidRDefault="00612B25" w:rsidP="00A545D6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5ACECAD" w14:textId="50709813" w:rsidR="00612B25" w:rsidRPr="00EE46E2" w:rsidRDefault="00612B25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Figure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60049F7" w14:textId="660D4861" w:rsidR="00612B25" w:rsidRPr="00EE46E2" w:rsidRDefault="00612B25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Annual change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4226D82" w14:textId="269E8EAD" w:rsidR="00612B25" w:rsidRPr="00EE46E2" w:rsidRDefault="00612B25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WA share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17CFF9D5" w14:textId="568DCCF5" w:rsidR="00612B25" w:rsidRPr="00EE46E2" w:rsidRDefault="00612B25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0B01F8C" w14:textId="77777777" w:rsidR="00612B25" w:rsidRPr="00EE46E2" w:rsidRDefault="00612B25" w:rsidP="00A545D6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90A59C4" w14:textId="315D91B7" w:rsidR="00612B25" w:rsidRPr="00EE46E2" w:rsidRDefault="00612B25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Figure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D229683" w14:textId="11B4FD1D" w:rsidR="00612B25" w:rsidRPr="00EE46E2" w:rsidRDefault="00612B25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Annual change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2F4DF0E" w14:textId="675F06C4" w:rsidR="00612B25" w:rsidRPr="00EE46E2" w:rsidRDefault="00612B25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WA share</w:t>
                            </w:r>
                          </w:p>
                        </w:tc>
                      </w:tr>
                      <w:tr w:rsidR="00612B25" w:rsidRPr="00EE46E2" w14:paraId="5CA41C6B" w14:textId="779F7029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C46576E" w14:textId="0633D21C" w:rsidR="00612B25" w:rsidRPr="00EE46E2" w:rsidRDefault="00612B25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Gross regional product: 2018-19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894B95D" w14:textId="23B89CBA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$173.8b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E30C8D1" w14:textId="6668DC3B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+6.7%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094D8F0" w14:textId="3B09F208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60.8%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573D1038" w14:textId="3237785B" w:rsidR="00612B25" w:rsidRPr="00EE46E2" w:rsidRDefault="00612B25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AA89BFC" w14:textId="77BF9F69" w:rsidR="00612B25" w:rsidRPr="00EE46E2" w:rsidRDefault="00612B25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Gross regional product: 2018-19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7DB7E9D" w14:textId="2D919CB7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$7.1b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A7C6E08" w14:textId="55C7E8C3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+7.7%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70C1D31" w14:textId="1DE8ED9C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2.5%</w:t>
                            </w:r>
                          </w:p>
                        </w:tc>
                      </w:tr>
                      <w:tr w:rsidR="00612B25" w:rsidRPr="00EE46E2" w14:paraId="67E82FA6" w14:textId="78F20261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EE31A2D" w14:textId="3F85560C" w:rsidR="00612B25" w:rsidRPr="00EE46E2" w:rsidRDefault="00612B25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Population: 2018-19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F57C30E" w14:textId="31050615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1,949,753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7D6C10C" w14:textId="6529FA2C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+1.3%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4B8A42D" w14:textId="7870B112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74.4%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2F30382F" w14:textId="48C94AD8" w:rsidR="00612B25" w:rsidRPr="00EE46E2" w:rsidRDefault="00612B25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8679FA6" w14:textId="538EF604" w:rsidR="00612B25" w:rsidRPr="00EE46E2" w:rsidRDefault="00612B25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Population: 2018-19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5CABF04" w14:textId="28892166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73,437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B765ECA" w14:textId="2F20A1F4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-0.5%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FC67F10" w14:textId="4E790886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2.8%</w:t>
                            </w:r>
                          </w:p>
                        </w:tc>
                      </w:tr>
                      <w:tr w:rsidR="00612B25" w:rsidRPr="00EE46E2" w14:paraId="13F2D337" w14:textId="297C3D2D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178E592" w14:textId="17307F14" w:rsidR="00612B25" w:rsidRPr="00EE46E2" w:rsidRDefault="00612B25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Employed persons: Jun.2020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9EDEBD7" w14:textId="29BAC96F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1,011,535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267C848" w14:textId="1A4C0873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+2.5%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27B476D" w14:textId="7BC042DF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75.2%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07383FC3" w14:textId="262495A9" w:rsidR="00612B25" w:rsidRPr="00EE46E2" w:rsidRDefault="00612B25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56AD373" w14:textId="1DF5A6EA" w:rsidR="00612B25" w:rsidRPr="00EE46E2" w:rsidRDefault="00612B25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Employed persons: Jun.2020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7E42813" w14:textId="4202F960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39,161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570303A" w14:textId="53A5B76D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+25.7%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7D396B8" w14:textId="5AAB9FF4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2.9%</w:t>
                            </w:r>
                          </w:p>
                        </w:tc>
                      </w:tr>
                      <w:tr w:rsidR="00612B25" w:rsidRPr="00EE46E2" w14:paraId="4B844E0D" w14:textId="26F2B026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59DA15F" w14:textId="0C6F7A0A" w:rsidR="00612B25" w:rsidRPr="00EE46E2" w:rsidRDefault="00612B25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Unemployment rate: Jun.2020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35FBA35" w14:textId="3CD281C0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6.2%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325DABA" w14:textId="50F068F2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-0.2pp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E44E604" w14:textId="77777777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28471F30" w14:textId="40623C3B" w:rsidR="00612B25" w:rsidRPr="00EE46E2" w:rsidRDefault="00612B25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9243C11" w14:textId="4EAE48D4" w:rsidR="00612B25" w:rsidRPr="00EE46E2" w:rsidRDefault="00612B25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Unemployment rate: Jun.2020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319387D" w14:textId="53143CCB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3.2%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94A3941" w14:textId="61BB6A85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-0.7pp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06C0E57" w14:textId="77777777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612B25" w:rsidRPr="00EE46E2" w14:paraId="01439278" w14:textId="3E06A865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DB32BDB" w14:textId="1FE3262D" w:rsidR="00612B25" w:rsidRPr="00EE46E2" w:rsidRDefault="00612B25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Minerals &amp; petroleum sales: 2019-20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D94D1E9" w14:textId="2B13AF2E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$4.1b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B8A4A60" w14:textId="7712D74A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-33.0%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354418F" w14:textId="48328209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2.4%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58FD1CB8" w14:textId="01107F17" w:rsidR="00612B25" w:rsidRPr="00EE46E2" w:rsidRDefault="00612B25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D9671F3" w14:textId="46597443" w:rsidR="00612B25" w:rsidRPr="00EE46E2" w:rsidRDefault="00612B25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Minerals &amp; petroleum sales: 2019-20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48E8A17" w14:textId="1E4794B8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$2.0b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91926D4" w14:textId="63E0B5D0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+129.7%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473697B" w14:textId="02024A83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1.2%</w:t>
                            </w:r>
                          </w:p>
                        </w:tc>
                      </w:tr>
                      <w:tr w:rsidR="00612B25" w:rsidRPr="00EE46E2" w14:paraId="141BEF64" w14:textId="110CA60C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856ADFC" w14:textId="6C9CB9F9" w:rsidR="00612B25" w:rsidRPr="00EE46E2" w:rsidRDefault="00612B25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Building approvals: 2019-20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BAADD37" w14:textId="6F1C8465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$7.1b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646F9B1" w14:textId="7F929AF7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+1.0%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BE5C722" w14:textId="650C6663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78.1%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08112097" w14:textId="19087306" w:rsidR="00612B25" w:rsidRPr="00EE46E2" w:rsidRDefault="00612B25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6478CD4" w14:textId="2AAF634C" w:rsidR="00612B25" w:rsidRPr="00EE46E2" w:rsidRDefault="00612B25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Building approvals: 2019-20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AED0CB6" w14:textId="08404809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$150m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00495DA" w14:textId="00781F92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+6.0%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444FFDE" w14:textId="2B6A638B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1.7%</w:t>
                            </w:r>
                          </w:p>
                        </w:tc>
                      </w:tr>
                      <w:tr w:rsidR="00612B25" w:rsidRPr="00EE46E2" w14:paraId="0E16DE88" w14:textId="2A8513E1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EBB7B17" w14:textId="768DBA89" w:rsidR="00612B25" w:rsidRPr="00EE46E2" w:rsidRDefault="00612B25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Overnight visitors a year: 2017-2019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645164D" w14:textId="6CD2A16B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4,414,000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5FDBBE1" w14:textId="24F56C36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21D74BD" w14:textId="678779C8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35.6%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49E26A5A" w14:textId="24B4E5F3" w:rsidR="00612B25" w:rsidRPr="00EE46E2" w:rsidRDefault="00612B25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2314956" w14:textId="692D6CCB" w:rsidR="00612B25" w:rsidRPr="00EE46E2" w:rsidRDefault="00612B25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Overnight visitors a year: 2017-2019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0CA8335" w14:textId="1F51FE4E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1,047,000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812D0F0" w14:textId="77777777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12ACE7B" w14:textId="2795C862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8.4%</w:t>
                            </w:r>
                          </w:p>
                        </w:tc>
                      </w:tr>
                      <w:tr w:rsidR="00612B25" w:rsidRPr="00EE46E2" w14:paraId="09BBE0C6" w14:textId="77777777" w:rsidTr="00EE46E2"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049FB645" w14:textId="77777777" w:rsidR="00612B25" w:rsidRPr="00EE46E2" w:rsidRDefault="00612B25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31C059AE" w14:textId="77777777" w:rsidR="00612B25" w:rsidRPr="00EE46E2" w:rsidRDefault="00612B25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3B3D30D1" w14:textId="77777777" w:rsidR="00612B25" w:rsidRPr="00EE46E2" w:rsidRDefault="00612B25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35869C24" w14:textId="77777777" w:rsidR="00612B25" w:rsidRPr="00EE46E2" w:rsidRDefault="00612B25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2E88F772" w14:textId="00739346" w:rsidR="00612B25" w:rsidRPr="00EE46E2" w:rsidRDefault="00612B25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</w:tcBorders>
                          </w:tcPr>
                          <w:p w14:paraId="57898AA2" w14:textId="77777777" w:rsidR="00612B25" w:rsidRPr="00EE46E2" w:rsidRDefault="00612B25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3709A90D" w14:textId="77777777" w:rsidR="00612B25" w:rsidRPr="00EE46E2" w:rsidRDefault="00612B25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08A7214E" w14:textId="77777777" w:rsidR="00612B25" w:rsidRPr="00EE46E2" w:rsidRDefault="00612B25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0EB56F0D" w14:textId="77777777" w:rsidR="00612B25" w:rsidRPr="00EE46E2" w:rsidRDefault="00612B25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694402" w:rsidRPr="00EE46E2" w14:paraId="6EA54CE5" w14:textId="32811E2A" w:rsidTr="00CA7EE7">
                        <w:tc>
                          <w:tcPr>
                            <w:tcW w:w="0" w:type="auto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6699"/>
                          </w:tcPr>
                          <w:p w14:paraId="2CC0D23D" w14:textId="566A0750" w:rsidR="00694402" w:rsidRPr="00EE46E2" w:rsidRDefault="00694402" w:rsidP="00A545D6">
                            <w:pPr>
                              <w:spacing w:line="360" w:lineRule="auto"/>
                              <w:rPr>
                                <w:rFonts w:cstheme="minorHAnsi"/>
                                <w:b/>
                                <w:sz w:val="13"/>
                                <w:szCs w:val="13"/>
                              </w:rPr>
                            </w:pPr>
                            <w:r w:rsidRPr="00694402">
                              <w:rPr>
                                <w:rFonts w:cstheme="minorHAnsi"/>
                                <w:b/>
                                <w:color w:val="FFFFFF" w:themeColor="background1"/>
                                <w:sz w:val="14"/>
                                <w:szCs w:val="14"/>
                              </w:rPr>
                              <w:t>PEEL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615E02FB" w14:textId="01EA5165" w:rsidR="00694402" w:rsidRPr="00EE46E2" w:rsidRDefault="00694402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2D69B" w:themeFill="accent3" w:themeFillTint="99"/>
                          </w:tcPr>
                          <w:p w14:paraId="21EB2054" w14:textId="73CB39D0" w:rsidR="00694402" w:rsidRPr="00EE46E2" w:rsidRDefault="00694402" w:rsidP="00A545D6">
                            <w:pPr>
                              <w:spacing w:line="360" w:lineRule="auto"/>
                              <w:rPr>
                                <w:rFonts w:cstheme="minorHAnsi"/>
                                <w:b/>
                                <w:sz w:val="13"/>
                                <w:szCs w:val="13"/>
                              </w:rPr>
                            </w:pPr>
                            <w:r w:rsidRPr="00694402">
                              <w:rPr>
                                <w:rFonts w:cstheme="minorHAnsi"/>
                                <w:b/>
                                <w:color w:val="FFFFFF" w:themeColor="background1"/>
                                <w:sz w:val="14"/>
                                <w:szCs w:val="14"/>
                              </w:rPr>
                              <w:t>GOLDFIELDS-ESPERANCE</w:t>
                            </w:r>
                          </w:p>
                        </w:tc>
                      </w:tr>
                      <w:tr w:rsidR="00612B25" w:rsidRPr="00EE46E2" w14:paraId="10DA2508" w14:textId="77777777" w:rsidTr="00EE46E2"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B6E3454" w14:textId="77777777" w:rsidR="00612B25" w:rsidRPr="00EE46E2" w:rsidRDefault="00612B25" w:rsidP="00A545D6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9F48EF9" w14:textId="52310CEF" w:rsidR="00612B25" w:rsidRPr="00EE46E2" w:rsidRDefault="00612B25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Figure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61DD221" w14:textId="0E4D1969" w:rsidR="00612B25" w:rsidRPr="00EE46E2" w:rsidRDefault="00612B25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Annual change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1131694" w14:textId="3ED47C74" w:rsidR="00612B25" w:rsidRPr="00EE46E2" w:rsidRDefault="00612B25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WA share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4455F665" w14:textId="02C9252A" w:rsidR="00612B25" w:rsidRPr="00EE46E2" w:rsidRDefault="00612B25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0DA573C" w14:textId="77777777" w:rsidR="00612B25" w:rsidRPr="00EE46E2" w:rsidRDefault="00612B25" w:rsidP="00A545D6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579D678" w14:textId="03ECBE78" w:rsidR="00612B25" w:rsidRPr="00EE46E2" w:rsidRDefault="00612B25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Figure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E257756" w14:textId="40444E2C" w:rsidR="00612B25" w:rsidRPr="00EE46E2" w:rsidRDefault="00612B25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Annual change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E5FEB7F" w14:textId="1777D696" w:rsidR="00612B25" w:rsidRPr="00EE46E2" w:rsidRDefault="00612B25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WA share</w:t>
                            </w:r>
                          </w:p>
                        </w:tc>
                      </w:tr>
                      <w:tr w:rsidR="00612B25" w:rsidRPr="00EE46E2" w14:paraId="0431DA1C" w14:textId="2296EBF3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683D4BE" w14:textId="3EA9D284" w:rsidR="00612B25" w:rsidRPr="00EE46E2" w:rsidRDefault="00612B25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Gross regional product: 2018-19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35AF316" w14:textId="737EE49A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$9.2b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8902BE4" w14:textId="629D6E65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+11.6%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DF087A5" w14:textId="4907038D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3.2%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59509A07" w14:textId="0BC64AB6" w:rsidR="00612B25" w:rsidRPr="00EE46E2" w:rsidRDefault="00612B25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75F192D" w14:textId="06F1D104" w:rsidR="00612B25" w:rsidRPr="00EE46E2" w:rsidRDefault="00612B25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Gross regional product: 2018-19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5D7AD8B" w14:textId="0043B2D2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$18.0b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A286D0C" w14:textId="572222BB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+23.3%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C7486F2" w14:textId="05A737B3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6.3%</w:t>
                            </w:r>
                          </w:p>
                        </w:tc>
                      </w:tr>
                      <w:tr w:rsidR="00612B25" w:rsidRPr="00EE46E2" w14:paraId="3535B4AD" w14:textId="31A2AEE3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789164D" w14:textId="1070CF3B" w:rsidR="00612B25" w:rsidRPr="00EE46E2" w:rsidRDefault="00612B25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Population: 2018-19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DE17050" w14:textId="44EA1CDD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142,960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8D43A2E" w14:textId="6A0D1E2D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+2.2%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0C8BE32" w14:textId="23083D32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5.5%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26480D5F" w14:textId="40BD6A38" w:rsidR="00612B25" w:rsidRPr="00EE46E2" w:rsidRDefault="00612B25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67090A8" w14:textId="4FD0CFA7" w:rsidR="00612B25" w:rsidRPr="00EE46E2" w:rsidRDefault="00612B25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Population: 2018-19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AF1B7A4" w14:textId="4B6D3F31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54,363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6B65A6C" w14:textId="56EDA013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-1.4%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EA93D8F" w14:textId="5144522C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2.1%</w:t>
                            </w:r>
                          </w:p>
                        </w:tc>
                      </w:tr>
                      <w:tr w:rsidR="00612B25" w:rsidRPr="00EE46E2" w14:paraId="75D0E70D" w14:textId="53389D8B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8612F68" w14:textId="4712633F" w:rsidR="00612B25" w:rsidRPr="00EE46E2" w:rsidRDefault="00612B25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Employed persons: Jun.2020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98773A2" w14:textId="7CC43FB3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63,484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347102C" w14:textId="51D6C3F4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-1.3%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8444DD1" w14:textId="3FED8129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4.7%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5F7710EB" w14:textId="5A86A1EB" w:rsidR="00612B25" w:rsidRPr="00EE46E2" w:rsidRDefault="00612B25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8147DFF" w14:textId="5DDC5D65" w:rsidR="00612B25" w:rsidRPr="00EE46E2" w:rsidRDefault="00612B25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Employed persons: Jun.2020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5AE1D43" w14:textId="56F03B2E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27,259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F5CDBE6" w14:textId="106D241F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+19.3%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8B61D27" w14:textId="6D24819A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2.0%</w:t>
                            </w:r>
                          </w:p>
                        </w:tc>
                      </w:tr>
                      <w:tr w:rsidR="00612B25" w:rsidRPr="00EE46E2" w14:paraId="079F6ABB" w14:textId="3F9F8C38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A3CDC33" w14:textId="0050FC66" w:rsidR="00612B25" w:rsidRPr="00EE46E2" w:rsidRDefault="00612B25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Unemployment rate: Jun.2020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10375B9" w14:textId="63B268E0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7.2%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BF64178" w14:textId="20B5817B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+2.0pp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13A8491" w14:textId="77777777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6D98526F" w14:textId="37462C69" w:rsidR="00612B25" w:rsidRPr="00EE46E2" w:rsidRDefault="00612B25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8F2D6F4" w14:textId="6316B06B" w:rsidR="00612B25" w:rsidRPr="00EE46E2" w:rsidRDefault="00612B25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Unemployment rate: Jun.2020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53621A3" w14:textId="0DD81B40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5.6%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9361765" w14:textId="27ECD7F9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+1.1pp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5B7C13D" w14:textId="77777777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612B25" w:rsidRPr="00EE46E2" w14:paraId="009E477C" w14:textId="4D94783E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9CE4BE6" w14:textId="2A471038" w:rsidR="00612B25" w:rsidRPr="00EE46E2" w:rsidRDefault="00612B25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Minerals &amp; petroleum sales: 2019-20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5F49CA9" w14:textId="1343048F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$1.8b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F77B742" w14:textId="20431A62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+23.3%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EBE5942" w14:textId="1E2BFA90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1.0%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272990A1" w14:textId="3747F042" w:rsidR="00612B25" w:rsidRPr="00EE46E2" w:rsidRDefault="00612B25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B821C54" w14:textId="1EBDF614" w:rsidR="00612B25" w:rsidRPr="00EE46E2" w:rsidRDefault="00612B25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Minerals &amp; petroleum sales: 2019-20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9070C8A" w14:textId="7F3592CA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$14.2b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1D5CF51" w14:textId="4B60215D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+23.0%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0A065B3" w14:textId="4254BAD8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8.3%</w:t>
                            </w:r>
                          </w:p>
                        </w:tc>
                      </w:tr>
                      <w:tr w:rsidR="00612B25" w:rsidRPr="00EE46E2" w14:paraId="2FA93EAD" w14:textId="4B5CF9CD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3290F1A" w14:textId="2DCF5E76" w:rsidR="00612B25" w:rsidRPr="00EE46E2" w:rsidRDefault="00612B25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Building approvals: 2019-20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4C98A6F" w14:textId="215854CD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$382m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93E7300" w14:textId="1AF291F8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-6.0%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BCE9D78" w14:textId="0044C044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4.2%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18D7F39B" w14:textId="677B6D56" w:rsidR="00612B25" w:rsidRPr="00EE46E2" w:rsidRDefault="00612B25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5C940DC" w14:textId="33F56DB1" w:rsidR="00612B25" w:rsidRPr="00EE46E2" w:rsidRDefault="00612B25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Building approvals: 2019-20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EE59818" w14:textId="01E08CE9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$110m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850E580" w14:textId="7581C464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-7.5%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FA59F0F" w14:textId="431F760E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1.2%</w:t>
                            </w:r>
                          </w:p>
                        </w:tc>
                      </w:tr>
                      <w:tr w:rsidR="00612B25" w:rsidRPr="00EE46E2" w14:paraId="43B0B2D2" w14:textId="0679303E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AD643A0" w14:textId="2B9B6CFD" w:rsidR="00612B25" w:rsidRPr="00EE46E2" w:rsidRDefault="00612B25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Overnight visitors a year: 2017-2019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8E8DC14" w14:textId="345BBBAE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659,000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6BCA64B" w14:textId="52D0A222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E445280" w14:textId="3E3BCD5D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5.3%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5D5C9443" w14:textId="79A5209B" w:rsidR="00612B25" w:rsidRPr="00EE46E2" w:rsidRDefault="00612B25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7A5112C" w14:textId="1E8CC59E" w:rsidR="00612B25" w:rsidRPr="00EE46E2" w:rsidRDefault="00612B25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Overnight visitors a year: 2017-2019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D41B916" w14:textId="08104B51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690,000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0DB034B" w14:textId="77777777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2292158" w14:textId="74261E4A" w:rsidR="00612B25" w:rsidRPr="00EE46E2" w:rsidRDefault="00612B25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5.6%</w:t>
                            </w:r>
                          </w:p>
                        </w:tc>
                      </w:tr>
                      <w:tr w:rsidR="00612B25" w:rsidRPr="00EE46E2" w14:paraId="6AEB16EF" w14:textId="77777777" w:rsidTr="00EE46E2"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6C5C44D4" w14:textId="77777777" w:rsidR="00612B25" w:rsidRPr="00EE46E2" w:rsidRDefault="00612B25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0E7B6840" w14:textId="77777777" w:rsidR="00612B25" w:rsidRPr="00EE46E2" w:rsidRDefault="00612B25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2F5B0B4F" w14:textId="77777777" w:rsidR="00612B25" w:rsidRPr="00EE46E2" w:rsidRDefault="00612B25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52CDA80B" w14:textId="77777777" w:rsidR="00612B25" w:rsidRPr="00EE46E2" w:rsidRDefault="00612B25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02442506" w14:textId="22067288" w:rsidR="00612B25" w:rsidRPr="00EE46E2" w:rsidRDefault="00612B25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</w:tcBorders>
                          </w:tcPr>
                          <w:p w14:paraId="0B4D0377" w14:textId="77777777" w:rsidR="00612B25" w:rsidRPr="00EE46E2" w:rsidRDefault="00612B25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77205444" w14:textId="77777777" w:rsidR="00612B25" w:rsidRPr="00EE46E2" w:rsidRDefault="00612B25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2E4DB9BD" w14:textId="77777777" w:rsidR="00612B25" w:rsidRPr="00EE46E2" w:rsidRDefault="00612B25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76DB61A5" w14:textId="77777777" w:rsidR="00612B25" w:rsidRPr="00EE46E2" w:rsidRDefault="00612B25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694402" w:rsidRPr="00EE46E2" w14:paraId="31E4E860" w14:textId="117D5CE2" w:rsidTr="00963C93">
                        <w:tc>
                          <w:tcPr>
                            <w:tcW w:w="0" w:type="auto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76923C" w:themeFill="accent3" w:themeFillShade="BF"/>
                          </w:tcPr>
                          <w:p w14:paraId="59C912A5" w14:textId="230BABE1" w:rsidR="00694402" w:rsidRPr="00EE46E2" w:rsidRDefault="00694402" w:rsidP="00A545D6">
                            <w:pPr>
                              <w:spacing w:line="360" w:lineRule="auto"/>
                              <w:rPr>
                                <w:rFonts w:cstheme="minorHAnsi"/>
                                <w:b/>
                                <w:sz w:val="13"/>
                                <w:szCs w:val="13"/>
                              </w:rPr>
                            </w:pPr>
                            <w:r w:rsidRPr="00694402">
                              <w:rPr>
                                <w:rFonts w:cstheme="minorHAnsi"/>
                                <w:b/>
                                <w:color w:val="FFFFFF"/>
                                <w:sz w:val="14"/>
                                <w:szCs w:val="14"/>
                              </w:rPr>
                              <w:t>SOUTH WEST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6A3C99CB" w14:textId="79ED8310" w:rsidR="00694402" w:rsidRPr="00EE46E2" w:rsidRDefault="00694402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C66FF"/>
                          </w:tcPr>
                          <w:p w14:paraId="2C7A2915" w14:textId="79F04808" w:rsidR="00694402" w:rsidRPr="00EE46E2" w:rsidRDefault="00694402" w:rsidP="00A545D6">
                            <w:pPr>
                              <w:spacing w:line="360" w:lineRule="auto"/>
                              <w:rPr>
                                <w:rFonts w:cstheme="minorHAnsi"/>
                                <w:b/>
                                <w:sz w:val="13"/>
                                <w:szCs w:val="13"/>
                              </w:rPr>
                            </w:pPr>
                            <w:r w:rsidRPr="00694402">
                              <w:rPr>
                                <w:rFonts w:cstheme="minorHAnsi"/>
                                <w:b/>
                                <w:color w:val="FFFFFF" w:themeColor="background1"/>
                                <w:sz w:val="14"/>
                                <w:szCs w:val="14"/>
                              </w:rPr>
                              <w:t>GREAT SOUTHERN</w:t>
                            </w:r>
                          </w:p>
                        </w:tc>
                      </w:tr>
                      <w:tr w:rsidR="00612B25" w:rsidRPr="00EE46E2" w14:paraId="6EC73CB1" w14:textId="77777777" w:rsidTr="00EE46E2"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6613F64" w14:textId="77777777" w:rsidR="00612B25" w:rsidRPr="00EE46E2" w:rsidRDefault="00612B25" w:rsidP="00A545D6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7249487" w14:textId="1BD068AA" w:rsidR="00612B25" w:rsidRPr="00EE46E2" w:rsidRDefault="00612B25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Figure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162C64E" w14:textId="2C0590A0" w:rsidR="00612B25" w:rsidRPr="00EE46E2" w:rsidRDefault="00612B25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Annual change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55E47D9" w14:textId="6C8A19EC" w:rsidR="00612B25" w:rsidRPr="00EE46E2" w:rsidRDefault="00612B25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WA share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5CF71B6F" w14:textId="0872B16E" w:rsidR="00612B25" w:rsidRPr="00EE46E2" w:rsidRDefault="00612B25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EE455BB" w14:textId="77777777" w:rsidR="00612B25" w:rsidRPr="00EE46E2" w:rsidRDefault="00612B25" w:rsidP="00A545D6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5AFE56F" w14:textId="7B2E37DC" w:rsidR="00612B25" w:rsidRPr="00EE46E2" w:rsidRDefault="00612B25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Figure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801B003" w14:textId="5DCE97A2" w:rsidR="00612B25" w:rsidRPr="00EE46E2" w:rsidRDefault="00612B25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Annual change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3CA3104" w14:textId="599BFEC3" w:rsidR="00612B25" w:rsidRPr="00EE46E2" w:rsidRDefault="00612B25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WA share</w:t>
                            </w:r>
                          </w:p>
                        </w:tc>
                      </w:tr>
                      <w:tr w:rsidR="00612B25" w:rsidRPr="00EE46E2" w14:paraId="556EAF90" w14:textId="546DC016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5B3665E" w14:textId="41FB4C6B" w:rsidR="00612B25" w:rsidRPr="00EE46E2" w:rsidRDefault="00612B25" w:rsidP="00212039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Gross regional product: 2018-19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45D13ED" w14:textId="5F9BEC41" w:rsidR="00612B25" w:rsidRPr="00EE46E2" w:rsidRDefault="00612B25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$14.2b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AE655D7" w14:textId="3B81EC2F" w:rsidR="00612B25" w:rsidRPr="00EE46E2" w:rsidRDefault="00612B25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+6.3%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177E90D" w14:textId="0F095EF4" w:rsidR="00612B25" w:rsidRPr="00EE46E2" w:rsidRDefault="00612B25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5.0%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0B9E5D51" w14:textId="29FDE8BF" w:rsidR="00612B25" w:rsidRPr="00EE46E2" w:rsidRDefault="00612B25" w:rsidP="00212039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F233CBB" w14:textId="121ECECE" w:rsidR="00612B25" w:rsidRPr="00EE46E2" w:rsidRDefault="00612B25" w:rsidP="00212039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Gross regional product: 2018-19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E321F4B" w14:textId="38F7465F" w:rsidR="00612B25" w:rsidRPr="00EE46E2" w:rsidRDefault="00612B25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$4.1b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283834C" w14:textId="4E19CAC4" w:rsidR="00612B25" w:rsidRPr="00EE46E2" w:rsidRDefault="00612B25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+1.6%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35F1C9D" w14:textId="7B48AB07" w:rsidR="00612B25" w:rsidRPr="00EE46E2" w:rsidRDefault="00612B25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1.4%</w:t>
                            </w:r>
                          </w:p>
                        </w:tc>
                      </w:tr>
                      <w:tr w:rsidR="00612B25" w:rsidRPr="00EE46E2" w14:paraId="3CF4117D" w14:textId="692B8EC0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251F790" w14:textId="4920EC54" w:rsidR="00612B25" w:rsidRPr="00EE46E2" w:rsidRDefault="00612B25" w:rsidP="00212039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Population: 2018-19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F1AE9C6" w14:textId="52510486" w:rsidR="00612B25" w:rsidRPr="00EE46E2" w:rsidRDefault="00612B25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179,791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EF54D7E" w14:textId="335F1185" w:rsidR="00612B25" w:rsidRPr="00EE46E2" w:rsidRDefault="00612B25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+0.8%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3AA9F7B" w14:textId="482EEC26" w:rsidR="00612B25" w:rsidRPr="00EE46E2" w:rsidRDefault="00612B25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6.9%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76C69FF9" w14:textId="223BE839" w:rsidR="00612B25" w:rsidRPr="00EE46E2" w:rsidRDefault="00612B25" w:rsidP="00212039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1C0975F" w14:textId="1FD26937" w:rsidR="00612B25" w:rsidRPr="00EE46E2" w:rsidRDefault="00612B25" w:rsidP="00212039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Population: 2018-19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B194AF4" w14:textId="3DA5E089" w:rsidR="00612B25" w:rsidRPr="00EE46E2" w:rsidRDefault="00612B25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60,993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FBB6EFF" w14:textId="27AD3800" w:rsidR="00612B25" w:rsidRPr="00EE46E2" w:rsidRDefault="00612B25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+0.3%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9F0B93F" w14:textId="68C009E9" w:rsidR="00612B25" w:rsidRPr="00EE46E2" w:rsidRDefault="00612B25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2.3%</w:t>
                            </w:r>
                          </w:p>
                        </w:tc>
                      </w:tr>
                      <w:tr w:rsidR="00612B25" w:rsidRPr="00EE46E2" w14:paraId="142E696B" w14:textId="5998F1D4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A4FAFF7" w14:textId="09D93088" w:rsidR="00612B25" w:rsidRPr="00EE46E2" w:rsidRDefault="00612B25" w:rsidP="00212039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Employed persons: Jun.2020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DB3D462" w14:textId="429262B6" w:rsidR="00612B25" w:rsidRPr="00EE46E2" w:rsidRDefault="00612B25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92,921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38063F3" w14:textId="73D7470B" w:rsidR="00612B25" w:rsidRPr="00EE46E2" w:rsidRDefault="00612B25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-1.6%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F87551D" w14:textId="2D7D07C3" w:rsidR="00612B25" w:rsidRPr="00EE46E2" w:rsidRDefault="00612B25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6.9%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787AA58F" w14:textId="4FD44244" w:rsidR="00612B25" w:rsidRPr="00EE46E2" w:rsidRDefault="00612B25" w:rsidP="00212039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3316C7E" w14:textId="393C0C8A" w:rsidR="00612B25" w:rsidRPr="00EE46E2" w:rsidRDefault="00612B25" w:rsidP="00212039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Employed persons: Jun.2020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84F133F" w14:textId="3F1CF17A" w:rsidR="00612B25" w:rsidRPr="00EE46E2" w:rsidRDefault="00612B25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31,832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D96660E" w14:textId="65371917" w:rsidR="00612B25" w:rsidRPr="00EE46E2" w:rsidRDefault="00612B25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+3.9%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AF700BB" w14:textId="679336F7" w:rsidR="00612B25" w:rsidRPr="00EE46E2" w:rsidRDefault="00612B25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2.4%</w:t>
                            </w:r>
                          </w:p>
                        </w:tc>
                      </w:tr>
                      <w:tr w:rsidR="00612B25" w:rsidRPr="00EE46E2" w14:paraId="4F016F04" w14:textId="2E40668E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38EFB1F" w14:textId="448333DE" w:rsidR="00612B25" w:rsidRPr="00EE46E2" w:rsidRDefault="00612B25" w:rsidP="00212039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Unemployment rate: Jun.2020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88F433C" w14:textId="1E3C4CE7" w:rsidR="00612B25" w:rsidRPr="00EE46E2" w:rsidRDefault="00612B25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5.0%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A677B23" w14:textId="45996F39" w:rsidR="00612B25" w:rsidRPr="00EE46E2" w:rsidRDefault="00612B25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+0.6pp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EEBF016" w14:textId="77777777" w:rsidR="00612B25" w:rsidRPr="00EE46E2" w:rsidRDefault="00612B25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3307D84A" w14:textId="007A81DC" w:rsidR="00612B25" w:rsidRPr="00EE46E2" w:rsidRDefault="00612B25" w:rsidP="00212039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19D49AD" w14:textId="25834623" w:rsidR="00612B25" w:rsidRPr="00EE46E2" w:rsidRDefault="00612B25" w:rsidP="00212039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Unemployment rate: Jun.2020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55D5E1C" w14:textId="3FB64E89" w:rsidR="00612B25" w:rsidRPr="00EE46E2" w:rsidRDefault="00612B25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3.3%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2595F07" w14:textId="418AC23D" w:rsidR="00612B25" w:rsidRPr="00EE46E2" w:rsidRDefault="00612B25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-0.5pp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0B6447B" w14:textId="77777777" w:rsidR="00612B25" w:rsidRPr="00EE46E2" w:rsidRDefault="00612B25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612B25" w:rsidRPr="00EE46E2" w14:paraId="63039932" w14:textId="7D473A44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50CC805" w14:textId="06B6CCD4" w:rsidR="00612B25" w:rsidRPr="00EE46E2" w:rsidRDefault="00612B25" w:rsidP="00212039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Minerals &amp; petroleum sales: 2019-20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CA5B5B7" w14:textId="27D90AAC" w:rsidR="00612B25" w:rsidRPr="00EE46E2" w:rsidRDefault="00612B25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$3.1b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C8A2040" w14:textId="6C54D5B0" w:rsidR="00612B25" w:rsidRPr="00EE46E2" w:rsidRDefault="00612B25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-13.5%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A03E7BB" w14:textId="2CE91BA4" w:rsidR="00612B25" w:rsidRPr="00EE46E2" w:rsidRDefault="00612B25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1.8%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3EF89F49" w14:textId="5150D06F" w:rsidR="00612B25" w:rsidRPr="00EE46E2" w:rsidRDefault="00612B25" w:rsidP="00212039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4748B91" w14:textId="356730E7" w:rsidR="00612B25" w:rsidRPr="00EE46E2" w:rsidRDefault="00612B25" w:rsidP="00212039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Minerals &amp; petroleum sales: 2019-20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3CEB462" w14:textId="75A0E7D6" w:rsidR="00612B25" w:rsidRPr="00EE46E2" w:rsidRDefault="00612B25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$7m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F53778D" w14:textId="7C737E84" w:rsidR="00612B25" w:rsidRPr="00EE46E2" w:rsidRDefault="00612B25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-10.6%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6B3E462" w14:textId="2AEDD68A" w:rsidR="00612B25" w:rsidRPr="00EE46E2" w:rsidRDefault="00612B25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0.0%</w:t>
                            </w:r>
                          </w:p>
                        </w:tc>
                      </w:tr>
                      <w:tr w:rsidR="00612B25" w:rsidRPr="00EE46E2" w14:paraId="4F86E3CD" w14:textId="1C6F108C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C18FFAA" w14:textId="039267EE" w:rsidR="00612B25" w:rsidRPr="00EE46E2" w:rsidRDefault="00612B25" w:rsidP="00212039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Building approvals: 2019-20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92CFDCD" w14:textId="05F5E4B1" w:rsidR="00612B25" w:rsidRPr="00EE46E2" w:rsidRDefault="00612B25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$544m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79C5E6F" w14:textId="2F8654F3" w:rsidR="00612B25" w:rsidRPr="00EE46E2" w:rsidRDefault="00612B25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-17.5%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4DFA71B" w14:textId="1CEE4C5B" w:rsidR="00612B25" w:rsidRPr="00EE46E2" w:rsidRDefault="00612B25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6.0%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71A12EA2" w14:textId="0B170C30" w:rsidR="00612B25" w:rsidRPr="00EE46E2" w:rsidRDefault="00612B25" w:rsidP="00212039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6A34DD2" w14:textId="7119EB15" w:rsidR="00612B25" w:rsidRPr="00EE46E2" w:rsidRDefault="00612B25" w:rsidP="00212039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Building approvals: 2019-20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C6D9334" w14:textId="2886D835" w:rsidR="00612B25" w:rsidRPr="00EE46E2" w:rsidRDefault="00612B25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$156m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F43F58F" w14:textId="6AA4CE9E" w:rsidR="00612B25" w:rsidRPr="00EE46E2" w:rsidRDefault="00612B25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-6.3%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B456FDB" w14:textId="0D1AF849" w:rsidR="00612B25" w:rsidRPr="00EE46E2" w:rsidRDefault="00612B25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1.7%</w:t>
                            </w:r>
                          </w:p>
                        </w:tc>
                      </w:tr>
                      <w:tr w:rsidR="00612B25" w:rsidRPr="00EE46E2" w14:paraId="73A11EED" w14:textId="3B9FF336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4DE1F7F" w14:textId="671E2A64" w:rsidR="00612B25" w:rsidRPr="00EE46E2" w:rsidRDefault="00612B25" w:rsidP="00212039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Overnight visitors a year: 2017-2019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EFC8603" w14:textId="53498254" w:rsidR="00612B25" w:rsidRPr="00EE46E2" w:rsidRDefault="00612B25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2,461,000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9245C53" w14:textId="0E117685" w:rsidR="00612B25" w:rsidRPr="00EE46E2" w:rsidRDefault="00612B25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2F6A62F" w14:textId="4619A03D" w:rsidR="00612B25" w:rsidRPr="00EE46E2" w:rsidRDefault="00612B25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19.8%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485EB060" w14:textId="112DAE95" w:rsidR="00612B25" w:rsidRPr="00EE46E2" w:rsidRDefault="00612B25" w:rsidP="00212039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157C87F" w14:textId="15BAA6AB" w:rsidR="00612B25" w:rsidRPr="00EE46E2" w:rsidRDefault="00612B25" w:rsidP="00212039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Overnight visitors a year: 2017-2019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1AD6EDC" w14:textId="0F45D4FC" w:rsidR="00612B25" w:rsidRPr="00EE46E2" w:rsidRDefault="00612B25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744,000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E4317A0" w14:textId="77777777" w:rsidR="00612B25" w:rsidRPr="00EE46E2" w:rsidRDefault="00612B25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277BF2E" w14:textId="05086FCA" w:rsidR="00612B25" w:rsidRPr="00EE46E2" w:rsidRDefault="00612B25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6.0%</w:t>
                            </w:r>
                          </w:p>
                        </w:tc>
                      </w:tr>
                      <w:tr w:rsidR="00612B25" w:rsidRPr="00EE46E2" w14:paraId="42D8CD9F" w14:textId="77777777" w:rsidTr="00EE46E2"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311AEBDA" w14:textId="77777777" w:rsidR="00612B25" w:rsidRPr="00EE46E2" w:rsidRDefault="00612B25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7BFD4136" w14:textId="77777777" w:rsidR="00612B25" w:rsidRPr="00EE46E2" w:rsidRDefault="00612B25" w:rsidP="00A545D6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3DBB9FFD" w14:textId="77777777" w:rsidR="00612B25" w:rsidRPr="00EE46E2" w:rsidRDefault="00612B25" w:rsidP="00A545D6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61F591FD" w14:textId="77777777" w:rsidR="00612B25" w:rsidRPr="00EE46E2" w:rsidRDefault="00612B25" w:rsidP="00A545D6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24EE7206" w14:textId="317D7D84" w:rsidR="00612B25" w:rsidRPr="00EE46E2" w:rsidRDefault="00612B25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</w:tcBorders>
                          </w:tcPr>
                          <w:p w14:paraId="6A992539" w14:textId="77777777" w:rsidR="00612B25" w:rsidRPr="00EE46E2" w:rsidRDefault="00612B25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7D3CC2CB" w14:textId="77777777" w:rsidR="00612B25" w:rsidRPr="00EE46E2" w:rsidRDefault="00612B25" w:rsidP="00A545D6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1F09E8B9" w14:textId="77777777" w:rsidR="00612B25" w:rsidRPr="00EE46E2" w:rsidRDefault="00612B25" w:rsidP="00A545D6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5A31C82A" w14:textId="77777777" w:rsidR="00612B25" w:rsidRPr="00EE46E2" w:rsidRDefault="00612B25" w:rsidP="00A545D6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612B25" w:rsidRPr="00EE46E2" w14:paraId="47B6AFA1" w14:textId="77777777" w:rsidTr="00EE46E2">
                        <w:tc>
                          <w:tcPr>
                            <w:tcW w:w="0" w:type="auto"/>
                          </w:tcPr>
                          <w:p w14:paraId="48D9FEFE" w14:textId="77777777" w:rsidR="00612B25" w:rsidRPr="00EE46E2" w:rsidRDefault="00612B25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32FD230F" w14:textId="77777777" w:rsidR="00612B25" w:rsidRPr="00EE46E2" w:rsidRDefault="00612B25" w:rsidP="00A545D6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3436C726" w14:textId="77777777" w:rsidR="00612B25" w:rsidRPr="00EE46E2" w:rsidRDefault="00612B25" w:rsidP="00A545D6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3482C855" w14:textId="77777777" w:rsidR="00612B25" w:rsidRPr="00EE46E2" w:rsidRDefault="00612B25" w:rsidP="00A545D6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184C4251" w14:textId="122EDA3F" w:rsidR="00612B25" w:rsidRPr="00EE46E2" w:rsidRDefault="00612B25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</w:tcPr>
                          <w:p w14:paraId="4098E44F" w14:textId="77777777" w:rsidR="00612B25" w:rsidRPr="00EE46E2" w:rsidRDefault="00612B25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50A13EED" w14:textId="77777777" w:rsidR="00612B25" w:rsidRPr="00EE46E2" w:rsidRDefault="00612B25" w:rsidP="00A545D6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54F7ECA1" w14:textId="77777777" w:rsidR="00612B25" w:rsidRPr="00EE46E2" w:rsidRDefault="00612B25" w:rsidP="00A545D6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463DB0DC" w14:textId="77777777" w:rsidR="00612B25" w:rsidRPr="00EE46E2" w:rsidRDefault="00612B25" w:rsidP="00A545D6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</w:tbl>
                    <w:p w14:paraId="45D81885" w14:textId="77777777" w:rsidR="00612B25" w:rsidRDefault="00612B25"/>
                  </w:txbxContent>
                </v:textbox>
              </v:shape>
            </w:pict>
          </mc:Fallback>
        </mc:AlternateContent>
      </w:r>
      <w:r w:rsidR="00C85FDD">
        <w:rPr>
          <w:noProof/>
          <w:sz w:val="16"/>
          <w:lang w:eastAsia="en-AU"/>
        </w:rPr>
        <w:drawing>
          <wp:inline distT="0" distB="0" distL="0" distR="0" wp14:anchorId="62F20008" wp14:editId="6D03993D">
            <wp:extent cx="5361940" cy="7524115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1940" cy="7524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A9000A" w14:textId="2FDAE33C" w:rsidR="00035E69" w:rsidRDefault="00245787" w:rsidP="00035E69">
      <w:pPr>
        <w:spacing w:after="0"/>
        <w:jc w:val="both"/>
        <w:rPr>
          <w:sz w:val="10"/>
        </w:rPr>
      </w:pPr>
      <w:r>
        <w:rPr>
          <w:sz w:val="10"/>
        </w:rPr>
        <w:t xml:space="preserve">pp = percentage point. </w:t>
      </w:r>
      <w:r w:rsidR="00167179" w:rsidRPr="00167179">
        <w:rPr>
          <w:sz w:val="10"/>
          <w:vertAlign w:val="superscript"/>
        </w:rPr>
        <w:t>1</w:t>
      </w:r>
      <w:r w:rsidR="00167179" w:rsidRPr="00167179">
        <w:rPr>
          <w:sz w:val="10"/>
        </w:rPr>
        <w:t xml:space="preserve"> Change from previous year for annual series</w:t>
      </w:r>
      <w:r w:rsidR="009E48EF">
        <w:rPr>
          <w:sz w:val="10"/>
        </w:rPr>
        <w:t xml:space="preserve"> (nominal</w:t>
      </w:r>
      <w:r w:rsidR="001872E7">
        <w:rPr>
          <w:sz w:val="10"/>
        </w:rPr>
        <w:t>)</w:t>
      </w:r>
      <w:r w:rsidR="00167179" w:rsidRPr="00167179">
        <w:rPr>
          <w:sz w:val="10"/>
        </w:rPr>
        <w:t xml:space="preserve"> and change from same quarter of the previous year for the quarterly labour force series. Source: </w:t>
      </w:r>
      <w:r w:rsidR="00131643" w:rsidRPr="00167179">
        <w:rPr>
          <w:sz w:val="10"/>
        </w:rPr>
        <w:t>WA Department of Primary Industries and Regional Development</w:t>
      </w:r>
      <w:r w:rsidR="00131643">
        <w:rPr>
          <w:sz w:val="10"/>
        </w:rPr>
        <w:t xml:space="preserve">, GRP estimates (Annual); </w:t>
      </w:r>
      <w:r w:rsidR="00167179" w:rsidRPr="00167179">
        <w:rPr>
          <w:sz w:val="10"/>
        </w:rPr>
        <w:t>ABS 3218.0 Regional Population Growth</w:t>
      </w:r>
      <w:r w:rsidR="00131643">
        <w:rPr>
          <w:sz w:val="10"/>
        </w:rPr>
        <w:t xml:space="preserve"> Australia (Annual); </w:t>
      </w:r>
      <w:r w:rsidR="00131643" w:rsidRPr="00167179">
        <w:rPr>
          <w:sz w:val="10"/>
        </w:rPr>
        <w:t xml:space="preserve">Department of </w:t>
      </w:r>
      <w:r w:rsidR="00131643">
        <w:rPr>
          <w:sz w:val="10"/>
        </w:rPr>
        <w:t>Education, Skills and Employment</w:t>
      </w:r>
      <w:r w:rsidR="00131643" w:rsidRPr="00167179">
        <w:rPr>
          <w:sz w:val="10"/>
        </w:rPr>
        <w:t>, Small Area Labour Markets</w:t>
      </w:r>
      <w:r w:rsidR="00131643">
        <w:rPr>
          <w:sz w:val="10"/>
        </w:rPr>
        <w:t xml:space="preserve"> (Quarterly); </w:t>
      </w:r>
      <w:r w:rsidR="00131643" w:rsidRPr="00167179">
        <w:rPr>
          <w:sz w:val="10"/>
        </w:rPr>
        <w:t>WA Department of Mines, Industry Regulation and Safety, Resource Data Files</w:t>
      </w:r>
      <w:r w:rsidR="00131643">
        <w:rPr>
          <w:sz w:val="10"/>
        </w:rPr>
        <w:t xml:space="preserve"> (B</w:t>
      </w:r>
      <w:r w:rsidR="00131643">
        <w:rPr>
          <w:sz w:val="10"/>
        </w:rPr>
        <w:noBreakHyphen/>
        <w:t xml:space="preserve">Annual); </w:t>
      </w:r>
      <w:r w:rsidR="00AC05FC">
        <w:rPr>
          <w:sz w:val="10"/>
        </w:rPr>
        <w:t xml:space="preserve">ABS </w:t>
      </w:r>
      <w:r w:rsidR="00167179" w:rsidRPr="00167179">
        <w:rPr>
          <w:sz w:val="10"/>
        </w:rPr>
        <w:t>8731.0 Building Approvals</w:t>
      </w:r>
      <w:r w:rsidR="00AC05FC">
        <w:rPr>
          <w:sz w:val="10"/>
        </w:rPr>
        <w:t>, Australia (Monthly)</w:t>
      </w:r>
      <w:r w:rsidR="00167179" w:rsidRPr="00167179">
        <w:rPr>
          <w:sz w:val="10"/>
        </w:rPr>
        <w:t>; and Tourism Western Australia, Regional Development Commission Fact Sheets</w:t>
      </w:r>
      <w:r w:rsidR="00D35FD0">
        <w:rPr>
          <w:sz w:val="10"/>
        </w:rPr>
        <w:t xml:space="preserve"> (Annual)</w:t>
      </w:r>
      <w:r w:rsidR="00035E69">
        <w:rPr>
          <w:sz w:val="10"/>
        </w:rPr>
        <w:t>.</w:t>
      </w:r>
    </w:p>
    <w:p w14:paraId="1CF2FFA3" w14:textId="77777777" w:rsidR="005B28B6" w:rsidRDefault="005B28B6" w:rsidP="00035E69">
      <w:pPr>
        <w:spacing w:after="0"/>
        <w:jc w:val="both"/>
        <w:rPr>
          <w:sz w:val="10"/>
        </w:rPr>
        <w:sectPr w:rsidR="005B28B6" w:rsidSect="005B28B6">
          <w:type w:val="continuous"/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</w:p>
    <w:p w14:paraId="39BFAD1B" w14:textId="58645A8F" w:rsidR="00167179" w:rsidRDefault="00167179" w:rsidP="00035E69">
      <w:pPr>
        <w:spacing w:after="0"/>
        <w:jc w:val="both"/>
        <w:rPr>
          <w:sz w:val="10"/>
        </w:rPr>
      </w:pPr>
      <w:r>
        <w:rPr>
          <w:sz w:val="10"/>
        </w:rPr>
        <w:br w:type="page"/>
      </w:r>
    </w:p>
    <w:p w14:paraId="3BC758E7" w14:textId="3BE532D1" w:rsidR="005537D5" w:rsidRPr="00A243CD" w:rsidRDefault="005537D5" w:rsidP="005537D5">
      <w:pPr>
        <w:pStyle w:val="Heading1"/>
        <w:spacing w:before="0" w:after="0"/>
        <w:rPr>
          <w:sz w:val="22"/>
          <w:szCs w:val="22"/>
        </w:rPr>
      </w:pPr>
      <w:bookmarkStart w:id="6" w:name="_TAIWAN"/>
      <w:bookmarkEnd w:id="6"/>
      <w:r>
        <w:rPr>
          <w:sz w:val="22"/>
          <w:szCs w:val="22"/>
        </w:rPr>
        <w:lastRenderedPageBreak/>
        <w:t>COVID-19 SUPPLEMENT</w:t>
      </w:r>
    </w:p>
    <w:p w14:paraId="68CE6A70" w14:textId="77777777" w:rsidR="00394BFB" w:rsidRPr="00237284" w:rsidRDefault="00394BFB" w:rsidP="00394BFB">
      <w:pPr>
        <w:pStyle w:val="BodyText"/>
        <w:spacing w:after="0"/>
      </w:pPr>
    </w:p>
    <w:p w14:paraId="51D64904" w14:textId="768E231B" w:rsidR="00394BFB" w:rsidRPr="00AC05FC" w:rsidRDefault="00AC05FC" w:rsidP="00AC05FC">
      <w:pPr>
        <w:pStyle w:val="BodyText"/>
        <w:spacing w:after="0"/>
        <w:rPr>
          <w:b/>
          <w:sz w:val="20"/>
        </w:rPr>
      </w:pPr>
      <w:r>
        <w:rPr>
          <w:b/>
          <w:sz w:val="20"/>
        </w:rPr>
        <w:t>Western Australia’s employment</w:t>
      </w:r>
      <w:r w:rsidR="00D01563" w:rsidRPr="00D01563">
        <w:rPr>
          <w:b/>
          <w:sz w:val="20"/>
          <w:vertAlign w:val="superscript"/>
        </w:rPr>
        <w:t>1</w:t>
      </w:r>
      <w:r w:rsidR="001D7DDB">
        <w:rPr>
          <w:b/>
          <w:sz w:val="20"/>
        </w:rPr>
        <w:t>:</w:t>
      </w:r>
      <w:r w:rsidR="00D01563">
        <w:rPr>
          <w:b/>
          <w:sz w:val="20"/>
        </w:rPr>
        <w:t xml:space="preserve"> Months</w:t>
      </w:r>
    </w:p>
    <w:p w14:paraId="24BC01BC" w14:textId="7DC025EF" w:rsidR="00394BFB" w:rsidRDefault="000605A7" w:rsidP="00394BFB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15F08765" wp14:editId="4C5897B0">
            <wp:extent cx="3420745" cy="2052955"/>
            <wp:effectExtent l="0" t="0" r="825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745" cy="205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CDC64" w14:textId="02A727A9" w:rsidR="000F79FB" w:rsidRPr="000F79FB" w:rsidRDefault="000F79FB" w:rsidP="000F79FB">
      <w:pPr>
        <w:spacing w:after="0"/>
        <w:jc w:val="both"/>
        <w:rPr>
          <w:sz w:val="10"/>
        </w:rPr>
      </w:pPr>
      <w:r>
        <w:rPr>
          <w:sz w:val="10"/>
        </w:rPr>
        <w:t>Note – A</w:t>
      </w:r>
      <w:r w:rsidRPr="000F79FB">
        <w:rPr>
          <w:sz w:val="10"/>
        </w:rPr>
        <w:t>xis does not start at zero.</w:t>
      </w:r>
      <w:r w:rsidR="00D01563">
        <w:rPr>
          <w:sz w:val="10"/>
        </w:rPr>
        <w:t xml:space="preserve"> </w:t>
      </w:r>
      <w:r w:rsidR="00D01563" w:rsidRPr="00D01563">
        <w:rPr>
          <w:sz w:val="10"/>
          <w:vertAlign w:val="superscript"/>
        </w:rPr>
        <w:t>1</w:t>
      </w:r>
      <w:r w:rsidR="00D01563">
        <w:rPr>
          <w:sz w:val="10"/>
        </w:rPr>
        <w:t xml:space="preserve"> Seasonally adjusted series. </w:t>
      </w:r>
      <w:r w:rsidR="00D01563">
        <w:rPr>
          <w:sz w:val="10"/>
          <w:vertAlign w:val="superscript"/>
        </w:rPr>
        <w:t>2</w:t>
      </w:r>
      <w:r w:rsidRPr="000F79FB">
        <w:rPr>
          <w:sz w:val="10"/>
        </w:rPr>
        <w:t xml:space="preserve"> Worked 35 hours or more a week. </w:t>
      </w:r>
      <w:r w:rsidR="00D01563">
        <w:rPr>
          <w:sz w:val="10"/>
          <w:vertAlign w:val="superscript"/>
        </w:rPr>
        <w:t>3</w:t>
      </w:r>
      <w:r w:rsidRPr="000F79FB">
        <w:rPr>
          <w:sz w:val="10"/>
        </w:rPr>
        <w:t xml:space="preserve"> Wo</w:t>
      </w:r>
      <w:r>
        <w:rPr>
          <w:sz w:val="10"/>
        </w:rPr>
        <w:t>rked less than 35 hours a week.</w:t>
      </w:r>
    </w:p>
    <w:p w14:paraId="5B9B569F" w14:textId="1B04139C" w:rsidR="00394BFB" w:rsidRDefault="000F79FB" w:rsidP="000F79FB">
      <w:pPr>
        <w:spacing w:after="0"/>
        <w:jc w:val="both"/>
        <w:rPr>
          <w:sz w:val="10"/>
        </w:rPr>
      </w:pPr>
      <w:r w:rsidRPr="000F79FB">
        <w:rPr>
          <w:sz w:val="10"/>
        </w:rPr>
        <w:t>Source: ABS 6202.0 Labour Force, Australia</w:t>
      </w:r>
      <w:r>
        <w:rPr>
          <w:sz w:val="10"/>
        </w:rPr>
        <w:t xml:space="preserve"> (Monthly)</w:t>
      </w:r>
      <w:r w:rsidR="00394BFB">
        <w:rPr>
          <w:sz w:val="10"/>
        </w:rPr>
        <w:t>.</w:t>
      </w:r>
    </w:p>
    <w:p w14:paraId="7156FCFB" w14:textId="77777777" w:rsidR="00394BFB" w:rsidRDefault="00394BFB" w:rsidP="00394BFB">
      <w:pPr>
        <w:spacing w:after="0"/>
        <w:jc w:val="both"/>
        <w:rPr>
          <w:sz w:val="16"/>
        </w:rPr>
      </w:pPr>
    </w:p>
    <w:p w14:paraId="5A0C9464" w14:textId="77777777" w:rsidR="00394BFB" w:rsidRPr="00CB298C" w:rsidRDefault="00394BFB" w:rsidP="00394BFB">
      <w:pPr>
        <w:spacing w:after="0"/>
        <w:jc w:val="both"/>
        <w:rPr>
          <w:sz w:val="16"/>
        </w:rPr>
      </w:pPr>
    </w:p>
    <w:p w14:paraId="2FA59ED0" w14:textId="77777777" w:rsidR="00394BFB" w:rsidRDefault="00394BFB" w:rsidP="00394BFB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7FCA6D45" w14:textId="77777777" w:rsidR="00394BFB" w:rsidRDefault="00394BFB" w:rsidP="00394BFB">
      <w:pPr>
        <w:spacing w:after="0"/>
        <w:jc w:val="both"/>
        <w:rPr>
          <w:sz w:val="16"/>
        </w:rPr>
      </w:pPr>
    </w:p>
    <w:p w14:paraId="13CEFCDC" w14:textId="77777777" w:rsidR="00394BFB" w:rsidRDefault="00394BFB" w:rsidP="00394BFB">
      <w:pPr>
        <w:spacing w:after="0"/>
        <w:jc w:val="both"/>
        <w:rPr>
          <w:sz w:val="16"/>
        </w:rPr>
      </w:pPr>
    </w:p>
    <w:p w14:paraId="06C74317" w14:textId="519707B9" w:rsidR="00394BFB" w:rsidRPr="00CB298C" w:rsidRDefault="00394BFB" w:rsidP="00394BF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B69DD">
        <w:rPr>
          <w:sz w:val="16"/>
        </w:rPr>
        <w:t>Western Australia’s</w:t>
      </w:r>
      <w:r w:rsidR="009316A2">
        <w:rPr>
          <w:sz w:val="16"/>
        </w:rPr>
        <w:t xml:space="preserve"> </w:t>
      </w:r>
      <w:r w:rsidR="009316A2" w:rsidRPr="009316A2">
        <w:rPr>
          <w:sz w:val="16"/>
        </w:rPr>
        <w:t xml:space="preserve">employment rose for the </w:t>
      </w:r>
      <w:r w:rsidR="000605A7">
        <w:rPr>
          <w:sz w:val="16"/>
        </w:rPr>
        <w:t>5</w:t>
      </w:r>
      <w:r w:rsidR="009316A2" w:rsidRPr="009316A2">
        <w:rPr>
          <w:sz w:val="16"/>
        </w:rPr>
        <w:t xml:space="preserve">th consecutive month in </w:t>
      </w:r>
      <w:r w:rsidR="000605A7">
        <w:rPr>
          <w:sz w:val="16"/>
        </w:rPr>
        <w:t>Octo</w:t>
      </w:r>
      <w:r w:rsidR="009316A2" w:rsidRPr="009316A2">
        <w:rPr>
          <w:sz w:val="16"/>
        </w:rPr>
        <w:t>ber</w:t>
      </w:r>
      <w:r w:rsidR="009316A2">
        <w:rPr>
          <w:sz w:val="16"/>
        </w:rPr>
        <w:t xml:space="preserve"> </w:t>
      </w:r>
      <w:r w:rsidR="009316A2" w:rsidRPr="009316A2">
        <w:rPr>
          <w:sz w:val="16"/>
        </w:rPr>
        <w:t xml:space="preserve">2020, driven by an increase in </w:t>
      </w:r>
      <w:r w:rsidR="000605A7">
        <w:rPr>
          <w:sz w:val="16"/>
        </w:rPr>
        <w:t xml:space="preserve">both </w:t>
      </w:r>
      <w:r w:rsidR="009316A2" w:rsidRPr="009316A2">
        <w:rPr>
          <w:sz w:val="16"/>
        </w:rPr>
        <w:t>part</w:t>
      </w:r>
      <w:r w:rsidR="009316A2" w:rsidRPr="009316A2">
        <w:rPr>
          <w:sz w:val="16"/>
        </w:rPr>
        <w:noBreakHyphen/>
        <w:t xml:space="preserve">time </w:t>
      </w:r>
      <w:r w:rsidR="000605A7">
        <w:rPr>
          <w:sz w:val="16"/>
        </w:rPr>
        <w:t xml:space="preserve">and full-time </w:t>
      </w:r>
      <w:r w:rsidR="009316A2" w:rsidRPr="009316A2">
        <w:rPr>
          <w:sz w:val="16"/>
        </w:rPr>
        <w:t>employment</w:t>
      </w:r>
      <w:r w:rsidRPr="008B69DD">
        <w:rPr>
          <w:sz w:val="16"/>
        </w:rPr>
        <w:t>.</w:t>
      </w:r>
    </w:p>
    <w:p w14:paraId="2565818E" w14:textId="61352A4C" w:rsidR="00394BFB" w:rsidRPr="008B69DD" w:rsidRDefault="00394BFB" w:rsidP="00394BF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B69DD">
        <w:rPr>
          <w:sz w:val="16"/>
        </w:rPr>
        <w:t xml:space="preserve">Western Australia’s </w:t>
      </w:r>
      <w:r w:rsidR="00F95326" w:rsidRPr="00F95326">
        <w:rPr>
          <w:sz w:val="16"/>
        </w:rPr>
        <w:t xml:space="preserve">employment rose </w:t>
      </w:r>
      <w:r w:rsidR="000605A7">
        <w:rPr>
          <w:sz w:val="16"/>
        </w:rPr>
        <w:t>1.1</w:t>
      </w:r>
      <w:r w:rsidR="00F95326" w:rsidRPr="00F95326">
        <w:rPr>
          <w:sz w:val="16"/>
        </w:rPr>
        <w:t>% (</w:t>
      </w:r>
      <w:r w:rsidR="000605A7">
        <w:rPr>
          <w:sz w:val="16"/>
        </w:rPr>
        <w:t>15</w:t>
      </w:r>
      <w:r w:rsidR="00F95326" w:rsidRPr="00F95326">
        <w:rPr>
          <w:sz w:val="16"/>
        </w:rPr>
        <w:t>,</w:t>
      </w:r>
      <w:r w:rsidR="000605A7">
        <w:rPr>
          <w:sz w:val="16"/>
        </w:rPr>
        <w:t>2</w:t>
      </w:r>
      <w:r w:rsidR="00F95326" w:rsidRPr="00F95326">
        <w:rPr>
          <w:sz w:val="16"/>
        </w:rPr>
        <w:t>87) to 1,3</w:t>
      </w:r>
      <w:r w:rsidR="00DF0B6D">
        <w:rPr>
          <w:sz w:val="16"/>
        </w:rPr>
        <w:t>66</w:t>
      </w:r>
      <w:r w:rsidR="00F95326" w:rsidRPr="00F95326">
        <w:rPr>
          <w:sz w:val="16"/>
        </w:rPr>
        <w:t>,</w:t>
      </w:r>
      <w:r w:rsidR="00DF0B6D">
        <w:rPr>
          <w:sz w:val="16"/>
        </w:rPr>
        <w:t>186</w:t>
      </w:r>
      <w:r w:rsidR="00F95326" w:rsidRPr="00F95326">
        <w:rPr>
          <w:sz w:val="16"/>
        </w:rPr>
        <w:t xml:space="preserve"> in </w:t>
      </w:r>
      <w:r w:rsidR="00DF0B6D">
        <w:rPr>
          <w:sz w:val="16"/>
        </w:rPr>
        <w:t>October</w:t>
      </w:r>
      <w:r w:rsidR="00F95326" w:rsidRPr="00F95326">
        <w:rPr>
          <w:sz w:val="16"/>
        </w:rPr>
        <w:t xml:space="preserve"> 2020, following </w:t>
      </w:r>
      <w:r w:rsidR="00A047FD">
        <w:rPr>
          <w:sz w:val="16"/>
        </w:rPr>
        <w:t xml:space="preserve">a </w:t>
      </w:r>
      <w:r w:rsidR="00F95326" w:rsidRPr="00F95326">
        <w:rPr>
          <w:sz w:val="16"/>
        </w:rPr>
        <w:t xml:space="preserve">rise of </w:t>
      </w:r>
      <w:r w:rsidR="00DF0B6D">
        <w:rPr>
          <w:sz w:val="16"/>
        </w:rPr>
        <w:t>0.0</w:t>
      </w:r>
      <w:r w:rsidR="00F95326" w:rsidRPr="00F95326">
        <w:rPr>
          <w:sz w:val="16"/>
        </w:rPr>
        <w:t>4% (</w:t>
      </w:r>
      <w:r w:rsidR="00DF0B6D">
        <w:rPr>
          <w:sz w:val="16"/>
        </w:rPr>
        <w:t>569</w:t>
      </w:r>
      <w:r w:rsidR="00F95326" w:rsidRPr="00F95326">
        <w:rPr>
          <w:sz w:val="16"/>
        </w:rPr>
        <w:t xml:space="preserve">) in </w:t>
      </w:r>
      <w:r w:rsidR="00DF0B6D">
        <w:rPr>
          <w:sz w:val="16"/>
        </w:rPr>
        <w:t>September</w:t>
      </w:r>
      <w:r w:rsidR="00F95326">
        <w:rPr>
          <w:sz w:val="16"/>
        </w:rPr>
        <w:t xml:space="preserve"> </w:t>
      </w:r>
      <w:r w:rsidR="00F95326" w:rsidRPr="00F95326">
        <w:rPr>
          <w:sz w:val="16"/>
        </w:rPr>
        <w:t>2020</w:t>
      </w:r>
      <w:r w:rsidRPr="008B69DD">
        <w:rPr>
          <w:sz w:val="16"/>
        </w:rPr>
        <w:t>.</w:t>
      </w:r>
    </w:p>
    <w:p w14:paraId="6D6B2412" w14:textId="4206692B" w:rsidR="008D5AC4" w:rsidRPr="008D5AC4" w:rsidRDefault="008D5AC4" w:rsidP="008D5AC4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D5AC4">
        <w:rPr>
          <w:sz w:val="16"/>
        </w:rPr>
        <w:t>Full-time</w:t>
      </w:r>
      <w:r w:rsidR="00D01563">
        <w:rPr>
          <w:sz w:val="16"/>
          <w:vertAlign w:val="superscript"/>
        </w:rPr>
        <w:t>2</w:t>
      </w:r>
      <w:r w:rsidRPr="008D5AC4">
        <w:rPr>
          <w:sz w:val="16"/>
        </w:rPr>
        <w:t xml:space="preserve"> employment</w:t>
      </w:r>
      <w:r>
        <w:rPr>
          <w:sz w:val="16"/>
        </w:rPr>
        <w:t xml:space="preserve"> in Western Australia</w:t>
      </w:r>
      <w:r w:rsidRPr="008D5AC4">
        <w:rPr>
          <w:sz w:val="16"/>
        </w:rPr>
        <w:t xml:space="preserve"> </w:t>
      </w:r>
      <w:r w:rsidR="00471216">
        <w:rPr>
          <w:sz w:val="16"/>
        </w:rPr>
        <w:t>rose 0.8</w:t>
      </w:r>
      <w:r w:rsidRPr="008D5AC4">
        <w:rPr>
          <w:sz w:val="16"/>
        </w:rPr>
        <w:t>% (</w:t>
      </w:r>
      <w:r w:rsidR="00471216">
        <w:rPr>
          <w:sz w:val="16"/>
        </w:rPr>
        <w:t>7,527</w:t>
      </w:r>
      <w:r w:rsidRPr="008D5AC4">
        <w:rPr>
          <w:sz w:val="16"/>
        </w:rPr>
        <w:t>) to 90</w:t>
      </w:r>
      <w:r w:rsidR="00471216">
        <w:rPr>
          <w:sz w:val="16"/>
        </w:rPr>
        <w:t>3</w:t>
      </w:r>
      <w:r w:rsidRPr="008D5AC4">
        <w:rPr>
          <w:sz w:val="16"/>
        </w:rPr>
        <w:t>,</w:t>
      </w:r>
      <w:r w:rsidR="00471216">
        <w:rPr>
          <w:sz w:val="16"/>
        </w:rPr>
        <w:t>46</w:t>
      </w:r>
      <w:r w:rsidRPr="008D5AC4">
        <w:rPr>
          <w:sz w:val="16"/>
        </w:rPr>
        <w:t xml:space="preserve">6 in </w:t>
      </w:r>
      <w:r w:rsidR="00471216">
        <w:rPr>
          <w:sz w:val="16"/>
        </w:rPr>
        <w:t>Octo</w:t>
      </w:r>
      <w:r w:rsidRPr="008D5AC4">
        <w:rPr>
          <w:sz w:val="16"/>
        </w:rPr>
        <w:t>ber 2020.</w:t>
      </w:r>
    </w:p>
    <w:p w14:paraId="4227E0E7" w14:textId="6568D4EB" w:rsidR="00394BFB" w:rsidRDefault="008D5AC4" w:rsidP="00C27BE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D5AC4">
        <w:rPr>
          <w:sz w:val="16"/>
        </w:rPr>
        <w:t>Part-time</w:t>
      </w:r>
      <w:r w:rsidR="00D01563">
        <w:rPr>
          <w:sz w:val="16"/>
          <w:vertAlign w:val="superscript"/>
        </w:rPr>
        <w:t>3</w:t>
      </w:r>
      <w:r w:rsidRPr="008D5AC4">
        <w:rPr>
          <w:sz w:val="16"/>
        </w:rPr>
        <w:t xml:space="preserve"> employment in Western Australia rose</w:t>
      </w:r>
      <w:r w:rsidR="00471216">
        <w:rPr>
          <w:sz w:val="16"/>
        </w:rPr>
        <w:t xml:space="preserve"> 1.7</w:t>
      </w:r>
      <w:r w:rsidRPr="008D5AC4">
        <w:rPr>
          <w:sz w:val="16"/>
        </w:rPr>
        <w:t>% (</w:t>
      </w:r>
      <w:r w:rsidR="00471216">
        <w:rPr>
          <w:sz w:val="16"/>
        </w:rPr>
        <w:t>7,760) to 46</w:t>
      </w:r>
      <w:r w:rsidRPr="008D5AC4">
        <w:rPr>
          <w:sz w:val="16"/>
        </w:rPr>
        <w:t>2,</w:t>
      </w:r>
      <w:r w:rsidR="00471216">
        <w:rPr>
          <w:sz w:val="16"/>
        </w:rPr>
        <w:t>720</w:t>
      </w:r>
      <w:r w:rsidRPr="008D5AC4">
        <w:rPr>
          <w:sz w:val="16"/>
        </w:rPr>
        <w:t xml:space="preserve"> in </w:t>
      </w:r>
      <w:r w:rsidR="00471216">
        <w:rPr>
          <w:sz w:val="16"/>
        </w:rPr>
        <w:t>Octo</w:t>
      </w:r>
      <w:r w:rsidRPr="008D5AC4">
        <w:rPr>
          <w:sz w:val="16"/>
        </w:rPr>
        <w:t>ber 2020</w:t>
      </w:r>
      <w:r w:rsidR="00394BFB" w:rsidRPr="008D5AC4">
        <w:rPr>
          <w:sz w:val="16"/>
        </w:rPr>
        <w:t>.</w:t>
      </w:r>
    </w:p>
    <w:p w14:paraId="10C0A39C" w14:textId="608AF1CE" w:rsidR="00B12E40" w:rsidRPr="00656ACC" w:rsidRDefault="00B37BD7" w:rsidP="00FB1065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 xml:space="preserve">Despite employment growing, </w:t>
      </w:r>
      <w:r w:rsidR="00B12E40" w:rsidRPr="00656ACC">
        <w:rPr>
          <w:sz w:val="16"/>
        </w:rPr>
        <w:t>Western Australia’s actual hours worked in all jobs f</w:t>
      </w:r>
      <w:r>
        <w:rPr>
          <w:sz w:val="16"/>
        </w:rPr>
        <w:t>e</w:t>
      </w:r>
      <w:r w:rsidR="005673E5">
        <w:rPr>
          <w:sz w:val="16"/>
        </w:rPr>
        <w:t>ll 0.5</w:t>
      </w:r>
      <w:r w:rsidR="00B12E40" w:rsidRPr="00656ACC">
        <w:rPr>
          <w:sz w:val="16"/>
        </w:rPr>
        <w:t xml:space="preserve">% </w:t>
      </w:r>
      <w:r w:rsidR="005673E5">
        <w:rPr>
          <w:sz w:val="16"/>
        </w:rPr>
        <w:t>i</w:t>
      </w:r>
      <w:r w:rsidR="00B12E40" w:rsidRPr="00656ACC">
        <w:rPr>
          <w:sz w:val="16"/>
        </w:rPr>
        <w:t xml:space="preserve">n </w:t>
      </w:r>
      <w:r w:rsidR="005673E5">
        <w:rPr>
          <w:sz w:val="16"/>
        </w:rPr>
        <w:t>Octob</w:t>
      </w:r>
      <w:r w:rsidR="00B12E40" w:rsidRPr="00656ACC">
        <w:rPr>
          <w:sz w:val="16"/>
        </w:rPr>
        <w:t xml:space="preserve">er 2020, following </w:t>
      </w:r>
      <w:r w:rsidR="00A047FD">
        <w:rPr>
          <w:sz w:val="16"/>
        </w:rPr>
        <w:t>a</w:t>
      </w:r>
      <w:r w:rsidR="00A047FD" w:rsidRPr="00656ACC">
        <w:rPr>
          <w:sz w:val="16"/>
        </w:rPr>
        <w:t xml:space="preserve"> </w:t>
      </w:r>
      <w:r w:rsidR="005673E5">
        <w:rPr>
          <w:sz w:val="16"/>
        </w:rPr>
        <w:t>fall o</w:t>
      </w:r>
      <w:r w:rsidR="00B12E40" w:rsidRPr="00656ACC">
        <w:rPr>
          <w:sz w:val="16"/>
        </w:rPr>
        <w:t xml:space="preserve">f </w:t>
      </w:r>
      <w:r w:rsidR="005673E5">
        <w:rPr>
          <w:sz w:val="16"/>
        </w:rPr>
        <w:t>0.6</w:t>
      </w:r>
      <w:r w:rsidR="00B12E40" w:rsidRPr="00656ACC">
        <w:rPr>
          <w:sz w:val="16"/>
        </w:rPr>
        <w:t xml:space="preserve">% in </w:t>
      </w:r>
      <w:r w:rsidR="005673E5">
        <w:rPr>
          <w:sz w:val="16"/>
        </w:rPr>
        <w:t xml:space="preserve">September </w:t>
      </w:r>
      <w:r w:rsidR="00B12E40" w:rsidRPr="00656ACC">
        <w:rPr>
          <w:sz w:val="16"/>
        </w:rPr>
        <w:t>2020.</w:t>
      </w:r>
    </w:p>
    <w:p w14:paraId="335F5D69" w14:textId="1AFAA3EF" w:rsidR="00B12E40" w:rsidRPr="00B12E40" w:rsidRDefault="00A047FD" w:rsidP="00B12E40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>A</w:t>
      </w:r>
      <w:r w:rsidR="00B12E40" w:rsidRPr="00154A96">
        <w:rPr>
          <w:sz w:val="16"/>
        </w:rPr>
        <w:t xml:space="preserve">verage hours worked per employed person </w:t>
      </w:r>
      <w:r>
        <w:rPr>
          <w:sz w:val="16"/>
        </w:rPr>
        <w:t xml:space="preserve">in Western Australia </w:t>
      </w:r>
      <w:r w:rsidR="00B12E40" w:rsidRPr="00154A96">
        <w:rPr>
          <w:sz w:val="16"/>
        </w:rPr>
        <w:t>f</w:t>
      </w:r>
      <w:r w:rsidR="00584A98">
        <w:rPr>
          <w:sz w:val="16"/>
        </w:rPr>
        <w:t>e</w:t>
      </w:r>
      <w:r w:rsidR="00B12E40" w:rsidRPr="00154A96">
        <w:rPr>
          <w:sz w:val="16"/>
        </w:rPr>
        <w:t xml:space="preserve">ll </w:t>
      </w:r>
      <w:r w:rsidR="00627267">
        <w:rPr>
          <w:sz w:val="16"/>
        </w:rPr>
        <w:t>1.7%</w:t>
      </w:r>
      <w:r w:rsidR="00B12E40" w:rsidRPr="00154A96">
        <w:rPr>
          <w:sz w:val="16"/>
        </w:rPr>
        <w:t xml:space="preserve"> to 13</w:t>
      </w:r>
      <w:r w:rsidR="003C2DA2">
        <w:rPr>
          <w:sz w:val="16"/>
        </w:rPr>
        <w:t>6.2</w:t>
      </w:r>
      <w:r w:rsidR="00584A98">
        <w:rPr>
          <w:sz w:val="16"/>
        </w:rPr>
        <w:t xml:space="preserve"> hours</w:t>
      </w:r>
      <w:r w:rsidR="00B12E40" w:rsidRPr="00154A96">
        <w:rPr>
          <w:sz w:val="16"/>
        </w:rPr>
        <w:t xml:space="preserve"> in </w:t>
      </w:r>
      <w:r w:rsidR="003C2DA2">
        <w:rPr>
          <w:sz w:val="16"/>
        </w:rPr>
        <w:t>Octo</w:t>
      </w:r>
      <w:r w:rsidR="00B12E40" w:rsidRPr="00154A96">
        <w:rPr>
          <w:sz w:val="16"/>
        </w:rPr>
        <w:t>ber</w:t>
      </w:r>
      <w:r>
        <w:rPr>
          <w:sz w:val="16"/>
        </w:rPr>
        <w:t> </w:t>
      </w:r>
      <w:r w:rsidR="00B12E40" w:rsidRPr="00154A96">
        <w:rPr>
          <w:sz w:val="16"/>
        </w:rPr>
        <w:t>2020.</w:t>
      </w:r>
    </w:p>
    <w:p w14:paraId="1C1DEBD7" w14:textId="77777777" w:rsidR="00394BFB" w:rsidRDefault="00394BFB" w:rsidP="00394BFB">
      <w:pPr>
        <w:pStyle w:val="BodyText"/>
        <w:spacing w:after="0"/>
        <w:jc w:val="both"/>
        <w:rPr>
          <w:sz w:val="16"/>
        </w:rPr>
        <w:sectPr w:rsidR="00394BF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3774565C" w14:textId="77777777" w:rsidR="000959F8" w:rsidRPr="005D1619" w:rsidRDefault="000959F8" w:rsidP="000959F8">
      <w:pPr>
        <w:pStyle w:val="BodyText"/>
        <w:spacing w:after="0"/>
        <w:rPr>
          <w:b/>
          <w:sz w:val="20"/>
        </w:rPr>
      </w:pPr>
      <w:r w:rsidRPr="005D1619">
        <w:rPr>
          <w:b/>
          <w:sz w:val="20"/>
        </w:rPr>
        <w:t>Western Australia’s participation rate</w:t>
      </w:r>
      <w:r w:rsidRPr="005D1619">
        <w:rPr>
          <w:b/>
          <w:sz w:val="20"/>
          <w:vertAlign w:val="superscript"/>
        </w:rPr>
        <w:t>1</w:t>
      </w:r>
      <w:r w:rsidRPr="005D1619">
        <w:rPr>
          <w:b/>
          <w:sz w:val="20"/>
        </w:rPr>
        <w:t>: Month</w:t>
      </w:r>
      <w:r>
        <w:rPr>
          <w:b/>
          <w:sz w:val="20"/>
        </w:rPr>
        <w:t>s</w:t>
      </w:r>
    </w:p>
    <w:p w14:paraId="314694AE" w14:textId="7303E983" w:rsidR="00A16892" w:rsidRPr="00A16892" w:rsidRDefault="00DC0E50" w:rsidP="00394BFB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33B1611C" wp14:editId="683276C9">
            <wp:extent cx="3420745" cy="2052955"/>
            <wp:effectExtent l="0" t="0" r="8255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745" cy="205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AA11E" w14:textId="77777777" w:rsidR="000959F8" w:rsidRPr="005D1619" w:rsidRDefault="000959F8" w:rsidP="000959F8">
      <w:pPr>
        <w:pStyle w:val="BodyText"/>
        <w:spacing w:after="0"/>
        <w:jc w:val="both"/>
        <w:rPr>
          <w:sz w:val="10"/>
        </w:rPr>
      </w:pPr>
      <w:r>
        <w:rPr>
          <w:sz w:val="10"/>
        </w:rPr>
        <w:t>Note – A</w:t>
      </w:r>
      <w:r w:rsidRPr="005D1619">
        <w:rPr>
          <w:sz w:val="10"/>
        </w:rPr>
        <w:t xml:space="preserve">xis does not start at zero. </w:t>
      </w:r>
      <w:r w:rsidRPr="005D1619">
        <w:rPr>
          <w:sz w:val="10"/>
          <w:vertAlign w:val="superscript"/>
        </w:rPr>
        <w:t xml:space="preserve">1 </w:t>
      </w:r>
      <w:r w:rsidRPr="005D1619">
        <w:rPr>
          <w:sz w:val="10"/>
        </w:rPr>
        <w:t>The participation rate is the proportion of the civilian working age population employed or actively looking for work.</w:t>
      </w:r>
      <w:r>
        <w:rPr>
          <w:sz w:val="10"/>
        </w:rPr>
        <w:t xml:space="preserve"> Seasonally adjusted series.</w:t>
      </w:r>
    </w:p>
    <w:p w14:paraId="00D3B61F" w14:textId="77777777" w:rsidR="000959F8" w:rsidRPr="00715528" w:rsidRDefault="000959F8" w:rsidP="000959F8">
      <w:pPr>
        <w:pStyle w:val="BodyText"/>
        <w:spacing w:after="0"/>
        <w:jc w:val="both"/>
        <w:rPr>
          <w:sz w:val="10"/>
        </w:rPr>
      </w:pPr>
      <w:r w:rsidRPr="005D1619">
        <w:rPr>
          <w:sz w:val="10"/>
        </w:rPr>
        <w:t>Source: ABS 6202.0 Labour Force, Australia</w:t>
      </w:r>
      <w:r>
        <w:rPr>
          <w:sz w:val="10"/>
        </w:rPr>
        <w:t xml:space="preserve"> (Monthly)</w:t>
      </w:r>
      <w:r w:rsidRPr="00715528">
        <w:rPr>
          <w:sz w:val="10"/>
        </w:rPr>
        <w:t>.</w:t>
      </w:r>
    </w:p>
    <w:p w14:paraId="0A12DEEF" w14:textId="77777777" w:rsidR="00394BFB" w:rsidRDefault="00394BFB" w:rsidP="00394BFB">
      <w:pPr>
        <w:pStyle w:val="BodyText"/>
        <w:spacing w:after="0"/>
        <w:jc w:val="both"/>
        <w:rPr>
          <w:sz w:val="16"/>
        </w:rPr>
      </w:pPr>
    </w:p>
    <w:p w14:paraId="136B42C8" w14:textId="77777777" w:rsidR="00394BFB" w:rsidRPr="00403DB4" w:rsidRDefault="00394BFB" w:rsidP="00394BFB">
      <w:pPr>
        <w:pStyle w:val="BodyText"/>
        <w:spacing w:after="0"/>
        <w:jc w:val="both"/>
        <w:rPr>
          <w:sz w:val="16"/>
        </w:rPr>
      </w:pPr>
    </w:p>
    <w:p w14:paraId="2731E258" w14:textId="6E5E20AE" w:rsidR="000959F8" w:rsidRPr="00E81121" w:rsidRDefault="00394BFB" w:rsidP="000959F8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B4E3E">
        <w:rPr>
          <w:sz w:val="16"/>
        </w:rPr>
        <w:br w:type="column"/>
      </w:r>
      <w:r w:rsidR="000959F8" w:rsidRPr="00DA1335">
        <w:rPr>
          <w:sz w:val="16"/>
        </w:rPr>
        <w:t xml:space="preserve">Western Australia’s participation rate </w:t>
      </w:r>
      <w:r w:rsidR="00694402">
        <w:rPr>
          <w:sz w:val="16"/>
        </w:rPr>
        <w:t>rose solidly in October </w:t>
      </w:r>
      <w:r w:rsidR="00E52147">
        <w:rPr>
          <w:sz w:val="16"/>
        </w:rPr>
        <w:t xml:space="preserve">2020, </w:t>
      </w:r>
      <w:r w:rsidR="00A047FD">
        <w:rPr>
          <w:sz w:val="16"/>
        </w:rPr>
        <w:t>after it fell for the first time</w:t>
      </w:r>
      <w:r w:rsidR="00E52147">
        <w:rPr>
          <w:sz w:val="16"/>
        </w:rPr>
        <w:t xml:space="preserve"> </w:t>
      </w:r>
      <w:r w:rsidR="000959F8" w:rsidRPr="00DA1335">
        <w:rPr>
          <w:sz w:val="16"/>
        </w:rPr>
        <w:t>in four months in September 2020</w:t>
      </w:r>
      <w:r w:rsidR="000959F8" w:rsidRPr="00E81121">
        <w:rPr>
          <w:sz w:val="16"/>
        </w:rPr>
        <w:t>.</w:t>
      </w:r>
    </w:p>
    <w:p w14:paraId="3FC5040A" w14:textId="659E205F" w:rsidR="000959F8" w:rsidRPr="00DA1335" w:rsidRDefault="000959F8" w:rsidP="000959F8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A1335">
        <w:rPr>
          <w:sz w:val="16"/>
        </w:rPr>
        <w:t xml:space="preserve">Western Australia’s participation rate </w:t>
      </w:r>
      <w:r w:rsidR="00E52147">
        <w:rPr>
          <w:sz w:val="16"/>
        </w:rPr>
        <w:t>rose from 67.7</w:t>
      </w:r>
      <w:r w:rsidRPr="00DA1335">
        <w:rPr>
          <w:sz w:val="16"/>
        </w:rPr>
        <w:t xml:space="preserve">% in </w:t>
      </w:r>
      <w:r w:rsidR="00E52147">
        <w:rPr>
          <w:sz w:val="16"/>
        </w:rPr>
        <w:t>September</w:t>
      </w:r>
      <w:r w:rsidRPr="00DA1335">
        <w:rPr>
          <w:sz w:val="16"/>
        </w:rPr>
        <w:t xml:space="preserve"> 2020 to 6</w:t>
      </w:r>
      <w:r w:rsidR="00E52147">
        <w:rPr>
          <w:sz w:val="16"/>
        </w:rPr>
        <w:t>8.3</w:t>
      </w:r>
      <w:r w:rsidRPr="00DA1335">
        <w:rPr>
          <w:sz w:val="16"/>
        </w:rPr>
        <w:t xml:space="preserve">% in </w:t>
      </w:r>
      <w:r w:rsidR="00E52147">
        <w:rPr>
          <w:sz w:val="16"/>
        </w:rPr>
        <w:t>Octo</w:t>
      </w:r>
      <w:r w:rsidRPr="00DA1335">
        <w:rPr>
          <w:sz w:val="16"/>
        </w:rPr>
        <w:t>ber</w:t>
      </w:r>
      <w:r>
        <w:rPr>
          <w:sz w:val="16"/>
        </w:rPr>
        <w:t xml:space="preserve"> </w:t>
      </w:r>
      <w:r w:rsidRPr="00DA1335">
        <w:rPr>
          <w:sz w:val="16"/>
        </w:rPr>
        <w:t>2020.</w:t>
      </w:r>
    </w:p>
    <w:p w14:paraId="17498EA4" w14:textId="0DB713A4" w:rsidR="00394BFB" w:rsidRPr="000959F8" w:rsidRDefault="000959F8" w:rsidP="00FB1065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0959F8">
        <w:rPr>
          <w:sz w:val="16"/>
        </w:rPr>
        <w:t xml:space="preserve">The </w:t>
      </w:r>
      <w:r w:rsidR="00E52147">
        <w:rPr>
          <w:sz w:val="16"/>
        </w:rPr>
        <w:t xml:space="preserve">rise </w:t>
      </w:r>
      <w:r w:rsidRPr="000959F8">
        <w:rPr>
          <w:sz w:val="16"/>
        </w:rPr>
        <w:t>in Western Australia’s participation rate reflects a</w:t>
      </w:r>
      <w:r w:rsidR="00E52147">
        <w:rPr>
          <w:sz w:val="16"/>
        </w:rPr>
        <w:t>n in</w:t>
      </w:r>
      <w:r w:rsidRPr="000959F8">
        <w:rPr>
          <w:sz w:val="16"/>
        </w:rPr>
        <w:t xml:space="preserve">crease in the labour force of </w:t>
      </w:r>
      <w:r w:rsidR="00E52147">
        <w:rPr>
          <w:sz w:val="16"/>
        </w:rPr>
        <w:t>14,236</w:t>
      </w:r>
      <w:r w:rsidRPr="000959F8">
        <w:rPr>
          <w:sz w:val="16"/>
        </w:rPr>
        <w:t xml:space="preserve"> in </w:t>
      </w:r>
      <w:r w:rsidR="00E52147">
        <w:rPr>
          <w:sz w:val="16"/>
        </w:rPr>
        <w:t>Octo</w:t>
      </w:r>
      <w:r w:rsidRPr="000959F8">
        <w:rPr>
          <w:sz w:val="16"/>
        </w:rPr>
        <w:t>ber</w:t>
      </w:r>
      <w:r w:rsidR="00A047FD">
        <w:rPr>
          <w:sz w:val="16"/>
        </w:rPr>
        <w:t> </w:t>
      </w:r>
      <w:r w:rsidRPr="000959F8">
        <w:rPr>
          <w:sz w:val="16"/>
        </w:rPr>
        <w:t>2020</w:t>
      </w:r>
      <w:r w:rsidR="00394BFB" w:rsidRPr="000959F8">
        <w:rPr>
          <w:sz w:val="16"/>
        </w:rPr>
        <w:t>.</w:t>
      </w:r>
    </w:p>
    <w:p w14:paraId="7BF1F421" w14:textId="77777777" w:rsidR="00394BFB" w:rsidRDefault="00394BFB" w:rsidP="00394BFB">
      <w:pPr>
        <w:pStyle w:val="BodyText"/>
        <w:spacing w:after="0"/>
        <w:jc w:val="both"/>
        <w:rPr>
          <w:sz w:val="16"/>
        </w:rPr>
        <w:sectPr w:rsidR="00394BF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06175110" w14:textId="77777777" w:rsidR="00ED55E2" w:rsidRPr="00F3554E" w:rsidRDefault="00ED55E2" w:rsidP="00ED55E2">
      <w:pPr>
        <w:pStyle w:val="BodyText"/>
        <w:spacing w:after="0"/>
        <w:rPr>
          <w:b/>
          <w:sz w:val="20"/>
        </w:rPr>
      </w:pPr>
      <w:r w:rsidRPr="00F3554E">
        <w:rPr>
          <w:b/>
          <w:sz w:val="20"/>
        </w:rPr>
        <w:t>Western Australia’s unemployment rate</w:t>
      </w:r>
      <w:r w:rsidRPr="006570A3">
        <w:rPr>
          <w:b/>
          <w:sz w:val="20"/>
          <w:vertAlign w:val="superscript"/>
        </w:rPr>
        <w:t>1</w:t>
      </w:r>
      <w:r w:rsidRPr="00F3554E">
        <w:rPr>
          <w:b/>
          <w:sz w:val="20"/>
        </w:rPr>
        <w:t>: Month</w:t>
      </w:r>
      <w:r>
        <w:rPr>
          <w:b/>
          <w:sz w:val="20"/>
        </w:rPr>
        <w:t>s</w:t>
      </w:r>
    </w:p>
    <w:p w14:paraId="1717D958" w14:textId="0ED97FFE" w:rsidR="00394BFB" w:rsidRDefault="007E7A59" w:rsidP="00394BFB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15075897" wp14:editId="02E463E8">
            <wp:extent cx="3416300" cy="2049145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0" cy="204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E4DB5" w14:textId="5F129172" w:rsidR="00ED55E2" w:rsidRPr="00ED55E2" w:rsidRDefault="00ED55E2" w:rsidP="00ED55E2">
      <w:pPr>
        <w:spacing w:after="0"/>
        <w:jc w:val="both"/>
        <w:rPr>
          <w:sz w:val="10"/>
        </w:rPr>
      </w:pPr>
      <w:r w:rsidRPr="00ED55E2">
        <w:rPr>
          <w:sz w:val="10"/>
          <w:vertAlign w:val="superscript"/>
        </w:rPr>
        <w:t xml:space="preserve">1 </w:t>
      </w:r>
      <w:r w:rsidRPr="00ED55E2">
        <w:rPr>
          <w:sz w:val="10"/>
        </w:rPr>
        <w:t xml:space="preserve">The unemployment rate is the proportion of the labour force actively looking for a </w:t>
      </w:r>
      <w:r w:rsidR="006F65D5">
        <w:rPr>
          <w:sz w:val="10"/>
        </w:rPr>
        <w:t>job. Seasonally adjusted series</w:t>
      </w:r>
      <w:r w:rsidRPr="00ED55E2">
        <w:rPr>
          <w:sz w:val="10"/>
        </w:rPr>
        <w:t>.</w:t>
      </w:r>
    </w:p>
    <w:p w14:paraId="5927DB54" w14:textId="77777777" w:rsidR="00ED55E2" w:rsidRPr="00ED55E2" w:rsidRDefault="00ED55E2" w:rsidP="00ED55E2">
      <w:pPr>
        <w:spacing w:after="0"/>
        <w:jc w:val="both"/>
        <w:rPr>
          <w:sz w:val="10"/>
        </w:rPr>
      </w:pPr>
      <w:r w:rsidRPr="00ED55E2">
        <w:rPr>
          <w:sz w:val="10"/>
        </w:rPr>
        <w:t>Source: ABS 6202.0 Labour Force, Australia (Monthly).</w:t>
      </w:r>
    </w:p>
    <w:p w14:paraId="59B801B7" w14:textId="6DDEC4D5" w:rsidR="008F0F0B" w:rsidRDefault="00394BFB" w:rsidP="008F0F0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br w:type="column"/>
      </w:r>
      <w:r w:rsidR="008F0F0B" w:rsidRPr="00746F26">
        <w:rPr>
          <w:sz w:val="16"/>
        </w:rPr>
        <w:t xml:space="preserve">Western Australia’s unemployment rate fell for the </w:t>
      </w:r>
      <w:r w:rsidR="001A07E0">
        <w:rPr>
          <w:sz w:val="16"/>
        </w:rPr>
        <w:t>4th</w:t>
      </w:r>
      <w:r w:rsidR="008F0F0B" w:rsidRPr="00746F26">
        <w:rPr>
          <w:sz w:val="16"/>
        </w:rPr>
        <w:t xml:space="preserve"> successive month in </w:t>
      </w:r>
      <w:r w:rsidR="001A07E0">
        <w:rPr>
          <w:sz w:val="16"/>
        </w:rPr>
        <w:t>Octo</w:t>
      </w:r>
      <w:r w:rsidR="008F0F0B" w:rsidRPr="00746F26">
        <w:rPr>
          <w:sz w:val="16"/>
        </w:rPr>
        <w:t>ber 2020</w:t>
      </w:r>
      <w:r w:rsidR="008F0F0B">
        <w:rPr>
          <w:sz w:val="16"/>
        </w:rPr>
        <w:t>.</w:t>
      </w:r>
    </w:p>
    <w:p w14:paraId="0326B229" w14:textId="14E4B8C6" w:rsidR="008F0F0B" w:rsidRPr="00746F26" w:rsidRDefault="008F0F0B" w:rsidP="008F0F0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746F26">
        <w:rPr>
          <w:sz w:val="16"/>
        </w:rPr>
        <w:t>The unemployment rate in</w:t>
      </w:r>
      <w:r w:rsidR="00C1610E">
        <w:rPr>
          <w:sz w:val="16"/>
        </w:rPr>
        <w:t xml:space="preserve"> Western Australia fell from 6.7</w:t>
      </w:r>
      <w:r w:rsidRPr="00746F26">
        <w:rPr>
          <w:sz w:val="16"/>
        </w:rPr>
        <w:t xml:space="preserve">% in </w:t>
      </w:r>
      <w:r w:rsidR="00C1610E">
        <w:rPr>
          <w:sz w:val="16"/>
        </w:rPr>
        <w:t>September 2020 to 6.6</w:t>
      </w:r>
      <w:r w:rsidRPr="00746F26">
        <w:rPr>
          <w:sz w:val="16"/>
        </w:rPr>
        <w:t xml:space="preserve">% in </w:t>
      </w:r>
      <w:r w:rsidR="00C1610E">
        <w:rPr>
          <w:sz w:val="16"/>
        </w:rPr>
        <w:t>Octo</w:t>
      </w:r>
      <w:r w:rsidRPr="00746F26">
        <w:rPr>
          <w:sz w:val="16"/>
        </w:rPr>
        <w:t>ber 2020.</w:t>
      </w:r>
    </w:p>
    <w:p w14:paraId="01C22F42" w14:textId="4E2C7E8F" w:rsidR="00A4192D" w:rsidRDefault="008F0F0B" w:rsidP="00A4192D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746F26">
        <w:rPr>
          <w:sz w:val="16"/>
        </w:rPr>
        <w:t>The number of unemployed peop</w:t>
      </w:r>
      <w:r w:rsidR="00C1610E">
        <w:rPr>
          <w:sz w:val="16"/>
        </w:rPr>
        <w:t>le in Western Australia fell 1</w:t>
      </w:r>
      <w:r w:rsidRPr="00746F26">
        <w:rPr>
          <w:sz w:val="16"/>
        </w:rPr>
        <w:t>% (</w:t>
      </w:r>
      <w:r w:rsidR="00C1610E">
        <w:rPr>
          <w:sz w:val="16"/>
        </w:rPr>
        <w:t>1,051</w:t>
      </w:r>
      <w:r w:rsidRPr="00746F26">
        <w:rPr>
          <w:sz w:val="16"/>
        </w:rPr>
        <w:t>) to 96,</w:t>
      </w:r>
      <w:r w:rsidR="00C1610E">
        <w:rPr>
          <w:sz w:val="16"/>
        </w:rPr>
        <w:t>214</w:t>
      </w:r>
      <w:r w:rsidRPr="00746F26">
        <w:rPr>
          <w:sz w:val="16"/>
        </w:rPr>
        <w:t xml:space="preserve"> in </w:t>
      </w:r>
      <w:r w:rsidR="00C1610E">
        <w:rPr>
          <w:sz w:val="16"/>
        </w:rPr>
        <w:t>Octo</w:t>
      </w:r>
      <w:r w:rsidRPr="00746F26">
        <w:rPr>
          <w:sz w:val="16"/>
        </w:rPr>
        <w:t>b</w:t>
      </w:r>
      <w:r w:rsidR="00C1610E">
        <w:rPr>
          <w:sz w:val="16"/>
        </w:rPr>
        <w:t xml:space="preserve">er 2020, following </w:t>
      </w:r>
      <w:r w:rsidR="00F50EE8">
        <w:rPr>
          <w:sz w:val="16"/>
        </w:rPr>
        <w:t xml:space="preserve">a </w:t>
      </w:r>
      <w:r w:rsidR="00C1610E">
        <w:rPr>
          <w:sz w:val="16"/>
        </w:rPr>
        <w:t xml:space="preserve">fall of </w:t>
      </w:r>
      <w:r w:rsidRPr="00746F26">
        <w:rPr>
          <w:sz w:val="16"/>
        </w:rPr>
        <w:t>5% (</w:t>
      </w:r>
      <w:r w:rsidR="00C1610E">
        <w:rPr>
          <w:sz w:val="16"/>
        </w:rPr>
        <w:t>4,766</w:t>
      </w:r>
      <w:r w:rsidRPr="00746F26">
        <w:rPr>
          <w:sz w:val="16"/>
        </w:rPr>
        <w:t xml:space="preserve">) in </w:t>
      </w:r>
      <w:r w:rsidR="00C1610E">
        <w:rPr>
          <w:sz w:val="16"/>
        </w:rPr>
        <w:t>September</w:t>
      </w:r>
      <w:r>
        <w:rPr>
          <w:sz w:val="16"/>
        </w:rPr>
        <w:t xml:space="preserve"> </w:t>
      </w:r>
      <w:r w:rsidRPr="00746F26">
        <w:rPr>
          <w:sz w:val="16"/>
        </w:rPr>
        <w:t>2020.</w:t>
      </w:r>
    </w:p>
    <w:p w14:paraId="7128B086" w14:textId="0F4C6B6F" w:rsidR="00394BFB" w:rsidRPr="00A4192D" w:rsidRDefault="00394BFB" w:rsidP="00A4192D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4192D">
        <w:rPr>
          <w:sz w:val="16"/>
        </w:rPr>
        <w:br w:type="page"/>
      </w:r>
    </w:p>
    <w:p w14:paraId="43638973" w14:textId="77777777" w:rsidR="008B1EEE" w:rsidRPr="00237284" w:rsidRDefault="008B1EEE" w:rsidP="008B1EEE">
      <w:pPr>
        <w:pStyle w:val="BodyText"/>
        <w:spacing w:after="0"/>
      </w:pPr>
      <w:bookmarkStart w:id="7" w:name="_HONG_KONG_(SAR"/>
      <w:bookmarkEnd w:id="7"/>
    </w:p>
    <w:p w14:paraId="121303C5" w14:textId="77777777" w:rsidR="007C403E" w:rsidRPr="00E605E6" w:rsidRDefault="007C403E" w:rsidP="007C403E">
      <w:pPr>
        <w:pStyle w:val="BodyText"/>
        <w:spacing w:after="0"/>
        <w:rPr>
          <w:b/>
          <w:sz w:val="20"/>
        </w:rPr>
      </w:pPr>
      <w:r w:rsidRPr="00F3554E">
        <w:rPr>
          <w:b/>
          <w:sz w:val="20"/>
        </w:rPr>
        <w:t>Western Australia’s un</w:t>
      </w:r>
      <w:r>
        <w:rPr>
          <w:b/>
          <w:sz w:val="20"/>
        </w:rPr>
        <w:t>der</w:t>
      </w:r>
      <w:r w:rsidRPr="00F3554E">
        <w:rPr>
          <w:b/>
          <w:sz w:val="20"/>
        </w:rPr>
        <w:t>employment rate</w:t>
      </w:r>
      <w:r w:rsidRPr="006570A3">
        <w:rPr>
          <w:b/>
          <w:sz w:val="20"/>
          <w:vertAlign w:val="superscript"/>
        </w:rPr>
        <w:t>1</w:t>
      </w:r>
      <w:r w:rsidRPr="00F3554E">
        <w:rPr>
          <w:b/>
          <w:sz w:val="20"/>
        </w:rPr>
        <w:t>: Month</w:t>
      </w:r>
      <w:r>
        <w:rPr>
          <w:b/>
          <w:sz w:val="20"/>
        </w:rPr>
        <w:t>s</w:t>
      </w:r>
    </w:p>
    <w:p w14:paraId="0975C5D3" w14:textId="3621EBCB" w:rsidR="008B1EEE" w:rsidRDefault="006262A9" w:rsidP="008B1EEE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25B517BB" wp14:editId="70D4FE05">
            <wp:extent cx="3416300" cy="2049145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0" cy="204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87243" w14:textId="77777777" w:rsidR="007C403E" w:rsidRPr="002F15F9" w:rsidRDefault="007C403E" w:rsidP="007C403E">
      <w:pPr>
        <w:pStyle w:val="BodyText"/>
        <w:spacing w:after="0"/>
        <w:jc w:val="both"/>
        <w:rPr>
          <w:sz w:val="10"/>
        </w:rPr>
      </w:pPr>
      <w:r w:rsidRPr="002F15F9">
        <w:rPr>
          <w:sz w:val="10"/>
          <w:vertAlign w:val="superscript"/>
        </w:rPr>
        <w:t xml:space="preserve">1 </w:t>
      </w:r>
      <w:r w:rsidRPr="002F15F9">
        <w:rPr>
          <w:sz w:val="10"/>
        </w:rPr>
        <w:t>The underemployment rate is the proportion of the labour force with a job but wanting to work more hours.</w:t>
      </w:r>
      <w:r>
        <w:rPr>
          <w:sz w:val="10"/>
        </w:rPr>
        <w:t xml:space="preserve"> Seasonally adjusted series.</w:t>
      </w:r>
    </w:p>
    <w:p w14:paraId="12144D82" w14:textId="77777777" w:rsidR="007C403E" w:rsidRDefault="007C403E" w:rsidP="007C403E">
      <w:pPr>
        <w:pStyle w:val="BodyText"/>
        <w:spacing w:after="0"/>
        <w:jc w:val="both"/>
        <w:rPr>
          <w:sz w:val="10"/>
        </w:rPr>
      </w:pPr>
      <w:r w:rsidRPr="002F15F9">
        <w:rPr>
          <w:sz w:val="10"/>
        </w:rPr>
        <w:t>Source: ABS 6202.0 Labour Force, Australia</w:t>
      </w:r>
      <w:r>
        <w:rPr>
          <w:sz w:val="10"/>
        </w:rPr>
        <w:t xml:space="preserve"> (Monthly)</w:t>
      </w:r>
      <w:r w:rsidRPr="00B720D6">
        <w:rPr>
          <w:sz w:val="10"/>
        </w:rPr>
        <w:t>.</w:t>
      </w:r>
    </w:p>
    <w:p w14:paraId="67323253" w14:textId="77777777" w:rsidR="008B1EEE" w:rsidRDefault="008B1EEE" w:rsidP="008B1EEE">
      <w:pPr>
        <w:spacing w:after="0"/>
        <w:jc w:val="both"/>
        <w:rPr>
          <w:sz w:val="16"/>
        </w:rPr>
      </w:pPr>
    </w:p>
    <w:p w14:paraId="78E80F1C" w14:textId="77777777" w:rsidR="008B1EEE" w:rsidRPr="00CB298C" w:rsidRDefault="008B1EEE" w:rsidP="008B1EEE">
      <w:pPr>
        <w:spacing w:after="0"/>
        <w:jc w:val="both"/>
        <w:rPr>
          <w:sz w:val="16"/>
        </w:rPr>
      </w:pPr>
    </w:p>
    <w:p w14:paraId="7998A2AC" w14:textId="77777777" w:rsidR="008B1EEE" w:rsidRDefault="008B1EEE" w:rsidP="008B1EEE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6FA5AA46" w14:textId="77777777" w:rsidR="008B1EEE" w:rsidRDefault="008B1EEE" w:rsidP="008B1EEE">
      <w:pPr>
        <w:spacing w:after="0"/>
        <w:jc w:val="both"/>
        <w:rPr>
          <w:sz w:val="16"/>
        </w:rPr>
      </w:pPr>
    </w:p>
    <w:p w14:paraId="41824121" w14:textId="77777777" w:rsidR="008B1EEE" w:rsidRDefault="008B1EEE" w:rsidP="008B1EEE">
      <w:pPr>
        <w:spacing w:after="0"/>
        <w:jc w:val="both"/>
        <w:rPr>
          <w:sz w:val="16"/>
        </w:rPr>
      </w:pPr>
    </w:p>
    <w:p w14:paraId="10966264" w14:textId="386ADC59" w:rsidR="007C403E" w:rsidRPr="005B7565" w:rsidRDefault="007C403E" w:rsidP="007C403E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5B7565">
        <w:rPr>
          <w:sz w:val="16"/>
        </w:rPr>
        <w:t>Western Australia’s underem</w:t>
      </w:r>
      <w:r w:rsidR="00630D49">
        <w:rPr>
          <w:sz w:val="16"/>
        </w:rPr>
        <w:t>ployment rate declined for the 6</w:t>
      </w:r>
      <w:r w:rsidRPr="005B7565">
        <w:rPr>
          <w:sz w:val="16"/>
        </w:rPr>
        <w:t xml:space="preserve">th consecutive month in </w:t>
      </w:r>
      <w:r w:rsidR="00630D49">
        <w:rPr>
          <w:sz w:val="16"/>
        </w:rPr>
        <w:t>Octo</w:t>
      </w:r>
      <w:r w:rsidRPr="005B7565">
        <w:rPr>
          <w:sz w:val="16"/>
        </w:rPr>
        <w:t>ber 2020.</w:t>
      </w:r>
    </w:p>
    <w:p w14:paraId="744950FE" w14:textId="7323A93E" w:rsidR="007C403E" w:rsidRPr="005B7565" w:rsidRDefault="007C403E" w:rsidP="007C403E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5B7565">
        <w:rPr>
          <w:sz w:val="16"/>
        </w:rPr>
        <w:t>The underemployment rate in</w:t>
      </w:r>
      <w:r w:rsidR="00630D49">
        <w:rPr>
          <w:sz w:val="16"/>
        </w:rPr>
        <w:t xml:space="preserve"> Western Australia fell from 9.3</w:t>
      </w:r>
      <w:r w:rsidRPr="005B7565">
        <w:rPr>
          <w:sz w:val="16"/>
        </w:rPr>
        <w:t xml:space="preserve">% in </w:t>
      </w:r>
      <w:r w:rsidR="00630D49">
        <w:rPr>
          <w:sz w:val="16"/>
        </w:rPr>
        <w:t>September 2020 to 8.4</w:t>
      </w:r>
      <w:r w:rsidRPr="005B7565">
        <w:rPr>
          <w:sz w:val="16"/>
        </w:rPr>
        <w:t xml:space="preserve">% in </w:t>
      </w:r>
      <w:r w:rsidR="00630D49">
        <w:rPr>
          <w:sz w:val="16"/>
        </w:rPr>
        <w:t>Octo</w:t>
      </w:r>
      <w:r w:rsidRPr="005B7565">
        <w:rPr>
          <w:sz w:val="16"/>
        </w:rPr>
        <w:t>ber 2020.</w:t>
      </w:r>
    </w:p>
    <w:p w14:paraId="3BB52918" w14:textId="7B527DB8" w:rsidR="007C403E" w:rsidRPr="00CB298C" w:rsidRDefault="007C403E" w:rsidP="007C403E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5B7565">
        <w:rPr>
          <w:sz w:val="16"/>
        </w:rPr>
        <w:t>The number of underemployed people</w:t>
      </w:r>
      <w:r>
        <w:rPr>
          <w:sz w:val="16"/>
        </w:rPr>
        <w:t xml:space="preserve"> in Western Australia</w:t>
      </w:r>
      <w:r w:rsidR="00630D49">
        <w:rPr>
          <w:sz w:val="16"/>
        </w:rPr>
        <w:t xml:space="preserve"> fell 9</w:t>
      </w:r>
      <w:r w:rsidRPr="005B7565">
        <w:rPr>
          <w:sz w:val="16"/>
        </w:rPr>
        <w:t>% (</w:t>
      </w:r>
      <w:r w:rsidR="00630D49">
        <w:rPr>
          <w:sz w:val="16"/>
        </w:rPr>
        <w:t>11,805</w:t>
      </w:r>
      <w:r w:rsidRPr="005B7565">
        <w:rPr>
          <w:sz w:val="16"/>
        </w:rPr>
        <w:t>) to 1</w:t>
      </w:r>
      <w:r w:rsidR="00630D49">
        <w:rPr>
          <w:sz w:val="16"/>
        </w:rPr>
        <w:t>23,277</w:t>
      </w:r>
      <w:r w:rsidRPr="005B7565">
        <w:rPr>
          <w:sz w:val="16"/>
        </w:rPr>
        <w:t xml:space="preserve"> in </w:t>
      </w:r>
      <w:r w:rsidR="00630D49">
        <w:rPr>
          <w:sz w:val="16"/>
        </w:rPr>
        <w:t>Octo</w:t>
      </w:r>
      <w:r w:rsidRPr="005B7565">
        <w:rPr>
          <w:sz w:val="16"/>
        </w:rPr>
        <w:t xml:space="preserve">ber </w:t>
      </w:r>
      <w:r>
        <w:rPr>
          <w:sz w:val="16"/>
        </w:rPr>
        <w:t xml:space="preserve">2020, following </w:t>
      </w:r>
      <w:r w:rsidR="00F50EE8">
        <w:rPr>
          <w:sz w:val="16"/>
        </w:rPr>
        <w:t xml:space="preserve">a </w:t>
      </w:r>
      <w:r w:rsidR="00EC6866">
        <w:rPr>
          <w:sz w:val="16"/>
        </w:rPr>
        <w:t>fall of 3</w:t>
      </w:r>
      <w:r w:rsidRPr="005B7565">
        <w:rPr>
          <w:sz w:val="16"/>
        </w:rPr>
        <w:t>% (</w:t>
      </w:r>
      <w:r w:rsidR="00EC6866">
        <w:rPr>
          <w:sz w:val="16"/>
        </w:rPr>
        <w:t>4,790</w:t>
      </w:r>
      <w:r w:rsidRPr="005B7565">
        <w:rPr>
          <w:sz w:val="16"/>
        </w:rPr>
        <w:t xml:space="preserve">) in </w:t>
      </w:r>
      <w:r w:rsidR="00EC6866">
        <w:rPr>
          <w:sz w:val="16"/>
        </w:rPr>
        <w:t>September</w:t>
      </w:r>
      <w:r>
        <w:rPr>
          <w:sz w:val="16"/>
        </w:rPr>
        <w:t xml:space="preserve"> </w:t>
      </w:r>
      <w:r w:rsidRPr="005B7565">
        <w:rPr>
          <w:sz w:val="16"/>
        </w:rPr>
        <w:t>2020</w:t>
      </w:r>
      <w:r w:rsidRPr="00CB298C">
        <w:rPr>
          <w:sz w:val="16"/>
        </w:rPr>
        <w:t>.</w:t>
      </w:r>
    </w:p>
    <w:p w14:paraId="2FF64B45" w14:textId="3EC83489" w:rsidR="007C403E" w:rsidRPr="000C700A" w:rsidRDefault="007C403E" w:rsidP="007C403E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7070E">
        <w:rPr>
          <w:sz w:val="16"/>
        </w:rPr>
        <w:t xml:space="preserve">Western Australia’s underutilisation rate, which </w:t>
      </w:r>
      <w:r w:rsidR="00F50EE8">
        <w:rPr>
          <w:sz w:val="16"/>
        </w:rPr>
        <w:t>is the sum of</w:t>
      </w:r>
      <w:r w:rsidR="00F50EE8" w:rsidRPr="0037070E">
        <w:rPr>
          <w:sz w:val="16"/>
        </w:rPr>
        <w:t xml:space="preserve"> </w:t>
      </w:r>
      <w:r w:rsidRPr="0037070E">
        <w:rPr>
          <w:sz w:val="16"/>
        </w:rPr>
        <w:t>the unemployment and under</w:t>
      </w:r>
      <w:r w:rsidR="00EC6866">
        <w:rPr>
          <w:sz w:val="16"/>
        </w:rPr>
        <w:t>employment rates, fell from 16.0</w:t>
      </w:r>
      <w:r w:rsidRPr="0037070E">
        <w:rPr>
          <w:sz w:val="16"/>
        </w:rPr>
        <w:t xml:space="preserve">% in </w:t>
      </w:r>
      <w:r w:rsidR="00EC6866">
        <w:rPr>
          <w:sz w:val="16"/>
        </w:rPr>
        <w:t>September</w:t>
      </w:r>
      <w:r w:rsidRPr="0037070E">
        <w:rPr>
          <w:sz w:val="16"/>
        </w:rPr>
        <w:t xml:space="preserve"> 2020 to 1</w:t>
      </w:r>
      <w:r w:rsidR="00EC6866">
        <w:rPr>
          <w:sz w:val="16"/>
        </w:rPr>
        <w:t>5</w:t>
      </w:r>
      <w:r w:rsidRPr="0037070E">
        <w:rPr>
          <w:sz w:val="16"/>
        </w:rPr>
        <w:t xml:space="preserve">.0% in </w:t>
      </w:r>
      <w:r w:rsidR="00EC6866">
        <w:rPr>
          <w:sz w:val="16"/>
        </w:rPr>
        <w:t>Octo</w:t>
      </w:r>
      <w:r w:rsidRPr="0037070E">
        <w:rPr>
          <w:sz w:val="16"/>
        </w:rPr>
        <w:t>ber 2020</w:t>
      </w:r>
      <w:r w:rsidRPr="000C700A">
        <w:rPr>
          <w:sz w:val="16"/>
        </w:rPr>
        <w:t>.</w:t>
      </w:r>
    </w:p>
    <w:p w14:paraId="726E250F" w14:textId="77777777" w:rsidR="008B1EEE" w:rsidRDefault="008B1EEE" w:rsidP="008B1EEE">
      <w:pPr>
        <w:pStyle w:val="BodyText"/>
        <w:spacing w:after="0"/>
        <w:jc w:val="both"/>
        <w:rPr>
          <w:sz w:val="16"/>
        </w:rPr>
        <w:sectPr w:rsidR="008B1EEE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2F883907" w14:textId="77777777" w:rsidR="0047558B" w:rsidRPr="00E605E6" w:rsidRDefault="0047558B" w:rsidP="0047558B">
      <w:pPr>
        <w:pStyle w:val="BodyText"/>
        <w:spacing w:after="0"/>
        <w:rPr>
          <w:b/>
          <w:sz w:val="20"/>
        </w:rPr>
      </w:pPr>
      <w:r w:rsidRPr="00F3554E">
        <w:rPr>
          <w:b/>
          <w:sz w:val="20"/>
        </w:rPr>
        <w:t xml:space="preserve">Western Australia’s </w:t>
      </w:r>
      <w:r>
        <w:rPr>
          <w:b/>
          <w:sz w:val="20"/>
        </w:rPr>
        <w:t>internet vacancies</w:t>
      </w:r>
      <w:r w:rsidRPr="00056C85">
        <w:rPr>
          <w:b/>
          <w:sz w:val="20"/>
          <w:vertAlign w:val="superscript"/>
        </w:rPr>
        <w:t>1</w:t>
      </w:r>
      <w:r w:rsidRPr="00F3554E">
        <w:rPr>
          <w:b/>
          <w:sz w:val="20"/>
        </w:rPr>
        <w:t>: Month</w:t>
      </w:r>
      <w:r>
        <w:rPr>
          <w:b/>
          <w:sz w:val="20"/>
        </w:rPr>
        <w:t>s</w:t>
      </w:r>
    </w:p>
    <w:p w14:paraId="501535CD" w14:textId="145134FF" w:rsidR="00E605E6" w:rsidRPr="00E605E6" w:rsidRDefault="0047558B" w:rsidP="008B1EEE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0A6AD289" wp14:editId="5464469B">
            <wp:extent cx="3421945" cy="2053167"/>
            <wp:effectExtent l="0" t="0" r="7620" b="444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434" cy="2061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689AFF" w14:textId="77777777" w:rsidR="0047558B" w:rsidRPr="007520AC" w:rsidRDefault="0047558B" w:rsidP="0047558B">
      <w:pPr>
        <w:pStyle w:val="BodyText"/>
        <w:spacing w:after="0"/>
        <w:jc w:val="both"/>
        <w:rPr>
          <w:sz w:val="10"/>
        </w:rPr>
      </w:pPr>
      <w:r w:rsidRPr="007520AC">
        <w:rPr>
          <w:sz w:val="10"/>
          <w:vertAlign w:val="superscript"/>
        </w:rPr>
        <w:t>1</w:t>
      </w:r>
      <w:r w:rsidRPr="007520AC">
        <w:rPr>
          <w:sz w:val="10"/>
        </w:rPr>
        <w:t xml:space="preserve"> Online job advertisements on SEEK, CareerOne and Australian JobSearch. Excludes job advertisements on other online job boards, employer web sites, newspapers and word of mouth.</w:t>
      </w:r>
      <w:r>
        <w:rPr>
          <w:sz w:val="10"/>
        </w:rPr>
        <w:t xml:space="preserve"> Seasonally adjusted series.</w:t>
      </w:r>
    </w:p>
    <w:p w14:paraId="000ED779" w14:textId="77777777" w:rsidR="0047558B" w:rsidRPr="00715528" w:rsidRDefault="0047558B" w:rsidP="0047558B">
      <w:pPr>
        <w:pStyle w:val="BodyText"/>
        <w:spacing w:after="0"/>
        <w:jc w:val="both"/>
        <w:rPr>
          <w:sz w:val="10"/>
        </w:rPr>
      </w:pPr>
      <w:r w:rsidRPr="007520AC">
        <w:rPr>
          <w:sz w:val="10"/>
        </w:rPr>
        <w:t xml:space="preserve">Source: </w:t>
      </w:r>
      <w:r>
        <w:rPr>
          <w:sz w:val="10"/>
        </w:rPr>
        <w:t xml:space="preserve">Australia </w:t>
      </w:r>
      <w:r w:rsidRPr="007520AC">
        <w:rPr>
          <w:sz w:val="10"/>
        </w:rPr>
        <w:t>Department of Education, Skills and Employment, Vacancy Report</w:t>
      </w:r>
      <w:r>
        <w:rPr>
          <w:sz w:val="10"/>
        </w:rPr>
        <w:t xml:space="preserve"> (Monthly)</w:t>
      </w:r>
      <w:r w:rsidRPr="00715528">
        <w:rPr>
          <w:sz w:val="10"/>
        </w:rPr>
        <w:t>.</w:t>
      </w:r>
    </w:p>
    <w:p w14:paraId="7EB473EA" w14:textId="77777777" w:rsidR="008B1EEE" w:rsidRDefault="008B1EEE" w:rsidP="008B1EEE">
      <w:pPr>
        <w:pStyle w:val="BodyText"/>
        <w:spacing w:after="0"/>
        <w:jc w:val="both"/>
        <w:rPr>
          <w:sz w:val="16"/>
        </w:rPr>
      </w:pPr>
    </w:p>
    <w:p w14:paraId="49627F4E" w14:textId="77777777" w:rsidR="008B1EEE" w:rsidRPr="00403DB4" w:rsidRDefault="008B1EEE" w:rsidP="008B1EEE">
      <w:pPr>
        <w:pStyle w:val="BodyText"/>
        <w:spacing w:after="0"/>
        <w:jc w:val="both"/>
        <w:rPr>
          <w:sz w:val="16"/>
        </w:rPr>
      </w:pPr>
    </w:p>
    <w:p w14:paraId="12D25BFE" w14:textId="77777777" w:rsidR="0047558B" w:rsidRPr="00B26FD3" w:rsidRDefault="008B1EEE" w:rsidP="0047558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5B7565">
        <w:rPr>
          <w:sz w:val="16"/>
        </w:rPr>
        <w:br w:type="column"/>
      </w:r>
      <w:r w:rsidR="0047558B" w:rsidRPr="00B26FD3">
        <w:rPr>
          <w:sz w:val="16"/>
        </w:rPr>
        <w:t>The monthly Internet Vacancy Report provides a leading indicator of employment.</w:t>
      </w:r>
    </w:p>
    <w:p w14:paraId="2B1FCACF" w14:textId="77777777" w:rsidR="0047558B" w:rsidRPr="00B26FD3" w:rsidRDefault="0047558B" w:rsidP="0047558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B26FD3">
        <w:rPr>
          <w:sz w:val="16"/>
        </w:rPr>
        <w:t xml:space="preserve">Western Australia’s internet vacancies rose for the </w:t>
      </w:r>
      <w:r>
        <w:rPr>
          <w:sz w:val="16"/>
        </w:rPr>
        <w:t>6</w:t>
      </w:r>
      <w:r w:rsidRPr="00B26FD3">
        <w:rPr>
          <w:sz w:val="16"/>
        </w:rPr>
        <w:t xml:space="preserve">th consecutive month in </w:t>
      </w:r>
      <w:r>
        <w:rPr>
          <w:sz w:val="16"/>
        </w:rPr>
        <w:t>Octo</w:t>
      </w:r>
      <w:r w:rsidRPr="00B26FD3">
        <w:rPr>
          <w:sz w:val="16"/>
        </w:rPr>
        <w:t xml:space="preserve">ber 2020, to its highest level since </w:t>
      </w:r>
      <w:r>
        <w:rPr>
          <w:sz w:val="16"/>
        </w:rPr>
        <w:t>March 2013</w:t>
      </w:r>
      <w:r w:rsidRPr="00B26FD3">
        <w:rPr>
          <w:sz w:val="16"/>
        </w:rPr>
        <w:t>.</w:t>
      </w:r>
    </w:p>
    <w:p w14:paraId="0480ED38" w14:textId="77777777" w:rsidR="0047558B" w:rsidRDefault="0047558B" w:rsidP="0047558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B26FD3">
        <w:rPr>
          <w:sz w:val="16"/>
        </w:rPr>
        <w:t>Western Austr</w:t>
      </w:r>
      <w:r>
        <w:rPr>
          <w:sz w:val="16"/>
        </w:rPr>
        <w:t>alia’s internet vacancies rose 5</w:t>
      </w:r>
      <w:r w:rsidRPr="00B26FD3">
        <w:rPr>
          <w:sz w:val="16"/>
        </w:rPr>
        <w:t>% (</w:t>
      </w:r>
      <w:r>
        <w:rPr>
          <w:sz w:val="16"/>
        </w:rPr>
        <w:t>861</w:t>
      </w:r>
      <w:r w:rsidRPr="00B26FD3">
        <w:rPr>
          <w:sz w:val="16"/>
        </w:rPr>
        <w:t>) to 1</w:t>
      </w:r>
      <w:r>
        <w:rPr>
          <w:sz w:val="16"/>
        </w:rPr>
        <w:t>9</w:t>
      </w:r>
      <w:r w:rsidRPr="00B26FD3">
        <w:rPr>
          <w:sz w:val="16"/>
        </w:rPr>
        <w:t>,2</w:t>
      </w:r>
      <w:r>
        <w:rPr>
          <w:sz w:val="16"/>
        </w:rPr>
        <w:t>76</w:t>
      </w:r>
      <w:r w:rsidRPr="00B26FD3">
        <w:rPr>
          <w:sz w:val="16"/>
        </w:rPr>
        <w:t xml:space="preserve"> in </w:t>
      </w:r>
      <w:r>
        <w:rPr>
          <w:sz w:val="16"/>
        </w:rPr>
        <w:t>October 2020, following its rise of 5</w:t>
      </w:r>
      <w:r w:rsidRPr="00B26FD3">
        <w:rPr>
          <w:sz w:val="16"/>
        </w:rPr>
        <w:t>% (</w:t>
      </w:r>
      <w:r>
        <w:rPr>
          <w:sz w:val="16"/>
        </w:rPr>
        <w:t>822</w:t>
      </w:r>
      <w:r w:rsidRPr="00B26FD3">
        <w:rPr>
          <w:sz w:val="16"/>
        </w:rPr>
        <w:t xml:space="preserve">) in </w:t>
      </w:r>
      <w:r>
        <w:rPr>
          <w:sz w:val="16"/>
        </w:rPr>
        <w:t xml:space="preserve">September </w:t>
      </w:r>
      <w:r w:rsidRPr="00B26FD3">
        <w:rPr>
          <w:sz w:val="16"/>
        </w:rPr>
        <w:t>2020</w:t>
      </w:r>
      <w:r>
        <w:rPr>
          <w:sz w:val="16"/>
        </w:rPr>
        <w:t>.</w:t>
      </w:r>
    </w:p>
    <w:p w14:paraId="61D4308C" w14:textId="5A2FB77F" w:rsidR="008B1EEE" w:rsidRDefault="0047558B" w:rsidP="0047558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>Western Australia’s i</w:t>
      </w:r>
      <w:r w:rsidRPr="00B26FD3">
        <w:rPr>
          <w:sz w:val="16"/>
        </w:rPr>
        <w:t>nternet vacancies of 1</w:t>
      </w:r>
      <w:r>
        <w:rPr>
          <w:sz w:val="16"/>
        </w:rPr>
        <w:t>9</w:t>
      </w:r>
      <w:r w:rsidRPr="00B26FD3">
        <w:rPr>
          <w:sz w:val="16"/>
        </w:rPr>
        <w:t>,2</w:t>
      </w:r>
      <w:r>
        <w:rPr>
          <w:sz w:val="16"/>
        </w:rPr>
        <w:t xml:space="preserve">76 in October 2020 </w:t>
      </w:r>
      <w:r w:rsidR="00694402">
        <w:rPr>
          <w:sz w:val="16"/>
        </w:rPr>
        <w:t>were</w:t>
      </w:r>
      <w:r>
        <w:rPr>
          <w:sz w:val="16"/>
        </w:rPr>
        <w:t xml:space="preserve"> 25</w:t>
      </w:r>
      <w:r w:rsidRPr="00B26FD3">
        <w:rPr>
          <w:sz w:val="16"/>
        </w:rPr>
        <w:t>% (</w:t>
      </w:r>
      <w:r>
        <w:rPr>
          <w:sz w:val="16"/>
        </w:rPr>
        <w:t>3,842</w:t>
      </w:r>
      <w:r w:rsidRPr="00B26FD3">
        <w:rPr>
          <w:sz w:val="16"/>
        </w:rPr>
        <w:t xml:space="preserve">) above internet vacancies in </w:t>
      </w:r>
      <w:r>
        <w:rPr>
          <w:sz w:val="16"/>
        </w:rPr>
        <w:t>Octob</w:t>
      </w:r>
      <w:r w:rsidRPr="00B26FD3">
        <w:rPr>
          <w:sz w:val="16"/>
        </w:rPr>
        <w:t>er</w:t>
      </w:r>
      <w:r>
        <w:rPr>
          <w:sz w:val="16"/>
        </w:rPr>
        <w:t xml:space="preserve"> 2019.</w:t>
      </w:r>
    </w:p>
    <w:p w14:paraId="1EFB2CF5" w14:textId="1A3CE130" w:rsidR="00174879" w:rsidRDefault="00174879" w:rsidP="0047558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 xml:space="preserve">The recent large increase in </w:t>
      </w:r>
      <w:r w:rsidR="00611C50">
        <w:rPr>
          <w:sz w:val="16"/>
        </w:rPr>
        <w:t xml:space="preserve">Western Australia’s </w:t>
      </w:r>
      <w:r>
        <w:rPr>
          <w:sz w:val="16"/>
        </w:rPr>
        <w:t xml:space="preserve">job vacancies reflects demand for workers </w:t>
      </w:r>
      <w:r w:rsidR="005B6C4B">
        <w:rPr>
          <w:sz w:val="16"/>
        </w:rPr>
        <w:t>as the economy recovers and labour shortages that are affecting parts of the economy that had relied on overseas and interstate workers.</w:t>
      </w:r>
    </w:p>
    <w:p w14:paraId="57E48A3D" w14:textId="77777777" w:rsidR="00872C76" w:rsidRDefault="00872C76" w:rsidP="00872C76">
      <w:pPr>
        <w:pStyle w:val="BodyText"/>
        <w:spacing w:after="0"/>
        <w:jc w:val="both"/>
        <w:rPr>
          <w:sz w:val="16"/>
        </w:rPr>
      </w:pPr>
    </w:p>
    <w:p w14:paraId="72EA4F9F" w14:textId="77777777" w:rsidR="00174879" w:rsidRDefault="00174879" w:rsidP="00872C76">
      <w:pPr>
        <w:pStyle w:val="BodyText"/>
        <w:spacing w:after="0"/>
        <w:jc w:val="both"/>
        <w:rPr>
          <w:sz w:val="16"/>
        </w:rPr>
        <w:sectPr w:rsidR="0017487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272E70D1" w14:textId="0AA67886" w:rsidR="004E78EB" w:rsidRPr="00D61261" w:rsidRDefault="00971DE1" w:rsidP="004E78EB">
      <w:pPr>
        <w:pStyle w:val="BodyText"/>
        <w:spacing w:after="0"/>
        <w:rPr>
          <w:b/>
          <w:sz w:val="20"/>
        </w:rPr>
      </w:pPr>
      <w:r>
        <w:rPr>
          <w:b/>
          <w:sz w:val="20"/>
        </w:rPr>
        <w:t xml:space="preserve">Western Australia’s </w:t>
      </w:r>
      <w:r w:rsidR="004E78EB">
        <w:rPr>
          <w:b/>
          <w:sz w:val="20"/>
        </w:rPr>
        <w:t>s</w:t>
      </w:r>
      <w:r w:rsidR="004E78EB" w:rsidRPr="00D61261">
        <w:rPr>
          <w:b/>
          <w:sz w:val="20"/>
        </w:rPr>
        <w:t>tate final demand</w:t>
      </w:r>
      <w:r w:rsidR="004E78EB">
        <w:rPr>
          <w:b/>
          <w:sz w:val="20"/>
        </w:rPr>
        <w:t xml:space="preserve"> and components</w:t>
      </w:r>
      <w:r w:rsidR="004E78EB" w:rsidRPr="00D61261">
        <w:rPr>
          <w:b/>
          <w:sz w:val="20"/>
          <w:vertAlign w:val="superscript"/>
        </w:rPr>
        <w:t>1</w:t>
      </w:r>
      <w:r w:rsidR="004E78EB">
        <w:rPr>
          <w:b/>
          <w:sz w:val="20"/>
        </w:rPr>
        <w:t xml:space="preserve"> (</w:t>
      </w:r>
      <w:r>
        <w:rPr>
          <w:b/>
          <w:sz w:val="20"/>
        </w:rPr>
        <w:t>real</w:t>
      </w:r>
      <w:r w:rsidRPr="00971DE1">
        <w:rPr>
          <w:b/>
          <w:sz w:val="20"/>
          <w:vertAlign w:val="superscript"/>
        </w:rPr>
        <w:t>2</w:t>
      </w:r>
      <w:r>
        <w:rPr>
          <w:b/>
          <w:sz w:val="20"/>
        </w:rPr>
        <w:t xml:space="preserve"> </w:t>
      </w:r>
      <w:r w:rsidR="004E78EB" w:rsidRPr="00D61261">
        <w:rPr>
          <w:b/>
          <w:sz w:val="20"/>
        </w:rPr>
        <w:t>% change</w:t>
      </w:r>
      <w:r>
        <w:rPr>
          <w:b/>
          <w:sz w:val="20"/>
          <w:vertAlign w:val="superscript"/>
        </w:rPr>
        <w:t>3</w:t>
      </w:r>
      <w:r w:rsidR="004E78EB" w:rsidRPr="00D61261">
        <w:rPr>
          <w:b/>
          <w:sz w:val="20"/>
        </w:rPr>
        <w:t>)</w:t>
      </w:r>
      <w:r w:rsidR="004E78EB">
        <w:rPr>
          <w:b/>
          <w:sz w:val="20"/>
        </w:rPr>
        <w:t>: Quarters</w:t>
      </w:r>
    </w:p>
    <w:p w14:paraId="45A539A9" w14:textId="2B108762" w:rsidR="008B1EEE" w:rsidRDefault="004E78EB" w:rsidP="008B1EEE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342676C5" wp14:editId="0CACF8E2">
            <wp:extent cx="3446093" cy="2065867"/>
            <wp:effectExtent l="0" t="0" r="254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805" cy="2080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B1E1C" w14:textId="04D7DA0B" w:rsidR="004E78EB" w:rsidRPr="004E78EB" w:rsidRDefault="004E78EB" w:rsidP="004E78EB">
      <w:pPr>
        <w:spacing w:after="0"/>
        <w:rPr>
          <w:sz w:val="10"/>
        </w:rPr>
      </w:pPr>
      <w:r w:rsidRPr="004E78EB">
        <w:rPr>
          <w:sz w:val="10"/>
          <w:vertAlign w:val="superscript"/>
        </w:rPr>
        <w:t>1</w:t>
      </w:r>
      <w:r w:rsidRPr="004E78EB">
        <w:rPr>
          <w:sz w:val="10"/>
        </w:rPr>
        <w:t xml:space="preserve"> Seasonally adjusted series.</w:t>
      </w:r>
      <w:r w:rsidR="00971DE1" w:rsidRPr="00971DE1">
        <w:rPr>
          <w:sz w:val="10"/>
          <w:vertAlign w:val="superscript"/>
        </w:rPr>
        <w:t>2</w:t>
      </w:r>
      <w:r w:rsidR="00971DE1">
        <w:rPr>
          <w:sz w:val="10"/>
        </w:rPr>
        <w:t xml:space="preserve"> Adjusted for changes in prices. </w:t>
      </w:r>
      <w:r w:rsidR="00971DE1" w:rsidRPr="00971DE1">
        <w:rPr>
          <w:sz w:val="10"/>
          <w:vertAlign w:val="superscript"/>
        </w:rPr>
        <w:t>3</w:t>
      </w:r>
      <w:r w:rsidR="00971DE1">
        <w:rPr>
          <w:sz w:val="10"/>
        </w:rPr>
        <w:t xml:space="preserve"> </w:t>
      </w:r>
      <w:r w:rsidRPr="004E78EB">
        <w:rPr>
          <w:sz w:val="10"/>
        </w:rPr>
        <w:t>Caution is required when interpreting changes in Western Australia’s SFD because movements are exaggerated by large swings in business investment that are not adjusted for t</w:t>
      </w:r>
      <w:r w:rsidR="001C74CF">
        <w:rPr>
          <w:sz w:val="10"/>
        </w:rPr>
        <w:t>he associated changes in imported goods</w:t>
      </w:r>
      <w:r w:rsidRPr="004E78EB">
        <w:rPr>
          <w:sz w:val="10"/>
        </w:rPr>
        <w:t xml:space="preserve"> produced outside of the economy.</w:t>
      </w:r>
    </w:p>
    <w:p w14:paraId="3F5ECD99" w14:textId="77777777" w:rsidR="004E78EB" w:rsidRPr="004E78EB" w:rsidRDefault="004E78EB" w:rsidP="004E78EB">
      <w:pPr>
        <w:spacing w:after="0"/>
        <w:rPr>
          <w:sz w:val="16"/>
        </w:rPr>
      </w:pPr>
      <w:r w:rsidRPr="004E78EB">
        <w:rPr>
          <w:sz w:val="10"/>
        </w:rPr>
        <w:t>Source: ABS 5204.0. Australian National Accounts: National Income, Expenditure and Product (Quarterly).</w:t>
      </w:r>
    </w:p>
    <w:p w14:paraId="0C41FD34" w14:textId="77777777" w:rsidR="004E78EB" w:rsidRDefault="008B1EEE" w:rsidP="004E78E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B26FD3">
        <w:rPr>
          <w:sz w:val="16"/>
        </w:rPr>
        <w:br w:type="column"/>
      </w:r>
      <w:r w:rsidR="004E78EB">
        <w:rPr>
          <w:sz w:val="16"/>
        </w:rPr>
        <w:t>The domestic economy or state final demand (SFD) accounted for 71% ($202.7 billion) of Western Australia’s GSP in 2018-19. The rest of GSP comprises net international and interstate trade (exports less imports), changes in inventories and other items.</w:t>
      </w:r>
    </w:p>
    <w:p w14:paraId="5A9B6604" w14:textId="5C3D5A51" w:rsidR="004E78EB" w:rsidRDefault="00065BC6" w:rsidP="004E78E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 xml:space="preserve">In real terms, </w:t>
      </w:r>
      <w:r w:rsidR="004E78EB" w:rsidRPr="0096544C">
        <w:rPr>
          <w:sz w:val="16"/>
        </w:rPr>
        <w:t>Western Australia</w:t>
      </w:r>
      <w:r w:rsidR="004E78EB">
        <w:rPr>
          <w:sz w:val="16"/>
        </w:rPr>
        <w:t xml:space="preserve">’s SFD fell 6.0% </w:t>
      </w:r>
      <w:r w:rsidR="004E78EB" w:rsidRPr="0096544C">
        <w:rPr>
          <w:sz w:val="16"/>
        </w:rPr>
        <w:t>in</w:t>
      </w:r>
      <w:r w:rsidR="004E78EB">
        <w:rPr>
          <w:sz w:val="16"/>
        </w:rPr>
        <w:t xml:space="preserve"> the June quarter 2020, following its 0.9% growth in the previous quarter</w:t>
      </w:r>
      <w:r w:rsidR="004E78EB" w:rsidRPr="0096544C">
        <w:rPr>
          <w:sz w:val="16"/>
        </w:rPr>
        <w:t>.</w:t>
      </w:r>
    </w:p>
    <w:p w14:paraId="63140CC9" w14:textId="3F7EFF23" w:rsidR="004E78EB" w:rsidRPr="00F50EE8" w:rsidRDefault="004E78EB" w:rsidP="00065BC6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50EE8">
        <w:rPr>
          <w:sz w:val="16"/>
        </w:rPr>
        <w:t>T</w:t>
      </w:r>
      <w:r w:rsidR="00CD3DB5" w:rsidRPr="00F50EE8">
        <w:rPr>
          <w:sz w:val="16"/>
        </w:rPr>
        <w:t xml:space="preserve">he decline in </w:t>
      </w:r>
      <w:r w:rsidRPr="00F50EE8">
        <w:rPr>
          <w:sz w:val="16"/>
        </w:rPr>
        <w:t xml:space="preserve">Western Australia’s SFD in the June quarter 2020 was driven by </w:t>
      </w:r>
      <w:r w:rsidR="00F50EE8" w:rsidRPr="00F50EE8">
        <w:rPr>
          <w:sz w:val="16"/>
        </w:rPr>
        <w:t xml:space="preserve">contractions in </w:t>
      </w:r>
      <w:r w:rsidRPr="00F50EE8">
        <w:rPr>
          <w:sz w:val="16"/>
        </w:rPr>
        <w:t xml:space="preserve">household consumption </w:t>
      </w:r>
      <w:r w:rsidR="00F50EE8" w:rsidRPr="00F50EE8">
        <w:rPr>
          <w:sz w:val="16"/>
        </w:rPr>
        <w:t xml:space="preserve">(down </w:t>
      </w:r>
      <w:r w:rsidRPr="00F50EE8">
        <w:rPr>
          <w:sz w:val="16"/>
        </w:rPr>
        <w:t>10.6%</w:t>
      </w:r>
      <w:r w:rsidR="00F50EE8" w:rsidRPr="00F50EE8">
        <w:rPr>
          <w:sz w:val="16"/>
        </w:rPr>
        <w:t>),</w:t>
      </w:r>
      <w:r w:rsidRPr="00F50EE8">
        <w:rPr>
          <w:sz w:val="16"/>
        </w:rPr>
        <w:t xml:space="preserve"> </w:t>
      </w:r>
      <w:r w:rsidR="00F50EE8" w:rsidRPr="00F50EE8">
        <w:rPr>
          <w:sz w:val="16"/>
        </w:rPr>
        <w:t>d</w:t>
      </w:r>
      <w:r w:rsidRPr="00F50EE8">
        <w:rPr>
          <w:sz w:val="16"/>
        </w:rPr>
        <w:t xml:space="preserve">welling investment </w:t>
      </w:r>
      <w:r w:rsidR="00E72D72">
        <w:rPr>
          <w:sz w:val="16"/>
        </w:rPr>
        <w:t>(</w:t>
      </w:r>
      <w:r w:rsidRPr="00F50EE8">
        <w:rPr>
          <w:sz w:val="16"/>
        </w:rPr>
        <w:t>down 10.7%</w:t>
      </w:r>
      <w:r w:rsidR="00E72D72">
        <w:rPr>
          <w:sz w:val="16"/>
        </w:rPr>
        <w:t>)</w:t>
      </w:r>
      <w:r w:rsidR="00F50EE8">
        <w:rPr>
          <w:sz w:val="16"/>
        </w:rPr>
        <w:t xml:space="preserve"> and b</w:t>
      </w:r>
      <w:r w:rsidRPr="00F50EE8">
        <w:rPr>
          <w:sz w:val="16"/>
        </w:rPr>
        <w:t xml:space="preserve">usiness investment </w:t>
      </w:r>
      <w:r w:rsidR="00F50EE8">
        <w:rPr>
          <w:sz w:val="16"/>
        </w:rPr>
        <w:t>(</w:t>
      </w:r>
      <w:r w:rsidRPr="00F50EE8">
        <w:rPr>
          <w:sz w:val="16"/>
        </w:rPr>
        <w:t>down 1.8%</w:t>
      </w:r>
      <w:r w:rsidR="00F50EE8">
        <w:rPr>
          <w:sz w:val="16"/>
        </w:rPr>
        <w:t>)</w:t>
      </w:r>
      <w:r w:rsidRPr="00F50EE8">
        <w:rPr>
          <w:sz w:val="16"/>
        </w:rPr>
        <w:t>.</w:t>
      </w:r>
    </w:p>
    <w:p w14:paraId="133B5FCD" w14:textId="13E74955" w:rsidR="004E78EB" w:rsidRPr="00263AEC" w:rsidRDefault="00065BC6" w:rsidP="004E78E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>Western Australia’s</w:t>
      </w:r>
      <w:r w:rsidR="00CD3DB5">
        <w:rPr>
          <w:sz w:val="16"/>
        </w:rPr>
        <w:t xml:space="preserve"> </w:t>
      </w:r>
      <w:r w:rsidR="004E78EB">
        <w:rPr>
          <w:sz w:val="16"/>
        </w:rPr>
        <w:t xml:space="preserve">public sector final demand rose </w:t>
      </w:r>
      <w:r>
        <w:rPr>
          <w:sz w:val="16"/>
        </w:rPr>
        <w:t xml:space="preserve">in real terms by </w:t>
      </w:r>
      <w:r w:rsidR="004E78EB">
        <w:rPr>
          <w:sz w:val="16"/>
        </w:rPr>
        <w:t>2.5% in the June quarter 2020</w:t>
      </w:r>
      <w:r w:rsidR="004E78EB" w:rsidRPr="00263AEC">
        <w:rPr>
          <w:sz w:val="16"/>
        </w:rPr>
        <w:t>.</w:t>
      </w:r>
    </w:p>
    <w:p w14:paraId="267E2AA3" w14:textId="1C62320B" w:rsidR="008B1EEE" w:rsidRPr="000C700A" w:rsidRDefault="00065BC6" w:rsidP="004E78E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 xml:space="preserve">In real terms, </w:t>
      </w:r>
      <w:r w:rsidR="004E78EB" w:rsidRPr="00FA6076">
        <w:rPr>
          <w:sz w:val="16"/>
        </w:rPr>
        <w:t xml:space="preserve">Western Australia’s </w:t>
      </w:r>
      <w:r w:rsidR="00B37BD7">
        <w:rPr>
          <w:sz w:val="16"/>
        </w:rPr>
        <w:t>SFD rose 0.9</w:t>
      </w:r>
      <w:r w:rsidR="004E78EB" w:rsidRPr="00FA6076">
        <w:rPr>
          <w:sz w:val="16"/>
        </w:rPr>
        <w:t>% in 2019</w:t>
      </w:r>
      <w:r>
        <w:rPr>
          <w:sz w:val="16"/>
        </w:rPr>
        <w:noBreakHyphen/>
      </w:r>
      <w:r w:rsidR="004E78EB" w:rsidRPr="00FA6076">
        <w:rPr>
          <w:sz w:val="16"/>
        </w:rPr>
        <w:t>20.</w:t>
      </w:r>
      <w:r w:rsidR="004E78EB">
        <w:rPr>
          <w:sz w:val="16"/>
        </w:rPr>
        <w:t xml:space="preserve"> </w:t>
      </w:r>
      <w:r w:rsidR="004E78EB" w:rsidRPr="00FA6076">
        <w:rPr>
          <w:sz w:val="16"/>
        </w:rPr>
        <w:t>The WA Government State Budget 2020-21 forecasts</w:t>
      </w:r>
      <w:r w:rsidR="00CD3DB5">
        <w:rPr>
          <w:sz w:val="16"/>
        </w:rPr>
        <w:t xml:space="preserve"> </w:t>
      </w:r>
      <w:r w:rsidR="004E78EB" w:rsidRPr="00FA6076">
        <w:rPr>
          <w:sz w:val="16"/>
        </w:rPr>
        <w:t>Western Australia’s SFD will grow</w:t>
      </w:r>
      <w:r>
        <w:rPr>
          <w:sz w:val="16"/>
        </w:rPr>
        <w:t xml:space="preserve"> in real terms by </w:t>
      </w:r>
      <w:r w:rsidR="004E78EB" w:rsidRPr="00FA6076">
        <w:rPr>
          <w:sz w:val="16"/>
        </w:rPr>
        <w:t>0.5% in 2020-21 and 3.75% in 2021-22</w:t>
      </w:r>
      <w:r w:rsidR="008B1EEE" w:rsidRPr="000C700A">
        <w:rPr>
          <w:sz w:val="16"/>
        </w:rPr>
        <w:t>.</w:t>
      </w:r>
    </w:p>
    <w:p w14:paraId="5136707A" w14:textId="77777777" w:rsidR="008B1EEE" w:rsidRDefault="008B1EEE" w:rsidP="008B1EEE">
      <w:pPr>
        <w:spacing w:after="0"/>
        <w:jc w:val="both"/>
        <w:rPr>
          <w:sz w:val="16"/>
        </w:rPr>
      </w:pPr>
      <w:r>
        <w:rPr>
          <w:sz w:val="16"/>
        </w:rPr>
        <w:br w:type="page"/>
      </w:r>
    </w:p>
    <w:p w14:paraId="448EB56A" w14:textId="77777777" w:rsidR="00B96B96" w:rsidRPr="00D426CF" w:rsidRDefault="00B96B96" w:rsidP="00B96B96">
      <w:pPr>
        <w:pStyle w:val="BodyText"/>
        <w:spacing w:after="0"/>
      </w:pPr>
    </w:p>
    <w:p w14:paraId="6C14165D" w14:textId="690A8244" w:rsidR="008B1EEE" w:rsidRPr="0000797E" w:rsidRDefault="001C02F8" w:rsidP="0000797E">
      <w:pPr>
        <w:pStyle w:val="BodyText"/>
        <w:spacing w:after="0"/>
        <w:rPr>
          <w:b/>
          <w:sz w:val="20"/>
        </w:rPr>
      </w:pPr>
      <w:r w:rsidRPr="0000797E">
        <w:rPr>
          <w:b/>
          <w:sz w:val="20"/>
        </w:rPr>
        <w:t>Western Australia’s exports of goods</w:t>
      </w:r>
      <w:r w:rsidR="0000797E" w:rsidRPr="0000797E">
        <w:rPr>
          <w:b/>
          <w:sz w:val="20"/>
          <w:vertAlign w:val="superscript"/>
        </w:rPr>
        <w:t>1</w:t>
      </w:r>
      <w:r w:rsidRPr="0000797E">
        <w:rPr>
          <w:b/>
          <w:sz w:val="20"/>
        </w:rPr>
        <w:t>: Month</w:t>
      </w:r>
      <w:r w:rsidR="00884423">
        <w:rPr>
          <w:b/>
          <w:sz w:val="20"/>
        </w:rPr>
        <w:t>s</w:t>
      </w:r>
    </w:p>
    <w:p w14:paraId="59AAE418" w14:textId="0A27B063" w:rsidR="008B1EEE" w:rsidRDefault="00366E84" w:rsidP="008B1EEE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14E5EFB1" wp14:editId="4E2C077A">
            <wp:extent cx="3411855" cy="2049145"/>
            <wp:effectExtent l="0" t="0" r="0" b="825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855" cy="204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FF541" w14:textId="4E7878D8" w:rsidR="0000797E" w:rsidRPr="0000797E" w:rsidRDefault="0000797E" w:rsidP="0000797E">
      <w:pPr>
        <w:spacing w:after="0"/>
        <w:jc w:val="both"/>
        <w:rPr>
          <w:sz w:val="10"/>
        </w:rPr>
      </w:pPr>
      <w:r w:rsidRPr="0000797E">
        <w:rPr>
          <w:sz w:val="10"/>
          <w:vertAlign w:val="superscript"/>
        </w:rPr>
        <w:t>1</w:t>
      </w:r>
      <w:r w:rsidRPr="0000797E">
        <w:rPr>
          <w:sz w:val="10"/>
        </w:rPr>
        <w:t xml:space="preserve"> Free on board. Current prices.</w:t>
      </w:r>
      <w:r>
        <w:rPr>
          <w:sz w:val="10"/>
        </w:rPr>
        <w:t xml:space="preserve"> Original</w:t>
      </w:r>
      <w:r w:rsidR="00884423">
        <w:rPr>
          <w:sz w:val="10"/>
        </w:rPr>
        <w:t xml:space="preserve"> series</w:t>
      </w:r>
      <w:r>
        <w:rPr>
          <w:sz w:val="10"/>
        </w:rPr>
        <w:t>.</w:t>
      </w:r>
    </w:p>
    <w:p w14:paraId="0BFD65BB" w14:textId="1596DEBF" w:rsidR="008B1EEE" w:rsidRDefault="0000797E" w:rsidP="0000797E">
      <w:pPr>
        <w:spacing w:after="0"/>
        <w:jc w:val="both"/>
        <w:rPr>
          <w:sz w:val="10"/>
        </w:rPr>
      </w:pPr>
      <w:r w:rsidRPr="0000797E">
        <w:rPr>
          <w:sz w:val="10"/>
        </w:rPr>
        <w:t>Source: ABS 5368.0 International Trade in Goods and Services</w:t>
      </w:r>
      <w:r w:rsidR="006C1046">
        <w:rPr>
          <w:sz w:val="10"/>
        </w:rPr>
        <w:t>, Australia (Monthly)</w:t>
      </w:r>
      <w:r w:rsidR="008B1EEE">
        <w:rPr>
          <w:sz w:val="10"/>
        </w:rPr>
        <w:t>.</w:t>
      </w:r>
    </w:p>
    <w:p w14:paraId="5EE598AA" w14:textId="77777777" w:rsidR="008B1EEE" w:rsidRDefault="008B1EEE" w:rsidP="008B1EEE">
      <w:pPr>
        <w:spacing w:after="0"/>
        <w:jc w:val="both"/>
        <w:rPr>
          <w:sz w:val="16"/>
        </w:rPr>
      </w:pPr>
    </w:p>
    <w:p w14:paraId="61060478" w14:textId="77777777" w:rsidR="008B1EEE" w:rsidRDefault="008B1EEE" w:rsidP="008B1EEE">
      <w:pPr>
        <w:spacing w:after="0"/>
        <w:jc w:val="both"/>
        <w:rPr>
          <w:sz w:val="16"/>
        </w:rPr>
      </w:pPr>
    </w:p>
    <w:p w14:paraId="3EE65C77" w14:textId="77777777" w:rsidR="008B1EEE" w:rsidRDefault="008B1EEE" w:rsidP="008B1EEE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26761826" w14:textId="77777777" w:rsidR="008B1EEE" w:rsidRDefault="008B1EEE" w:rsidP="008B1EEE">
      <w:pPr>
        <w:spacing w:after="0"/>
        <w:jc w:val="both"/>
        <w:rPr>
          <w:sz w:val="16"/>
        </w:rPr>
      </w:pPr>
    </w:p>
    <w:p w14:paraId="1B893842" w14:textId="77777777" w:rsidR="008B1EEE" w:rsidRDefault="008B1EEE" w:rsidP="008B1EEE">
      <w:pPr>
        <w:spacing w:after="0"/>
        <w:jc w:val="both"/>
        <w:rPr>
          <w:sz w:val="16"/>
        </w:rPr>
      </w:pPr>
    </w:p>
    <w:p w14:paraId="7A3FF644" w14:textId="0DDC9A56" w:rsidR="008B1EEE" w:rsidRPr="00920EEA" w:rsidRDefault="00C27BE9" w:rsidP="008B1EEE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27BE9">
        <w:rPr>
          <w:sz w:val="16"/>
        </w:rPr>
        <w:t>Western Australia exported $1</w:t>
      </w:r>
      <w:r w:rsidR="00121232">
        <w:rPr>
          <w:sz w:val="16"/>
        </w:rPr>
        <w:t>5.4</w:t>
      </w:r>
      <w:r>
        <w:rPr>
          <w:sz w:val="16"/>
        </w:rPr>
        <w:t xml:space="preserve"> </w:t>
      </w:r>
      <w:r w:rsidRPr="00C27BE9">
        <w:rPr>
          <w:sz w:val="16"/>
        </w:rPr>
        <w:t xml:space="preserve">billion of goods in </w:t>
      </w:r>
      <w:r w:rsidR="00121232">
        <w:rPr>
          <w:sz w:val="16"/>
        </w:rPr>
        <w:t>September</w:t>
      </w:r>
      <w:r>
        <w:rPr>
          <w:sz w:val="16"/>
        </w:rPr>
        <w:t xml:space="preserve"> </w:t>
      </w:r>
      <w:r w:rsidRPr="00C27BE9">
        <w:rPr>
          <w:sz w:val="16"/>
        </w:rPr>
        <w:t xml:space="preserve">2020, </w:t>
      </w:r>
      <w:r w:rsidR="00121232">
        <w:rPr>
          <w:sz w:val="16"/>
        </w:rPr>
        <w:t>6</w:t>
      </w:r>
      <w:r w:rsidRPr="00C27BE9">
        <w:rPr>
          <w:sz w:val="16"/>
        </w:rPr>
        <w:t xml:space="preserve">% </w:t>
      </w:r>
      <w:r w:rsidR="00121232">
        <w:rPr>
          <w:sz w:val="16"/>
        </w:rPr>
        <w:t>high</w:t>
      </w:r>
      <w:r w:rsidRPr="00C27BE9">
        <w:rPr>
          <w:sz w:val="16"/>
        </w:rPr>
        <w:t xml:space="preserve">er than </w:t>
      </w:r>
      <w:r w:rsidR="00121232">
        <w:rPr>
          <w:sz w:val="16"/>
        </w:rPr>
        <w:t xml:space="preserve">in </w:t>
      </w:r>
      <w:r w:rsidRPr="00C27BE9">
        <w:rPr>
          <w:sz w:val="16"/>
        </w:rPr>
        <w:t>the previous month</w:t>
      </w:r>
      <w:r>
        <w:rPr>
          <w:sz w:val="16"/>
        </w:rPr>
        <w:t>.</w:t>
      </w:r>
    </w:p>
    <w:p w14:paraId="4B7AFF63" w14:textId="1EC8EEE7" w:rsidR="001750A9" w:rsidRDefault="001750A9" w:rsidP="008B1EEE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750A9">
        <w:rPr>
          <w:sz w:val="16"/>
        </w:rPr>
        <w:t xml:space="preserve">The </w:t>
      </w:r>
      <w:r w:rsidR="00D76D84">
        <w:rPr>
          <w:sz w:val="16"/>
        </w:rPr>
        <w:t>v</w:t>
      </w:r>
      <w:r w:rsidRPr="001750A9">
        <w:rPr>
          <w:sz w:val="16"/>
        </w:rPr>
        <w:t>alue of Western Australia’s exports</w:t>
      </w:r>
      <w:r>
        <w:rPr>
          <w:sz w:val="16"/>
        </w:rPr>
        <w:t xml:space="preserve"> of goods</w:t>
      </w:r>
      <w:r w:rsidRPr="001750A9">
        <w:rPr>
          <w:sz w:val="16"/>
        </w:rPr>
        <w:t xml:space="preserve"> i</w:t>
      </w:r>
      <w:r w:rsidR="00121232">
        <w:rPr>
          <w:sz w:val="16"/>
        </w:rPr>
        <w:t>n September 2020 was 4</w:t>
      </w:r>
      <w:r w:rsidRPr="001750A9">
        <w:rPr>
          <w:sz w:val="16"/>
        </w:rPr>
        <w:t>% lower than</w:t>
      </w:r>
      <w:r>
        <w:rPr>
          <w:sz w:val="16"/>
        </w:rPr>
        <w:t xml:space="preserve"> in </w:t>
      </w:r>
      <w:r w:rsidR="00121232">
        <w:rPr>
          <w:sz w:val="16"/>
        </w:rPr>
        <w:t>September</w:t>
      </w:r>
      <w:r>
        <w:rPr>
          <w:sz w:val="16"/>
        </w:rPr>
        <w:t xml:space="preserve"> </w:t>
      </w:r>
      <w:r w:rsidRPr="001750A9">
        <w:rPr>
          <w:sz w:val="16"/>
        </w:rPr>
        <w:t>2019.</w:t>
      </w:r>
    </w:p>
    <w:p w14:paraId="56DDFA4D" w14:textId="1247D5E0" w:rsidR="0076416A" w:rsidRDefault="001750A9" w:rsidP="00902083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750A9">
        <w:rPr>
          <w:sz w:val="16"/>
        </w:rPr>
        <w:t>T</w:t>
      </w:r>
      <w:r w:rsidR="00913B01">
        <w:rPr>
          <w:sz w:val="16"/>
        </w:rPr>
        <w:t xml:space="preserve">he fall in </w:t>
      </w:r>
      <w:r w:rsidR="00D76D84">
        <w:rPr>
          <w:sz w:val="16"/>
        </w:rPr>
        <w:t xml:space="preserve">the value of </w:t>
      </w:r>
      <w:r w:rsidRPr="001750A9">
        <w:rPr>
          <w:sz w:val="16"/>
        </w:rPr>
        <w:t>Western Australia’s exports</w:t>
      </w:r>
      <w:r w:rsidR="00913B01">
        <w:rPr>
          <w:sz w:val="16"/>
        </w:rPr>
        <w:t xml:space="preserve"> of goods</w:t>
      </w:r>
      <w:r w:rsidRPr="001750A9">
        <w:rPr>
          <w:sz w:val="16"/>
        </w:rPr>
        <w:t xml:space="preserve"> between </w:t>
      </w:r>
      <w:r w:rsidR="00121232">
        <w:rPr>
          <w:sz w:val="16"/>
        </w:rPr>
        <w:t>September</w:t>
      </w:r>
      <w:r w:rsidRPr="001750A9">
        <w:rPr>
          <w:sz w:val="16"/>
        </w:rPr>
        <w:t xml:space="preserve"> 2019 and 2020 was due to</w:t>
      </w:r>
      <w:r w:rsidR="00121232">
        <w:rPr>
          <w:sz w:val="16"/>
        </w:rPr>
        <w:t xml:space="preserve"> non</w:t>
      </w:r>
      <w:r w:rsidR="00694402">
        <w:rPr>
          <w:sz w:val="16"/>
        </w:rPr>
        <w:noBreakHyphen/>
        <w:t>iron </w:t>
      </w:r>
      <w:r w:rsidR="00121232">
        <w:rPr>
          <w:sz w:val="16"/>
        </w:rPr>
        <w:t>ore exports falling 37</w:t>
      </w:r>
      <w:r w:rsidRPr="001750A9">
        <w:rPr>
          <w:sz w:val="16"/>
        </w:rPr>
        <w:t>% to $</w:t>
      </w:r>
      <w:r w:rsidR="00121232">
        <w:rPr>
          <w:sz w:val="16"/>
        </w:rPr>
        <w:t>5.1</w:t>
      </w:r>
      <w:r>
        <w:rPr>
          <w:sz w:val="16"/>
        </w:rPr>
        <w:t xml:space="preserve"> </w:t>
      </w:r>
      <w:r w:rsidR="0076416A">
        <w:rPr>
          <w:sz w:val="16"/>
        </w:rPr>
        <w:t>billion.</w:t>
      </w:r>
    </w:p>
    <w:p w14:paraId="76566461" w14:textId="34B69279" w:rsidR="008B1EEE" w:rsidRPr="001750A9" w:rsidRDefault="0076416A" w:rsidP="00902083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 xml:space="preserve">The value of Western Australia’s </w:t>
      </w:r>
      <w:r w:rsidR="001750A9" w:rsidRPr="001750A9">
        <w:rPr>
          <w:sz w:val="16"/>
        </w:rPr>
        <w:t xml:space="preserve">iron ore exports rose </w:t>
      </w:r>
      <w:r w:rsidR="00121232">
        <w:rPr>
          <w:sz w:val="16"/>
        </w:rPr>
        <w:t>29</w:t>
      </w:r>
      <w:r w:rsidR="001750A9" w:rsidRPr="001750A9">
        <w:rPr>
          <w:sz w:val="16"/>
        </w:rPr>
        <w:t>% to $</w:t>
      </w:r>
      <w:r w:rsidR="00121232">
        <w:rPr>
          <w:sz w:val="16"/>
        </w:rPr>
        <w:t>10.3</w:t>
      </w:r>
      <w:r w:rsidR="001750A9" w:rsidRPr="001750A9">
        <w:rPr>
          <w:sz w:val="16"/>
        </w:rPr>
        <w:t xml:space="preserve"> billion</w:t>
      </w:r>
      <w:r w:rsidRPr="0076416A">
        <w:rPr>
          <w:sz w:val="16"/>
        </w:rPr>
        <w:t xml:space="preserve"> </w:t>
      </w:r>
      <w:r w:rsidRPr="001750A9">
        <w:rPr>
          <w:sz w:val="16"/>
        </w:rPr>
        <w:t xml:space="preserve">between </w:t>
      </w:r>
      <w:r>
        <w:rPr>
          <w:sz w:val="16"/>
        </w:rPr>
        <w:t>September</w:t>
      </w:r>
      <w:r w:rsidRPr="001750A9">
        <w:rPr>
          <w:sz w:val="16"/>
        </w:rPr>
        <w:t xml:space="preserve"> 2019 and 2020</w:t>
      </w:r>
      <w:r w:rsidR="008B1EEE" w:rsidRPr="001750A9">
        <w:rPr>
          <w:sz w:val="16"/>
        </w:rPr>
        <w:t>.</w:t>
      </w:r>
    </w:p>
    <w:p w14:paraId="6B55CC81" w14:textId="77777777" w:rsidR="008B1EEE" w:rsidRDefault="008B1EEE" w:rsidP="008B1EEE">
      <w:pPr>
        <w:spacing w:after="0"/>
        <w:jc w:val="both"/>
        <w:rPr>
          <w:sz w:val="16"/>
        </w:rPr>
        <w:sectPr w:rsidR="008B1EEE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5956F100" w14:textId="3263DC9C" w:rsidR="0000797E" w:rsidRPr="0000797E" w:rsidRDefault="0000797E" w:rsidP="0000797E">
      <w:pPr>
        <w:pStyle w:val="BodyText"/>
        <w:spacing w:after="0"/>
        <w:rPr>
          <w:b/>
          <w:sz w:val="20"/>
        </w:rPr>
      </w:pPr>
      <w:r w:rsidRPr="0000797E">
        <w:rPr>
          <w:b/>
          <w:sz w:val="20"/>
        </w:rPr>
        <w:t>Western Australia’</w:t>
      </w:r>
      <w:r>
        <w:rPr>
          <w:b/>
          <w:sz w:val="20"/>
        </w:rPr>
        <w:t>s im</w:t>
      </w:r>
      <w:r w:rsidRPr="0000797E">
        <w:rPr>
          <w:b/>
          <w:sz w:val="20"/>
        </w:rPr>
        <w:t>ports of goods</w:t>
      </w:r>
      <w:r w:rsidRPr="0000797E">
        <w:rPr>
          <w:b/>
          <w:sz w:val="20"/>
          <w:vertAlign w:val="superscript"/>
        </w:rPr>
        <w:t>1</w:t>
      </w:r>
      <w:r w:rsidRPr="0000797E">
        <w:rPr>
          <w:b/>
          <w:sz w:val="20"/>
        </w:rPr>
        <w:t>: Month</w:t>
      </w:r>
      <w:r w:rsidR="00884423">
        <w:rPr>
          <w:b/>
          <w:sz w:val="20"/>
        </w:rPr>
        <w:t>s</w:t>
      </w:r>
    </w:p>
    <w:p w14:paraId="12E43C41" w14:textId="7B4B78DF" w:rsidR="008B1EEE" w:rsidRDefault="00654BA5" w:rsidP="008B1EEE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77C53459" wp14:editId="7231CB27">
            <wp:extent cx="3424555" cy="2052955"/>
            <wp:effectExtent l="0" t="0" r="4445" b="4445"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4555" cy="205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F409A" w14:textId="13C5166A" w:rsidR="004740B8" w:rsidRPr="004740B8" w:rsidRDefault="004740B8" w:rsidP="004740B8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4740B8">
        <w:rPr>
          <w:sz w:val="10"/>
        </w:rPr>
        <w:t xml:space="preserve">Note – The large value of imports in July 2017 was mainly due to the arrival of the Prelude Floating LNG Plant. </w:t>
      </w:r>
      <w:r w:rsidRPr="004740B8">
        <w:rPr>
          <w:sz w:val="10"/>
          <w:vertAlign w:val="superscript"/>
        </w:rPr>
        <w:t>1</w:t>
      </w:r>
      <w:r w:rsidRPr="004740B8">
        <w:rPr>
          <w:sz w:val="10"/>
        </w:rPr>
        <w:t xml:space="preserve"> Customs value. Current prices</w:t>
      </w:r>
      <w:r>
        <w:rPr>
          <w:sz w:val="10"/>
        </w:rPr>
        <w:t>. Original</w:t>
      </w:r>
      <w:r w:rsidR="00884423">
        <w:rPr>
          <w:sz w:val="10"/>
        </w:rPr>
        <w:t xml:space="preserve"> series</w:t>
      </w:r>
      <w:r>
        <w:rPr>
          <w:sz w:val="10"/>
        </w:rPr>
        <w:t xml:space="preserve">. </w:t>
      </w:r>
      <w:r w:rsidRPr="004740B8">
        <w:rPr>
          <w:sz w:val="10"/>
          <w:vertAlign w:val="superscript"/>
        </w:rPr>
        <w:t>2</w:t>
      </w:r>
      <w:r w:rsidRPr="004740B8">
        <w:rPr>
          <w:sz w:val="10"/>
        </w:rPr>
        <w:t xml:space="preserve"> Excluding confidential items.</w:t>
      </w:r>
    </w:p>
    <w:p w14:paraId="58E852BE" w14:textId="3EE06A53" w:rsidR="008B1EEE" w:rsidRDefault="004740B8" w:rsidP="004740B8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4740B8">
        <w:rPr>
          <w:sz w:val="10"/>
        </w:rPr>
        <w:t>Source: ABS 5368.0 International Trade in Goods and Services</w:t>
      </w:r>
      <w:r>
        <w:rPr>
          <w:sz w:val="10"/>
        </w:rPr>
        <w:t>, Australia (Monthly)</w:t>
      </w:r>
      <w:r w:rsidR="008B1EEE">
        <w:rPr>
          <w:sz w:val="10"/>
        </w:rPr>
        <w:t>.</w:t>
      </w:r>
    </w:p>
    <w:p w14:paraId="63BB27A6" w14:textId="77777777" w:rsidR="008B1EEE" w:rsidRDefault="008B1EEE" w:rsidP="008B1EEE">
      <w:pPr>
        <w:spacing w:after="0"/>
        <w:jc w:val="both"/>
        <w:rPr>
          <w:sz w:val="16"/>
        </w:rPr>
      </w:pPr>
    </w:p>
    <w:p w14:paraId="7875911D" w14:textId="77777777" w:rsidR="008B1EEE" w:rsidRDefault="008B1EEE" w:rsidP="008B1EEE">
      <w:pPr>
        <w:spacing w:after="0"/>
        <w:jc w:val="both"/>
        <w:rPr>
          <w:sz w:val="16"/>
        </w:rPr>
      </w:pPr>
    </w:p>
    <w:p w14:paraId="514CEF42" w14:textId="7268B051" w:rsidR="008B1EEE" w:rsidRPr="005C451E" w:rsidRDefault="008B1EEE" w:rsidP="00902083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5C451E">
        <w:rPr>
          <w:sz w:val="16"/>
        </w:rPr>
        <w:br w:type="column"/>
      </w:r>
      <w:r w:rsidR="005C451E" w:rsidRPr="005C451E">
        <w:rPr>
          <w:sz w:val="16"/>
        </w:rPr>
        <w:t>Western Australia imported $2.</w:t>
      </w:r>
      <w:r w:rsidR="00654BA5">
        <w:rPr>
          <w:sz w:val="16"/>
        </w:rPr>
        <w:t>5</w:t>
      </w:r>
      <w:r w:rsidR="005C451E" w:rsidRPr="005C451E">
        <w:rPr>
          <w:sz w:val="16"/>
        </w:rPr>
        <w:t xml:space="preserve"> billion of goods in </w:t>
      </w:r>
      <w:r w:rsidR="00654BA5">
        <w:rPr>
          <w:sz w:val="16"/>
        </w:rPr>
        <w:t>September 2020, 4</w:t>
      </w:r>
      <w:r w:rsidR="005C451E" w:rsidRPr="005C451E">
        <w:rPr>
          <w:sz w:val="16"/>
        </w:rPr>
        <w:t xml:space="preserve">% lower than </w:t>
      </w:r>
      <w:r w:rsidR="00654BA5">
        <w:rPr>
          <w:sz w:val="16"/>
        </w:rPr>
        <w:t xml:space="preserve">in September </w:t>
      </w:r>
      <w:r w:rsidR="005C451E" w:rsidRPr="005C451E">
        <w:rPr>
          <w:sz w:val="16"/>
        </w:rPr>
        <w:t>2019</w:t>
      </w:r>
      <w:r w:rsidRPr="005C451E">
        <w:rPr>
          <w:sz w:val="16"/>
        </w:rPr>
        <w:t>.</w:t>
      </w:r>
    </w:p>
    <w:p w14:paraId="6A39E6C8" w14:textId="4307DF42" w:rsidR="00A155B5" w:rsidRPr="00A155B5" w:rsidRDefault="00A155B5" w:rsidP="003C4C10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155B5">
        <w:rPr>
          <w:sz w:val="16"/>
        </w:rPr>
        <w:t xml:space="preserve">The fall in the value of </w:t>
      </w:r>
      <w:r>
        <w:rPr>
          <w:sz w:val="16"/>
        </w:rPr>
        <w:t>Western Australia</w:t>
      </w:r>
      <w:r w:rsidR="002451DB">
        <w:rPr>
          <w:sz w:val="16"/>
        </w:rPr>
        <w:t xml:space="preserve">’s </w:t>
      </w:r>
      <w:r w:rsidRPr="00A155B5">
        <w:rPr>
          <w:sz w:val="16"/>
        </w:rPr>
        <w:t>imports</w:t>
      </w:r>
      <w:r>
        <w:rPr>
          <w:sz w:val="16"/>
        </w:rPr>
        <w:t xml:space="preserve"> of goods</w:t>
      </w:r>
      <w:r w:rsidRPr="00A155B5">
        <w:rPr>
          <w:sz w:val="16"/>
          <w:vertAlign w:val="superscript"/>
        </w:rPr>
        <w:t>2</w:t>
      </w:r>
      <w:r w:rsidRPr="00A155B5">
        <w:rPr>
          <w:sz w:val="16"/>
        </w:rPr>
        <w:t xml:space="preserve"> between </w:t>
      </w:r>
      <w:r w:rsidR="00654BA5">
        <w:rPr>
          <w:sz w:val="16"/>
        </w:rPr>
        <w:t>September</w:t>
      </w:r>
      <w:r w:rsidRPr="00A155B5">
        <w:rPr>
          <w:sz w:val="16"/>
        </w:rPr>
        <w:t xml:space="preserve"> 2019 and 2020 was driven by:</w:t>
      </w:r>
    </w:p>
    <w:p w14:paraId="4A576B23" w14:textId="7FBCC2CD" w:rsidR="00A155B5" w:rsidRPr="00A155B5" w:rsidRDefault="00A155B5" w:rsidP="005A3CC2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A155B5">
        <w:rPr>
          <w:sz w:val="16"/>
        </w:rPr>
        <w:t xml:space="preserve">Petroleum (down </w:t>
      </w:r>
      <w:r w:rsidR="00654BA5">
        <w:rPr>
          <w:sz w:val="16"/>
        </w:rPr>
        <w:t>38</w:t>
      </w:r>
      <w:r w:rsidRPr="00A155B5">
        <w:rPr>
          <w:sz w:val="16"/>
        </w:rPr>
        <w:t>% to $</w:t>
      </w:r>
      <w:r w:rsidR="00654BA5">
        <w:rPr>
          <w:sz w:val="16"/>
        </w:rPr>
        <w:t>348</w:t>
      </w:r>
      <w:r w:rsidR="002451DB">
        <w:rPr>
          <w:sz w:val="16"/>
        </w:rPr>
        <w:t xml:space="preserve"> </w:t>
      </w:r>
      <w:r w:rsidRPr="00A155B5">
        <w:rPr>
          <w:sz w:val="16"/>
        </w:rPr>
        <w:t>million).</w:t>
      </w:r>
    </w:p>
    <w:p w14:paraId="16B5E772" w14:textId="64BAECB7" w:rsidR="00A155B5" w:rsidRPr="00A155B5" w:rsidRDefault="00A155B5" w:rsidP="005A3CC2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A155B5">
        <w:rPr>
          <w:sz w:val="16"/>
        </w:rPr>
        <w:t xml:space="preserve">Gold (down </w:t>
      </w:r>
      <w:r w:rsidR="00654BA5">
        <w:rPr>
          <w:sz w:val="16"/>
        </w:rPr>
        <w:t>40</w:t>
      </w:r>
      <w:r w:rsidRPr="00A155B5">
        <w:rPr>
          <w:sz w:val="16"/>
        </w:rPr>
        <w:t>% to $</w:t>
      </w:r>
      <w:r w:rsidR="00654BA5">
        <w:rPr>
          <w:sz w:val="16"/>
        </w:rPr>
        <w:t>299</w:t>
      </w:r>
      <w:r w:rsidR="002451DB">
        <w:rPr>
          <w:sz w:val="16"/>
        </w:rPr>
        <w:t xml:space="preserve"> </w:t>
      </w:r>
      <w:r w:rsidRPr="00A155B5">
        <w:rPr>
          <w:sz w:val="16"/>
        </w:rPr>
        <w:t>million).</w:t>
      </w:r>
    </w:p>
    <w:p w14:paraId="54483C45" w14:textId="6D608B7C" w:rsidR="008B1EEE" w:rsidRPr="008D280D" w:rsidRDefault="008D280D" w:rsidP="008D280D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D280D">
        <w:rPr>
          <w:sz w:val="16"/>
        </w:rPr>
        <w:t>The largest i</w:t>
      </w:r>
      <w:r w:rsidR="00913B01">
        <w:rPr>
          <w:sz w:val="16"/>
        </w:rPr>
        <w:t xml:space="preserve">ncrease in </w:t>
      </w:r>
      <w:r w:rsidR="000E7533">
        <w:rPr>
          <w:sz w:val="16"/>
        </w:rPr>
        <w:t xml:space="preserve">the value of </w:t>
      </w:r>
      <w:r w:rsidRPr="008D280D">
        <w:rPr>
          <w:sz w:val="16"/>
        </w:rPr>
        <w:t>Western Australia’s imports of goods</w:t>
      </w:r>
      <w:r w:rsidRPr="00654BA5">
        <w:rPr>
          <w:sz w:val="16"/>
          <w:vertAlign w:val="superscript"/>
        </w:rPr>
        <w:t>2</w:t>
      </w:r>
      <w:r w:rsidRPr="008D280D">
        <w:rPr>
          <w:sz w:val="16"/>
        </w:rPr>
        <w:t xml:space="preserve"> between </w:t>
      </w:r>
      <w:r w:rsidR="00654BA5">
        <w:rPr>
          <w:sz w:val="16"/>
        </w:rPr>
        <w:t>September</w:t>
      </w:r>
      <w:r w:rsidRPr="008D280D">
        <w:rPr>
          <w:sz w:val="16"/>
        </w:rPr>
        <w:t xml:space="preserve"> 2019 and 2020 was in machinery and transport equipment, up </w:t>
      </w:r>
      <w:r w:rsidR="00654BA5">
        <w:rPr>
          <w:sz w:val="16"/>
        </w:rPr>
        <w:t>16</w:t>
      </w:r>
      <w:r w:rsidRPr="008D280D">
        <w:rPr>
          <w:sz w:val="16"/>
        </w:rPr>
        <w:t>% to $</w:t>
      </w:r>
      <w:r w:rsidR="00654BA5">
        <w:rPr>
          <w:sz w:val="16"/>
        </w:rPr>
        <w:t>811</w:t>
      </w:r>
      <w:r w:rsidR="00694402">
        <w:rPr>
          <w:sz w:val="16"/>
        </w:rPr>
        <w:t> </w:t>
      </w:r>
      <w:r w:rsidRPr="008D280D">
        <w:rPr>
          <w:sz w:val="16"/>
        </w:rPr>
        <w:t>million.</w:t>
      </w:r>
    </w:p>
    <w:p w14:paraId="2C3A39DD" w14:textId="77777777" w:rsidR="008B1EEE" w:rsidRDefault="008B1EEE" w:rsidP="008B1EEE">
      <w:pPr>
        <w:jc w:val="both"/>
        <w:rPr>
          <w:sz w:val="16"/>
        </w:rPr>
        <w:sectPr w:rsidR="008B1EEE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50CAA123" w14:textId="0F3944B2" w:rsidR="008B1EEE" w:rsidRPr="00E97D11" w:rsidRDefault="00994DA8" w:rsidP="00E97D11">
      <w:pPr>
        <w:spacing w:after="0"/>
        <w:rPr>
          <w:sz w:val="22"/>
        </w:rPr>
      </w:pPr>
      <w:r>
        <w:rPr>
          <w:b/>
          <w:sz w:val="20"/>
        </w:rPr>
        <w:t>Western Australia’s overseas visitors</w:t>
      </w:r>
      <w:r w:rsidR="00056706" w:rsidRPr="00056706">
        <w:rPr>
          <w:b/>
          <w:sz w:val="20"/>
          <w:vertAlign w:val="superscript"/>
        </w:rPr>
        <w:t>1</w:t>
      </w:r>
      <w:r>
        <w:rPr>
          <w:b/>
          <w:sz w:val="20"/>
        </w:rPr>
        <w:t>: Month</w:t>
      </w:r>
      <w:r w:rsidR="00884423">
        <w:rPr>
          <w:b/>
          <w:sz w:val="20"/>
        </w:rPr>
        <w:t>s</w:t>
      </w:r>
    </w:p>
    <w:p w14:paraId="08948AFE" w14:textId="45AD75F2" w:rsidR="008B1EEE" w:rsidRDefault="00024416" w:rsidP="008B1EEE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4D5FD757" wp14:editId="01C6E0DF">
            <wp:extent cx="3420745" cy="2052955"/>
            <wp:effectExtent l="0" t="0" r="8255" b="4445"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745" cy="205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3A352" w14:textId="726F4B51" w:rsidR="00056706" w:rsidRPr="00056706" w:rsidRDefault="00056706" w:rsidP="00056706">
      <w:pPr>
        <w:spacing w:after="0"/>
        <w:jc w:val="both"/>
        <w:rPr>
          <w:sz w:val="10"/>
        </w:rPr>
      </w:pPr>
      <w:r w:rsidRPr="00056706">
        <w:rPr>
          <w:sz w:val="10"/>
          <w:vertAlign w:val="superscript"/>
        </w:rPr>
        <w:t>1</w:t>
      </w:r>
      <w:r w:rsidRPr="00056706">
        <w:rPr>
          <w:sz w:val="10"/>
        </w:rPr>
        <w:t xml:space="preserve"> Short-term (less than a year) overseas visitor arrivals</w:t>
      </w:r>
      <w:r w:rsidR="00884423">
        <w:rPr>
          <w:sz w:val="10"/>
        </w:rPr>
        <w:t>. Original series</w:t>
      </w:r>
      <w:r w:rsidRPr="00056706">
        <w:rPr>
          <w:sz w:val="10"/>
        </w:rPr>
        <w:t>.</w:t>
      </w:r>
    </w:p>
    <w:p w14:paraId="63117CC8" w14:textId="7D49774C" w:rsidR="008B1EEE" w:rsidRPr="00056706" w:rsidRDefault="00056706" w:rsidP="008B1EEE">
      <w:pPr>
        <w:spacing w:after="0"/>
        <w:jc w:val="both"/>
        <w:rPr>
          <w:sz w:val="10"/>
        </w:rPr>
      </w:pPr>
      <w:r w:rsidRPr="00056706">
        <w:rPr>
          <w:sz w:val="10"/>
        </w:rPr>
        <w:t>Source: ABS 3401.0 Overseas Arrivals and Departures, Australia</w:t>
      </w:r>
      <w:r>
        <w:rPr>
          <w:sz w:val="10"/>
        </w:rPr>
        <w:t xml:space="preserve"> (Monthly).</w:t>
      </w:r>
    </w:p>
    <w:p w14:paraId="30ECEAC9" w14:textId="69D37F39" w:rsidR="008B1EEE" w:rsidRPr="00263AEC" w:rsidRDefault="006B7ECF" w:rsidP="008B1EEE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br w:type="column"/>
      </w:r>
      <w:r>
        <w:rPr>
          <w:sz w:val="16"/>
        </w:rPr>
        <w:t xml:space="preserve">The number of </w:t>
      </w:r>
      <w:r w:rsidRPr="006B7ECF">
        <w:rPr>
          <w:sz w:val="16"/>
          <w:lang w:val="en"/>
        </w:rPr>
        <w:t>overseas visitor</w:t>
      </w:r>
      <w:r>
        <w:rPr>
          <w:sz w:val="16"/>
          <w:lang w:val="en"/>
        </w:rPr>
        <w:t>s</w:t>
      </w:r>
      <w:r w:rsidRPr="006B7ECF">
        <w:rPr>
          <w:sz w:val="16"/>
          <w:lang w:val="en"/>
        </w:rPr>
        <w:t xml:space="preserve"> </w:t>
      </w:r>
      <w:r>
        <w:rPr>
          <w:sz w:val="16"/>
          <w:lang w:val="en"/>
        </w:rPr>
        <w:t>t</w:t>
      </w:r>
      <w:r w:rsidRPr="006B7ECF">
        <w:rPr>
          <w:sz w:val="16"/>
          <w:lang w:val="en"/>
        </w:rPr>
        <w:t>o Western Australia ha</w:t>
      </w:r>
      <w:r>
        <w:rPr>
          <w:sz w:val="16"/>
          <w:lang w:val="en"/>
        </w:rPr>
        <w:t xml:space="preserve">s </w:t>
      </w:r>
      <w:r w:rsidRPr="006B7ECF">
        <w:rPr>
          <w:sz w:val="16"/>
          <w:lang w:val="en"/>
        </w:rPr>
        <w:t>fallen due to COVID-19 travel restrictions</w:t>
      </w:r>
      <w:r w:rsidR="008B1EEE" w:rsidRPr="00263AEC">
        <w:rPr>
          <w:sz w:val="16"/>
        </w:rPr>
        <w:t>.</w:t>
      </w:r>
    </w:p>
    <w:p w14:paraId="0BF7EA9A" w14:textId="73067ABA" w:rsidR="008B1EEE" w:rsidRPr="006B7ECF" w:rsidRDefault="006B7ECF" w:rsidP="00902083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6B7ECF">
        <w:rPr>
          <w:sz w:val="16"/>
        </w:rPr>
        <w:t xml:space="preserve">Western Australia had </w:t>
      </w:r>
      <w:r w:rsidR="00AC239E">
        <w:rPr>
          <w:sz w:val="16"/>
        </w:rPr>
        <w:t>300</w:t>
      </w:r>
      <w:r w:rsidRPr="006B7ECF">
        <w:rPr>
          <w:sz w:val="16"/>
        </w:rPr>
        <w:t xml:space="preserve"> short-term overseas visitors arriving in </w:t>
      </w:r>
      <w:r w:rsidR="00AC239E">
        <w:rPr>
          <w:sz w:val="16"/>
        </w:rPr>
        <w:t>September 2020, 99.6</w:t>
      </w:r>
      <w:r w:rsidRPr="006B7ECF">
        <w:rPr>
          <w:sz w:val="16"/>
        </w:rPr>
        <w:t>% (</w:t>
      </w:r>
      <w:r w:rsidR="00AC239E">
        <w:rPr>
          <w:sz w:val="16"/>
        </w:rPr>
        <w:t>69,090</w:t>
      </w:r>
      <w:r w:rsidRPr="006B7ECF">
        <w:rPr>
          <w:sz w:val="16"/>
        </w:rPr>
        <w:t xml:space="preserve">) fewer than in </w:t>
      </w:r>
      <w:r w:rsidR="00AC239E">
        <w:rPr>
          <w:sz w:val="16"/>
        </w:rPr>
        <w:t>September</w:t>
      </w:r>
      <w:r w:rsidRPr="006B7ECF">
        <w:rPr>
          <w:sz w:val="16"/>
        </w:rPr>
        <w:t xml:space="preserve"> 2019</w:t>
      </w:r>
      <w:r w:rsidR="008B1EEE" w:rsidRPr="006B7ECF">
        <w:rPr>
          <w:sz w:val="16"/>
        </w:rPr>
        <w:t>.</w:t>
      </w:r>
    </w:p>
    <w:p w14:paraId="3BEDA122" w14:textId="25795114" w:rsidR="006B7ECF" w:rsidRDefault="006B7ECF" w:rsidP="008B1EEE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>Western Australia had</w:t>
      </w:r>
      <w:r w:rsidR="000D2A92">
        <w:rPr>
          <w:sz w:val="16"/>
        </w:rPr>
        <w:t xml:space="preserve"> fewer than </w:t>
      </w:r>
      <w:r w:rsidRPr="006B7ECF">
        <w:rPr>
          <w:sz w:val="16"/>
        </w:rPr>
        <w:t xml:space="preserve">10 arrivals on international student visas in </w:t>
      </w:r>
      <w:r w:rsidR="000D2A92">
        <w:rPr>
          <w:sz w:val="16"/>
        </w:rPr>
        <w:t>September</w:t>
      </w:r>
      <w:r w:rsidRPr="006B7ECF">
        <w:rPr>
          <w:sz w:val="16"/>
        </w:rPr>
        <w:t xml:space="preserve"> 2020, a decrease of </w:t>
      </w:r>
      <w:r w:rsidR="000D2A92">
        <w:rPr>
          <w:sz w:val="16"/>
        </w:rPr>
        <w:t>2,280</w:t>
      </w:r>
      <w:r w:rsidRPr="006B7ECF">
        <w:rPr>
          <w:sz w:val="16"/>
        </w:rPr>
        <w:t xml:space="preserve"> from </w:t>
      </w:r>
      <w:r w:rsidR="000D2A92">
        <w:rPr>
          <w:sz w:val="16"/>
        </w:rPr>
        <w:t>September</w:t>
      </w:r>
      <w:r w:rsidRPr="006B7ECF">
        <w:rPr>
          <w:sz w:val="16"/>
        </w:rPr>
        <w:t xml:space="preserve"> 2019</w:t>
      </w:r>
      <w:r>
        <w:rPr>
          <w:sz w:val="16"/>
        </w:rPr>
        <w:t>.</w:t>
      </w:r>
    </w:p>
    <w:p w14:paraId="51F0E234" w14:textId="1C53EF3A" w:rsidR="006B7ECF" w:rsidRDefault="006B7ECF" w:rsidP="008B1EEE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6B7ECF">
        <w:rPr>
          <w:sz w:val="16"/>
        </w:rPr>
        <w:t>Western Australia had 4</w:t>
      </w:r>
      <w:r w:rsidR="000D2A92">
        <w:rPr>
          <w:sz w:val="16"/>
        </w:rPr>
        <w:t>6,968</w:t>
      </w:r>
      <w:r w:rsidRPr="006B7ECF">
        <w:rPr>
          <w:sz w:val="16"/>
        </w:rPr>
        <w:t xml:space="preserve"> international students enrolled in </w:t>
      </w:r>
      <w:r w:rsidR="000D2A92">
        <w:rPr>
          <w:sz w:val="16"/>
        </w:rPr>
        <w:t>September 2020, 5</w:t>
      </w:r>
      <w:r w:rsidRPr="006B7ECF">
        <w:rPr>
          <w:sz w:val="16"/>
        </w:rPr>
        <w:t>% (2,</w:t>
      </w:r>
      <w:r w:rsidR="000D2A92">
        <w:rPr>
          <w:sz w:val="16"/>
        </w:rPr>
        <w:t>635</w:t>
      </w:r>
      <w:r w:rsidRPr="006B7ECF">
        <w:rPr>
          <w:sz w:val="16"/>
        </w:rPr>
        <w:t xml:space="preserve">) </w:t>
      </w:r>
      <w:r>
        <w:rPr>
          <w:sz w:val="16"/>
        </w:rPr>
        <w:t xml:space="preserve">fewer </w:t>
      </w:r>
      <w:r w:rsidRPr="006B7ECF">
        <w:rPr>
          <w:sz w:val="16"/>
        </w:rPr>
        <w:t xml:space="preserve">than </w:t>
      </w:r>
      <w:r>
        <w:rPr>
          <w:sz w:val="16"/>
        </w:rPr>
        <w:t xml:space="preserve">in </w:t>
      </w:r>
      <w:r w:rsidR="000D2A92">
        <w:rPr>
          <w:sz w:val="16"/>
        </w:rPr>
        <w:t>September</w:t>
      </w:r>
      <w:r>
        <w:rPr>
          <w:sz w:val="16"/>
        </w:rPr>
        <w:t xml:space="preserve"> </w:t>
      </w:r>
      <w:r w:rsidRPr="006B7ECF">
        <w:rPr>
          <w:sz w:val="16"/>
        </w:rPr>
        <w:t>2019.</w:t>
      </w:r>
    </w:p>
    <w:p w14:paraId="40EFD7A8" w14:textId="2E65374A" w:rsidR="008B1EEE" w:rsidRPr="00263AEC" w:rsidRDefault="006B7ECF" w:rsidP="008B1EEE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6B7ECF">
        <w:rPr>
          <w:sz w:val="16"/>
        </w:rPr>
        <w:t>While many students arrived before COVID-19 travel restrictions were introduced and remain enrolled in existing or new courses, ongoing travel restrictions are limiting the number of new enrolments from students offshore.</w:t>
      </w:r>
    </w:p>
    <w:p w14:paraId="4C312D55" w14:textId="77777777" w:rsidR="008B1EEE" w:rsidRDefault="008B1EEE" w:rsidP="008B1EEE">
      <w:pPr>
        <w:jc w:val="both"/>
        <w:rPr>
          <w:sz w:val="16"/>
        </w:rPr>
      </w:pPr>
      <w:r>
        <w:rPr>
          <w:sz w:val="16"/>
        </w:rPr>
        <w:br w:type="page"/>
      </w:r>
    </w:p>
    <w:p w14:paraId="5739A414" w14:textId="77777777" w:rsidR="00D746DC" w:rsidRPr="00237284" w:rsidRDefault="00D746DC" w:rsidP="00D746DC">
      <w:pPr>
        <w:pStyle w:val="BodyText"/>
        <w:spacing w:after="0"/>
      </w:pPr>
      <w:bookmarkStart w:id="8" w:name="_MALAYSIA"/>
      <w:bookmarkEnd w:id="8"/>
    </w:p>
    <w:p w14:paraId="595889A7" w14:textId="5F62AE96" w:rsidR="00D746DC" w:rsidRPr="00E97D11" w:rsidRDefault="006D7B16" w:rsidP="00E97D11">
      <w:pPr>
        <w:pStyle w:val="BodyText"/>
        <w:spacing w:after="0"/>
        <w:rPr>
          <w:b/>
          <w:sz w:val="20"/>
        </w:rPr>
      </w:pPr>
      <w:r>
        <w:rPr>
          <w:b/>
          <w:sz w:val="20"/>
        </w:rPr>
        <w:t>Western Australia’s</w:t>
      </w:r>
      <w:r w:rsidR="00884423">
        <w:rPr>
          <w:b/>
          <w:sz w:val="20"/>
        </w:rPr>
        <w:t xml:space="preserve"> </w:t>
      </w:r>
      <w:r>
        <w:rPr>
          <w:b/>
          <w:sz w:val="20"/>
        </w:rPr>
        <w:t>retail turnover</w:t>
      </w:r>
      <w:r w:rsidRPr="006D7B16">
        <w:rPr>
          <w:b/>
          <w:sz w:val="20"/>
          <w:vertAlign w:val="superscript"/>
        </w:rPr>
        <w:t>1</w:t>
      </w:r>
      <w:r>
        <w:rPr>
          <w:b/>
          <w:sz w:val="20"/>
        </w:rPr>
        <w:t>: Month</w:t>
      </w:r>
      <w:r w:rsidR="00884423">
        <w:rPr>
          <w:b/>
          <w:sz w:val="20"/>
        </w:rPr>
        <w:t>s</w:t>
      </w:r>
    </w:p>
    <w:p w14:paraId="34A5A535" w14:textId="16D115FA" w:rsidR="00D746DC" w:rsidRDefault="00A3262D" w:rsidP="00D746DC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0348EBF5" wp14:editId="601B6A7D">
            <wp:extent cx="3420745" cy="2049145"/>
            <wp:effectExtent l="0" t="0" r="8255" b="8255"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745" cy="204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EE17E" w14:textId="63E2D297" w:rsidR="00820809" w:rsidRPr="00820809" w:rsidRDefault="00820809" w:rsidP="00820809">
      <w:pPr>
        <w:spacing w:after="0"/>
        <w:jc w:val="both"/>
        <w:rPr>
          <w:sz w:val="10"/>
        </w:rPr>
      </w:pPr>
      <w:r>
        <w:rPr>
          <w:sz w:val="10"/>
        </w:rPr>
        <w:t>Note – A</w:t>
      </w:r>
      <w:r w:rsidRPr="00820809">
        <w:rPr>
          <w:sz w:val="10"/>
        </w:rPr>
        <w:t xml:space="preserve">xis does not start at zero. </w:t>
      </w:r>
      <w:r w:rsidRPr="00820809">
        <w:rPr>
          <w:sz w:val="10"/>
          <w:vertAlign w:val="superscript"/>
        </w:rPr>
        <w:t>1</w:t>
      </w:r>
      <w:r w:rsidRPr="00820809">
        <w:rPr>
          <w:sz w:val="10"/>
        </w:rPr>
        <w:t xml:space="preserve"> Current prices.</w:t>
      </w:r>
      <w:r>
        <w:rPr>
          <w:sz w:val="10"/>
        </w:rPr>
        <w:t xml:space="preserve"> Seasonally adjusted</w:t>
      </w:r>
      <w:r w:rsidR="00884423">
        <w:rPr>
          <w:sz w:val="10"/>
        </w:rPr>
        <w:t xml:space="preserve"> series</w:t>
      </w:r>
      <w:r w:rsidRPr="00820809">
        <w:rPr>
          <w:sz w:val="10"/>
        </w:rPr>
        <w:t xml:space="preserve"> </w:t>
      </w:r>
      <w:r w:rsidRPr="00820809">
        <w:rPr>
          <w:sz w:val="10"/>
          <w:vertAlign w:val="superscript"/>
        </w:rPr>
        <w:t>2</w:t>
      </w:r>
      <w:r w:rsidRPr="00820809">
        <w:rPr>
          <w:sz w:val="10"/>
        </w:rPr>
        <w:t xml:space="preserve"> Includes newspapers and books; other recreational goods; pharmaceutical, cosmetic and toiletry goods; and other retailing.</w:t>
      </w:r>
    </w:p>
    <w:p w14:paraId="51BFBE6A" w14:textId="50F7A51E" w:rsidR="00D746DC" w:rsidRDefault="00820809" w:rsidP="00820809">
      <w:pPr>
        <w:spacing w:after="0"/>
        <w:jc w:val="both"/>
        <w:rPr>
          <w:sz w:val="10"/>
        </w:rPr>
      </w:pPr>
      <w:r w:rsidRPr="00820809">
        <w:rPr>
          <w:sz w:val="10"/>
        </w:rPr>
        <w:t>Source: ABS 8501.0 Retail Trade, Australia</w:t>
      </w:r>
      <w:r>
        <w:rPr>
          <w:sz w:val="10"/>
        </w:rPr>
        <w:t xml:space="preserve"> (Monthly)</w:t>
      </w:r>
      <w:r w:rsidR="00D746DC">
        <w:rPr>
          <w:sz w:val="10"/>
        </w:rPr>
        <w:t>.</w:t>
      </w:r>
    </w:p>
    <w:p w14:paraId="43F8D262" w14:textId="77777777" w:rsidR="00D746DC" w:rsidRDefault="00D746DC" w:rsidP="00D746DC">
      <w:pPr>
        <w:spacing w:after="0"/>
        <w:jc w:val="both"/>
        <w:rPr>
          <w:sz w:val="16"/>
        </w:rPr>
      </w:pPr>
    </w:p>
    <w:p w14:paraId="1F049ABC" w14:textId="77777777" w:rsidR="00D746DC" w:rsidRPr="00CB298C" w:rsidRDefault="00D746DC" w:rsidP="00D746DC">
      <w:pPr>
        <w:spacing w:after="0"/>
        <w:jc w:val="both"/>
        <w:rPr>
          <w:sz w:val="16"/>
        </w:rPr>
      </w:pPr>
    </w:p>
    <w:p w14:paraId="0EB0D154" w14:textId="77777777" w:rsidR="00D746DC" w:rsidRDefault="00D746DC" w:rsidP="00D746DC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305B2B61" w14:textId="77777777" w:rsidR="00D746DC" w:rsidRDefault="00D746DC" w:rsidP="00D746DC">
      <w:pPr>
        <w:spacing w:after="0"/>
        <w:jc w:val="both"/>
        <w:rPr>
          <w:sz w:val="16"/>
        </w:rPr>
      </w:pPr>
    </w:p>
    <w:p w14:paraId="5DEC2340" w14:textId="4B290063" w:rsidR="00D746DC" w:rsidRDefault="00D746DC" w:rsidP="00DB2279">
      <w:pPr>
        <w:pStyle w:val="BodyText"/>
        <w:spacing w:after="0"/>
        <w:jc w:val="both"/>
        <w:rPr>
          <w:sz w:val="16"/>
        </w:rPr>
      </w:pPr>
    </w:p>
    <w:p w14:paraId="47112F22" w14:textId="30F7D5CB" w:rsidR="00D746DC" w:rsidRPr="00CB298C" w:rsidRDefault="001B38E8" w:rsidP="00D746D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 xml:space="preserve">The value of </w:t>
      </w:r>
      <w:r w:rsidRPr="001B38E8">
        <w:rPr>
          <w:sz w:val="16"/>
        </w:rPr>
        <w:t xml:space="preserve">Western Australia’s retail trade </w:t>
      </w:r>
      <w:r w:rsidR="00087862">
        <w:rPr>
          <w:sz w:val="16"/>
        </w:rPr>
        <w:t>fell for the 2nd consecutive month in September 2020, although the level of retail trade remains high</w:t>
      </w:r>
      <w:r w:rsidR="00D746DC" w:rsidRPr="008B69DD">
        <w:rPr>
          <w:sz w:val="16"/>
        </w:rPr>
        <w:t>.</w:t>
      </w:r>
    </w:p>
    <w:p w14:paraId="750EF239" w14:textId="2160A0D4" w:rsidR="001B38E8" w:rsidRPr="001B38E8" w:rsidRDefault="003C4C10" w:rsidP="003C4C10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 xml:space="preserve">The value of </w:t>
      </w:r>
      <w:r w:rsidR="001B38E8">
        <w:rPr>
          <w:sz w:val="16"/>
        </w:rPr>
        <w:t>Western Australia’s</w:t>
      </w:r>
      <w:r w:rsidR="00A31BF4">
        <w:rPr>
          <w:sz w:val="16"/>
        </w:rPr>
        <w:t xml:space="preserve"> </w:t>
      </w:r>
      <w:r w:rsidR="00505A45">
        <w:rPr>
          <w:sz w:val="16"/>
        </w:rPr>
        <w:t>r</w:t>
      </w:r>
      <w:r w:rsidR="00505A45" w:rsidRPr="001B38E8">
        <w:rPr>
          <w:sz w:val="16"/>
        </w:rPr>
        <w:t>etail</w:t>
      </w:r>
      <w:r w:rsidR="00405778">
        <w:rPr>
          <w:sz w:val="16"/>
        </w:rPr>
        <w:t xml:space="preserve"> trade fell 1.7</w:t>
      </w:r>
      <w:r w:rsidR="001B38E8" w:rsidRPr="001B38E8">
        <w:rPr>
          <w:sz w:val="16"/>
        </w:rPr>
        <w:t>% to $3.</w:t>
      </w:r>
      <w:r w:rsidR="00405778">
        <w:rPr>
          <w:sz w:val="16"/>
        </w:rPr>
        <w:t>36</w:t>
      </w:r>
      <w:r>
        <w:rPr>
          <w:sz w:val="16"/>
        </w:rPr>
        <w:t> </w:t>
      </w:r>
      <w:r w:rsidR="001B38E8" w:rsidRPr="001B38E8">
        <w:rPr>
          <w:sz w:val="16"/>
        </w:rPr>
        <w:t xml:space="preserve">billion in </w:t>
      </w:r>
      <w:r w:rsidR="00405778">
        <w:rPr>
          <w:sz w:val="16"/>
        </w:rPr>
        <w:t>September</w:t>
      </w:r>
      <w:r w:rsidR="001B38E8" w:rsidRPr="001B38E8">
        <w:rPr>
          <w:sz w:val="16"/>
        </w:rPr>
        <w:t xml:space="preserve"> 2020, following </w:t>
      </w:r>
      <w:r w:rsidR="00713CA0">
        <w:rPr>
          <w:sz w:val="16"/>
        </w:rPr>
        <w:t xml:space="preserve">a </w:t>
      </w:r>
      <w:r w:rsidR="00405778">
        <w:rPr>
          <w:sz w:val="16"/>
        </w:rPr>
        <w:t>fall of 0.4</w:t>
      </w:r>
      <w:r w:rsidR="001B38E8" w:rsidRPr="001B38E8">
        <w:rPr>
          <w:sz w:val="16"/>
        </w:rPr>
        <w:t xml:space="preserve">% in </w:t>
      </w:r>
      <w:r w:rsidR="00405778">
        <w:rPr>
          <w:sz w:val="16"/>
        </w:rPr>
        <w:t>August</w:t>
      </w:r>
      <w:r w:rsidR="001B38E8">
        <w:rPr>
          <w:sz w:val="16"/>
        </w:rPr>
        <w:t xml:space="preserve"> </w:t>
      </w:r>
      <w:r w:rsidR="001B38E8" w:rsidRPr="001B38E8">
        <w:rPr>
          <w:sz w:val="16"/>
        </w:rPr>
        <w:t xml:space="preserve">2020. The fall in </w:t>
      </w:r>
      <w:r w:rsidR="00405778">
        <w:rPr>
          <w:sz w:val="16"/>
        </w:rPr>
        <w:t>September</w:t>
      </w:r>
      <w:r w:rsidR="001B38E8" w:rsidRPr="001B38E8">
        <w:rPr>
          <w:sz w:val="16"/>
        </w:rPr>
        <w:t xml:space="preserve"> was driven by:</w:t>
      </w:r>
    </w:p>
    <w:p w14:paraId="596F5AC2" w14:textId="73AD0DF6" w:rsidR="001B38E8" w:rsidRPr="001B38E8" w:rsidRDefault="001B38E8" w:rsidP="005A3CC2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1B38E8">
        <w:rPr>
          <w:sz w:val="16"/>
        </w:rPr>
        <w:t>Househ</w:t>
      </w:r>
      <w:r w:rsidR="00ED0A91">
        <w:rPr>
          <w:sz w:val="16"/>
        </w:rPr>
        <w:t>old goods (down 5</w:t>
      </w:r>
      <w:r w:rsidRPr="001B38E8">
        <w:rPr>
          <w:sz w:val="16"/>
        </w:rPr>
        <w:t>% to $</w:t>
      </w:r>
      <w:r w:rsidR="00ED0A91">
        <w:rPr>
          <w:sz w:val="16"/>
        </w:rPr>
        <w:t>577</w:t>
      </w:r>
      <w:r>
        <w:rPr>
          <w:sz w:val="16"/>
        </w:rPr>
        <w:t xml:space="preserve"> </w:t>
      </w:r>
      <w:r w:rsidRPr="001B38E8">
        <w:rPr>
          <w:sz w:val="16"/>
        </w:rPr>
        <w:t>million).</w:t>
      </w:r>
    </w:p>
    <w:p w14:paraId="07E21B42" w14:textId="2D4C87EB" w:rsidR="00ED0A91" w:rsidRDefault="00ED0A91" w:rsidP="005A3CC2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>
        <w:rPr>
          <w:sz w:val="16"/>
        </w:rPr>
        <w:t>O</w:t>
      </w:r>
      <w:r w:rsidRPr="00B40A97">
        <w:rPr>
          <w:sz w:val="16"/>
        </w:rPr>
        <w:t>ther retailing</w:t>
      </w:r>
      <w:r w:rsidRPr="00B40A97">
        <w:rPr>
          <w:sz w:val="16"/>
          <w:vertAlign w:val="superscript"/>
        </w:rPr>
        <w:t>2</w:t>
      </w:r>
      <w:r>
        <w:rPr>
          <w:sz w:val="16"/>
        </w:rPr>
        <w:t xml:space="preserve"> (down 3% to $461 million)</w:t>
      </w:r>
      <w:r w:rsidR="00713CA0">
        <w:rPr>
          <w:sz w:val="16"/>
        </w:rPr>
        <w:t>.</w:t>
      </w:r>
    </w:p>
    <w:p w14:paraId="1FF9AD9A" w14:textId="4EBAB471" w:rsidR="001B38E8" w:rsidRPr="001B38E8" w:rsidRDefault="001B38E8" w:rsidP="005A3CC2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1B38E8">
        <w:rPr>
          <w:sz w:val="16"/>
        </w:rPr>
        <w:t xml:space="preserve">Clothing, footwear and personal accessories (down </w:t>
      </w:r>
      <w:r w:rsidR="00ED0A91">
        <w:rPr>
          <w:sz w:val="16"/>
        </w:rPr>
        <w:t>3</w:t>
      </w:r>
      <w:r w:rsidRPr="001B38E8">
        <w:rPr>
          <w:sz w:val="16"/>
        </w:rPr>
        <w:t>% to $</w:t>
      </w:r>
      <w:r w:rsidR="00ED0A91">
        <w:rPr>
          <w:sz w:val="16"/>
        </w:rPr>
        <w:t>198</w:t>
      </w:r>
      <w:r>
        <w:rPr>
          <w:sz w:val="16"/>
        </w:rPr>
        <w:t xml:space="preserve"> </w:t>
      </w:r>
      <w:r w:rsidRPr="001B38E8">
        <w:rPr>
          <w:sz w:val="16"/>
        </w:rPr>
        <w:t>million).</w:t>
      </w:r>
    </w:p>
    <w:p w14:paraId="4885C0B7" w14:textId="05961CF4" w:rsidR="001B38E8" w:rsidRPr="001B38E8" w:rsidRDefault="00ED0A91" w:rsidP="005A3CC2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>
        <w:rPr>
          <w:sz w:val="16"/>
        </w:rPr>
        <w:t>C</w:t>
      </w:r>
      <w:r w:rsidRPr="00B40A97">
        <w:rPr>
          <w:sz w:val="16"/>
        </w:rPr>
        <w:t>afes, restaurants and takeaway food services</w:t>
      </w:r>
      <w:r>
        <w:rPr>
          <w:sz w:val="16"/>
        </w:rPr>
        <w:t xml:space="preserve"> (down 1% to $528 million).</w:t>
      </w:r>
    </w:p>
    <w:p w14:paraId="4E3F092B" w14:textId="7BCF80BF" w:rsidR="001B38E8" w:rsidRPr="001B38E8" w:rsidRDefault="001B38E8" w:rsidP="005A3CC2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1B38E8">
        <w:rPr>
          <w:sz w:val="16"/>
        </w:rPr>
        <w:t>Food (down 0.2% to $1.41</w:t>
      </w:r>
      <w:r>
        <w:rPr>
          <w:sz w:val="16"/>
        </w:rPr>
        <w:t xml:space="preserve"> </w:t>
      </w:r>
      <w:r w:rsidRPr="001B38E8">
        <w:rPr>
          <w:sz w:val="16"/>
        </w:rPr>
        <w:t>billion).</w:t>
      </w:r>
    </w:p>
    <w:p w14:paraId="31E93F08" w14:textId="2F2B454E" w:rsidR="00D746DC" w:rsidRPr="00B40A97" w:rsidRDefault="003C4C10" w:rsidP="00902083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 xml:space="preserve">The value of </w:t>
      </w:r>
      <w:r w:rsidR="00D746DC" w:rsidRPr="00B40A97">
        <w:rPr>
          <w:sz w:val="16"/>
        </w:rPr>
        <w:t>Western Australia</w:t>
      </w:r>
      <w:r w:rsidR="00B40A97" w:rsidRPr="00B40A97">
        <w:rPr>
          <w:sz w:val="16"/>
        </w:rPr>
        <w:t xml:space="preserve">’s retail trade </w:t>
      </w:r>
      <w:r w:rsidR="00400C03">
        <w:rPr>
          <w:sz w:val="16"/>
        </w:rPr>
        <w:t>in department stores</w:t>
      </w:r>
      <w:r w:rsidR="00400C03" w:rsidRPr="00B40A97">
        <w:rPr>
          <w:sz w:val="16"/>
        </w:rPr>
        <w:t xml:space="preserve"> </w:t>
      </w:r>
      <w:r w:rsidR="00B40A97" w:rsidRPr="00B40A97">
        <w:rPr>
          <w:sz w:val="16"/>
        </w:rPr>
        <w:t xml:space="preserve">rose </w:t>
      </w:r>
      <w:r w:rsidR="00400C03">
        <w:rPr>
          <w:sz w:val="16"/>
        </w:rPr>
        <w:t xml:space="preserve">0.2% to $188 million </w:t>
      </w:r>
      <w:r w:rsidR="00B40A97" w:rsidRPr="00B40A97">
        <w:rPr>
          <w:sz w:val="16"/>
        </w:rPr>
        <w:t xml:space="preserve">in </w:t>
      </w:r>
      <w:r w:rsidR="00400C03">
        <w:rPr>
          <w:sz w:val="16"/>
        </w:rPr>
        <w:t>September</w:t>
      </w:r>
      <w:r w:rsidR="00B40A97" w:rsidRPr="00B40A97">
        <w:rPr>
          <w:sz w:val="16"/>
        </w:rPr>
        <w:t xml:space="preserve"> 2020</w:t>
      </w:r>
      <w:r w:rsidR="00D746DC" w:rsidRPr="00B40A97">
        <w:rPr>
          <w:sz w:val="16"/>
        </w:rPr>
        <w:t>.</w:t>
      </w:r>
    </w:p>
    <w:p w14:paraId="5C23F18B" w14:textId="77777777" w:rsidR="00D746DC" w:rsidRDefault="00D746DC" w:rsidP="00D746DC">
      <w:pPr>
        <w:pStyle w:val="BodyText"/>
        <w:spacing w:after="0"/>
        <w:jc w:val="both"/>
        <w:rPr>
          <w:sz w:val="16"/>
        </w:rPr>
        <w:sectPr w:rsidR="00D746DC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69F640F4" w14:textId="12A1B950" w:rsidR="00D746DC" w:rsidRDefault="004028B9" w:rsidP="00E97D11">
      <w:pPr>
        <w:pStyle w:val="BodyText"/>
        <w:spacing w:after="0"/>
        <w:rPr>
          <w:b/>
          <w:sz w:val="20"/>
        </w:rPr>
      </w:pPr>
      <w:r>
        <w:rPr>
          <w:b/>
          <w:sz w:val="20"/>
        </w:rPr>
        <w:t>Western Australia’s housing finance</w:t>
      </w:r>
      <w:r w:rsidR="00884423">
        <w:rPr>
          <w:b/>
          <w:sz w:val="20"/>
        </w:rPr>
        <w:t xml:space="preserve"> </w:t>
      </w:r>
      <w:r>
        <w:rPr>
          <w:b/>
          <w:sz w:val="20"/>
        </w:rPr>
        <w:t>commitments</w:t>
      </w:r>
      <w:r w:rsidRPr="004028B9">
        <w:rPr>
          <w:b/>
          <w:sz w:val="20"/>
          <w:vertAlign w:val="superscript"/>
        </w:rPr>
        <w:t>1</w:t>
      </w:r>
      <w:r>
        <w:rPr>
          <w:b/>
          <w:sz w:val="20"/>
        </w:rPr>
        <w:t>: Month</w:t>
      </w:r>
      <w:r w:rsidR="00884423">
        <w:rPr>
          <w:b/>
          <w:sz w:val="20"/>
        </w:rPr>
        <w:t>s</w:t>
      </w:r>
    </w:p>
    <w:p w14:paraId="2BBB2C3D" w14:textId="2E23B8FB" w:rsidR="004028B9" w:rsidRPr="004028B9" w:rsidRDefault="00990166" w:rsidP="00E97D11">
      <w:pPr>
        <w:pStyle w:val="BodyText"/>
        <w:spacing w:after="0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66F277D3" wp14:editId="2DB5AFBD">
            <wp:extent cx="3411855" cy="2044700"/>
            <wp:effectExtent l="0" t="0" r="0" b="0"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855" cy="204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6442C" w14:textId="29FF0ABE" w:rsidR="00C62D73" w:rsidRDefault="00E55556" w:rsidP="00C62D73">
      <w:pPr>
        <w:spacing w:after="0"/>
        <w:rPr>
          <w:rFonts w:cs="Arial"/>
          <w:sz w:val="10"/>
          <w:szCs w:val="20"/>
        </w:rPr>
      </w:pPr>
      <w:r w:rsidRPr="00E55556">
        <w:rPr>
          <w:sz w:val="10"/>
          <w:vertAlign w:val="superscript"/>
        </w:rPr>
        <w:t>1</w:t>
      </w:r>
      <w:r w:rsidRPr="00E55556">
        <w:rPr>
          <w:sz w:val="10"/>
        </w:rPr>
        <w:t xml:space="preserve"> </w:t>
      </w:r>
      <w:r w:rsidR="00C62D73">
        <w:rPr>
          <w:rFonts w:cs="Arial"/>
          <w:sz w:val="10"/>
          <w:szCs w:val="20"/>
        </w:rPr>
        <w:t>Value of new loan commitments for housing (excluding refinancing) by owner-occupiers and investors.</w:t>
      </w:r>
      <w:r w:rsidR="0049414A">
        <w:rPr>
          <w:rFonts w:cs="Arial"/>
          <w:sz w:val="10"/>
          <w:szCs w:val="20"/>
        </w:rPr>
        <w:t xml:space="preserve"> </w:t>
      </w:r>
      <w:r w:rsidR="005E20D3">
        <w:rPr>
          <w:rFonts w:cs="Arial"/>
          <w:sz w:val="10"/>
          <w:szCs w:val="20"/>
        </w:rPr>
        <w:t xml:space="preserve">Current prices. </w:t>
      </w:r>
      <w:r w:rsidR="0049414A">
        <w:rPr>
          <w:rFonts w:cs="Arial"/>
          <w:sz w:val="10"/>
          <w:szCs w:val="20"/>
        </w:rPr>
        <w:t>Original series.</w:t>
      </w:r>
    </w:p>
    <w:p w14:paraId="1FD23A1D" w14:textId="1D6E22C2" w:rsidR="00D746DC" w:rsidRDefault="00C62D73" w:rsidP="00C62D73">
      <w:pPr>
        <w:pStyle w:val="BodyText"/>
        <w:spacing w:after="0"/>
        <w:jc w:val="both"/>
        <w:rPr>
          <w:sz w:val="10"/>
        </w:rPr>
      </w:pPr>
      <w:r w:rsidRPr="0006430D">
        <w:rPr>
          <w:rFonts w:cs="Arial"/>
          <w:sz w:val="10"/>
          <w:szCs w:val="20"/>
        </w:rPr>
        <w:t xml:space="preserve">Source: ABS </w:t>
      </w:r>
      <w:r>
        <w:rPr>
          <w:rFonts w:cs="Arial"/>
          <w:sz w:val="10"/>
          <w:szCs w:val="20"/>
        </w:rPr>
        <w:t>5601.0 Lending Indicators, Australia (Monthly</w:t>
      </w:r>
      <w:r w:rsidR="00E55556">
        <w:rPr>
          <w:sz w:val="10"/>
        </w:rPr>
        <w:t>)</w:t>
      </w:r>
      <w:r w:rsidR="00D746DC" w:rsidRPr="00B720D6">
        <w:rPr>
          <w:sz w:val="10"/>
        </w:rPr>
        <w:t>.</w:t>
      </w:r>
    </w:p>
    <w:p w14:paraId="5F0C3C81" w14:textId="77777777" w:rsidR="00D746DC" w:rsidRDefault="00D746DC" w:rsidP="00D746DC">
      <w:pPr>
        <w:pStyle w:val="BodyText"/>
        <w:spacing w:after="0"/>
        <w:jc w:val="both"/>
        <w:rPr>
          <w:sz w:val="16"/>
        </w:rPr>
      </w:pPr>
    </w:p>
    <w:p w14:paraId="47A8AC2F" w14:textId="77777777" w:rsidR="00D746DC" w:rsidRPr="00403DB4" w:rsidRDefault="00D746DC" w:rsidP="00D746DC">
      <w:pPr>
        <w:pStyle w:val="BodyText"/>
        <w:spacing w:after="0"/>
        <w:jc w:val="both"/>
        <w:rPr>
          <w:sz w:val="16"/>
        </w:rPr>
      </w:pPr>
    </w:p>
    <w:p w14:paraId="2CE26B54" w14:textId="7E138367" w:rsidR="00D746DC" w:rsidRPr="004028B9" w:rsidRDefault="00D746DC" w:rsidP="00902083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4028B9">
        <w:rPr>
          <w:sz w:val="16"/>
        </w:rPr>
        <w:br w:type="column"/>
      </w:r>
      <w:r w:rsidR="004028B9" w:rsidRPr="004028B9">
        <w:rPr>
          <w:sz w:val="16"/>
        </w:rPr>
        <w:t>T</w:t>
      </w:r>
      <w:r w:rsidR="004028B9" w:rsidRPr="004028B9">
        <w:rPr>
          <w:sz w:val="16"/>
          <w:lang w:val="en"/>
        </w:rPr>
        <w:t xml:space="preserve">he WA Government’s housing stimulus package and the Australian Government’s Homebuilder Scheme are contributing to a recovery in </w:t>
      </w:r>
      <w:r w:rsidR="004028B9" w:rsidRPr="004028B9">
        <w:rPr>
          <w:sz w:val="16"/>
        </w:rPr>
        <w:t>housing finance</w:t>
      </w:r>
      <w:r w:rsidR="00DE1773">
        <w:rPr>
          <w:sz w:val="16"/>
        </w:rPr>
        <w:t xml:space="preserve"> and dwelling approvals</w:t>
      </w:r>
      <w:r w:rsidR="004028B9" w:rsidRPr="004028B9">
        <w:rPr>
          <w:sz w:val="16"/>
        </w:rPr>
        <w:t xml:space="preserve"> in Western Australia</w:t>
      </w:r>
      <w:r w:rsidRPr="004028B9">
        <w:rPr>
          <w:sz w:val="16"/>
        </w:rPr>
        <w:t>.</w:t>
      </w:r>
    </w:p>
    <w:p w14:paraId="053C50B5" w14:textId="3D085DB4" w:rsidR="00D746DC" w:rsidRPr="004028B9" w:rsidRDefault="004028B9" w:rsidP="00902083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4028B9">
        <w:rPr>
          <w:sz w:val="16"/>
        </w:rPr>
        <w:t>The value of Western Australia’s housing finance commitments was $</w:t>
      </w:r>
      <w:r w:rsidR="005270A9">
        <w:rPr>
          <w:sz w:val="16"/>
        </w:rPr>
        <w:t>2.1</w:t>
      </w:r>
      <w:r w:rsidRPr="004028B9">
        <w:rPr>
          <w:sz w:val="16"/>
        </w:rPr>
        <w:t xml:space="preserve"> billion in </w:t>
      </w:r>
      <w:r w:rsidR="005270A9">
        <w:rPr>
          <w:sz w:val="16"/>
        </w:rPr>
        <w:t>September</w:t>
      </w:r>
      <w:r w:rsidR="00713CA0">
        <w:rPr>
          <w:sz w:val="16"/>
        </w:rPr>
        <w:t> </w:t>
      </w:r>
      <w:r w:rsidR="005270A9">
        <w:rPr>
          <w:sz w:val="16"/>
        </w:rPr>
        <w:t>2020, 67</w:t>
      </w:r>
      <w:r w:rsidRPr="004028B9">
        <w:rPr>
          <w:sz w:val="16"/>
        </w:rPr>
        <w:t xml:space="preserve">% higher than in </w:t>
      </w:r>
      <w:r w:rsidR="005270A9">
        <w:rPr>
          <w:sz w:val="16"/>
        </w:rPr>
        <w:t>September</w:t>
      </w:r>
      <w:r w:rsidRPr="004028B9">
        <w:rPr>
          <w:sz w:val="16"/>
        </w:rPr>
        <w:t xml:space="preserve"> 2019</w:t>
      </w:r>
      <w:r w:rsidR="00D746DC" w:rsidRPr="004028B9">
        <w:rPr>
          <w:sz w:val="16"/>
        </w:rPr>
        <w:t>.</w:t>
      </w:r>
    </w:p>
    <w:p w14:paraId="4F6365D8" w14:textId="5203BBC9" w:rsidR="004028B9" w:rsidRPr="004028B9" w:rsidRDefault="004028B9" w:rsidP="005E20D3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4028B9">
        <w:rPr>
          <w:sz w:val="16"/>
        </w:rPr>
        <w:t xml:space="preserve">Between </w:t>
      </w:r>
      <w:r w:rsidR="005270A9">
        <w:rPr>
          <w:sz w:val="16"/>
        </w:rPr>
        <w:t>September</w:t>
      </w:r>
      <w:r w:rsidRPr="004028B9">
        <w:rPr>
          <w:sz w:val="16"/>
        </w:rPr>
        <w:t xml:space="preserve"> 2019 and 2020, </w:t>
      </w:r>
      <w:r w:rsidR="000B54E4">
        <w:rPr>
          <w:sz w:val="16"/>
        </w:rPr>
        <w:t>Western Australia’s</w:t>
      </w:r>
      <w:r w:rsidR="00A31BF4">
        <w:rPr>
          <w:sz w:val="16"/>
        </w:rPr>
        <w:t xml:space="preserve"> </w:t>
      </w:r>
      <w:r w:rsidRPr="004028B9">
        <w:rPr>
          <w:sz w:val="16"/>
        </w:rPr>
        <w:t>housing finance commitments for:</w:t>
      </w:r>
    </w:p>
    <w:p w14:paraId="3347022F" w14:textId="393B2946" w:rsidR="004028B9" w:rsidRPr="004028B9" w:rsidRDefault="005270A9" w:rsidP="005A3CC2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>
        <w:rPr>
          <w:sz w:val="16"/>
        </w:rPr>
        <w:t>Owner-occupiers rose 71</w:t>
      </w:r>
      <w:r w:rsidR="004028B9" w:rsidRPr="004028B9">
        <w:rPr>
          <w:sz w:val="16"/>
        </w:rPr>
        <w:t>% to $1.</w:t>
      </w:r>
      <w:r>
        <w:rPr>
          <w:sz w:val="16"/>
        </w:rPr>
        <w:t>8</w:t>
      </w:r>
      <w:r w:rsidR="004028B9">
        <w:rPr>
          <w:sz w:val="16"/>
        </w:rPr>
        <w:t xml:space="preserve"> </w:t>
      </w:r>
      <w:r w:rsidR="004028B9" w:rsidRPr="004028B9">
        <w:rPr>
          <w:sz w:val="16"/>
        </w:rPr>
        <w:t>billion.</w:t>
      </w:r>
    </w:p>
    <w:p w14:paraId="462BA26F" w14:textId="73BDF804" w:rsidR="004028B9" w:rsidRPr="004028B9" w:rsidRDefault="005270A9" w:rsidP="005A3CC2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>
        <w:rPr>
          <w:sz w:val="16"/>
        </w:rPr>
        <w:t>Investors rose 47% to $320</w:t>
      </w:r>
      <w:r w:rsidR="004028B9">
        <w:rPr>
          <w:sz w:val="16"/>
        </w:rPr>
        <w:t xml:space="preserve"> </w:t>
      </w:r>
      <w:r w:rsidR="004028B9" w:rsidRPr="004028B9">
        <w:rPr>
          <w:sz w:val="16"/>
        </w:rPr>
        <w:t>million.</w:t>
      </w:r>
    </w:p>
    <w:p w14:paraId="183F4ADC" w14:textId="43E94A3C" w:rsidR="00D746DC" w:rsidRPr="00464B51" w:rsidRDefault="00464B51" w:rsidP="00464B51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464B51">
        <w:rPr>
          <w:sz w:val="16"/>
        </w:rPr>
        <w:t>The value of Western Australia’s fixed</w:t>
      </w:r>
      <w:r w:rsidRPr="00464B51">
        <w:rPr>
          <w:sz w:val="16"/>
        </w:rPr>
        <w:noBreakHyphen/>
        <w:t>term loans to small and medium</w:t>
      </w:r>
      <w:r w:rsidRPr="00464B51">
        <w:rPr>
          <w:sz w:val="16"/>
        </w:rPr>
        <w:noBreakHyphen/>
        <w:t>sized businesses for constructing or purchasing property was $15</w:t>
      </w:r>
      <w:r w:rsidR="005270A9">
        <w:rPr>
          <w:sz w:val="16"/>
        </w:rPr>
        <w:t>2</w:t>
      </w:r>
      <w:r w:rsidRPr="00464B51">
        <w:rPr>
          <w:sz w:val="16"/>
        </w:rPr>
        <w:t xml:space="preserve"> million in </w:t>
      </w:r>
      <w:r w:rsidR="005270A9">
        <w:rPr>
          <w:sz w:val="16"/>
        </w:rPr>
        <w:t>September 2020, 1</w:t>
      </w:r>
      <w:r w:rsidRPr="00464B51">
        <w:rPr>
          <w:sz w:val="16"/>
        </w:rPr>
        <w:t xml:space="preserve">% </w:t>
      </w:r>
      <w:r w:rsidR="005270A9">
        <w:rPr>
          <w:sz w:val="16"/>
        </w:rPr>
        <w:t>high</w:t>
      </w:r>
      <w:r w:rsidRPr="00464B51">
        <w:rPr>
          <w:sz w:val="16"/>
        </w:rPr>
        <w:t xml:space="preserve">er than in </w:t>
      </w:r>
      <w:r w:rsidR="005270A9">
        <w:rPr>
          <w:sz w:val="16"/>
        </w:rPr>
        <w:t>September</w:t>
      </w:r>
      <w:r w:rsidRPr="00464B51">
        <w:rPr>
          <w:sz w:val="16"/>
        </w:rPr>
        <w:t xml:space="preserve"> 2019</w:t>
      </w:r>
      <w:r w:rsidR="00D746DC" w:rsidRPr="00464B51">
        <w:rPr>
          <w:sz w:val="16"/>
        </w:rPr>
        <w:t>.</w:t>
      </w:r>
    </w:p>
    <w:p w14:paraId="4F2798A3" w14:textId="77777777" w:rsidR="00D746DC" w:rsidRDefault="00D746DC" w:rsidP="00D746DC">
      <w:pPr>
        <w:pStyle w:val="BodyText"/>
        <w:spacing w:after="0"/>
        <w:jc w:val="both"/>
        <w:rPr>
          <w:sz w:val="16"/>
        </w:rPr>
        <w:sectPr w:rsidR="00D746DC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3D178054" w14:textId="16CA3825" w:rsidR="00D746DC" w:rsidRPr="00E97D11" w:rsidRDefault="002570AD" w:rsidP="00E97D11">
      <w:pPr>
        <w:pStyle w:val="BodyText"/>
        <w:spacing w:after="0"/>
        <w:rPr>
          <w:b/>
          <w:sz w:val="20"/>
        </w:rPr>
      </w:pPr>
      <w:r>
        <w:rPr>
          <w:b/>
          <w:sz w:val="20"/>
        </w:rPr>
        <w:t>Western Australia’s dwelling approvals</w:t>
      </w:r>
      <w:r w:rsidR="00E471D3" w:rsidRPr="00E471D3">
        <w:rPr>
          <w:b/>
          <w:sz w:val="20"/>
          <w:vertAlign w:val="superscript"/>
        </w:rPr>
        <w:t>1</w:t>
      </w:r>
      <w:r>
        <w:rPr>
          <w:b/>
          <w:sz w:val="20"/>
        </w:rPr>
        <w:t>: Month</w:t>
      </w:r>
      <w:r w:rsidR="0049414A">
        <w:rPr>
          <w:b/>
          <w:sz w:val="20"/>
        </w:rPr>
        <w:t>s</w:t>
      </w:r>
    </w:p>
    <w:p w14:paraId="49A2EB8F" w14:textId="60A98601" w:rsidR="00D746DC" w:rsidRDefault="009D077D" w:rsidP="00D746DC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2EA9155B" wp14:editId="1CF0E5B8">
            <wp:extent cx="3420745" cy="2049145"/>
            <wp:effectExtent l="0" t="0" r="8255" b="8255"/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745" cy="204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58596" w14:textId="7EF6A584" w:rsidR="00C62D73" w:rsidRPr="00C62D73" w:rsidRDefault="00C62D73" w:rsidP="00C62D73">
      <w:pPr>
        <w:pStyle w:val="BodyText"/>
        <w:spacing w:after="0"/>
        <w:jc w:val="both"/>
        <w:rPr>
          <w:sz w:val="10"/>
        </w:rPr>
      </w:pPr>
      <w:r w:rsidRPr="00C62D73">
        <w:rPr>
          <w:sz w:val="10"/>
          <w:vertAlign w:val="superscript"/>
        </w:rPr>
        <w:t>1</w:t>
      </w:r>
      <w:r w:rsidR="00E471D3">
        <w:rPr>
          <w:sz w:val="10"/>
        </w:rPr>
        <w:t xml:space="preserve"> H</w:t>
      </w:r>
      <w:r w:rsidRPr="00C62D73">
        <w:rPr>
          <w:sz w:val="10"/>
        </w:rPr>
        <w:t>ouse and other dwelling approvals.</w:t>
      </w:r>
      <w:r w:rsidR="0049414A">
        <w:rPr>
          <w:sz w:val="10"/>
        </w:rPr>
        <w:t xml:space="preserve"> Seasonally adjusted series.</w:t>
      </w:r>
    </w:p>
    <w:p w14:paraId="7B80FA51" w14:textId="5D64865B" w:rsidR="00D746DC" w:rsidRPr="00715528" w:rsidRDefault="00C62D73" w:rsidP="00C62D73">
      <w:pPr>
        <w:pStyle w:val="BodyText"/>
        <w:rPr>
          <w:sz w:val="10"/>
        </w:rPr>
      </w:pPr>
      <w:r w:rsidRPr="00C62D73">
        <w:rPr>
          <w:sz w:val="10"/>
        </w:rPr>
        <w:t>Source: ABS 8731.0 Building Approvals, Australia (Monthly)</w:t>
      </w:r>
      <w:r w:rsidR="00D746DC" w:rsidRPr="00715528">
        <w:rPr>
          <w:sz w:val="10"/>
        </w:rPr>
        <w:t>.</w:t>
      </w:r>
    </w:p>
    <w:p w14:paraId="1E0FF867" w14:textId="165884A7" w:rsidR="00D746DC" w:rsidRPr="00DE1773" w:rsidRDefault="00D746DC" w:rsidP="00902083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E1773">
        <w:rPr>
          <w:sz w:val="16"/>
        </w:rPr>
        <w:br w:type="column"/>
      </w:r>
      <w:r w:rsidR="00DE1773" w:rsidRPr="00DE1773">
        <w:rPr>
          <w:sz w:val="16"/>
        </w:rPr>
        <w:t>T</w:t>
      </w:r>
      <w:r w:rsidR="00DE1773" w:rsidRPr="00DE1773">
        <w:rPr>
          <w:sz w:val="16"/>
          <w:lang w:val="en"/>
        </w:rPr>
        <w:t>he</w:t>
      </w:r>
      <w:r w:rsidR="00DE1773" w:rsidRPr="00DE1773">
        <w:rPr>
          <w:sz w:val="16"/>
        </w:rPr>
        <w:t xml:space="preserve"> number of dwelling approv</w:t>
      </w:r>
      <w:r w:rsidR="0063454B">
        <w:rPr>
          <w:sz w:val="16"/>
        </w:rPr>
        <w:t>als in Western Australia rose 43</w:t>
      </w:r>
      <w:r w:rsidR="00DE1773" w:rsidRPr="00DE1773">
        <w:rPr>
          <w:sz w:val="16"/>
        </w:rPr>
        <w:t>% to 1,</w:t>
      </w:r>
      <w:r w:rsidR="0063454B">
        <w:rPr>
          <w:sz w:val="16"/>
        </w:rPr>
        <w:t>852</w:t>
      </w:r>
      <w:r w:rsidR="00DE1773" w:rsidRPr="00DE1773">
        <w:rPr>
          <w:sz w:val="16"/>
        </w:rPr>
        <w:t xml:space="preserve"> in </w:t>
      </w:r>
      <w:r w:rsidR="0063454B">
        <w:rPr>
          <w:sz w:val="16"/>
        </w:rPr>
        <w:t>September</w:t>
      </w:r>
      <w:r w:rsidR="00DE1773" w:rsidRPr="00DE1773">
        <w:rPr>
          <w:sz w:val="16"/>
        </w:rPr>
        <w:t xml:space="preserve"> 2020, following </w:t>
      </w:r>
      <w:r w:rsidR="005E20D3">
        <w:rPr>
          <w:sz w:val="16"/>
        </w:rPr>
        <w:t xml:space="preserve">a </w:t>
      </w:r>
      <w:r w:rsidR="0063454B">
        <w:rPr>
          <w:sz w:val="16"/>
        </w:rPr>
        <w:t>rise of 34</w:t>
      </w:r>
      <w:r w:rsidR="00DE1773" w:rsidRPr="00DE1773">
        <w:rPr>
          <w:sz w:val="16"/>
        </w:rPr>
        <w:t xml:space="preserve">% in </w:t>
      </w:r>
      <w:r w:rsidR="0063454B">
        <w:rPr>
          <w:sz w:val="16"/>
        </w:rPr>
        <w:t>August</w:t>
      </w:r>
      <w:r w:rsidR="00DE1773" w:rsidRPr="00DE1773">
        <w:rPr>
          <w:sz w:val="16"/>
        </w:rPr>
        <w:t xml:space="preserve"> 2020</w:t>
      </w:r>
      <w:r w:rsidRPr="00DE1773">
        <w:rPr>
          <w:sz w:val="16"/>
        </w:rPr>
        <w:t>.</w:t>
      </w:r>
    </w:p>
    <w:p w14:paraId="3310B97B" w14:textId="534E1A89" w:rsidR="00DE1773" w:rsidRPr="00DE1773" w:rsidRDefault="00DE1773" w:rsidP="005E20D3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>T</w:t>
      </w:r>
      <w:r w:rsidRPr="00DE1773">
        <w:rPr>
          <w:sz w:val="16"/>
        </w:rPr>
        <w:t xml:space="preserve">he value of </w:t>
      </w:r>
      <w:r>
        <w:rPr>
          <w:sz w:val="16"/>
        </w:rPr>
        <w:t xml:space="preserve">Western Australia’s </w:t>
      </w:r>
      <w:r w:rsidR="0063454B">
        <w:rPr>
          <w:sz w:val="16"/>
        </w:rPr>
        <w:t>building approvals rose 9</w:t>
      </w:r>
      <w:r w:rsidRPr="00DE1773">
        <w:rPr>
          <w:sz w:val="16"/>
        </w:rPr>
        <w:t>% to $7</w:t>
      </w:r>
      <w:r w:rsidR="0063454B">
        <w:rPr>
          <w:sz w:val="16"/>
        </w:rPr>
        <w:t>74</w:t>
      </w:r>
      <w:r w:rsidRPr="00DE1773">
        <w:rPr>
          <w:sz w:val="16"/>
        </w:rPr>
        <w:t xml:space="preserve"> million in </w:t>
      </w:r>
      <w:r w:rsidR="0063454B">
        <w:rPr>
          <w:sz w:val="16"/>
        </w:rPr>
        <w:t>September</w:t>
      </w:r>
      <w:r w:rsidRPr="00DE1773">
        <w:rPr>
          <w:sz w:val="16"/>
        </w:rPr>
        <w:t xml:space="preserve"> 2020, following </w:t>
      </w:r>
      <w:r w:rsidR="005E20D3">
        <w:rPr>
          <w:sz w:val="16"/>
        </w:rPr>
        <w:t xml:space="preserve">a </w:t>
      </w:r>
      <w:r w:rsidR="0063454B">
        <w:rPr>
          <w:sz w:val="16"/>
        </w:rPr>
        <w:t>rise of 35</w:t>
      </w:r>
      <w:r w:rsidRPr="00DE1773">
        <w:rPr>
          <w:sz w:val="16"/>
        </w:rPr>
        <w:t xml:space="preserve">% in </w:t>
      </w:r>
      <w:r w:rsidR="0063454B">
        <w:rPr>
          <w:sz w:val="16"/>
        </w:rPr>
        <w:t>August</w:t>
      </w:r>
      <w:r w:rsidRPr="00DE1773">
        <w:rPr>
          <w:sz w:val="16"/>
        </w:rPr>
        <w:t xml:space="preserve"> 2020. In </w:t>
      </w:r>
      <w:r w:rsidR="0063454B">
        <w:rPr>
          <w:sz w:val="16"/>
        </w:rPr>
        <w:t>September</w:t>
      </w:r>
      <w:r w:rsidR="00713CA0">
        <w:rPr>
          <w:sz w:val="16"/>
        </w:rPr>
        <w:t> </w:t>
      </w:r>
      <w:r w:rsidRPr="00DE1773">
        <w:rPr>
          <w:sz w:val="16"/>
        </w:rPr>
        <w:t>2020, the value of approvals for:</w:t>
      </w:r>
    </w:p>
    <w:p w14:paraId="23A869B5" w14:textId="7252F030" w:rsidR="00DE1773" w:rsidRPr="00DE1773" w:rsidRDefault="00DE1773" w:rsidP="005A3CC2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DE1773">
        <w:rPr>
          <w:sz w:val="16"/>
        </w:rPr>
        <w:t xml:space="preserve">Residential building rose </w:t>
      </w:r>
      <w:r w:rsidR="0063454B">
        <w:rPr>
          <w:sz w:val="16"/>
        </w:rPr>
        <w:t>10</w:t>
      </w:r>
      <w:r w:rsidRPr="00DE1773">
        <w:rPr>
          <w:sz w:val="16"/>
        </w:rPr>
        <w:t>% to $</w:t>
      </w:r>
      <w:r w:rsidR="0063454B">
        <w:rPr>
          <w:sz w:val="16"/>
        </w:rPr>
        <w:t>514</w:t>
      </w:r>
      <w:r>
        <w:rPr>
          <w:sz w:val="16"/>
        </w:rPr>
        <w:t xml:space="preserve"> </w:t>
      </w:r>
      <w:r w:rsidRPr="00DE1773">
        <w:rPr>
          <w:sz w:val="16"/>
        </w:rPr>
        <w:t>million.</w:t>
      </w:r>
    </w:p>
    <w:p w14:paraId="0EEC0190" w14:textId="3C2F9AC8" w:rsidR="00DE1773" w:rsidRPr="00DE1773" w:rsidRDefault="00DE1773" w:rsidP="005A3CC2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DE1773">
        <w:rPr>
          <w:sz w:val="16"/>
        </w:rPr>
        <w:t xml:space="preserve">Non-residential building rose </w:t>
      </w:r>
      <w:r w:rsidR="0063454B">
        <w:rPr>
          <w:sz w:val="16"/>
        </w:rPr>
        <w:t>8</w:t>
      </w:r>
      <w:r w:rsidRPr="00DE1773">
        <w:rPr>
          <w:sz w:val="16"/>
        </w:rPr>
        <w:t>% to $2</w:t>
      </w:r>
      <w:r w:rsidR="0063454B">
        <w:rPr>
          <w:sz w:val="16"/>
        </w:rPr>
        <w:t>59</w:t>
      </w:r>
      <w:r>
        <w:rPr>
          <w:sz w:val="16"/>
        </w:rPr>
        <w:t> </w:t>
      </w:r>
      <w:r w:rsidRPr="00DE1773">
        <w:rPr>
          <w:sz w:val="16"/>
        </w:rPr>
        <w:t>million.</w:t>
      </w:r>
    </w:p>
    <w:p w14:paraId="5E1D673F" w14:textId="0658FBEF" w:rsidR="00D746DC" w:rsidRPr="00BE3ADB" w:rsidRDefault="00E927AE" w:rsidP="00902083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BE3ADB">
        <w:rPr>
          <w:sz w:val="16"/>
        </w:rPr>
        <w:t xml:space="preserve">The rise in Western Australia’s housing finance and building approvals </w:t>
      </w:r>
      <w:r w:rsidR="0063454B">
        <w:rPr>
          <w:sz w:val="16"/>
        </w:rPr>
        <w:t xml:space="preserve">is likely </w:t>
      </w:r>
      <w:r w:rsidR="00694402">
        <w:rPr>
          <w:sz w:val="16"/>
        </w:rPr>
        <w:t xml:space="preserve">to </w:t>
      </w:r>
      <w:r w:rsidRPr="00BE3ADB">
        <w:rPr>
          <w:sz w:val="16"/>
        </w:rPr>
        <w:t>lead to an increase in</w:t>
      </w:r>
      <w:r w:rsidR="00BE3ADB" w:rsidRPr="00BE3ADB">
        <w:rPr>
          <w:sz w:val="16"/>
        </w:rPr>
        <w:t xml:space="preserve"> the State’s </w:t>
      </w:r>
      <w:r w:rsidRPr="00BE3ADB">
        <w:rPr>
          <w:sz w:val="16"/>
        </w:rPr>
        <w:t>building activity in coming months</w:t>
      </w:r>
      <w:r w:rsidR="00D746DC" w:rsidRPr="00BE3ADB">
        <w:rPr>
          <w:sz w:val="16"/>
        </w:rPr>
        <w:t>.</w:t>
      </w:r>
    </w:p>
    <w:p w14:paraId="290EBECB" w14:textId="790C0938" w:rsidR="00D746DC" w:rsidRDefault="00D746DC" w:rsidP="00D746DC">
      <w:pPr>
        <w:spacing w:after="0"/>
        <w:jc w:val="both"/>
        <w:rPr>
          <w:sz w:val="16"/>
        </w:rPr>
      </w:pPr>
    </w:p>
    <w:sectPr w:rsidR="00D746DC" w:rsidSect="00F7498D">
      <w:type w:val="continuous"/>
      <w:pgSz w:w="11907" w:h="16840" w:code="9"/>
      <w:pgMar w:top="1701" w:right="720" w:bottom="720" w:left="720" w:header="709" w:footer="709" w:gutter="0"/>
      <w:cols w:num="2" w:space="284" w:equalWidth="0">
        <w:col w:w="5647" w:space="284"/>
        <w:col w:w="453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5D989" w14:textId="77777777" w:rsidR="00612B25" w:rsidRDefault="00612B25" w:rsidP="00A4382C">
      <w:pPr>
        <w:spacing w:line="240" w:lineRule="auto"/>
      </w:pPr>
      <w:r>
        <w:separator/>
      </w:r>
    </w:p>
  </w:endnote>
  <w:endnote w:type="continuationSeparator" w:id="0">
    <w:p w14:paraId="6BD3FAF3" w14:textId="77777777" w:rsidR="00612B25" w:rsidRDefault="00612B25" w:rsidP="00A438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C4D6A" w14:textId="3678E1A6" w:rsidR="00612B25" w:rsidRPr="00CC5FB3" w:rsidRDefault="00612B25" w:rsidP="00CC5FB3">
    <w:pPr>
      <w:pStyle w:val="Footer"/>
      <w:rPr>
        <w:szCs w:val="16"/>
      </w:rPr>
    </w:pPr>
    <w:r>
      <w:rPr>
        <w:szCs w:val="16"/>
      </w:rPr>
      <w:t>WA Economic Profile and COVID-19 Supplement</w:t>
    </w:r>
    <w:r>
      <w:rPr>
        <w:szCs w:val="16"/>
      </w:rPr>
      <w:ptab w:relativeTo="margin" w:alignment="center" w:leader="none"/>
    </w:r>
    <w:r>
      <w:rPr>
        <w:szCs w:val="16"/>
      </w:rPr>
      <w:t xml:space="preserve">Page </w: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 w:rsidR="00787D79">
      <w:rPr>
        <w:noProof/>
        <w:szCs w:val="16"/>
      </w:rPr>
      <w:t>1</w:t>
    </w:r>
    <w:r>
      <w:rPr>
        <w:szCs w:val="16"/>
      </w:rPr>
      <w:fldChar w:fldCharType="end"/>
    </w:r>
    <w:r>
      <w:rPr>
        <w:szCs w:val="16"/>
      </w:rPr>
      <w:t xml:space="preserve"> of </w:t>
    </w:r>
    <w:r>
      <w:rPr>
        <w:szCs w:val="16"/>
      </w:rPr>
      <w:fldChar w:fldCharType="begin"/>
    </w:r>
    <w:r>
      <w:rPr>
        <w:szCs w:val="16"/>
      </w:rPr>
      <w:instrText xml:space="preserve"> NUMPAGES </w:instrText>
    </w:r>
    <w:r>
      <w:rPr>
        <w:szCs w:val="16"/>
      </w:rPr>
      <w:fldChar w:fldCharType="separate"/>
    </w:r>
    <w:r w:rsidR="00787D79">
      <w:rPr>
        <w:noProof/>
        <w:szCs w:val="16"/>
      </w:rPr>
      <w:t>16</w:t>
    </w:r>
    <w:r>
      <w:rPr>
        <w:szCs w:val="16"/>
      </w:rPr>
      <w:fldChar w:fldCharType="end"/>
    </w:r>
    <w:r>
      <w:rPr>
        <w:szCs w:val="16"/>
      </w:rPr>
      <w:tab/>
      <w:t xml:space="preserve"> </w:t>
    </w:r>
    <w:r>
      <w:rPr>
        <w:szCs w:val="16"/>
      </w:rPr>
      <w:ptab w:relativeTo="margin" w:alignment="right" w:leader="none"/>
    </w:r>
    <w:r>
      <w:rPr>
        <w:szCs w:val="16"/>
      </w:rPr>
      <w:t>November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D8160" w14:textId="2F7DC9E7" w:rsidR="00612B25" w:rsidRPr="0075253D" w:rsidRDefault="00612B25" w:rsidP="0075253D">
    <w:pPr>
      <w:pStyle w:val="Footer"/>
      <w:rPr>
        <w:szCs w:val="16"/>
      </w:rPr>
    </w:pPr>
    <w:r>
      <w:rPr>
        <w:szCs w:val="16"/>
      </w:rPr>
      <w:fldChar w:fldCharType="begin"/>
    </w:r>
    <w:r>
      <w:rPr>
        <w:szCs w:val="16"/>
      </w:rPr>
      <w:instrText xml:space="preserve"> FILENAME</w:instrText>
    </w:r>
    <w:r>
      <w:rPr>
        <w:szCs w:val="16"/>
      </w:rPr>
      <w:fldChar w:fldCharType="separate"/>
    </w:r>
    <w:r>
      <w:rPr>
        <w:noProof/>
        <w:szCs w:val="16"/>
      </w:rPr>
      <w:t>001958policy.data</w:t>
    </w:r>
    <w:r>
      <w:rPr>
        <w:szCs w:val="16"/>
      </w:rPr>
      <w:fldChar w:fldCharType="end"/>
    </w:r>
    <w:r>
      <w:rPr>
        <w:szCs w:val="16"/>
      </w:rPr>
      <w:ptab w:relativeTo="margin" w:alignment="center" w:leader="none"/>
    </w:r>
    <w:r>
      <w:rPr>
        <w:szCs w:val="16"/>
      </w:rPr>
      <w:t xml:space="preserve">Page </w: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>
      <w:rPr>
        <w:noProof/>
        <w:szCs w:val="16"/>
      </w:rPr>
      <w:t>2</w:t>
    </w:r>
    <w:r>
      <w:rPr>
        <w:szCs w:val="16"/>
      </w:rPr>
      <w:fldChar w:fldCharType="end"/>
    </w:r>
    <w:r>
      <w:rPr>
        <w:szCs w:val="16"/>
      </w:rPr>
      <w:t xml:space="preserve"> of </w:t>
    </w:r>
    <w:r>
      <w:rPr>
        <w:szCs w:val="16"/>
      </w:rPr>
      <w:fldChar w:fldCharType="begin"/>
    </w:r>
    <w:r>
      <w:rPr>
        <w:szCs w:val="16"/>
      </w:rPr>
      <w:instrText xml:space="preserve"> NUMPAGES </w:instrText>
    </w:r>
    <w:r>
      <w:rPr>
        <w:szCs w:val="16"/>
      </w:rPr>
      <w:fldChar w:fldCharType="separate"/>
    </w:r>
    <w:r>
      <w:rPr>
        <w:noProof/>
        <w:szCs w:val="16"/>
      </w:rPr>
      <w:t>16</w:t>
    </w:r>
    <w:r>
      <w:rPr>
        <w:szCs w:val="16"/>
      </w:rPr>
      <w:fldChar w:fldCharType="end"/>
    </w:r>
    <w:r>
      <w:rPr>
        <w:szCs w:val="16"/>
      </w:rPr>
      <w:tab/>
      <w:t xml:space="preserve"> </w:t>
    </w:r>
    <w:r>
      <w:rPr>
        <w:szCs w:val="16"/>
      </w:rPr>
      <w:ptab w:relativeTo="margin" w:alignment="right" w:leader="none"/>
    </w:r>
    <w:r>
      <w:rPr>
        <w:szCs w:val="16"/>
      </w:rPr>
      <w:t xml:space="preserve">Release Classification: </w:t>
    </w:r>
    <w:r>
      <w:rPr>
        <w:snapToGrid w:val="0"/>
        <w:szCs w:val="16"/>
      </w:rPr>
      <w:t xml:space="preserve">- </w:t>
    </w:r>
    <w:sdt>
      <w:sdtPr>
        <w:rPr>
          <w:snapToGrid w:val="0"/>
          <w:szCs w:val="16"/>
        </w:rPr>
        <w:alias w:val="ReleaseClassification"/>
        <w:tag w:val="OurDocsReleaseClassification"/>
        <w:id w:val="132530036"/>
        <w:dataBinding w:prefixMappings="xmlns:ns0='http://schemas.microsoft.com/office/2006/metadata/properties' xmlns:ns1='http://www.w3.org/2001/XMLSchema-instance' xmlns:ns2='http://schemas.microsoft.com/office/infopath/2007/PartnerControls' xmlns:ns3='dce3ed02-b0cd-470d-9119-e5f1a2533a21' " w:xpath="/ns0:properties[1]/documentManagement[1]/ns3:OurDocsReleaseClassification[1]" w:storeItemID="{05D0ADC5-CA70-492B-ADE4-CBBC617A2699}"/>
        <w:dropDownList>
          <w:listItem w:value="[ReleaseClassification]"/>
        </w:dropDownList>
      </w:sdtPr>
      <w:sdtEndPr/>
      <w:sdtContent>
        <w:r>
          <w:rPr>
            <w:snapToGrid w:val="0"/>
            <w:szCs w:val="16"/>
          </w:rPr>
          <w:t>For Public Release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1D0F1E" w14:textId="77777777" w:rsidR="00612B25" w:rsidRDefault="00612B25" w:rsidP="00A4382C">
      <w:pPr>
        <w:spacing w:line="240" w:lineRule="auto"/>
      </w:pPr>
      <w:r>
        <w:separator/>
      </w:r>
    </w:p>
  </w:footnote>
  <w:footnote w:type="continuationSeparator" w:id="0">
    <w:p w14:paraId="5B776922" w14:textId="77777777" w:rsidR="00612B25" w:rsidRDefault="00612B25" w:rsidP="00A438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19832" w14:textId="77777777" w:rsidR="00612B25" w:rsidRDefault="00612B25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7216" behindDoc="1" locked="0" layoutInCell="1" allowOverlap="0" wp14:anchorId="06CF5D74" wp14:editId="5C40D16D">
          <wp:simplePos x="0" y="0"/>
          <wp:positionH relativeFrom="page">
            <wp:posOffset>142875</wp:posOffset>
          </wp:positionH>
          <wp:positionV relativeFrom="page">
            <wp:posOffset>152400</wp:posOffset>
          </wp:positionV>
          <wp:extent cx="7277100" cy="869404"/>
          <wp:effectExtent l="0" t="0" r="0" b="6985"/>
          <wp:wrapNone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-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2697" cy="8748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87055"/>
    <w:multiLevelType w:val="hybridMultilevel"/>
    <w:tmpl w:val="02BC405E"/>
    <w:lvl w:ilvl="0" w:tplc="207A5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7A57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E6C19"/>
    <w:multiLevelType w:val="hybridMultilevel"/>
    <w:tmpl w:val="85F8E1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E4A6E"/>
    <w:multiLevelType w:val="multilevel"/>
    <w:tmpl w:val="C4023126"/>
    <w:styleLink w:val="AgencyTableBullets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ourier New" w:hAnsi="Courier New" w:hint="default"/>
      </w:rPr>
    </w:lvl>
  </w:abstractNum>
  <w:abstractNum w:abstractNumId="3" w15:restartNumberingAfterBreak="0">
    <w:nsid w:val="12C701CF"/>
    <w:multiLevelType w:val="hybridMultilevel"/>
    <w:tmpl w:val="D766236E"/>
    <w:lvl w:ilvl="0" w:tplc="2B4694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9F7E3DFC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28491C"/>
    <w:multiLevelType w:val="hybridMultilevel"/>
    <w:tmpl w:val="C41A94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C66FBA">
      <w:numFmt w:val="bullet"/>
      <w:lvlText w:val="•"/>
      <w:lvlJc w:val="left"/>
      <w:pPr>
        <w:ind w:left="1650" w:hanging="57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F6D97"/>
    <w:multiLevelType w:val="multilevel"/>
    <w:tmpl w:val="D5A4B100"/>
    <w:styleLink w:val="AgencyTableNumbers"/>
    <w:lvl w:ilvl="0">
      <w:start w:val="1"/>
      <w:numFmt w:val="decimal"/>
      <w:pStyle w:val="Table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255A2F24"/>
    <w:multiLevelType w:val="hybridMultilevel"/>
    <w:tmpl w:val="3708A542"/>
    <w:lvl w:ilvl="0" w:tplc="0B76247E">
      <w:numFmt w:val="bullet"/>
      <w:lvlText w:val="•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4DB6D344">
      <w:numFmt w:val="bullet"/>
      <w:lvlText w:val="-"/>
      <w:lvlJc w:val="left"/>
      <w:pPr>
        <w:ind w:left="1650" w:hanging="57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77B6A"/>
    <w:multiLevelType w:val="multilevel"/>
    <w:tmpl w:val="0AA25E70"/>
    <w:styleLink w:val="AgencyBullets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-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ListBullet5"/>
      <w:lvlText w:val="-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8" w15:restartNumberingAfterBreak="0">
    <w:nsid w:val="30AA35B5"/>
    <w:multiLevelType w:val="hybridMultilevel"/>
    <w:tmpl w:val="3B463DF8"/>
    <w:lvl w:ilvl="0" w:tplc="5C52384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6840CD4">
      <w:numFmt w:val="bullet"/>
      <w:lvlText w:val="•"/>
      <w:lvlJc w:val="left"/>
      <w:pPr>
        <w:ind w:left="2010" w:hanging="570"/>
      </w:pPr>
      <w:rPr>
        <w:rFonts w:ascii="Arial" w:eastAsia="Times New Roman" w:hAnsi="Arial" w:cs="Aria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B20D18"/>
    <w:multiLevelType w:val="multilevel"/>
    <w:tmpl w:val="C4023126"/>
    <w:numStyleLink w:val="AgencyTableBullets"/>
  </w:abstractNum>
  <w:abstractNum w:abstractNumId="10" w15:restartNumberingAfterBreak="0">
    <w:nsid w:val="4474526F"/>
    <w:multiLevelType w:val="multilevel"/>
    <w:tmpl w:val="D5A4B100"/>
    <w:numStyleLink w:val="AgencyTableNumbers"/>
  </w:abstractNum>
  <w:abstractNum w:abstractNumId="11" w15:restartNumberingAfterBreak="0">
    <w:nsid w:val="4552191F"/>
    <w:multiLevelType w:val="hybridMultilevel"/>
    <w:tmpl w:val="2360A47C"/>
    <w:lvl w:ilvl="0" w:tplc="0C09000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1" w:tplc="BEF090A2">
      <w:start w:val="1"/>
      <w:numFmt w:val="bullet"/>
      <w:lvlText w:val="­"/>
      <w:lvlJc w:val="left"/>
      <w:pPr>
        <w:ind w:left="1134" w:hanging="56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AF2E36"/>
    <w:multiLevelType w:val="hybridMultilevel"/>
    <w:tmpl w:val="345C3C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61966"/>
    <w:multiLevelType w:val="multilevel"/>
    <w:tmpl w:val="77DEEFC4"/>
    <w:styleLink w:val="AgencyNumbers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4" w15:restartNumberingAfterBreak="0">
    <w:nsid w:val="557D660D"/>
    <w:multiLevelType w:val="hybridMultilevel"/>
    <w:tmpl w:val="1A801D74"/>
    <w:lvl w:ilvl="0" w:tplc="0C09000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1" w:tplc="CDCC8D9C">
      <w:start w:val="1"/>
      <w:numFmt w:val="bullet"/>
      <w:lvlText w:val="­"/>
      <w:lvlJc w:val="left"/>
      <w:pPr>
        <w:ind w:left="1134" w:hanging="56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3A1F25"/>
    <w:multiLevelType w:val="hybridMultilevel"/>
    <w:tmpl w:val="B1B4FD64"/>
    <w:lvl w:ilvl="0" w:tplc="AD44B3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D8A65D2"/>
    <w:multiLevelType w:val="hybridMultilevel"/>
    <w:tmpl w:val="CB0C12FE"/>
    <w:lvl w:ilvl="0" w:tplc="0B76247E">
      <w:numFmt w:val="bullet"/>
      <w:lvlText w:val="•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2"/>
  </w:num>
  <w:num w:numId="4">
    <w:abstractNumId w:val="5"/>
  </w:num>
  <w:num w:numId="5">
    <w:abstractNumId w:val="7"/>
  </w:num>
  <w:num w:numId="6">
    <w:abstractNumId w:val="13"/>
  </w:num>
  <w:num w:numId="7">
    <w:abstractNumId w:val="9"/>
  </w:num>
  <w:num w:numId="8">
    <w:abstractNumId w:val="10"/>
  </w:num>
  <w:num w:numId="9">
    <w:abstractNumId w:val="8"/>
  </w:num>
  <w:num w:numId="10">
    <w:abstractNumId w:val="14"/>
  </w:num>
  <w:num w:numId="11">
    <w:abstractNumId w:val="11"/>
  </w:num>
  <w:num w:numId="12">
    <w:abstractNumId w:val="1"/>
  </w:num>
  <w:num w:numId="13">
    <w:abstractNumId w:val="4"/>
  </w:num>
  <w:num w:numId="14">
    <w:abstractNumId w:val="12"/>
  </w:num>
  <w:num w:numId="15">
    <w:abstractNumId w:val="6"/>
  </w:num>
  <w:num w:numId="16">
    <w:abstractNumId w:val="16"/>
  </w:num>
  <w:num w:numId="17">
    <w:abstractNumId w:val="15"/>
  </w:num>
  <w:num w:numId="18">
    <w:abstractNumId w:val="0"/>
  </w:num>
  <w:num w:numId="19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567"/>
  <w:drawingGridHorizontalSpacing w:val="110"/>
  <w:drawingGridVerticalSpacing w:val="181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B60"/>
    <w:rsid w:val="00004598"/>
    <w:rsid w:val="00005285"/>
    <w:rsid w:val="00006269"/>
    <w:rsid w:val="00006DAE"/>
    <w:rsid w:val="0000797E"/>
    <w:rsid w:val="00013661"/>
    <w:rsid w:val="0001436C"/>
    <w:rsid w:val="000144D1"/>
    <w:rsid w:val="00020A91"/>
    <w:rsid w:val="00023CD8"/>
    <w:rsid w:val="00024416"/>
    <w:rsid w:val="00030161"/>
    <w:rsid w:val="0003298A"/>
    <w:rsid w:val="00034CF8"/>
    <w:rsid w:val="00035E69"/>
    <w:rsid w:val="00036C0B"/>
    <w:rsid w:val="000400BA"/>
    <w:rsid w:val="00043503"/>
    <w:rsid w:val="000517E2"/>
    <w:rsid w:val="0005585E"/>
    <w:rsid w:val="00056706"/>
    <w:rsid w:val="00056C85"/>
    <w:rsid w:val="0006020B"/>
    <w:rsid w:val="000605A7"/>
    <w:rsid w:val="00060FFB"/>
    <w:rsid w:val="0006234D"/>
    <w:rsid w:val="000628DD"/>
    <w:rsid w:val="00065BC6"/>
    <w:rsid w:val="00070650"/>
    <w:rsid w:val="000731E7"/>
    <w:rsid w:val="00075084"/>
    <w:rsid w:val="00076DFB"/>
    <w:rsid w:val="00077902"/>
    <w:rsid w:val="00081F4F"/>
    <w:rsid w:val="00087862"/>
    <w:rsid w:val="00087E7C"/>
    <w:rsid w:val="00090654"/>
    <w:rsid w:val="00091204"/>
    <w:rsid w:val="000923ED"/>
    <w:rsid w:val="000959F8"/>
    <w:rsid w:val="000A1BE9"/>
    <w:rsid w:val="000A3018"/>
    <w:rsid w:val="000A3DA1"/>
    <w:rsid w:val="000A576B"/>
    <w:rsid w:val="000B03AB"/>
    <w:rsid w:val="000B183D"/>
    <w:rsid w:val="000B4DCE"/>
    <w:rsid w:val="000B54E4"/>
    <w:rsid w:val="000B6C74"/>
    <w:rsid w:val="000B74E7"/>
    <w:rsid w:val="000C0B8C"/>
    <w:rsid w:val="000C0C03"/>
    <w:rsid w:val="000C700A"/>
    <w:rsid w:val="000D2A92"/>
    <w:rsid w:val="000D2BBF"/>
    <w:rsid w:val="000D6278"/>
    <w:rsid w:val="000D67A1"/>
    <w:rsid w:val="000E158E"/>
    <w:rsid w:val="000E3009"/>
    <w:rsid w:val="000E4402"/>
    <w:rsid w:val="000E5DCE"/>
    <w:rsid w:val="000E7533"/>
    <w:rsid w:val="000F13E1"/>
    <w:rsid w:val="000F3A49"/>
    <w:rsid w:val="000F410D"/>
    <w:rsid w:val="000F4B54"/>
    <w:rsid w:val="000F557C"/>
    <w:rsid w:val="000F680B"/>
    <w:rsid w:val="000F79FB"/>
    <w:rsid w:val="00100AA3"/>
    <w:rsid w:val="00101A4E"/>
    <w:rsid w:val="00112A67"/>
    <w:rsid w:val="00117846"/>
    <w:rsid w:val="00121232"/>
    <w:rsid w:val="00121B41"/>
    <w:rsid w:val="00121BB3"/>
    <w:rsid w:val="0012712C"/>
    <w:rsid w:val="00127949"/>
    <w:rsid w:val="00127A81"/>
    <w:rsid w:val="00130A6A"/>
    <w:rsid w:val="00131643"/>
    <w:rsid w:val="001319F4"/>
    <w:rsid w:val="0013756B"/>
    <w:rsid w:val="00137C47"/>
    <w:rsid w:val="00141051"/>
    <w:rsid w:val="0014129B"/>
    <w:rsid w:val="00141682"/>
    <w:rsid w:val="00142E8D"/>
    <w:rsid w:val="00143B8B"/>
    <w:rsid w:val="001441FA"/>
    <w:rsid w:val="00147494"/>
    <w:rsid w:val="00150D6F"/>
    <w:rsid w:val="0015139A"/>
    <w:rsid w:val="0015286C"/>
    <w:rsid w:val="00154364"/>
    <w:rsid w:val="00154A96"/>
    <w:rsid w:val="00154B43"/>
    <w:rsid w:val="0015794A"/>
    <w:rsid w:val="0016162F"/>
    <w:rsid w:val="00161BAC"/>
    <w:rsid w:val="00162A0D"/>
    <w:rsid w:val="00164FD5"/>
    <w:rsid w:val="00165E42"/>
    <w:rsid w:val="00166F4F"/>
    <w:rsid w:val="00167179"/>
    <w:rsid w:val="001707B4"/>
    <w:rsid w:val="00170BCC"/>
    <w:rsid w:val="001723E2"/>
    <w:rsid w:val="00172F4D"/>
    <w:rsid w:val="001743E9"/>
    <w:rsid w:val="00174879"/>
    <w:rsid w:val="001750A9"/>
    <w:rsid w:val="00175473"/>
    <w:rsid w:val="00175B21"/>
    <w:rsid w:val="00176B7E"/>
    <w:rsid w:val="00181DCF"/>
    <w:rsid w:val="00182318"/>
    <w:rsid w:val="0018235A"/>
    <w:rsid w:val="001853E7"/>
    <w:rsid w:val="001872E7"/>
    <w:rsid w:val="00187ED2"/>
    <w:rsid w:val="001938E5"/>
    <w:rsid w:val="0019426F"/>
    <w:rsid w:val="00194D8E"/>
    <w:rsid w:val="001A07E0"/>
    <w:rsid w:val="001A1794"/>
    <w:rsid w:val="001A2D3B"/>
    <w:rsid w:val="001A7024"/>
    <w:rsid w:val="001A70B1"/>
    <w:rsid w:val="001B25CC"/>
    <w:rsid w:val="001B38E8"/>
    <w:rsid w:val="001B5124"/>
    <w:rsid w:val="001B7BB2"/>
    <w:rsid w:val="001C02F8"/>
    <w:rsid w:val="001C316F"/>
    <w:rsid w:val="001C5B6B"/>
    <w:rsid w:val="001C74CF"/>
    <w:rsid w:val="001C7BF6"/>
    <w:rsid w:val="001D029B"/>
    <w:rsid w:val="001D0577"/>
    <w:rsid w:val="001D09B9"/>
    <w:rsid w:val="001D14B2"/>
    <w:rsid w:val="001D233C"/>
    <w:rsid w:val="001D2EB0"/>
    <w:rsid w:val="001D31AA"/>
    <w:rsid w:val="001D5B27"/>
    <w:rsid w:val="001D7DDB"/>
    <w:rsid w:val="001E18E0"/>
    <w:rsid w:val="001E197F"/>
    <w:rsid w:val="001E1980"/>
    <w:rsid w:val="001E38AF"/>
    <w:rsid w:val="001E43A3"/>
    <w:rsid w:val="001E56EA"/>
    <w:rsid w:val="001E71EC"/>
    <w:rsid w:val="001F1168"/>
    <w:rsid w:val="001F2273"/>
    <w:rsid w:val="001F3557"/>
    <w:rsid w:val="001F3B43"/>
    <w:rsid w:val="001F3ED0"/>
    <w:rsid w:val="001F7892"/>
    <w:rsid w:val="002024DA"/>
    <w:rsid w:val="00204CC7"/>
    <w:rsid w:val="0020536C"/>
    <w:rsid w:val="00210923"/>
    <w:rsid w:val="0021126D"/>
    <w:rsid w:val="00212039"/>
    <w:rsid w:val="0021319C"/>
    <w:rsid w:val="002144EA"/>
    <w:rsid w:val="00217984"/>
    <w:rsid w:val="00217A4B"/>
    <w:rsid w:val="00217BF0"/>
    <w:rsid w:val="00220037"/>
    <w:rsid w:val="002221F7"/>
    <w:rsid w:val="002244A2"/>
    <w:rsid w:val="0022624E"/>
    <w:rsid w:val="0023136A"/>
    <w:rsid w:val="00236E8A"/>
    <w:rsid w:val="00237284"/>
    <w:rsid w:val="002404B1"/>
    <w:rsid w:val="002407F7"/>
    <w:rsid w:val="00241063"/>
    <w:rsid w:val="00241CBD"/>
    <w:rsid w:val="002422CF"/>
    <w:rsid w:val="00243B23"/>
    <w:rsid w:val="002451DB"/>
    <w:rsid w:val="00245787"/>
    <w:rsid w:val="00250692"/>
    <w:rsid w:val="0025532C"/>
    <w:rsid w:val="002570AD"/>
    <w:rsid w:val="00263AEC"/>
    <w:rsid w:val="002641AD"/>
    <w:rsid w:val="00267D7A"/>
    <w:rsid w:val="002741E8"/>
    <w:rsid w:val="00275336"/>
    <w:rsid w:val="00275369"/>
    <w:rsid w:val="002760CB"/>
    <w:rsid w:val="002805DC"/>
    <w:rsid w:val="002810C9"/>
    <w:rsid w:val="00285376"/>
    <w:rsid w:val="00291395"/>
    <w:rsid w:val="002921DB"/>
    <w:rsid w:val="0029325D"/>
    <w:rsid w:val="00296019"/>
    <w:rsid w:val="00297373"/>
    <w:rsid w:val="002A0CC8"/>
    <w:rsid w:val="002A2900"/>
    <w:rsid w:val="002A3FA6"/>
    <w:rsid w:val="002A575F"/>
    <w:rsid w:val="002A5DE6"/>
    <w:rsid w:val="002A6E3C"/>
    <w:rsid w:val="002A7E56"/>
    <w:rsid w:val="002B0920"/>
    <w:rsid w:val="002B1D59"/>
    <w:rsid w:val="002B3565"/>
    <w:rsid w:val="002B37B1"/>
    <w:rsid w:val="002C22CA"/>
    <w:rsid w:val="002C35B4"/>
    <w:rsid w:val="002C50FD"/>
    <w:rsid w:val="002D4783"/>
    <w:rsid w:val="002D6A8C"/>
    <w:rsid w:val="002E58B7"/>
    <w:rsid w:val="002E5D2B"/>
    <w:rsid w:val="002E71DF"/>
    <w:rsid w:val="002E7DD3"/>
    <w:rsid w:val="002F0C65"/>
    <w:rsid w:val="002F1184"/>
    <w:rsid w:val="002F15F9"/>
    <w:rsid w:val="002F1CF3"/>
    <w:rsid w:val="002F3FBC"/>
    <w:rsid w:val="002F4364"/>
    <w:rsid w:val="002F4630"/>
    <w:rsid w:val="002F59E3"/>
    <w:rsid w:val="002F6471"/>
    <w:rsid w:val="002F7EF4"/>
    <w:rsid w:val="00300127"/>
    <w:rsid w:val="00303CBB"/>
    <w:rsid w:val="00306D17"/>
    <w:rsid w:val="00306FAF"/>
    <w:rsid w:val="00307B64"/>
    <w:rsid w:val="00310D60"/>
    <w:rsid w:val="003115D5"/>
    <w:rsid w:val="00313B86"/>
    <w:rsid w:val="003145CD"/>
    <w:rsid w:val="003149CC"/>
    <w:rsid w:val="00316033"/>
    <w:rsid w:val="00316310"/>
    <w:rsid w:val="00316E64"/>
    <w:rsid w:val="0031702C"/>
    <w:rsid w:val="00320F6F"/>
    <w:rsid w:val="00321C39"/>
    <w:rsid w:val="00322F94"/>
    <w:rsid w:val="00327A3A"/>
    <w:rsid w:val="00327D01"/>
    <w:rsid w:val="00330481"/>
    <w:rsid w:val="003316EF"/>
    <w:rsid w:val="00332FCA"/>
    <w:rsid w:val="00333106"/>
    <w:rsid w:val="00333E24"/>
    <w:rsid w:val="0033401D"/>
    <w:rsid w:val="00334E55"/>
    <w:rsid w:val="003379C5"/>
    <w:rsid w:val="00337D05"/>
    <w:rsid w:val="00341A45"/>
    <w:rsid w:val="003441B3"/>
    <w:rsid w:val="00346875"/>
    <w:rsid w:val="0034798D"/>
    <w:rsid w:val="00347B6E"/>
    <w:rsid w:val="00350BCD"/>
    <w:rsid w:val="00353881"/>
    <w:rsid w:val="00356B1A"/>
    <w:rsid w:val="0036263D"/>
    <w:rsid w:val="003636FF"/>
    <w:rsid w:val="00366E84"/>
    <w:rsid w:val="0037070E"/>
    <w:rsid w:val="00370929"/>
    <w:rsid w:val="00371FB3"/>
    <w:rsid w:val="00373896"/>
    <w:rsid w:val="00373C52"/>
    <w:rsid w:val="00373E55"/>
    <w:rsid w:val="00375984"/>
    <w:rsid w:val="00375A51"/>
    <w:rsid w:val="003801D1"/>
    <w:rsid w:val="003801F5"/>
    <w:rsid w:val="0038356A"/>
    <w:rsid w:val="00386599"/>
    <w:rsid w:val="0038720A"/>
    <w:rsid w:val="003875B0"/>
    <w:rsid w:val="00387710"/>
    <w:rsid w:val="003907DE"/>
    <w:rsid w:val="003947D4"/>
    <w:rsid w:val="00394BFB"/>
    <w:rsid w:val="0039528C"/>
    <w:rsid w:val="0039771D"/>
    <w:rsid w:val="00397B3B"/>
    <w:rsid w:val="003A57D0"/>
    <w:rsid w:val="003A5F4C"/>
    <w:rsid w:val="003B1CE3"/>
    <w:rsid w:val="003B1D40"/>
    <w:rsid w:val="003B216F"/>
    <w:rsid w:val="003B68D0"/>
    <w:rsid w:val="003C0875"/>
    <w:rsid w:val="003C2DA2"/>
    <w:rsid w:val="003C4C10"/>
    <w:rsid w:val="003C4E9E"/>
    <w:rsid w:val="003D1855"/>
    <w:rsid w:val="003D5BE8"/>
    <w:rsid w:val="003D6F7E"/>
    <w:rsid w:val="003E1400"/>
    <w:rsid w:val="003E1747"/>
    <w:rsid w:val="003E1F3E"/>
    <w:rsid w:val="003E271F"/>
    <w:rsid w:val="003E28A9"/>
    <w:rsid w:val="003E4B2A"/>
    <w:rsid w:val="003F26FE"/>
    <w:rsid w:val="003F34CF"/>
    <w:rsid w:val="003F3672"/>
    <w:rsid w:val="003F4002"/>
    <w:rsid w:val="003F4681"/>
    <w:rsid w:val="003F68F5"/>
    <w:rsid w:val="003F7D47"/>
    <w:rsid w:val="003F7E00"/>
    <w:rsid w:val="003F7FF9"/>
    <w:rsid w:val="00400C03"/>
    <w:rsid w:val="004026D0"/>
    <w:rsid w:val="004028B9"/>
    <w:rsid w:val="00403DB4"/>
    <w:rsid w:val="0040481A"/>
    <w:rsid w:val="0040491A"/>
    <w:rsid w:val="004053DA"/>
    <w:rsid w:val="00405778"/>
    <w:rsid w:val="004073D6"/>
    <w:rsid w:val="004108AE"/>
    <w:rsid w:val="004127B1"/>
    <w:rsid w:val="00412AA2"/>
    <w:rsid w:val="00414479"/>
    <w:rsid w:val="004165AA"/>
    <w:rsid w:val="00417238"/>
    <w:rsid w:val="00417D8D"/>
    <w:rsid w:val="00417EFE"/>
    <w:rsid w:val="00423A67"/>
    <w:rsid w:val="00423D42"/>
    <w:rsid w:val="00425B81"/>
    <w:rsid w:val="00430573"/>
    <w:rsid w:val="00431AC6"/>
    <w:rsid w:val="00432532"/>
    <w:rsid w:val="004325EC"/>
    <w:rsid w:val="004345A2"/>
    <w:rsid w:val="00434A4D"/>
    <w:rsid w:val="00434B08"/>
    <w:rsid w:val="00441911"/>
    <w:rsid w:val="00441917"/>
    <w:rsid w:val="00441E01"/>
    <w:rsid w:val="004436DE"/>
    <w:rsid w:val="00445A5B"/>
    <w:rsid w:val="004478B8"/>
    <w:rsid w:val="00450B63"/>
    <w:rsid w:val="00451B5B"/>
    <w:rsid w:val="00454E03"/>
    <w:rsid w:val="00456642"/>
    <w:rsid w:val="004604E8"/>
    <w:rsid w:val="00460DA3"/>
    <w:rsid w:val="0046320D"/>
    <w:rsid w:val="00464B51"/>
    <w:rsid w:val="004653C8"/>
    <w:rsid w:val="004671D4"/>
    <w:rsid w:val="0047115C"/>
    <w:rsid w:val="00471216"/>
    <w:rsid w:val="00471334"/>
    <w:rsid w:val="00473F8A"/>
    <w:rsid w:val="004740B8"/>
    <w:rsid w:val="00474C7B"/>
    <w:rsid w:val="00474E18"/>
    <w:rsid w:val="0047558B"/>
    <w:rsid w:val="00475A14"/>
    <w:rsid w:val="00475A8D"/>
    <w:rsid w:val="00480169"/>
    <w:rsid w:val="00481C9C"/>
    <w:rsid w:val="00482AA0"/>
    <w:rsid w:val="00485695"/>
    <w:rsid w:val="00485967"/>
    <w:rsid w:val="00486847"/>
    <w:rsid w:val="004876C9"/>
    <w:rsid w:val="00490084"/>
    <w:rsid w:val="00490548"/>
    <w:rsid w:val="00490E54"/>
    <w:rsid w:val="00490F2F"/>
    <w:rsid w:val="00493AE3"/>
    <w:rsid w:val="0049414A"/>
    <w:rsid w:val="004956FF"/>
    <w:rsid w:val="00495940"/>
    <w:rsid w:val="00497FC5"/>
    <w:rsid w:val="004A4C0F"/>
    <w:rsid w:val="004A4E8B"/>
    <w:rsid w:val="004A4FF1"/>
    <w:rsid w:val="004A62C0"/>
    <w:rsid w:val="004A647A"/>
    <w:rsid w:val="004A64BB"/>
    <w:rsid w:val="004A7FCA"/>
    <w:rsid w:val="004B2D06"/>
    <w:rsid w:val="004B3FC9"/>
    <w:rsid w:val="004B4336"/>
    <w:rsid w:val="004B61DD"/>
    <w:rsid w:val="004C1089"/>
    <w:rsid w:val="004C12D6"/>
    <w:rsid w:val="004C3B9E"/>
    <w:rsid w:val="004C3EEB"/>
    <w:rsid w:val="004C45E4"/>
    <w:rsid w:val="004C49F9"/>
    <w:rsid w:val="004C7BEE"/>
    <w:rsid w:val="004C7EBC"/>
    <w:rsid w:val="004D32FD"/>
    <w:rsid w:val="004D4A29"/>
    <w:rsid w:val="004D5BAB"/>
    <w:rsid w:val="004E2D8A"/>
    <w:rsid w:val="004E3F1E"/>
    <w:rsid w:val="004E46F6"/>
    <w:rsid w:val="004E76B9"/>
    <w:rsid w:val="004E78EB"/>
    <w:rsid w:val="004F0CF0"/>
    <w:rsid w:val="004F2490"/>
    <w:rsid w:val="004F3812"/>
    <w:rsid w:val="004F494B"/>
    <w:rsid w:val="004F6053"/>
    <w:rsid w:val="004F6AB4"/>
    <w:rsid w:val="004F6C26"/>
    <w:rsid w:val="004F7573"/>
    <w:rsid w:val="005016D9"/>
    <w:rsid w:val="00502FFE"/>
    <w:rsid w:val="00505A45"/>
    <w:rsid w:val="00505CCD"/>
    <w:rsid w:val="00507B3E"/>
    <w:rsid w:val="005107C5"/>
    <w:rsid w:val="00511696"/>
    <w:rsid w:val="00514046"/>
    <w:rsid w:val="0051691A"/>
    <w:rsid w:val="00517B50"/>
    <w:rsid w:val="00521B09"/>
    <w:rsid w:val="00522CA1"/>
    <w:rsid w:val="00523D2A"/>
    <w:rsid w:val="00524C37"/>
    <w:rsid w:val="005252BE"/>
    <w:rsid w:val="00525754"/>
    <w:rsid w:val="00526CED"/>
    <w:rsid w:val="005270A9"/>
    <w:rsid w:val="005276F3"/>
    <w:rsid w:val="005309D9"/>
    <w:rsid w:val="00532607"/>
    <w:rsid w:val="0053403F"/>
    <w:rsid w:val="005362A4"/>
    <w:rsid w:val="005417CC"/>
    <w:rsid w:val="00546D8D"/>
    <w:rsid w:val="0054751B"/>
    <w:rsid w:val="00552DD1"/>
    <w:rsid w:val="005537D5"/>
    <w:rsid w:val="005540BC"/>
    <w:rsid w:val="0055663F"/>
    <w:rsid w:val="00556CD6"/>
    <w:rsid w:val="00562E13"/>
    <w:rsid w:val="00563703"/>
    <w:rsid w:val="005642CA"/>
    <w:rsid w:val="00565250"/>
    <w:rsid w:val="00566F5F"/>
    <w:rsid w:val="005673E5"/>
    <w:rsid w:val="00571929"/>
    <w:rsid w:val="0057581E"/>
    <w:rsid w:val="00575B72"/>
    <w:rsid w:val="00577404"/>
    <w:rsid w:val="00584414"/>
    <w:rsid w:val="00584A98"/>
    <w:rsid w:val="00584C3C"/>
    <w:rsid w:val="005857AE"/>
    <w:rsid w:val="00591BD4"/>
    <w:rsid w:val="00594E58"/>
    <w:rsid w:val="005953F9"/>
    <w:rsid w:val="00595FF9"/>
    <w:rsid w:val="005A3CC2"/>
    <w:rsid w:val="005A4D46"/>
    <w:rsid w:val="005A4D97"/>
    <w:rsid w:val="005B0F45"/>
    <w:rsid w:val="005B1654"/>
    <w:rsid w:val="005B1EAF"/>
    <w:rsid w:val="005B28B6"/>
    <w:rsid w:val="005B3F1F"/>
    <w:rsid w:val="005B5A18"/>
    <w:rsid w:val="005B64D2"/>
    <w:rsid w:val="005B687B"/>
    <w:rsid w:val="005B6C4B"/>
    <w:rsid w:val="005B7026"/>
    <w:rsid w:val="005B7565"/>
    <w:rsid w:val="005C06F0"/>
    <w:rsid w:val="005C32A6"/>
    <w:rsid w:val="005C3D09"/>
    <w:rsid w:val="005C451E"/>
    <w:rsid w:val="005C4954"/>
    <w:rsid w:val="005C65DD"/>
    <w:rsid w:val="005C7F45"/>
    <w:rsid w:val="005D1619"/>
    <w:rsid w:val="005D5BB7"/>
    <w:rsid w:val="005D655F"/>
    <w:rsid w:val="005E0DBB"/>
    <w:rsid w:val="005E1D94"/>
    <w:rsid w:val="005E2097"/>
    <w:rsid w:val="005E20D3"/>
    <w:rsid w:val="005E2BAE"/>
    <w:rsid w:val="005E4918"/>
    <w:rsid w:val="005E5BC4"/>
    <w:rsid w:val="005E7006"/>
    <w:rsid w:val="005F10AA"/>
    <w:rsid w:val="005F1191"/>
    <w:rsid w:val="005F3A86"/>
    <w:rsid w:val="005F3F3B"/>
    <w:rsid w:val="006063E5"/>
    <w:rsid w:val="00606BB5"/>
    <w:rsid w:val="00611C50"/>
    <w:rsid w:val="00612B25"/>
    <w:rsid w:val="00614339"/>
    <w:rsid w:val="006146DE"/>
    <w:rsid w:val="00615672"/>
    <w:rsid w:val="0061649B"/>
    <w:rsid w:val="0062028B"/>
    <w:rsid w:val="006262A9"/>
    <w:rsid w:val="00627267"/>
    <w:rsid w:val="00630D49"/>
    <w:rsid w:val="006341DD"/>
    <w:rsid w:val="0063454B"/>
    <w:rsid w:val="00635778"/>
    <w:rsid w:val="00637C18"/>
    <w:rsid w:val="00642EEC"/>
    <w:rsid w:val="00645185"/>
    <w:rsid w:val="006472D7"/>
    <w:rsid w:val="00647852"/>
    <w:rsid w:val="006533AC"/>
    <w:rsid w:val="00654BA5"/>
    <w:rsid w:val="00655AEB"/>
    <w:rsid w:val="00656579"/>
    <w:rsid w:val="00656852"/>
    <w:rsid w:val="00656ACC"/>
    <w:rsid w:val="006570A3"/>
    <w:rsid w:val="00657B02"/>
    <w:rsid w:val="00657B60"/>
    <w:rsid w:val="00660D80"/>
    <w:rsid w:val="00662AC7"/>
    <w:rsid w:val="00664053"/>
    <w:rsid w:val="00664B55"/>
    <w:rsid w:val="00665B9F"/>
    <w:rsid w:val="006705C4"/>
    <w:rsid w:val="006722B2"/>
    <w:rsid w:val="00680F48"/>
    <w:rsid w:val="006857C2"/>
    <w:rsid w:val="00686268"/>
    <w:rsid w:val="00686BE5"/>
    <w:rsid w:val="00690267"/>
    <w:rsid w:val="0069124D"/>
    <w:rsid w:val="00691FD5"/>
    <w:rsid w:val="00694402"/>
    <w:rsid w:val="0069482D"/>
    <w:rsid w:val="006A367B"/>
    <w:rsid w:val="006A5AB2"/>
    <w:rsid w:val="006B227B"/>
    <w:rsid w:val="006B372C"/>
    <w:rsid w:val="006B3907"/>
    <w:rsid w:val="006B542D"/>
    <w:rsid w:val="006B7ECF"/>
    <w:rsid w:val="006C1046"/>
    <w:rsid w:val="006C236E"/>
    <w:rsid w:val="006C6044"/>
    <w:rsid w:val="006D00F7"/>
    <w:rsid w:val="006D07C1"/>
    <w:rsid w:val="006D4F9E"/>
    <w:rsid w:val="006D660C"/>
    <w:rsid w:val="006D7B16"/>
    <w:rsid w:val="006E2F60"/>
    <w:rsid w:val="006E3BC2"/>
    <w:rsid w:val="006E7ABB"/>
    <w:rsid w:val="006F1F0B"/>
    <w:rsid w:val="006F272A"/>
    <w:rsid w:val="006F4CE7"/>
    <w:rsid w:val="006F54DD"/>
    <w:rsid w:val="006F65D5"/>
    <w:rsid w:val="006F79E5"/>
    <w:rsid w:val="006F7C3E"/>
    <w:rsid w:val="0070084C"/>
    <w:rsid w:val="007015BA"/>
    <w:rsid w:val="00705217"/>
    <w:rsid w:val="00705BE1"/>
    <w:rsid w:val="007073DD"/>
    <w:rsid w:val="00710F9B"/>
    <w:rsid w:val="00711F53"/>
    <w:rsid w:val="00713934"/>
    <w:rsid w:val="00713CA0"/>
    <w:rsid w:val="00715528"/>
    <w:rsid w:val="0071654D"/>
    <w:rsid w:val="00716C34"/>
    <w:rsid w:val="00720108"/>
    <w:rsid w:val="007211AE"/>
    <w:rsid w:val="007218E4"/>
    <w:rsid w:val="00721B01"/>
    <w:rsid w:val="007222D0"/>
    <w:rsid w:val="007222D6"/>
    <w:rsid w:val="00722C52"/>
    <w:rsid w:val="0072357C"/>
    <w:rsid w:val="00725843"/>
    <w:rsid w:val="007272B3"/>
    <w:rsid w:val="007302BF"/>
    <w:rsid w:val="007310A6"/>
    <w:rsid w:val="00731347"/>
    <w:rsid w:val="00731371"/>
    <w:rsid w:val="007328F3"/>
    <w:rsid w:val="00733D32"/>
    <w:rsid w:val="00735D06"/>
    <w:rsid w:val="00736097"/>
    <w:rsid w:val="00736B45"/>
    <w:rsid w:val="0073708B"/>
    <w:rsid w:val="0074139E"/>
    <w:rsid w:val="00743AB9"/>
    <w:rsid w:val="00746F26"/>
    <w:rsid w:val="007520AC"/>
    <w:rsid w:val="0075253D"/>
    <w:rsid w:val="007528AA"/>
    <w:rsid w:val="00757A2A"/>
    <w:rsid w:val="00757FA2"/>
    <w:rsid w:val="0076416A"/>
    <w:rsid w:val="00765079"/>
    <w:rsid w:val="00767563"/>
    <w:rsid w:val="00771526"/>
    <w:rsid w:val="007720F0"/>
    <w:rsid w:val="00772E64"/>
    <w:rsid w:val="0077371E"/>
    <w:rsid w:val="007832A4"/>
    <w:rsid w:val="00787D79"/>
    <w:rsid w:val="00790382"/>
    <w:rsid w:val="00794849"/>
    <w:rsid w:val="00794A9D"/>
    <w:rsid w:val="00796920"/>
    <w:rsid w:val="007A10A1"/>
    <w:rsid w:val="007A11D6"/>
    <w:rsid w:val="007A5491"/>
    <w:rsid w:val="007A54B1"/>
    <w:rsid w:val="007A7BD3"/>
    <w:rsid w:val="007B47EF"/>
    <w:rsid w:val="007B6BB2"/>
    <w:rsid w:val="007C342C"/>
    <w:rsid w:val="007C3D87"/>
    <w:rsid w:val="007C403E"/>
    <w:rsid w:val="007C47E3"/>
    <w:rsid w:val="007C538F"/>
    <w:rsid w:val="007C7898"/>
    <w:rsid w:val="007C792D"/>
    <w:rsid w:val="007D03F1"/>
    <w:rsid w:val="007D0C36"/>
    <w:rsid w:val="007D1C96"/>
    <w:rsid w:val="007D3CCE"/>
    <w:rsid w:val="007D5669"/>
    <w:rsid w:val="007D59E4"/>
    <w:rsid w:val="007D74D4"/>
    <w:rsid w:val="007E2BB1"/>
    <w:rsid w:val="007E7A59"/>
    <w:rsid w:val="007F074F"/>
    <w:rsid w:val="007F208B"/>
    <w:rsid w:val="008003E3"/>
    <w:rsid w:val="00800813"/>
    <w:rsid w:val="008078FF"/>
    <w:rsid w:val="00811387"/>
    <w:rsid w:val="0081205B"/>
    <w:rsid w:val="00817AD8"/>
    <w:rsid w:val="0082027E"/>
    <w:rsid w:val="00820809"/>
    <w:rsid w:val="00821DB9"/>
    <w:rsid w:val="00822DFF"/>
    <w:rsid w:val="00826B46"/>
    <w:rsid w:val="00830A29"/>
    <w:rsid w:val="00831C7B"/>
    <w:rsid w:val="00832FCB"/>
    <w:rsid w:val="00834677"/>
    <w:rsid w:val="008405E1"/>
    <w:rsid w:val="00842E54"/>
    <w:rsid w:val="008475FF"/>
    <w:rsid w:val="008565C8"/>
    <w:rsid w:val="0086000E"/>
    <w:rsid w:val="00860F4E"/>
    <w:rsid w:val="008625B0"/>
    <w:rsid w:val="00862BDD"/>
    <w:rsid w:val="00864605"/>
    <w:rsid w:val="00866442"/>
    <w:rsid w:val="00871AE8"/>
    <w:rsid w:val="00872594"/>
    <w:rsid w:val="00872C76"/>
    <w:rsid w:val="00873386"/>
    <w:rsid w:val="00875FE3"/>
    <w:rsid w:val="00880866"/>
    <w:rsid w:val="0088090E"/>
    <w:rsid w:val="00884423"/>
    <w:rsid w:val="00884F47"/>
    <w:rsid w:val="0089012F"/>
    <w:rsid w:val="00894975"/>
    <w:rsid w:val="00894D5B"/>
    <w:rsid w:val="00894F34"/>
    <w:rsid w:val="00896A8F"/>
    <w:rsid w:val="00897194"/>
    <w:rsid w:val="008A0283"/>
    <w:rsid w:val="008A035D"/>
    <w:rsid w:val="008A03ED"/>
    <w:rsid w:val="008A658A"/>
    <w:rsid w:val="008A663D"/>
    <w:rsid w:val="008A72AE"/>
    <w:rsid w:val="008B167C"/>
    <w:rsid w:val="008B1ECF"/>
    <w:rsid w:val="008B1EEE"/>
    <w:rsid w:val="008B3435"/>
    <w:rsid w:val="008B38EE"/>
    <w:rsid w:val="008B69DD"/>
    <w:rsid w:val="008B6E60"/>
    <w:rsid w:val="008C34A6"/>
    <w:rsid w:val="008C3ACB"/>
    <w:rsid w:val="008C59E9"/>
    <w:rsid w:val="008C6095"/>
    <w:rsid w:val="008D280D"/>
    <w:rsid w:val="008D3503"/>
    <w:rsid w:val="008D5AC4"/>
    <w:rsid w:val="008E007A"/>
    <w:rsid w:val="008E0D74"/>
    <w:rsid w:val="008E41EC"/>
    <w:rsid w:val="008E7341"/>
    <w:rsid w:val="008E742A"/>
    <w:rsid w:val="008F0F0B"/>
    <w:rsid w:val="008F4140"/>
    <w:rsid w:val="008F7B84"/>
    <w:rsid w:val="008F7FFA"/>
    <w:rsid w:val="00902083"/>
    <w:rsid w:val="0090293D"/>
    <w:rsid w:val="009029FB"/>
    <w:rsid w:val="00903559"/>
    <w:rsid w:val="00905700"/>
    <w:rsid w:val="00907518"/>
    <w:rsid w:val="00911864"/>
    <w:rsid w:val="00913B01"/>
    <w:rsid w:val="009148D0"/>
    <w:rsid w:val="009164E6"/>
    <w:rsid w:val="00920EEA"/>
    <w:rsid w:val="00921C19"/>
    <w:rsid w:val="00921EEB"/>
    <w:rsid w:val="00923026"/>
    <w:rsid w:val="009243A9"/>
    <w:rsid w:val="00924939"/>
    <w:rsid w:val="00925853"/>
    <w:rsid w:val="009262E2"/>
    <w:rsid w:val="009271DD"/>
    <w:rsid w:val="00930B05"/>
    <w:rsid w:val="00930BCD"/>
    <w:rsid w:val="00931333"/>
    <w:rsid w:val="009316A2"/>
    <w:rsid w:val="00933F29"/>
    <w:rsid w:val="00935B0B"/>
    <w:rsid w:val="0094285C"/>
    <w:rsid w:val="00942A14"/>
    <w:rsid w:val="00943247"/>
    <w:rsid w:val="00943CC7"/>
    <w:rsid w:val="00944D7D"/>
    <w:rsid w:val="0094632E"/>
    <w:rsid w:val="00947447"/>
    <w:rsid w:val="00947B07"/>
    <w:rsid w:val="00950C0F"/>
    <w:rsid w:val="00950DFF"/>
    <w:rsid w:val="00952E92"/>
    <w:rsid w:val="00953276"/>
    <w:rsid w:val="009532BA"/>
    <w:rsid w:val="00955386"/>
    <w:rsid w:val="0095692F"/>
    <w:rsid w:val="00960283"/>
    <w:rsid w:val="009619F5"/>
    <w:rsid w:val="0096544C"/>
    <w:rsid w:val="00971125"/>
    <w:rsid w:val="00971DE1"/>
    <w:rsid w:val="00973EE5"/>
    <w:rsid w:val="009759CC"/>
    <w:rsid w:val="00985553"/>
    <w:rsid w:val="00987239"/>
    <w:rsid w:val="00990166"/>
    <w:rsid w:val="009916A5"/>
    <w:rsid w:val="00993C31"/>
    <w:rsid w:val="00993C3C"/>
    <w:rsid w:val="00994DA8"/>
    <w:rsid w:val="00997CD6"/>
    <w:rsid w:val="00997D43"/>
    <w:rsid w:val="009A0CA1"/>
    <w:rsid w:val="009A1073"/>
    <w:rsid w:val="009A42B9"/>
    <w:rsid w:val="009A4E76"/>
    <w:rsid w:val="009A6B37"/>
    <w:rsid w:val="009B0BD9"/>
    <w:rsid w:val="009B423D"/>
    <w:rsid w:val="009B5416"/>
    <w:rsid w:val="009B5E43"/>
    <w:rsid w:val="009C0240"/>
    <w:rsid w:val="009C1D87"/>
    <w:rsid w:val="009C3B5E"/>
    <w:rsid w:val="009C645B"/>
    <w:rsid w:val="009D077D"/>
    <w:rsid w:val="009D1726"/>
    <w:rsid w:val="009D396D"/>
    <w:rsid w:val="009D3DCE"/>
    <w:rsid w:val="009D407B"/>
    <w:rsid w:val="009D44A1"/>
    <w:rsid w:val="009D60AF"/>
    <w:rsid w:val="009E3919"/>
    <w:rsid w:val="009E4293"/>
    <w:rsid w:val="009E48EF"/>
    <w:rsid w:val="009F0F32"/>
    <w:rsid w:val="009F3EDD"/>
    <w:rsid w:val="009F60AD"/>
    <w:rsid w:val="009F60F5"/>
    <w:rsid w:val="00A02637"/>
    <w:rsid w:val="00A047FD"/>
    <w:rsid w:val="00A05774"/>
    <w:rsid w:val="00A06B1F"/>
    <w:rsid w:val="00A110CD"/>
    <w:rsid w:val="00A13F7E"/>
    <w:rsid w:val="00A140E7"/>
    <w:rsid w:val="00A155B5"/>
    <w:rsid w:val="00A16892"/>
    <w:rsid w:val="00A1799A"/>
    <w:rsid w:val="00A20793"/>
    <w:rsid w:val="00A21B6D"/>
    <w:rsid w:val="00A23722"/>
    <w:rsid w:val="00A2410D"/>
    <w:rsid w:val="00A243AA"/>
    <w:rsid w:val="00A243CD"/>
    <w:rsid w:val="00A2613E"/>
    <w:rsid w:val="00A27532"/>
    <w:rsid w:val="00A314B4"/>
    <w:rsid w:val="00A31BF4"/>
    <w:rsid w:val="00A31DB7"/>
    <w:rsid w:val="00A3262D"/>
    <w:rsid w:val="00A32C12"/>
    <w:rsid w:val="00A339AC"/>
    <w:rsid w:val="00A36237"/>
    <w:rsid w:val="00A370F1"/>
    <w:rsid w:val="00A40357"/>
    <w:rsid w:val="00A4192D"/>
    <w:rsid w:val="00A4380B"/>
    <w:rsid w:val="00A4382C"/>
    <w:rsid w:val="00A441A2"/>
    <w:rsid w:val="00A4513B"/>
    <w:rsid w:val="00A466F9"/>
    <w:rsid w:val="00A467B8"/>
    <w:rsid w:val="00A47200"/>
    <w:rsid w:val="00A50D6E"/>
    <w:rsid w:val="00A52513"/>
    <w:rsid w:val="00A545D6"/>
    <w:rsid w:val="00A57FED"/>
    <w:rsid w:val="00A61CA2"/>
    <w:rsid w:val="00A63CEC"/>
    <w:rsid w:val="00A663DD"/>
    <w:rsid w:val="00A73213"/>
    <w:rsid w:val="00A74D8A"/>
    <w:rsid w:val="00A74EE8"/>
    <w:rsid w:val="00A768BE"/>
    <w:rsid w:val="00A77D00"/>
    <w:rsid w:val="00A804F9"/>
    <w:rsid w:val="00A80E21"/>
    <w:rsid w:val="00A826CA"/>
    <w:rsid w:val="00A82EED"/>
    <w:rsid w:val="00A834A0"/>
    <w:rsid w:val="00A8430F"/>
    <w:rsid w:val="00A84EFD"/>
    <w:rsid w:val="00A865D9"/>
    <w:rsid w:val="00A86E6B"/>
    <w:rsid w:val="00A91962"/>
    <w:rsid w:val="00A94134"/>
    <w:rsid w:val="00A956E1"/>
    <w:rsid w:val="00A967DF"/>
    <w:rsid w:val="00AA1A4E"/>
    <w:rsid w:val="00AA2F67"/>
    <w:rsid w:val="00AA2FDD"/>
    <w:rsid w:val="00AA43B2"/>
    <w:rsid w:val="00AB03CD"/>
    <w:rsid w:val="00AB108F"/>
    <w:rsid w:val="00AB4A58"/>
    <w:rsid w:val="00AB5FF6"/>
    <w:rsid w:val="00AC05FC"/>
    <w:rsid w:val="00AC239E"/>
    <w:rsid w:val="00AC35CC"/>
    <w:rsid w:val="00AC4226"/>
    <w:rsid w:val="00AC7FD7"/>
    <w:rsid w:val="00AD0559"/>
    <w:rsid w:val="00AD28BB"/>
    <w:rsid w:val="00AD29FB"/>
    <w:rsid w:val="00AD5246"/>
    <w:rsid w:val="00AD55D6"/>
    <w:rsid w:val="00AD7C47"/>
    <w:rsid w:val="00AE1723"/>
    <w:rsid w:val="00AE2CEB"/>
    <w:rsid w:val="00AE6CF0"/>
    <w:rsid w:val="00AF1477"/>
    <w:rsid w:val="00AF2437"/>
    <w:rsid w:val="00AF2A88"/>
    <w:rsid w:val="00AF5DB7"/>
    <w:rsid w:val="00B01371"/>
    <w:rsid w:val="00B03602"/>
    <w:rsid w:val="00B04E38"/>
    <w:rsid w:val="00B06878"/>
    <w:rsid w:val="00B12986"/>
    <w:rsid w:val="00B12E40"/>
    <w:rsid w:val="00B1425E"/>
    <w:rsid w:val="00B15C1C"/>
    <w:rsid w:val="00B162A6"/>
    <w:rsid w:val="00B20ABD"/>
    <w:rsid w:val="00B24C18"/>
    <w:rsid w:val="00B24E04"/>
    <w:rsid w:val="00B26FD3"/>
    <w:rsid w:val="00B27249"/>
    <w:rsid w:val="00B3034F"/>
    <w:rsid w:val="00B3444B"/>
    <w:rsid w:val="00B37BBC"/>
    <w:rsid w:val="00B37BD7"/>
    <w:rsid w:val="00B407CD"/>
    <w:rsid w:val="00B40A97"/>
    <w:rsid w:val="00B4125F"/>
    <w:rsid w:val="00B417C8"/>
    <w:rsid w:val="00B4205B"/>
    <w:rsid w:val="00B436D9"/>
    <w:rsid w:val="00B45551"/>
    <w:rsid w:val="00B45600"/>
    <w:rsid w:val="00B45BCE"/>
    <w:rsid w:val="00B469D8"/>
    <w:rsid w:val="00B47865"/>
    <w:rsid w:val="00B5060D"/>
    <w:rsid w:val="00B54144"/>
    <w:rsid w:val="00B5660B"/>
    <w:rsid w:val="00B6667B"/>
    <w:rsid w:val="00B720D6"/>
    <w:rsid w:val="00B75ACC"/>
    <w:rsid w:val="00B85FF6"/>
    <w:rsid w:val="00B9001E"/>
    <w:rsid w:val="00B944C5"/>
    <w:rsid w:val="00B94E92"/>
    <w:rsid w:val="00B9649C"/>
    <w:rsid w:val="00B96B1B"/>
    <w:rsid w:val="00B96B5E"/>
    <w:rsid w:val="00B96B96"/>
    <w:rsid w:val="00B97D0A"/>
    <w:rsid w:val="00BA190C"/>
    <w:rsid w:val="00BA1F4C"/>
    <w:rsid w:val="00BA2F7B"/>
    <w:rsid w:val="00BA39FC"/>
    <w:rsid w:val="00BA5857"/>
    <w:rsid w:val="00BA6FA3"/>
    <w:rsid w:val="00BB241A"/>
    <w:rsid w:val="00BB2424"/>
    <w:rsid w:val="00BB2864"/>
    <w:rsid w:val="00BB2A01"/>
    <w:rsid w:val="00BB30F4"/>
    <w:rsid w:val="00BC1879"/>
    <w:rsid w:val="00BC2F8A"/>
    <w:rsid w:val="00BC5640"/>
    <w:rsid w:val="00BC5B97"/>
    <w:rsid w:val="00BC7009"/>
    <w:rsid w:val="00BC7664"/>
    <w:rsid w:val="00BC790D"/>
    <w:rsid w:val="00BC7CB0"/>
    <w:rsid w:val="00BD452D"/>
    <w:rsid w:val="00BD7FE2"/>
    <w:rsid w:val="00BE0360"/>
    <w:rsid w:val="00BE05E3"/>
    <w:rsid w:val="00BE1A18"/>
    <w:rsid w:val="00BE3ADB"/>
    <w:rsid w:val="00BE4A78"/>
    <w:rsid w:val="00BF0A3D"/>
    <w:rsid w:val="00BF1BE3"/>
    <w:rsid w:val="00BF3151"/>
    <w:rsid w:val="00BF408B"/>
    <w:rsid w:val="00BF59D0"/>
    <w:rsid w:val="00C06C52"/>
    <w:rsid w:val="00C11C42"/>
    <w:rsid w:val="00C15056"/>
    <w:rsid w:val="00C1610E"/>
    <w:rsid w:val="00C169C6"/>
    <w:rsid w:val="00C17C2B"/>
    <w:rsid w:val="00C20056"/>
    <w:rsid w:val="00C219E3"/>
    <w:rsid w:val="00C22640"/>
    <w:rsid w:val="00C24132"/>
    <w:rsid w:val="00C249B3"/>
    <w:rsid w:val="00C2561D"/>
    <w:rsid w:val="00C27BE9"/>
    <w:rsid w:val="00C31874"/>
    <w:rsid w:val="00C31DEF"/>
    <w:rsid w:val="00C3430C"/>
    <w:rsid w:val="00C34949"/>
    <w:rsid w:val="00C34B4C"/>
    <w:rsid w:val="00C365E7"/>
    <w:rsid w:val="00C4168A"/>
    <w:rsid w:val="00C41B9A"/>
    <w:rsid w:val="00C449B9"/>
    <w:rsid w:val="00C44B51"/>
    <w:rsid w:val="00C46B3F"/>
    <w:rsid w:val="00C51184"/>
    <w:rsid w:val="00C524D8"/>
    <w:rsid w:val="00C56C41"/>
    <w:rsid w:val="00C56D2A"/>
    <w:rsid w:val="00C57117"/>
    <w:rsid w:val="00C602A0"/>
    <w:rsid w:val="00C60D6E"/>
    <w:rsid w:val="00C62D73"/>
    <w:rsid w:val="00C6467F"/>
    <w:rsid w:val="00C65E55"/>
    <w:rsid w:val="00C706E2"/>
    <w:rsid w:val="00C71BF6"/>
    <w:rsid w:val="00C72D93"/>
    <w:rsid w:val="00C74436"/>
    <w:rsid w:val="00C81E25"/>
    <w:rsid w:val="00C81FA3"/>
    <w:rsid w:val="00C83452"/>
    <w:rsid w:val="00C851DC"/>
    <w:rsid w:val="00C85FDD"/>
    <w:rsid w:val="00C8611A"/>
    <w:rsid w:val="00C86934"/>
    <w:rsid w:val="00C922A0"/>
    <w:rsid w:val="00C93C6B"/>
    <w:rsid w:val="00C958FF"/>
    <w:rsid w:val="00C95C39"/>
    <w:rsid w:val="00C96FF7"/>
    <w:rsid w:val="00C97A98"/>
    <w:rsid w:val="00C97B7A"/>
    <w:rsid w:val="00CA0651"/>
    <w:rsid w:val="00CA09CA"/>
    <w:rsid w:val="00CA24FE"/>
    <w:rsid w:val="00CA3828"/>
    <w:rsid w:val="00CA48C9"/>
    <w:rsid w:val="00CA61C9"/>
    <w:rsid w:val="00CB079B"/>
    <w:rsid w:val="00CB1744"/>
    <w:rsid w:val="00CB1885"/>
    <w:rsid w:val="00CB298C"/>
    <w:rsid w:val="00CB5E7F"/>
    <w:rsid w:val="00CB610F"/>
    <w:rsid w:val="00CB71ED"/>
    <w:rsid w:val="00CB731D"/>
    <w:rsid w:val="00CC4376"/>
    <w:rsid w:val="00CC43BA"/>
    <w:rsid w:val="00CC5FB3"/>
    <w:rsid w:val="00CC66D4"/>
    <w:rsid w:val="00CC6B9E"/>
    <w:rsid w:val="00CC7058"/>
    <w:rsid w:val="00CD2094"/>
    <w:rsid w:val="00CD25FB"/>
    <w:rsid w:val="00CD3038"/>
    <w:rsid w:val="00CD3DB5"/>
    <w:rsid w:val="00CD5264"/>
    <w:rsid w:val="00CD5777"/>
    <w:rsid w:val="00CD7C92"/>
    <w:rsid w:val="00CE121A"/>
    <w:rsid w:val="00CE1DC1"/>
    <w:rsid w:val="00CE2057"/>
    <w:rsid w:val="00CE416E"/>
    <w:rsid w:val="00CF0A38"/>
    <w:rsid w:val="00CF68A9"/>
    <w:rsid w:val="00D001A3"/>
    <w:rsid w:val="00D01563"/>
    <w:rsid w:val="00D016D8"/>
    <w:rsid w:val="00D045E3"/>
    <w:rsid w:val="00D1187B"/>
    <w:rsid w:val="00D14E7A"/>
    <w:rsid w:val="00D14F87"/>
    <w:rsid w:val="00D16A1F"/>
    <w:rsid w:val="00D16BF5"/>
    <w:rsid w:val="00D17B87"/>
    <w:rsid w:val="00D20333"/>
    <w:rsid w:val="00D20D19"/>
    <w:rsid w:val="00D21020"/>
    <w:rsid w:val="00D227B6"/>
    <w:rsid w:val="00D243FB"/>
    <w:rsid w:val="00D259D7"/>
    <w:rsid w:val="00D27E58"/>
    <w:rsid w:val="00D30561"/>
    <w:rsid w:val="00D31393"/>
    <w:rsid w:val="00D31E75"/>
    <w:rsid w:val="00D34F0D"/>
    <w:rsid w:val="00D35FD0"/>
    <w:rsid w:val="00D36592"/>
    <w:rsid w:val="00D426CF"/>
    <w:rsid w:val="00D43849"/>
    <w:rsid w:val="00D465AE"/>
    <w:rsid w:val="00D50E47"/>
    <w:rsid w:val="00D5241D"/>
    <w:rsid w:val="00D5302E"/>
    <w:rsid w:val="00D557C3"/>
    <w:rsid w:val="00D57085"/>
    <w:rsid w:val="00D57C74"/>
    <w:rsid w:val="00D61261"/>
    <w:rsid w:val="00D61E69"/>
    <w:rsid w:val="00D63620"/>
    <w:rsid w:val="00D6395F"/>
    <w:rsid w:val="00D674E3"/>
    <w:rsid w:val="00D67C08"/>
    <w:rsid w:val="00D707B4"/>
    <w:rsid w:val="00D71CF0"/>
    <w:rsid w:val="00D746DC"/>
    <w:rsid w:val="00D75240"/>
    <w:rsid w:val="00D76D84"/>
    <w:rsid w:val="00D80AD5"/>
    <w:rsid w:val="00D80E84"/>
    <w:rsid w:val="00D851CA"/>
    <w:rsid w:val="00D863C8"/>
    <w:rsid w:val="00D8667D"/>
    <w:rsid w:val="00D87E7B"/>
    <w:rsid w:val="00D9127D"/>
    <w:rsid w:val="00DA0964"/>
    <w:rsid w:val="00DA10DD"/>
    <w:rsid w:val="00DA1335"/>
    <w:rsid w:val="00DA16BB"/>
    <w:rsid w:val="00DA3F34"/>
    <w:rsid w:val="00DA49D1"/>
    <w:rsid w:val="00DA4B91"/>
    <w:rsid w:val="00DA528D"/>
    <w:rsid w:val="00DA5421"/>
    <w:rsid w:val="00DA569F"/>
    <w:rsid w:val="00DB0993"/>
    <w:rsid w:val="00DB0C90"/>
    <w:rsid w:val="00DB2279"/>
    <w:rsid w:val="00DB3B0A"/>
    <w:rsid w:val="00DB40BB"/>
    <w:rsid w:val="00DB4E3E"/>
    <w:rsid w:val="00DB59BB"/>
    <w:rsid w:val="00DC047B"/>
    <w:rsid w:val="00DC07FF"/>
    <w:rsid w:val="00DC0E50"/>
    <w:rsid w:val="00DC0FED"/>
    <w:rsid w:val="00DC4449"/>
    <w:rsid w:val="00DC4C04"/>
    <w:rsid w:val="00DD0EE3"/>
    <w:rsid w:val="00DD1970"/>
    <w:rsid w:val="00DD2F67"/>
    <w:rsid w:val="00DD4F95"/>
    <w:rsid w:val="00DD6F47"/>
    <w:rsid w:val="00DD749F"/>
    <w:rsid w:val="00DE0A4C"/>
    <w:rsid w:val="00DE0D57"/>
    <w:rsid w:val="00DE1773"/>
    <w:rsid w:val="00DE5B3B"/>
    <w:rsid w:val="00DE5F8E"/>
    <w:rsid w:val="00DE6B6D"/>
    <w:rsid w:val="00DE71C6"/>
    <w:rsid w:val="00DF08EE"/>
    <w:rsid w:val="00DF0B6D"/>
    <w:rsid w:val="00DF5A5E"/>
    <w:rsid w:val="00DF5E42"/>
    <w:rsid w:val="00DF6F29"/>
    <w:rsid w:val="00DF7502"/>
    <w:rsid w:val="00DF7A59"/>
    <w:rsid w:val="00DF7BE7"/>
    <w:rsid w:val="00E02C6E"/>
    <w:rsid w:val="00E106CB"/>
    <w:rsid w:val="00E1113F"/>
    <w:rsid w:val="00E11187"/>
    <w:rsid w:val="00E12C52"/>
    <w:rsid w:val="00E13A00"/>
    <w:rsid w:val="00E210A3"/>
    <w:rsid w:val="00E21CC7"/>
    <w:rsid w:val="00E22807"/>
    <w:rsid w:val="00E262D6"/>
    <w:rsid w:val="00E2682C"/>
    <w:rsid w:val="00E26EED"/>
    <w:rsid w:val="00E30568"/>
    <w:rsid w:val="00E30ABB"/>
    <w:rsid w:val="00E31B54"/>
    <w:rsid w:val="00E335C1"/>
    <w:rsid w:val="00E33B33"/>
    <w:rsid w:val="00E407D6"/>
    <w:rsid w:val="00E41C56"/>
    <w:rsid w:val="00E471D3"/>
    <w:rsid w:val="00E52147"/>
    <w:rsid w:val="00E55556"/>
    <w:rsid w:val="00E605E6"/>
    <w:rsid w:val="00E63DB6"/>
    <w:rsid w:val="00E65798"/>
    <w:rsid w:val="00E65A19"/>
    <w:rsid w:val="00E67A2F"/>
    <w:rsid w:val="00E67D1C"/>
    <w:rsid w:val="00E72D72"/>
    <w:rsid w:val="00E761C4"/>
    <w:rsid w:val="00E77E98"/>
    <w:rsid w:val="00E800BA"/>
    <w:rsid w:val="00E81121"/>
    <w:rsid w:val="00E8217B"/>
    <w:rsid w:val="00E82CC2"/>
    <w:rsid w:val="00E847FA"/>
    <w:rsid w:val="00E85DFD"/>
    <w:rsid w:val="00E864C2"/>
    <w:rsid w:val="00E86D85"/>
    <w:rsid w:val="00E87942"/>
    <w:rsid w:val="00E927AE"/>
    <w:rsid w:val="00E9407C"/>
    <w:rsid w:val="00E95935"/>
    <w:rsid w:val="00E97D11"/>
    <w:rsid w:val="00EA0DA7"/>
    <w:rsid w:val="00EA12B0"/>
    <w:rsid w:val="00EA50C8"/>
    <w:rsid w:val="00EA5673"/>
    <w:rsid w:val="00EA6CD8"/>
    <w:rsid w:val="00EA778D"/>
    <w:rsid w:val="00EB048B"/>
    <w:rsid w:val="00EB3453"/>
    <w:rsid w:val="00EB553E"/>
    <w:rsid w:val="00EC0374"/>
    <w:rsid w:val="00EC15C1"/>
    <w:rsid w:val="00EC53CE"/>
    <w:rsid w:val="00EC6333"/>
    <w:rsid w:val="00EC6866"/>
    <w:rsid w:val="00ED0A91"/>
    <w:rsid w:val="00ED1B93"/>
    <w:rsid w:val="00ED1F45"/>
    <w:rsid w:val="00ED2168"/>
    <w:rsid w:val="00ED4133"/>
    <w:rsid w:val="00ED4679"/>
    <w:rsid w:val="00ED55E2"/>
    <w:rsid w:val="00ED58EE"/>
    <w:rsid w:val="00EE2521"/>
    <w:rsid w:val="00EE3F59"/>
    <w:rsid w:val="00EE46E2"/>
    <w:rsid w:val="00EE51B8"/>
    <w:rsid w:val="00EE642C"/>
    <w:rsid w:val="00EF095B"/>
    <w:rsid w:val="00EF1FB8"/>
    <w:rsid w:val="00EF437D"/>
    <w:rsid w:val="00EF72DB"/>
    <w:rsid w:val="00EF73AC"/>
    <w:rsid w:val="00EF773C"/>
    <w:rsid w:val="00F015E8"/>
    <w:rsid w:val="00F02C4D"/>
    <w:rsid w:val="00F0361E"/>
    <w:rsid w:val="00F037C9"/>
    <w:rsid w:val="00F04F93"/>
    <w:rsid w:val="00F056BF"/>
    <w:rsid w:val="00F05CE8"/>
    <w:rsid w:val="00F06689"/>
    <w:rsid w:val="00F07494"/>
    <w:rsid w:val="00F07B2C"/>
    <w:rsid w:val="00F1089A"/>
    <w:rsid w:val="00F11F3D"/>
    <w:rsid w:val="00F140DA"/>
    <w:rsid w:val="00F1489A"/>
    <w:rsid w:val="00F14951"/>
    <w:rsid w:val="00F160B7"/>
    <w:rsid w:val="00F179D2"/>
    <w:rsid w:val="00F17A22"/>
    <w:rsid w:val="00F21B01"/>
    <w:rsid w:val="00F234F8"/>
    <w:rsid w:val="00F25065"/>
    <w:rsid w:val="00F2696F"/>
    <w:rsid w:val="00F31A99"/>
    <w:rsid w:val="00F35289"/>
    <w:rsid w:val="00F3554E"/>
    <w:rsid w:val="00F36C6A"/>
    <w:rsid w:val="00F36FDF"/>
    <w:rsid w:val="00F37878"/>
    <w:rsid w:val="00F378E3"/>
    <w:rsid w:val="00F42B9C"/>
    <w:rsid w:val="00F4474D"/>
    <w:rsid w:val="00F46D98"/>
    <w:rsid w:val="00F47608"/>
    <w:rsid w:val="00F47CE2"/>
    <w:rsid w:val="00F50EE8"/>
    <w:rsid w:val="00F522CD"/>
    <w:rsid w:val="00F5370E"/>
    <w:rsid w:val="00F53854"/>
    <w:rsid w:val="00F53BB2"/>
    <w:rsid w:val="00F60167"/>
    <w:rsid w:val="00F62810"/>
    <w:rsid w:val="00F647F6"/>
    <w:rsid w:val="00F65212"/>
    <w:rsid w:val="00F67C70"/>
    <w:rsid w:val="00F701A0"/>
    <w:rsid w:val="00F7197E"/>
    <w:rsid w:val="00F72C81"/>
    <w:rsid w:val="00F7438D"/>
    <w:rsid w:val="00F7498D"/>
    <w:rsid w:val="00F75600"/>
    <w:rsid w:val="00F77B20"/>
    <w:rsid w:val="00F8038E"/>
    <w:rsid w:val="00F8185A"/>
    <w:rsid w:val="00F82378"/>
    <w:rsid w:val="00F82BF8"/>
    <w:rsid w:val="00F82DAC"/>
    <w:rsid w:val="00F844B2"/>
    <w:rsid w:val="00F85C18"/>
    <w:rsid w:val="00F86FE6"/>
    <w:rsid w:val="00F87A5C"/>
    <w:rsid w:val="00F938D7"/>
    <w:rsid w:val="00F9427E"/>
    <w:rsid w:val="00F95326"/>
    <w:rsid w:val="00F97A50"/>
    <w:rsid w:val="00FA021B"/>
    <w:rsid w:val="00FA164E"/>
    <w:rsid w:val="00FA2DA3"/>
    <w:rsid w:val="00FA3B9E"/>
    <w:rsid w:val="00FA6076"/>
    <w:rsid w:val="00FA733A"/>
    <w:rsid w:val="00FA7BE9"/>
    <w:rsid w:val="00FB1065"/>
    <w:rsid w:val="00FB15C3"/>
    <w:rsid w:val="00FB1CCB"/>
    <w:rsid w:val="00FB67E3"/>
    <w:rsid w:val="00FB698D"/>
    <w:rsid w:val="00FB7865"/>
    <w:rsid w:val="00FC2410"/>
    <w:rsid w:val="00FC327D"/>
    <w:rsid w:val="00FC4E26"/>
    <w:rsid w:val="00FC523A"/>
    <w:rsid w:val="00FD3DFA"/>
    <w:rsid w:val="00FD5004"/>
    <w:rsid w:val="00FD646A"/>
    <w:rsid w:val="00FD68BB"/>
    <w:rsid w:val="00FE0D2E"/>
    <w:rsid w:val="00FE23FA"/>
    <w:rsid w:val="00FE321F"/>
    <w:rsid w:val="00FE5A9B"/>
    <w:rsid w:val="00FE6846"/>
    <w:rsid w:val="00FE6C25"/>
    <w:rsid w:val="00FF0151"/>
    <w:rsid w:val="00FF08A8"/>
    <w:rsid w:val="00FF275A"/>
    <w:rsid w:val="00FF2AE1"/>
    <w:rsid w:val="00FF51CA"/>
    <w:rsid w:val="00FF568F"/>
    <w:rsid w:val="00FF6258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DAF3BD5"/>
  <w15:chartTrackingRefBased/>
  <w15:docId w15:val="{BC4C6340-8403-4F1D-8964-0F595CB7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4"/>
        <w:szCs w:val="24"/>
        <w:lang w:val="en-A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7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7"/>
    <w:qFormat/>
    <w:rsid w:val="00860F4E"/>
  </w:style>
  <w:style w:type="paragraph" w:styleId="Heading1">
    <w:name w:val="heading 1"/>
    <w:basedOn w:val="Normal"/>
    <w:next w:val="BodyText"/>
    <w:link w:val="Heading1Char"/>
    <w:uiPriority w:val="1"/>
    <w:qFormat/>
    <w:rsid w:val="00316310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Heading1"/>
    <w:next w:val="BodyText"/>
    <w:link w:val="Heading2Char"/>
    <w:uiPriority w:val="1"/>
    <w:qFormat/>
    <w:rsid w:val="00316310"/>
    <w:pPr>
      <w:numPr>
        <w:ilvl w:val="1"/>
      </w:numPr>
      <w:outlineLvl w:val="1"/>
    </w:pPr>
    <w:rPr>
      <w:sz w:val="28"/>
      <w:szCs w:val="26"/>
    </w:rPr>
  </w:style>
  <w:style w:type="paragraph" w:styleId="Heading3">
    <w:name w:val="heading 3"/>
    <w:basedOn w:val="Heading2"/>
    <w:next w:val="BodyText"/>
    <w:link w:val="Heading3Char"/>
    <w:uiPriority w:val="1"/>
    <w:qFormat/>
    <w:rsid w:val="00316310"/>
    <w:pPr>
      <w:numPr>
        <w:ilvl w:val="2"/>
      </w:numPr>
      <w:outlineLvl w:val="2"/>
    </w:pPr>
    <w:rPr>
      <w:bCs w:val="0"/>
      <w:sz w:val="26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316310"/>
    <w:pPr>
      <w:outlineLvl w:val="3"/>
    </w:pPr>
    <w:rPr>
      <w:bCs/>
      <w:i/>
      <w:iCs/>
      <w:sz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316310"/>
    <w:pPr>
      <w:outlineLvl w:val="4"/>
    </w:pPr>
    <w:rPr>
      <w:b w:val="0"/>
      <w:i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316310"/>
    <w:pPr>
      <w:outlineLvl w:val="5"/>
    </w:pPr>
    <w:rPr>
      <w:i/>
      <w:iCs w:val="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FA3B9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16310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316310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Footer">
    <w:name w:val="footer"/>
    <w:basedOn w:val="Normal"/>
    <w:link w:val="FooterChar"/>
    <w:uiPriority w:val="99"/>
    <w:unhideWhenUsed/>
    <w:qFormat/>
    <w:rsid w:val="00316310"/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6310"/>
    <w:rPr>
      <w:sz w:val="16"/>
      <w:szCs w:val="24"/>
    </w:rPr>
  </w:style>
  <w:style w:type="paragraph" w:styleId="ListBullet">
    <w:name w:val="List Bullet"/>
    <w:basedOn w:val="Normal"/>
    <w:uiPriority w:val="2"/>
    <w:qFormat/>
    <w:rsid w:val="00316310"/>
    <w:pPr>
      <w:numPr>
        <w:numId w:val="5"/>
      </w:numPr>
      <w:spacing w:after="60"/>
    </w:pPr>
  </w:style>
  <w:style w:type="paragraph" w:styleId="ListBullet2">
    <w:name w:val="List Bullet 2"/>
    <w:basedOn w:val="Normal"/>
    <w:uiPriority w:val="2"/>
    <w:rsid w:val="00316310"/>
    <w:pPr>
      <w:numPr>
        <w:ilvl w:val="1"/>
        <w:numId w:val="5"/>
      </w:numPr>
      <w:spacing w:after="60"/>
    </w:pPr>
  </w:style>
  <w:style w:type="paragraph" w:styleId="ListBullet3">
    <w:name w:val="List Bullet 3"/>
    <w:basedOn w:val="Normal"/>
    <w:uiPriority w:val="2"/>
    <w:rsid w:val="00316310"/>
    <w:pPr>
      <w:numPr>
        <w:ilvl w:val="2"/>
        <w:numId w:val="5"/>
      </w:numPr>
      <w:spacing w:after="60"/>
    </w:pPr>
  </w:style>
  <w:style w:type="paragraph" w:styleId="ListBullet4">
    <w:name w:val="List Bullet 4"/>
    <w:basedOn w:val="Normal"/>
    <w:uiPriority w:val="2"/>
    <w:rsid w:val="00316310"/>
    <w:pPr>
      <w:numPr>
        <w:ilvl w:val="3"/>
        <w:numId w:val="5"/>
      </w:numPr>
      <w:spacing w:after="60"/>
    </w:pPr>
  </w:style>
  <w:style w:type="paragraph" w:styleId="ListBullet5">
    <w:name w:val="List Bullet 5"/>
    <w:basedOn w:val="Normal"/>
    <w:uiPriority w:val="2"/>
    <w:rsid w:val="00316310"/>
    <w:pPr>
      <w:numPr>
        <w:ilvl w:val="4"/>
        <w:numId w:val="5"/>
      </w:numPr>
      <w:spacing w:after="60"/>
    </w:pPr>
  </w:style>
  <w:style w:type="numbering" w:customStyle="1" w:styleId="AgencyBullets">
    <w:name w:val="Agency Bullets"/>
    <w:uiPriority w:val="99"/>
    <w:rsid w:val="00316310"/>
    <w:pPr>
      <w:numPr>
        <w:numId w:val="1"/>
      </w:numPr>
    </w:pPr>
  </w:style>
  <w:style w:type="paragraph" w:styleId="ListNumber">
    <w:name w:val="List Number"/>
    <w:basedOn w:val="Normal"/>
    <w:uiPriority w:val="2"/>
    <w:qFormat/>
    <w:rsid w:val="00316310"/>
    <w:pPr>
      <w:numPr>
        <w:numId w:val="6"/>
      </w:numPr>
      <w:spacing w:after="60"/>
    </w:pPr>
  </w:style>
  <w:style w:type="paragraph" w:styleId="ListNumber2">
    <w:name w:val="List Number 2"/>
    <w:basedOn w:val="Normal"/>
    <w:uiPriority w:val="2"/>
    <w:rsid w:val="00316310"/>
    <w:pPr>
      <w:numPr>
        <w:ilvl w:val="1"/>
        <w:numId w:val="6"/>
      </w:numPr>
      <w:spacing w:after="60"/>
    </w:pPr>
  </w:style>
  <w:style w:type="paragraph" w:styleId="ListNumber3">
    <w:name w:val="List Number 3"/>
    <w:basedOn w:val="Normal"/>
    <w:uiPriority w:val="2"/>
    <w:rsid w:val="00316310"/>
    <w:pPr>
      <w:numPr>
        <w:ilvl w:val="2"/>
        <w:numId w:val="6"/>
      </w:numPr>
      <w:spacing w:after="60"/>
    </w:pPr>
  </w:style>
  <w:style w:type="paragraph" w:styleId="ListNumber4">
    <w:name w:val="List Number 4"/>
    <w:basedOn w:val="Normal"/>
    <w:uiPriority w:val="2"/>
    <w:rsid w:val="00316310"/>
    <w:pPr>
      <w:numPr>
        <w:ilvl w:val="3"/>
        <w:numId w:val="6"/>
      </w:numPr>
      <w:spacing w:after="60"/>
    </w:pPr>
  </w:style>
  <w:style w:type="paragraph" w:styleId="ListNumber5">
    <w:name w:val="List Number 5"/>
    <w:basedOn w:val="Normal"/>
    <w:uiPriority w:val="2"/>
    <w:rsid w:val="00316310"/>
    <w:pPr>
      <w:numPr>
        <w:ilvl w:val="4"/>
        <w:numId w:val="6"/>
      </w:numPr>
      <w:spacing w:after="60"/>
    </w:pPr>
  </w:style>
  <w:style w:type="numbering" w:customStyle="1" w:styleId="AgencyNumbers">
    <w:name w:val="Agency Numbers"/>
    <w:uiPriority w:val="99"/>
    <w:rsid w:val="00316310"/>
    <w:pPr>
      <w:numPr>
        <w:numId w:val="2"/>
      </w:numPr>
    </w:pPr>
  </w:style>
  <w:style w:type="paragraph" w:styleId="BodyText">
    <w:name w:val="Body Text"/>
    <w:basedOn w:val="Normal"/>
    <w:link w:val="BodyTextChar"/>
    <w:qFormat/>
    <w:rsid w:val="00316310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316310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316310"/>
    <w:rPr>
      <w:rFonts w:asciiTheme="majorHAnsi" w:eastAsiaTheme="majorEastAsia" w:hAnsiTheme="majorHAnsi" w:cstheme="majorBidi"/>
      <w:b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3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16310"/>
  </w:style>
  <w:style w:type="character" w:customStyle="1" w:styleId="HeaderChar">
    <w:name w:val="Header Char"/>
    <w:basedOn w:val="DefaultParagraphFont"/>
    <w:link w:val="Header"/>
    <w:rsid w:val="00316310"/>
    <w:rPr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rsid w:val="00316310"/>
    <w:pPr>
      <w:keepNext/>
      <w:spacing w:after="200"/>
    </w:pPr>
    <w:rPr>
      <w:b/>
      <w:bCs/>
      <w:sz w:val="20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16310"/>
    <w:rPr>
      <w:rFonts w:asciiTheme="majorHAnsi" w:eastAsiaTheme="majorEastAsia" w:hAnsiTheme="majorHAnsi" w:cstheme="majorBidi"/>
      <w:b/>
      <w:bCs/>
      <w:i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316310"/>
    <w:rPr>
      <w:rFonts w:asciiTheme="majorHAnsi" w:eastAsiaTheme="majorEastAsia" w:hAnsiTheme="majorHAnsi" w:cstheme="majorBidi"/>
      <w:bCs/>
      <w:iCs/>
      <w:sz w:val="24"/>
      <w:szCs w:val="26"/>
    </w:rPr>
  </w:style>
  <w:style w:type="table" w:styleId="TableGrid">
    <w:name w:val="Table Grid"/>
    <w:basedOn w:val="TableNormal"/>
    <w:uiPriority w:val="59"/>
    <w:rsid w:val="00316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316310"/>
  </w:style>
  <w:style w:type="character" w:styleId="Hyperlink">
    <w:name w:val="Hyperlink"/>
    <w:basedOn w:val="DefaultParagraphFont"/>
    <w:uiPriority w:val="99"/>
    <w:unhideWhenUsed/>
    <w:rsid w:val="00316310"/>
    <w:rPr>
      <w:color w:val="0000FF" w:themeColor="hyperlink"/>
      <w:u w:val="single"/>
    </w:rPr>
  </w:style>
  <w:style w:type="table" w:customStyle="1" w:styleId="AgencyTable-Simple">
    <w:name w:val="Agency Table - Simple"/>
    <w:basedOn w:val="TableNormal"/>
    <w:uiPriority w:val="99"/>
    <w:qFormat/>
    <w:rsid w:val="00FF08A8"/>
    <w:pPr>
      <w:spacing w:after="0" w:line="240" w:lineRule="auto"/>
    </w:pPr>
    <w:rPr>
      <w:sz w:val="22"/>
    </w:rPr>
    <w:tblPr>
      <w:tblBorders>
        <w:top w:val="single" w:sz="4" w:space="0" w:color="auto"/>
        <w:bottom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i w:val="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LightList-Accent1">
    <w:name w:val="Light List Accent 1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3">
    <w:name w:val="Light Shading Accent 3"/>
    <w:basedOn w:val="TableNormal"/>
    <w:uiPriority w:val="60"/>
    <w:rsid w:val="0031631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List-Accent2">
    <w:name w:val="Light List Accent 2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Shading-Accent2">
    <w:name w:val="Light Shading Accent 2"/>
    <w:basedOn w:val="TableNormal"/>
    <w:uiPriority w:val="60"/>
    <w:rsid w:val="0031631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16310"/>
    <w:rPr>
      <w:color w:val="800080" w:themeColor="followedHyperlink"/>
      <w:u w:val="single"/>
    </w:rPr>
  </w:style>
  <w:style w:type="table" w:customStyle="1" w:styleId="Noborders">
    <w:name w:val="No borders"/>
    <w:basedOn w:val="TableNormal"/>
    <w:uiPriority w:val="99"/>
    <w:qFormat/>
    <w:rsid w:val="00316310"/>
    <w:pPr>
      <w:spacing w:after="0" w:line="240" w:lineRule="auto"/>
    </w:pPr>
    <w:tblPr>
      <w:tblCellMar>
        <w:top w:w="57" w:type="dxa"/>
        <w:bottom w:w="57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16310"/>
    <w:rPr>
      <w:color w:val="808080"/>
    </w:rPr>
  </w:style>
  <w:style w:type="table" w:customStyle="1" w:styleId="AgencyTable-Borders">
    <w:name w:val="Agency Table - Borders"/>
    <w:basedOn w:val="TableNormal"/>
    <w:uiPriority w:val="99"/>
    <w:qFormat/>
    <w:rsid w:val="003F7D47"/>
    <w:pPr>
      <w:spacing w:after="0" w:line="240" w:lineRule="auto"/>
    </w:pPr>
    <w:rPr>
      <w:rFonts w:eastAsiaTheme="minorEastAsia"/>
      <w:sz w:val="22"/>
      <w:lang w:val="en-US" w:bidi="en-US"/>
    </w:rPr>
    <w:tblPr>
      <w:tblStyleRowBandSize w:val="1"/>
      <w:tblStyleColBandSize w:val="1"/>
      <w:tblBorders>
        <w:top w:val="single" w:sz="8" w:space="0" w:color="808080" w:themeColor="background1" w:themeShade="80"/>
        <w:left w:val="single" w:sz="8" w:space="0" w:color="808080" w:themeColor="background1" w:themeShade="80"/>
        <w:bottom w:val="single" w:sz="8" w:space="0" w:color="808080" w:themeColor="background1" w:themeShade="80"/>
        <w:right w:val="single" w:sz="8" w:space="0" w:color="808080" w:themeColor="background1" w:themeShade="80"/>
        <w:insideH w:val="single" w:sz="6" w:space="0" w:color="808080" w:themeColor="background1" w:themeShade="80"/>
        <w:insideV w:val="single" w:sz="6" w:space="0" w:color="808080" w:themeColor="background1" w:themeShade="80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shd w:val="clear" w:color="auto" w:fill="E0E0E0"/>
      </w:tcPr>
    </w:tblStylePr>
    <w:tblStylePr w:type="lastRow">
      <w:rPr>
        <w:b/>
      </w:rPr>
      <w:tblPr/>
      <w:tcPr>
        <w:tc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  <w:tl2br w:val="nil"/>
          <w:tr2bl w:val="nil"/>
        </w:tcBorders>
        <w:shd w:val="clear" w:color="auto" w:fill="E0E0E0"/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styleId="TOCHeading">
    <w:name w:val="TOC Heading"/>
    <w:next w:val="Normal"/>
    <w:uiPriority w:val="39"/>
    <w:unhideWhenUsed/>
    <w:rsid w:val="00316310"/>
    <w:pPr>
      <w:spacing w:before="360"/>
    </w:pPr>
    <w:rPr>
      <w:rFonts w:ascii="Arial" w:eastAsiaTheme="majorEastAsia" w:hAnsi="Arial" w:cstheme="majorBidi"/>
      <w:b/>
      <w:bCs/>
      <w:sz w:val="28"/>
      <w:szCs w:val="28"/>
      <w:lang w:val="en-US" w:bidi="en-US"/>
    </w:rPr>
  </w:style>
  <w:style w:type="paragraph" w:styleId="TOC1">
    <w:name w:val="toc 1"/>
    <w:basedOn w:val="Normal"/>
    <w:next w:val="Normal"/>
    <w:autoRedefine/>
    <w:uiPriority w:val="39"/>
    <w:unhideWhenUsed/>
    <w:rsid w:val="00316310"/>
    <w:pPr>
      <w:tabs>
        <w:tab w:val="left" w:pos="567"/>
        <w:tab w:val="right" w:leader="dot" w:pos="9061"/>
      </w:tabs>
      <w:spacing w:after="100" w:line="264" w:lineRule="auto"/>
      <w:ind w:left="567" w:hanging="567"/>
    </w:pPr>
  </w:style>
  <w:style w:type="paragraph" w:styleId="TOC2">
    <w:name w:val="toc 2"/>
    <w:basedOn w:val="Normal"/>
    <w:next w:val="Normal"/>
    <w:autoRedefine/>
    <w:uiPriority w:val="39"/>
    <w:unhideWhenUsed/>
    <w:rsid w:val="00316310"/>
    <w:pPr>
      <w:tabs>
        <w:tab w:val="left" w:pos="1276"/>
        <w:tab w:val="right" w:leader="dot" w:pos="9061"/>
      </w:tabs>
      <w:spacing w:after="100" w:line="264" w:lineRule="auto"/>
      <w:ind w:left="1276" w:hanging="709"/>
    </w:pPr>
  </w:style>
  <w:style w:type="paragraph" w:styleId="TOC3">
    <w:name w:val="toc 3"/>
    <w:basedOn w:val="Normal"/>
    <w:next w:val="Normal"/>
    <w:autoRedefine/>
    <w:uiPriority w:val="39"/>
    <w:unhideWhenUsed/>
    <w:rsid w:val="00316310"/>
    <w:pPr>
      <w:tabs>
        <w:tab w:val="left" w:pos="1701"/>
        <w:tab w:val="right" w:leader="dot" w:pos="9072"/>
      </w:tabs>
      <w:spacing w:after="100" w:line="264" w:lineRule="auto"/>
      <w:ind w:left="1701" w:hanging="567"/>
    </w:pPr>
  </w:style>
  <w:style w:type="paragraph" w:customStyle="1" w:styleId="BodyTextSmall">
    <w:name w:val="Body Text Small"/>
    <w:basedOn w:val="BodyText"/>
    <w:qFormat/>
    <w:rsid w:val="00316310"/>
    <w:rPr>
      <w:sz w:val="20"/>
    </w:rPr>
  </w:style>
  <w:style w:type="numbering" w:customStyle="1" w:styleId="AgencyTableBullets">
    <w:name w:val="Agency Table Bullets"/>
    <w:uiPriority w:val="99"/>
    <w:rsid w:val="00316310"/>
    <w:pPr>
      <w:numPr>
        <w:numId w:val="3"/>
      </w:numPr>
    </w:pPr>
  </w:style>
  <w:style w:type="numbering" w:customStyle="1" w:styleId="AgencyTableNumbers">
    <w:name w:val="Agency Table Numbers"/>
    <w:uiPriority w:val="99"/>
    <w:rsid w:val="00316310"/>
    <w:pPr>
      <w:numPr>
        <w:numId w:val="4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316310"/>
    <w:rPr>
      <w:rFonts w:asciiTheme="majorHAnsi" w:eastAsiaTheme="majorEastAsia" w:hAnsiTheme="majorHAnsi" w:cstheme="majorBidi"/>
      <w:bCs/>
      <w:i/>
      <w:sz w:val="24"/>
      <w:szCs w:val="26"/>
    </w:rPr>
  </w:style>
  <w:style w:type="paragraph" w:styleId="ListParagraph">
    <w:name w:val="List Paragraph"/>
    <w:basedOn w:val="Normal"/>
    <w:uiPriority w:val="34"/>
    <w:rsid w:val="00316310"/>
    <w:pPr>
      <w:ind w:left="720"/>
      <w:contextualSpacing/>
    </w:pPr>
  </w:style>
  <w:style w:type="paragraph" w:customStyle="1" w:styleId="Notetext">
    <w:name w:val="Note text"/>
    <w:basedOn w:val="Normal"/>
    <w:uiPriority w:val="8"/>
    <w:qFormat/>
    <w:rsid w:val="00316310"/>
    <w:pPr>
      <w:pBdr>
        <w:left w:val="single" w:sz="36" w:space="4" w:color="CCCCCC"/>
      </w:pBdr>
    </w:pPr>
    <w:rPr>
      <w:sz w:val="20"/>
    </w:rPr>
  </w:style>
  <w:style w:type="paragraph" w:styleId="Subtitle">
    <w:name w:val="Subtitle"/>
    <w:basedOn w:val="Normal"/>
    <w:next w:val="Normal"/>
    <w:link w:val="SubtitleChar"/>
    <w:uiPriority w:val="11"/>
    <w:rsid w:val="00316310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6310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customStyle="1" w:styleId="TableText">
    <w:name w:val="Table Text"/>
    <w:basedOn w:val="Normal"/>
    <w:link w:val="TableTextChar"/>
    <w:uiPriority w:val="3"/>
    <w:qFormat/>
    <w:rsid w:val="00316310"/>
    <w:rPr>
      <w:rFonts w:eastAsiaTheme="minorEastAsia"/>
      <w:sz w:val="22"/>
      <w:szCs w:val="22"/>
      <w:lang w:val="en-US" w:bidi="en-US"/>
    </w:rPr>
  </w:style>
  <w:style w:type="character" w:customStyle="1" w:styleId="TableTextChar">
    <w:name w:val="Table Text Char"/>
    <w:basedOn w:val="DefaultParagraphFont"/>
    <w:link w:val="TableText"/>
    <w:uiPriority w:val="3"/>
    <w:rsid w:val="00316310"/>
    <w:rPr>
      <w:rFonts w:eastAsiaTheme="minorEastAsia"/>
      <w:lang w:val="en-US" w:bidi="en-US"/>
    </w:rPr>
  </w:style>
  <w:style w:type="paragraph" w:customStyle="1" w:styleId="TableBullet">
    <w:name w:val="Table Bullet"/>
    <w:basedOn w:val="TableText"/>
    <w:uiPriority w:val="4"/>
    <w:qFormat/>
    <w:rsid w:val="00316310"/>
    <w:pPr>
      <w:numPr>
        <w:numId w:val="7"/>
      </w:numPr>
    </w:pPr>
  </w:style>
  <w:style w:type="paragraph" w:customStyle="1" w:styleId="TableNumber">
    <w:name w:val="Table Number"/>
    <w:basedOn w:val="TableText"/>
    <w:uiPriority w:val="4"/>
    <w:qFormat/>
    <w:rsid w:val="00316310"/>
    <w:pPr>
      <w:numPr>
        <w:numId w:val="8"/>
      </w:numPr>
    </w:pPr>
  </w:style>
  <w:style w:type="paragraph" w:customStyle="1" w:styleId="TableTextSmall">
    <w:name w:val="Table Text Small"/>
    <w:basedOn w:val="TableText"/>
    <w:link w:val="TableTextSmallChar"/>
    <w:uiPriority w:val="3"/>
    <w:qFormat/>
    <w:rsid w:val="00316310"/>
    <w:rPr>
      <w:sz w:val="20"/>
    </w:rPr>
  </w:style>
  <w:style w:type="paragraph" w:styleId="Title">
    <w:name w:val="Title"/>
    <w:basedOn w:val="Normal"/>
    <w:next w:val="Normal"/>
    <w:link w:val="TitleChar"/>
    <w:uiPriority w:val="10"/>
    <w:rsid w:val="00316310"/>
    <w:pPr>
      <w:pBdr>
        <w:bottom w:val="single" w:sz="8" w:space="4" w:color="auto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6310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table" w:styleId="LightShading-Accent1">
    <w:name w:val="Light Shading Accent 1"/>
    <w:basedOn w:val="TableNormal"/>
    <w:uiPriority w:val="60"/>
    <w:rsid w:val="008901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7Char">
    <w:name w:val="Heading 7 Char"/>
    <w:basedOn w:val="DefaultParagraphFont"/>
    <w:link w:val="Heading7"/>
    <w:uiPriority w:val="9"/>
    <w:rsid w:val="00FA3B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860F4E"/>
    <w:rPr>
      <w:b/>
      <w:bCs/>
      <w:i/>
      <w:iCs/>
      <w:color w:val="C0504D" w:themeColor="accent2"/>
    </w:rPr>
  </w:style>
  <w:style w:type="paragraph" w:styleId="Quote">
    <w:name w:val="Quote"/>
    <w:basedOn w:val="Normal"/>
    <w:next w:val="Normal"/>
    <w:link w:val="QuoteChar"/>
    <w:uiPriority w:val="29"/>
    <w:rsid w:val="00860F4E"/>
    <w:pPr>
      <w:ind w:left="737" w:right="737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60F4E"/>
    <w:rPr>
      <w:i/>
      <w:iCs/>
      <w:color w:val="000000" w:themeColor="text1"/>
    </w:rPr>
  </w:style>
  <w:style w:type="character" w:customStyle="1" w:styleId="TableTextSmallChar">
    <w:name w:val="Table Text Small Char"/>
    <w:basedOn w:val="TableTextChar"/>
    <w:link w:val="TableTextSmall"/>
    <w:uiPriority w:val="3"/>
    <w:rsid w:val="00307B64"/>
    <w:rPr>
      <w:rFonts w:eastAsiaTheme="minorEastAsia"/>
      <w:sz w:val="20"/>
      <w:szCs w:val="22"/>
      <w:lang w:val="en-US" w:bidi="en-US"/>
    </w:rPr>
  </w:style>
  <w:style w:type="paragraph" w:styleId="NoSpacing">
    <w:name w:val="No Spacing"/>
    <w:uiPriority w:val="1"/>
    <w:qFormat/>
    <w:rsid w:val="006F54DD"/>
    <w:pPr>
      <w:spacing w:after="0" w:line="240" w:lineRule="auto"/>
    </w:pPr>
    <w:rPr>
      <w:rFonts w:eastAsiaTheme="minorHAnsi"/>
      <w:color w:val="1F497D" w:themeColor="text2"/>
      <w:sz w:val="20"/>
      <w:szCs w:val="20"/>
      <w:lang w:val="en-US"/>
    </w:rPr>
  </w:style>
  <w:style w:type="table" w:styleId="GridTable5Dark-Accent1">
    <w:name w:val="Grid Table 5 Dark Accent 1"/>
    <w:basedOn w:val="TableNormal"/>
    <w:uiPriority w:val="50"/>
    <w:rsid w:val="004E76B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ListTable3-Accent1">
    <w:name w:val="List Table 3 Accent 1"/>
    <w:basedOn w:val="TableNormal"/>
    <w:uiPriority w:val="48"/>
    <w:rsid w:val="00F8185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BodyTextFirstIndent">
    <w:name w:val="Body Text First Indent"/>
    <w:basedOn w:val="BodyText"/>
    <w:link w:val="BodyTextFirstIndentChar"/>
    <w:rsid w:val="00C62D73"/>
    <w:pPr>
      <w:spacing w:after="120" w:line="240" w:lineRule="auto"/>
      <w:ind w:firstLine="210"/>
      <w:jc w:val="both"/>
    </w:pPr>
    <w:rPr>
      <w:rFonts w:ascii="Arial" w:hAnsi="Arial" w:cs="Times New Roman"/>
    </w:rPr>
  </w:style>
  <w:style w:type="character" w:customStyle="1" w:styleId="BodyTextFirstIndentChar">
    <w:name w:val="Body Text First Indent Char"/>
    <w:basedOn w:val="BodyTextChar"/>
    <w:link w:val="BodyTextFirstIndent"/>
    <w:rsid w:val="00C62D73"/>
    <w:rPr>
      <w:rFonts w:ascii="Arial" w:hAnsi="Arial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0F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0F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0F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0F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0F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5.emf"/><Relationship Id="rId26" Type="http://schemas.openxmlformats.org/officeDocument/2006/relationships/image" Target="media/image13.emf"/><Relationship Id="rId39" Type="http://schemas.openxmlformats.org/officeDocument/2006/relationships/image" Target="media/image26.emf"/><Relationship Id="rId21" Type="http://schemas.openxmlformats.org/officeDocument/2006/relationships/image" Target="media/image8.emf"/><Relationship Id="rId34" Type="http://schemas.openxmlformats.org/officeDocument/2006/relationships/image" Target="media/image21.emf"/><Relationship Id="rId42" Type="http://schemas.openxmlformats.org/officeDocument/2006/relationships/image" Target="media/image29.emf"/><Relationship Id="rId47" Type="http://schemas.openxmlformats.org/officeDocument/2006/relationships/image" Target="media/image34.emf"/><Relationship Id="rId50" Type="http://schemas.openxmlformats.org/officeDocument/2006/relationships/image" Target="media/image37.emf"/><Relationship Id="rId55" Type="http://schemas.openxmlformats.org/officeDocument/2006/relationships/image" Target="media/image42.emf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image" Target="media/image4.emf"/><Relationship Id="rId25" Type="http://schemas.openxmlformats.org/officeDocument/2006/relationships/image" Target="media/image12.emf"/><Relationship Id="rId33" Type="http://schemas.openxmlformats.org/officeDocument/2006/relationships/image" Target="media/image20.emf"/><Relationship Id="rId38" Type="http://schemas.openxmlformats.org/officeDocument/2006/relationships/image" Target="media/image25.emf"/><Relationship Id="rId46" Type="http://schemas.openxmlformats.org/officeDocument/2006/relationships/image" Target="media/image33.emf"/><Relationship Id="rId59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20" Type="http://schemas.openxmlformats.org/officeDocument/2006/relationships/image" Target="media/image7.emf"/><Relationship Id="rId29" Type="http://schemas.openxmlformats.org/officeDocument/2006/relationships/image" Target="media/image16.emf"/><Relationship Id="rId41" Type="http://schemas.openxmlformats.org/officeDocument/2006/relationships/image" Target="media/image28.emf"/><Relationship Id="rId54" Type="http://schemas.openxmlformats.org/officeDocument/2006/relationships/image" Target="media/image41.emf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1.emf"/><Relationship Id="rId32" Type="http://schemas.openxmlformats.org/officeDocument/2006/relationships/image" Target="media/image19.emf"/><Relationship Id="rId37" Type="http://schemas.openxmlformats.org/officeDocument/2006/relationships/image" Target="media/image24.emf"/><Relationship Id="rId40" Type="http://schemas.openxmlformats.org/officeDocument/2006/relationships/image" Target="media/image27.emf"/><Relationship Id="rId45" Type="http://schemas.openxmlformats.org/officeDocument/2006/relationships/image" Target="media/image32.png"/><Relationship Id="rId53" Type="http://schemas.openxmlformats.org/officeDocument/2006/relationships/image" Target="media/image40.emf"/><Relationship Id="rId58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2.emf"/><Relationship Id="rId23" Type="http://schemas.openxmlformats.org/officeDocument/2006/relationships/image" Target="media/image10.emf"/><Relationship Id="rId28" Type="http://schemas.openxmlformats.org/officeDocument/2006/relationships/image" Target="media/image15.emf"/><Relationship Id="rId36" Type="http://schemas.openxmlformats.org/officeDocument/2006/relationships/image" Target="media/image23.emf"/><Relationship Id="rId49" Type="http://schemas.openxmlformats.org/officeDocument/2006/relationships/image" Target="media/image36.emf"/><Relationship Id="rId57" Type="http://schemas.openxmlformats.org/officeDocument/2006/relationships/image" Target="media/image44.emf"/><Relationship Id="rId10" Type="http://schemas.openxmlformats.org/officeDocument/2006/relationships/footnotes" Target="footnotes.xml"/><Relationship Id="rId19" Type="http://schemas.openxmlformats.org/officeDocument/2006/relationships/image" Target="media/image6.emf"/><Relationship Id="rId31" Type="http://schemas.openxmlformats.org/officeDocument/2006/relationships/image" Target="media/image18.emf"/><Relationship Id="rId44" Type="http://schemas.openxmlformats.org/officeDocument/2006/relationships/image" Target="media/image31.emf"/><Relationship Id="rId52" Type="http://schemas.openxmlformats.org/officeDocument/2006/relationships/image" Target="media/image39.e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Relationship Id="rId22" Type="http://schemas.openxmlformats.org/officeDocument/2006/relationships/image" Target="media/image9.emf"/><Relationship Id="rId27" Type="http://schemas.openxmlformats.org/officeDocument/2006/relationships/image" Target="media/image14.emf"/><Relationship Id="rId30" Type="http://schemas.openxmlformats.org/officeDocument/2006/relationships/image" Target="media/image17.emf"/><Relationship Id="rId35" Type="http://schemas.openxmlformats.org/officeDocument/2006/relationships/image" Target="media/image22.emf"/><Relationship Id="rId43" Type="http://schemas.openxmlformats.org/officeDocument/2006/relationships/image" Target="media/image30.emf"/><Relationship Id="rId48" Type="http://schemas.openxmlformats.org/officeDocument/2006/relationships/image" Target="media/image35.emf"/><Relationship Id="rId56" Type="http://schemas.openxmlformats.org/officeDocument/2006/relationships/image" Target="media/image43.emf"/><Relationship Id="rId8" Type="http://schemas.openxmlformats.org/officeDocument/2006/relationships/settings" Target="settings.xml"/><Relationship Id="rId51" Type="http://schemas.openxmlformats.org/officeDocument/2006/relationships/image" Target="media/image38.emf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urDocsIsRecordsDocument xmlns="0c56a47d-469b-460c-81a1-345d54cdeeee">false</OurDocsIsRecordsDocument>
    <OurDocsDataStore xmlns="0c56a47d-469b-460c-81a1-345d54cdeeee">Central</OurDocsDataStore>
    <OurDocsDocId xmlns="0c56a47d-469b-460c-81a1-345d54cdeeee">001958policy.data</OurDocsDocId>
    <OurDocsVersionCreatedBy xmlns="0c56a47d-469b-460c-81a1-345d54cdeeee">MIDSDMT</OurDocsVersionCreatedBy>
    <OurDocsIsLocked xmlns="0c56a47d-469b-460c-81a1-345d54cdeeee">false</OurDocsIsLocked>
    <OurDocsDocumentType xmlns="0c56a47d-469b-460c-81a1-345d54cdeeee">Web Document</OurDocsDocumentType>
    <OurDocsFileNumbers xmlns="0c56a47d-469b-460c-81a1-345d54cdeeee" xsi:nil="true"/>
    <OurDocsLockedOnBehalfOf xmlns="0c56a47d-469b-460c-81a1-345d54cdeeee" xsi:nil="true"/>
    <OurDocsDocumentDate xmlns="0c56a47d-469b-460c-81a1-345d54cdeeee">2020-11-08T16:00:00+00:00</OurDocsDocumentDate>
    <OurDocsVersionCreatedAt xmlns="0c56a47d-469b-460c-81a1-345d54cdeeee">2020-11-09T00:35:37+00:00</OurDocsVersionCreatedAt>
    <OurDocsReleaseClassification xmlns="0c56a47d-469b-460c-81a1-345d54cdeeee">For Public Release</OurDocsReleaseClassification>
    <OurDocsTitle xmlns="0c56a47d-469b-460c-81a1-345d54cdeeee">WA Economic Profile and COVID-19 Supplement - Master</OurDocsTitle>
    <OurDocsLocation xmlns="0c56a47d-469b-460c-81a1-345d54cdeeee">Perth</OurDocsLocation>
    <OurDocsDescription xmlns="0c56a47d-469b-460c-81a1-345d54cdeeee" xsi:nil="true"/>
    <OurDocsVersionReason xmlns="0c56a47d-469b-460c-81a1-345d54cdeeee" xsi:nil="true"/>
    <OurDocsAuthor xmlns="0c56a47d-469b-460c-81a1-345d54cdeeee">Mike Thomas</OurDocsAuthor>
    <OurDocsLockedBy xmlns="0c56a47d-469b-460c-81a1-345d54cdeeee" xsi:nil="true"/>
    <OurDocsLockedOn xmlns="0c56a47d-469b-460c-81a1-345d54cdeeee" xsi:nil="true"/>
    <OurDocsVersionNumber xmlns="0c56a47d-469b-460c-81a1-345d54cdeeee">1</OurDocsVersionNumber>
    <OurDocsDocumentSource xmlns="0c56a47d-469b-460c-81a1-345d54cdeeee">Internal</OurDocsDocumentSource>
  </documentManagement>
</p:properties>
</file>

<file path=customXml/item3.xml><?xml version="1.0" encoding="utf-8"?>
<?mso-contentType ?>
<SharedContentType xmlns="Microsoft.SharePoint.Taxonomy.ContentTypeSync" SourceId="bc37dfbe-9a1a-4235-abd7-8bc54474f3d7" ContentTypeId="0x0101000AC6246A9CD2FC45B52DC6FEC0F0AAAA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OurDocs Document" ma:contentTypeID="0x0101000AC6246A9CD2FC45B52DC6FEC0F0AAAA002C39F3B3B96C1F4B98517E6443C184DE" ma:contentTypeVersion="12" ma:contentTypeDescription="Create a new document." ma:contentTypeScope="" ma:versionID="7fd6e5eedbd6d6bbc4f050dbc7b7190a">
  <xsd:schema xmlns:xsd="http://www.w3.org/2001/XMLSchema" xmlns:xs="http://www.w3.org/2001/XMLSchema" xmlns:p="http://schemas.microsoft.com/office/2006/metadata/properties" xmlns:ns2="0c56a47d-469b-460c-81a1-345d54cdeeee" targetNamespace="http://schemas.microsoft.com/office/2006/metadata/properties" ma:root="true" ma:fieldsID="92f4de51a2ba04263f7c8fc2be9dabf8" ns2:_="">
    <xsd:import namespace="0c56a47d-469b-460c-81a1-345d54cdeeee"/>
    <xsd:element name="properties">
      <xsd:complexType>
        <xsd:sequence>
          <xsd:element name="documentManagement">
            <xsd:complexType>
              <xsd:all>
                <xsd:element ref="ns2:OurDocsDataStore"/>
                <xsd:element ref="ns2:OurDocsDocId"/>
                <xsd:element ref="ns2:OurDocsVersionNumber"/>
                <xsd:element ref="ns2:OurDocsIsRecordsDocument" minOccurs="0"/>
                <xsd:element ref="ns2:OurDocsIsLocked" minOccurs="0"/>
                <xsd:element ref="ns2:OurDocsTitle" minOccurs="0"/>
                <xsd:element ref="ns2:OurDocsDescription" minOccurs="0"/>
                <xsd:element ref="ns2:OurDocsAuthor" minOccurs="0"/>
                <xsd:element ref="ns2:OurDocsLocation" minOccurs="0"/>
                <xsd:element ref="ns2:OurDocsReleaseClassification" minOccurs="0"/>
                <xsd:element ref="ns2:OurDocsDocumentType" minOccurs="0"/>
                <xsd:element ref="ns2:OurDocsDocumentDate" minOccurs="0"/>
                <xsd:element ref="ns2:OurDocsDocumentSource" minOccurs="0"/>
                <xsd:element ref="ns2:OurDocsFileNumbers" minOccurs="0"/>
                <xsd:element ref="ns2:OurDocsLockedBy" minOccurs="0"/>
                <xsd:element ref="ns2:OurDocsLockedOnBehalfOf" minOccurs="0"/>
                <xsd:element ref="ns2:OurDocsLockedOn" minOccurs="0"/>
                <xsd:element ref="ns2:OurDocsVersionCreatedBy" minOccurs="0"/>
                <xsd:element ref="ns2:OurDocsVersionCreatedAt" minOccurs="0"/>
                <xsd:element ref="ns2:OurDocsVersionRea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6a47d-469b-460c-81a1-345d54cdeeee" elementFormDefault="qualified">
    <xsd:import namespace="http://schemas.microsoft.com/office/2006/documentManagement/types"/>
    <xsd:import namespace="http://schemas.microsoft.com/office/infopath/2007/PartnerControls"/>
    <xsd:element name="OurDocsDataStore" ma:index="8" ma:displayName="DataStore" ma:internalName="OurDocsDataStore">
      <xsd:simpleType>
        <xsd:restriction base="dms:Text"/>
      </xsd:simpleType>
    </xsd:element>
    <xsd:element name="OurDocsDocId" ma:index="9" ma:displayName="DocId" ma:internalName="OurDocsDocId">
      <xsd:simpleType>
        <xsd:restriction base="dms:Text"/>
      </xsd:simpleType>
    </xsd:element>
    <xsd:element name="OurDocsVersionNumber" ma:index="10" ma:displayName="VersionNumber" ma:internalName="OurDocsVersionNumber">
      <xsd:simpleType>
        <xsd:restriction base="dms:Text"/>
      </xsd:simpleType>
    </xsd:element>
    <xsd:element name="OurDocsIsRecordsDocument" ma:index="11" nillable="true" ma:displayName="IsRecordsDocument" ma:internalName="OurDocsIsRecordsDocument">
      <xsd:simpleType>
        <xsd:restriction base="dms:Boolean"/>
      </xsd:simpleType>
    </xsd:element>
    <xsd:element name="OurDocsIsLocked" ma:index="12" nillable="true" ma:displayName="IsLocked" ma:internalName="OurDocsIsLocked">
      <xsd:simpleType>
        <xsd:restriction base="dms:Boolean"/>
      </xsd:simpleType>
    </xsd:element>
    <xsd:element name="OurDocsTitle" ma:index="13" nillable="true" ma:displayName="Title" ma:internalName="OurDocsTitle">
      <xsd:simpleType>
        <xsd:restriction base="dms:Text"/>
      </xsd:simpleType>
    </xsd:element>
    <xsd:element name="OurDocsDescription" ma:index="14" nillable="true" ma:displayName="Description" ma:internalName="OurDocsDescription">
      <xsd:simpleType>
        <xsd:restriction base="dms:Note">
          <xsd:maxLength value="255"/>
        </xsd:restriction>
      </xsd:simpleType>
    </xsd:element>
    <xsd:element name="OurDocsAuthor" ma:index="15" nillable="true" ma:displayName="Author" ma:internalName="OurDocsAuthor">
      <xsd:simpleType>
        <xsd:restriction base="dms:Text"/>
      </xsd:simpleType>
    </xsd:element>
    <xsd:element name="OurDocsLocation" ma:index="16" nillable="true" ma:displayName="Location" ma:internalName="OurDocsLocation">
      <xsd:simpleType>
        <xsd:restriction base="dms:Text"/>
      </xsd:simpleType>
    </xsd:element>
    <xsd:element name="OurDocsReleaseClassification" ma:index="17" nillable="true" ma:displayName="ReleaseClassification" ma:internalName="OurDocsReleaseClassification">
      <xsd:simpleType>
        <xsd:restriction base="dms:Choice">
          <xsd:enumeration value="Departmental Use Only"/>
          <xsd:enumeration value="Within Government Only"/>
          <xsd:enumeration value="Addressee Use Only"/>
          <xsd:enumeration value="Addressee and Within Government Only"/>
          <xsd:enumeration value="For Public Release"/>
          <xsd:enumeration value="UNKNOWN"/>
        </xsd:restriction>
      </xsd:simpleType>
    </xsd:element>
    <xsd:element name="OurDocsDocumentType" ma:index="18" nillable="true" ma:displayName="DocumentType" ma:internalName="OurDocsDocumentType">
      <xsd:simpleType>
        <xsd:restriction base="dms:Choice">
          <xsd:enumeration value="Administration"/>
          <xsd:enumeration value="Agenda"/>
          <xsd:enumeration value="Appointment"/>
          <xsd:enumeration value="Briefing Note"/>
          <xsd:enumeration value="Corporate Executive"/>
          <xsd:enumeration value="Corporate Form"/>
          <xsd:enumeration value="Corporate Policy"/>
          <xsd:enumeration value="Corporate Procedure"/>
          <xsd:enumeration value="Document"/>
          <xsd:enumeration value="Documentation"/>
          <xsd:enumeration value="Email"/>
          <xsd:enumeration value="External Presentations"/>
          <xsd:enumeration value="External Published Document"/>
          <xsd:enumeration value="Facsimile"/>
          <xsd:enumeration value="File"/>
          <xsd:enumeration value="File Note"/>
          <xsd:enumeration value="Form"/>
          <xsd:enumeration value="Incident Report"/>
          <xsd:enumeration value="Internal Memo"/>
          <xsd:enumeration value="Internal Presentations"/>
          <xsd:enumeration value="Investigation Document"/>
          <xsd:enumeration value="Letter"/>
          <xsd:enumeration value="Major Private Project Status Report"/>
          <xsd:enumeration value="Map"/>
          <xsd:enumeration value="Memorandum"/>
          <xsd:enumeration value="Ministerial"/>
          <xsd:enumeration value="Minutes"/>
          <xsd:enumeration value="Note"/>
          <xsd:enumeration value="Official Presentation"/>
          <xsd:enumeration value="Official Presentations"/>
          <xsd:enumeration value="Operational Plan"/>
          <xsd:enumeration value="Other"/>
          <xsd:enumeration value="Permit"/>
          <xsd:enumeration value="Photos"/>
          <xsd:enumeration value="Policy"/>
          <xsd:enumeration value="Post Implementation Review"/>
          <xsd:enumeration value="Press Clipping"/>
          <xsd:enumeration value="Press Release"/>
          <xsd:enumeration value="Procurement"/>
          <xsd:enumeration value="Procedure"/>
          <xsd:enumeration value="Project Plan"/>
          <xsd:enumeration value="Project Proposal"/>
          <xsd:enumeration value="Quote"/>
          <xsd:enumeration value="Report"/>
          <xsd:enumeration value="Service Level Worksheets"/>
          <xsd:enumeration value="Speech"/>
          <xsd:enumeration value="Standard Project Data"/>
          <xsd:enumeration value="State Initiated Status Report"/>
          <xsd:enumeration value="Training"/>
          <xsd:enumeration value="Web Document"/>
        </xsd:restriction>
      </xsd:simpleType>
    </xsd:element>
    <xsd:element name="OurDocsDocumentDate" ma:index="19" nillable="true" ma:displayName="DocumentDate" ma:internalName="OurDocsDocumentDate">
      <xsd:simpleType>
        <xsd:restriction base="dms:DateTime"/>
      </xsd:simpleType>
    </xsd:element>
    <xsd:element name="OurDocsDocumentSource" ma:index="20" nillable="true" ma:displayName="DocumentSource" ma:internalName="OurDocsDocumentSource">
      <xsd:simpleType>
        <xsd:restriction base="dms:Choice">
          <xsd:enumeration value="Internal"/>
          <xsd:enumeration value="External"/>
          <xsd:enumeration value="UNKNOWN"/>
        </xsd:restriction>
      </xsd:simpleType>
    </xsd:element>
    <xsd:element name="OurDocsFileNumbers" ma:index="21" nillable="true" ma:displayName="FileNumbers" ma:internalName="OurDocsFileNumbers">
      <xsd:simpleType>
        <xsd:restriction base="dms:Note">
          <xsd:maxLength value="255"/>
        </xsd:restriction>
      </xsd:simpleType>
    </xsd:element>
    <xsd:element name="OurDocsLockedBy" ma:index="22" nillable="true" ma:displayName="LockedBy" ma:internalName="OurDocsLockedBy">
      <xsd:simpleType>
        <xsd:restriction base="dms:Text"/>
      </xsd:simpleType>
    </xsd:element>
    <xsd:element name="OurDocsLockedOnBehalfOf" ma:index="23" nillable="true" ma:displayName="LockedOnBehalfOf" ma:internalName="OurDocsLockedOnBehalfOf">
      <xsd:simpleType>
        <xsd:restriction base="dms:Text"/>
      </xsd:simpleType>
    </xsd:element>
    <xsd:element name="OurDocsLockedOn" ma:index="24" nillable="true" ma:displayName="LockedOn" ma:internalName="OurDocsLockedOn">
      <xsd:simpleType>
        <xsd:restriction base="dms:DateTime"/>
      </xsd:simpleType>
    </xsd:element>
    <xsd:element name="OurDocsVersionCreatedBy" ma:index="25" nillable="true" ma:displayName="VersionCreatedBy" ma:internalName="OurDocsVersionCreatedBy">
      <xsd:simpleType>
        <xsd:restriction base="dms:Text"/>
      </xsd:simpleType>
    </xsd:element>
    <xsd:element name="OurDocsVersionCreatedAt" ma:index="26" nillable="true" ma:displayName="VersionCreatedAt" ma:internalName="OurDocsVersionCreatedAt">
      <xsd:simpleType>
        <xsd:restriction base="dms:DateTime"/>
      </xsd:simpleType>
    </xsd:element>
    <xsd:element name="OurDocsVersionReason" ma:index="27" nillable="true" ma:displayName="VersionReason" ma:internalName="OurDocsVersionReas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7A603-8655-4377-B5AF-9C4AEFDEE1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D0ADC5-CA70-492B-ADE4-CBBC617A269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c56a47d-469b-460c-81a1-345d54cdeee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B236F10-6820-4C99-BAD6-223067010C9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3C72159-1B62-44CC-A7FA-AAEF1A625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56a47d-469b-460c-81a1-345d54cde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60AE783-78D1-435C-994E-E57368964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6457</Words>
  <Characters>36099</Characters>
  <Application>Microsoft Office Word</Application>
  <DocSecurity>0</DocSecurity>
  <Lines>1388</Lines>
  <Paragraphs>925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 Economic Profile and COVID-19 Supplement - Master</vt:lpstr>
    </vt:vector>
  </TitlesOfParts>
  <Company>Department of Mines and Petroleum</Company>
  <LinksUpToDate>false</LinksUpToDate>
  <CharactersWithSpaces>41631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 Economic Profile and COVID-19 Supplement - Master</dc:title>
  <dc:subject/>
  <dc:creator>Mike Thomas</dc:creator>
  <cp:keywords/>
  <dc:description/>
  <cp:lastModifiedBy>THOMAS, Mike</cp:lastModifiedBy>
  <cp:revision>2</cp:revision>
  <cp:lastPrinted>2020-11-27T02:32:00Z</cp:lastPrinted>
  <dcterms:created xsi:type="dcterms:W3CDTF">2020-12-08T03:31:00Z</dcterms:created>
  <dcterms:modified xsi:type="dcterms:W3CDTF">2020-12-08T03:31:00Z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0x0101000AC6246A9CD2FC45B52DC6FEC0F0AAAA002C39F3B3B96C1F4B98517E6443C184DE</vt:lpwstr>
  </property>
  <property fmtid="{D5CDD505-2E9C-101B-9397-08002B2CF9AE}" pid="3" name="DataStore">
    <vt:lpwstr>Central</vt:lpwstr>
  </property>
</Properties>
</file>