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108" w14:textId="1318C98C" w:rsidR="000F2514" w:rsidRPr="00CA3EB7" w:rsidRDefault="00CA3EB7" w:rsidP="000F2514">
      <w:pPr>
        <w:pStyle w:val="Dateline"/>
        <w:rPr>
          <w:b/>
          <w:bCs/>
          <w:sz w:val="32"/>
          <w:szCs w:val="32"/>
        </w:rPr>
      </w:pPr>
      <w:r w:rsidRPr="00CA3EB7">
        <w:rPr>
          <w:b/>
          <w:bCs/>
          <w:sz w:val="32"/>
          <w:szCs w:val="32"/>
        </w:rPr>
        <w:t>TEMPLATE</w:t>
      </w:r>
    </w:p>
    <w:p w14:paraId="14E33D29" w14:textId="4E9BB650" w:rsidR="000F2514" w:rsidRDefault="00FE0004" w:rsidP="000C36CD">
      <w:pPr>
        <w:pStyle w:val="Title"/>
      </w:pPr>
      <w:r>
        <w:t xml:space="preserve">Generator Performance Standards Dispute Resolution Notice </w:t>
      </w:r>
      <w:r w:rsidR="00855997">
        <w:t xml:space="preserve">- </w:t>
      </w:r>
      <w:r w:rsidR="003C3ADC">
        <w:t>Response</w:t>
      </w:r>
    </w:p>
    <w:p w14:paraId="39692BE1" w14:textId="77777777" w:rsidR="00CA3EB7" w:rsidRDefault="00CA3EB7" w:rsidP="00971015">
      <w:pPr>
        <w:pStyle w:val="ColumnStart"/>
      </w:pPr>
    </w:p>
    <w:p w14:paraId="6C06F934" w14:textId="38F8BCA1" w:rsidR="008C4C4A" w:rsidRPr="00971015" w:rsidRDefault="00CA3EB7" w:rsidP="00971015">
      <w:pPr>
        <w:pStyle w:val="ColumnStart"/>
      </w:pPr>
      <w:r>
        <w:rPr>
          <w:noProof/>
        </w:rPr>
        <mc:AlternateContent>
          <mc:Choice Requires="wps">
            <w:drawing>
              <wp:anchor distT="0" distB="0" distL="114300" distR="114300" simplePos="0" relativeHeight="251686912" behindDoc="0" locked="0" layoutInCell="1" allowOverlap="1" wp14:anchorId="050A6BA9" wp14:editId="51C47D0F">
                <wp:simplePos x="0" y="0"/>
                <wp:positionH relativeFrom="column">
                  <wp:posOffset>-165312</wp:posOffset>
                </wp:positionH>
                <wp:positionV relativeFrom="page">
                  <wp:posOffset>3361055</wp:posOffset>
                </wp:positionV>
                <wp:extent cx="6756400" cy="2827655"/>
                <wp:effectExtent l="0" t="0" r="25400" b="10795"/>
                <wp:wrapNone/>
                <wp:docPr id="21" name="Rectangle 21"/>
                <wp:cNvGraphicFramePr/>
                <a:graphic xmlns:a="http://schemas.openxmlformats.org/drawingml/2006/main">
                  <a:graphicData uri="http://schemas.microsoft.com/office/word/2010/wordprocessingShape">
                    <wps:wsp>
                      <wps:cNvSpPr/>
                      <wps:spPr>
                        <a:xfrm>
                          <a:off x="0" y="0"/>
                          <a:ext cx="6756400" cy="2827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DD0BF" id="Rectangle 21" o:spid="_x0000_s1026" style="position:absolute;margin-left:-13pt;margin-top:264.65pt;width:532pt;height:222.65pt;z-index:2516869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" filled="f" strokecolor="#004863 [1604]" strokeweight="2pt">
                <w10:wrap anchory="page"/>
              </v:rect>
            </w:pict>
          </mc:Fallback>
        </mc:AlternateContent>
      </w:r>
    </w:p>
    <w:p w14:paraId="696BF886" w14:textId="69589846"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Dispute resolution mechanism under Section 1.42 of the </w:t>
      </w:r>
      <w:hyperlink r:id="rId11" w:history="1">
        <w:r w:rsidRPr="009F1B41">
          <w:rPr>
            <w:rStyle w:val="Hyperlink"/>
            <w:i/>
            <w:iCs/>
            <w:sz w:val="22"/>
            <w:szCs w:val="22"/>
            <w:lang w:val="en-AU"/>
          </w:rPr>
          <w:t>Wholesale Electricity Market (WEM) Rules</w:t>
        </w:r>
      </w:hyperlink>
      <w:r w:rsidRPr="003C3ADC">
        <w:rPr>
          <w:i/>
          <w:iCs/>
          <w:color w:val="7267A4" w:themeColor="accent3"/>
          <w:sz w:val="22"/>
          <w:szCs w:val="22"/>
          <w:lang w:val="en-AU"/>
        </w:rPr>
        <w:t xml:space="preserve"> allows for the referral of disputes relating to the registration of generator performance standards or a generator monitoring plan for Existing Transmission Connected Generating Systems to arbitration. </w:t>
      </w:r>
    </w:p>
    <w:p w14:paraId="6E2A1BCC" w14:textId="7777777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This template must be used to respond to a Generator Performance Standards Dispute Resolution Notice which has been sent to both the Coordinator of Energy (Coordinator) and each other Party to a Dispute under clause 1.42.4 of the WEM Rules and in accordance with the process outlined in the  WEM Procedure: Dispute Resolution Mechanism for Existing Transmission Connected Generating Systems. </w:t>
      </w:r>
    </w:p>
    <w:p w14:paraId="60794942" w14:textId="7777777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Unless otherwise agreed by the Coordinator, the counterparty to a Dispute must provide a written response to the Coordinator using this template within 10 business days of receipt of the Generator Performance Standards Dispute Resolution Notice. </w:t>
      </w:r>
    </w:p>
    <w:p w14:paraId="27FC5566" w14:textId="7777777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Coordinator will consider the information provided in both documents prior to determining whether a Dispute is to be referred to arbitration. </w:t>
      </w: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2"/>
          <w:footerReference w:type="default" r:id="rId13"/>
          <w:headerReference w:type="first" r:id="rId14"/>
          <w:footerReference w:type="first" r:id="rId15"/>
          <w:type w:val="continuous"/>
          <w:pgSz w:w="11907" w:h="16840" w:code="9"/>
          <w:pgMar w:top="907" w:right="907" w:bottom="1134" w:left="907" w:header="709" w:footer="737" w:gutter="0"/>
          <w:cols w:space="340"/>
          <w:titlePg/>
          <w:docGrid w:linePitch="360"/>
        </w:sectPr>
      </w:pPr>
    </w:p>
    <w:p w14:paraId="0A7A1E62" w14:textId="1887B5A7" w:rsidR="00FE0004" w:rsidRPr="00AC1D55" w:rsidRDefault="00FE0004" w:rsidP="00CA3EB7">
      <w:pPr>
        <w:pStyle w:val="IntroText"/>
        <w:numPr>
          <w:ilvl w:val="0"/>
          <w:numId w:val="15"/>
        </w:numPr>
        <w:rPr>
          <w:rFonts w:asciiTheme="majorHAnsi" w:hAnsiTheme="majorHAnsi" w:cstheme="majorHAnsi"/>
          <w:noProof/>
          <w:color w:val="002060"/>
          <w:sz w:val="22"/>
          <w:szCs w:val="22"/>
        </w:rPr>
      </w:pPr>
      <w:r w:rsidRPr="00AC1D55">
        <w:rPr>
          <w:rFonts w:asciiTheme="majorHAnsi" w:hAnsiTheme="majorHAnsi" w:cstheme="majorHAnsi"/>
          <w:noProof/>
          <w:color w:val="002060"/>
          <w:sz w:val="22"/>
          <w:szCs w:val="22"/>
        </w:rPr>
        <w:t>Details of the Party</w:t>
      </w:r>
      <w:r w:rsidR="003C3ADC" w:rsidRPr="00AC1D55">
        <w:rPr>
          <w:rFonts w:asciiTheme="majorHAnsi" w:hAnsiTheme="majorHAnsi" w:cstheme="majorHAnsi"/>
          <w:noProof/>
          <w:color w:val="002060"/>
          <w:sz w:val="22"/>
          <w:szCs w:val="22"/>
        </w:rPr>
        <w:t xml:space="preserve"> responding to the referral to the Dispute resolution</w:t>
      </w:r>
    </w:p>
    <w:p w14:paraId="13B142BD" w14:textId="77777777" w:rsidR="003C3ADC" w:rsidRPr="003C3ADC" w:rsidRDefault="003C3ADC" w:rsidP="00EF4669">
      <w:pPr>
        <w:pStyle w:val="IntroText"/>
        <w:jc w:val="both"/>
        <w:rPr>
          <w:b w:val="0"/>
          <w:bCs w:val="0"/>
          <w:i/>
          <w:iCs/>
          <w:color w:val="7267A4" w:themeColor="accent3"/>
          <w:sz w:val="22"/>
          <w:szCs w:val="22"/>
        </w:rPr>
      </w:pPr>
      <w:r w:rsidRPr="003C3ADC">
        <w:rPr>
          <w:b w:val="0"/>
          <w:bCs w:val="0"/>
          <w:i/>
          <w:iCs/>
          <w:color w:val="7267A4" w:themeColor="accent3"/>
          <w:sz w:val="22"/>
          <w:szCs w:val="22"/>
        </w:rPr>
        <w:t xml:space="preserve">The Party responding to a request to refer to Dispute resolution must provide at least two contacts who can provide advice on the matter(s) under Dispute. </w:t>
      </w:r>
    </w:p>
    <w:p w14:paraId="6174AE0B" w14:textId="5C5C5FA9" w:rsidR="00FE0004" w:rsidRPr="00077281" w:rsidRDefault="003C3ADC" w:rsidP="00FE0004">
      <w:pPr>
        <w:pStyle w:val="Caption"/>
        <w:rPr>
          <w:sz w:val="20"/>
          <w:szCs w:val="20"/>
        </w:rPr>
      </w:pPr>
      <w:r w:rsidRPr="00077281">
        <w:rPr>
          <w:noProof/>
          <w:sz w:val="20"/>
          <w:szCs w:val="20"/>
        </w:rPr>
        <mc:AlternateContent>
          <mc:Choice Requires="wps">
            <w:drawing>
              <wp:anchor distT="0" distB="0" distL="114300" distR="114300" simplePos="0" relativeHeight="251659264"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FEC4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11B4B3A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1312"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8168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6DF25E49"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3360"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CB19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5408"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250A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4166DE8F" w14:textId="77777777" w:rsidR="003C3ADC" w:rsidRDefault="00242D04" w:rsidP="00FE0004">
      <w:pPr>
        <w:pStyle w:val="Caption"/>
        <w:rPr>
          <w:color w:val="7267A4" w:themeColor="accent3"/>
          <w:sz w:val="22"/>
          <w:szCs w:val="22"/>
        </w:rPr>
      </w:pPr>
      <w:r w:rsidRPr="009B0F59">
        <w:rPr>
          <w:color w:val="7267A4" w:themeColor="accent3"/>
          <w:sz w:val="22"/>
          <w:szCs w:val="22"/>
        </w:rPr>
        <w:t xml:space="preserve">Please provide at least one additional contact – more than one may be provided </w:t>
      </w:r>
    </w:p>
    <w:p w14:paraId="12200C0C" w14:textId="1128597E"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authorized to communicate on this matter: </w:t>
      </w:r>
      <w:r w:rsidR="00FE0004" w:rsidRPr="009B0F59">
        <w:rPr>
          <w:color w:val="7267A4" w:themeColor="accent3"/>
          <w:sz w:val="22"/>
          <w:szCs w:val="22"/>
        </w:rPr>
        <w:t xml:space="preserve">  </w:t>
      </w:r>
    </w:p>
    <w:p w14:paraId="721F2AEB" w14:textId="51ADA0A1"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88960"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4F471"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6950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755F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0528"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BC9CA"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57CEA06D" w14:textId="77777777" w:rsidR="00DA5853" w:rsidRDefault="00DA5853" w:rsidP="00DA5853">
      <w:pPr>
        <w:pStyle w:val="Caption"/>
        <w:rPr>
          <w:sz w:val="20"/>
          <w:szCs w:val="20"/>
        </w:rPr>
      </w:pPr>
    </w:p>
    <w:p w14:paraId="2746CAC6" w14:textId="77777777" w:rsidR="00DA5853" w:rsidRDefault="00DA5853" w:rsidP="00DA5853">
      <w:pPr>
        <w:pStyle w:val="Caption"/>
        <w:rPr>
          <w:sz w:val="20"/>
          <w:szCs w:val="20"/>
        </w:rPr>
      </w:pPr>
    </w:p>
    <w:p w14:paraId="4ED40DA3" w14:textId="56CD4065" w:rsidR="003C3ADC" w:rsidRPr="009F1B41" w:rsidRDefault="00DA5853" w:rsidP="00235520">
      <w:pPr>
        <w:pStyle w:val="Caption"/>
        <w:rPr>
          <w:sz w:val="20"/>
          <w:szCs w:val="20"/>
        </w:rPr>
      </w:pPr>
      <w:r w:rsidRPr="00077281">
        <w:rPr>
          <w:noProof/>
          <w:sz w:val="20"/>
          <w:szCs w:val="20"/>
        </w:rPr>
        <w:lastRenderedPageBreak/>
        <mc:AlternateContent>
          <mc:Choice Requires="wps">
            <w:drawing>
              <wp:anchor distT="0" distB="0" distL="114300" distR="114300" simplePos="0" relativeHeight="251691008"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0F6E"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77777777"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2816"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406E1"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3840"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E759A"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9F1B41" w:rsidRDefault="00242D04" w:rsidP="00CA3EB7">
      <w:pPr>
        <w:pStyle w:val="Bullets"/>
        <w:numPr>
          <w:ilvl w:val="0"/>
          <w:numId w:val="15"/>
        </w:numPr>
        <w:rPr>
          <w:rFonts w:asciiTheme="majorHAnsi" w:hAnsiTheme="majorHAnsi" w:cstheme="majorHAnsi"/>
          <w:b/>
          <w:bCs/>
          <w:noProof/>
          <w:color w:val="002060"/>
          <w:sz w:val="22"/>
          <w:szCs w:val="22"/>
        </w:rPr>
      </w:pPr>
      <w:r w:rsidRPr="009F1B41">
        <w:rPr>
          <w:rFonts w:asciiTheme="majorHAnsi" w:hAnsiTheme="majorHAnsi" w:cstheme="majorHAnsi"/>
          <w:b/>
          <w:bCs/>
          <w:noProof/>
          <w:color w:val="002060"/>
          <w:sz w:val="22"/>
          <w:szCs w:val="22"/>
        </w:rPr>
        <w:t xml:space="preserve">Details </w:t>
      </w:r>
      <w:r w:rsidR="003C3ADC" w:rsidRPr="009F1B41">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77777777"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 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257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2245D"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3600"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3E7D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3F42029C"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4624" behindDoc="0" locked="0" layoutInCell="1" allowOverlap="1" wp14:anchorId="5C0DD888" wp14:editId="7E3B0FAA">
                <wp:simplePos x="0" y="0"/>
                <wp:positionH relativeFrom="column">
                  <wp:posOffset>1148715</wp:posOffset>
                </wp:positionH>
                <wp:positionV relativeFrom="paragraph">
                  <wp:posOffset>170815</wp:posOffset>
                </wp:positionV>
                <wp:extent cx="3888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8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17375"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3.45pt" to="39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nPtwEAAMUDAAAOAAAAZHJzL2Uyb0RvYy54bWysU8GOEzEMvSPxD1HudKaLhK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" strokecolor="#008abd [3044]"/>
            </w:pict>
          </mc:Fallback>
        </mc:AlternateContent>
      </w:r>
      <w:r w:rsidR="00752ADC">
        <w:rPr>
          <w:sz w:val="20"/>
          <w:szCs w:val="20"/>
        </w:rPr>
        <w:t>Type of facility (MW)</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5648"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438D4"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85888"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2A770"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AC1D55">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ED595B" w:rsidRDefault="00ED595B" w:rsidP="009F1B41">
      <w:pPr>
        <w:pStyle w:val="NoSpacing"/>
        <w:jc w:val="both"/>
        <w:rPr>
          <w:i/>
          <w:iCs/>
          <w:color w:val="7267A4" w:themeColor="accent3"/>
          <w:sz w:val="22"/>
          <w:szCs w:val="22"/>
          <w:lang w:val="en-AU"/>
        </w:rPr>
      </w:pPr>
      <w:r w:rsidRPr="00ED595B">
        <w:rPr>
          <w:i/>
          <w:iCs/>
          <w:color w:val="7267A4" w:themeColor="accent3"/>
          <w:sz w:val="22"/>
          <w:szCs w:val="22"/>
          <w:lang w:val="en-AU"/>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4AA41679" w:rsidR="00ED595B" w:rsidRDefault="00ED595B" w:rsidP="00ED595B">
      <w:pPr>
        <w:jc w:val="both"/>
        <w:rPr>
          <w:sz w:val="22"/>
          <w:szCs w:val="22"/>
        </w:rPr>
      </w:pPr>
      <w:bookmarkStart w:id="0" w:name="_Hlk63065378"/>
      <w:r w:rsidRPr="00ED595B">
        <w:rPr>
          <w:sz w:val="22"/>
          <w:szCs w:val="22"/>
        </w:rPr>
        <w:t xml:space="preserve">Registration of performance against one or more Technical Requirements (generator performance standards) </w:t>
      </w:r>
      <w:bookmarkEnd w:id="0"/>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3FEF321" w14:textId="77777777" w:rsidR="009F1B41" w:rsidRPr="00ED595B" w:rsidRDefault="009F1B41" w:rsidP="00ED595B">
      <w:pPr>
        <w:jc w:val="both"/>
        <w:rPr>
          <w:sz w:val="22"/>
          <w:szCs w:val="22"/>
        </w:rPr>
      </w:pPr>
    </w:p>
    <w:p w14:paraId="6AEA8ECB" w14:textId="6D8ED028"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4F3C87D3" w14:textId="39D0D344" w:rsidR="00ED595B" w:rsidRPr="00ED595B" w:rsidRDefault="00ED595B" w:rsidP="00ED595B">
      <w:pPr>
        <w:jc w:val="both"/>
        <w:rPr>
          <w:i/>
          <w:iCs/>
          <w:color w:val="7267A4" w:themeColor="accent3"/>
          <w:sz w:val="22"/>
          <w:szCs w:val="22"/>
          <w:lang w:val="en-AU"/>
        </w:rPr>
      </w:pPr>
      <w:r w:rsidRPr="00ED595B">
        <w:rPr>
          <w:i/>
          <w:iCs/>
          <w:color w:val="7267A4" w:themeColor="accent3"/>
          <w:sz w:val="22"/>
          <w:szCs w:val="22"/>
          <w:lang w:val="en-AU"/>
        </w:rPr>
        <w:t xml:space="preserve">The counterparty must provide their view of the matter that has been outlined in the relevant GPS Dispute Resolution Notice including a statement of their position on the matter. Please provide sufficient information for the Coordinator to determine whether it meets the requirements for referral to arbitration.  </w:t>
      </w:r>
    </w:p>
    <w:p w14:paraId="6D040B90" w14:textId="726107C3" w:rsidR="00ED595B" w:rsidRDefault="00ED595B" w:rsidP="00ED595B">
      <w:pPr>
        <w:jc w:val="both"/>
        <w:rPr>
          <w:sz w:val="22"/>
          <w:szCs w:val="22"/>
        </w:rPr>
      </w:pPr>
    </w:p>
    <w:sdt>
      <w:sdtPr>
        <w:rPr>
          <w:color w:val="auto"/>
          <w:sz w:val="22"/>
          <w:szCs w:val="22"/>
        </w:rPr>
        <w:id w:val="1128600479"/>
        <w:placeholder>
          <w:docPart w:val="DefaultPlaceholder_-1854013440"/>
        </w:placeholder>
        <w:showingPlcHdr/>
        <w:text/>
      </w:sdtPr>
      <w:sdtEndPr/>
      <w:sdtContent>
        <w:p w14:paraId="0F73A77F" w14:textId="070AA293" w:rsidR="00ED595B" w:rsidRPr="00EF4669" w:rsidRDefault="00ED595B" w:rsidP="00EF4669">
          <w:pPr>
            <w:pStyle w:val="Caption"/>
            <w:rPr>
              <w:color w:val="auto"/>
              <w:sz w:val="22"/>
              <w:szCs w:val="22"/>
            </w:rPr>
          </w:pPr>
          <w:r w:rsidRPr="00EF4669">
            <w:rPr>
              <w:color w:val="auto"/>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AC1D55" w:rsidRDefault="00A20844" w:rsidP="00242D04">
      <w:pPr>
        <w:pStyle w:val="Caption"/>
        <w:rPr>
          <w:color w:val="auto"/>
          <w:sz w:val="22"/>
          <w:szCs w:val="22"/>
        </w:rPr>
      </w:pPr>
      <w:sdt>
        <w:sdtPr>
          <w:rPr>
            <w:color w:val="auto"/>
            <w:sz w:val="22"/>
            <w:szCs w:val="22"/>
          </w:rPr>
          <w:id w:val="722028167"/>
          <w:placeholder>
            <w:docPart w:val="DefaultPlaceholder_-1854013440"/>
          </w:placeholder>
          <w:text/>
        </w:sdtPr>
        <w:sdtEndPr/>
        <w:sdtContent>
          <w:r w:rsidR="00B47FE4" w:rsidRPr="00AC1D55">
            <w:rPr>
              <w:color w:val="auto"/>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3D2FBE23" w14:textId="6B9E15DC" w:rsidR="008D6EC4" w:rsidRDefault="008D6EC4" w:rsidP="008D6EC4"/>
    <w:p w14:paraId="2B936533" w14:textId="110E97E2" w:rsidR="008D6EC4"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t>Information on how the process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79796297"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AEMO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AC1D55" w:rsidRDefault="00CA3EB7" w:rsidP="00CA3EB7">
      <w:pPr>
        <w:pStyle w:val="Heading1"/>
        <w:rPr>
          <w:rFonts w:asciiTheme="majorHAnsi" w:hAnsiTheme="majorHAnsi" w:cstheme="majorHAnsi"/>
          <w:noProof/>
          <w:color w:val="auto"/>
        </w:rPr>
      </w:pPr>
      <w:r w:rsidRPr="00AC1D55">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color w:val="auto"/>
          <w:sz w:val="22"/>
          <w:szCs w:val="22"/>
        </w:rPr>
        <w:id w:val="815842723"/>
        <w:placeholder>
          <w:docPart w:val="DefaultPlaceholder_-1854013440"/>
        </w:placeholder>
        <w:showingPlcHdr/>
        <w:text/>
      </w:sdtPr>
      <w:sdtEndPr/>
      <w:sdtContent>
        <w:p w14:paraId="60ACFA14" w14:textId="25C602AD"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3861668A" w14:textId="476F929B" w:rsidR="00CA3EB7" w:rsidRDefault="00CA3EB7">
      <w:r>
        <w:br w:type="page"/>
      </w:r>
    </w:p>
    <w:p w14:paraId="1E5821BF" w14:textId="56D291A6" w:rsidR="00CA3EB7" w:rsidRPr="00AC1D55" w:rsidRDefault="00CA3EB7" w:rsidP="00CA3EB7">
      <w:pPr>
        <w:rPr>
          <w:rFonts w:asciiTheme="majorHAnsi" w:hAnsiTheme="majorHAnsi" w:cstheme="majorHAnsi"/>
          <w:b/>
          <w:bCs/>
          <w:noProof/>
          <w:sz w:val="22"/>
          <w:szCs w:val="22"/>
        </w:rPr>
      </w:pPr>
      <w:r w:rsidRPr="00AC1D55">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0CECF44" w14:textId="77777777" w:rsidR="009F1B41" w:rsidRDefault="009F1B41" w:rsidP="00CA3EB7">
      <w:pPr>
        <w:tabs>
          <w:tab w:val="left" w:pos="1354"/>
        </w:tabs>
        <w:jc w:val="both"/>
        <w:rPr>
          <w:sz w:val="22"/>
          <w:szCs w:val="22"/>
        </w:rPr>
      </w:pPr>
    </w:p>
    <w:p w14:paraId="2483294D" w14:textId="32012400"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6D44451" w14:textId="77777777" w:rsidR="00CA3EB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1760AA">
        <w:tc>
          <w:tcPr>
            <w:tcW w:w="1428" w:type="dxa"/>
          </w:tcPr>
          <w:p w14:paraId="4967EDAB" w14:textId="77777777" w:rsidR="00CA3EB7" w:rsidRPr="00CA3EB7" w:rsidRDefault="00CA3EB7" w:rsidP="001760A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1760A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1760AA">
            <w:pPr>
              <w:jc w:val="both"/>
              <w:rPr>
                <w:b/>
                <w:bCs/>
                <w:sz w:val="22"/>
                <w:szCs w:val="22"/>
              </w:rPr>
            </w:pPr>
            <w:r w:rsidRPr="00CA3EB7">
              <w:rPr>
                <w:b/>
                <w:bCs/>
                <w:sz w:val="22"/>
                <w:szCs w:val="22"/>
              </w:rPr>
              <w:t>Check if relevant</w:t>
            </w:r>
          </w:p>
        </w:tc>
      </w:tr>
      <w:tr w:rsidR="00CA3EB7" w14:paraId="183E2E4B" w14:textId="77777777" w:rsidTr="001760AA">
        <w:tc>
          <w:tcPr>
            <w:tcW w:w="1428" w:type="dxa"/>
          </w:tcPr>
          <w:p w14:paraId="05209432" w14:textId="77777777" w:rsidR="00CA3EB7" w:rsidRPr="00CA3EB7" w:rsidRDefault="00CA3EB7" w:rsidP="001760AA">
            <w:pPr>
              <w:jc w:val="both"/>
              <w:rPr>
                <w:sz w:val="22"/>
                <w:szCs w:val="22"/>
              </w:rPr>
            </w:pPr>
            <w:r w:rsidRPr="00CA3EB7">
              <w:rPr>
                <w:sz w:val="22"/>
                <w:szCs w:val="22"/>
              </w:rPr>
              <w:t>A12.2</w:t>
            </w:r>
          </w:p>
        </w:tc>
        <w:tc>
          <w:tcPr>
            <w:tcW w:w="5938" w:type="dxa"/>
          </w:tcPr>
          <w:p w14:paraId="4DE207B2" w14:textId="77777777" w:rsidR="00CA3EB7" w:rsidRPr="00CA3EB7" w:rsidRDefault="00CA3EB7" w:rsidP="001760A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1760AA">
                <w:pPr>
                  <w:jc w:val="both"/>
                </w:pPr>
                <w:r>
                  <w:rPr>
                    <w:rFonts w:ascii="MS Gothic" w:eastAsia="MS Gothic" w:hAnsi="MS Gothic" w:hint="eastAsia"/>
                  </w:rPr>
                  <w:t>☐</w:t>
                </w:r>
              </w:p>
            </w:tc>
          </w:sdtContent>
        </w:sdt>
      </w:tr>
      <w:tr w:rsidR="00CA3EB7" w14:paraId="11CECAE5" w14:textId="77777777" w:rsidTr="001760AA">
        <w:tc>
          <w:tcPr>
            <w:tcW w:w="1428" w:type="dxa"/>
          </w:tcPr>
          <w:p w14:paraId="2482A8D2" w14:textId="77777777" w:rsidR="00CA3EB7" w:rsidRPr="00CA3EB7" w:rsidRDefault="00CA3EB7" w:rsidP="001760AA">
            <w:pPr>
              <w:jc w:val="both"/>
              <w:rPr>
                <w:sz w:val="22"/>
                <w:szCs w:val="22"/>
              </w:rPr>
            </w:pPr>
            <w:r w:rsidRPr="00CA3EB7">
              <w:rPr>
                <w:sz w:val="22"/>
                <w:szCs w:val="22"/>
              </w:rPr>
              <w:t>A12.3</w:t>
            </w:r>
          </w:p>
        </w:tc>
        <w:tc>
          <w:tcPr>
            <w:tcW w:w="5938" w:type="dxa"/>
          </w:tcPr>
          <w:p w14:paraId="43935542" w14:textId="77777777" w:rsidR="00CA3EB7" w:rsidRPr="00CA3EB7" w:rsidRDefault="00CA3EB7" w:rsidP="001760A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1760AA">
                <w:pPr>
                  <w:jc w:val="both"/>
                </w:pPr>
                <w:r>
                  <w:rPr>
                    <w:rFonts w:ascii="MS Gothic" w:eastAsia="MS Gothic" w:hAnsi="MS Gothic" w:hint="eastAsia"/>
                  </w:rPr>
                  <w:t>☐</w:t>
                </w:r>
              </w:p>
            </w:tc>
          </w:sdtContent>
        </w:sdt>
      </w:tr>
      <w:tr w:rsidR="00CA3EB7" w14:paraId="5D51DB6D" w14:textId="77777777" w:rsidTr="001760AA">
        <w:tc>
          <w:tcPr>
            <w:tcW w:w="1428" w:type="dxa"/>
          </w:tcPr>
          <w:p w14:paraId="454A6911" w14:textId="77777777" w:rsidR="00CA3EB7" w:rsidRPr="00CA3EB7" w:rsidRDefault="00CA3EB7" w:rsidP="001760AA">
            <w:pPr>
              <w:jc w:val="both"/>
              <w:rPr>
                <w:sz w:val="22"/>
                <w:szCs w:val="22"/>
              </w:rPr>
            </w:pPr>
            <w:r w:rsidRPr="00CA3EB7">
              <w:rPr>
                <w:sz w:val="22"/>
                <w:szCs w:val="22"/>
              </w:rPr>
              <w:t>A12.4</w:t>
            </w:r>
          </w:p>
        </w:tc>
        <w:tc>
          <w:tcPr>
            <w:tcW w:w="5938" w:type="dxa"/>
          </w:tcPr>
          <w:p w14:paraId="52AD7BA7" w14:textId="77777777" w:rsidR="00CA3EB7" w:rsidRPr="00CA3EB7" w:rsidRDefault="00CA3EB7" w:rsidP="001760A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1760AA">
                <w:pPr>
                  <w:jc w:val="both"/>
                </w:pPr>
                <w:r>
                  <w:rPr>
                    <w:rFonts w:ascii="MS Gothic" w:eastAsia="MS Gothic" w:hAnsi="MS Gothic" w:hint="eastAsia"/>
                  </w:rPr>
                  <w:t>☐</w:t>
                </w:r>
              </w:p>
            </w:tc>
          </w:sdtContent>
        </w:sdt>
      </w:tr>
      <w:tr w:rsidR="00CA3EB7" w14:paraId="192EFBFA" w14:textId="77777777" w:rsidTr="001760AA">
        <w:tc>
          <w:tcPr>
            <w:tcW w:w="1428" w:type="dxa"/>
          </w:tcPr>
          <w:p w14:paraId="285BD91D" w14:textId="77777777" w:rsidR="00CA3EB7" w:rsidRPr="00CA3EB7" w:rsidRDefault="00CA3EB7" w:rsidP="001760AA">
            <w:pPr>
              <w:jc w:val="both"/>
              <w:rPr>
                <w:sz w:val="22"/>
                <w:szCs w:val="22"/>
              </w:rPr>
            </w:pPr>
            <w:r w:rsidRPr="00CA3EB7">
              <w:rPr>
                <w:sz w:val="22"/>
                <w:szCs w:val="22"/>
              </w:rPr>
              <w:t>A12.5</w:t>
            </w:r>
          </w:p>
        </w:tc>
        <w:tc>
          <w:tcPr>
            <w:tcW w:w="5938" w:type="dxa"/>
          </w:tcPr>
          <w:p w14:paraId="66A4F251" w14:textId="77777777" w:rsidR="00CA3EB7" w:rsidRPr="00CA3EB7" w:rsidRDefault="00CA3EB7" w:rsidP="001760A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1760AA">
                <w:pPr>
                  <w:jc w:val="both"/>
                </w:pPr>
                <w:r>
                  <w:rPr>
                    <w:rFonts w:ascii="MS Gothic" w:eastAsia="MS Gothic" w:hAnsi="MS Gothic" w:hint="eastAsia"/>
                  </w:rPr>
                  <w:t>☐</w:t>
                </w:r>
              </w:p>
            </w:tc>
          </w:sdtContent>
        </w:sdt>
      </w:tr>
      <w:tr w:rsidR="00CA3EB7" w14:paraId="0307D539" w14:textId="77777777" w:rsidTr="001760AA">
        <w:tc>
          <w:tcPr>
            <w:tcW w:w="1428" w:type="dxa"/>
          </w:tcPr>
          <w:p w14:paraId="3A855780" w14:textId="77777777" w:rsidR="00CA3EB7" w:rsidRPr="00CA3EB7" w:rsidRDefault="00CA3EB7" w:rsidP="001760AA">
            <w:pPr>
              <w:jc w:val="both"/>
              <w:rPr>
                <w:sz w:val="22"/>
                <w:szCs w:val="22"/>
              </w:rPr>
            </w:pPr>
            <w:r w:rsidRPr="00CA3EB7">
              <w:rPr>
                <w:sz w:val="22"/>
                <w:szCs w:val="22"/>
              </w:rPr>
              <w:t>A12.6</w:t>
            </w:r>
          </w:p>
        </w:tc>
        <w:tc>
          <w:tcPr>
            <w:tcW w:w="5938" w:type="dxa"/>
          </w:tcPr>
          <w:p w14:paraId="287A8D63" w14:textId="77777777" w:rsidR="00CA3EB7" w:rsidRPr="00CA3EB7" w:rsidRDefault="00CA3EB7" w:rsidP="001760A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1760AA">
                <w:pPr>
                  <w:jc w:val="both"/>
                </w:pPr>
                <w:r>
                  <w:rPr>
                    <w:rFonts w:ascii="MS Gothic" w:eastAsia="MS Gothic" w:hAnsi="MS Gothic" w:hint="eastAsia"/>
                  </w:rPr>
                  <w:t>☐</w:t>
                </w:r>
              </w:p>
            </w:tc>
          </w:sdtContent>
        </w:sdt>
      </w:tr>
      <w:tr w:rsidR="00CA3EB7" w14:paraId="31BE3458" w14:textId="77777777" w:rsidTr="001760AA">
        <w:tc>
          <w:tcPr>
            <w:tcW w:w="1428" w:type="dxa"/>
          </w:tcPr>
          <w:p w14:paraId="5E8B98E3" w14:textId="77777777" w:rsidR="00CA3EB7" w:rsidRPr="00CA3EB7" w:rsidRDefault="00CA3EB7" w:rsidP="001760AA">
            <w:pPr>
              <w:jc w:val="both"/>
              <w:rPr>
                <w:sz w:val="22"/>
                <w:szCs w:val="22"/>
              </w:rPr>
            </w:pPr>
            <w:r w:rsidRPr="00CA3EB7">
              <w:rPr>
                <w:sz w:val="22"/>
                <w:szCs w:val="22"/>
              </w:rPr>
              <w:t>A12.7</w:t>
            </w:r>
          </w:p>
        </w:tc>
        <w:tc>
          <w:tcPr>
            <w:tcW w:w="5938" w:type="dxa"/>
          </w:tcPr>
          <w:p w14:paraId="2C75361C" w14:textId="77777777" w:rsidR="00CA3EB7" w:rsidRPr="00CA3EB7" w:rsidRDefault="00CA3EB7" w:rsidP="001760A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1760AA">
                <w:pPr>
                  <w:jc w:val="both"/>
                </w:pPr>
                <w:r>
                  <w:rPr>
                    <w:rFonts w:ascii="MS Gothic" w:eastAsia="MS Gothic" w:hAnsi="MS Gothic" w:hint="eastAsia"/>
                  </w:rPr>
                  <w:t>☐</w:t>
                </w:r>
              </w:p>
            </w:tc>
          </w:sdtContent>
        </w:sdt>
      </w:tr>
      <w:tr w:rsidR="00CA3EB7" w14:paraId="4D611C9B" w14:textId="77777777" w:rsidTr="001760AA">
        <w:tc>
          <w:tcPr>
            <w:tcW w:w="1428" w:type="dxa"/>
          </w:tcPr>
          <w:p w14:paraId="68EAD1B5" w14:textId="77777777" w:rsidR="00CA3EB7" w:rsidRPr="00CA3EB7" w:rsidRDefault="00CA3EB7" w:rsidP="001760AA">
            <w:pPr>
              <w:jc w:val="both"/>
              <w:rPr>
                <w:sz w:val="22"/>
                <w:szCs w:val="22"/>
              </w:rPr>
            </w:pPr>
            <w:r w:rsidRPr="00CA3EB7">
              <w:rPr>
                <w:sz w:val="22"/>
                <w:szCs w:val="22"/>
              </w:rPr>
              <w:t>A12.8</w:t>
            </w:r>
          </w:p>
        </w:tc>
        <w:tc>
          <w:tcPr>
            <w:tcW w:w="5938" w:type="dxa"/>
          </w:tcPr>
          <w:p w14:paraId="137C005F" w14:textId="77777777" w:rsidR="00CA3EB7" w:rsidRPr="00CA3EB7" w:rsidRDefault="00CA3EB7" w:rsidP="001760A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1760AA">
                <w:pPr>
                  <w:jc w:val="both"/>
                </w:pPr>
                <w:r>
                  <w:rPr>
                    <w:rFonts w:ascii="MS Gothic" w:eastAsia="MS Gothic" w:hAnsi="MS Gothic" w:hint="eastAsia"/>
                  </w:rPr>
                  <w:t>☐</w:t>
                </w:r>
              </w:p>
            </w:tc>
          </w:sdtContent>
        </w:sdt>
      </w:tr>
      <w:tr w:rsidR="00CA3EB7" w14:paraId="0F22423A" w14:textId="77777777" w:rsidTr="001760AA">
        <w:tc>
          <w:tcPr>
            <w:tcW w:w="1428" w:type="dxa"/>
          </w:tcPr>
          <w:p w14:paraId="21934253" w14:textId="77777777" w:rsidR="00CA3EB7" w:rsidRPr="00CA3EB7" w:rsidRDefault="00CA3EB7" w:rsidP="001760AA">
            <w:pPr>
              <w:jc w:val="both"/>
              <w:rPr>
                <w:sz w:val="22"/>
                <w:szCs w:val="22"/>
              </w:rPr>
            </w:pPr>
            <w:r w:rsidRPr="00CA3EB7">
              <w:rPr>
                <w:sz w:val="22"/>
                <w:szCs w:val="22"/>
              </w:rPr>
              <w:t>A12.9</w:t>
            </w:r>
          </w:p>
        </w:tc>
        <w:tc>
          <w:tcPr>
            <w:tcW w:w="5938" w:type="dxa"/>
          </w:tcPr>
          <w:p w14:paraId="29641FBA" w14:textId="77777777" w:rsidR="00CA3EB7" w:rsidRPr="00CA3EB7" w:rsidRDefault="00CA3EB7" w:rsidP="001760A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1760AA">
                <w:pPr>
                  <w:jc w:val="both"/>
                </w:pPr>
                <w:r>
                  <w:rPr>
                    <w:rFonts w:ascii="MS Gothic" w:eastAsia="MS Gothic" w:hAnsi="MS Gothic" w:hint="eastAsia"/>
                  </w:rPr>
                  <w:t>☐</w:t>
                </w:r>
              </w:p>
            </w:tc>
          </w:sdtContent>
        </w:sdt>
      </w:tr>
      <w:tr w:rsidR="00CA3EB7" w14:paraId="54CF3F82" w14:textId="77777777" w:rsidTr="001760AA">
        <w:tc>
          <w:tcPr>
            <w:tcW w:w="1428" w:type="dxa"/>
          </w:tcPr>
          <w:p w14:paraId="30535D6D" w14:textId="77777777" w:rsidR="00CA3EB7" w:rsidRPr="00CA3EB7" w:rsidRDefault="00CA3EB7" w:rsidP="001760AA">
            <w:pPr>
              <w:jc w:val="both"/>
              <w:rPr>
                <w:sz w:val="22"/>
                <w:szCs w:val="22"/>
              </w:rPr>
            </w:pPr>
            <w:r w:rsidRPr="00CA3EB7">
              <w:rPr>
                <w:sz w:val="22"/>
                <w:szCs w:val="22"/>
              </w:rPr>
              <w:t>A12.10</w:t>
            </w:r>
          </w:p>
        </w:tc>
        <w:tc>
          <w:tcPr>
            <w:tcW w:w="5938" w:type="dxa"/>
          </w:tcPr>
          <w:p w14:paraId="0933DFFA" w14:textId="77777777" w:rsidR="00CA3EB7" w:rsidRPr="00CA3EB7" w:rsidRDefault="00CA3EB7" w:rsidP="001760A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1760AA">
                <w:pPr>
                  <w:jc w:val="both"/>
                </w:pPr>
                <w:r>
                  <w:rPr>
                    <w:rFonts w:ascii="MS Gothic" w:eastAsia="MS Gothic" w:hAnsi="MS Gothic" w:hint="eastAsia"/>
                  </w:rPr>
                  <w:t>☐</w:t>
                </w:r>
              </w:p>
            </w:tc>
          </w:sdtContent>
        </w:sdt>
      </w:tr>
      <w:tr w:rsidR="00CA3EB7" w14:paraId="6CD703CE" w14:textId="77777777" w:rsidTr="001760AA">
        <w:tc>
          <w:tcPr>
            <w:tcW w:w="1428" w:type="dxa"/>
          </w:tcPr>
          <w:p w14:paraId="2DC44B96" w14:textId="77777777" w:rsidR="00CA3EB7" w:rsidRPr="00CA3EB7" w:rsidRDefault="00CA3EB7" w:rsidP="001760AA">
            <w:pPr>
              <w:jc w:val="both"/>
              <w:rPr>
                <w:sz w:val="22"/>
                <w:szCs w:val="22"/>
              </w:rPr>
            </w:pPr>
            <w:r w:rsidRPr="00CA3EB7">
              <w:rPr>
                <w:sz w:val="22"/>
                <w:szCs w:val="22"/>
              </w:rPr>
              <w:t>A12.11</w:t>
            </w:r>
          </w:p>
        </w:tc>
        <w:tc>
          <w:tcPr>
            <w:tcW w:w="5938" w:type="dxa"/>
          </w:tcPr>
          <w:p w14:paraId="5E94841F" w14:textId="77777777" w:rsidR="00CA3EB7" w:rsidRPr="00CA3EB7" w:rsidRDefault="00CA3EB7" w:rsidP="001760A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1760AA">
                <w:pPr>
                  <w:jc w:val="both"/>
                </w:pPr>
                <w:r>
                  <w:rPr>
                    <w:rFonts w:ascii="MS Gothic" w:eastAsia="MS Gothic" w:hAnsi="MS Gothic" w:hint="eastAsia"/>
                  </w:rPr>
                  <w:t>☐</w:t>
                </w:r>
              </w:p>
            </w:tc>
          </w:sdtContent>
        </w:sdt>
      </w:tr>
      <w:tr w:rsidR="00CA3EB7" w14:paraId="0C3018A1" w14:textId="77777777" w:rsidTr="001760AA">
        <w:tc>
          <w:tcPr>
            <w:tcW w:w="1428" w:type="dxa"/>
          </w:tcPr>
          <w:p w14:paraId="0FB9EB1B" w14:textId="77777777" w:rsidR="00CA3EB7" w:rsidRPr="00CA3EB7" w:rsidRDefault="00CA3EB7" w:rsidP="001760AA">
            <w:pPr>
              <w:jc w:val="both"/>
              <w:rPr>
                <w:sz w:val="22"/>
                <w:szCs w:val="22"/>
              </w:rPr>
            </w:pPr>
            <w:r w:rsidRPr="00CA3EB7">
              <w:rPr>
                <w:sz w:val="22"/>
                <w:szCs w:val="22"/>
              </w:rPr>
              <w:t>A12.12</w:t>
            </w:r>
          </w:p>
        </w:tc>
        <w:tc>
          <w:tcPr>
            <w:tcW w:w="5938" w:type="dxa"/>
          </w:tcPr>
          <w:p w14:paraId="6A7D1930" w14:textId="77777777" w:rsidR="00CA3EB7" w:rsidRPr="00CA3EB7" w:rsidRDefault="00CA3EB7" w:rsidP="001760A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1760AA">
                <w:pPr>
                  <w:jc w:val="both"/>
                </w:pPr>
                <w:r>
                  <w:rPr>
                    <w:rFonts w:ascii="MS Gothic" w:eastAsia="MS Gothic" w:hAnsi="MS Gothic" w:hint="eastAsia"/>
                  </w:rPr>
                  <w:t>☐</w:t>
                </w:r>
              </w:p>
            </w:tc>
          </w:sdtContent>
        </w:sdt>
      </w:tr>
      <w:tr w:rsidR="00CA3EB7" w14:paraId="711042DE" w14:textId="77777777" w:rsidTr="001760AA">
        <w:tc>
          <w:tcPr>
            <w:tcW w:w="1428" w:type="dxa"/>
          </w:tcPr>
          <w:p w14:paraId="2C2D8D3D" w14:textId="77777777" w:rsidR="00CA3EB7" w:rsidRPr="00CA3EB7" w:rsidRDefault="00CA3EB7" w:rsidP="001760AA">
            <w:pPr>
              <w:jc w:val="both"/>
              <w:rPr>
                <w:sz w:val="22"/>
                <w:szCs w:val="22"/>
              </w:rPr>
            </w:pPr>
            <w:r w:rsidRPr="00CA3EB7">
              <w:rPr>
                <w:sz w:val="22"/>
                <w:szCs w:val="22"/>
              </w:rPr>
              <w:t>A12.13</w:t>
            </w:r>
          </w:p>
        </w:tc>
        <w:tc>
          <w:tcPr>
            <w:tcW w:w="5938" w:type="dxa"/>
          </w:tcPr>
          <w:p w14:paraId="6A903234" w14:textId="77777777" w:rsidR="00CA3EB7" w:rsidRPr="00CA3EB7" w:rsidRDefault="00CA3EB7" w:rsidP="001760A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1760AA">
                <w:pPr>
                  <w:jc w:val="both"/>
                </w:pPr>
                <w:r>
                  <w:rPr>
                    <w:rFonts w:ascii="MS Gothic" w:eastAsia="MS Gothic" w:hAnsi="MS Gothic" w:hint="eastAsia"/>
                  </w:rPr>
                  <w:t>☐</w:t>
                </w:r>
              </w:p>
            </w:tc>
          </w:sdtContent>
        </w:sdt>
      </w:tr>
      <w:tr w:rsidR="00CA3EB7" w14:paraId="0E685D5D" w14:textId="77777777" w:rsidTr="001760AA">
        <w:tc>
          <w:tcPr>
            <w:tcW w:w="1428" w:type="dxa"/>
          </w:tcPr>
          <w:p w14:paraId="17E241A0" w14:textId="77777777" w:rsidR="00CA3EB7" w:rsidRPr="00CA3EB7" w:rsidRDefault="00CA3EB7" w:rsidP="001760AA">
            <w:pPr>
              <w:jc w:val="both"/>
              <w:rPr>
                <w:sz w:val="22"/>
                <w:szCs w:val="22"/>
              </w:rPr>
            </w:pPr>
            <w:r w:rsidRPr="00CA3EB7">
              <w:rPr>
                <w:sz w:val="22"/>
                <w:szCs w:val="22"/>
              </w:rPr>
              <w:t>A12.14</w:t>
            </w:r>
          </w:p>
        </w:tc>
        <w:tc>
          <w:tcPr>
            <w:tcW w:w="5938" w:type="dxa"/>
          </w:tcPr>
          <w:p w14:paraId="5DFC5E15" w14:textId="77777777" w:rsidR="00CA3EB7" w:rsidRPr="00CA3EB7" w:rsidRDefault="00CA3EB7" w:rsidP="001760A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1760AA">
                <w:pPr>
                  <w:jc w:val="both"/>
                </w:pPr>
                <w:r>
                  <w:rPr>
                    <w:rFonts w:ascii="MS Gothic" w:eastAsia="MS Gothic" w:hAnsi="MS Gothic" w:hint="eastAsia"/>
                  </w:rPr>
                  <w:t>☐</w:t>
                </w:r>
              </w:p>
            </w:tc>
          </w:sdtContent>
        </w:sdt>
      </w:tr>
      <w:tr w:rsidR="00CA3EB7" w14:paraId="51289971" w14:textId="77777777" w:rsidTr="001760AA">
        <w:tc>
          <w:tcPr>
            <w:tcW w:w="1428" w:type="dxa"/>
          </w:tcPr>
          <w:p w14:paraId="54D27554" w14:textId="77777777" w:rsidR="00CA3EB7" w:rsidRPr="00CA3EB7" w:rsidRDefault="00CA3EB7" w:rsidP="001760AA">
            <w:pPr>
              <w:jc w:val="both"/>
              <w:rPr>
                <w:sz w:val="22"/>
                <w:szCs w:val="22"/>
              </w:rPr>
            </w:pPr>
            <w:r w:rsidRPr="00CA3EB7">
              <w:rPr>
                <w:sz w:val="22"/>
                <w:szCs w:val="22"/>
              </w:rPr>
              <w:t>A12.15</w:t>
            </w:r>
          </w:p>
        </w:tc>
        <w:tc>
          <w:tcPr>
            <w:tcW w:w="5938" w:type="dxa"/>
          </w:tcPr>
          <w:p w14:paraId="28EBE85D" w14:textId="77777777" w:rsidR="00CA3EB7" w:rsidRPr="00CA3EB7" w:rsidRDefault="00CA3EB7" w:rsidP="001760A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1760AA">
                <w:pPr>
                  <w:jc w:val="both"/>
                </w:pPr>
                <w:r>
                  <w:rPr>
                    <w:rFonts w:ascii="MS Gothic" w:eastAsia="MS Gothic" w:hAnsi="MS Gothic" w:hint="eastAsia"/>
                  </w:rPr>
                  <w:t>☐</w:t>
                </w:r>
              </w:p>
            </w:tc>
          </w:sdtContent>
        </w:sdt>
      </w:tr>
      <w:tr w:rsidR="00CA3EB7" w14:paraId="18D0C7CE" w14:textId="77777777" w:rsidTr="001760AA">
        <w:tc>
          <w:tcPr>
            <w:tcW w:w="1428" w:type="dxa"/>
          </w:tcPr>
          <w:p w14:paraId="1D93721F" w14:textId="77777777" w:rsidR="00CA3EB7" w:rsidRPr="00CA3EB7" w:rsidRDefault="00CA3EB7" w:rsidP="001760AA">
            <w:pPr>
              <w:jc w:val="both"/>
              <w:rPr>
                <w:sz w:val="22"/>
                <w:szCs w:val="22"/>
              </w:rPr>
            </w:pPr>
            <w:r w:rsidRPr="00CA3EB7">
              <w:rPr>
                <w:sz w:val="22"/>
                <w:szCs w:val="22"/>
              </w:rPr>
              <w:t>A12.16</w:t>
            </w:r>
          </w:p>
        </w:tc>
        <w:tc>
          <w:tcPr>
            <w:tcW w:w="5938" w:type="dxa"/>
          </w:tcPr>
          <w:p w14:paraId="3C8DE295" w14:textId="77777777" w:rsidR="00CA3EB7" w:rsidRPr="00CA3EB7" w:rsidRDefault="00CA3EB7" w:rsidP="001760A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1760AA">
                <w:pPr>
                  <w:jc w:val="both"/>
                </w:pPr>
                <w:r>
                  <w:rPr>
                    <w:rFonts w:ascii="MS Gothic" w:eastAsia="MS Gothic" w:hAnsi="MS Gothic" w:hint="eastAsia"/>
                  </w:rPr>
                  <w:t>☐</w:t>
                </w:r>
              </w:p>
            </w:tc>
          </w:sdtContent>
        </w:sdt>
      </w:tr>
      <w:tr w:rsidR="00CA3EB7" w14:paraId="61889E58" w14:textId="77777777" w:rsidTr="001760AA">
        <w:tc>
          <w:tcPr>
            <w:tcW w:w="1428" w:type="dxa"/>
          </w:tcPr>
          <w:p w14:paraId="1C8DD778" w14:textId="77777777" w:rsidR="00CA3EB7" w:rsidRPr="00CA3EB7" w:rsidRDefault="00CA3EB7" w:rsidP="001760AA">
            <w:pPr>
              <w:jc w:val="both"/>
              <w:rPr>
                <w:sz w:val="22"/>
                <w:szCs w:val="22"/>
              </w:rPr>
            </w:pPr>
            <w:r w:rsidRPr="00CA3EB7">
              <w:rPr>
                <w:sz w:val="22"/>
                <w:szCs w:val="22"/>
              </w:rPr>
              <w:t>A12.17</w:t>
            </w:r>
          </w:p>
        </w:tc>
        <w:tc>
          <w:tcPr>
            <w:tcW w:w="5938" w:type="dxa"/>
          </w:tcPr>
          <w:p w14:paraId="088FE1D3" w14:textId="77777777" w:rsidR="00CA3EB7" w:rsidRPr="00CA3EB7" w:rsidRDefault="00CA3EB7" w:rsidP="001760A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1760A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648E7534" w:rsidR="00CA3EB7" w:rsidRPr="00CA3EB7" w:rsidRDefault="00CA3EB7" w:rsidP="00CA3EB7">
      <w:pPr>
        <w:jc w:val="both"/>
        <w:rPr>
          <w:b/>
          <w:bCs/>
          <w:noProof/>
          <w:color w:val="003863" w:themeColor="text2"/>
          <w:sz w:val="22"/>
          <w:szCs w:val="22"/>
        </w:rPr>
      </w:pPr>
      <w:r w:rsidRPr="00AC1D55">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color w:val="auto"/>
          <w:sz w:val="22"/>
          <w:szCs w:val="22"/>
        </w:rPr>
        <w:id w:val="2042780298"/>
        <w:placeholder>
          <w:docPart w:val="DefaultPlaceholder_-1854013440"/>
        </w:placeholder>
        <w:showingPlcHdr/>
        <w:text/>
      </w:sdtPr>
      <w:sdtEndPr/>
      <w:sdtContent>
        <w:p w14:paraId="5438086A" w14:textId="78403D8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AC1D55" w:rsidRDefault="00CA3EB7" w:rsidP="00CA3EB7">
      <w:pPr>
        <w:pStyle w:val="ListNumber"/>
        <w:numPr>
          <w:ilvl w:val="0"/>
          <w:numId w:val="15"/>
        </w:numPr>
        <w:rPr>
          <w:rFonts w:asciiTheme="majorHAnsi" w:hAnsiTheme="majorHAnsi" w:cstheme="majorHAnsi"/>
          <w:b/>
          <w:bCs/>
          <w:noProof/>
          <w:color w:val="002060"/>
          <w:lang w:val="en-US"/>
        </w:rPr>
      </w:pPr>
      <w:r w:rsidRPr="00AC1D55">
        <w:rPr>
          <w:rFonts w:asciiTheme="majorHAnsi" w:hAnsiTheme="majorHAnsi" w:cstheme="majorHAnsi"/>
          <w:b/>
          <w:bCs/>
          <w:noProof/>
          <w:color w:val="002060"/>
          <w:lang w:val="en-US"/>
        </w:rPr>
        <w:t xml:space="preserve">Declaration of Conflict(s) of Interest </w:t>
      </w:r>
    </w:p>
    <w:p w14:paraId="73F5097F" w14:textId="158B9176" w:rsid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265807A1" w14:textId="77777777" w:rsidR="009F1B41" w:rsidRPr="00CA3EB7" w:rsidRDefault="009F1B41" w:rsidP="00CA3EB7">
      <w:pPr>
        <w:jc w:val="both"/>
        <w:rPr>
          <w:i/>
          <w:iCs/>
          <w:color w:val="7267A4" w:themeColor="accent3"/>
          <w:sz w:val="22"/>
          <w:szCs w:val="22"/>
        </w:rPr>
      </w:pPr>
    </w:p>
    <w:p w14:paraId="1A7A416E" w14:textId="273AC091" w:rsidR="00CA3EB7" w:rsidRDefault="00CA3EB7" w:rsidP="00CA3EB7">
      <w:pPr>
        <w:jc w:val="both"/>
        <w:rPr>
          <w:i/>
          <w:iCs/>
          <w:color w:val="7267A4" w:themeColor="accent3"/>
          <w:sz w:val="22"/>
          <w:szCs w:val="22"/>
        </w:rPr>
      </w:pPr>
      <w:r w:rsidRPr="00CA3EB7">
        <w:rPr>
          <w:i/>
          <w:iCs/>
          <w:color w:val="7267A4" w:themeColor="accent3"/>
          <w:sz w:val="22"/>
          <w:szCs w:val="22"/>
        </w:rPr>
        <w:t>A list of Generator Arbitrators is available on Energy Policy WA’s website.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color w:val="auto"/>
          <w:sz w:val="22"/>
          <w:szCs w:val="22"/>
        </w:rPr>
        <w:id w:val="1433551484"/>
        <w:placeholder>
          <w:docPart w:val="DefaultPlaceholder_-1854013440"/>
        </w:placeholder>
        <w:showingPlcHdr/>
        <w:text/>
      </w:sdtPr>
      <w:sdtEndPr/>
      <w:sdtContent>
        <w:p w14:paraId="23AE7050" w14:textId="75DEBEF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340BA8CA" w:rsidR="00CA3EB7" w:rsidRDefault="00CA3EB7" w:rsidP="00CA3EB7">
      <w:pPr>
        <w:jc w:val="both"/>
        <w:rPr>
          <w:sz w:val="22"/>
          <w:szCs w:val="22"/>
        </w:rPr>
      </w:pPr>
    </w:p>
    <w:p w14:paraId="3E570EB9" w14:textId="2CDC91AC" w:rsidR="00960F9A" w:rsidRDefault="00960F9A" w:rsidP="00CA3EB7">
      <w:pPr>
        <w:jc w:val="both"/>
        <w:rPr>
          <w:sz w:val="22"/>
          <w:szCs w:val="22"/>
        </w:rPr>
      </w:pPr>
    </w:p>
    <w:p w14:paraId="24CD2B62" w14:textId="6E061568" w:rsidR="00960F9A" w:rsidRDefault="00960F9A" w:rsidP="00CA3EB7">
      <w:pPr>
        <w:jc w:val="both"/>
        <w:rPr>
          <w:sz w:val="22"/>
          <w:szCs w:val="22"/>
        </w:rPr>
      </w:pPr>
    </w:p>
    <w:p w14:paraId="7A702991" w14:textId="3BF7AA5E" w:rsidR="00960F9A" w:rsidRDefault="00960F9A" w:rsidP="00CA3EB7">
      <w:pPr>
        <w:jc w:val="both"/>
        <w:rPr>
          <w:sz w:val="22"/>
          <w:szCs w:val="22"/>
        </w:rPr>
      </w:pPr>
    </w:p>
    <w:p w14:paraId="274FBA62" w14:textId="38ADFA19" w:rsidR="00960F9A" w:rsidRDefault="00960F9A">
      <w:pPr>
        <w:rPr>
          <w:sz w:val="22"/>
          <w:szCs w:val="22"/>
        </w:rPr>
      </w:pPr>
      <w:r>
        <w:rPr>
          <w:sz w:val="22"/>
          <w:szCs w:val="22"/>
        </w:rPr>
        <w:br w:type="page"/>
      </w:r>
    </w:p>
    <w:p w14:paraId="5EB37440" w14:textId="548B4925" w:rsidR="00960F9A" w:rsidRPr="00EF4669" w:rsidRDefault="00960F9A" w:rsidP="00EF4669">
      <w:pPr>
        <w:jc w:val="right"/>
        <w:rPr>
          <w:rFonts w:asciiTheme="majorHAnsi" w:hAnsiTheme="majorHAnsi" w:cstheme="majorHAnsi"/>
          <w:b/>
          <w:bCs/>
          <w:color w:val="002060"/>
          <w:sz w:val="28"/>
          <w:szCs w:val="28"/>
          <w:u w:val="single"/>
        </w:rPr>
      </w:pPr>
      <w:r w:rsidRPr="00EF4669">
        <w:rPr>
          <w:rFonts w:asciiTheme="majorHAnsi" w:hAnsiTheme="majorHAnsi" w:cstheme="majorHAnsi"/>
          <w:b/>
          <w:bCs/>
          <w:color w:val="002060"/>
          <w:sz w:val="28"/>
          <w:szCs w:val="28"/>
          <w:u w:val="single"/>
        </w:rPr>
        <w:lastRenderedPageBreak/>
        <w:t xml:space="preserve">APPENDIX 1: ADDITIONAL GUIDANCE ON SECTION </w:t>
      </w:r>
      <w:r w:rsidR="006F07E2">
        <w:rPr>
          <w:rFonts w:asciiTheme="majorHAnsi" w:hAnsiTheme="majorHAnsi" w:cstheme="majorHAnsi"/>
          <w:b/>
          <w:bCs/>
          <w:color w:val="002060"/>
          <w:sz w:val="28"/>
          <w:szCs w:val="28"/>
          <w:u w:val="single"/>
        </w:rPr>
        <w:t>5</w:t>
      </w:r>
    </w:p>
    <w:p w14:paraId="159417F0" w14:textId="77777777" w:rsidR="00AC1D55" w:rsidRPr="00AC1D55" w:rsidRDefault="00AC1D55" w:rsidP="00AC1D55">
      <w:pPr>
        <w:jc w:val="both"/>
        <w:rPr>
          <w:rFonts w:asciiTheme="majorHAnsi" w:hAnsiTheme="majorHAnsi" w:cstheme="majorHAnsi"/>
          <w:b/>
          <w:bCs/>
          <w:color w:val="002060"/>
          <w:sz w:val="22"/>
          <w:szCs w:val="22"/>
        </w:rPr>
      </w:pPr>
    </w:p>
    <w:p w14:paraId="257FA294" w14:textId="5AE2C85C" w:rsidR="00960F9A" w:rsidRDefault="00960F9A" w:rsidP="00EF4669">
      <w:pPr>
        <w:jc w:val="both"/>
        <w:rPr>
          <w:sz w:val="22"/>
          <w:szCs w:val="22"/>
        </w:rPr>
      </w:pPr>
      <w:r w:rsidRPr="00AC1D55">
        <w:rPr>
          <w:sz w:val="22"/>
          <w:szCs w:val="22"/>
        </w:rPr>
        <w:t xml:space="preserve">Further information is provided below in relation to the type of information which should be included in Section </w:t>
      </w:r>
      <w:r w:rsidR="006F07E2">
        <w:rPr>
          <w:sz w:val="22"/>
          <w:szCs w:val="22"/>
        </w:rPr>
        <w:t>5</w:t>
      </w:r>
      <w:r w:rsidRPr="00AC1D55">
        <w:rPr>
          <w:sz w:val="22"/>
          <w:szCs w:val="22"/>
        </w:rPr>
        <w:t xml:space="preserve"> to describe how the processes outlined in Section 1.3.9-1.41 of the WEM Rules have been followed prior to the Dispute. </w:t>
      </w:r>
    </w:p>
    <w:p w14:paraId="7E62C2CF" w14:textId="77777777" w:rsidR="00AC1D55" w:rsidRPr="00AC1D55" w:rsidRDefault="00AC1D55" w:rsidP="00EF4669">
      <w:pPr>
        <w:jc w:val="both"/>
        <w:rPr>
          <w:sz w:val="22"/>
          <w:szCs w:val="22"/>
        </w:rPr>
      </w:pPr>
    </w:p>
    <w:p w14:paraId="2C8CCDC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Extensions of Time </w:t>
      </w:r>
    </w:p>
    <w:p w14:paraId="30BE0B41" w14:textId="4FB9511C" w:rsidR="00960F9A" w:rsidRDefault="00960F9A" w:rsidP="00EF4669">
      <w:pPr>
        <w:jc w:val="both"/>
        <w:rPr>
          <w:sz w:val="22"/>
          <w:szCs w:val="22"/>
        </w:rPr>
      </w:pPr>
      <w:r w:rsidRPr="00AC1D55">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spells out required timeframes for requesting, and granting of, extensions of time, and allows for more than one extension to be agreed. </w:t>
      </w:r>
    </w:p>
    <w:p w14:paraId="13697A10" w14:textId="77777777" w:rsidR="00AC1D55" w:rsidRPr="00AC1D55" w:rsidRDefault="00AC1D55" w:rsidP="00EF4669">
      <w:pPr>
        <w:jc w:val="both"/>
        <w:rPr>
          <w:sz w:val="22"/>
          <w:szCs w:val="22"/>
        </w:rPr>
      </w:pPr>
    </w:p>
    <w:p w14:paraId="05C2818D"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Access Standard </w:t>
      </w:r>
    </w:p>
    <w:p w14:paraId="3F15742A" w14:textId="77777777" w:rsidR="009F1B41" w:rsidRDefault="009F1B41" w:rsidP="00EF4669">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security and reliability being maintained), however it is recognised that some of the Technical</w:t>
      </w:r>
      <w:r>
        <w:rPr>
          <w:sz w:val="22"/>
          <w:szCs w:val="22"/>
        </w:rPr>
        <w:t xml:space="preserve"> Requirements have been revised or are new and therefore an Access Standard is unlikely to exist. </w:t>
      </w:r>
    </w:p>
    <w:p w14:paraId="35163864" w14:textId="77777777" w:rsidR="009F1B41" w:rsidRPr="001E2987" w:rsidRDefault="009F1B41" w:rsidP="00EF4669">
      <w:pPr>
        <w:jc w:val="both"/>
        <w:rPr>
          <w:sz w:val="22"/>
          <w:szCs w:val="22"/>
        </w:rPr>
      </w:pPr>
    </w:p>
    <w:p w14:paraId="307E1298" w14:textId="77777777" w:rsidR="009F1B41" w:rsidRDefault="009F1B41" w:rsidP="00EF4669">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4123CBB4" w14:textId="77777777" w:rsidR="00AC1D55" w:rsidRPr="00AC1D55" w:rsidRDefault="00AC1D55" w:rsidP="00EF4669">
      <w:pPr>
        <w:jc w:val="both"/>
        <w:rPr>
          <w:sz w:val="22"/>
          <w:szCs w:val="22"/>
        </w:rPr>
      </w:pPr>
    </w:p>
    <w:p w14:paraId="51F5634B"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Reference Standard</w:t>
      </w:r>
    </w:p>
    <w:p w14:paraId="4DEF1773" w14:textId="77777777" w:rsidR="00960F9A" w:rsidRPr="00AC1D55" w:rsidRDefault="00960F9A" w:rsidP="00EF4669">
      <w:pPr>
        <w:jc w:val="both"/>
        <w:rPr>
          <w:sz w:val="22"/>
          <w:szCs w:val="22"/>
        </w:rPr>
      </w:pPr>
      <w:r w:rsidRPr="00AC1D55">
        <w:rPr>
          <w:sz w:val="22"/>
          <w:szCs w:val="22"/>
        </w:rPr>
        <w:t xml:space="preserve">A Reference Standard must be used if there is one available. However, most of the existing standards have been revised and there are three new standards for which no Reference Standard will exist. </w:t>
      </w:r>
    </w:p>
    <w:p w14:paraId="6863837F" w14:textId="4ABD9F11" w:rsidR="00960F9A" w:rsidRDefault="00960F9A" w:rsidP="00EF4669">
      <w:pPr>
        <w:jc w:val="both"/>
        <w:rPr>
          <w:sz w:val="22"/>
          <w:szCs w:val="22"/>
        </w:rPr>
      </w:pPr>
      <w:r w:rsidRPr="00AC1D55">
        <w:rPr>
          <w:sz w:val="22"/>
          <w:szCs w:val="22"/>
        </w:rPr>
        <w:t xml:space="preserve">Appendix A of Western Power’s </w:t>
      </w:r>
      <w:hyperlink r:id="rId16" w:history="1">
        <w:r w:rsidRPr="009F1B41">
          <w:rPr>
            <w:rStyle w:val="Hyperlink"/>
            <w:sz w:val="22"/>
            <w:szCs w:val="22"/>
          </w:rPr>
          <w:t>WEM Procedure: Generator Performance Standards for Existing Transmission Connected Generating Systems</w:t>
        </w:r>
      </w:hyperlink>
      <w:r w:rsidRPr="00AC1D55">
        <w:rPr>
          <w:sz w:val="22"/>
          <w:szCs w:val="22"/>
        </w:rPr>
        <w:t xml:space="preserve"> provides details of the relevant Reference Standards for generating systems connected to the SWIS since 1997. </w:t>
      </w:r>
    </w:p>
    <w:p w14:paraId="678C2438" w14:textId="77777777" w:rsidR="009F1B41" w:rsidRPr="00AC1D55" w:rsidRDefault="009F1B41" w:rsidP="00EF4669">
      <w:pPr>
        <w:jc w:val="both"/>
        <w:rPr>
          <w:sz w:val="22"/>
          <w:szCs w:val="22"/>
        </w:rPr>
      </w:pPr>
    </w:p>
    <w:p w14:paraId="4CB88E7B" w14:textId="5EDE61CB" w:rsidR="00960F9A" w:rsidRDefault="00960F9A" w:rsidP="00EF4669">
      <w:pPr>
        <w:jc w:val="both"/>
        <w:rPr>
          <w:sz w:val="22"/>
          <w:szCs w:val="22"/>
        </w:rPr>
      </w:pPr>
      <w:r w:rsidRPr="00AC1D55">
        <w:rPr>
          <w:sz w:val="22"/>
          <w:szCs w:val="22"/>
        </w:rPr>
        <w:t xml:space="preserve">Information should cover the Reference Standard, details of why the Dispute has arisen (including what evidence re technical and/or costs has been provided as per Clause 1.40.7) and why it can’t be resolved via the negotiation process for a Proposed Alternative Standard. </w:t>
      </w:r>
    </w:p>
    <w:p w14:paraId="145AA428" w14:textId="77777777" w:rsidR="00AC1D55" w:rsidRPr="00AC1D55" w:rsidRDefault="00AC1D55" w:rsidP="00EF4669">
      <w:pPr>
        <w:jc w:val="both"/>
        <w:rPr>
          <w:sz w:val="22"/>
          <w:szCs w:val="22"/>
        </w:rPr>
      </w:pPr>
    </w:p>
    <w:p w14:paraId="5F3EDB6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Technical Requirements </w:t>
      </w:r>
    </w:p>
    <w:p w14:paraId="0972D1C9" w14:textId="5FB911D0" w:rsidR="00960F9A" w:rsidRDefault="00960F9A" w:rsidP="00EF4669">
      <w:pPr>
        <w:jc w:val="both"/>
        <w:rPr>
          <w:sz w:val="22"/>
          <w:szCs w:val="22"/>
        </w:rPr>
      </w:pPr>
      <w:r w:rsidRPr="00A6429E">
        <w:rPr>
          <w:sz w:val="22"/>
          <w:szCs w:val="22"/>
        </w:rPr>
        <w:t>The Technical Requirements for transmission connected generating systems are contained in Appendix</w:t>
      </w:r>
      <w:r w:rsidRPr="00AC1D55">
        <w:rPr>
          <w:sz w:val="22"/>
          <w:szCs w:val="22"/>
        </w:rPr>
        <w:t xml:space="preserve"> 12</w:t>
      </w:r>
      <w:r w:rsidR="009F1B41">
        <w:rPr>
          <w:rStyle w:val="FootnoteReference"/>
          <w:sz w:val="22"/>
          <w:szCs w:val="22"/>
        </w:rPr>
        <w:footnoteReference w:id="1"/>
      </w:r>
      <w:r w:rsidRPr="00AC1D55">
        <w:rPr>
          <w:sz w:val="22"/>
          <w:szCs w:val="22"/>
        </w:rPr>
        <w:t xml:space="preserve"> of the WEM Rules and include the Ideal Generator Performance Standard, Minimum Generator Performance Standard and any applicable Common Requirements for each Technical Requirement. </w:t>
      </w:r>
    </w:p>
    <w:p w14:paraId="59ED4236" w14:textId="77777777" w:rsidR="00EF4669" w:rsidRPr="00AC1D55" w:rsidRDefault="00EF4669" w:rsidP="00EF4669">
      <w:pPr>
        <w:jc w:val="both"/>
        <w:rPr>
          <w:sz w:val="22"/>
          <w:szCs w:val="22"/>
        </w:rPr>
      </w:pPr>
    </w:p>
    <w:p w14:paraId="14E6D2AE" w14:textId="74584C39" w:rsidR="00960F9A" w:rsidRDefault="00960F9A" w:rsidP="00EF4669">
      <w:pPr>
        <w:jc w:val="both"/>
        <w:rPr>
          <w:sz w:val="22"/>
          <w:szCs w:val="22"/>
        </w:rPr>
      </w:pPr>
      <w:r w:rsidRPr="00AC1D55">
        <w:rPr>
          <w:sz w:val="22"/>
          <w:szCs w:val="22"/>
        </w:rPr>
        <w:t xml:space="preserve">When negotiating GPS for an Existing Transmission Connected Generating System and it is proposed to use the minimum Generator Performance Standard for a relevant Technical Requirement, it must be accepted by Western Power and/or AEMO (subject to power system security and reliability being maintained). </w:t>
      </w:r>
    </w:p>
    <w:p w14:paraId="7A7121A9" w14:textId="77777777" w:rsidR="00AC1D55" w:rsidRPr="00AC1D55" w:rsidRDefault="00AC1D55" w:rsidP="00EF4669">
      <w:pPr>
        <w:jc w:val="both"/>
        <w:rPr>
          <w:sz w:val="22"/>
          <w:szCs w:val="22"/>
        </w:rPr>
      </w:pPr>
    </w:p>
    <w:p w14:paraId="762D1BB3"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Generator Condition or proposed Generator Condition</w:t>
      </w:r>
    </w:p>
    <w:p w14:paraId="3B8C8E99" w14:textId="263F61B8" w:rsidR="00960F9A" w:rsidRDefault="00960F9A" w:rsidP="00EF4669">
      <w:pPr>
        <w:jc w:val="both"/>
        <w:rPr>
          <w:sz w:val="22"/>
          <w:szCs w:val="22"/>
        </w:rPr>
      </w:pPr>
      <w:r w:rsidRPr="00AC1D55">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for further detail.  </w:t>
      </w:r>
    </w:p>
    <w:p w14:paraId="6894A82F" w14:textId="77777777" w:rsidR="00AC1D55" w:rsidRPr="00AC1D55" w:rsidRDefault="00AC1D55" w:rsidP="00EF4669">
      <w:pPr>
        <w:jc w:val="both"/>
        <w:rPr>
          <w:sz w:val="22"/>
          <w:szCs w:val="22"/>
        </w:rPr>
      </w:pPr>
    </w:p>
    <w:p w14:paraId="1A476511" w14:textId="77777777" w:rsidR="00960F9A" w:rsidRPr="00EF4669" w:rsidRDefault="00960F9A" w:rsidP="00EF4669">
      <w:pPr>
        <w:pStyle w:val="ListNumber"/>
        <w:keepNext/>
        <w:keepLines/>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lastRenderedPageBreak/>
        <w:t xml:space="preserve">Proposed Alternative Standard </w:t>
      </w:r>
    </w:p>
    <w:p w14:paraId="3FFCFCB7" w14:textId="6A9310AA" w:rsidR="00960F9A" w:rsidRPr="00AC1D55" w:rsidRDefault="00960F9A" w:rsidP="00EF4669">
      <w:pPr>
        <w:keepNext/>
        <w:keepLines/>
        <w:spacing w:after="120"/>
        <w:jc w:val="both"/>
        <w:rPr>
          <w:sz w:val="22"/>
          <w:szCs w:val="22"/>
        </w:rPr>
      </w:pPr>
      <w:r w:rsidRPr="00AC1D55">
        <w:rPr>
          <w:sz w:val="22"/>
          <w:szCs w:val="22"/>
        </w:rPr>
        <w:t xml:space="preserve">Where a Market Participant has proposed a standard or technical level of performance against a Technical Requirement that is less than the Access, Reference or minimum standard (a Proposed Alternative Standard), the information in section </w:t>
      </w:r>
      <w:r w:rsidR="006F07E2">
        <w:rPr>
          <w:sz w:val="22"/>
          <w:szCs w:val="22"/>
        </w:rPr>
        <w:t>5</w:t>
      </w:r>
      <w:r w:rsidRPr="00AC1D55">
        <w:rPr>
          <w:sz w:val="22"/>
          <w:szCs w:val="22"/>
        </w:rPr>
        <w:t xml:space="preserve"> should cover the following (as applicable): </w:t>
      </w:r>
    </w:p>
    <w:p w14:paraId="7AFA6363"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the Market Participant provide reasons and supporting evidence to demonstrate that the Proposed Alternative Standard meets the appliable criteria listed in clause 1.40.8? </w:t>
      </w:r>
    </w:p>
    <w:p w14:paraId="72C3D781"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Was additional information relating to the Proposed Alternative Standard requested by either the Network Operator or AEMO? Was this information provided?   </w:t>
      </w:r>
    </w:p>
    <w:p w14:paraId="5E2F6A85"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consulted with AEMO in relation to this Proposed Alternative Standard? </w:t>
      </w:r>
    </w:p>
    <w:p w14:paraId="5C16577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provided a written response to the Network Operator that states why the Proposed Alternative Standard should be rejected (see clause 1.40.16)? </w:t>
      </w:r>
    </w:p>
    <w:p w14:paraId="60275B2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proposed an amended Proposed Alternative Standard, or recommended that either the Reference Standard or Minimum Generator Performance Standard be adopted (see clause 1.40.16)? </w:t>
      </w:r>
    </w:p>
    <w:p w14:paraId="60E1EED1"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rejected a Proposed Alternative Standard </w:t>
      </w:r>
      <w:proofErr w:type="gramStart"/>
      <w:r w:rsidRPr="00AC1D55">
        <w:rPr>
          <w:lang w:val="en-US"/>
        </w:rPr>
        <w:t>on the basis of</w:t>
      </w:r>
      <w:proofErr w:type="gramEnd"/>
      <w:r w:rsidRPr="00AC1D55">
        <w:rPr>
          <w:lang w:val="en-US"/>
        </w:rPr>
        <w:t xml:space="preserve"> any of the reasons listed in clause 1.40.19? Has the Network Operator provided written reasons for this decision and/or proposed an amended Proposed Alternative Standard? </w:t>
      </w:r>
    </w:p>
    <w:p w14:paraId="5693B279"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any Party to the Dispute proposed testing and/or the interrogation of data to demonstrate performance or capability of the Existing Transmission Generating System (see clauses 1.40.24-1.40.27)? </w:t>
      </w:r>
    </w:p>
    <w:p w14:paraId="7B32B108"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Generator Monitoring Plan </w:t>
      </w:r>
    </w:p>
    <w:p w14:paraId="62BE8161" w14:textId="34ADA6D2" w:rsidR="00960F9A" w:rsidRPr="00AC1D55" w:rsidRDefault="00960F9A" w:rsidP="00EF4669">
      <w:pPr>
        <w:spacing w:after="120"/>
        <w:jc w:val="both"/>
        <w:rPr>
          <w:sz w:val="22"/>
          <w:szCs w:val="22"/>
        </w:rPr>
      </w:pPr>
      <w:r w:rsidRPr="00AC1D55">
        <w:rPr>
          <w:sz w:val="22"/>
          <w:szCs w:val="22"/>
        </w:rPr>
        <w:t xml:space="preserve">AEMO has published a </w:t>
      </w:r>
      <w:hyperlink r:id="rId17" w:history="1">
        <w:r w:rsidRPr="00EF4669">
          <w:rPr>
            <w:rStyle w:val="Hyperlink"/>
            <w:sz w:val="22"/>
            <w:szCs w:val="22"/>
          </w:rPr>
          <w:t>WEM Procedure: Generator Monitoring Plans</w:t>
        </w:r>
      </w:hyperlink>
      <w:r w:rsidRPr="00AC1D55">
        <w:rPr>
          <w:sz w:val="22"/>
          <w:szCs w:val="22"/>
        </w:rPr>
        <w:t xml:space="preserve"> which outlines the requirements for Generator Monitoring Plans.</w:t>
      </w:r>
    </w:p>
    <w:p w14:paraId="417661A5" w14:textId="77777777" w:rsidR="00960F9A" w:rsidRPr="00AC1D55" w:rsidRDefault="00960F9A" w:rsidP="00EF4669">
      <w:pPr>
        <w:spacing w:after="120"/>
        <w:jc w:val="both"/>
        <w:rPr>
          <w:sz w:val="22"/>
          <w:szCs w:val="22"/>
        </w:rPr>
      </w:pPr>
      <w:r w:rsidRPr="00AC1D55">
        <w:rPr>
          <w:sz w:val="22"/>
          <w:szCs w:val="22"/>
        </w:rPr>
        <w:t xml:space="preserve">Examples of the type of information that should be provided where the matter under Dispute relates to Generator Monitoring Plan are: </w:t>
      </w:r>
    </w:p>
    <w:p w14:paraId="758CD6FF"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compliance with an Existing Generator Monitoring Plan was claimed to be either not possible or at unreasonable cost (see clause 1.41.2(b)). </w:t>
      </w:r>
    </w:p>
    <w:p w14:paraId="3720EF98"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AEMO provided written reasons relating to rejection of a proposed Generator Monitoring Plan that covers the criteria as outlined in clause 1.41.12? </w:t>
      </w:r>
    </w:p>
    <w:p w14:paraId="059476E9"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AEMO request any amendments to the proposed Generator Monitoring Plan in accordance with 1.41.14(c)? </w:t>
      </w:r>
    </w:p>
    <w:p w14:paraId="2BA27035"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Existing Monitoring Plan </w:t>
      </w:r>
    </w:p>
    <w:p w14:paraId="76F81245" w14:textId="54C52ACD" w:rsidR="00EF4669" w:rsidRDefault="00960F9A" w:rsidP="00EF4669">
      <w:pPr>
        <w:jc w:val="both"/>
        <w:rPr>
          <w:sz w:val="22"/>
          <w:szCs w:val="22"/>
        </w:rPr>
      </w:pPr>
      <w:r w:rsidRPr="00AC1D55">
        <w:rPr>
          <w:sz w:val="22"/>
          <w:szCs w:val="22"/>
        </w:rPr>
        <w:t xml:space="preserve">It is acknowledged that some Existing Transmission Connected Generating Systems already have a Monitoring plan in place with Western Power. Where there is already a monitoring regime for a relevant Technical Requirement, this may be used in place of the requirements in the Template Generator Monitoring Plan (as published by AEMO). </w:t>
      </w:r>
    </w:p>
    <w:p w14:paraId="2B07E206" w14:textId="77777777" w:rsidR="00EF4669" w:rsidRPr="00AC1D55" w:rsidRDefault="00EF4669" w:rsidP="00EF4669">
      <w:pPr>
        <w:jc w:val="both"/>
        <w:rPr>
          <w:sz w:val="22"/>
          <w:szCs w:val="22"/>
        </w:rPr>
      </w:pPr>
    </w:p>
    <w:p w14:paraId="46701F99" w14:textId="77777777" w:rsidR="00960F9A" w:rsidRPr="00AC1D55" w:rsidRDefault="00960F9A" w:rsidP="00EF4669">
      <w:pPr>
        <w:spacing w:after="120"/>
        <w:jc w:val="both"/>
        <w:rPr>
          <w:sz w:val="22"/>
          <w:szCs w:val="22"/>
        </w:rPr>
      </w:pPr>
      <w:r w:rsidRPr="00AC1D55">
        <w:rPr>
          <w:sz w:val="22"/>
          <w:szCs w:val="22"/>
        </w:rPr>
        <w:t xml:space="preserve">If a Dispute relates to an Existing Monitoring Plan, examples of the types of information that should be provided are: </w:t>
      </w:r>
    </w:p>
    <w:p w14:paraId="56790FF7"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an Existing Monitoring Plan (and relevant supporting documentation) been submitted to AEMO (as per clause 1.41.8)? </w:t>
      </w:r>
    </w:p>
    <w:p w14:paraId="7D665955"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advised that the method of monitoring in an Existing Monitoring Plan poses an unacceptable risk to Power System Security or Power System Reliability? </w:t>
      </w:r>
    </w:p>
    <w:p w14:paraId="05606947" w14:textId="09EFDED3" w:rsidR="00960F9A" w:rsidRPr="00EF4669" w:rsidRDefault="00960F9A" w:rsidP="00EF4669">
      <w:pPr>
        <w:pStyle w:val="ListBullet"/>
        <w:numPr>
          <w:ilvl w:val="0"/>
          <w:numId w:val="1"/>
        </w:numPr>
        <w:spacing w:after="120"/>
        <w:contextualSpacing w:val="0"/>
        <w:jc w:val="both"/>
      </w:pPr>
      <w:r w:rsidRPr="00EF4669">
        <w:rPr>
          <w:lang w:val="en-US"/>
        </w:rPr>
        <w:t xml:space="preserve">Has AEMO provided reasons as to why it considers this to be the case (see clause 1.41.10)? </w:t>
      </w:r>
    </w:p>
    <w:sectPr w:rsidR="00960F9A" w:rsidRPr="00EF4669" w:rsidSect="00ED595B">
      <w:headerReference w:type="first" r:id="rId18"/>
      <w:footerReference w:type="first" r:id="rId19"/>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31B9" w14:textId="77777777" w:rsidR="00A60C1A" w:rsidRDefault="00A60C1A" w:rsidP="000145EF">
      <w:r>
        <w:separator/>
      </w:r>
    </w:p>
  </w:endnote>
  <w:endnote w:type="continuationSeparator" w:id="0">
    <w:p w14:paraId="2B8E0AF7" w14:textId="77777777" w:rsidR="00A60C1A" w:rsidRDefault="00A60C1A" w:rsidP="0001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 xml:space="preserve">(08) 6551 </w:t>
          </w:r>
          <w:proofErr w:type="gramStart"/>
          <w:r w:rsidRPr="00067CE8">
            <w:rPr>
              <w:b w:val="0"/>
              <w:bCs/>
              <w:color w:val="FFFFFF" w:themeColor="background1"/>
              <w:szCs w:val="20"/>
            </w:rPr>
            <w:t>4600  |</w:t>
          </w:r>
          <w:proofErr w:type="gramEnd"/>
          <w:r w:rsidRPr="00067CE8">
            <w:rPr>
              <w:b w:val="0"/>
              <w:bCs/>
              <w:color w:val="FFFFFF" w:themeColor="background1"/>
              <w:szCs w:val="20"/>
            </w:rPr>
            <w:t xml:space="preserve">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46720" w14:textId="77777777" w:rsidR="00A60C1A" w:rsidRDefault="00A60C1A" w:rsidP="000145EF">
      <w:r>
        <w:separator/>
      </w:r>
    </w:p>
  </w:footnote>
  <w:footnote w:type="continuationSeparator" w:id="0">
    <w:p w14:paraId="4F025AF8" w14:textId="77777777" w:rsidR="00A60C1A" w:rsidRDefault="00A60C1A" w:rsidP="000145EF">
      <w:r>
        <w:continuationSeparator/>
      </w:r>
    </w:p>
  </w:footnote>
  <w:footnote w:id="1">
    <w:p w14:paraId="6D687901" w14:textId="1765F45A" w:rsidR="009F1B41" w:rsidRPr="00EF4669" w:rsidRDefault="009F1B41">
      <w:pPr>
        <w:pStyle w:val="FootnoteText"/>
        <w:rPr>
          <w:lang w:val="en-AU"/>
        </w:rPr>
      </w:pPr>
      <w:r>
        <w:rPr>
          <w:rStyle w:val="FootnoteReference"/>
        </w:rPr>
        <w:footnoteRef/>
      </w:r>
      <w:r>
        <w:t xml:space="preserve"> </w:t>
      </w:r>
      <w:hyperlink r:id="rId1" w:history="1">
        <w:r w:rsidRPr="00FC60F7">
          <w:rPr>
            <w:rStyle w:val="Hyperlink"/>
          </w:rPr>
          <w:t>https://www.erawa.com.au/cproot/21723/2/Wholesale-Electricity-Market-Rules-1-February-2021.pdf</w:t>
        </w:r>
      </w:hyperlink>
      <w:r>
        <w:t xml:space="preserve"> - page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77C" w14:textId="77777777" w:rsidR="00A36D1E" w:rsidRDefault="00A36D1E">
    <w:pPr>
      <w:pStyle w:val="Header"/>
    </w:pPr>
    <w:r>
      <w:rPr>
        <w:noProof/>
      </w:rPr>
      <w:drawing>
        <wp:anchor distT="0" distB="0" distL="114300" distR="114300" simplePos="0" relativeHeight="251657216"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B31" w14:textId="77777777" w:rsidR="00A36D1E" w:rsidRDefault="00EC6124">
    <w:pPr>
      <w:pStyle w:val="Header"/>
    </w:pPr>
    <w:r>
      <w:rPr>
        <w:noProof/>
      </w:rPr>
      <w:drawing>
        <wp:anchor distT="0" distB="0" distL="114300" distR="114300" simplePos="0" relativeHeight="251656192" behindDoc="1" locked="0" layoutInCell="1" allowOverlap="1" wp14:anchorId="16F0F3E5" wp14:editId="34C94FCA">
          <wp:simplePos x="0" y="0"/>
          <wp:positionH relativeFrom="page">
            <wp:align>center</wp:align>
          </wp:positionH>
          <wp:positionV relativeFrom="page">
            <wp:align>top</wp:align>
          </wp:positionV>
          <wp:extent cx="7560000" cy="10692000"/>
          <wp:effectExtent l="0" t="0" r="0" b="0"/>
          <wp:wrapNone/>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02B" w14:textId="77777777" w:rsidR="00626C54" w:rsidRDefault="009A01DA">
    <w:pPr>
      <w:pStyle w:val="Header"/>
    </w:pPr>
    <w:r>
      <w:rPr>
        <w:noProof/>
      </w:rPr>
      <w:drawing>
        <wp:anchor distT="0" distB="0" distL="114300" distR="114300" simplePos="0" relativeHeight="251658240"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E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2"/>
  </w:num>
  <w:num w:numId="15">
    <w:abstractNumId w:val="10"/>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135B9"/>
    <w:rsid w:val="000145EF"/>
    <w:rsid w:val="00067CE8"/>
    <w:rsid w:val="00077281"/>
    <w:rsid w:val="000C36CD"/>
    <w:rsid w:val="000D6DF0"/>
    <w:rsid w:val="000F2514"/>
    <w:rsid w:val="001631C4"/>
    <w:rsid w:val="001B4CC5"/>
    <w:rsid w:val="001C6E63"/>
    <w:rsid w:val="001D0457"/>
    <w:rsid w:val="001D402C"/>
    <w:rsid w:val="00203510"/>
    <w:rsid w:val="00203F01"/>
    <w:rsid w:val="00213D19"/>
    <w:rsid w:val="00235520"/>
    <w:rsid w:val="00242D04"/>
    <w:rsid w:val="0029367C"/>
    <w:rsid w:val="002969EE"/>
    <w:rsid w:val="003072B8"/>
    <w:rsid w:val="00344989"/>
    <w:rsid w:val="003C3ADC"/>
    <w:rsid w:val="003C5A39"/>
    <w:rsid w:val="003E00BF"/>
    <w:rsid w:val="003F5276"/>
    <w:rsid w:val="00426084"/>
    <w:rsid w:val="00481872"/>
    <w:rsid w:val="004B158D"/>
    <w:rsid w:val="004C03B1"/>
    <w:rsid w:val="00572198"/>
    <w:rsid w:val="005817AD"/>
    <w:rsid w:val="00587CE6"/>
    <w:rsid w:val="005E129E"/>
    <w:rsid w:val="005E1985"/>
    <w:rsid w:val="00624BDD"/>
    <w:rsid w:val="00626C54"/>
    <w:rsid w:val="00647199"/>
    <w:rsid w:val="00671C2E"/>
    <w:rsid w:val="00683175"/>
    <w:rsid w:val="006B16F2"/>
    <w:rsid w:val="006E3825"/>
    <w:rsid w:val="006F07E2"/>
    <w:rsid w:val="0072447D"/>
    <w:rsid w:val="00733984"/>
    <w:rsid w:val="00752ADC"/>
    <w:rsid w:val="0076031A"/>
    <w:rsid w:val="00781261"/>
    <w:rsid w:val="00826AC0"/>
    <w:rsid w:val="008340D2"/>
    <w:rsid w:val="00855997"/>
    <w:rsid w:val="00880E58"/>
    <w:rsid w:val="008C4C4A"/>
    <w:rsid w:val="008D6EC4"/>
    <w:rsid w:val="008F04B3"/>
    <w:rsid w:val="008F255D"/>
    <w:rsid w:val="00926121"/>
    <w:rsid w:val="00960F9A"/>
    <w:rsid w:val="00971015"/>
    <w:rsid w:val="00971F02"/>
    <w:rsid w:val="009924C6"/>
    <w:rsid w:val="009A01DA"/>
    <w:rsid w:val="009A396E"/>
    <w:rsid w:val="009A7985"/>
    <w:rsid w:val="009B0F59"/>
    <w:rsid w:val="009E37F4"/>
    <w:rsid w:val="009F1B41"/>
    <w:rsid w:val="00A20844"/>
    <w:rsid w:val="00A36D1E"/>
    <w:rsid w:val="00A60C1A"/>
    <w:rsid w:val="00A6429E"/>
    <w:rsid w:val="00AB62DB"/>
    <w:rsid w:val="00AC1D55"/>
    <w:rsid w:val="00AC715C"/>
    <w:rsid w:val="00AF5872"/>
    <w:rsid w:val="00B1068F"/>
    <w:rsid w:val="00B15DC0"/>
    <w:rsid w:val="00B47F82"/>
    <w:rsid w:val="00B47FE4"/>
    <w:rsid w:val="00B518EA"/>
    <w:rsid w:val="00B54BA9"/>
    <w:rsid w:val="00B62207"/>
    <w:rsid w:val="00B86D4D"/>
    <w:rsid w:val="00B962F1"/>
    <w:rsid w:val="00B966AB"/>
    <w:rsid w:val="00BA7931"/>
    <w:rsid w:val="00C403C0"/>
    <w:rsid w:val="00C86AE1"/>
    <w:rsid w:val="00CA3EB7"/>
    <w:rsid w:val="00CD643C"/>
    <w:rsid w:val="00D34DD9"/>
    <w:rsid w:val="00D853B6"/>
    <w:rsid w:val="00DA00A5"/>
    <w:rsid w:val="00DA5853"/>
    <w:rsid w:val="00E452A4"/>
    <w:rsid w:val="00E479E9"/>
    <w:rsid w:val="00E5077D"/>
    <w:rsid w:val="00E72F0E"/>
    <w:rsid w:val="00EA4FAF"/>
    <w:rsid w:val="00EC6124"/>
    <w:rsid w:val="00ED595B"/>
    <w:rsid w:val="00EE6532"/>
    <w:rsid w:val="00EF11DA"/>
    <w:rsid w:val="00EF4669"/>
    <w:rsid w:val="00F24222"/>
    <w:rsid w:val="00F3621D"/>
    <w:rsid w:val="00F55F0F"/>
    <w:rsid w:val="00F6780B"/>
    <w:rsid w:val="00FC6D2B"/>
    <w:rsid w:val="00FE0004"/>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8B2798"/>
  <w15:chartTrackingRefBased/>
  <w15:docId w15:val="{724F767F-0B03-4706-A86A-B44861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paragraph" w:styleId="ListBullet">
    <w:name w:val="List Bullet"/>
    <w:basedOn w:val="Normal"/>
    <w:uiPriority w:val="99"/>
    <w:unhideWhenUsed/>
    <w:rsid w:val="00960F9A"/>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9F1B41"/>
    <w:rPr>
      <w:color w:val="E03F28" w:themeColor="hyperlink"/>
      <w:u w:val="single"/>
    </w:rPr>
  </w:style>
  <w:style w:type="character" w:styleId="UnresolvedMention">
    <w:name w:val="Unresolved Mention"/>
    <w:basedOn w:val="DefaultParagraphFont"/>
    <w:uiPriority w:val="99"/>
    <w:semiHidden/>
    <w:unhideWhenUsed/>
    <w:rsid w:val="009F1B41"/>
    <w:rPr>
      <w:color w:val="605E5C"/>
      <w:shd w:val="clear" w:color="auto" w:fill="E1DFDD"/>
    </w:rPr>
  </w:style>
  <w:style w:type="paragraph" w:styleId="FootnoteText">
    <w:name w:val="footnote text"/>
    <w:basedOn w:val="Normal"/>
    <w:link w:val="FootnoteTextChar"/>
    <w:uiPriority w:val="99"/>
    <w:semiHidden/>
    <w:unhideWhenUsed/>
    <w:rsid w:val="009F1B41"/>
    <w:rPr>
      <w:sz w:val="20"/>
      <w:szCs w:val="20"/>
    </w:rPr>
  </w:style>
  <w:style w:type="character" w:customStyle="1" w:styleId="FootnoteTextChar">
    <w:name w:val="Footnote Text Char"/>
    <w:basedOn w:val="DefaultParagraphFont"/>
    <w:link w:val="FootnoteText"/>
    <w:uiPriority w:val="99"/>
    <w:semiHidden/>
    <w:rsid w:val="009F1B41"/>
    <w:rPr>
      <w:sz w:val="20"/>
      <w:szCs w:val="20"/>
    </w:rPr>
  </w:style>
  <w:style w:type="character" w:styleId="FootnoteReference">
    <w:name w:val="footnote reference"/>
    <w:basedOn w:val="DefaultParagraphFont"/>
    <w:uiPriority w:val="99"/>
    <w:semiHidden/>
    <w:unhideWhenUsed/>
    <w:rsid w:val="009F1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2" Type="http://schemas.openxmlformats.org/officeDocument/2006/relationships/customXml" Target="../customXml/item2.xml"/><Relationship Id="rId16" Type="http://schemas.openxmlformats.org/officeDocument/2006/relationships/hyperlink" Target="https://www.westernpower.com.au/media/4757/generator-performance-standards-for-existing-transmission-connected-generating-systems-2020020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wa.com.au/cproot/21723/2/Wholesale-Electricity-Market-Rules-1-February-20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awa.com.au/cproot/21723/2/Wholesale-Electricity-Market-Rules-1-Febru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68481E"/>
    <w:rsid w:val="006E5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 w:type="paragraph" w:customStyle="1" w:styleId="7506BDD816B14946AC1CC6DC011C8BB8">
    <w:name w:val="7506BDD816B14946AC1CC6DC011C8BB8"/>
    <w:rsid w:val="000152D3"/>
    <w:pPr>
      <w:spacing w:after="0" w:line="240" w:lineRule="auto"/>
    </w:pPr>
    <w:rPr>
      <w:rFonts w:eastAsiaTheme="minorHAnsi"/>
      <w:sz w:val="20"/>
      <w:szCs w:val="24"/>
      <w:lang w:val="en-US" w:eastAsia="en-US"/>
    </w:rPr>
  </w:style>
  <w:style w:type="paragraph" w:customStyle="1" w:styleId="6BFE46F3235C42519B72AF1701F5FF8E">
    <w:name w:val="6BFE46F3235C42519B72AF1701F5FF8E"/>
    <w:rsid w:val="000152D3"/>
    <w:pPr>
      <w:spacing w:after="0" w:line="240" w:lineRule="auto"/>
    </w:pPr>
    <w:rPr>
      <w:rFonts w:eastAsiaTheme="minorHAnsi"/>
      <w:sz w:val="24"/>
      <w:szCs w:val="24"/>
      <w:lang w:val="en-US" w:eastAsia="en-US"/>
    </w:rPr>
  </w:style>
  <w:style w:type="paragraph" w:customStyle="1" w:styleId="0EA8606864B84EF9AE89DDB6B91308AE">
    <w:name w:val="0EA8606864B84EF9AE89DDB6B91308AE"/>
    <w:rsid w:val="000152D3"/>
    <w:pPr>
      <w:spacing w:after="0" w:line="240" w:lineRule="auto"/>
    </w:pPr>
    <w:rPr>
      <w:rFonts w:eastAsiaTheme="minorHAnsi"/>
      <w:sz w:val="24"/>
      <w:szCs w:val="24"/>
      <w:lang w:val="en-US" w:eastAsia="en-US"/>
    </w:rPr>
  </w:style>
  <w:style w:type="paragraph" w:customStyle="1" w:styleId="5E13399D52B4416E8516D4C483379F23">
    <w:name w:val="5E13399D52B4416E8516D4C483379F23"/>
    <w:rsid w:val="000152D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36BFCFB6E854F886B74F4C8955FEF" ma:contentTypeVersion="13" ma:contentTypeDescription="Create a new document." ma:contentTypeScope="" ma:versionID="08e6cea88b31c84ac4f68ad49b70dfd0">
  <xsd:schema xmlns:xsd="http://www.w3.org/2001/XMLSchema" xmlns:xs="http://www.w3.org/2001/XMLSchema" xmlns:p="http://schemas.microsoft.com/office/2006/metadata/properties" xmlns:ns3="28ba0b5e-ca90-466e-89c0-98511a4c53b2" xmlns:ns4="0e950e42-7d6e-4894-8c40-d34f21ec3b2e" targetNamespace="http://schemas.microsoft.com/office/2006/metadata/properties" ma:root="true" ma:fieldsID="43f958775eb70d5f1e039dc880459fab" ns3:_="" ns4:_="">
    <xsd:import namespace="28ba0b5e-ca90-466e-89c0-98511a4c53b2"/>
    <xsd:import namespace="0e950e42-7d6e-4894-8c40-d34f21ec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0b5e-ca90-466e-89c0-98511a4c5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0e42-7d6e-4894-8c40-d34f21ec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E684-2B79-4545-A318-9617863F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0b5e-ca90-466e-89c0-98511a4c53b2"/>
    <ds:schemaRef ds:uri="0e950e42-7d6e-4894-8c40-d34f21ec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3.xml><?xml version="1.0" encoding="utf-8"?>
<ds:datastoreItem xmlns:ds="http://schemas.openxmlformats.org/officeDocument/2006/customXml" ds:itemID="{ECEEA5C7-731C-4766-87A3-9CBB781331F7}">
  <ds:schemaRefs>
    <ds:schemaRef ds:uri="0e950e42-7d6e-4894-8c40-d34f21ec3b2e"/>
    <ds:schemaRef ds:uri="http://schemas.microsoft.com/office/2006/documentManagement/types"/>
    <ds:schemaRef ds:uri="http://schemas.openxmlformats.org/package/2006/metadata/core-properties"/>
    <ds:schemaRef ds:uri="28ba0b5e-ca90-466e-89c0-98511a4c53b2"/>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A210056-94DB-40CA-9C0C-0960ED39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0</TotalTime>
  <Pages>7</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Hoskin, Keelie</cp:lastModifiedBy>
  <cp:revision>2</cp:revision>
  <dcterms:created xsi:type="dcterms:W3CDTF">2021-02-09T06:13:00Z</dcterms:created>
  <dcterms:modified xsi:type="dcterms:W3CDTF">2021-02-09T06:13:00Z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0x01010026536BFCFB6E854F886B74F4C8955FEF</vt:lpwstr>
  </property>
</Properties>
</file>