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034" w14:textId="5918E1AB" w:rsidR="00DC16DF" w:rsidRDefault="002E1837" w:rsidP="00DC16DF">
      <w:pPr>
        <w:pStyle w:val="Title"/>
      </w:pPr>
      <w:bookmarkStart w:id="0" w:name="_Toc501711837"/>
      <w:r>
        <w:t>Local Coordination Operational Policy - Safeguarding</w:t>
      </w:r>
    </w:p>
    <w:p w14:paraId="0999BCC0" w14:textId="4167AD8B" w:rsidR="00DC16DF" w:rsidRPr="00240EE5" w:rsidRDefault="00DC16DF" w:rsidP="00322725">
      <w:pPr>
        <w:pStyle w:val="Heading1"/>
        <w:numPr>
          <w:ilvl w:val="0"/>
          <w:numId w:val="0"/>
        </w:numPr>
        <w:ind w:left="709" w:hanging="709"/>
      </w:pPr>
      <w:r>
        <w:t>P</w:t>
      </w:r>
      <w:bookmarkEnd w:id="0"/>
      <w:r>
        <w:t>urpose</w:t>
      </w:r>
    </w:p>
    <w:p w14:paraId="69EACDC4" w14:textId="299D9E4C" w:rsidR="00DC16DF" w:rsidRPr="00240EE5" w:rsidRDefault="00150184" w:rsidP="00DC16DF">
      <w:pPr>
        <w:pStyle w:val="BodyText"/>
      </w:pPr>
      <w:bookmarkStart w:id="1" w:name="_Toc501711844"/>
      <w:r w:rsidRPr="00150184">
        <w:t xml:space="preserve">This </w:t>
      </w:r>
      <w:r>
        <w:t>P</w:t>
      </w:r>
      <w:r w:rsidRPr="00150184">
        <w:t>olicy outlines the safeguarding supports and mechanisms that promote, enhance and protect a person</w:t>
      </w:r>
      <w:r w:rsidR="00C5555F">
        <w:t>,</w:t>
      </w:r>
      <w:r w:rsidRPr="00150184">
        <w:t xml:space="preserve"> that may be in</w:t>
      </w:r>
      <w:r w:rsidR="009E4036">
        <w:t xml:space="preserve">cluded </w:t>
      </w:r>
      <w:r w:rsidRPr="00150184">
        <w:t>in their individual Local Coordination plan.</w:t>
      </w:r>
      <w:r w:rsidR="00DC16DF">
        <w:t xml:space="preserve"> </w:t>
      </w:r>
    </w:p>
    <w:p w14:paraId="6FE4C4FF" w14:textId="22647ECC" w:rsidR="00DC16DF" w:rsidRPr="00240EE5" w:rsidRDefault="00DC16DF" w:rsidP="00322725">
      <w:pPr>
        <w:pStyle w:val="Heading1"/>
        <w:numPr>
          <w:ilvl w:val="0"/>
          <w:numId w:val="0"/>
        </w:numPr>
        <w:ind w:left="709" w:hanging="709"/>
      </w:pPr>
      <w:r>
        <w:t>S</w:t>
      </w:r>
      <w:r w:rsidRPr="00240EE5">
        <w:t>cope</w:t>
      </w:r>
      <w:bookmarkEnd w:id="1"/>
    </w:p>
    <w:p w14:paraId="366660F3" w14:textId="12295AB8" w:rsidR="00DC16DF" w:rsidRPr="00240EE5" w:rsidRDefault="002E1837" w:rsidP="00DC16DF">
      <w:pPr>
        <w:pStyle w:val="BodyText"/>
      </w:pPr>
      <w:r w:rsidRPr="002E1837">
        <w:t>This Policy applies to all Local Coordination areas and is applicable to people with disability accessing Local Coordination support.</w:t>
      </w:r>
    </w:p>
    <w:p w14:paraId="363C70FD" w14:textId="6DBC7DFE" w:rsidR="00DC16DF" w:rsidRDefault="00DC16DF" w:rsidP="00322725">
      <w:pPr>
        <w:pStyle w:val="Heading1"/>
        <w:numPr>
          <w:ilvl w:val="0"/>
          <w:numId w:val="0"/>
        </w:numPr>
        <w:ind w:left="709" w:hanging="709"/>
      </w:pPr>
      <w:r>
        <w:t>Definitions</w:t>
      </w:r>
    </w:p>
    <w:tbl>
      <w:tblPr>
        <w:tblStyle w:val="TableStyle"/>
        <w:tblW w:w="9621" w:type="dxa"/>
        <w:tblLook w:val="04A0" w:firstRow="1" w:lastRow="0" w:firstColumn="1" w:lastColumn="0" w:noHBand="0" w:noVBand="1"/>
        <w:tblDescription w:val="Table example"/>
      </w:tblPr>
      <w:tblGrid>
        <w:gridCol w:w="2546"/>
        <w:gridCol w:w="7075"/>
      </w:tblGrid>
      <w:tr w:rsidR="00A672BC" w:rsidRPr="00531866" w14:paraId="4A432EC4" w14:textId="77777777" w:rsidTr="00A672BC">
        <w:trPr>
          <w:cnfStyle w:val="100000000000" w:firstRow="1" w:lastRow="0" w:firstColumn="0" w:lastColumn="0" w:oddVBand="0" w:evenVBand="0" w:oddHBand="0" w:evenHBand="0" w:firstRowFirstColumn="0" w:firstRowLastColumn="0" w:lastRowFirstColumn="0" w:lastRowLastColumn="0"/>
          <w:trHeight w:val="567"/>
        </w:trPr>
        <w:tc>
          <w:tcPr>
            <w:tcW w:w="2546" w:type="dxa"/>
          </w:tcPr>
          <w:p w14:paraId="6F3F13AB" w14:textId="79FA6084" w:rsidR="00A672BC" w:rsidRPr="00531866" w:rsidRDefault="00A672BC" w:rsidP="008D0412">
            <w:pPr>
              <w:pStyle w:val="TableContent"/>
            </w:pPr>
            <w:bookmarkStart w:id="2" w:name="_Hlk39578246"/>
            <w:r>
              <w:t>Term</w:t>
            </w:r>
            <w:r w:rsidRPr="00531866">
              <w:t xml:space="preserve"> </w:t>
            </w:r>
          </w:p>
        </w:tc>
        <w:tc>
          <w:tcPr>
            <w:tcW w:w="7075" w:type="dxa"/>
          </w:tcPr>
          <w:p w14:paraId="61E28633" w14:textId="76313E54" w:rsidR="00A672BC" w:rsidRPr="00531866" w:rsidRDefault="00A672BC" w:rsidP="008D0412">
            <w:pPr>
              <w:pStyle w:val="TableContent"/>
            </w:pPr>
            <w:r>
              <w:t>Definition</w:t>
            </w:r>
          </w:p>
        </w:tc>
      </w:tr>
      <w:tr w:rsidR="00A672BC" w:rsidRPr="00531866" w14:paraId="272A8FED" w14:textId="77777777" w:rsidTr="00A672BC">
        <w:trPr>
          <w:trHeight w:val="567"/>
        </w:trPr>
        <w:tc>
          <w:tcPr>
            <w:tcW w:w="2546" w:type="dxa"/>
          </w:tcPr>
          <w:p w14:paraId="0E65DFAF" w14:textId="226772B3" w:rsidR="00A672BC" w:rsidRPr="00531866" w:rsidRDefault="002E1837" w:rsidP="008D0412">
            <w:pPr>
              <w:pStyle w:val="TableContent"/>
            </w:pPr>
            <w:r>
              <w:t>Carer</w:t>
            </w:r>
          </w:p>
        </w:tc>
        <w:tc>
          <w:tcPr>
            <w:tcW w:w="7075" w:type="dxa"/>
          </w:tcPr>
          <w:p w14:paraId="7543052D" w14:textId="2B1396B0" w:rsidR="00A672BC" w:rsidRPr="00531866" w:rsidRDefault="002E1837" w:rsidP="008D0412">
            <w:pPr>
              <w:pStyle w:val="TableContent"/>
            </w:pPr>
            <w:r w:rsidRPr="002E1837">
              <w:t>Carer is a person, such as a family member or friend</w:t>
            </w:r>
            <w:r w:rsidR="009E4036">
              <w:t>,</w:t>
            </w:r>
            <w:r w:rsidRPr="002E1837">
              <w:t xml:space="preserve"> who provides ongoing support and assistance to a</w:t>
            </w:r>
            <w:r w:rsidR="009E4036">
              <w:t xml:space="preserve"> person with disability </w:t>
            </w:r>
            <w:r w:rsidRPr="002E1837">
              <w:t xml:space="preserve">in an unpaid capacity (apart from a pension or allowance).  </w:t>
            </w:r>
          </w:p>
        </w:tc>
      </w:tr>
      <w:tr w:rsidR="00A672BC" w:rsidRPr="00531866" w14:paraId="57DCC25E" w14:textId="77777777" w:rsidTr="00A672BC">
        <w:trPr>
          <w:trHeight w:val="567"/>
        </w:trPr>
        <w:tc>
          <w:tcPr>
            <w:tcW w:w="2546" w:type="dxa"/>
          </w:tcPr>
          <w:p w14:paraId="26E04540" w14:textId="33475BB8" w:rsidR="00A672BC" w:rsidRPr="00531866" w:rsidRDefault="002E1837" w:rsidP="008D0412">
            <w:pPr>
              <w:pStyle w:val="TableContent"/>
            </w:pPr>
            <w:r w:rsidRPr="002E1837">
              <w:t>Community based safeguards</w:t>
            </w:r>
          </w:p>
        </w:tc>
        <w:tc>
          <w:tcPr>
            <w:tcW w:w="7075" w:type="dxa"/>
          </w:tcPr>
          <w:p w14:paraId="04CD6D0A" w14:textId="1DEB607E" w:rsidR="00A672BC" w:rsidRPr="00531866" w:rsidRDefault="002E1837" w:rsidP="008D0412">
            <w:pPr>
              <w:pStyle w:val="TableContent"/>
            </w:pPr>
            <w:r w:rsidRPr="002E1837">
              <w:t>These are those that are not formally part of the disability services system. These include advocacy organisations, community visitor schemes, Public Advocates or Guardians, Ombudsman, anti-discrimination and consumer protection legislation.</w:t>
            </w:r>
          </w:p>
        </w:tc>
      </w:tr>
      <w:tr w:rsidR="00A672BC" w:rsidRPr="00531866" w14:paraId="6B465DC9" w14:textId="77777777" w:rsidTr="00A672BC">
        <w:trPr>
          <w:trHeight w:val="567"/>
        </w:trPr>
        <w:tc>
          <w:tcPr>
            <w:tcW w:w="2546" w:type="dxa"/>
          </w:tcPr>
          <w:p w14:paraId="4B1970A8" w14:textId="68E1F74E" w:rsidR="00A672BC" w:rsidRPr="00531866" w:rsidRDefault="002E1837" w:rsidP="008D0412">
            <w:pPr>
              <w:pStyle w:val="TableContent"/>
            </w:pPr>
            <w:r w:rsidRPr="002E1837">
              <w:t>Individual level safeguards</w:t>
            </w:r>
          </w:p>
        </w:tc>
        <w:tc>
          <w:tcPr>
            <w:tcW w:w="7075" w:type="dxa"/>
          </w:tcPr>
          <w:p w14:paraId="2A03B513" w14:textId="2E01AA94" w:rsidR="00A672BC" w:rsidRPr="00531866" w:rsidRDefault="002E1837" w:rsidP="008D0412">
            <w:pPr>
              <w:pStyle w:val="TableContent"/>
            </w:pPr>
            <w:r w:rsidRPr="002E1837">
              <w:t>Include both informal and formal safeguards for p</w:t>
            </w:r>
            <w:r w:rsidR="00C5555F">
              <w:t>eople with disability</w:t>
            </w:r>
            <w:r w:rsidRPr="002E1837">
              <w:t>. Formal safeguards include rules for restrictive practices and serious incident reporting. Informal safeguards are examples of the concept that p</w:t>
            </w:r>
            <w:r w:rsidR="00C5555F">
              <w:t>eople</w:t>
            </w:r>
            <w:r w:rsidRPr="002E1837">
              <w:t xml:space="preserve"> are more likely to be safe when they are actively involved with their family and the community. The things that make people safe </w:t>
            </w:r>
            <w:proofErr w:type="gramStart"/>
            <w:r w:rsidRPr="002E1837">
              <w:t>can be seen as</w:t>
            </w:r>
            <w:proofErr w:type="gramEnd"/>
            <w:r w:rsidRPr="002E1837">
              <w:t xml:space="preserve"> the same things that are needed to have a good life. For example, caring relationships and enhanced opportunities for participation in daily life.</w:t>
            </w:r>
          </w:p>
        </w:tc>
      </w:tr>
      <w:tr w:rsidR="002E1837" w:rsidRPr="00531866" w14:paraId="01B75C55" w14:textId="77777777" w:rsidTr="00A672BC">
        <w:trPr>
          <w:trHeight w:val="567"/>
        </w:trPr>
        <w:tc>
          <w:tcPr>
            <w:tcW w:w="2546" w:type="dxa"/>
          </w:tcPr>
          <w:p w14:paraId="07F389F2" w14:textId="1F729D99" w:rsidR="002E1837" w:rsidRPr="002E1837" w:rsidRDefault="002E1837" w:rsidP="008D0412">
            <w:pPr>
              <w:pStyle w:val="TableContent"/>
            </w:pPr>
            <w:r w:rsidRPr="002E1837">
              <w:lastRenderedPageBreak/>
              <w:t>Safeguards</w:t>
            </w:r>
          </w:p>
        </w:tc>
        <w:tc>
          <w:tcPr>
            <w:tcW w:w="7075" w:type="dxa"/>
          </w:tcPr>
          <w:p w14:paraId="4D3BA400" w14:textId="10F9B035" w:rsidR="002E1837" w:rsidRDefault="002E1837" w:rsidP="002E1837">
            <w:pPr>
              <w:pStyle w:val="TableContent"/>
            </w:pPr>
            <w:r>
              <w:t>Safeguards are supports and mechanisms that promote, enhance and protect a</w:t>
            </w:r>
            <w:r w:rsidR="00C5555F">
              <w:t xml:space="preserve"> person</w:t>
            </w:r>
            <w:r>
              <w:t xml:space="preserve"> in the following domains:</w:t>
            </w:r>
          </w:p>
          <w:p w14:paraId="040F7137" w14:textId="77777777" w:rsidR="002E1837" w:rsidRDefault="002E1837" w:rsidP="002E1837">
            <w:pPr>
              <w:pStyle w:val="TableContent"/>
            </w:pPr>
            <w:r>
              <w:t>•</w:t>
            </w:r>
            <w:r>
              <w:tab/>
              <w:t>Human rights</w:t>
            </w:r>
          </w:p>
          <w:p w14:paraId="5F76FCF5" w14:textId="77777777" w:rsidR="002E1837" w:rsidRDefault="002E1837" w:rsidP="002E1837">
            <w:pPr>
              <w:pStyle w:val="TableContent"/>
            </w:pPr>
            <w:r>
              <w:t>•</w:t>
            </w:r>
            <w:r>
              <w:tab/>
              <w:t xml:space="preserve">Decision-making, choice and control </w:t>
            </w:r>
          </w:p>
          <w:p w14:paraId="72D322C2" w14:textId="77777777" w:rsidR="002E1837" w:rsidRDefault="002E1837" w:rsidP="002E1837">
            <w:pPr>
              <w:pStyle w:val="TableContent"/>
            </w:pPr>
            <w:r>
              <w:t>•</w:t>
            </w:r>
            <w:r>
              <w:tab/>
              <w:t>Safety and wellbeing</w:t>
            </w:r>
          </w:p>
          <w:p w14:paraId="24FFBB0B" w14:textId="1EC457E8" w:rsidR="002E1837" w:rsidRPr="002E1837" w:rsidRDefault="002E1837" w:rsidP="002E1837">
            <w:pPr>
              <w:pStyle w:val="TableContent"/>
            </w:pPr>
            <w:r>
              <w:t>•</w:t>
            </w:r>
            <w:r>
              <w:tab/>
              <w:t>Citizenship and quality of life.</w:t>
            </w:r>
          </w:p>
        </w:tc>
      </w:tr>
      <w:tr w:rsidR="002E1837" w:rsidRPr="00531866" w14:paraId="2713918F" w14:textId="77777777" w:rsidTr="00A672BC">
        <w:trPr>
          <w:trHeight w:val="567"/>
        </w:trPr>
        <w:tc>
          <w:tcPr>
            <w:tcW w:w="2546" w:type="dxa"/>
          </w:tcPr>
          <w:p w14:paraId="611A4AC6" w14:textId="79F98D42" w:rsidR="002E1837" w:rsidRPr="002E1837" w:rsidRDefault="002E1837" w:rsidP="008D0412">
            <w:pPr>
              <w:pStyle w:val="TableContent"/>
            </w:pPr>
            <w:r w:rsidRPr="002E1837">
              <w:t>Service level safeguards</w:t>
            </w:r>
          </w:p>
        </w:tc>
        <w:tc>
          <w:tcPr>
            <w:tcW w:w="7075" w:type="dxa"/>
          </w:tcPr>
          <w:p w14:paraId="48B3716F" w14:textId="40D690FB" w:rsidR="002E1837" w:rsidRPr="002E1837" w:rsidRDefault="002E1837" w:rsidP="008D0412">
            <w:pPr>
              <w:pStyle w:val="TableContent"/>
            </w:pPr>
            <w:r w:rsidRPr="002E1837">
              <w:t>Include quality frameworks, complaints mechanisms and workforce requirements such as qualifications, recruitment practices and performance standards.</w:t>
            </w:r>
          </w:p>
        </w:tc>
      </w:tr>
      <w:tr w:rsidR="002E1837" w:rsidRPr="00531866" w14:paraId="42C36AD9" w14:textId="77777777" w:rsidTr="00A672BC">
        <w:trPr>
          <w:trHeight w:val="567"/>
        </w:trPr>
        <w:tc>
          <w:tcPr>
            <w:tcW w:w="2546" w:type="dxa"/>
          </w:tcPr>
          <w:p w14:paraId="28277558" w14:textId="52BA62E3" w:rsidR="002E1837" w:rsidRPr="002E1837" w:rsidRDefault="002E1837" w:rsidP="008D0412">
            <w:pPr>
              <w:pStyle w:val="TableContent"/>
            </w:pPr>
            <w:r w:rsidRPr="002E1837">
              <w:t>System level safeguards</w:t>
            </w:r>
          </w:p>
        </w:tc>
        <w:tc>
          <w:tcPr>
            <w:tcW w:w="7075" w:type="dxa"/>
          </w:tcPr>
          <w:p w14:paraId="0CCD8065" w14:textId="5F5A1718" w:rsidR="002E1837" w:rsidRPr="002E1837" w:rsidRDefault="002E1837" w:rsidP="008D0412">
            <w:pPr>
              <w:pStyle w:val="TableContent"/>
            </w:pPr>
            <w:r w:rsidRPr="002E1837">
              <w:t>Include internal and external processes for making complaints, processes to have decisions reviewed by an independent body and statutory powers.</w:t>
            </w:r>
          </w:p>
        </w:tc>
      </w:tr>
    </w:tbl>
    <w:p w14:paraId="18FC15DD" w14:textId="78B05B75" w:rsidR="00DC16DF" w:rsidRPr="00240EE5" w:rsidRDefault="00DC16DF" w:rsidP="00322725">
      <w:pPr>
        <w:pStyle w:val="Heading1"/>
        <w:numPr>
          <w:ilvl w:val="0"/>
          <w:numId w:val="0"/>
        </w:numPr>
        <w:ind w:left="709" w:hanging="709"/>
      </w:pPr>
      <w:bookmarkStart w:id="3" w:name="_Toc501711845"/>
      <w:bookmarkEnd w:id="2"/>
      <w:r>
        <w:t>Responsibilities</w:t>
      </w:r>
      <w:bookmarkEnd w:id="3"/>
    </w:p>
    <w:p w14:paraId="19DF8F9C" w14:textId="68F9379A" w:rsidR="00DC16DF" w:rsidRPr="00240EE5" w:rsidRDefault="002E1837" w:rsidP="00DC16DF">
      <w:pPr>
        <w:pStyle w:val="BodyText"/>
      </w:pPr>
      <w:r w:rsidRPr="002E1837">
        <w:t>Compliance with this policy is mandatory</w:t>
      </w:r>
      <w:r>
        <w:t>.</w:t>
      </w:r>
      <w:r w:rsidR="00DC16DF">
        <w:t xml:space="preserve"> </w:t>
      </w:r>
    </w:p>
    <w:p w14:paraId="309522B9" w14:textId="58EDD927" w:rsidR="00DC16DF" w:rsidRPr="00240EE5" w:rsidRDefault="00DC16DF" w:rsidP="00322725">
      <w:pPr>
        <w:pStyle w:val="Heading1"/>
        <w:numPr>
          <w:ilvl w:val="0"/>
          <w:numId w:val="0"/>
        </w:numPr>
        <w:ind w:left="709" w:hanging="709"/>
      </w:pPr>
      <w:r>
        <w:t>Pr</w:t>
      </w:r>
      <w:r w:rsidR="002E1837">
        <w:t>inciples</w:t>
      </w:r>
      <w:r>
        <w:t xml:space="preserve"> </w:t>
      </w:r>
    </w:p>
    <w:p w14:paraId="721BEE30" w14:textId="77777777" w:rsidR="002E1837" w:rsidRPr="001228E7" w:rsidRDefault="00DC16DF" w:rsidP="002E1837">
      <w:pPr>
        <w:widowControl w:val="0"/>
        <w:spacing w:before="120" w:line="276" w:lineRule="auto"/>
        <w:contextualSpacing/>
        <w:rPr>
          <w:b/>
        </w:rPr>
      </w:pPr>
      <w:r>
        <w:t xml:space="preserve"> </w:t>
      </w:r>
      <w:r w:rsidR="002E1837" w:rsidRPr="001228E7">
        <w:t>The principles that underpin this policy and guide the practice of safeguarding are:</w:t>
      </w:r>
    </w:p>
    <w:p w14:paraId="348DA7DE" w14:textId="5F6B3EAB" w:rsidR="002E1837" w:rsidRPr="001228E7" w:rsidRDefault="002E1837" w:rsidP="002E1837">
      <w:pPr>
        <w:widowControl w:val="0"/>
        <w:numPr>
          <w:ilvl w:val="0"/>
          <w:numId w:val="38"/>
        </w:numPr>
        <w:spacing w:before="120" w:after="0" w:line="276" w:lineRule="auto"/>
        <w:contextualSpacing/>
        <w:rPr>
          <w:b/>
        </w:rPr>
      </w:pPr>
      <w:r w:rsidRPr="001228E7">
        <w:t xml:space="preserve">developmental – each </w:t>
      </w:r>
      <w:r w:rsidR="009E4036">
        <w:t xml:space="preserve">person’s individual </w:t>
      </w:r>
      <w:r w:rsidRPr="001228E7">
        <w:t xml:space="preserve">plan should include supports and strategies that increase their skill and capacity in order to minimise vulnerability and risk </w:t>
      </w:r>
    </w:p>
    <w:p w14:paraId="396DB003" w14:textId="77777777" w:rsidR="002E1837" w:rsidRPr="001228E7" w:rsidRDefault="002E1837" w:rsidP="002E1837">
      <w:pPr>
        <w:widowControl w:val="0"/>
        <w:numPr>
          <w:ilvl w:val="0"/>
          <w:numId w:val="38"/>
        </w:numPr>
        <w:spacing w:before="120" w:after="0" w:line="276" w:lineRule="auto"/>
        <w:contextualSpacing/>
      </w:pPr>
      <w:r w:rsidRPr="001228E7">
        <w:t>self-determination – maximise a person with disability’s full involvement in the consideration and determination of their own safeguards, to the extent of their capacity</w:t>
      </w:r>
    </w:p>
    <w:p w14:paraId="40063E0E" w14:textId="77777777" w:rsidR="002E1837" w:rsidRPr="001228E7" w:rsidRDefault="002E1837" w:rsidP="002E1837">
      <w:pPr>
        <w:widowControl w:val="0"/>
        <w:numPr>
          <w:ilvl w:val="0"/>
          <w:numId w:val="38"/>
        </w:numPr>
        <w:spacing w:before="120" w:after="0" w:line="276" w:lineRule="auto"/>
        <w:contextualSpacing/>
      </w:pPr>
      <w:r w:rsidRPr="001228E7">
        <w:t>individualised – the consideration and determination of safeguards is relevant to a person’s circumstances and proportionate to their level of vulnerability and risk</w:t>
      </w:r>
    </w:p>
    <w:p w14:paraId="4A876631" w14:textId="77777777" w:rsidR="002E1837" w:rsidRPr="001228E7" w:rsidRDefault="002E1837" w:rsidP="002E1837">
      <w:pPr>
        <w:widowControl w:val="0"/>
        <w:numPr>
          <w:ilvl w:val="0"/>
          <w:numId w:val="38"/>
        </w:numPr>
        <w:spacing w:before="120" w:after="0" w:line="276" w:lineRule="auto"/>
        <w:contextualSpacing/>
      </w:pPr>
      <w:r w:rsidRPr="001228E7">
        <w:t>responsive – safeguards should be responsive to the circumstances of a person at a particular time, and may need to change over time as their circumstances change</w:t>
      </w:r>
    </w:p>
    <w:p w14:paraId="47684E1A" w14:textId="77777777" w:rsidR="002E1837" w:rsidRPr="001228E7" w:rsidRDefault="002E1837" w:rsidP="002E1837">
      <w:pPr>
        <w:widowControl w:val="0"/>
        <w:numPr>
          <w:ilvl w:val="0"/>
          <w:numId w:val="38"/>
        </w:numPr>
        <w:spacing w:before="120" w:after="0" w:line="276" w:lineRule="auto"/>
        <w:contextualSpacing/>
        <w:rPr>
          <w:lang w:val="en-US"/>
        </w:rPr>
      </w:pPr>
      <w:r w:rsidRPr="001228E7">
        <w:t xml:space="preserve">based on assumption of capacity - all people with disability have capacity to make decisions and exercise choice, regardless of their disability, unless proven otherwise for a specific decision. Capacity is </w:t>
      </w:r>
      <w:proofErr w:type="gramStart"/>
      <w:r w:rsidRPr="001228E7">
        <w:t>decision-specific</w:t>
      </w:r>
      <w:proofErr w:type="gramEnd"/>
      <w:r w:rsidRPr="001228E7">
        <w:t>. People with disability who require support to make decisions and exercise choice should have access to the support they need</w:t>
      </w:r>
      <w:r w:rsidRPr="001228E7">
        <w:rPr>
          <w:vertAlign w:val="superscript"/>
        </w:rPr>
        <w:t xml:space="preserve"> </w:t>
      </w:r>
    </w:p>
    <w:p w14:paraId="6461DEE2" w14:textId="638F5D12" w:rsidR="00DC16DF" w:rsidRPr="002E1837" w:rsidRDefault="002E1837" w:rsidP="002E1837">
      <w:pPr>
        <w:pStyle w:val="BodyText"/>
        <w:numPr>
          <w:ilvl w:val="0"/>
          <w:numId w:val="38"/>
        </w:numPr>
      </w:pPr>
      <w:r w:rsidRPr="00DE4124">
        <w:t>based on minimum restriction – safeguards enhance the safety and wellbeing of the person and other community members, while imposing the least possible restriction on a person and their choices</w:t>
      </w:r>
      <w:r w:rsidRPr="00DE4124">
        <w:rPr>
          <w:lang w:val="en-US"/>
        </w:rPr>
        <w:t>.</w:t>
      </w:r>
    </w:p>
    <w:p w14:paraId="19B06F7A" w14:textId="6BBCBA83" w:rsidR="00DC16DF" w:rsidRPr="00240EE5" w:rsidRDefault="002E1837" w:rsidP="00322725">
      <w:pPr>
        <w:pStyle w:val="Heading1"/>
        <w:numPr>
          <w:ilvl w:val="0"/>
          <w:numId w:val="0"/>
        </w:numPr>
        <w:ind w:left="709" w:hanging="709"/>
      </w:pPr>
      <w:bookmarkStart w:id="4" w:name="_Hlk57019707"/>
      <w:r>
        <w:lastRenderedPageBreak/>
        <w:t>Introduction</w:t>
      </w:r>
    </w:p>
    <w:p w14:paraId="537800D1" w14:textId="3FAAF7B6" w:rsidR="002E1837" w:rsidRDefault="002E1837" w:rsidP="002E1837">
      <w:pPr>
        <w:pStyle w:val="BodyText"/>
      </w:pPr>
      <w:bookmarkStart w:id="5" w:name="_Toc170270943"/>
      <w:bookmarkStart w:id="6" w:name="_Toc422125604"/>
      <w:bookmarkStart w:id="7" w:name="_Toc433278170"/>
      <w:bookmarkStart w:id="8" w:name="_Toc501711848"/>
      <w:bookmarkEnd w:id="4"/>
      <w:r>
        <w:t xml:space="preserve">When </w:t>
      </w:r>
      <w:r w:rsidR="009E4036">
        <w:t>people</w:t>
      </w:r>
      <w:r>
        <w:t xml:space="preserve"> are vulnerable and at risk of experiencing compromised human rights or individual outcomes, safeguards can provide preventative and proactive responses which maximise the person’s skills and capacity, and/or address the environment and supports to minimise their vulnerability and risk.</w:t>
      </w:r>
    </w:p>
    <w:p w14:paraId="2BBB59C3" w14:textId="77777777" w:rsidR="002E1837" w:rsidRDefault="002E1837" w:rsidP="002E1837">
      <w:pPr>
        <w:pStyle w:val="BodyText"/>
      </w:pPr>
      <w:r>
        <w:t xml:space="preserve">As part of the Local Coordination planning process, safeguards for the person with disability are assessed and included in the plan, if required.  </w:t>
      </w:r>
    </w:p>
    <w:p w14:paraId="48DDAE58" w14:textId="7BDD79E9" w:rsidR="002E1837" w:rsidRDefault="002E1837" w:rsidP="00DC16DF">
      <w:pPr>
        <w:pStyle w:val="BodyText"/>
      </w:pPr>
      <w:r>
        <w:t xml:space="preserve">Safeguards should include a range of informal and formal supports, and mechanisms operating at the level of the </w:t>
      </w:r>
      <w:r w:rsidR="009E4036">
        <w:t>person</w:t>
      </w:r>
      <w:r>
        <w:t>, the</w:t>
      </w:r>
      <w:r w:rsidR="009E4036">
        <w:t>ir</w:t>
      </w:r>
      <w:r>
        <w:t xml:space="preserve"> community, their disability services</w:t>
      </w:r>
      <w:r w:rsidR="009E4036">
        <w:t>,</w:t>
      </w:r>
      <w:r>
        <w:t xml:space="preserve"> and overarching government systems and legislation.</w:t>
      </w:r>
    </w:p>
    <w:p w14:paraId="13527075" w14:textId="27E4985B" w:rsidR="00C6284E" w:rsidRPr="00240EE5" w:rsidRDefault="00C6284E" w:rsidP="00322725">
      <w:pPr>
        <w:pStyle w:val="Heading1"/>
        <w:numPr>
          <w:ilvl w:val="0"/>
          <w:numId w:val="0"/>
        </w:numPr>
      </w:pPr>
      <w:r>
        <w:t>Implementation</w:t>
      </w:r>
    </w:p>
    <w:p w14:paraId="645B4910" w14:textId="0B69190A" w:rsidR="00C6284E" w:rsidRDefault="00C6284E" w:rsidP="00C6284E">
      <w:pPr>
        <w:pStyle w:val="BodyText"/>
      </w:pPr>
      <w:r>
        <w:t xml:space="preserve">This </w:t>
      </w:r>
      <w:r w:rsidR="009E4036">
        <w:t>P</w:t>
      </w:r>
      <w:r>
        <w:t>olicy will be implemented in Local Coordination areas.</w:t>
      </w:r>
    </w:p>
    <w:p w14:paraId="5FF34EC7" w14:textId="7DB8B9D4" w:rsidR="00C6284E" w:rsidRDefault="00C6284E" w:rsidP="00C6284E">
      <w:pPr>
        <w:pStyle w:val="BodyText"/>
      </w:pPr>
      <w:r>
        <w:t xml:space="preserve">The consideration and determination of individual safeguards may be required in the everyday life of a person and/or in a particular decision, </w:t>
      </w:r>
      <w:proofErr w:type="gramStart"/>
      <w:r>
        <w:t>choice</w:t>
      </w:r>
      <w:proofErr w:type="gramEnd"/>
      <w:r>
        <w:t xml:space="preserve"> or situation.</w:t>
      </w:r>
    </w:p>
    <w:p w14:paraId="7CA3AB60" w14:textId="0D698AF9" w:rsidR="00C6284E" w:rsidRDefault="00C6284E" w:rsidP="00C6284E">
      <w:pPr>
        <w:pStyle w:val="BodyText"/>
      </w:pPr>
      <w:r>
        <w:t xml:space="preserve">People supporting the person with disability in the consideration and determination of safeguards should, as far as possible, be free from conflict of interest and objectively focus on the </w:t>
      </w:r>
      <w:r w:rsidR="009E4036">
        <w:t>person’</w:t>
      </w:r>
      <w:r>
        <w:t>s interests in these considerations.</w:t>
      </w:r>
    </w:p>
    <w:p w14:paraId="4B190F27" w14:textId="25052CFA" w:rsidR="00C6284E" w:rsidRDefault="00C6284E" w:rsidP="00C6284E">
      <w:pPr>
        <w:pStyle w:val="BodyText"/>
      </w:pPr>
      <w:r>
        <w:t>When developing or reviewing a plan, consideration should be given to the person’s identified strengths, vulnerabilities and potential risks</w:t>
      </w:r>
      <w:r w:rsidR="009E4036">
        <w:t>,</w:t>
      </w:r>
      <w:r>
        <w:t xml:space="preserve"> and to incorporating safeguards, capacity and skill building into the plan strategies. A balance needs to be achieved between meeting duty of care responsibilities and acknowledging the person’s freedom to make decisions. All people have the freedom to make decisions and choices that expose their own self to a level of risk. All people also have freedom to make </w:t>
      </w:r>
      <w:proofErr w:type="gramStart"/>
      <w:r>
        <w:t>mistakes, and</w:t>
      </w:r>
      <w:proofErr w:type="gramEnd"/>
      <w:r>
        <w:t xml:space="preserve"> learn and grow from trial and error. This is referred to as dignity of risk.</w:t>
      </w:r>
    </w:p>
    <w:p w14:paraId="5CC1C964" w14:textId="22D54F17" w:rsidR="00C6284E" w:rsidRDefault="00C6284E" w:rsidP="00C6284E">
      <w:pPr>
        <w:pStyle w:val="BodyText"/>
      </w:pPr>
      <w:r>
        <w:t xml:space="preserve">The Planning and Assessment Tool, used by a Local Coordinator when developing a person’s </w:t>
      </w:r>
      <w:r w:rsidR="009E4036">
        <w:t xml:space="preserve">individual </w:t>
      </w:r>
      <w:r>
        <w:t xml:space="preserve">plan, includes an assessment of vulnerability and risk for the person with disability and assesses the person’s decision-making ability. This informs planning </w:t>
      </w:r>
      <w:proofErr w:type="gramStart"/>
      <w:r>
        <w:t>with regard to</w:t>
      </w:r>
      <w:proofErr w:type="gramEnd"/>
      <w:r>
        <w:t xml:space="preserve"> the safeguards that are currently in place and those that are recommended to be included.</w:t>
      </w:r>
    </w:p>
    <w:p w14:paraId="75D58BE1" w14:textId="26698C75" w:rsidR="00C6284E" w:rsidRDefault="00C6284E" w:rsidP="00C6284E">
      <w:pPr>
        <w:pStyle w:val="BodyText"/>
      </w:pPr>
      <w:r>
        <w:t xml:space="preserve">When there are situations where the person with disability is unable to assess and identify </w:t>
      </w:r>
      <w:r w:rsidR="009E4036">
        <w:t>r</w:t>
      </w:r>
      <w:r>
        <w:t>isks, the</w:t>
      </w:r>
      <w:r w:rsidR="009E4036">
        <w:t>ir</w:t>
      </w:r>
      <w:r>
        <w:t xml:space="preserve"> family, carer and/or advocate should also be involved in the consideration and safeguards.</w:t>
      </w:r>
    </w:p>
    <w:p w14:paraId="4C1827D0" w14:textId="5D978946" w:rsidR="00C6284E" w:rsidRDefault="00C6284E" w:rsidP="00C6284E">
      <w:pPr>
        <w:pStyle w:val="BodyText"/>
      </w:pPr>
      <w:r>
        <w:t>Other mechanisms operate to assist in safeguarding people with disability</w:t>
      </w:r>
      <w:r w:rsidR="009E4036">
        <w:t xml:space="preserve">, </w:t>
      </w:r>
      <w:r>
        <w:t>their famil</w:t>
      </w:r>
      <w:r w:rsidR="009E4036">
        <w:t xml:space="preserve">y </w:t>
      </w:r>
      <w:r>
        <w:t xml:space="preserve">and carers. Such mechanisms include the People at Risk Team, Serious Incident Reporting, Positive Behaviour Support plans, and the role of the Regional Intensive Support Coordinator. The relevant policies and procedures for these mechanisms can be found in </w:t>
      </w:r>
      <w:r w:rsidR="009E4036">
        <w:t xml:space="preserve">‘Other </w:t>
      </w:r>
      <w:r>
        <w:t>Related Documents</w:t>
      </w:r>
      <w:r w:rsidR="009E4036">
        <w:t>’</w:t>
      </w:r>
      <w:r>
        <w:t>.</w:t>
      </w:r>
    </w:p>
    <w:p w14:paraId="1795BB91" w14:textId="5CDC7639" w:rsidR="002E1837" w:rsidRPr="00240EE5" w:rsidRDefault="002E1837" w:rsidP="00322725">
      <w:pPr>
        <w:pStyle w:val="Heading1"/>
        <w:numPr>
          <w:ilvl w:val="0"/>
          <w:numId w:val="0"/>
        </w:numPr>
        <w:ind w:left="709" w:hanging="709"/>
      </w:pPr>
      <w:r>
        <w:lastRenderedPageBreak/>
        <w:t xml:space="preserve">Other </w:t>
      </w:r>
      <w:r w:rsidRPr="00167F21">
        <w:t xml:space="preserve">related </w:t>
      </w:r>
      <w:r>
        <w:t>documents</w:t>
      </w:r>
    </w:p>
    <w:p w14:paraId="43512049" w14:textId="77777777" w:rsidR="008865EC" w:rsidRDefault="008865EC" w:rsidP="00C6284E">
      <w:pPr>
        <w:widowControl w:val="0"/>
        <w:spacing w:before="120"/>
        <w:contextualSpacing/>
      </w:pPr>
      <w:r>
        <w:t>National Standards for Disability Services</w:t>
      </w:r>
    </w:p>
    <w:p w14:paraId="61AEBE1D" w14:textId="795B6C28" w:rsidR="00C6284E" w:rsidRPr="001228E7" w:rsidRDefault="00C6284E" w:rsidP="00C6284E">
      <w:pPr>
        <w:widowControl w:val="0"/>
        <w:spacing w:before="120"/>
        <w:contextualSpacing/>
      </w:pPr>
      <w:r>
        <w:t xml:space="preserve">Local Coordination </w:t>
      </w:r>
      <w:r w:rsidRPr="001228E7">
        <w:t>Operational Policies:</w:t>
      </w:r>
    </w:p>
    <w:p w14:paraId="07C042C1" w14:textId="77777777" w:rsidR="00C6284E" w:rsidRPr="001228E7" w:rsidRDefault="00C6284E" w:rsidP="00C6284E">
      <w:pPr>
        <w:widowControl w:val="0"/>
        <w:numPr>
          <w:ilvl w:val="0"/>
          <w:numId w:val="41"/>
        </w:numPr>
        <w:spacing w:before="120" w:after="0"/>
        <w:contextualSpacing/>
      </w:pPr>
      <w:r w:rsidRPr="001228E7">
        <w:t>Prioritisation of Plans</w:t>
      </w:r>
    </w:p>
    <w:p w14:paraId="75CDAA98" w14:textId="77777777" w:rsidR="00C6284E" w:rsidRDefault="00C6284E" w:rsidP="00C6284E">
      <w:pPr>
        <w:widowControl w:val="0"/>
        <w:numPr>
          <w:ilvl w:val="0"/>
          <w:numId w:val="41"/>
        </w:numPr>
        <w:spacing w:before="120" w:after="0"/>
        <w:contextualSpacing/>
      </w:pPr>
      <w:r w:rsidRPr="001228E7">
        <w:t>Support Needs Assessment</w:t>
      </w:r>
    </w:p>
    <w:p w14:paraId="6E168A2B" w14:textId="77777777" w:rsidR="00C6284E" w:rsidRPr="001228E7" w:rsidRDefault="00C6284E" w:rsidP="00C6284E">
      <w:pPr>
        <w:widowControl w:val="0"/>
        <w:numPr>
          <w:ilvl w:val="0"/>
          <w:numId w:val="41"/>
        </w:numPr>
        <w:spacing w:before="120" w:after="0"/>
        <w:contextualSpacing/>
      </w:pPr>
      <w:r w:rsidRPr="00C5614F">
        <w:t>Support</w:t>
      </w:r>
      <w:r>
        <w:t>ed</w:t>
      </w:r>
      <w:r w:rsidRPr="00C5614F">
        <w:t xml:space="preserve"> Decision Making</w:t>
      </w:r>
    </w:p>
    <w:p w14:paraId="67567B1A" w14:textId="77777777" w:rsidR="00FF0DD0" w:rsidRDefault="00FF0DD0" w:rsidP="00FF0DD0">
      <w:pPr>
        <w:widowControl w:val="0"/>
        <w:spacing w:before="120"/>
        <w:contextualSpacing/>
      </w:pPr>
      <w:r>
        <w:t xml:space="preserve">People at Risk Policy, Procedure and Operational Guidelines </w:t>
      </w:r>
    </w:p>
    <w:p w14:paraId="7490C1B6" w14:textId="7BBD70C1" w:rsidR="00FF0DD0" w:rsidRDefault="00FF0DD0" w:rsidP="00FF0DD0">
      <w:pPr>
        <w:widowControl w:val="0"/>
        <w:spacing w:before="120"/>
        <w:contextualSpacing/>
      </w:pPr>
      <w:r>
        <w:t>Serious Incident Reporting Guidelines and Process Fact sheet</w:t>
      </w:r>
    </w:p>
    <w:p w14:paraId="71BF84AF" w14:textId="64358734" w:rsidR="00C6284E" w:rsidRPr="001228E7" w:rsidRDefault="00C6284E" w:rsidP="00C6284E">
      <w:pPr>
        <w:widowControl w:val="0"/>
        <w:spacing w:before="120"/>
        <w:contextualSpacing/>
      </w:pPr>
      <w:r w:rsidRPr="001228E7">
        <w:t>Planning and Assessment Tool</w:t>
      </w:r>
      <w:r w:rsidR="008865EC">
        <w:t>:</w:t>
      </w:r>
      <w:r w:rsidR="009E4036">
        <w:t xml:space="preserve"> </w:t>
      </w:r>
      <w:r w:rsidR="008865EC">
        <w:t>Adult/</w:t>
      </w:r>
      <w:r w:rsidRPr="001228E7">
        <w:t>Child</w:t>
      </w:r>
    </w:p>
    <w:p w14:paraId="5B523186" w14:textId="730A3C72" w:rsidR="00C6284E" w:rsidRDefault="008865EC" w:rsidP="00C6284E">
      <w:pPr>
        <w:widowControl w:val="0"/>
        <w:spacing w:before="120"/>
        <w:contextualSpacing/>
      </w:pPr>
      <w:r>
        <w:t>Department of Communities Path to Safety: Western Australia’s strategy to reduce family and domestic violence 2020 - 2030</w:t>
      </w:r>
    </w:p>
    <w:p w14:paraId="0551BD6F" w14:textId="04AF3581" w:rsidR="008865EC" w:rsidRPr="001228E7" w:rsidRDefault="008865EC" w:rsidP="00C6284E">
      <w:pPr>
        <w:widowControl w:val="0"/>
        <w:spacing w:before="120"/>
        <w:contextualSpacing/>
      </w:pPr>
      <w:r>
        <w:t>Department of Communities Family and Domestic Violence Action Plan 2020 - 2022</w:t>
      </w:r>
    </w:p>
    <w:p w14:paraId="10EA6314" w14:textId="7C9B8F82" w:rsidR="00C6284E" w:rsidRPr="001228E7" w:rsidRDefault="008865EC" w:rsidP="00C6284E">
      <w:pPr>
        <w:widowControl w:val="0"/>
        <w:spacing w:before="120"/>
        <w:contextualSpacing/>
      </w:pPr>
      <w:r>
        <w:t>Department of Communities Policy – Authorisation of restrictive practices in funded Disability Services</w:t>
      </w:r>
    </w:p>
    <w:bookmarkEnd w:id="5"/>
    <w:bookmarkEnd w:id="6"/>
    <w:bookmarkEnd w:id="7"/>
    <w:bookmarkEnd w:id="8"/>
    <w:p w14:paraId="5CA0C0D3" w14:textId="52FFCD4F" w:rsidR="00C6284E" w:rsidRDefault="00DC16DF" w:rsidP="00322725">
      <w:pPr>
        <w:pStyle w:val="Heading1"/>
        <w:numPr>
          <w:ilvl w:val="0"/>
          <w:numId w:val="0"/>
        </w:numPr>
        <w:ind w:left="709" w:hanging="709"/>
      </w:pPr>
      <w:r>
        <w:t>D</w:t>
      </w:r>
      <w:r w:rsidRPr="00167F21">
        <w:t>ocument</w:t>
      </w:r>
      <w:r>
        <w:t xml:space="preserve"> control</w:t>
      </w:r>
      <w:bookmarkStart w:id="9" w:name="_Hlk57020122"/>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C6284E" w14:paraId="13B2A106" w14:textId="77777777" w:rsidTr="001E2C1A">
        <w:trPr>
          <w:trHeight w:val="567"/>
          <w:tblHeader/>
        </w:trPr>
        <w:tc>
          <w:tcPr>
            <w:tcW w:w="2263" w:type="dxa"/>
            <w:shd w:val="clear" w:color="auto" w:fill="D9D9D9" w:themeFill="background1" w:themeFillShade="D9"/>
            <w:vAlign w:val="center"/>
          </w:tcPr>
          <w:p w14:paraId="1E12338C" w14:textId="77777777" w:rsidR="00C6284E" w:rsidRPr="00240EE5" w:rsidRDefault="00C6284E" w:rsidP="001E2C1A">
            <w:pPr>
              <w:pStyle w:val="Tableheadervertical"/>
            </w:pPr>
            <w:r w:rsidRPr="00BE6B0A">
              <w:t>Publication</w:t>
            </w:r>
            <w:r w:rsidRPr="00240EE5">
              <w:t xml:space="preserve"> date</w:t>
            </w:r>
          </w:p>
        </w:tc>
        <w:tc>
          <w:tcPr>
            <w:tcW w:w="7359" w:type="dxa"/>
            <w:vAlign w:val="center"/>
          </w:tcPr>
          <w:p w14:paraId="3B5053FB" w14:textId="67498E4E" w:rsidR="00C6284E" w:rsidRPr="00240EE5" w:rsidRDefault="008865EC" w:rsidP="001E2C1A">
            <w:pPr>
              <w:pStyle w:val="Tablecontent0"/>
            </w:pPr>
            <w:r>
              <w:t>February 2021</w:t>
            </w:r>
          </w:p>
        </w:tc>
      </w:tr>
      <w:tr w:rsidR="00C6284E" w14:paraId="4EFD89D4" w14:textId="77777777" w:rsidTr="001E2C1A">
        <w:trPr>
          <w:trHeight w:val="567"/>
        </w:trPr>
        <w:tc>
          <w:tcPr>
            <w:tcW w:w="2263" w:type="dxa"/>
            <w:shd w:val="clear" w:color="auto" w:fill="D9D9D9" w:themeFill="background1" w:themeFillShade="D9"/>
            <w:vAlign w:val="center"/>
          </w:tcPr>
          <w:p w14:paraId="46D818AE" w14:textId="77777777" w:rsidR="00C6284E" w:rsidRPr="00240EE5" w:rsidRDefault="00C6284E" w:rsidP="001E2C1A">
            <w:pPr>
              <w:pStyle w:val="Tableheadervertical"/>
            </w:pPr>
            <w:r w:rsidRPr="00240EE5">
              <w:t>Review date</w:t>
            </w:r>
          </w:p>
        </w:tc>
        <w:tc>
          <w:tcPr>
            <w:tcW w:w="7359" w:type="dxa"/>
            <w:vAlign w:val="center"/>
          </w:tcPr>
          <w:p w14:paraId="6B379935" w14:textId="0BE535E8" w:rsidR="00C6284E" w:rsidRPr="00240EE5" w:rsidRDefault="008865EC" w:rsidP="001E2C1A">
            <w:pPr>
              <w:pStyle w:val="Tablecontent0"/>
            </w:pPr>
            <w:r>
              <w:t>February</w:t>
            </w:r>
            <w:r w:rsidR="00C6284E">
              <w:t xml:space="preserve"> 2022</w:t>
            </w:r>
          </w:p>
        </w:tc>
      </w:tr>
      <w:tr w:rsidR="00C6284E" w14:paraId="55055D29" w14:textId="77777777" w:rsidTr="001E2C1A">
        <w:trPr>
          <w:trHeight w:val="567"/>
        </w:trPr>
        <w:tc>
          <w:tcPr>
            <w:tcW w:w="2263" w:type="dxa"/>
            <w:shd w:val="clear" w:color="auto" w:fill="D9D9D9" w:themeFill="background1" w:themeFillShade="D9"/>
            <w:vAlign w:val="center"/>
          </w:tcPr>
          <w:p w14:paraId="6F9D625A" w14:textId="77777777" w:rsidR="00C6284E" w:rsidRPr="00240EE5" w:rsidRDefault="00C6284E" w:rsidP="001E2C1A">
            <w:pPr>
              <w:pStyle w:val="Tableheadervertical"/>
            </w:pPr>
            <w:r w:rsidRPr="00240EE5">
              <w:t>Owner</w:t>
            </w:r>
          </w:p>
        </w:tc>
        <w:tc>
          <w:tcPr>
            <w:tcW w:w="7359" w:type="dxa"/>
            <w:vAlign w:val="center"/>
          </w:tcPr>
          <w:p w14:paraId="03D31CD2" w14:textId="27B1303D" w:rsidR="00C6284E" w:rsidRPr="00240EE5" w:rsidRDefault="00C6284E" w:rsidP="001E2C1A">
            <w:pPr>
              <w:pStyle w:val="Tablecontent0"/>
            </w:pPr>
            <w:r w:rsidRPr="00240EE5">
              <w:t xml:space="preserve">Executive Director – </w:t>
            </w:r>
            <w:r>
              <w:t>State-wide Services, Community Services</w:t>
            </w:r>
            <w:r w:rsidR="008865EC">
              <w:t xml:space="preserve"> Division</w:t>
            </w:r>
          </w:p>
        </w:tc>
      </w:tr>
      <w:tr w:rsidR="00C6284E" w14:paraId="1FDBA108" w14:textId="77777777" w:rsidTr="001E2C1A">
        <w:trPr>
          <w:trHeight w:val="567"/>
        </w:trPr>
        <w:tc>
          <w:tcPr>
            <w:tcW w:w="2263" w:type="dxa"/>
            <w:shd w:val="clear" w:color="auto" w:fill="D9D9D9" w:themeFill="background1" w:themeFillShade="D9"/>
            <w:vAlign w:val="center"/>
          </w:tcPr>
          <w:p w14:paraId="49D3C290" w14:textId="77777777" w:rsidR="00C6284E" w:rsidRPr="00240EE5" w:rsidRDefault="00C6284E" w:rsidP="001E2C1A">
            <w:pPr>
              <w:pStyle w:val="Tableheadervertical"/>
            </w:pPr>
            <w:r w:rsidRPr="00240EE5">
              <w:t>Custodian</w:t>
            </w:r>
          </w:p>
        </w:tc>
        <w:tc>
          <w:tcPr>
            <w:tcW w:w="7359" w:type="dxa"/>
            <w:vAlign w:val="center"/>
          </w:tcPr>
          <w:p w14:paraId="5BDBF1E4" w14:textId="77777777" w:rsidR="00C6284E" w:rsidRPr="00240EE5" w:rsidRDefault="00C6284E" w:rsidP="001E2C1A">
            <w:pPr>
              <w:pStyle w:val="Tablecontent0"/>
            </w:pPr>
            <w:r>
              <w:t xml:space="preserve">Program Support and Development Manager - </w:t>
            </w:r>
            <w:r w:rsidRPr="00755358">
              <w:t>State-wide Services,</w:t>
            </w:r>
            <w:r>
              <w:t xml:space="preserve"> Community Services Division</w:t>
            </w:r>
          </w:p>
        </w:tc>
      </w:tr>
      <w:tr w:rsidR="00C6284E" w14:paraId="3751E582" w14:textId="77777777" w:rsidTr="001E2C1A">
        <w:trPr>
          <w:trHeight w:val="567"/>
        </w:trPr>
        <w:tc>
          <w:tcPr>
            <w:tcW w:w="2263" w:type="dxa"/>
            <w:shd w:val="clear" w:color="auto" w:fill="D9D9D9" w:themeFill="background1" w:themeFillShade="D9"/>
            <w:vAlign w:val="center"/>
          </w:tcPr>
          <w:p w14:paraId="47BD6448" w14:textId="77777777" w:rsidR="00C6284E" w:rsidRPr="00240EE5" w:rsidRDefault="00C6284E" w:rsidP="001E2C1A">
            <w:pPr>
              <w:pStyle w:val="Tableheadervertical"/>
            </w:pPr>
            <w:r>
              <w:t>Contact</w:t>
            </w:r>
          </w:p>
        </w:tc>
        <w:tc>
          <w:tcPr>
            <w:tcW w:w="7359" w:type="dxa"/>
            <w:vAlign w:val="center"/>
          </w:tcPr>
          <w:p w14:paraId="47BCF6B9" w14:textId="77777777" w:rsidR="00C6284E" w:rsidRPr="00240EE5" w:rsidRDefault="00C6284E" w:rsidP="001E2C1A">
            <w:pPr>
              <w:pStyle w:val="Tablecontent0"/>
            </w:pPr>
            <w:r>
              <w:t xml:space="preserve">Program Support: </w:t>
            </w:r>
            <w:hyperlink r:id="rId11" w:history="1">
              <w:r w:rsidRPr="008659B3">
                <w:rPr>
                  <w:rStyle w:val="Hyperlink"/>
                </w:rPr>
                <w:t>programsupport@communities.wa.gov.au</w:t>
              </w:r>
            </w:hyperlink>
            <w:r>
              <w:t xml:space="preserve"> ; </w:t>
            </w:r>
            <w:r w:rsidRPr="00755358">
              <w:t>State-wide Services,</w:t>
            </w:r>
            <w:r>
              <w:t xml:space="preserve"> Community Services Division</w:t>
            </w:r>
          </w:p>
        </w:tc>
      </w:tr>
    </w:tbl>
    <w:p w14:paraId="44F89A6C" w14:textId="3A12840E" w:rsidR="00DC16DF" w:rsidRDefault="00DC16DF" w:rsidP="00322725">
      <w:pPr>
        <w:pStyle w:val="Heading1"/>
        <w:numPr>
          <w:ilvl w:val="0"/>
          <w:numId w:val="0"/>
        </w:numPr>
        <w:ind w:left="709" w:hanging="709"/>
      </w:pPr>
      <w:bookmarkStart w:id="10" w:name="_Toc501711850"/>
      <w:bookmarkStart w:id="11" w:name="_Toc170270947"/>
      <w:bookmarkStart w:id="12" w:name="_Toc422125606"/>
      <w:bookmarkStart w:id="13" w:name="_Toc433278172"/>
      <w:bookmarkEnd w:id="9"/>
      <w:r>
        <w:t>Amendments</w:t>
      </w:r>
      <w:bookmarkEnd w:id="10"/>
    </w:p>
    <w:tbl>
      <w:tblPr>
        <w:tblStyle w:val="TableStyle"/>
        <w:tblW w:w="9593" w:type="dxa"/>
        <w:tblLook w:val="04A0" w:firstRow="1" w:lastRow="0" w:firstColumn="1" w:lastColumn="0" w:noHBand="0" w:noVBand="1"/>
        <w:tblDescription w:val="Table example"/>
      </w:tblPr>
      <w:tblGrid>
        <w:gridCol w:w="1100"/>
        <w:gridCol w:w="2014"/>
        <w:gridCol w:w="3118"/>
        <w:gridCol w:w="3361"/>
      </w:tblGrid>
      <w:tr w:rsidR="00A672BC" w:rsidRPr="00531866" w14:paraId="68FA9CE0" w14:textId="01E75EBF" w:rsidTr="0002072A">
        <w:trPr>
          <w:cnfStyle w:val="100000000000" w:firstRow="1" w:lastRow="0" w:firstColumn="0" w:lastColumn="0" w:oddVBand="0" w:evenVBand="0" w:oddHBand="0" w:evenHBand="0" w:firstRowFirstColumn="0" w:firstRowLastColumn="0" w:lastRowFirstColumn="0" w:lastRowLastColumn="0"/>
          <w:trHeight w:val="567"/>
        </w:trPr>
        <w:tc>
          <w:tcPr>
            <w:tcW w:w="1100" w:type="dxa"/>
          </w:tcPr>
          <w:p w14:paraId="2D83DDA0" w14:textId="477B9162" w:rsidR="00A672BC" w:rsidRPr="00A672BC" w:rsidRDefault="00A672BC" w:rsidP="00A672BC">
            <w:pPr>
              <w:pStyle w:val="TableHeading"/>
              <w:rPr>
                <w:b/>
                <w:bCs w:val="0"/>
              </w:rPr>
            </w:pPr>
            <w:r w:rsidRPr="00A672BC">
              <w:rPr>
                <w:b/>
                <w:bCs w:val="0"/>
              </w:rPr>
              <w:t>Version</w:t>
            </w:r>
          </w:p>
        </w:tc>
        <w:tc>
          <w:tcPr>
            <w:tcW w:w="2014" w:type="dxa"/>
          </w:tcPr>
          <w:p w14:paraId="36DA1F96" w14:textId="55D0A664" w:rsidR="00A672BC" w:rsidRPr="00A672BC" w:rsidRDefault="00A672BC" w:rsidP="00A672BC">
            <w:pPr>
              <w:pStyle w:val="TableHeading"/>
              <w:rPr>
                <w:b/>
                <w:bCs w:val="0"/>
              </w:rPr>
            </w:pPr>
            <w:r>
              <w:rPr>
                <w:b/>
                <w:bCs w:val="0"/>
              </w:rPr>
              <w:t>Date</w:t>
            </w:r>
          </w:p>
        </w:tc>
        <w:tc>
          <w:tcPr>
            <w:tcW w:w="3118" w:type="dxa"/>
          </w:tcPr>
          <w:p w14:paraId="016EDBCC" w14:textId="16F972EE" w:rsidR="00A672BC" w:rsidRPr="00A672BC" w:rsidRDefault="00A672BC" w:rsidP="00A672BC">
            <w:pPr>
              <w:pStyle w:val="TableHeading"/>
              <w:rPr>
                <w:b/>
                <w:bCs w:val="0"/>
              </w:rPr>
            </w:pPr>
            <w:r>
              <w:rPr>
                <w:b/>
                <w:bCs w:val="0"/>
              </w:rPr>
              <w:t>Author</w:t>
            </w:r>
          </w:p>
        </w:tc>
        <w:tc>
          <w:tcPr>
            <w:tcW w:w="3361" w:type="dxa"/>
          </w:tcPr>
          <w:p w14:paraId="242A727F" w14:textId="504A8CB2" w:rsidR="00A672BC" w:rsidRPr="00A672BC" w:rsidRDefault="00A672BC" w:rsidP="00A672BC">
            <w:pPr>
              <w:pStyle w:val="TableHeading"/>
              <w:rPr>
                <w:b/>
                <w:bCs w:val="0"/>
              </w:rPr>
            </w:pPr>
            <w:r>
              <w:rPr>
                <w:b/>
                <w:bCs w:val="0"/>
              </w:rPr>
              <w:t>Description</w:t>
            </w:r>
          </w:p>
        </w:tc>
      </w:tr>
      <w:tr w:rsidR="00C6284E" w:rsidRPr="00531866" w14:paraId="546AC757" w14:textId="0B7732F5" w:rsidTr="0002072A">
        <w:trPr>
          <w:trHeight w:val="567"/>
        </w:trPr>
        <w:tc>
          <w:tcPr>
            <w:tcW w:w="1100" w:type="dxa"/>
          </w:tcPr>
          <w:p w14:paraId="71611FFA" w14:textId="228E7F37" w:rsidR="00C6284E" w:rsidRPr="00531866" w:rsidRDefault="00C6284E" w:rsidP="00C6284E">
            <w:pPr>
              <w:pStyle w:val="TableContent"/>
            </w:pPr>
            <w:r>
              <w:t>1.0</w:t>
            </w:r>
          </w:p>
        </w:tc>
        <w:tc>
          <w:tcPr>
            <w:tcW w:w="2014" w:type="dxa"/>
          </w:tcPr>
          <w:p w14:paraId="3614BB86" w14:textId="6BC0576F" w:rsidR="00C6284E" w:rsidRPr="00531866" w:rsidRDefault="00C6284E" w:rsidP="00C6284E">
            <w:pPr>
              <w:pStyle w:val="TableContent"/>
            </w:pPr>
            <w:r>
              <w:t>June 2017</w:t>
            </w:r>
          </w:p>
        </w:tc>
        <w:tc>
          <w:tcPr>
            <w:tcW w:w="3118" w:type="dxa"/>
          </w:tcPr>
          <w:p w14:paraId="4276544E" w14:textId="59F6A156" w:rsidR="00C6284E" w:rsidRPr="00531866" w:rsidRDefault="00C6284E" w:rsidP="00C6284E">
            <w:pPr>
              <w:pStyle w:val="TableContent"/>
            </w:pPr>
            <w:r w:rsidRPr="00C6284E">
              <w:t>Program Support</w:t>
            </w:r>
          </w:p>
        </w:tc>
        <w:tc>
          <w:tcPr>
            <w:tcW w:w="3361" w:type="dxa"/>
          </w:tcPr>
          <w:p w14:paraId="76EA89B0" w14:textId="78FC41D5" w:rsidR="00C6284E" w:rsidRPr="00531866" w:rsidRDefault="00C6284E" w:rsidP="00C6284E">
            <w:pPr>
              <w:pStyle w:val="TableContent"/>
            </w:pPr>
            <w:r w:rsidRPr="00485AB6">
              <w:t>Review by 29 June 2019</w:t>
            </w:r>
          </w:p>
        </w:tc>
      </w:tr>
      <w:tr w:rsidR="00C6284E" w:rsidRPr="00531866" w14:paraId="79B5BB2D" w14:textId="1EB116FB" w:rsidTr="0002072A">
        <w:trPr>
          <w:trHeight w:val="567"/>
        </w:trPr>
        <w:tc>
          <w:tcPr>
            <w:tcW w:w="1100" w:type="dxa"/>
          </w:tcPr>
          <w:p w14:paraId="1F6E2F45" w14:textId="465BF27F" w:rsidR="00C6284E" w:rsidRPr="00531866" w:rsidRDefault="00C6284E" w:rsidP="00C6284E">
            <w:pPr>
              <w:pStyle w:val="TableContent"/>
            </w:pPr>
            <w:r>
              <w:t>1.1</w:t>
            </w:r>
          </w:p>
        </w:tc>
        <w:tc>
          <w:tcPr>
            <w:tcW w:w="2014" w:type="dxa"/>
          </w:tcPr>
          <w:p w14:paraId="61183BA9" w14:textId="6BF1FECC" w:rsidR="00C6284E" w:rsidRPr="00531866" w:rsidRDefault="00C6284E" w:rsidP="00C6284E">
            <w:pPr>
              <w:pStyle w:val="TableContent"/>
            </w:pPr>
            <w:r>
              <w:t>May 2018</w:t>
            </w:r>
          </w:p>
        </w:tc>
        <w:tc>
          <w:tcPr>
            <w:tcW w:w="3118" w:type="dxa"/>
          </w:tcPr>
          <w:p w14:paraId="4CD1C83A" w14:textId="4057EAD9" w:rsidR="00C6284E" w:rsidRPr="00531866" w:rsidRDefault="00C6284E" w:rsidP="00C6284E">
            <w:pPr>
              <w:pStyle w:val="TableContent"/>
            </w:pPr>
            <w:r>
              <w:t>Program Support</w:t>
            </w:r>
          </w:p>
        </w:tc>
        <w:tc>
          <w:tcPr>
            <w:tcW w:w="3361" w:type="dxa"/>
          </w:tcPr>
          <w:p w14:paraId="0ACB6059" w14:textId="0076921A" w:rsidR="00C6284E" w:rsidRPr="00531866" w:rsidRDefault="00C6284E" w:rsidP="00C6284E">
            <w:pPr>
              <w:pStyle w:val="TableContent"/>
            </w:pPr>
            <w:r w:rsidRPr="00485AB6">
              <w:t>Review by 30 April 2020</w:t>
            </w:r>
          </w:p>
        </w:tc>
      </w:tr>
      <w:tr w:rsidR="00C6284E" w:rsidRPr="00531866" w14:paraId="005C6C64" w14:textId="373BDC8C" w:rsidTr="0002072A">
        <w:trPr>
          <w:trHeight w:val="567"/>
        </w:trPr>
        <w:tc>
          <w:tcPr>
            <w:tcW w:w="1100" w:type="dxa"/>
          </w:tcPr>
          <w:p w14:paraId="4BDAA60F" w14:textId="40332566" w:rsidR="00C6284E" w:rsidRPr="00531866" w:rsidRDefault="00C6284E" w:rsidP="00C6284E">
            <w:pPr>
              <w:pStyle w:val="TableContent"/>
            </w:pPr>
            <w:r>
              <w:t>1.2</w:t>
            </w:r>
          </w:p>
        </w:tc>
        <w:tc>
          <w:tcPr>
            <w:tcW w:w="2014" w:type="dxa"/>
          </w:tcPr>
          <w:p w14:paraId="1E2158E8" w14:textId="7053DF5B" w:rsidR="00C6284E" w:rsidRPr="00531866" w:rsidRDefault="00C6284E" w:rsidP="00C6284E">
            <w:pPr>
              <w:pStyle w:val="TableContent"/>
            </w:pPr>
            <w:r>
              <w:t xml:space="preserve">2 </w:t>
            </w:r>
            <w:r w:rsidR="008865EC">
              <w:t>February 2021</w:t>
            </w:r>
          </w:p>
        </w:tc>
        <w:tc>
          <w:tcPr>
            <w:tcW w:w="3118" w:type="dxa"/>
          </w:tcPr>
          <w:p w14:paraId="0ED9DAF0" w14:textId="1AB50267" w:rsidR="00C6284E" w:rsidRPr="00531866" w:rsidRDefault="00C6284E" w:rsidP="00C6284E">
            <w:pPr>
              <w:pStyle w:val="TableContent"/>
            </w:pPr>
            <w:r w:rsidRPr="00C6284E">
              <w:t>Program Support - State-wide Services, Community Services Division</w:t>
            </w:r>
          </w:p>
        </w:tc>
        <w:tc>
          <w:tcPr>
            <w:tcW w:w="3361" w:type="dxa"/>
          </w:tcPr>
          <w:p w14:paraId="0E88B2C4" w14:textId="61CFFF92" w:rsidR="00C6284E" w:rsidRPr="00531866" w:rsidRDefault="00C6284E" w:rsidP="00C6284E">
            <w:pPr>
              <w:pStyle w:val="TableContent"/>
            </w:pPr>
            <w:r>
              <w:t xml:space="preserve">Review by </w:t>
            </w:r>
            <w:r w:rsidRPr="00C6284E">
              <w:t>2</w:t>
            </w:r>
            <w:r w:rsidR="008865EC">
              <w:t xml:space="preserve"> February </w:t>
            </w:r>
            <w:r w:rsidRPr="00C6284E">
              <w:t>202</w:t>
            </w:r>
            <w:r>
              <w:t>2</w:t>
            </w:r>
          </w:p>
        </w:tc>
      </w:tr>
      <w:bookmarkEnd w:id="11"/>
      <w:bookmarkEnd w:id="12"/>
      <w:bookmarkEnd w:id="13"/>
    </w:tbl>
    <w:p w14:paraId="542A7C91" w14:textId="7D68A935" w:rsidR="00DC16DF" w:rsidRDefault="00DC16DF" w:rsidP="0002072A">
      <w:pPr>
        <w:spacing w:after="0" w:line="240" w:lineRule="auto"/>
      </w:pPr>
    </w:p>
    <w:sectPr w:rsidR="00DC16DF" w:rsidSect="00DE14F6">
      <w:headerReference w:type="even" r:id="rId12"/>
      <w:headerReference w:type="default" r:id="rId13"/>
      <w:footerReference w:type="even"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DB207A" w14:textId="77777777" w:rsidR="006D0ECE" w:rsidRDefault="006D0ECE" w:rsidP="00D41211">
      <w:r>
        <w:separator/>
      </w:r>
    </w:p>
    <w:p w14:paraId="5A79F6D5" w14:textId="77777777" w:rsidR="006D0ECE" w:rsidRDefault="006D0ECE"/>
  </w:endnote>
  <w:endnote w:type="continuationSeparator" w:id="0">
    <w:p w14:paraId="40BFCCF1" w14:textId="77777777" w:rsidR="006D0ECE" w:rsidRDefault="006D0ECE" w:rsidP="00D41211">
      <w:r>
        <w:continuationSeparator/>
      </w:r>
    </w:p>
    <w:p w14:paraId="192620BB" w14:textId="77777777" w:rsidR="006D0ECE" w:rsidRDefault="006D0E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31A6" w14:textId="77777777" w:rsidR="00EB5CEA" w:rsidRDefault="00EB5CEA">
    <w:pPr>
      <w:pStyle w:val="Footer"/>
    </w:pPr>
  </w:p>
  <w:p w14:paraId="0EDFF6EE" w14:textId="77777777" w:rsidR="00F07E9C" w:rsidRDefault="00F07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9F6" w14:textId="77777777"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7C6B46">
      <w:rPr>
        <w:noProof/>
      </w:rPr>
      <w:t>2</w:t>
    </w:r>
    <w:r w:rsidRPr="00066CCF">
      <w:fldChar w:fldCharType="end"/>
    </w:r>
    <w:r w:rsidRPr="00066CCF">
      <w:t xml:space="preserve"> </w:t>
    </w:r>
    <w:r w:rsidR="00EF1A9D" w:rsidRPr="00066CCF">
      <w:t xml:space="preserve">of </w:t>
    </w:r>
    <w:fldSimple w:instr=" NUMPAGES   \* MERGEFORMAT ">
      <w:r w:rsidR="007C6B4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956A" w14:textId="7777777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7C6B46">
      <w:rPr>
        <w:noProof/>
      </w:rPr>
      <w:t>1</w:t>
    </w:r>
    <w:r w:rsidRPr="00066CCF">
      <w:fldChar w:fldCharType="end"/>
    </w:r>
    <w:r w:rsidRPr="00066CCF">
      <w:t xml:space="preserve"> of </w:t>
    </w:r>
    <w:r w:rsidR="006D0ECE">
      <w:fldChar w:fldCharType="begin"/>
    </w:r>
    <w:r w:rsidR="006D0ECE">
      <w:instrText xml:space="preserve"> NUMPAGES   \* MERGEFORMAT </w:instrText>
    </w:r>
    <w:r w:rsidR="006D0ECE">
      <w:fldChar w:fldCharType="separate"/>
    </w:r>
    <w:r w:rsidR="007C6B46">
      <w:rPr>
        <w:noProof/>
      </w:rPr>
      <w:t>7</w:t>
    </w:r>
    <w:r w:rsidR="006D0EC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D2555" w14:textId="77777777" w:rsidR="006D0ECE" w:rsidRDefault="006D0ECE" w:rsidP="00D41211">
      <w:r>
        <w:separator/>
      </w:r>
    </w:p>
    <w:p w14:paraId="559DFECD" w14:textId="77777777" w:rsidR="006D0ECE" w:rsidRDefault="006D0ECE"/>
  </w:footnote>
  <w:footnote w:type="continuationSeparator" w:id="0">
    <w:p w14:paraId="52283B5A" w14:textId="77777777" w:rsidR="006D0ECE" w:rsidRDefault="006D0ECE" w:rsidP="00D41211">
      <w:r>
        <w:continuationSeparator/>
      </w:r>
    </w:p>
    <w:p w14:paraId="6C79DA10" w14:textId="77777777" w:rsidR="006D0ECE" w:rsidRDefault="006D0E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B32" w14:textId="77777777" w:rsidR="00EB5CEA" w:rsidRDefault="00EB5CEA">
    <w:pPr>
      <w:pStyle w:val="Header"/>
    </w:pPr>
  </w:p>
  <w:p w14:paraId="6F423FF7" w14:textId="77777777" w:rsidR="00F07E9C" w:rsidRDefault="00F07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CE70" w14:textId="3F2214E8" w:rsidR="00206816" w:rsidRPr="00E701D9" w:rsidRDefault="0061444A" w:rsidP="0061444A">
    <w:pPr>
      <w:pStyle w:val="Header"/>
    </w:pPr>
    <w:r>
      <w:rPr>
        <w:rStyle w:val="Bold"/>
        <w:rFonts w:ascii="Arial" w:hAnsi="Arial" w:cs="Arial"/>
        <w:b w:val="0"/>
        <w:bCs w:val="0"/>
      </w:rPr>
      <w:t>Local Coordination Operational Policy - Safeguarding</w:t>
    </w:r>
    <w:r w:rsidR="006D0ECE">
      <w:rPr>
        <w:rStyle w:val="Bold"/>
        <w:rFonts w:ascii="Arial" w:hAnsi="Arial" w:cs="Arial"/>
        <w:b w:val="0"/>
        <w:bCs w:val="0"/>
      </w:rPr>
      <w:pict w14:anchorId="6C5002BF">
        <v:rect id="_x0000_i1025" style="width:476.8pt;height:4.7pt" o:hrpct="990"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6DFD" w14:textId="2061E2D5" w:rsidR="00DE14F6" w:rsidRDefault="00257F50" w:rsidP="00D83CF3">
    <w:pPr>
      <w:tabs>
        <w:tab w:val="left" w:pos="5949"/>
      </w:tabs>
      <w:spacing w:after="0"/>
      <w:ind w:left="-1134"/>
    </w:pPr>
    <w:r>
      <w:rPr>
        <w:noProof/>
        <w:lang w:eastAsia="en-AU"/>
      </w:rPr>
      <w:drawing>
        <wp:inline distT="0" distB="0" distL="0" distR="0" wp14:anchorId="54865C96" wp14:editId="419AC26E">
          <wp:extent cx="7560000" cy="1438838"/>
          <wp:effectExtent l="0" t="0" r="3175" b="952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inline>
      </w:drawing>
    </w:r>
  </w:p>
  <w:p w14:paraId="17CA476A" w14:textId="77777777" w:rsidR="00F07E9C" w:rsidRDefault="00F07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DDB87BA6"/>
    <w:lvl w:ilvl="0" w:tplc="24285F4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C568EA"/>
    <w:multiLevelType w:val="hybridMultilevel"/>
    <w:tmpl w:val="339C3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C4F1770"/>
    <w:multiLevelType w:val="multilevel"/>
    <w:tmpl w:val="5D9CA0EA"/>
    <w:lvl w:ilvl="0">
      <w:start w:val="1"/>
      <w:numFmt w:val="decimal"/>
      <w:pStyle w:val="Heading1"/>
      <w:lvlText w:val="%1"/>
      <w:lvlJc w:val="left"/>
      <w:pPr>
        <w:ind w:left="715" w:hanging="432"/>
      </w:pPr>
    </w:lvl>
    <w:lvl w:ilvl="1">
      <w:start w:val="1"/>
      <w:numFmt w:val="decimal"/>
      <w:pStyle w:val="Heading2"/>
      <w:lvlText w:val="%1.%2"/>
      <w:lvlJc w:val="left"/>
      <w:pPr>
        <w:ind w:left="10074"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DC4A84B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58545E0"/>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F75B61"/>
    <w:multiLevelType w:val="hybridMultilevel"/>
    <w:tmpl w:val="079A0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6"/>
  </w:num>
  <w:num w:numId="3">
    <w:abstractNumId w:val="0"/>
  </w:num>
  <w:num w:numId="4">
    <w:abstractNumId w:val="28"/>
  </w:num>
  <w:num w:numId="5">
    <w:abstractNumId w:val="32"/>
  </w:num>
  <w:num w:numId="6">
    <w:abstractNumId w:val="11"/>
  </w:num>
  <w:num w:numId="7">
    <w:abstractNumId w:val="35"/>
  </w:num>
  <w:num w:numId="8">
    <w:abstractNumId w:val="26"/>
  </w:num>
  <w:num w:numId="9">
    <w:abstractNumId w:val="14"/>
  </w:num>
  <w:num w:numId="10">
    <w:abstractNumId w:val="22"/>
  </w:num>
  <w:num w:numId="11">
    <w:abstractNumId w:val="36"/>
  </w:num>
  <w:num w:numId="12">
    <w:abstractNumId w:val="15"/>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0"/>
  </w:num>
  <w:num w:numId="26">
    <w:abstractNumId w:val="12"/>
  </w:num>
  <w:num w:numId="27">
    <w:abstractNumId w:val="30"/>
  </w:num>
  <w:num w:numId="28">
    <w:abstractNumId w:val="27"/>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3"/>
  </w:num>
  <w:num w:numId="33">
    <w:abstractNumId w:val="37"/>
  </w:num>
  <w:num w:numId="34">
    <w:abstractNumId w:val="20"/>
  </w:num>
  <w:num w:numId="35">
    <w:abstractNumId w:val="34"/>
  </w:num>
  <w:num w:numId="36">
    <w:abstractNumId w:val="23"/>
  </w:num>
  <w:num w:numId="37">
    <w:abstractNumId w:val="25"/>
  </w:num>
  <w:num w:numId="38">
    <w:abstractNumId w:val="29"/>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24C"/>
    <w:rsid w:val="00014507"/>
    <w:rsid w:val="0002072A"/>
    <w:rsid w:val="000255DE"/>
    <w:rsid w:val="00025F3F"/>
    <w:rsid w:val="000338B3"/>
    <w:rsid w:val="000342E2"/>
    <w:rsid w:val="000413CE"/>
    <w:rsid w:val="00045328"/>
    <w:rsid w:val="00047DD6"/>
    <w:rsid w:val="00060292"/>
    <w:rsid w:val="00063F98"/>
    <w:rsid w:val="00066CCF"/>
    <w:rsid w:val="00075D15"/>
    <w:rsid w:val="00075F81"/>
    <w:rsid w:val="0008336F"/>
    <w:rsid w:val="00083942"/>
    <w:rsid w:val="0008490E"/>
    <w:rsid w:val="0009709C"/>
    <w:rsid w:val="000A161D"/>
    <w:rsid w:val="000B1741"/>
    <w:rsid w:val="000B498F"/>
    <w:rsid w:val="000C45FC"/>
    <w:rsid w:val="000D2400"/>
    <w:rsid w:val="000D6383"/>
    <w:rsid w:val="000F7B17"/>
    <w:rsid w:val="0010445F"/>
    <w:rsid w:val="00111D6C"/>
    <w:rsid w:val="00116BBF"/>
    <w:rsid w:val="00121696"/>
    <w:rsid w:val="001221FC"/>
    <w:rsid w:val="00123E91"/>
    <w:rsid w:val="00127199"/>
    <w:rsid w:val="00130FE2"/>
    <w:rsid w:val="00150184"/>
    <w:rsid w:val="0015261A"/>
    <w:rsid w:val="00161B82"/>
    <w:rsid w:val="00167608"/>
    <w:rsid w:val="00167F21"/>
    <w:rsid w:val="00170CC9"/>
    <w:rsid w:val="00194712"/>
    <w:rsid w:val="001A3B37"/>
    <w:rsid w:val="001A5FFE"/>
    <w:rsid w:val="001A7E88"/>
    <w:rsid w:val="001B4C4E"/>
    <w:rsid w:val="001B7FC8"/>
    <w:rsid w:val="001E0EF3"/>
    <w:rsid w:val="001E7BE4"/>
    <w:rsid w:val="001F447D"/>
    <w:rsid w:val="001F4640"/>
    <w:rsid w:val="001F7964"/>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A0BE3"/>
    <w:rsid w:val="002C630A"/>
    <w:rsid w:val="002C6CB1"/>
    <w:rsid w:val="002D50F7"/>
    <w:rsid w:val="002E1837"/>
    <w:rsid w:val="002E18A2"/>
    <w:rsid w:val="00300F8C"/>
    <w:rsid w:val="00306AFD"/>
    <w:rsid w:val="00314A45"/>
    <w:rsid w:val="00322725"/>
    <w:rsid w:val="00353B45"/>
    <w:rsid w:val="0036111E"/>
    <w:rsid w:val="00367FD9"/>
    <w:rsid w:val="00374E81"/>
    <w:rsid w:val="003775E4"/>
    <w:rsid w:val="003A77CE"/>
    <w:rsid w:val="003D5381"/>
    <w:rsid w:val="003E2976"/>
    <w:rsid w:val="003F238D"/>
    <w:rsid w:val="003F3D65"/>
    <w:rsid w:val="00401D09"/>
    <w:rsid w:val="0041092E"/>
    <w:rsid w:val="00410A26"/>
    <w:rsid w:val="00421D0F"/>
    <w:rsid w:val="00426C31"/>
    <w:rsid w:val="004301ED"/>
    <w:rsid w:val="004348FF"/>
    <w:rsid w:val="00444F7A"/>
    <w:rsid w:val="004451F0"/>
    <w:rsid w:val="00451D26"/>
    <w:rsid w:val="004566F5"/>
    <w:rsid w:val="00465381"/>
    <w:rsid w:val="00473FC0"/>
    <w:rsid w:val="00476D68"/>
    <w:rsid w:val="00487922"/>
    <w:rsid w:val="00490E41"/>
    <w:rsid w:val="004935A2"/>
    <w:rsid w:val="00496F6B"/>
    <w:rsid w:val="004A3317"/>
    <w:rsid w:val="004A4094"/>
    <w:rsid w:val="004C2016"/>
    <w:rsid w:val="004C37DF"/>
    <w:rsid w:val="004C49FF"/>
    <w:rsid w:val="004D0771"/>
    <w:rsid w:val="004D546B"/>
    <w:rsid w:val="004F27B9"/>
    <w:rsid w:val="004F2E01"/>
    <w:rsid w:val="00530C64"/>
    <w:rsid w:val="0054188B"/>
    <w:rsid w:val="005463CC"/>
    <w:rsid w:val="00556D99"/>
    <w:rsid w:val="00575F62"/>
    <w:rsid w:val="005845AB"/>
    <w:rsid w:val="00584A89"/>
    <w:rsid w:val="005A4BB7"/>
    <w:rsid w:val="005B0C0E"/>
    <w:rsid w:val="005D4D30"/>
    <w:rsid w:val="005D65D3"/>
    <w:rsid w:val="005E6C72"/>
    <w:rsid w:val="005F46C1"/>
    <w:rsid w:val="00612F7B"/>
    <w:rsid w:val="0061444A"/>
    <w:rsid w:val="00617DEA"/>
    <w:rsid w:val="00625DC2"/>
    <w:rsid w:val="006340A9"/>
    <w:rsid w:val="00653107"/>
    <w:rsid w:val="00660B73"/>
    <w:rsid w:val="00667510"/>
    <w:rsid w:val="006709A3"/>
    <w:rsid w:val="00675E8A"/>
    <w:rsid w:val="00685C3E"/>
    <w:rsid w:val="006927B0"/>
    <w:rsid w:val="006A4A71"/>
    <w:rsid w:val="006B2471"/>
    <w:rsid w:val="006B535E"/>
    <w:rsid w:val="006C36C8"/>
    <w:rsid w:val="006D0ECE"/>
    <w:rsid w:val="006D1F87"/>
    <w:rsid w:val="006D3B1F"/>
    <w:rsid w:val="006E30CC"/>
    <w:rsid w:val="006E708E"/>
    <w:rsid w:val="006F538A"/>
    <w:rsid w:val="006F7711"/>
    <w:rsid w:val="00702E3C"/>
    <w:rsid w:val="00707CDD"/>
    <w:rsid w:val="00720FAE"/>
    <w:rsid w:val="00723AE6"/>
    <w:rsid w:val="0072647A"/>
    <w:rsid w:val="00732863"/>
    <w:rsid w:val="00751600"/>
    <w:rsid w:val="00756C54"/>
    <w:rsid w:val="00787518"/>
    <w:rsid w:val="00793086"/>
    <w:rsid w:val="007B1C67"/>
    <w:rsid w:val="007B6F55"/>
    <w:rsid w:val="007C6B46"/>
    <w:rsid w:val="007D3AD2"/>
    <w:rsid w:val="007D72D5"/>
    <w:rsid w:val="007F322D"/>
    <w:rsid w:val="007F645B"/>
    <w:rsid w:val="007F71DE"/>
    <w:rsid w:val="008011EB"/>
    <w:rsid w:val="00805848"/>
    <w:rsid w:val="00814D66"/>
    <w:rsid w:val="0082097F"/>
    <w:rsid w:val="008248DB"/>
    <w:rsid w:val="008444BC"/>
    <w:rsid w:val="00846339"/>
    <w:rsid w:val="00852E36"/>
    <w:rsid w:val="00856A5C"/>
    <w:rsid w:val="00860638"/>
    <w:rsid w:val="0086551B"/>
    <w:rsid w:val="00867A3D"/>
    <w:rsid w:val="008865EC"/>
    <w:rsid w:val="008876B7"/>
    <w:rsid w:val="00887D9C"/>
    <w:rsid w:val="0089264E"/>
    <w:rsid w:val="008A32F0"/>
    <w:rsid w:val="008A67F3"/>
    <w:rsid w:val="008B18AC"/>
    <w:rsid w:val="008D2060"/>
    <w:rsid w:val="008D2387"/>
    <w:rsid w:val="008E0253"/>
    <w:rsid w:val="008E04FB"/>
    <w:rsid w:val="008E0584"/>
    <w:rsid w:val="008E4A63"/>
    <w:rsid w:val="008E713B"/>
    <w:rsid w:val="008F5637"/>
    <w:rsid w:val="009235D5"/>
    <w:rsid w:val="00930B0F"/>
    <w:rsid w:val="00943BFE"/>
    <w:rsid w:val="0094672B"/>
    <w:rsid w:val="00946B25"/>
    <w:rsid w:val="00947FB5"/>
    <w:rsid w:val="00957898"/>
    <w:rsid w:val="009675BB"/>
    <w:rsid w:val="00981199"/>
    <w:rsid w:val="00984EC9"/>
    <w:rsid w:val="009978E0"/>
    <w:rsid w:val="009A321C"/>
    <w:rsid w:val="009A4898"/>
    <w:rsid w:val="009C77C4"/>
    <w:rsid w:val="009E29AD"/>
    <w:rsid w:val="009E4036"/>
    <w:rsid w:val="00A00AE7"/>
    <w:rsid w:val="00A05BEE"/>
    <w:rsid w:val="00A12E5C"/>
    <w:rsid w:val="00A14E26"/>
    <w:rsid w:val="00A16919"/>
    <w:rsid w:val="00A2202B"/>
    <w:rsid w:val="00A24A9D"/>
    <w:rsid w:val="00A307F8"/>
    <w:rsid w:val="00A458CE"/>
    <w:rsid w:val="00A4794F"/>
    <w:rsid w:val="00A47B37"/>
    <w:rsid w:val="00A60FDF"/>
    <w:rsid w:val="00A672BC"/>
    <w:rsid w:val="00A920E2"/>
    <w:rsid w:val="00A92374"/>
    <w:rsid w:val="00A9421F"/>
    <w:rsid w:val="00AA09A5"/>
    <w:rsid w:val="00AA43E2"/>
    <w:rsid w:val="00AC5EF0"/>
    <w:rsid w:val="00B05729"/>
    <w:rsid w:val="00B05E21"/>
    <w:rsid w:val="00B07E38"/>
    <w:rsid w:val="00B21D92"/>
    <w:rsid w:val="00B344D5"/>
    <w:rsid w:val="00B40BF4"/>
    <w:rsid w:val="00B52143"/>
    <w:rsid w:val="00B52EA1"/>
    <w:rsid w:val="00B547FE"/>
    <w:rsid w:val="00B62068"/>
    <w:rsid w:val="00B847D0"/>
    <w:rsid w:val="00B9230D"/>
    <w:rsid w:val="00BA7203"/>
    <w:rsid w:val="00BA7A57"/>
    <w:rsid w:val="00BB0301"/>
    <w:rsid w:val="00BB4029"/>
    <w:rsid w:val="00BB5604"/>
    <w:rsid w:val="00BC77EF"/>
    <w:rsid w:val="00BD0D55"/>
    <w:rsid w:val="00BE6B0A"/>
    <w:rsid w:val="00BF2E7C"/>
    <w:rsid w:val="00BF55C7"/>
    <w:rsid w:val="00C021F3"/>
    <w:rsid w:val="00C05DE9"/>
    <w:rsid w:val="00C061FE"/>
    <w:rsid w:val="00C2381D"/>
    <w:rsid w:val="00C45E21"/>
    <w:rsid w:val="00C4753E"/>
    <w:rsid w:val="00C5555F"/>
    <w:rsid w:val="00C61E5B"/>
    <w:rsid w:val="00C6284E"/>
    <w:rsid w:val="00C64B57"/>
    <w:rsid w:val="00C74C57"/>
    <w:rsid w:val="00C8678C"/>
    <w:rsid w:val="00C97A93"/>
    <w:rsid w:val="00CA0C2B"/>
    <w:rsid w:val="00CA36C2"/>
    <w:rsid w:val="00CB022B"/>
    <w:rsid w:val="00CB2133"/>
    <w:rsid w:val="00CB4A25"/>
    <w:rsid w:val="00CC0D63"/>
    <w:rsid w:val="00CC58EF"/>
    <w:rsid w:val="00CD0553"/>
    <w:rsid w:val="00CD24F1"/>
    <w:rsid w:val="00CF12E0"/>
    <w:rsid w:val="00D02DB6"/>
    <w:rsid w:val="00D065E5"/>
    <w:rsid w:val="00D116FC"/>
    <w:rsid w:val="00D15E8E"/>
    <w:rsid w:val="00D16670"/>
    <w:rsid w:val="00D2337A"/>
    <w:rsid w:val="00D37627"/>
    <w:rsid w:val="00D40273"/>
    <w:rsid w:val="00D41211"/>
    <w:rsid w:val="00D420C4"/>
    <w:rsid w:val="00D61F32"/>
    <w:rsid w:val="00D64FD2"/>
    <w:rsid w:val="00D82E5F"/>
    <w:rsid w:val="00D83CF3"/>
    <w:rsid w:val="00D84F90"/>
    <w:rsid w:val="00D86BEB"/>
    <w:rsid w:val="00D86C3C"/>
    <w:rsid w:val="00DC16DF"/>
    <w:rsid w:val="00DC171A"/>
    <w:rsid w:val="00DD1E91"/>
    <w:rsid w:val="00DD715A"/>
    <w:rsid w:val="00DE0529"/>
    <w:rsid w:val="00DE14F6"/>
    <w:rsid w:val="00DF3E9D"/>
    <w:rsid w:val="00E0075B"/>
    <w:rsid w:val="00E03756"/>
    <w:rsid w:val="00E13630"/>
    <w:rsid w:val="00E1725A"/>
    <w:rsid w:val="00E17381"/>
    <w:rsid w:val="00E30F5C"/>
    <w:rsid w:val="00E31418"/>
    <w:rsid w:val="00E5020E"/>
    <w:rsid w:val="00E5558A"/>
    <w:rsid w:val="00E57D67"/>
    <w:rsid w:val="00E701D9"/>
    <w:rsid w:val="00E828A0"/>
    <w:rsid w:val="00E85102"/>
    <w:rsid w:val="00E9141E"/>
    <w:rsid w:val="00E96060"/>
    <w:rsid w:val="00EA04AD"/>
    <w:rsid w:val="00EA3AD0"/>
    <w:rsid w:val="00EA7FD7"/>
    <w:rsid w:val="00EB3123"/>
    <w:rsid w:val="00EB55B1"/>
    <w:rsid w:val="00EB5CEA"/>
    <w:rsid w:val="00EC2B8A"/>
    <w:rsid w:val="00ED1557"/>
    <w:rsid w:val="00ED3EEF"/>
    <w:rsid w:val="00ED482F"/>
    <w:rsid w:val="00ED4CB0"/>
    <w:rsid w:val="00EE4916"/>
    <w:rsid w:val="00EF1A9D"/>
    <w:rsid w:val="00EF24FF"/>
    <w:rsid w:val="00F003A7"/>
    <w:rsid w:val="00F00D7F"/>
    <w:rsid w:val="00F02120"/>
    <w:rsid w:val="00F033B7"/>
    <w:rsid w:val="00F03866"/>
    <w:rsid w:val="00F07E9C"/>
    <w:rsid w:val="00F129D2"/>
    <w:rsid w:val="00F13490"/>
    <w:rsid w:val="00F23285"/>
    <w:rsid w:val="00F27366"/>
    <w:rsid w:val="00F4073F"/>
    <w:rsid w:val="00F41E11"/>
    <w:rsid w:val="00F612A9"/>
    <w:rsid w:val="00F61EFA"/>
    <w:rsid w:val="00F77039"/>
    <w:rsid w:val="00F80E39"/>
    <w:rsid w:val="00FC0260"/>
    <w:rsid w:val="00FC0BBA"/>
    <w:rsid w:val="00FC2072"/>
    <w:rsid w:val="00FC5966"/>
    <w:rsid w:val="00FD0D5A"/>
    <w:rsid w:val="00FD29CC"/>
    <w:rsid w:val="00FE0B92"/>
    <w:rsid w:val="00FF0DD0"/>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72BC"/>
    <w:pPr>
      <w:spacing w:after="120" w:line="288" w:lineRule="auto"/>
    </w:pPr>
  </w:style>
  <w:style w:type="paragraph" w:styleId="Heading1">
    <w:name w:val="heading 1"/>
    <w:basedOn w:val="nospace"/>
    <w:next w:val="BodyText"/>
    <w:link w:val="Heading1Char"/>
    <w:qFormat/>
    <w:rsid w:val="00D83CF3"/>
    <w:pPr>
      <w:keepNext/>
      <w:numPr>
        <w:numId w:val="25"/>
      </w:numPr>
      <w:spacing w:before="400" w:after="80"/>
      <w:ind w:left="709" w:hanging="709"/>
      <w:outlineLvl w:val="0"/>
    </w:pPr>
    <w:rPr>
      <w:b/>
      <w:bCs/>
      <w:color w:val="2C5C86"/>
      <w:sz w:val="40"/>
      <w:szCs w:val="32"/>
    </w:rPr>
  </w:style>
  <w:style w:type="paragraph" w:styleId="Heading2">
    <w:name w:val="heading 2"/>
    <w:basedOn w:val="nospace"/>
    <w:next w:val="BodyText"/>
    <w:link w:val="Heading2Char"/>
    <w:qFormat/>
    <w:rsid w:val="00E9141E"/>
    <w:pPr>
      <w:numPr>
        <w:ilvl w:val="1"/>
        <w:numId w:val="25"/>
      </w:numPr>
      <w:suppressAutoHyphens/>
      <w:autoSpaceDE w:val="0"/>
      <w:autoSpaceDN w:val="0"/>
      <w:adjustRightInd w:val="0"/>
      <w:spacing w:before="240" w:after="80"/>
      <w:ind w:left="709" w:hanging="709"/>
      <w:textAlignment w:val="center"/>
      <w:outlineLvl w:val="1"/>
    </w:pPr>
    <w:rPr>
      <w:b/>
      <w:bCs/>
      <w:color w:val="2C5C86"/>
      <w:sz w:val="30"/>
    </w:rPr>
  </w:style>
  <w:style w:type="paragraph" w:styleId="Heading3">
    <w:name w:val="heading 3"/>
    <w:basedOn w:val="nospace"/>
    <w:next w:val="BodyText"/>
    <w:link w:val="Heading3Char"/>
    <w:qFormat/>
    <w:rsid w:val="00E9141E"/>
    <w:pPr>
      <w:keepNext/>
      <w:keepLines/>
      <w:numPr>
        <w:ilvl w:val="2"/>
        <w:numId w:val="25"/>
      </w:numPr>
      <w:spacing w:before="240" w:after="80"/>
      <w:ind w:left="709" w:hanging="709"/>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E9141E"/>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A672BC"/>
    <w:rPr>
      <w:rFonts w:cs="Arial"/>
    </w:rPr>
  </w:style>
  <w:style w:type="character" w:customStyle="1" w:styleId="BodyTextChar">
    <w:name w:val="Body Text Char"/>
    <w:basedOn w:val="DefaultParagraphFont"/>
    <w:link w:val="BodyText"/>
    <w:rsid w:val="00A672BC"/>
    <w:rPr>
      <w:rFonts w:cs="Arial"/>
    </w:rPr>
  </w:style>
  <w:style w:type="paragraph" w:customStyle="1" w:styleId="Bullet1">
    <w:name w:val="Bullet 1"/>
    <w:basedOn w:val="BodyText"/>
    <w:qFormat/>
    <w:rsid w:val="00D83CF3"/>
    <w:pPr>
      <w:numPr>
        <w:numId w:val="37"/>
      </w:numPr>
      <w:contextualSpacing/>
    </w:pPr>
  </w:style>
  <w:style w:type="paragraph" w:customStyle="1" w:styleId="Bullet2">
    <w:name w:val="Bullet 2"/>
    <w:basedOn w:val="Normal"/>
    <w:next w:val="BodyText"/>
    <w:qFormat/>
    <w:rsid w:val="00D83CF3"/>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E9141E"/>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A672BC"/>
    <w:pPr>
      <w:spacing w:after="600"/>
    </w:pPr>
    <w:rPr>
      <w:b/>
      <w:color w:val="403F47"/>
      <w:sz w:val="34"/>
      <w:szCs w:val="36"/>
      <w:lang w:eastAsia="en-AU"/>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7A93"/>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40BF4"/>
    <w:pPr>
      <w:spacing w:after="240" w:line="240"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B40BF4"/>
    <w:rPr>
      <w:rFonts w:cs="Arial"/>
      <w:b/>
      <w:noProof/>
      <w:color w:val="403F47"/>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D83CF3"/>
    <w:pPr>
      <w:numPr>
        <w:numId w:val="3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C97A93"/>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C97A93"/>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table" w:customStyle="1" w:styleId="TableStyle">
    <w:name w:val="Table Style"/>
    <w:basedOn w:val="TableNormal"/>
    <w:uiPriority w:val="99"/>
    <w:rsid w:val="00A672B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8F5637"/>
    <w:pPr>
      <w:spacing w:before="120" w:after="120" w:line="288" w:lineRule="auto"/>
    </w:pPr>
    <w:rPr>
      <w:b/>
      <w:iCs/>
      <w:color w:val="000000"/>
      <w:sz w:val="22"/>
      <w:szCs w:val="18"/>
    </w:rPr>
  </w:style>
  <w:style w:type="paragraph" w:styleId="ListNumber">
    <w:name w:val="List Number"/>
    <w:basedOn w:val="ListParagraph"/>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8F5637"/>
    <w:rPr>
      <w:b/>
      <w:iCs/>
      <w:color w:val="000000"/>
      <w:sz w:val="22"/>
      <w:szCs w:val="18"/>
    </w:rPr>
  </w:style>
  <w:style w:type="paragraph" w:customStyle="1" w:styleId="nospace">
    <w:name w:val="no space"/>
    <w:link w:val="nospaceChar"/>
    <w:rsid w:val="00A672BC"/>
    <w:rPr>
      <w:rFonts w:cs="Arial"/>
    </w:rPr>
  </w:style>
  <w:style w:type="character" w:customStyle="1" w:styleId="nospaceChar">
    <w:name w:val="no space Char"/>
    <w:basedOn w:val="BodyTextChar"/>
    <w:link w:val="nospace"/>
    <w:rsid w:val="00A672BC"/>
    <w:rPr>
      <w:rFonts w:cs="Arial"/>
    </w:rPr>
  </w:style>
  <w:style w:type="paragraph" w:customStyle="1" w:styleId="HeaderLine">
    <w:name w:val="Header Line"/>
    <w:basedOn w:val="Normal"/>
    <w:link w:val="HeaderLineChar"/>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041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customStyle="1" w:styleId="TableHeading">
    <w:name w:val="Table Heading"/>
    <w:basedOn w:val="Normal"/>
    <w:link w:val="TableHeadingChar"/>
    <w:rsid w:val="004451F0"/>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4451F0"/>
    <w:rPr>
      <w:rFonts w:eastAsia="Times New Roman" w:cs="Arial"/>
      <w:b/>
      <w:bCs/>
      <w:color w:val="000000" w:themeColor="text1"/>
      <w:szCs w:val="22"/>
      <w:lang w:val="en-US"/>
    </w:rPr>
  </w:style>
  <w:style w:type="paragraph" w:customStyle="1" w:styleId="TableContent">
    <w:name w:val="Table Content"/>
    <w:basedOn w:val="Normal"/>
    <w:link w:val="TableContentChar"/>
    <w:qFormat/>
    <w:rsid w:val="004451F0"/>
    <w:pPr>
      <w:spacing w:before="60" w:after="60"/>
    </w:pPr>
    <w:rPr>
      <w:rFonts w:cs="Arial"/>
      <w:color w:val="000000" w:themeColor="text1"/>
    </w:rPr>
  </w:style>
  <w:style w:type="character" w:customStyle="1" w:styleId="TableContentChar">
    <w:name w:val="Table Content Char"/>
    <w:basedOn w:val="DefaultParagraphFont"/>
    <w:link w:val="TableContent"/>
    <w:rsid w:val="004451F0"/>
    <w:rPr>
      <w:rFonts w:cs="Arial"/>
      <w:color w:val="000000" w:themeColor="text1"/>
    </w:rPr>
  </w:style>
  <w:style w:type="character" w:customStyle="1" w:styleId="SubtitleChar">
    <w:name w:val="Subtitle Char"/>
    <w:basedOn w:val="DefaultParagraphFont"/>
    <w:link w:val="Subtitle"/>
    <w:rsid w:val="00A672BC"/>
    <w:rPr>
      <w:b/>
      <w:color w:val="403F47"/>
      <w:sz w:val="34"/>
      <w:szCs w:val="36"/>
      <w:lang w:eastAsia="en-AU"/>
    </w:rPr>
  </w:style>
  <w:style w:type="table" w:styleId="TableTheme">
    <w:name w:val="Table Theme"/>
    <w:basedOn w:val="TableNormal"/>
    <w:rsid w:val="00A672BC"/>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E1837"/>
    <w:rPr>
      <w:rFonts w:cs="Arial"/>
      <w:b/>
      <w:bCs/>
      <w:color w:val="2C5C86"/>
      <w:sz w:val="40"/>
      <w:szCs w:val="32"/>
    </w:rPr>
  </w:style>
  <w:style w:type="paragraph" w:customStyle="1" w:styleId="Tablecontent0">
    <w:name w:val="Table content"/>
    <w:basedOn w:val="Normal"/>
    <w:link w:val="TablecontentChar0"/>
    <w:qFormat/>
    <w:rsid w:val="00C6284E"/>
    <w:pPr>
      <w:spacing w:before="60" w:after="60"/>
    </w:pPr>
    <w:rPr>
      <w:rFonts w:cs="Arial"/>
      <w:color w:val="000000" w:themeColor="text1"/>
    </w:rPr>
  </w:style>
  <w:style w:type="paragraph" w:customStyle="1" w:styleId="Tableheadervertical">
    <w:name w:val="Table header vertical"/>
    <w:basedOn w:val="Normal"/>
    <w:link w:val="TableheaderverticalChar"/>
    <w:qFormat/>
    <w:rsid w:val="00C6284E"/>
    <w:pPr>
      <w:autoSpaceDE w:val="0"/>
      <w:autoSpaceDN w:val="0"/>
      <w:adjustRightInd w:val="0"/>
      <w:spacing w:before="60" w:after="60"/>
    </w:pPr>
    <w:rPr>
      <w:rFonts w:cs="Arial"/>
      <w:b/>
      <w:szCs w:val="20"/>
      <w:lang w:eastAsia="en-AU"/>
    </w:rPr>
  </w:style>
  <w:style w:type="character" w:customStyle="1" w:styleId="TablecontentChar0">
    <w:name w:val="Table content Char"/>
    <w:basedOn w:val="DefaultParagraphFont"/>
    <w:link w:val="Tablecontent0"/>
    <w:rsid w:val="00C6284E"/>
    <w:rPr>
      <w:rFonts w:cs="Arial"/>
      <w:color w:val="000000" w:themeColor="text1"/>
    </w:rPr>
  </w:style>
  <w:style w:type="character" w:customStyle="1" w:styleId="TableheaderverticalChar">
    <w:name w:val="Table header vertical Char"/>
    <w:basedOn w:val="DefaultParagraphFont"/>
    <w:link w:val="Tableheadervertical"/>
    <w:rsid w:val="00C6284E"/>
    <w:rPr>
      <w:rFonts w:cs="Arial"/>
      <w:b/>
      <w:szCs w:val="20"/>
      <w:lang w:eastAsia="en-AU"/>
    </w:rPr>
  </w:style>
  <w:style w:type="character" w:styleId="CommentReference">
    <w:name w:val="annotation reference"/>
    <w:basedOn w:val="DefaultParagraphFont"/>
    <w:semiHidden/>
    <w:unhideWhenUsed/>
    <w:rsid w:val="009E4036"/>
    <w:rPr>
      <w:sz w:val="16"/>
      <w:szCs w:val="16"/>
    </w:rPr>
  </w:style>
  <w:style w:type="paragraph" w:styleId="CommentText">
    <w:name w:val="annotation text"/>
    <w:basedOn w:val="Normal"/>
    <w:link w:val="CommentTextChar"/>
    <w:semiHidden/>
    <w:unhideWhenUsed/>
    <w:rsid w:val="009E4036"/>
    <w:pPr>
      <w:spacing w:line="240" w:lineRule="auto"/>
    </w:pPr>
    <w:rPr>
      <w:sz w:val="20"/>
      <w:szCs w:val="20"/>
    </w:rPr>
  </w:style>
  <w:style w:type="character" w:customStyle="1" w:styleId="CommentTextChar">
    <w:name w:val="Comment Text Char"/>
    <w:basedOn w:val="DefaultParagraphFont"/>
    <w:link w:val="CommentText"/>
    <w:semiHidden/>
    <w:rsid w:val="009E4036"/>
    <w:rPr>
      <w:sz w:val="20"/>
      <w:szCs w:val="20"/>
    </w:rPr>
  </w:style>
  <w:style w:type="paragraph" w:styleId="CommentSubject">
    <w:name w:val="annotation subject"/>
    <w:basedOn w:val="CommentText"/>
    <w:next w:val="CommentText"/>
    <w:link w:val="CommentSubjectChar"/>
    <w:semiHidden/>
    <w:unhideWhenUsed/>
    <w:rsid w:val="009E4036"/>
    <w:rPr>
      <w:b/>
      <w:bCs/>
    </w:rPr>
  </w:style>
  <w:style w:type="character" w:customStyle="1" w:styleId="CommentSubjectChar">
    <w:name w:val="Comment Subject Char"/>
    <w:basedOn w:val="CommentTextChar"/>
    <w:link w:val="CommentSubject"/>
    <w:semiHidden/>
    <w:rsid w:val="009E40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12791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c17f1edfb88c9c3c2c05a725c1aa3949">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3c960f4c2dd08f1d537c0990eb5963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Informative</Type_x0020_of_x0020_Template>
    <Size xmlns="8e8a9041-2026-405d-af16-85f276e0c52b">A4</Size>
    <Use xmlns="8e8a9041-2026-405d-af16-85f276e0c52b">Fact sheet</Us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0C8A8-7D74-4A17-9460-D52EFEC2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847AE-BF09-4F54-A20C-D6CB7A52315D}">
  <ds:schemaRefs>
    <ds:schemaRef ds:uri="http://schemas.microsoft.com/office/2006/metadata/properties"/>
    <ds:schemaRef ds:uri="http://schemas.microsoft.com/office/infopath/2007/PartnerControls"/>
    <ds:schemaRef ds:uri="8e8a9041-2026-405d-af16-85f276e0c52b"/>
  </ds:schemaRefs>
</ds:datastoreItem>
</file>

<file path=customXml/itemProps3.xml><?xml version="1.0" encoding="utf-8"?>
<ds:datastoreItem xmlns:ds="http://schemas.openxmlformats.org/officeDocument/2006/customXml" ds:itemID="{A5C1056F-7993-4FE7-A84F-73C6D89F86C5}">
  <ds:schemaRefs>
    <ds:schemaRef ds:uri="http://schemas.microsoft.com/sharepoint/v3/contenttype/forms"/>
  </ds:schemaRefs>
</ds:datastoreItem>
</file>

<file path=customXml/itemProps4.xml><?xml version="1.0" encoding="utf-8"?>
<ds:datastoreItem xmlns:ds="http://schemas.openxmlformats.org/officeDocument/2006/customXml" ds:itemID="{F7F295FF-8BEC-4C4B-A0DC-2E64CEEBC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7373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Coordination Operational Policy - Safeguarding</dc:title>
  <dc:subject/>
  <dc:creator/>
  <cp:keywords/>
  <cp:lastModifiedBy/>
  <cp:revision>1</cp:revision>
  <dcterms:created xsi:type="dcterms:W3CDTF">2021-02-02T03:42:00Z</dcterms:created>
  <dcterms:modified xsi:type="dcterms:W3CDTF">2021-07-23T06:20:00Z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