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1E0DE" w14:textId="1763AB8B" w:rsidR="004F6F02" w:rsidRDefault="004F6F02" w:rsidP="004F6F02">
      <w:pPr>
        <w:pStyle w:val="Heading1"/>
        <w:rPr>
          <w:rFonts w:eastAsiaTheme="minorHAnsi"/>
        </w:rPr>
      </w:pPr>
      <w:bookmarkStart w:id="0" w:name="_GoBack"/>
      <w:bookmarkEnd w:id="0"/>
      <w:r>
        <w:rPr>
          <w:rFonts w:eastAsiaTheme="minorHAnsi"/>
          <w:sz w:val="60"/>
          <w:szCs w:val="60"/>
        </w:rPr>
        <w:t>Ideas for advocacy</w:t>
      </w:r>
    </w:p>
    <w:p w14:paraId="746C5AD2" w14:textId="77777777" w:rsidR="004F6F02" w:rsidRDefault="004F6F02" w:rsidP="004F6F02">
      <w:pPr>
        <w:pStyle w:val="Heading1"/>
        <w:rPr>
          <w:rFonts w:eastAsiaTheme="minorHAnsi"/>
          <w:szCs w:val="40"/>
        </w:rPr>
      </w:pPr>
      <w:r w:rsidRPr="00CE0B6A">
        <w:rPr>
          <w:rFonts w:eastAsiaTheme="minorHAnsi"/>
          <w:szCs w:val="40"/>
        </w:rPr>
        <w:t>Youth Participation Kit: Young people</w:t>
      </w:r>
    </w:p>
    <w:p w14:paraId="7BE510A3" w14:textId="7A85521F" w:rsidR="004F6F02" w:rsidRPr="00CE0B6A" w:rsidRDefault="004F6F02" w:rsidP="004F6F02">
      <w:pPr>
        <w:pStyle w:val="Heading1"/>
        <w:rPr>
          <w:rFonts w:eastAsiaTheme="minorHAnsi"/>
          <w:szCs w:val="40"/>
        </w:rPr>
      </w:pPr>
      <w:r w:rsidRPr="00CE0B6A">
        <w:rPr>
          <w:rFonts w:eastAsiaTheme="minorHAnsi"/>
          <w:szCs w:val="40"/>
        </w:rPr>
        <w:t xml:space="preserve">Resource </w:t>
      </w:r>
      <w:r>
        <w:rPr>
          <w:rFonts w:eastAsiaTheme="minorHAnsi"/>
          <w:szCs w:val="40"/>
        </w:rPr>
        <w:t>5</w:t>
      </w:r>
    </w:p>
    <w:p w14:paraId="5D9EB594" w14:textId="77777777" w:rsidR="004F6F02" w:rsidRDefault="004F6F02" w:rsidP="004F6F02">
      <w:pPr>
        <w:pStyle w:val="Intro"/>
        <w:spacing w:after="0"/>
        <w:rPr>
          <w:rFonts w:eastAsiaTheme="minorHAnsi"/>
          <w:b/>
          <w:bCs/>
          <w:sz w:val="34"/>
          <w:szCs w:val="34"/>
        </w:rPr>
      </w:pPr>
    </w:p>
    <w:p w14:paraId="1DD67509" w14:textId="3CCBCCC1" w:rsidR="00DA0FB6" w:rsidRPr="004F6F02" w:rsidRDefault="00471B77" w:rsidP="00DA0FB6">
      <w:pPr>
        <w:pStyle w:val="Intro"/>
        <w:rPr>
          <w:rFonts w:eastAsiaTheme="minorHAnsi"/>
          <w:lang w:eastAsia="en-US"/>
        </w:rPr>
      </w:pPr>
      <w:r w:rsidRPr="004F6F02">
        <w:rPr>
          <w:rFonts w:eastAsiaTheme="minorHAnsi"/>
          <w:sz w:val="34"/>
          <w:szCs w:val="34"/>
        </w:rPr>
        <w:t>If</w:t>
      </w:r>
      <w:r w:rsidR="00DA0FB6" w:rsidRPr="004F6F02">
        <w:rPr>
          <w:rFonts w:eastAsiaTheme="minorHAnsi"/>
          <w:sz w:val="34"/>
          <w:szCs w:val="34"/>
        </w:rPr>
        <w:t xml:space="preserve"> </w:t>
      </w:r>
      <w:r w:rsidRPr="004F6F02">
        <w:rPr>
          <w:sz w:val="34"/>
          <w:szCs w:val="34"/>
        </w:rPr>
        <w:t>you decide you want to participate as an advocate for a cause, there are lots of different ways you can make an impact. We’ve collected some ideas here but remember that often the best campaigns are those that are innovative and new, so think outside the box and see what you can come up with!</w:t>
      </w:r>
    </w:p>
    <w:p w14:paraId="08B09AB7" w14:textId="589DF537" w:rsidR="00DA0FB6" w:rsidRPr="004F6F02" w:rsidRDefault="00DA0FB6" w:rsidP="00DA0FB6">
      <w:pPr>
        <w:pStyle w:val="Heading2"/>
        <w:rPr>
          <w:rFonts w:eastAsiaTheme="minorHAnsi"/>
          <w:szCs w:val="30"/>
        </w:rPr>
      </w:pPr>
      <w:bookmarkStart w:id="1" w:name="_Toc501711838"/>
      <w:bookmarkStart w:id="2" w:name="_Hlk64548821"/>
      <w:r w:rsidRPr="004F6F02">
        <w:rPr>
          <w:rFonts w:eastAsiaTheme="minorHAnsi"/>
          <w:szCs w:val="30"/>
        </w:rPr>
        <w:t>Turning your passion into action</w:t>
      </w:r>
    </w:p>
    <w:p w14:paraId="71F83A2C" w14:textId="4E98D05B" w:rsidR="00DA0FB6" w:rsidRPr="004F6F02" w:rsidRDefault="00471B77" w:rsidP="00DA0FB6">
      <w:pPr>
        <w:pStyle w:val="Heading3"/>
        <w:rPr>
          <w:rFonts w:eastAsiaTheme="minorHAnsi"/>
        </w:rPr>
      </w:pPr>
      <w:r w:rsidRPr="004F6F02">
        <w:rPr>
          <w:rFonts w:eastAsiaTheme="minorHAnsi"/>
        </w:rPr>
        <w:t>Get creative!</w:t>
      </w:r>
    </w:p>
    <w:bookmarkEnd w:id="1"/>
    <w:bookmarkEnd w:id="2"/>
    <w:p w14:paraId="5802505B" w14:textId="77777777" w:rsidR="00471B77" w:rsidRPr="00D35FE4" w:rsidRDefault="00471B77" w:rsidP="00471B77">
      <w:pPr>
        <w:pStyle w:val="BodyText-nospacebelow"/>
        <w:rPr>
          <w:rFonts w:eastAsiaTheme="minorHAnsi"/>
          <w:lang w:eastAsia="en-US"/>
        </w:rPr>
      </w:pPr>
      <w:r>
        <w:rPr>
          <w:rFonts w:eastAsiaTheme="minorHAnsi"/>
          <w:lang w:eastAsia="en-US"/>
        </w:rPr>
        <w:t xml:space="preserve">Sometimes the best advocates are the ones who take people completely by surprise with how they share their messages. You can be creative and express your ideas in art, sculpture, film, dance or music, and share your creations in the community. You might do this through existing channels like local arts competitions and exhibitions or social media channels, or you could even put on your own event to show off your work. If you have a great idea, run with it—your idea might just be the next worldwide phenomenon like </w:t>
      </w:r>
      <w:proofErr w:type="spellStart"/>
      <w:r>
        <w:rPr>
          <w:rFonts w:eastAsiaTheme="minorHAnsi"/>
          <w:lang w:eastAsia="en-US"/>
        </w:rPr>
        <w:t>flashmobs</w:t>
      </w:r>
      <w:proofErr w:type="spellEnd"/>
      <w:r>
        <w:rPr>
          <w:rFonts w:eastAsiaTheme="minorHAnsi"/>
          <w:lang w:eastAsia="en-US"/>
        </w:rPr>
        <w:t xml:space="preserve">, crowdfunding or the ice bucket challenge!  </w:t>
      </w:r>
    </w:p>
    <w:p w14:paraId="27DBE4C9" w14:textId="5799A807" w:rsidR="00DA0FB6" w:rsidRPr="004F6F02" w:rsidRDefault="00471B77" w:rsidP="00DA0FB6">
      <w:pPr>
        <w:pStyle w:val="Heading3"/>
        <w:rPr>
          <w:rFonts w:eastAsiaTheme="minorHAnsi"/>
        </w:rPr>
      </w:pPr>
      <w:r w:rsidRPr="004F6F02">
        <w:rPr>
          <w:rFonts w:eastAsiaTheme="minorHAnsi"/>
        </w:rPr>
        <w:t>Writing letters</w:t>
      </w:r>
    </w:p>
    <w:p w14:paraId="0A28B25C" w14:textId="13288B50" w:rsidR="00471B77" w:rsidRDefault="00471B77" w:rsidP="00471B77">
      <w:pPr>
        <w:pStyle w:val="BodyText-nospacebelow"/>
        <w:rPr>
          <w:rFonts w:eastAsiaTheme="majorEastAsia"/>
        </w:rPr>
      </w:pPr>
      <w:r>
        <w:rPr>
          <w:rFonts w:eastAsiaTheme="majorEastAsia"/>
        </w:rPr>
        <w:t xml:space="preserve">When you believe that something needs to be changed, getting in touch directly with the people who can make that change is a good place to start. Work out who has the power to make the change—it might be a local government Councillor, State or Federal Member of Parliament, or even the CEO of an organisation. </w:t>
      </w:r>
      <w:r w:rsidRPr="002D291C">
        <w:rPr>
          <w:rFonts w:eastAsiaTheme="majorEastAsia"/>
        </w:rPr>
        <w:t xml:space="preserve">Your letter should be respectful and offer practical and sensible solutions to the issues. Keep it short to have </w:t>
      </w:r>
      <w:r>
        <w:rPr>
          <w:rFonts w:eastAsiaTheme="majorEastAsia"/>
        </w:rPr>
        <w:t xml:space="preserve">the </w:t>
      </w:r>
      <w:r w:rsidRPr="002D291C">
        <w:rPr>
          <w:rFonts w:eastAsiaTheme="majorEastAsia"/>
        </w:rPr>
        <w:t>best effect.</w:t>
      </w:r>
    </w:p>
    <w:p w14:paraId="157535C3" w14:textId="77777777" w:rsidR="00471B77" w:rsidRDefault="00471B77" w:rsidP="00471B77">
      <w:pPr>
        <w:pStyle w:val="BodyText-nospacebelow"/>
        <w:rPr>
          <w:rFonts w:eastAsiaTheme="majorEastAsia"/>
        </w:rPr>
      </w:pPr>
    </w:p>
    <w:p w14:paraId="564F379B" w14:textId="717ACC26" w:rsidR="00471B77" w:rsidRDefault="00471B77" w:rsidP="00471B77">
      <w:pPr>
        <w:pStyle w:val="BodyText-nospacebelow"/>
        <w:rPr>
          <w:rFonts w:eastAsiaTheme="majorEastAsia"/>
        </w:rPr>
      </w:pPr>
      <w:r>
        <w:rPr>
          <w:rFonts w:eastAsiaTheme="majorEastAsia"/>
        </w:rPr>
        <w:lastRenderedPageBreak/>
        <w:t xml:space="preserve">In most cases, someone will respond to your letter within a few weeks. Read their response carefully and see if you think they might be able to help you </w:t>
      </w:r>
      <w:proofErr w:type="gramStart"/>
      <w:r>
        <w:rPr>
          <w:rFonts w:eastAsiaTheme="majorEastAsia"/>
        </w:rPr>
        <w:t>later on</w:t>
      </w:r>
      <w:proofErr w:type="gramEnd"/>
      <w:r>
        <w:rPr>
          <w:rFonts w:eastAsiaTheme="majorEastAsia"/>
        </w:rPr>
        <w:t xml:space="preserve"> in your campaign. There’s no harm in asking, especially if they’ve given you a positive response. </w:t>
      </w:r>
    </w:p>
    <w:p w14:paraId="73162514" w14:textId="0D7D9726" w:rsidR="00DA0FB6" w:rsidRPr="004F6F02" w:rsidRDefault="00471B77" w:rsidP="00DA0FB6">
      <w:pPr>
        <w:pStyle w:val="Heading3"/>
        <w:rPr>
          <w:rFonts w:eastAsiaTheme="minorHAnsi"/>
        </w:rPr>
      </w:pPr>
      <w:r w:rsidRPr="004F6F02">
        <w:rPr>
          <w:rFonts w:eastAsiaTheme="minorHAnsi"/>
        </w:rPr>
        <w:t>Using online media</w:t>
      </w:r>
    </w:p>
    <w:p w14:paraId="65C7EC46" w14:textId="77777777" w:rsidR="00471B77" w:rsidRDefault="00471B77" w:rsidP="00471B77">
      <w:pPr>
        <w:pStyle w:val="BodyText-nospacebelow"/>
        <w:rPr>
          <w:rFonts w:eastAsiaTheme="majorEastAsia"/>
        </w:rPr>
      </w:pPr>
      <w:r>
        <w:rPr>
          <w:rFonts w:eastAsiaTheme="majorEastAsia"/>
        </w:rPr>
        <w:t xml:space="preserve">Online media gives you the opportunity to share your message far and wide, which can be particularly useful if your cause affects a lot of people. You might start a social media channel or page, to share your messages and to engage in discussions about your cause. You could also start a written blog, video blog or even a podcast. If you’re lucky, your online campaign might even lead to people contacting you to ask for more information, including journalists and/or decision-makers. </w:t>
      </w:r>
    </w:p>
    <w:p w14:paraId="41C0216E" w14:textId="77777777" w:rsidR="00471B77" w:rsidRDefault="00471B77" w:rsidP="00471B77">
      <w:pPr>
        <w:pStyle w:val="BodyText-nospacebelow"/>
        <w:rPr>
          <w:rFonts w:eastAsiaTheme="majorEastAsia"/>
        </w:rPr>
      </w:pPr>
      <w:r>
        <w:rPr>
          <w:rFonts w:eastAsiaTheme="majorEastAsia"/>
        </w:rPr>
        <w:t xml:space="preserve">Sometimes the ability to share your message online has drawbacks, including that you are more likely to come across people who don’t support your cause and who might want to attack, ‘troll’ or argue with you. The </w:t>
      </w:r>
      <w:hyperlink r:id="rId12" w:history="1">
        <w:r w:rsidRPr="00D35FE4">
          <w:rPr>
            <w:rStyle w:val="Hyperlink"/>
            <w:rFonts w:eastAsiaTheme="majorEastAsia"/>
          </w:rPr>
          <w:t xml:space="preserve">Children’s </w:t>
        </w:r>
        <w:proofErr w:type="spellStart"/>
        <w:r w:rsidRPr="00D35FE4">
          <w:rPr>
            <w:rStyle w:val="Hyperlink"/>
            <w:rFonts w:eastAsiaTheme="majorEastAsia"/>
          </w:rPr>
          <w:t>eSafety</w:t>
        </w:r>
        <w:proofErr w:type="spellEnd"/>
        <w:r w:rsidRPr="00D35FE4">
          <w:rPr>
            <w:rStyle w:val="Hyperlink"/>
            <w:rFonts w:eastAsiaTheme="majorEastAsia"/>
          </w:rPr>
          <w:t xml:space="preserve"> Commissioner</w:t>
        </w:r>
      </w:hyperlink>
      <w:r>
        <w:rPr>
          <w:rFonts w:eastAsiaTheme="majorEastAsia"/>
        </w:rPr>
        <w:t xml:space="preserve"> has some tips for dealing with this and can help if things get out of hand. </w:t>
      </w:r>
    </w:p>
    <w:p w14:paraId="4B279923" w14:textId="35475CCD" w:rsidR="00DA0FB6" w:rsidRPr="004F6F02" w:rsidRDefault="00471B77" w:rsidP="00DA0FB6">
      <w:pPr>
        <w:pStyle w:val="Heading3"/>
        <w:rPr>
          <w:rFonts w:eastAsiaTheme="minorHAnsi"/>
        </w:rPr>
      </w:pPr>
      <w:r w:rsidRPr="004F6F02">
        <w:rPr>
          <w:rFonts w:eastAsiaTheme="minorHAnsi"/>
        </w:rPr>
        <w:t>Using traditional media</w:t>
      </w:r>
    </w:p>
    <w:p w14:paraId="5BB498DD" w14:textId="77777777" w:rsidR="00471B77" w:rsidRDefault="00471B77" w:rsidP="00471B77">
      <w:pPr>
        <w:pStyle w:val="BodyText-nospacebelow"/>
        <w:rPr>
          <w:rFonts w:eastAsiaTheme="majorEastAsia"/>
        </w:rPr>
      </w:pPr>
      <w:r>
        <w:rPr>
          <w:rFonts w:eastAsiaTheme="majorEastAsia"/>
        </w:rPr>
        <w:t>Another way to get your ideas out into the wider world is by having them p</w:t>
      </w:r>
      <w:r w:rsidRPr="002D291C">
        <w:rPr>
          <w:rFonts w:eastAsiaTheme="majorEastAsia"/>
        </w:rPr>
        <w:t>ublish</w:t>
      </w:r>
      <w:r>
        <w:rPr>
          <w:rFonts w:eastAsiaTheme="majorEastAsia"/>
        </w:rPr>
        <w:t xml:space="preserve">ed, probably in a newspaper or magazine. You might be able to have a ‘letter to the editor’ or even an article published. </w:t>
      </w:r>
      <w:r w:rsidRPr="002D291C">
        <w:rPr>
          <w:rFonts w:eastAsiaTheme="majorEastAsia"/>
        </w:rPr>
        <w:t xml:space="preserve"> </w:t>
      </w:r>
      <w:r>
        <w:rPr>
          <w:rFonts w:eastAsiaTheme="majorEastAsia"/>
        </w:rPr>
        <w:t xml:space="preserve">See what opportunities are available and take the time to read other people’s contributions to get a feel for what the publisher is looking for. If you’re really passionate, you could even publish your own newsletter or </w:t>
      </w:r>
      <w:proofErr w:type="gramStart"/>
      <w:r>
        <w:rPr>
          <w:rFonts w:eastAsiaTheme="majorEastAsia"/>
        </w:rPr>
        <w:t>mini-magazine</w:t>
      </w:r>
      <w:proofErr w:type="gramEnd"/>
      <w:r>
        <w:rPr>
          <w:rFonts w:eastAsiaTheme="majorEastAsia"/>
        </w:rPr>
        <w:t xml:space="preserve">. </w:t>
      </w:r>
    </w:p>
    <w:p w14:paraId="3A59482D" w14:textId="77777777" w:rsidR="00471B77" w:rsidRDefault="00471B77" w:rsidP="00471B77">
      <w:pPr>
        <w:pStyle w:val="BodyText-nospacebelow"/>
        <w:rPr>
          <w:rFonts w:eastAsiaTheme="majorEastAsia"/>
        </w:rPr>
      </w:pPr>
      <w:r>
        <w:rPr>
          <w:rFonts w:eastAsiaTheme="majorEastAsia"/>
        </w:rPr>
        <w:t xml:space="preserve">Local radio and even TV can also be used to promote your message. Have a think about what kind of story your local stations usually share, then work out how you can make your message fit. Then, get in touch and ask if you could do an interview or story on-air. </w:t>
      </w:r>
    </w:p>
    <w:p w14:paraId="181784F6" w14:textId="17D156F3" w:rsidR="00DA0FB6" w:rsidRPr="004F6F02" w:rsidRDefault="00471B77" w:rsidP="00DA0FB6">
      <w:pPr>
        <w:pStyle w:val="Heading3"/>
        <w:rPr>
          <w:rFonts w:eastAsiaTheme="minorHAnsi"/>
        </w:rPr>
      </w:pPr>
      <w:r w:rsidRPr="004F6F02">
        <w:rPr>
          <w:rFonts w:eastAsiaTheme="minorHAnsi"/>
        </w:rPr>
        <w:t>Start a petition</w:t>
      </w:r>
    </w:p>
    <w:p w14:paraId="5FC018FB" w14:textId="0EF6B06A" w:rsidR="00471B77" w:rsidRDefault="00471B77" w:rsidP="00471B77">
      <w:pPr>
        <w:pStyle w:val="BodyText-nospacebelow"/>
        <w:rPr>
          <w:rFonts w:eastAsiaTheme="majorEastAsia"/>
        </w:rPr>
      </w:pPr>
      <w:r>
        <w:rPr>
          <w:rFonts w:eastAsiaTheme="majorEastAsia"/>
        </w:rPr>
        <w:t>When your cause involves something that you think should change, creating</w:t>
      </w:r>
      <w:r w:rsidRPr="002D291C">
        <w:rPr>
          <w:rFonts w:eastAsiaTheme="majorEastAsia"/>
        </w:rPr>
        <w:t xml:space="preserve"> a petition</w:t>
      </w:r>
      <w:r>
        <w:rPr>
          <w:rFonts w:eastAsiaTheme="majorEastAsia"/>
        </w:rPr>
        <w:t xml:space="preserve"> is a good way to show that you’re not the only one who believes in it. For some decision-makers to take notice of your petition you need to follow their exact rules, for example the WA Parliament provides a set of rules on their </w:t>
      </w:r>
      <w:hyperlink r:id="rId13" w:history="1">
        <w:hyperlink r:id="rId14" w:history="1">
          <w:r w:rsidRPr="007517D4">
            <w:rPr>
              <w:rStyle w:val="Hyperlink"/>
              <w:rFonts w:eastAsiaTheme="majorEastAsia"/>
            </w:rPr>
            <w:t>website</w:t>
          </w:r>
        </w:hyperlink>
      </w:hyperlink>
      <w:r>
        <w:rPr>
          <w:rFonts w:eastAsiaTheme="majorEastAsia"/>
        </w:rPr>
        <w:t>.</w:t>
      </w:r>
      <w:r w:rsidRPr="002D291C">
        <w:rPr>
          <w:rFonts w:eastAsiaTheme="majorEastAsia"/>
        </w:rPr>
        <w:t xml:space="preserve"> </w:t>
      </w:r>
      <w:r>
        <w:rPr>
          <w:rFonts w:eastAsiaTheme="majorEastAsia"/>
        </w:rPr>
        <w:t xml:space="preserve">It can also be a good idea to talk to a decision maker (local Councillor, Member of Parliament) before you start the petition to get them to agree to accept it when it’s done. There are a few websites which allow you to conduct petitions online, when choosing which one to use make sure that the one you pick will allow you to meet </w:t>
      </w:r>
      <w:proofErr w:type="gramStart"/>
      <w:r>
        <w:rPr>
          <w:rFonts w:eastAsiaTheme="majorEastAsia"/>
        </w:rPr>
        <w:t>all of</w:t>
      </w:r>
      <w:proofErr w:type="gramEnd"/>
      <w:r>
        <w:rPr>
          <w:rFonts w:eastAsiaTheme="majorEastAsia"/>
        </w:rPr>
        <w:t xml:space="preserve"> the rules of the group you’re petitioning. </w:t>
      </w:r>
    </w:p>
    <w:p w14:paraId="678B5010" w14:textId="09BC77A5" w:rsidR="00471B77" w:rsidRDefault="00471B77" w:rsidP="00471B77">
      <w:pPr>
        <w:pStyle w:val="BodyText-nospacebelow"/>
        <w:rPr>
          <w:rFonts w:eastAsiaTheme="majorEastAsia"/>
        </w:rPr>
      </w:pPr>
      <w:r>
        <w:rPr>
          <w:rFonts w:eastAsiaTheme="majorEastAsia"/>
        </w:rPr>
        <w:t xml:space="preserve">When people sign a petition, they usually provide their name, address and contact details. You must keep these details safe and only use them for the purposes of your petition. </w:t>
      </w:r>
    </w:p>
    <w:p w14:paraId="5E3CEC45" w14:textId="77777777" w:rsidR="00471B77" w:rsidRPr="004F6F02" w:rsidRDefault="00471B77" w:rsidP="00471B77">
      <w:pPr>
        <w:pStyle w:val="Heading3"/>
        <w:rPr>
          <w:rFonts w:eastAsiaTheme="minorHAnsi"/>
        </w:rPr>
      </w:pPr>
      <w:r w:rsidRPr="004F6F02">
        <w:rPr>
          <w:rFonts w:eastAsiaTheme="minorHAnsi"/>
        </w:rPr>
        <w:lastRenderedPageBreak/>
        <w:t>Hold an event</w:t>
      </w:r>
    </w:p>
    <w:p w14:paraId="56DC9211" w14:textId="45D714F9" w:rsidR="00471B77" w:rsidRDefault="00471B77" w:rsidP="00471B77">
      <w:pPr>
        <w:pStyle w:val="BodyText-nospacebelow"/>
        <w:rPr>
          <w:rFonts w:eastAsiaTheme="minorHAnsi"/>
          <w:lang w:eastAsia="en-US"/>
        </w:rPr>
      </w:pPr>
      <w:r>
        <w:rPr>
          <w:rFonts w:eastAsiaTheme="minorHAnsi"/>
          <w:lang w:eastAsia="en-US"/>
        </w:rPr>
        <w:t xml:space="preserve">Putting on an event is a great way to bring people together in order to fundraise or raise awareness for your cause. There are lots of different kinds of events you might host, and you can be creative in how you get your message across. There are more tips relevant to hosting events in </w:t>
      </w:r>
      <w:r w:rsidR="004F6F02">
        <w:rPr>
          <w:rFonts w:eastAsiaTheme="minorHAnsi"/>
          <w:lang w:eastAsia="en-US"/>
        </w:rPr>
        <w:t>Resource</w:t>
      </w:r>
      <w:r>
        <w:rPr>
          <w:rFonts w:eastAsiaTheme="minorHAnsi"/>
          <w:lang w:eastAsia="en-US"/>
        </w:rPr>
        <w:t xml:space="preserve"> </w:t>
      </w:r>
      <w:r w:rsidR="004F6F02">
        <w:rPr>
          <w:rFonts w:eastAsiaTheme="minorHAnsi"/>
          <w:lang w:eastAsia="en-US"/>
        </w:rPr>
        <w:t>S</w:t>
      </w:r>
      <w:r>
        <w:rPr>
          <w:rFonts w:eastAsiaTheme="minorHAnsi"/>
          <w:lang w:eastAsia="en-US"/>
        </w:rPr>
        <w:t xml:space="preserve">heet </w:t>
      </w:r>
      <w:r w:rsidRPr="00BB1FAC">
        <w:rPr>
          <w:rFonts w:eastAsiaTheme="minorHAnsi"/>
          <w:lang w:eastAsia="en-US"/>
        </w:rPr>
        <w:t>7</w:t>
      </w:r>
      <w:r>
        <w:rPr>
          <w:rFonts w:eastAsiaTheme="minorHAnsi"/>
          <w:lang w:eastAsia="en-US"/>
        </w:rPr>
        <w:t>.</w:t>
      </w:r>
    </w:p>
    <w:p w14:paraId="1DBC4D3F" w14:textId="77777777" w:rsidR="00471B77" w:rsidRPr="004F6F02" w:rsidRDefault="00471B77" w:rsidP="00471B77">
      <w:pPr>
        <w:pStyle w:val="Heading3"/>
        <w:rPr>
          <w:rFonts w:eastAsiaTheme="minorHAnsi"/>
        </w:rPr>
      </w:pPr>
      <w:r w:rsidRPr="004F6F02">
        <w:rPr>
          <w:rFonts w:eastAsiaTheme="minorHAnsi"/>
        </w:rPr>
        <w:t>Example: Letter to the Editor</w:t>
      </w:r>
    </w:p>
    <w:p w14:paraId="5BEC3C9B" w14:textId="77777777" w:rsidR="00471B77" w:rsidRPr="00020ADE" w:rsidRDefault="00471B77" w:rsidP="00471B77">
      <w:pPr>
        <w:pStyle w:val="Quote"/>
        <w:rPr>
          <w:rFonts w:eastAsiaTheme="minorHAnsi"/>
          <w:i w:val="0"/>
          <w:iCs w:val="0"/>
        </w:rPr>
      </w:pPr>
      <w:r w:rsidRPr="00020ADE">
        <w:rPr>
          <w:rFonts w:eastAsiaTheme="minorHAnsi"/>
          <w:i w:val="0"/>
          <w:iCs w:val="0"/>
        </w:rPr>
        <w:t>“It is too easy for young people aged under 18 years to obtain alcohol through their older friends and parents. When young people drink, their behaviour changes and how they act is not acceptable. Binge drinking can lead to serious injury and is also extra ‘fuel’ for violence towards other people and property.</w:t>
      </w:r>
    </w:p>
    <w:p w14:paraId="10DDF488" w14:textId="77777777" w:rsidR="00471B77" w:rsidRPr="00020ADE" w:rsidRDefault="00471B77" w:rsidP="00471B77">
      <w:pPr>
        <w:pStyle w:val="Quote"/>
        <w:rPr>
          <w:rFonts w:eastAsiaTheme="minorHAnsi"/>
          <w:i w:val="0"/>
          <w:iCs w:val="0"/>
        </w:rPr>
      </w:pPr>
      <w:r w:rsidRPr="00020ADE">
        <w:rPr>
          <w:rFonts w:eastAsiaTheme="minorHAnsi"/>
          <w:i w:val="0"/>
          <w:iCs w:val="0"/>
        </w:rPr>
        <w:t xml:space="preserve">I’m a young person myself and I find this very concerning. Something needs to be done about this issue. We need more education in schools about the risks associated with consuming alcohol. Parents can help by talking to their teens about drinking </w:t>
      </w:r>
      <w:proofErr w:type="gramStart"/>
      <w:r w:rsidRPr="00020ADE">
        <w:rPr>
          <w:rFonts w:eastAsiaTheme="minorHAnsi"/>
          <w:i w:val="0"/>
          <w:iCs w:val="0"/>
        </w:rPr>
        <w:t>and also</w:t>
      </w:r>
      <w:proofErr w:type="gramEnd"/>
      <w:r w:rsidRPr="00020ADE">
        <w:rPr>
          <w:rFonts w:eastAsiaTheme="minorHAnsi"/>
          <w:i w:val="0"/>
          <w:iCs w:val="0"/>
        </w:rPr>
        <w:t xml:space="preserve"> by not providing them with alcohol.” – Gabrielle, aged 16</w:t>
      </w:r>
    </w:p>
    <w:p w14:paraId="2DFAC04D" w14:textId="77777777" w:rsidR="00471B77" w:rsidRPr="004F6F02" w:rsidRDefault="00471B77" w:rsidP="00471B77">
      <w:pPr>
        <w:pStyle w:val="Heading3"/>
        <w:rPr>
          <w:rFonts w:eastAsiaTheme="minorHAnsi"/>
        </w:rPr>
      </w:pPr>
      <w:r w:rsidRPr="004F6F02">
        <w:rPr>
          <w:rFonts w:eastAsiaTheme="minorHAnsi"/>
        </w:rPr>
        <w:t>More information</w:t>
      </w:r>
    </w:p>
    <w:p w14:paraId="07B01AF9" w14:textId="77777777" w:rsidR="00471B77" w:rsidRDefault="00471B77" w:rsidP="00471B77">
      <w:pPr>
        <w:pStyle w:val="BodyText-nospacebelow"/>
        <w:rPr>
          <w:rFonts w:eastAsiaTheme="minorHAnsi"/>
        </w:rPr>
      </w:pPr>
      <w:r>
        <w:rPr>
          <w:rFonts w:eastAsiaTheme="minorHAnsi"/>
        </w:rPr>
        <w:t xml:space="preserve">There are lots of resources with ideas on how to advocate for a cause. You might like to look at the </w:t>
      </w:r>
      <w:hyperlink r:id="rId15" w:history="1">
        <w:r w:rsidRPr="007517D4">
          <w:rPr>
            <w:rStyle w:val="Hyperlink"/>
            <w:rFonts w:eastAsiaTheme="minorHAnsi"/>
          </w:rPr>
          <w:t>Western Australian Council of Social Services Advocacy Toolkit</w:t>
        </w:r>
      </w:hyperlink>
      <w:r>
        <w:rPr>
          <w:rFonts w:eastAsiaTheme="minorHAnsi"/>
        </w:rPr>
        <w:t xml:space="preserve">, or the </w:t>
      </w:r>
      <w:hyperlink r:id="rId16" w:history="1">
        <w:r w:rsidRPr="00781599">
          <w:rPr>
            <w:rStyle w:val="Hyperlink"/>
            <w:rFonts w:eastAsiaTheme="minorHAnsi"/>
          </w:rPr>
          <w:t xml:space="preserve">Australian Youth Affairs Coalition’s Creating Change </w:t>
        </w:r>
        <w:r>
          <w:rPr>
            <w:rStyle w:val="Hyperlink"/>
            <w:rFonts w:eastAsiaTheme="minorHAnsi"/>
          </w:rPr>
          <w:t xml:space="preserve">Training </w:t>
        </w:r>
        <w:r w:rsidRPr="00781599">
          <w:rPr>
            <w:rStyle w:val="Hyperlink"/>
            <w:rFonts w:eastAsiaTheme="minorHAnsi"/>
          </w:rPr>
          <w:t>Toolkit</w:t>
        </w:r>
      </w:hyperlink>
      <w:r>
        <w:rPr>
          <w:rFonts w:eastAsiaTheme="minorHAnsi"/>
        </w:rPr>
        <w:t xml:space="preserve">. </w:t>
      </w:r>
    </w:p>
    <w:p w14:paraId="1B3D679A" w14:textId="77777777" w:rsidR="00471B77" w:rsidRDefault="00471B77" w:rsidP="00471B77">
      <w:pPr>
        <w:pStyle w:val="BodyText-nospacebelow"/>
        <w:rPr>
          <w:rFonts w:eastAsiaTheme="majorEastAsia"/>
        </w:rPr>
      </w:pPr>
    </w:p>
    <w:p w14:paraId="3DD275D4" w14:textId="510A0023" w:rsidR="00DA0FB6" w:rsidRDefault="00DA0FB6" w:rsidP="00DA0FB6">
      <w:pPr>
        <w:pStyle w:val="BodyText-nospacebelow"/>
        <w:rPr>
          <w:rFonts w:eastAsiaTheme="minorHAnsi"/>
        </w:rPr>
      </w:pPr>
    </w:p>
    <w:p w14:paraId="4DFF2074" w14:textId="77777777" w:rsidR="00DA0FB6" w:rsidRDefault="00DA0FB6" w:rsidP="00DA0FB6">
      <w:pPr>
        <w:pStyle w:val="BodyText-nospacebelow"/>
        <w:rPr>
          <w:rFonts w:eastAsiaTheme="minorHAnsi"/>
        </w:rPr>
      </w:pPr>
    </w:p>
    <w:p w14:paraId="4F8CE532" w14:textId="07B41E54" w:rsidR="00DA0FB6" w:rsidRDefault="00DA0FB6" w:rsidP="00DA0FB6">
      <w:pPr>
        <w:pStyle w:val="BodyText-nospacebelow"/>
        <w:rPr>
          <w:rFonts w:eastAsiaTheme="minorHAnsi"/>
        </w:rPr>
      </w:pPr>
    </w:p>
    <w:p w14:paraId="0698AA19" w14:textId="23FC274D" w:rsidR="000A5255" w:rsidRPr="00DA0FB6" w:rsidRDefault="000A5255" w:rsidP="00DA0FB6">
      <w:pPr>
        <w:pStyle w:val="BodyText-nospacebelow"/>
        <w:rPr>
          <w:rFonts w:eastAsiaTheme="minorHAnsi"/>
        </w:rPr>
      </w:pPr>
    </w:p>
    <w:sectPr w:rsidR="000A5255" w:rsidRPr="00DA0FB6"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2141A" w14:textId="77777777" w:rsidR="00D413D1" w:rsidRDefault="00D413D1" w:rsidP="00D41211">
      <w:r>
        <w:separator/>
      </w:r>
    </w:p>
  </w:endnote>
  <w:endnote w:type="continuationSeparator" w:id="0">
    <w:p w14:paraId="2E3740B6" w14:textId="77777777" w:rsidR="00D413D1" w:rsidRDefault="00D413D1"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90C6C" w14:textId="77777777" w:rsidR="00D413D1" w:rsidRDefault="00D413D1" w:rsidP="00D41211">
      <w:r>
        <w:separator/>
      </w:r>
    </w:p>
  </w:footnote>
  <w:footnote w:type="continuationSeparator" w:id="0">
    <w:p w14:paraId="68CC7497" w14:textId="77777777" w:rsidR="00D413D1" w:rsidRDefault="00D413D1"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3BE87FB0" w14:textId="22806EFF" w:rsidR="003F1F02" w:rsidRPr="00104B99" w:rsidRDefault="00471B77" w:rsidP="00104B99">
    <w:pPr>
      <w:pStyle w:val="Header"/>
    </w:pPr>
    <w:r>
      <w:t>Ideas for advocacy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0F6A3B"/>
    <w:multiLevelType w:val="hybridMultilevel"/>
    <w:tmpl w:val="2DEE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C339B"/>
    <w:multiLevelType w:val="hybridMultilevel"/>
    <w:tmpl w:val="FE767D0C"/>
    <w:lvl w:ilvl="0" w:tplc="0C090003">
      <w:start w:val="1"/>
      <w:numFmt w:val="bullet"/>
      <w:lvlText w:val="o"/>
      <w:lvlJc w:val="left"/>
      <w:pPr>
        <w:ind w:left="720" w:hanging="360"/>
      </w:pPr>
      <w:rPr>
        <w:rFonts w:ascii="Courier New" w:hAnsi="Courier New" w:cs="Courier New" w:hint="default"/>
      </w:rPr>
    </w:lvl>
    <w:lvl w:ilvl="1" w:tplc="2EC823A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30"/>
  </w:num>
  <w:num w:numId="5">
    <w:abstractNumId w:val="35"/>
  </w:num>
  <w:num w:numId="6">
    <w:abstractNumId w:val="11"/>
  </w:num>
  <w:num w:numId="7">
    <w:abstractNumId w:val="39"/>
  </w:num>
  <w:num w:numId="8">
    <w:abstractNumId w:val="28"/>
  </w:num>
  <w:num w:numId="9">
    <w:abstractNumId w:val="15"/>
  </w:num>
  <w:num w:numId="10">
    <w:abstractNumId w:val="22"/>
  </w:num>
  <w:num w:numId="11">
    <w:abstractNumId w:val="40"/>
  </w:num>
  <w:num w:numId="12">
    <w:abstractNumId w:val="16"/>
  </w:num>
  <w:num w:numId="13">
    <w:abstractNumId w:val="3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2"/>
  </w:num>
  <w:num w:numId="28">
    <w:abstractNumId w:val="29"/>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7"/>
  </w:num>
  <w:num w:numId="33">
    <w:abstractNumId w:val="41"/>
  </w:num>
  <w:num w:numId="34">
    <w:abstractNumId w:val="20"/>
  </w:num>
  <w:num w:numId="35">
    <w:abstractNumId w:val="38"/>
  </w:num>
  <w:num w:numId="36">
    <w:abstractNumId w:val="34"/>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6"/>
  </w:num>
  <w:num w:numId="42">
    <w:abstractNumId w:val="25"/>
  </w:num>
  <w:num w:numId="43">
    <w:abstractNumId w:val="26"/>
  </w:num>
  <w:num w:numId="44">
    <w:abstractNumId w:val="27"/>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0ADE"/>
    <w:rsid w:val="0002361C"/>
    <w:rsid w:val="00025F3F"/>
    <w:rsid w:val="000338B3"/>
    <w:rsid w:val="000342E2"/>
    <w:rsid w:val="00036BC0"/>
    <w:rsid w:val="00047DD6"/>
    <w:rsid w:val="00060292"/>
    <w:rsid w:val="00063172"/>
    <w:rsid w:val="00063F98"/>
    <w:rsid w:val="00066CCF"/>
    <w:rsid w:val="00075D15"/>
    <w:rsid w:val="00075F81"/>
    <w:rsid w:val="00083942"/>
    <w:rsid w:val="00095A4D"/>
    <w:rsid w:val="000A161D"/>
    <w:rsid w:val="000A5255"/>
    <w:rsid w:val="000B1741"/>
    <w:rsid w:val="000C45FC"/>
    <w:rsid w:val="000E6A91"/>
    <w:rsid w:val="000F60E1"/>
    <w:rsid w:val="0010445F"/>
    <w:rsid w:val="00104B99"/>
    <w:rsid w:val="00111D6C"/>
    <w:rsid w:val="00116BBF"/>
    <w:rsid w:val="001221FC"/>
    <w:rsid w:val="00123E91"/>
    <w:rsid w:val="00127199"/>
    <w:rsid w:val="00130FE2"/>
    <w:rsid w:val="0015261A"/>
    <w:rsid w:val="00152A0D"/>
    <w:rsid w:val="00167608"/>
    <w:rsid w:val="00167F21"/>
    <w:rsid w:val="00170CC9"/>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1F02"/>
    <w:rsid w:val="003F238D"/>
    <w:rsid w:val="003F3D65"/>
    <w:rsid w:val="00401D09"/>
    <w:rsid w:val="00407AEF"/>
    <w:rsid w:val="0041092E"/>
    <w:rsid w:val="00410A26"/>
    <w:rsid w:val="00445369"/>
    <w:rsid w:val="00451D26"/>
    <w:rsid w:val="0046177F"/>
    <w:rsid w:val="00463C84"/>
    <w:rsid w:val="00465381"/>
    <w:rsid w:val="00471B77"/>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4F6F02"/>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18E4"/>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37654"/>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41211"/>
    <w:rsid w:val="00D413D1"/>
    <w:rsid w:val="00D46335"/>
    <w:rsid w:val="00D54971"/>
    <w:rsid w:val="00D64FD2"/>
    <w:rsid w:val="00D65FB5"/>
    <w:rsid w:val="00D82E5F"/>
    <w:rsid w:val="00D84F90"/>
    <w:rsid w:val="00D94F0E"/>
    <w:rsid w:val="00DA0FB6"/>
    <w:rsid w:val="00DB6A14"/>
    <w:rsid w:val="00DC171A"/>
    <w:rsid w:val="00DD0DDB"/>
    <w:rsid w:val="00DD1E91"/>
    <w:rsid w:val="00DD715A"/>
    <w:rsid w:val="00DE0529"/>
    <w:rsid w:val="00DF272A"/>
    <w:rsid w:val="00DF3E9D"/>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170E"/>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EB170E"/>
    <w:pPr>
      <w:spacing w:after="200" w:line="312" w:lineRule="auto"/>
    </w:pPr>
    <w:rPr>
      <w:rFonts w:eastAsia="Times New Roman"/>
      <w:color w:val="060606"/>
      <w:sz w:val="30"/>
      <w:lang w:eastAsia="en-AU"/>
    </w:rPr>
  </w:style>
  <w:style w:type="paragraph" w:styleId="NormalWeb">
    <w:name w:val="Normal (Web)"/>
    <w:basedOn w:val="Normal"/>
    <w:uiPriority w:val="99"/>
    <w:unhideWhenUsed/>
    <w:rsid w:val="00EB170E"/>
    <w:pPr>
      <w:spacing w:after="200" w:line="312" w:lineRule="auto"/>
    </w:pPr>
    <w:rPr>
      <w:rFonts w:eastAsia="Times New Roman"/>
      <w:color w:val="060606"/>
      <w:lang w:eastAsia="en-AU"/>
    </w:rPr>
  </w:style>
  <w:style w:type="paragraph" w:customStyle="1" w:styleId="p1">
    <w:name w:val="p1"/>
    <w:basedOn w:val="Normal"/>
    <w:rsid w:val="003F1F02"/>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F1F02"/>
  </w:style>
  <w:style w:type="paragraph" w:styleId="Quote">
    <w:name w:val="Quote"/>
    <w:basedOn w:val="Normal"/>
    <w:next w:val="Normal"/>
    <w:link w:val="QuoteChar"/>
    <w:uiPriority w:val="29"/>
    <w:qFormat/>
    <w:rsid w:val="00471B77"/>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471B77"/>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iament.wa.gov.au/WebCMS/WebCMS.nsf/content/legislative-council-legislative-council-guide-to-peti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safety.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yac.org.au/projects/creating-change-toolki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acoss.org.au/wp-content/uploads/2018/10/Advocacy-Toolkit-digital-version.pdf" TargetMode="Externa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parliament.wa.gov.au/WebCMS/WebCMS.nsf/content/home-petition-my-local-memb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2.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3.xml><?xml version="1.0" encoding="utf-8"?>
<ds:datastoreItem xmlns:ds="http://schemas.openxmlformats.org/officeDocument/2006/customXml" ds:itemID="{1E09127A-EBFD-4DF6-8663-313A1146956B}"/>
</file>

<file path=customXml/itemProps4.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7BDD1-CF98-4AC2-B645-0123D9A5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5850</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5 - Ideas for advocacy</dc:title>
  <dc:subject/>
  <dc:creator/>
  <cp:keywords/>
  <dc:description/>
  <cp:lastModifiedBy/>
  <cp:revision>1</cp:revision>
  <dcterms:created xsi:type="dcterms:W3CDTF">2021-02-25T06:56:00Z</dcterms:created>
  <dcterms:modified xsi:type="dcterms:W3CDTF">2021-02-25T06:56:00Z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