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A02EF" w14:textId="4C9CF7A5" w:rsidR="0014314F" w:rsidRDefault="0014314F" w:rsidP="00404B32">
      <w:pPr>
        <w:pStyle w:val="Heading1"/>
      </w:pPr>
      <w:bookmarkStart w:id="0" w:name="_Toc80009888"/>
      <w:r>
        <w:t>H</w:t>
      </w:r>
      <w:bookmarkStart w:id="1" w:name="_GoBack"/>
      <w:bookmarkEnd w:id="1"/>
      <w:r>
        <w:t>ow to evaluate board performance</w:t>
      </w:r>
      <w:bookmarkEnd w:id="0"/>
    </w:p>
    <w:p w14:paraId="53FF6E8E" w14:textId="77777777" w:rsidR="0014314F" w:rsidRDefault="0014314F" w:rsidP="0000101E">
      <w:pPr>
        <w:spacing w:after="0"/>
      </w:pPr>
      <w:r>
        <w:t>Regular evaluation of a board’s performance is integral to effective corporate governance. This includes:</w:t>
      </w:r>
    </w:p>
    <w:p w14:paraId="09410E5D" w14:textId="1DA4E1F9" w:rsidR="0014314F" w:rsidRDefault="0014314F" w:rsidP="0000101E">
      <w:pPr>
        <w:pStyle w:val="Bullet"/>
        <w:spacing w:after="0"/>
        <w:ind w:left="426" w:hanging="426"/>
      </w:pPr>
      <w:r>
        <w:t>performance of the board and board committees</w:t>
      </w:r>
    </w:p>
    <w:p w14:paraId="1FD0B1EC" w14:textId="0A7599F0" w:rsidR="0014314F" w:rsidRDefault="0014314F" w:rsidP="0000101E">
      <w:pPr>
        <w:pStyle w:val="Bullet"/>
        <w:spacing w:after="0"/>
        <w:ind w:left="426" w:hanging="426"/>
      </w:pPr>
      <w:r>
        <w:t xml:space="preserve">workload of the board and required positions </w:t>
      </w:r>
    </w:p>
    <w:p w14:paraId="24465DB0" w14:textId="5438A54A" w:rsidR="0014314F" w:rsidRDefault="0014314F" w:rsidP="0000101E">
      <w:pPr>
        <w:pStyle w:val="Bullet"/>
        <w:ind w:left="426" w:hanging="426"/>
      </w:pPr>
      <w:r>
        <w:t>contribution of individual members against predetermined criteria.</w:t>
      </w:r>
    </w:p>
    <w:p w14:paraId="3A84F032" w14:textId="77777777" w:rsidR="0014314F" w:rsidRDefault="0014314F" w:rsidP="0000101E">
      <w:pPr>
        <w:spacing w:after="240"/>
      </w:pPr>
      <w:r>
        <w:t>A well-designed board evaluation has numerous benefits for the board as a whole, individual members and the public sector agency overseen by the board. It assists the board to determine the extent to which it is delivering on its purpose and the minister’s statement of expectations. The chair has a vital role in ensuring the evaluation process is fit for purpose and dealing with matters raised during the process.</w:t>
      </w:r>
    </w:p>
    <w:p w14:paraId="18FF7E0A" w14:textId="77777777" w:rsidR="0014314F" w:rsidRDefault="0014314F" w:rsidP="0014314F">
      <w:pPr>
        <w:pStyle w:val="Heading30"/>
      </w:pPr>
      <w:r>
        <w:t>Objective</w:t>
      </w:r>
    </w:p>
    <w:p w14:paraId="1C93113D" w14:textId="77777777" w:rsidR="0014314F" w:rsidRDefault="0014314F" w:rsidP="0000101E">
      <w:pPr>
        <w:spacing w:after="0"/>
      </w:pPr>
      <w:r>
        <w:t>A board evaluation process includes all aspects of governance and is designed to:</w:t>
      </w:r>
    </w:p>
    <w:p w14:paraId="51090F33" w14:textId="5C0ADAF5" w:rsidR="0014314F" w:rsidRDefault="0014314F" w:rsidP="0000101E">
      <w:pPr>
        <w:pStyle w:val="Bullet"/>
        <w:spacing w:after="0"/>
        <w:ind w:left="426" w:hanging="426"/>
      </w:pPr>
      <w:r>
        <w:t>solicit honest, genuine and constructive feedback</w:t>
      </w:r>
    </w:p>
    <w:p w14:paraId="639900A6" w14:textId="6288C1A4" w:rsidR="0014314F" w:rsidRDefault="0014314F" w:rsidP="0000101E">
      <w:pPr>
        <w:pStyle w:val="Bullet"/>
        <w:spacing w:after="0"/>
        <w:ind w:left="426" w:hanging="426"/>
      </w:pPr>
      <w:r>
        <w:t>identify and address opportunities for improving the performance of the board</w:t>
      </w:r>
    </w:p>
    <w:p w14:paraId="7FBADA6F" w14:textId="1DC0D06A" w:rsidR="0014314F" w:rsidRDefault="0014314F" w:rsidP="0000101E">
      <w:pPr>
        <w:pStyle w:val="Bullet"/>
        <w:spacing w:after="0"/>
        <w:ind w:left="426" w:hanging="426"/>
      </w:pPr>
      <w:r>
        <w:t>prepare manageable recommendations with a process for implementation</w:t>
      </w:r>
    </w:p>
    <w:p w14:paraId="3E5AD760" w14:textId="323EDE0D" w:rsidR="0014314F" w:rsidRDefault="0014314F" w:rsidP="0000101E">
      <w:pPr>
        <w:pStyle w:val="Bullet"/>
        <w:spacing w:after="240"/>
        <w:ind w:left="426" w:hanging="426"/>
      </w:pPr>
      <w:r>
        <w:t>enhance the performance of the board.</w:t>
      </w:r>
    </w:p>
    <w:p w14:paraId="3E054BE0" w14:textId="77777777" w:rsidR="0014314F" w:rsidRDefault="0014314F" w:rsidP="0014314F">
      <w:pPr>
        <w:pStyle w:val="Heading30"/>
      </w:pPr>
      <w:r>
        <w:t>Evaluation process</w:t>
      </w:r>
    </w:p>
    <w:p w14:paraId="6C3CAD95" w14:textId="77777777" w:rsidR="0014314F" w:rsidRDefault="0014314F" w:rsidP="0000101E">
      <w:pPr>
        <w:spacing w:after="0"/>
      </w:pPr>
      <w:r>
        <w:t>An effective evaluation process relies on the support and commitment of all board members so the board agrees on:</w:t>
      </w:r>
    </w:p>
    <w:p w14:paraId="6EDC2BD5" w14:textId="3B153FD4" w:rsidR="0014314F" w:rsidRDefault="0014314F" w:rsidP="0000101E">
      <w:pPr>
        <w:pStyle w:val="Bullet"/>
        <w:spacing w:after="0"/>
        <w:ind w:left="426" w:hanging="426"/>
      </w:pPr>
      <w:r>
        <w:t>purpose and objective of the evaluation</w:t>
      </w:r>
    </w:p>
    <w:p w14:paraId="0F8A6A37" w14:textId="4C186E3E" w:rsidR="0014314F" w:rsidRDefault="0014314F" w:rsidP="0000101E">
      <w:pPr>
        <w:pStyle w:val="Bullet"/>
        <w:spacing w:after="0"/>
        <w:ind w:left="426" w:hanging="426"/>
      </w:pPr>
      <w:r>
        <w:t>who and what is to be evaluated</w:t>
      </w:r>
    </w:p>
    <w:p w14:paraId="4C197FBE" w14:textId="77C4534D" w:rsidR="0014314F" w:rsidRDefault="0014314F" w:rsidP="0000101E">
      <w:pPr>
        <w:pStyle w:val="Bullet"/>
        <w:spacing w:after="0"/>
        <w:ind w:left="426" w:hanging="426"/>
      </w:pPr>
      <w:r>
        <w:t>process for undertaking the evaluation</w:t>
      </w:r>
    </w:p>
    <w:p w14:paraId="09468BF8" w14:textId="4C73DC0F" w:rsidR="0014314F" w:rsidRDefault="0014314F" w:rsidP="0000101E">
      <w:pPr>
        <w:pStyle w:val="Bullet"/>
        <w:spacing w:after="0"/>
        <w:ind w:left="426" w:hanging="426"/>
      </w:pPr>
      <w:r>
        <w:t>who is to be asked to provide input</w:t>
      </w:r>
    </w:p>
    <w:p w14:paraId="72746ACE" w14:textId="1412080F" w:rsidR="0014314F" w:rsidRDefault="0014314F" w:rsidP="0000101E">
      <w:pPr>
        <w:pStyle w:val="Bullet"/>
        <w:spacing w:after="0"/>
        <w:ind w:left="426" w:hanging="426"/>
      </w:pPr>
      <w:r>
        <w:t>method to be used</w:t>
      </w:r>
    </w:p>
    <w:p w14:paraId="77324623" w14:textId="1B112BE2" w:rsidR="0014314F" w:rsidRDefault="0014314F" w:rsidP="0000101E">
      <w:pPr>
        <w:pStyle w:val="Bullet"/>
        <w:spacing w:after="120"/>
        <w:ind w:left="426" w:hanging="426"/>
      </w:pPr>
      <w:r>
        <w:t>frequency of ongoing evaluations.</w:t>
      </w:r>
    </w:p>
    <w:p w14:paraId="5EB99CBB" w14:textId="77777777" w:rsidR="0014314F" w:rsidRDefault="0014314F" w:rsidP="0000101E">
      <w:pPr>
        <w:spacing w:after="240"/>
      </w:pPr>
      <w:r>
        <w:t>Identify the scope for evaluation and preferred method, taking into consideration the stage of development of the public sector agency, tenure of board members and time since the previous evaluation.</w:t>
      </w:r>
    </w:p>
    <w:p w14:paraId="11BEA10E" w14:textId="77777777" w:rsidR="0014314F" w:rsidRDefault="0014314F" w:rsidP="0014314F">
      <w:pPr>
        <w:pStyle w:val="Heading30"/>
      </w:pPr>
      <w:r>
        <w:t>Methods</w:t>
      </w:r>
    </w:p>
    <w:p w14:paraId="593557DF" w14:textId="77777777" w:rsidR="0014314F" w:rsidRDefault="0014314F" w:rsidP="0000101E">
      <w:r>
        <w:t xml:space="preserve">Board evaluations can be internal or external. It is important that trust is established in </w:t>
      </w:r>
      <w:proofErr w:type="gramStart"/>
      <w:r>
        <w:t>the</w:t>
      </w:r>
      <w:proofErr w:type="gramEnd"/>
      <w:r>
        <w:t xml:space="preserve"> credibility and confidentiality of the evaluation process, encouraging candid input by, and feedback from, members. This make it more likely that the board takes account of the results.</w:t>
      </w:r>
    </w:p>
    <w:p w14:paraId="6E78F248" w14:textId="77777777" w:rsidR="0014314F" w:rsidRDefault="0014314F" w:rsidP="0000101E">
      <w:pPr>
        <w:pStyle w:val="Heading4"/>
        <w:spacing w:after="60"/>
      </w:pPr>
      <w:r>
        <w:t>Internal evaluation</w:t>
      </w:r>
    </w:p>
    <w:p w14:paraId="0D500225" w14:textId="76137C49" w:rsidR="0000101E" w:rsidRDefault="0014314F" w:rsidP="0000101E">
      <w:r>
        <w:t>In internal evaluations, the board manages the evaluation process and its content. Internal evaluations are typically coordinated by the chair, governance or nomination committee, or executive officer. They are generally undertaken through a standard questionnair</w:t>
      </w:r>
      <w:r w:rsidR="0000101E">
        <w:t>e and/or one-on-one interviews.</w:t>
      </w:r>
    </w:p>
    <w:p w14:paraId="6493F48E" w14:textId="77777777" w:rsidR="0000101E" w:rsidRDefault="0000101E">
      <w:pPr>
        <w:spacing w:after="160"/>
      </w:pPr>
      <w:r>
        <w:br w:type="page"/>
      </w:r>
    </w:p>
    <w:p w14:paraId="516EFCBD" w14:textId="77777777" w:rsidR="0014314F" w:rsidRDefault="0014314F" w:rsidP="0000101E">
      <w:pPr>
        <w:spacing w:after="0"/>
      </w:pPr>
      <w:r>
        <w:lastRenderedPageBreak/>
        <w:t>An internal evaluation of the board is:</w:t>
      </w:r>
    </w:p>
    <w:p w14:paraId="29E2BA73" w14:textId="765E010A" w:rsidR="0014314F" w:rsidRDefault="0014314F" w:rsidP="0000101E">
      <w:pPr>
        <w:pStyle w:val="Bullet"/>
        <w:spacing w:after="0"/>
        <w:ind w:left="426" w:hanging="426"/>
      </w:pPr>
      <w:r>
        <w:t xml:space="preserve">positive – determining strengths of the board </w:t>
      </w:r>
    </w:p>
    <w:p w14:paraId="7A1794CE" w14:textId="51E16337" w:rsidR="0014314F" w:rsidRDefault="0014314F" w:rsidP="0000101E">
      <w:pPr>
        <w:pStyle w:val="Bullet"/>
        <w:spacing w:after="0"/>
        <w:ind w:left="426" w:hanging="426"/>
      </w:pPr>
      <w:r>
        <w:t>constructive – identifying specific changes to be made.</w:t>
      </w:r>
    </w:p>
    <w:p w14:paraId="75B4AA87" w14:textId="766F6A72" w:rsidR="0014314F" w:rsidRDefault="0014314F" w:rsidP="0000101E">
      <w:pPr>
        <w:pStyle w:val="Bullet"/>
        <w:spacing w:after="120"/>
        <w:ind w:left="426" w:hanging="426"/>
      </w:pPr>
      <w:r>
        <w:t>educational – identifying learning needs and making plans to acquire the required learning.</w:t>
      </w:r>
    </w:p>
    <w:p w14:paraId="2EFEFB73" w14:textId="77777777" w:rsidR="0014314F" w:rsidRDefault="0014314F" w:rsidP="0000101E">
      <w:r>
        <w:t>Self-assessment: Self-assessment allows board members to step back from everyday business and address larger and more fundamental matters. The board reflects on how well it is meeting its responsibilities and focuses on integral aspects of its work. A standard questionnaire supports self-assessment and covers roles and responsibilities, group dynamics, board processes and procedures, and member behaviour.</w:t>
      </w:r>
    </w:p>
    <w:p w14:paraId="07012EBE" w14:textId="77777777" w:rsidR="0014314F" w:rsidRDefault="0014314F" w:rsidP="0000101E">
      <w:r>
        <w:t>Peer assessment: A confidential questionnaire can give members the opportunity to comment on strengths and weaknesses of peers. Comments can be compared to responses of individual members in the self-assessment. Any peer assessment that examines the contribution of individual board members requires a sensitive approach with ‘buy-in’ from all involved.</w:t>
      </w:r>
    </w:p>
    <w:p w14:paraId="536AD8D5" w14:textId="77777777" w:rsidR="0014314F" w:rsidRDefault="0014314F" w:rsidP="0000101E">
      <w:r>
        <w:t>A board-managed process may also move beyond strict self-assessment by seeking input from stakeholders.</w:t>
      </w:r>
    </w:p>
    <w:p w14:paraId="450D4ADB" w14:textId="77777777" w:rsidR="0014314F" w:rsidRDefault="0014314F" w:rsidP="0000101E">
      <w:pPr>
        <w:pStyle w:val="Heading4"/>
        <w:spacing w:after="60"/>
      </w:pPr>
      <w:r>
        <w:t>Informal confidential discussions</w:t>
      </w:r>
    </w:p>
    <w:p w14:paraId="29FD877B" w14:textId="77777777" w:rsidR="0014314F" w:rsidRDefault="0014314F" w:rsidP="0000101E">
      <w:r>
        <w:t xml:space="preserve">A board may choose to conduct informal confidential discussions based on specific ‘fit for purpose’ questions at the end of a board meeting. This type of evaluation is facilitated by the chair or nominee such as the deputy chair, a chair of a board committee or the executive officer.  </w:t>
      </w:r>
    </w:p>
    <w:p w14:paraId="7E433DF1" w14:textId="77777777" w:rsidR="0014314F" w:rsidRDefault="0014314F" w:rsidP="0000101E">
      <w:pPr>
        <w:pStyle w:val="Heading4"/>
        <w:spacing w:after="60"/>
      </w:pPr>
      <w:r>
        <w:t>External evaluation</w:t>
      </w:r>
    </w:p>
    <w:p w14:paraId="74AC3298" w14:textId="77777777" w:rsidR="0014314F" w:rsidRDefault="0014314F" w:rsidP="0000101E">
      <w:pPr>
        <w:spacing w:after="240"/>
      </w:pPr>
      <w:r>
        <w:t xml:space="preserve">External evaluations are carried out by a third party using observation, a standard questionnaire and/or one-on-one interviews. They can include input from stakeholders. The third party is retained by, and reports to, the board. External evaluations have the advantage of impartial appraisal and providing an unbiased report on findings. </w:t>
      </w:r>
    </w:p>
    <w:p w14:paraId="0D1DEEBA" w14:textId="77777777" w:rsidR="0014314F" w:rsidRDefault="0014314F" w:rsidP="0000101E">
      <w:pPr>
        <w:pStyle w:val="Heading30"/>
      </w:pPr>
      <w:r>
        <w:t>Action plan</w:t>
      </w:r>
    </w:p>
    <w:p w14:paraId="505C12A3" w14:textId="77777777" w:rsidR="0014314F" w:rsidRDefault="0014314F" w:rsidP="0000101E">
      <w:r>
        <w:t xml:space="preserve">One of the most important and valuable stages of an evaluation, no matter which method is used, is the presentation of results to the board. This is followed by an open and frank discussion about the results and determination of areas of focus for the board to strengthen its effectiveness. </w:t>
      </w:r>
    </w:p>
    <w:p w14:paraId="298AED87" w14:textId="70CF5E44" w:rsidR="003B30A6" w:rsidRDefault="0014314F" w:rsidP="00404B32">
      <w:r>
        <w:t>Any board evaluation is about improving board performance, with a plan on what to focus on and implement.</w:t>
      </w:r>
    </w:p>
    <w:sectPr w:rsidR="003B30A6" w:rsidSect="00404B32">
      <w:headerReference w:type="default" r:id="rId11"/>
      <w:footerReference w:type="default" r:id="rId12"/>
      <w:headerReference w:type="first" r:id="rId13"/>
      <w:footerReference w:type="first" r:id="rId14"/>
      <w:type w:val="continuous"/>
      <w:pgSz w:w="11906" w:h="16838"/>
      <w:pgMar w:top="1440" w:right="1440" w:bottom="1440" w:left="1440"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4E4D8B" w14:textId="77777777" w:rsidR="00645EB1" w:rsidRDefault="00645EB1" w:rsidP="005B19D2">
      <w:pPr>
        <w:spacing w:after="0" w:line="240" w:lineRule="auto"/>
      </w:pPr>
      <w:r>
        <w:separator/>
      </w:r>
    </w:p>
  </w:endnote>
  <w:endnote w:type="continuationSeparator" w:id="0">
    <w:p w14:paraId="362AB1B5" w14:textId="77777777" w:rsidR="00645EB1" w:rsidRDefault="00645EB1" w:rsidP="005B1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Gellix">
    <w:altName w:val="Courier New"/>
    <w:panose1 w:val="000005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DE3B1" w14:textId="02560D83" w:rsidR="00C96684" w:rsidRPr="00CC67DD" w:rsidRDefault="00404B32" w:rsidP="00CC67DD">
    <w:pPr>
      <w:pStyle w:val="Footer"/>
      <w:jc w:val="right"/>
      <w:rPr>
        <w:rFonts w:asciiTheme="minorHAnsi" w:hAnsiTheme="minorHAnsi"/>
        <w:sz w:val="22"/>
      </w:rPr>
    </w:pPr>
    <w:r w:rsidRPr="00404B32">
      <w:rPr>
        <w:rFonts w:ascii="Gellix" w:hAnsi="Gellix"/>
        <w:color w:val="3D475A"/>
        <w:sz w:val="18"/>
        <w:szCs w:val="18"/>
      </w:rPr>
      <w:t>How to evaluate board performance</w:t>
    </w:r>
    <w:r w:rsidR="00C96684">
      <w:rPr>
        <w:noProof/>
      </w:rPr>
      <w:tab/>
    </w:r>
    <w:r w:rsidR="00C96684">
      <w:rPr>
        <w:noProof/>
      </w:rPr>
      <w:tab/>
    </w:r>
    <w:sdt>
      <w:sdtPr>
        <w:id w:val="578402400"/>
        <w:docPartObj>
          <w:docPartGallery w:val="Page Numbers (Bottom of Page)"/>
          <w:docPartUnique/>
        </w:docPartObj>
      </w:sdtPr>
      <w:sdtEndPr/>
      <w:sdtContent>
        <w:r w:rsidR="00C96684">
          <w:rPr>
            <w:rFonts w:ascii="Gellix" w:hAnsi="Gellix"/>
            <w:color w:val="3D475A"/>
            <w:sz w:val="18"/>
            <w:szCs w:val="18"/>
          </w:rPr>
          <w:t xml:space="preserve">Page </w:t>
        </w:r>
        <w:r w:rsidR="00C96684">
          <w:rPr>
            <w:rFonts w:ascii="Gellix" w:hAnsi="Gellix"/>
            <w:color w:val="3D475A"/>
            <w:sz w:val="18"/>
            <w:szCs w:val="18"/>
          </w:rPr>
          <w:fldChar w:fldCharType="begin"/>
        </w:r>
        <w:r w:rsidR="00C96684">
          <w:rPr>
            <w:rFonts w:ascii="Gellix" w:hAnsi="Gellix"/>
            <w:color w:val="3D475A"/>
            <w:sz w:val="18"/>
            <w:szCs w:val="18"/>
          </w:rPr>
          <w:instrText xml:space="preserve"> PAGE   \* MERGEFORMAT </w:instrText>
        </w:r>
        <w:r w:rsidR="00C96684">
          <w:rPr>
            <w:rFonts w:ascii="Gellix" w:hAnsi="Gellix"/>
            <w:color w:val="3D475A"/>
            <w:sz w:val="18"/>
            <w:szCs w:val="18"/>
          </w:rPr>
          <w:fldChar w:fldCharType="separate"/>
        </w:r>
        <w:r w:rsidR="00D4791A">
          <w:rPr>
            <w:rFonts w:ascii="Gellix" w:hAnsi="Gellix"/>
            <w:noProof/>
            <w:color w:val="3D475A"/>
            <w:sz w:val="18"/>
            <w:szCs w:val="18"/>
          </w:rPr>
          <w:t>2</w:t>
        </w:r>
        <w:r w:rsidR="00C96684">
          <w:rPr>
            <w:rFonts w:ascii="Gellix" w:hAnsi="Gellix"/>
            <w:noProof/>
            <w:color w:val="3D475A"/>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1B823" w14:textId="420004E4" w:rsidR="00C96684" w:rsidRPr="00BB4759" w:rsidRDefault="00C96684" w:rsidP="007853E9">
    <w:pPr>
      <w:pStyle w:val="Footer"/>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4E2B1" w14:textId="77777777" w:rsidR="00645EB1" w:rsidRDefault="00645EB1" w:rsidP="005B19D2">
      <w:pPr>
        <w:spacing w:after="0" w:line="240" w:lineRule="auto"/>
      </w:pPr>
      <w:r>
        <w:separator/>
      </w:r>
    </w:p>
  </w:footnote>
  <w:footnote w:type="continuationSeparator" w:id="0">
    <w:p w14:paraId="1B169C99" w14:textId="77777777" w:rsidR="00645EB1" w:rsidRDefault="00645EB1" w:rsidP="005B1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ED602" w14:textId="45036B7B" w:rsidR="00D4791A" w:rsidRDefault="00D4791A">
    <w:pPr>
      <w:pStyle w:val="Header"/>
    </w:pPr>
    <w:r>
      <w:rPr>
        <w:noProof/>
        <w:lang w:eastAsia="en-AU"/>
      </w:rPr>
      <w:drawing>
        <wp:anchor distT="0" distB="0" distL="114300" distR="114300" simplePos="0" relativeHeight="251659264" behindDoc="1" locked="0" layoutInCell="1" allowOverlap="1" wp14:anchorId="2F3F2AE5" wp14:editId="606EDBCE">
          <wp:simplePos x="0" y="0"/>
          <wp:positionH relativeFrom="page">
            <wp:align>left</wp:align>
          </wp:positionH>
          <wp:positionV relativeFrom="paragraph">
            <wp:posOffset>-448310</wp:posOffset>
          </wp:positionV>
          <wp:extent cx="7678420" cy="938530"/>
          <wp:effectExtent l="0" t="0" r="0" b="0"/>
          <wp:wrapNone/>
          <wp:docPr id="1" name="Pictur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quot;"/>
                  <pic:cNvPicPr>
                    <a:picLocks noChangeAspect="1" noChangeArrowheads="1"/>
                  </pic:cNvPicPr>
                </pic:nvPicPr>
                <pic:blipFill>
                  <a:blip r:embed="rId1">
                    <a:extLst>
                      <a:ext uri="{28A0092B-C50C-407E-A947-70E740481C1C}">
                        <a14:useLocalDpi xmlns:a14="http://schemas.microsoft.com/office/drawing/2010/main" val="0"/>
                      </a:ext>
                    </a:extLst>
                  </a:blip>
                  <a:srcRect b="91289"/>
                  <a:stretch>
                    <a:fillRect/>
                  </a:stretch>
                </pic:blipFill>
                <pic:spPr bwMode="auto">
                  <a:xfrm>
                    <a:off x="0" y="0"/>
                    <a:ext cx="7678420" cy="9385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D806D" w14:textId="412B0EF6" w:rsidR="00C96684" w:rsidRDefault="00C96684">
    <w:pPr>
      <w:pStyle w:val="Header"/>
      <w:rPr>
        <w:rFonts w:ascii="Century Gothic" w:hAnsi="Century Gothic"/>
        <w:color w:val="FFFFFF" w:themeColor="background1"/>
      </w:rPr>
    </w:pPr>
  </w:p>
  <w:p w14:paraId="2F881D56" w14:textId="6977DB33" w:rsidR="00C96684" w:rsidRDefault="00C96684">
    <w:pPr>
      <w:pStyle w:val="Header"/>
      <w:rPr>
        <w:rFonts w:ascii="Century Gothic" w:hAnsi="Century Gothic"/>
        <w:color w:val="FFFFFF" w:themeColor="background1"/>
      </w:rPr>
    </w:pPr>
  </w:p>
  <w:p w14:paraId="03B48D3F" w14:textId="77777777" w:rsidR="00C96684" w:rsidRDefault="00C96684">
    <w:pPr>
      <w:pStyle w:val="Header"/>
      <w:rPr>
        <w:rFonts w:ascii="Century Gothic" w:hAnsi="Century Gothic"/>
        <w:color w:val="FFFFFF" w:themeColor="background1"/>
      </w:rPr>
    </w:pPr>
  </w:p>
  <w:p w14:paraId="34B226B7" w14:textId="77777777" w:rsidR="00C96684" w:rsidRDefault="00C96684">
    <w:pPr>
      <w:pStyle w:val="Header"/>
      <w:rPr>
        <w:rFonts w:ascii="Century Gothic" w:hAnsi="Century Gothic"/>
        <w:color w:val="FFFFFF" w:themeColor="background1"/>
      </w:rPr>
    </w:pPr>
  </w:p>
  <w:p w14:paraId="4358D7FF" w14:textId="77777777" w:rsidR="00C96684" w:rsidRDefault="00C96684">
    <w:pPr>
      <w:pStyle w:val="Header"/>
      <w:rPr>
        <w:rFonts w:ascii="Century Gothic" w:hAnsi="Century Gothic"/>
        <w:color w:val="FFFFFF" w:themeColor="background1"/>
      </w:rPr>
    </w:pPr>
  </w:p>
  <w:p w14:paraId="7DAE85E7" w14:textId="77777777" w:rsidR="00C96684" w:rsidRDefault="00C96684">
    <w:pPr>
      <w:pStyle w:val="Header"/>
      <w:rPr>
        <w:rFonts w:ascii="Century Gothic" w:hAnsi="Century Gothic"/>
        <w:color w:val="FFFFFF" w:themeColor="background1"/>
      </w:rPr>
    </w:pPr>
  </w:p>
  <w:p w14:paraId="632C70EB" w14:textId="77777777" w:rsidR="00C96684" w:rsidRDefault="00C96684">
    <w:pPr>
      <w:pStyle w:val="Header"/>
      <w:rPr>
        <w:rFonts w:ascii="Century Gothic" w:hAnsi="Century Gothic"/>
        <w:color w:val="FFFFFF" w:themeColor="background1"/>
      </w:rPr>
    </w:pPr>
  </w:p>
  <w:p w14:paraId="303860DC" w14:textId="77777777" w:rsidR="00C96684" w:rsidRDefault="00C96684">
    <w:pPr>
      <w:pStyle w:val="Header"/>
      <w:rPr>
        <w:rFonts w:ascii="Century Gothic" w:hAnsi="Century Gothic"/>
        <w:color w:val="FFFFFF" w:themeColor="background1"/>
      </w:rPr>
    </w:pPr>
  </w:p>
  <w:p w14:paraId="68925077" w14:textId="77777777" w:rsidR="00C96684" w:rsidRDefault="00C96684">
    <w:pPr>
      <w:pStyle w:val="Header"/>
      <w:rPr>
        <w:rFonts w:ascii="Century Gothic" w:hAnsi="Century Gothic"/>
        <w:color w:val="FFFFFF" w:themeColor="background1"/>
      </w:rPr>
    </w:pPr>
  </w:p>
  <w:p w14:paraId="791CF24E" w14:textId="77777777" w:rsidR="00C96684" w:rsidRDefault="00C96684">
    <w:pPr>
      <w:pStyle w:val="Header"/>
      <w:rPr>
        <w:rFonts w:ascii="Century Gothic" w:hAnsi="Century Gothic"/>
        <w:color w:val="FFFFFF" w:themeColor="background1"/>
      </w:rPr>
    </w:pPr>
  </w:p>
  <w:p w14:paraId="1692CC76" w14:textId="77777777" w:rsidR="00C96684" w:rsidRDefault="00C96684">
    <w:pPr>
      <w:pStyle w:val="Header"/>
      <w:rPr>
        <w:rFonts w:ascii="Century Gothic" w:hAnsi="Century Gothic"/>
        <w:color w:val="FFFFFF" w:themeColor="background1"/>
      </w:rPr>
    </w:pPr>
  </w:p>
  <w:p w14:paraId="4E6D3465" w14:textId="77777777" w:rsidR="00C96684" w:rsidRDefault="00C96684">
    <w:pPr>
      <w:pStyle w:val="Header"/>
      <w:rPr>
        <w:rFonts w:ascii="Century Gothic" w:hAnsi="Century Gothic"/>
        <w:color w:val="FFFFFF" w:themeColor="background1"/>
      </w:rPr>
    </w:pPr>
  </w:p>
  <w:p w14:paraId="5A518829" w14:textId="77777777" w:rsidR="00C96684" w:rsidRDefault="00C96684">
    <w:pPr>
      <w:pStyle w:val="Header"/>
      <w:rPr>
        <w:rFonts w:ascii="Century Gothic" w:hAnsi="Century Gothic"/>
        <w:color w:val="FFFFFF" w:themeColor="background1"/>
      </w:rPr>
    </w:pPr>
  </w:p>
  <w:p w14:paraId="067DC8CB" w14:textId="77777777" w:rsidR="00C96684" w:rsidRDefault="00C96684">
    <w:pPr>
      <w:pStyle w:val="Header"/>
      <w:rPr>
        <w:rFonts w:ascii="Century Gothic" w:hAnsi="Century Gothic"/>
        <w:color w:val="FFFFFF" w:themeColor="background1"/>
      </w:rPr>
    </w:pPr>
  </w:p>
  <w:p w14:paraId="57A19123" w14:textId="77777777" w:rsidR="00C96684" w:rsidRDefault="00C96684">
    <w:pPr>
      <w:pStyle w:val="Header"/>
      <w:rPr>
        <w:rFonts w:ascii="Century Gothic" w:hAnsi="Century Gothic"/>
        <w:color w:val="FFFFFF" w:themeColor="background1"/>
      </w:rPr>
    </w:pPr>
  </w:p>
  <w:p w14:paraId="296842C3" w14:textId="77777777" w:rsidR="00C96684" w:rsidRDefault="00C96684">
    <w:pPr>
      <w:pStyle w:val="Header"/>
      <w:rPr>
        <w:rFonts w:ascii="Century Gothic" w:hAnsi="Century Gothic"/>
        <w:color w:val="FFFFFF" w:themeColor="background1"/>
      </w:rPr>
    </w:pPr>
  </w:p>
  <w:p w14:paraId="23BAA66C" w14:textId="77777777" w:rsidR="00C96684" w:rsidRDefault="00C96684">
    <w:pPr>
      <w:pStyle w:val="Header"/>
      <w:rPr>
        <w:rFonts w:ascii="Century Gothic" w:hAnsi="Century Gothic"/>
        <w:color w:val="FFFFFF" w:themeColor="background1"/>
      </w:rPr>
    </w:pPr>
  </w:p>
  <w:p w14:paraId="7841ABC1" w14:textId="77777777" w:rsidR="00C96684" w:rsidRDefault="00C96684">
    <w:pPr>
      <w:pStyle w:val="Header"/>
      <w:rPr>
        <w:rFonts w:ascii="Century Gothic" w:hAnsi="Century Gothic"/>
        <w:color w:val="FFFFFF" w:themeColor="background1"/>
      </w:rPr>
    </w:pPr>
  </w:p>
  <w:p w14:paraId="451AC335" w14:textId="77777777" w:rsidR="00C96684" w:rsidRDefault="00C96684">
    <w:pPr>
      <w:pStyle w:val="Header"/>
      <w:rPr>
        <w:rFonts w:ascii="Century Gothic" w:hAnsi="Century Gothic"/>
        <w:color w:val="FFFFFF" w:themeColor="background1"/>
      </w:rPr>
    </w:pPr>
  </w:p>
  <w:p w14:paraId="62CD4944" w14:textId="77777777" w:rsidR="00C96684" w:rsidRDefault="00C96684">
    <w:pPr>
      <w:pStyle w:val="Header"/>
      <w:rPr>
        <w:rFonts w:ascii="Century Gothic" w:hAnsi="Century Gothic"/>
        <w:color w:val="FFFFFF" w:themeColor="background1"/>
      </w:rPr>
    </w:pPr>
  </w:p>
  <w:p w14:paraId="0BA5502C" w14:textId="77777777" w:rsidR="00C96684" w:rsidRDefault="00C96684">
    <w:pPr>
      <w:pStyle w:val="Header"/>
      <w:rPr>
        <w:rFonts w:ascii="Century Gothic" w:hAnsi="Century Gothic"/>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6D4A38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BAE1C58"/>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CA25FC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D4242F"/>
    <w:multiLevelType w:val="multilevel"/>
    <w:tmpl w:val="311C7B5A"/>
    <w:numStyleLink w:val="Bullets"/>
  </w:abstractNum>
  <w:abstractNum w:abstractNumId="4" w15:restartNumberingAfterBreak="0">
    <w:nsid w:val="0776707E"/>
    <w:multiLevelType w:val="multilevel"/>
    <w:tmpl w:val="5CAE15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DFD4ED2"/>
    <w:multiLevelType w:val="hybridMultilevel"/>
    <w:tmpl w:val="64F2ED0A"/>
    <w:lvl w:ilvl="0" w:tplc="50309FAE">
      <w:start w:val="1"/>
      <w:numFmt w:val="bullet"/>
      <w:pStyle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3E7338A"/>
    <w:multiLevelType w:val="multilevel"/>
    <w:tmpl w:val="C94CE80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5DB20DC"/>
    <w:multiLevelType w:val="multilevel"/>
    <w:tmpl w:val="AB16EC1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F9B2400"/>
    <w:multiLevelType w:val="multilevel"/>
    <w:tmpl w:val="BADAE16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1822F27"/>
    <w:multiLevelType w:val="hybridMultilevel"/>
    <w:tmpl w:val="5DC84A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4CD126E"/>
    <w:multiLevelType w:val="hybridMultilevel"/>
    <w:tmpl w:val="708E8C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B53477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B91C34"/>
    <w:multiLevelType w:val="multilevel"/>
    <w:tmpl w:val="6E2AD3B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A35478A"/>
    <w:multiLevelType w:val="hybridMultilevel"/>
    <w:tmpl w:val="6A4E9A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59476BB"/>
    <w:multiLevelType w:val="hybridMultilevel"/>
    <w:tmpl w:val="7DACAC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9E80959"/>
    <w:multiLevelType w:val="multilevel"/>
    <w:tmpl w:val="311C7B5A"/>
    <w:numStyleLink w:val="Bullets"/>
  </w:abstractNum>
  <w:abstractNum w:abstractNumId="16" w15:restartNumberingAfterBreak="0">
    <w:nsid w:val="5C3364C3"/>
    <w:multiLevelType w:val="multilevel"/>
    <w:tmpl w:val="D8DAC7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5EF11574"/>
    <w:multiLevelType w:val="hybridMultilevel"/>
    <w:tmpl w:val="A412D426"/>
    <w:lvl w:ilvl="0" w:tplc="463A8B72">
      <w:start w:val="1"/>
      <w:numFmt w:val="bullet"/>
      <w:pStyle w:val="BulletList"/>
      <w:lvlText w:val=""/>
      <w:lvlJc w:val="left"/>
      <w:pPr>
        <w:ind w:left="720" w:hanging="72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15A0DFD"/>
    <w:multiLevelType w:val="multilevel"/>
    <w:tmpl w:val="311C7B5A"/>
    <w:styleLink w:val="Bullets"/>
    <w:lvl w:ilvl="0">
      <w:start w:val="1"/>
      <w:numFmt w:val="bullet"/>
      <w:pStyle w:val="Bullet0"/>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F2E198C"/>
    <w:multiLevelType w:val="hybridMultilevel"/>
    <w:tmpl w:val="0D0032CC"/>
    <w:lvl w:ilvl="0" w:tplc="19FE88E8">
      <w:start w:val="1"/>
      <w:numFmt w:val="decimal"/>
      <w:pStyle w:val="Numbers"/>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244780C"/>
    <w:multiLevelType w:val="hybridMultilevel"/>
    <w:tmpl w:val="0D0866CE"/>
    <w:lvl w:ilvl="0" w:tplc="D07E1C88">
      <w:start w:val="1"/>
      <w:numFmt w:val="bullet"/>
      <w:pStyle w:val="ListParagraph"/>
      <w:lvlText w:val="o"/>
      <w:lvlJc w:val="left"/>
      <w:pPr>
        <w:ind w:left="360" w:hanging="360"/>
      </w:pPr>
      <w:rPr>
        <w:rFonts w:ascii="Courier New" w:hAnsi="Courier New" w:cs="Courier New" w:hint="default"/>
      </w:rPr>
    </w:lvl>
    <w:lvl w:ilvl="1" w:tplc="7CE49B6C">
      <w:start w:val="1"/>
      <w:numFmt w:val="bullet"/>
      <w:lvlText w:val="o"/>
      <w:lvlJc w:val="left"/>
      <w:pPr>
        <w:ind w:left="907" w:hanging="340"/>
      </w:pPr>
      <w:rPr>
        <w:rFonts w:ascii="Courier New" w:hAnsi="Courier New" w:hint="default"/>
      </w:rPr>
    </w:lvl>
    <w:lvl w:ilvl="2" w:tplc="1170549A">
      <w:start w:val="1"/>
      <w:numFmt w:val="bullet"/>
      <w:lvlText w:val="-"/>
      <w:lvlJc w:val="left"/>
      <w:pPr>
        <w:ind w:left="1701" w:hanging="340"/>
      </w:pPr>
      <w:rPr>
        <w:rFonts w:ascii="Arial" w:hAnsi="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8923E5F"/>
    <w:multiLevelType w:val="hybridMultilevel"/>
    <w:tmpl w:val="04C087EC"/>
    <w:lvl w:ilvl="0" w:tplc="E3D060E0">
      <w:start w:val="1"/>
      <w:numFmt w:val="bullet"/>
      <w:lvlText w:val=""/>
      <w:lvlJc w:val="left"/>
      <w:pPr>
        <w:ind w:left="720" w:hanging="360"/>
      </w:pPr>
      <w:rPr>
        <w:rFonts w:ascii="Symbol" w:hAnsi="Symbol" w:hint="default"/>
      </w:rPr>
    </w:lvl>
    <w:lvl w:ilvl="1" w:tplc="BCD83CDA">
      <w:start w:val="1"/>
      <w:numFmt w:val="bullet"/>
      <w:lvlText w:val="o"/>
      <w:lvlJc w:val="left"/>
      <w:pPr>
        <w:ind w:left="907" w:hanging="34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21"/>
  </w:num>
  <w:num w:numId="3">
    <w:abstractNumId w:val="10"/>
  </w:num>
  <w:num w:numId="4">
    <w:abstractNumId w:val="15"/>
  </w:num>
  <w:num w:numId="5">
    <w:abstractNumId w:val="18"/>
  </w:num>
  <w:num w:numId="6">
    <w:abstractNumId w:val="2"/>
  </w:num>
  <w:num w:numId="7">
    <w:abstractNumId w:val="1"/>
  </w:num>
  <w:num w:numId="8">
    <w:abstractNumId w:val="0"/>
  </w:num>
  <w:num w:numId="9">
    <w:abstractNumId w:val="3"/>
  </w:num>
  <w:num w:numId="10">
    <w:abstractNumId w:val="11"/>
  </w:num>
  <w:num w:numId="11">
    <w:abstractNumId w:val="13"/>
  </w:num>
  <w:num w:numId="12">
    <w:abstractNumId w:val="9"/>
  </w:num>
  <w:num w:numId="13">
    <w:abstractNumId w:val="14"/>
  </w:num>
  <w:num w:numId="14">
    <w:abstractNumId w:val="5"/>
  </w:num>
  <w:num w:numId="15">
    <w:abstractNumId w:val="4"/>
  </w:num>
  <w:num w:numId="16">
    <w:abstractNumId w:val="19"/>
  </w:num>
  <w:num w:numId="17">
    <w:abstractNumId w:val="19"/>
    <w:lvlOverride w:ilvl="0">
      <w:startOverride w:val="1"/>
    </w:lvlOverride>
  </w:num>
  <w:num w:numId="18">
    <w:abstractNumId w:val="19"/>
    <w:lvlOverride w:ilvl="0">
      <w:startOverride w:val="1"/>
    </w:lvlOverride>
  </w:num>
  <w:num w:numId="19">
    <w:abstractNumId w:val="8"/>
  </w:num>
  <w:num w:numId="20">
    <w:abstractNumId w:val="16"/>
  </w:num>
  <w:num w:numId="21">
    <w:abstractNumId w:val="7"/>
  </w:num>
  <w:num w:numId="22">
    <w:abstractNumId w:val="12"/>
  </w:num>
  <w:num w:numId="23">
    <w:abstractNumId w:val="6"/>
  </w:num>
  <w:num w:numId="24">
    <w:abstractNumId w:val="19"/>
    <w:lvlOverride w:ilvl="0">
      <w:startOverride w:val="1"/>
    </w:lvlOverride>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9D2"/>
    <w:rsid w:val="00000079"/>
    <w:rsid w:val="0000101E"/>
    <w:rsid w:val="00005575"/>
    <w:rsid w:val="00012AE6"/>
    <w:rsid w:val="000465E7"/>
    <w:rsid w:val="000504AE"/>
    <w:rsid w:val="00077677"/>
    <w:rsid w:val="000927C1"/>
    <w:rsid w:val="000B02E8"/>
    <w:rsid w:val="000B380D"/>
    <w:rsid w:val="000D1875"/>
    <w:rsid w:val="00132C08"/>
    <w:rsid w:val="00136655"/>
    <w:rsid w:val="0014314F"/>
    <w:rsid w:val="001479EC"/>
    <w:rsid w:val="00175BB3"/>
    <w:rsid w:val="00175D30"/>
    <w:rsid w:val="001854A1"/>
    <w:rsid w:val="001A2B1C"/>
    <w:rsid w:val="001A380B"/>
    <w:rsid w:val="001A4DCB"/>
    <w:rsid w:val="001B6EB0"/>
    <w:rsid w:val="001E02A3"/>
    <w:rsid w:val="001F1159"/>
    <w:rsid w:val="0020239F"/>
    <w:rsid w:val="0023452D"/>
    <w:rsid w:val="002C6F11"/>
    <w:rsid w:val="002D292E"/>
    <w:rsid w:val="002E0301"/>
    <w:rsid w:val="002E422E"/>
    <w:rsid w:val="002F3221"/>
    <w:rsid w:val="0030108C"/>
    <w:rsid w:val="00367DE0"/>
    <w:rsid w:val="00392FC7"/>
    <w:rsid w:val="003B30A6"/>
    <w:rsid w:val="003C1F45"/>
    <w:rsid w:val="003C30AD"/>
    <w:rsid w:val="003D738F"/>
    <w:rsid w:val="00404B32"/>
    <w:rsid w:val="00413E8B"/>
    <w:rsid w:val="00420A88"/>
    <w:rsid w:val="004727ED"/>
    <w:rsid w:val="00484FAE"/>
    <w:rsid w:val="00493807"/>
    <w:rsid w:val="004C6AA4"/>
    <w:rsid w:val="004D277E"/>
    <w:rsid w:val="004E5AE9"/>
    <w:rsid w:val="0051227E"/>
    <w:rsid w:val="00546FEF"/>
    <w:rsid w:val="00553BFB"/>
    <w:rsid w:val="00556557"/>
    <w:rsid w:val="00567B1C"/>
    <w:rsid w:val="00580784"/>
    <w:rsid w:val="005967D6"/>
    <w:rsid w:val="005B19D2"/>
    <w:rsid w:val="005C4E6D"/>
    <w:rsid w:val="005C5E0C"/>
    <w:rsid w:val="005E1068"/>
    <w:rsid w:val="005F3775"/>
    <w:rsid w:val="00617EBD"/>
    <w:rsid w:val="00645EB1"/>
    <w:rsid w:val="006A32D1"/>
    <w:rsid w:val="006B1A6E"/>
    <w:rsid w:val="006C7EFF"/>
    <w:rsid w:val="006D777A"/>
    <w:rsid w:val="00710ACA"/>
    <w:rsid w:val="007124C2"/>
    <w:rsid w:val="00715BD2"/>
    <w:rsid w:val="00720143"/>
    <w:rsid w:val="007425EF"/>
    <w:rsid w:val="00762442"/>
    <w:rsid w:val="00766275"/>
    <w:rsid w:val="00767A51"/>
    <w:rsid w:val="00782E9A"/>
    <w:rsid w:val="0078423A"/>
    <w:rsid w:val="007853E9"/>
    <w:rsid w:val="007D3523"/>
    <w:rsid w:val="007F61DE"/>
    <w:rsid w:val="00810A4C"/>
    <w:rsid w:val="00832FB5"/>
    <w:rsid w:val="008419DE"/>
    <w:rsid w:val="00875132"/>
    <w:rsid w:val="00883E9C"/>
    <w:rsid w:val="00895911"/>
    <w:rsid w:val="008D7234"/>
    <w:rsid w:val="008F42C5"/>
    <w:rsid w:val="00962242"/>
    <w:rsid w:val="00972033"/>
    <w:rsid w:val="00984BA1"/>
    <w:rsid w:val="009B04D5"/>
    <w:rsid w:val="009B5A7C"/>
    <w:rsid w:val="009C53D3"/>
    <w:rsid w:val="009E6738"/>
    <w:rsid w:val="009F4486"/>
    <w:rsid w:val="00A0107A"/>
    <w:rsid w:val="00A42DB7"/>
    <w:rsid w:val="00A44ED9"/>
    <w:rsid w:val="00A56370"/>
    <w:rsid w:val="00A7645B"/>
    <w:rsid w:val="00A90416"/>
    <w:rsid w:val="00A97BAD"/>
    <w:rsid w:val="00AF0513"/>
    <w:rsid w:val="00B10E63"/>
    <w:rsid w:val="00B201D5"/>
    <w:rsid w:val="00B35A0D"/>
    <w:rsid w:val="00B65CB4"/>
    <w:rsid w:val="00B85A4C"/>
    <w:rsid w:val="00BB4759"/>
    <w:rsid w:val="00BE0BC5"/>
    <w:rsid w:val="00C00771"/>
    <w:rsid w:val="00C02E8B"/>
    <w:rsid w:val="00C079A3"/>
    <w:rsid w:val="00C079B5"/>
    <w:rsid w:val="00C11758"/>
    <w:rsid w:val="00C37FAD"/>
    <w:rsid w:val="00C40395"/>
    <w:rsid w:val="00C46A93"/>
    <w:rsid w:val="00C4779E"/>
    <w:rsid w:val="00C509E7"/>
    <w:rsid w:val="00C53B8B"/>
    <w:rsid w:val="00C74DD6"/>
    <w:rsid w:val="00C94C44"/>
    <w:rsid w:val="00C96684"/>
    <w:rsid w:val="00CC67DD"/>
    <w:rsid w:val="00CD1806"/>
    <w:rsid w:val="00CE572C"/>
    <w:rsid w:val="00CF3FAE"/>
    <w:rsid w:val="00CF4B6C"/>
    <w:rsid w:val="00CF5D71"/>
    <w:rsid w:val="00D115E6"/>
    <w:rsid w:val="00D14582"/>
    <w:rsid w:val="00D4782F"/>
    <w:rsid w:val="00D4791A"/>
    <w:rsid w:val="00D6500C"/>
    <w:rsid w:val="00D92F80"/>
    <w:rsid w:val="00D95E61"/>
    <w:rsid w:val="00DA272A"/>
    <w:rsid w:val="00DC65CA"/>
    <w:rsid w:val="00DE72AC"/>
    <w:rsid w:val="00E01592"/>
    <w:rsid w:val="00E0651F"/>
    <w:rsid w:val="00E101AE"/>
    <w:rsid w:val="00E1658D"/>
    <w:rsid w:val="00E2130C"/>
    <w:rsid w:val="00E27144"/>
    <w:rsid w:val="00E351F6"/>
    <w:rsid w:val="00E41043"/>
    <w:rsid w:val="00E648F7"/>
    <w:rsid w:val="00E96FF4"/>
    <w:rsid w:val="00E97F57"/>
    <w:rsid w:val="00EE2365"/>
    <w:rsid w:val="00EF53AD"/>
    <w:rsid w:val="00F135F6"/>
    <w:rsid w:val="00F300B0"/>
    <w:rsid w:val="00F357B9"/>
    <w:rsid w:val="00F85F24"/>
    <w:rsid w:val="00F93E7D"/>
    <w:rsid w:val="00FC4796"/>
    <w:rsid w:val="00FD521D"/>
    <w:rsid w:val="00FE4922"/>
    <w:rsid w:val="35FE5A64"/>
    <w:rsid w:val="461758C0"/>
    <w:rsid w:val="4E32F0DB"/>
    <w:rsid w:val="6991CB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03036"/>
  <w15:chartTrackingRefBased/>
  <w15:docId w15:val="{43882B8B-5632-4B4F-9A32-274BF24E5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6738"/>
    <w:pPr>
      <w:spacing w:after="120"/>
    </w:pPr>
    <w:rPr>
      <w:rFonts w:ascii="Arial" w:hAnsi="Arial"/>
      <w:sz w:val="23"/>
    </w:rPr>
  </w:style>
  <w:style w:type="paragraph" w:styleId="Heading1">
    <w:name w:val="heading 1"/>
    <w:basedOn w:val="Normal"/>
    <w:next w:val="Normal"/>
    <w:link w:val="Heading1Char"/>
    <w:autoRedefine/>
    <w:uiPriority w:val="9"/>
    <w:qFormat/>
    <w:rsid w:val="00F135F6"/>
    <w:pPr>
      <w:keepNext/>
      <w:keepLines/>
      <w:spacing w:line="240" w:lineRule="auto"/>
      <w:contextualSpacing/>
      <w:outlineLvl w:val="0"/>
    </w:pPr>
    <w:rPr>
      <w:rFonts w:eastAsiaTheme="majorEastAsia" w:cstheme="majorBidi"/>
      <w:b/>
      <w:color w:val="92B9C9"/>
      <w:sz w:val="36"/>
      <w:szCs w:val="32"/>
    </w:rPr>
  </w:style>
  <w:style w:type="paragraph" w:styleId="Heading2">
    <w:name w:val="heading 2"/>
    <w:basedOn w:val="Normal"/>
    <w:next w:val="Normal"/>
    <w:link w:val="Heading2Char"/>
    <w:autoRedefine/>
    <w:uiPriority w:val="9"/>
    <w:unhideWhenUsed/>
    <w:qFormat/>
    <w:rsid w:val="00810A4C"/>
    <w:pPr>
      <w:keepNext/>
      <w:keepLines/>
      <w:spacing w:line="240" w:lineRule="auto"/>
      <w:contextualSpacing/>
      <w:outlineLvl w:val="1"/>
    </w:pPr>
    <w:rPr>
      <w:rFonts w:ascii="Century Gothic" w:eastAsiaTheme="majorEastAsia" w:hAnsi="Century Gothic" w:cstheme="majorBidi"/>
      <w:b/>
      <w:color w:val="92B9C9"/>
      <w:sz w:val="28"/>
      <w:szCs w:val="26"/>
    </w:rPr>
  </w:style>
  <w:style w:type="paragraph" w:styleId="Heading3">
    <w:name w:val="heading 3"/>
    <w:basedOn w:val="Normal"/>
    <w:next w:val="Normal"/>
    <w:link w:val="Heading3Char"/>
    <w:autoRedefine/>
    <w:uiPriority w:val="9"/>
    <w:unhideWhenUsed/>
    <w:qFormat/>
    <w:rsid w:val="00546FEF"/>
    <w:pPr>
      <w:keepNext/>
      <w:keepLines/>
      <w:spacing w:before="240" w:line="240" w:lineRule="auto"/>
      <w:contextualSpacing/>
      <w:outlineLvl w:val="2"/>
    </w:pPr>
    <w:rPr>
      <w:rFonts w:ascii="Century Gothic" w:eastAsiaTheme="majorEastAsia" w:hAnsi="Century Gothic" w:cstheme="majorBidi"/>
      <w:b/>
      <w:color w:val="808080" w:themeColor="background1" w:themeShade="8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9D2"/>
  </w:style>
  <w:style w:type="paragraph" w:styleId="Footer">
    <w:name w:val="footer"/>
    <w:basedOn w:val="Normal"/>
    <w:link w:val="FooterChar"/>
    <w:uiPriority w:val="99"/>
    <w:unhideWhenUsed/>
    <w:rsid w:val="005B1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9D2"/>
  </w:style>
  <w:style w:type="character" w:customStyle="1" w:styleId="Heading1Char">
    <w:name w:val="Heading 1 Char"/>
    <w:basedOn w:val="DefaultParagraphFont"/>
    <w:link w:val="Heading1"/>
    <w:uiPriority w:val="9"/>
    <w:rsid w:val="00F135F6"/>
    <w:rPr>
      <w:rFonts w:ascii="Arial" w:eastAsiaTheme="majorEastAsia" w:hAnsi="Arial" w:cstheme="majorBidi"/>
      <w:b/>
      <w:color w:val="92B9C9"/>
      <w:sz w:val="36"/>
      <w:szCs w:val="32"/>
    </w:rPr>
  </w:style>
  <w:style w:type="paragraph" w:styleId="ListParagraph">
    <w:name w:val="List Paragraph"/>
    <w:basedOn w:val="Normal"/>
    <w:next w:val="ListBullet3"/>
    <w:link w:val="ListParagraphChar"/>
    <w:uiPriority w:val="34"/>
    <w:qFormat/>
    <w:rsid w:val="00D14582"/>
    <w:pPr>
      <w:numPr>
        <w:numId w:val="1"/>
      </w:numPr>
      <w:ind w:left="2206" w:hanging="1072"/>
      <w:contextualSpacing/>
    </w:pPr>
  </w:style>
  <w:style w:type="table" w:styleId="TableGrid">
    <w:name w:val="Table Grid"/>
    <w:basedOn w:val="TableNormal"/>
    <w:uiPriority w:val="59"/>
    <w:rsid w:val="00C74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74DD6"/>
    <w:rPr>
      <w:color w:val="808080"/>
    </w:rPr>
  </w:style>
  <w:style w:type="paragraph" w:styleId="Title">
    <w:name w:val="Title"/>
    <w:basedOn w:val="Normal"/>
    <w:next w:val="Normal"/>
    <w:link w:val="TitleChar"/>
    <w:uiPriority w:val="10"/>
    <w:qFormat/>
    <w:rsid w:val="00FD521D"/>
    <w:pPr>
      <w:spacing w:after="0" w:line="240" w:lineRule="auto"/>
      <w:contextualSpacing/>
    </w:pPr>
    <w:rPr>
      <w:rFonts w:ascii="Century Gothic" w:eastAsiaTheme="majorEastAsia" w:hAnsi="Century Gothic" w:cstheme="majorBidi"/>
      <w:spacing w:val="-10"/>
      <w:kern w:val="28"/>
      <w:sz w:val="56"/>
      <w:szCs w:val="56"/>
    </w:rPr>
  </w:style>
  <w:style w:type="character" w:customStyle="1" w:styleId="TitleChar">
    <w:name w:val="Title Char"/>
    <w:basedOn w:val="DefaultParagraphFont"/>
    <w:link w:val="Title"/>
    <w:uiPriority w:val="10"/>
    <w:rsid w:val="00FD521D"/>
    <w:rPr>
      <w:rFonts w:ascii="Century Gothic" w:eastAsiaTheme="majorEastAsia" w:hAnsi="Century Gothic" w:cstheme="majorBidi"/>
      <w:spacing w:val="-10"/>
      <w:kern w:val="28"/>
      <w:sz w:val="56"/>
      <w:szCs w:val="56"/>
    </w:rPr>
  </w:style>
  <w:style w:type="character" w:customStyle="1" w:styleId="Heading2Char">
    <w:name w:val="Heading 2 Char"/>
    <w:basedOn w:val="DefaultParagraphFont"/>
    <w:link w:val="Heading2"/>
    <w:uiPriority w:val="9"/>
    <w:rsid w:val="00810A4C"/>
    <w:rPr>
      <w:rFonts w:ascii="Century Gothic" w:eastAsiaTheme="majorEastAsia" w:hAnsi="Century Gothic" w:cstheme="majorBidi"/>
      <w:b/>
      <w:color w:val="92B9C9"/>
      <w:sz w:val="28"/>
      <w:szCs w:val="26"/>
    </w:rPr>
  </w:style>
  <w:style w:type="character" w:customStyle="1" w:styleId="Heading3Char">
    <w:name w:val="Heading 3 Char"/>
    <w:basedOn w:val="DefaultParagraphFont"/>
    <w:link w:val="Heading3"/>
    <w:uiPriority w:val="9"/>
    <w:rsid w:val="00546FEF"/>
    <w:rPr>
      <w:rFonts w:ascii="Century Gothic" w:eastAsiaTheme="majorEastAsia" w:hAnsi="Century Gothic" w:cstheme="majorBidi"/>
      <w:b/>
      <w:color w:val="808080" w:themeColor="background1" w:themeShade="80"/>
      <w:sz w:val="24"/>
      <w:szCs w:val="26"/>
    </w:rPr>
  </w:style>
  <w:style w:type="character" w:styleId="Strong">
    <w:name w:val="Strong"/>
    <w:aliases w:val="Bold"/>
    <w:basedOn w:val="DefaultParagraphFont"/>
    <w:uiPriority w:val="22"/>
    <w:rsid w:val="00556557"/>
    <w:rPr>
      <w:rFonts w:ascii="Arial" w:hAnsi="Arial"/>
      <w:b/>
      <w:bCs/>
      <w:sz w:val="24"/>
    </w:rPr>
  </w:style>
  <w:style w:type="character" w:styleId="Emphasis">
    <w:name w:val="Emphasis"/>
    <w:aliases w:val="Italicise Acts"/>
    <w:basedOn w:val="DefaultParagraphFont"/>
    <w:uiPriority w:val="20"/>
    <w:rsid w:val="00556557"/>
    <w:rPr>
      <w:rFonts w:ascii="Arial" w:hAnsi="Arial"/>
      <w:i/>
      <w:iCs/>
      <w:sz w:val="24"/>
    </w:rPr>
  </w:style>
  <w:style w:type="paragraph" w:styleId="IntenseQuote">
    <w:name w:val="Intense Quote"/>
    <w:basedOn w:val="Normal"/>
    <w:next w:val="Normal"/>
    <w:link w:val="IntenseQuoteChar"/>
    <w:uiPriority w:val="30"/>
    <w:rsid w:val="00C37FAD"/>
    <w:pPr>
      <w:pBdr>
        <w:top w:val="single" w:sz="6" w:space="10" w:color="F26D78"/>
        <w:bottom w:val="single" w:sz="6" w:space="10" w:color="F26D78"/>
      </w:pBdr>
      <w:spacing w:before="360" w:after="360"/>
      <w:ind w:left="864" w:right="864"/>
      <w:jc w:val="center"/>
    </w:pPr>
    <w:rPr>
      <w:rFonts w:ascii="Century Gothic" w:hAnsi="Century Gothic"/>
      <w:i/>
      <w:iCs/>
      <w:color w:val="F26D78"/>
    </w:rPr>
  </w:style>
  <w:style w:type="character" w:customStyle="1" w:styleId="IntenseQuoteChar">
    <w:name w:val="Intense Quote Char"/>
    <w:basedOn w:val="DefaultParagraphFont"/>
    <w:link w:val="IntenseQuote"/>
    <w:uiPriority w:val="30"/>
    <w:rsid w:val="00C37FAD"/>
    <w:rPr>
      <w:rFonts w:ascii="Century Gothic" w:hAnsi="Century Gothic"/>
      <w:i/>
      <w:iCs/>
      <w:color w:val="F26D78"/>
    </w:rPr>
  </w:style>
  <w:style w:type="paragraph" w:styleId="NoSpacing">
    <w:name w:val="No Spacing"/>
    <w:uiPriority w:val="1"/>
    <w:qFormat/>
    <w:rsid w:val="00556557"/>
    <w:pPr>
      <w:spacing w:after="0" w:line="240" w:lineRule="auto"/>
    </w:pPr>
    <w:rPr>
      <w:rFonts w:ascii="Arial" w:hAnsi="Arial"/>
      <w:sz w:val="24"/>
    </w:rPr>
  </w:style>
  <w:style w:type="paragraph" w:styleId="BalloonText">
    <w:name w:val="Balloon Text"/>
    <w:basedOn w:val="Normal"/>
    <w:link w:val="BalloonTextChar"/>
    <w:uiPriority w:val="99"/>
    <w:semiHidden/>
    <w:unhideWhenUsed/>
    <w:rsid w:val="0048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FAE"/>
    <w:rPr>
      <w:rFonts w:ascii="Segoe UI" w:hAnsi="Segoe UI" w:cs="Segoe UI"/>
      <w:sz w:val="18"/>
      <w:szCs w:val="18"/>
    </w:rPr>
  </w:style>
  <w:style w:type="table" w:customStyle="1" w:styleId="CommissionTable1">
    <w:name w:val="Commission Table 1"/>
    <w:basedOn w:val="TableNormal"/>
    <w:uiPriority w:val="99"/>
    <w:rsid w:val="00E648F7"/>
    <w:pPr>
      <w:spacing w:before="120" w:after="120" w:line="240" w:lineRule="auto"/>
      <w:contextualSpacing/>
    </w:pPr>
    <w:rPr>
      <w:rFonts w:ascii="Arial" w:hAnsi="Arial"/>
      <w:sz w:val="24"/>
    </w:rPr>
    <w:tblPr>
      <w:tblStyleRowBandSize w:val="1"/>
      <w:tblBorders>
        <w:insideH w:val="single" w:sz="4" w:space="0" w:color="404040"/>
      </w:tblBorders>
    </w:tblPr>
    <w:tcPr>
      <w:vAlign w:val="center"/>
    </w:tcPr>
    <w:tblStylePr w:type="firstRow">
      <w:pPr>
        <w:jc w:val="left"/>
      </w:pPr>
      <w:rPr>
        <w:rFonts w:ascii="Arial" w:hAnsi="Arial"/>
        <w:b w:val="0"/>
        <w:color w:val="FFFFFF" w:themeColor="background1"/>
        <w:sz w:val="24"/>
      </w:rPr>
      <w:tblPr/>
      <w:tcPr>
        <w:tcBorders>
          <w:top w:val="single" w:sz="4" w:space="0" w:color="404040"/>
          <w:left w:val="single" w:sz="4" w:space="0" w:color="404040"/>
          <w:bottom w:val="single" w:sz="4" w:space="0" w:color="404040"/>
          <w:right w:val="single" w:sz="4" w:space="0" w:color="404040"/>
          <w:insideH w:val="single" w:sz="6" w:space="0" w:color="FFFFFF" w:themeColor="background1"/>
          <w:insideV w:val="single" w:sz="4" w:space="0" w:color="FFFFFF" w:themeColor="background1"/>
        </w:tcBorders>
        <w:shd w:val="clear" w:color="auto" w:fill="404040"/>
      </w:tcPr>
    </w:tblStylePr>
    <w:tblStylePr w:type="lastRow">
      <w:rPr>
        <w:color w:val="FFFFFF" w:themeColor="background1"/>
      </w:rPr>
      <w:tblPr/>
      <w:tcPr>
        <w:shd w:val="clear" w:color="auto" w:fill="808080" w:themeFill="background1" w:themeFillShade="80"/>
      </w:tcPr>
    </w:tblStylePr>
    <w:tblStylePr w:type="firstCol">
      <w:rPr>
        <w:rFonts w:ascii="Arial" w:hAnsi="Arial"/>
        <w:color w:val="FFFFFF" w:themeColor="background1"/>
        <w:sz w:val="24"/>
      </w:rPr>
      <w:tblPr/>
      <w:tcPr>
        <w:shd w:val="clear" w:color="auto" w:fill="404040"/>
      </w:tcPr>
    </w:tblStylePr>
    <w:tblStylePr w:type="band2Horz">
      <w:rPr>
        <w:rFonts w:ascii="Arial" w:hAnsi="Arial"/>
        <w:color w:val="auto"/>
        <w:sz w:val="24"/>
      </w:rPr>
      <w:tblPr/>
      <w:tcPr>
        <w:shd w:val="clear" w:color="auto" w:fill="D9D9D9" w:themeFill="background1" w:themeFillShade="D9"/>
      </w:tcPr>
    </w:tblStylePr>
  </w:style>
  <w:style w:type="character" w:customStyle="1" w:styleId="BulletChar">
    <w:name w:val="Bullet Char"/>
    <w:basedOn w:val="DefaultParagraphFont"/>
    <w:link w:val="Bullet0"/>
    <w:locked/>
    <w:rsid w:val="00556557"/>
    <w:rPr>
      <w:rFonts w:ascii="Arial" w:hAnsi="Arial" w:cs="Arial"/>
      <w:sz w:val="24"/>
    </w:rPr>
  </w:style>
  <w:style w:type="paragraph" w:customStyle="1" w:styleId="Bullet0">
    <w:name w:val="Bullet"/>
    <w:basedOn w:val="Normal"/>
    <w:link w:val="BulletChar"/>
    <w:rsid w:val="00556557"/>
    <w:pPr>
      <w:numPr>
        <w:numId w:val="9"/>
      </w:numPr>
      <w:spacing w:after="0" w:line="240" w:lineRule="auto"/>
    </w:pPr>
    <w:rPr>
      <w:rFonts w:cs="Arial"/>
    </w:rPr>
  </w:style>
  <w:style w:type="numbering" w:customStyle="1" w:styleId="Bullets">
    <w:name w:val="Bullets"/>
    <w:uiPriority w:val="99"/>
    <w:rsid w:val="00556557"/>
    <w:pPr>
      <w:numPr>
        <w:numId w:val="5"/>
      </w:numPr>
    </w:pPr>
  </w:style>
  <w:style w:type="paragraph" w:styleId="ListBullet">
    <w:name w:val="List Bullet"/>
    <w:basedOn w:val="Normal"/>
    <w:uiPriority w:val="99"/>
    <w:semiHidden/>
    <w:unhideWhenUsed/>
    <w:rsid w:val="00D14582"/>
    <w:pPr>
      <w:numPr>
        <w:numId w:val="6"/>
      </w:numPr>
      <w:contextualSpacing/>
    </w:pPr>
  </w:style>
  <w:style w:type="paragraph" w:styleId="ListBullet2">
    <w:name w:val="List Bullet 2"/>
    <w:basedOn w:val="Normal"/>
    <w:uiPriority w:val="99"/>
    <w:semiHidden/>
    <w:unhideWhenUsed/>
    <w:rsid w:val="00D14582"/>
    <w:pPr>
      <w:numPr>
        <w:numId w:val="7"/>
      </w:numPr>
      <w:contextualSpacing/>
    </w:pPr>
  </w:style>
  <w:style w:type="paragraph" w:styleId="ListBullet3">
    <w:name w:val="List Bullet 3"/>
    <w:basedOn w:val="Normal"/>
    <w:uiPriority w:val="99"/>
    <w:semiHidden/>
    <w:unhideWhenUsed/>
    <w:rsid w:val="00D14582"/>
    <w:pPr>
      <w:numPr>
        <w:numId w:val="8"/>
      </w:numPr>
      <w:contextualSpacing/>
    </w:pPr>
  </w:style>
  <w:style w:type="character" w:styleId="Hyperlink">
    <w:name w:val="Hyperlink"/>
    <w:basedOn w:val="DefaultParagraphFont"/>
    <w:uiPriority w:val="99"/>
    <w:unhideWhenUsed/>
    <w:rsid w:val="009E6738"/>
    <w:rPr>
      <w:color w:val="0563C1" w:themeColor="hyperlink"/>
      <w:u w:val="single"/>
    </w:rPr>
  </w:style>
  <w:style w:type="paragraph" w:customStyle="1" w:styleId="Bullet">
    <w:name w:val="Bullet."/>
    <w:basedOn w:val="ListParagraph"/>
    <w:link w:val="BulletChar0"/>
    <w:qFormat/>
    <w:rsid w:val="0051227E"/>
    <w:pPr>
      <w:numPr>
        <w:numId w:val="14"/>
      </w:numPr>
      <w:spacing w:after="60"/>
      <w:ind w:left="357" w:hanging="357"/>
      <w:contextualSpacing w:val="0"/>
    </w:pPr>
    <w:rPr>
      <w:noProof/>
      <w:lang w:eastAsia="en-AU"/>
    </w:rPr>
  </w:style>
  <w:style w:type="paragraph" w:customStyle="1" w:styleId="Numbers">
    <w:name w:val="Numbers"/>
    <w:basedOn w:val="Bullet"/>
    <w:link w:val="NumbersChar"/>
    <w:qFormat/>
    <w:rsid w:val="002E0301"/>
    <w:pPr>
      <w:numPr>
        <w:numId w:val="16"/>
      </w:numPr>
    </w:pPr>
  </w:style>
  <w:style w:type="character" w:customStyle="1" w:styleId="ListParagraphChar">
    <w:name w:val="List Paragraph Char"/>
    <w:basedOn w:val="DefaultParagraphFont"/>
    <w:link w:val="ListParagraph"/>
    <w:uiPriority w:val="34"/>
    <w:rsid w:val="009E6738"/>
    <w:rPr>
      <w:rFonts w:ascii="Arial" w:hAnsi="Arial"/>
      <w:sz w:val="23"/>
    </w:rPr>
  </w:style>
  <w:style w:type="character" w:customStyle="1" w:styleId="BulletChar0">
    <w:name w:val="Bullet. Char"/>
    <w:basedOn w:val="ListParagraphChar"/>
    <w:link w:val="Bullet"/>
    <w:rsid w:val="0051227E"/>
    <w:rPr>
      <w:rFonts w:ascii="Arial" w:hAnsi="Arial"/>
      <w:noProof/>
      <w:sz w:val="23"/>
      <w:lang w:eastAsia="en-AU"/>
    </w:rPr>
  </w:style>
  <w:style w:type="paragraph" w:customStyle="1" w:styleId="Heading30">
    <w:name w:val="Heading 3."/>
    <w:basedOn w:val="Normal"/>
    <w:link w:val="Heading3Char0"/>
    <w:qFormat/>
    <w:rsid w:val="002E0301"/>
    <w:rPr>
      <w:b/>
      <w:sz w:val="24"/>
      <w:szCs w:val="24"/>
    </w:rPr>
  </w:style>
  <w:style w:type="character" w:customStyle="1" w:styleId="NumbersChar">
    <w:name w:val="Numbers Char"/>
    <w:basedOn w:val="BulletChar0"/>
    <w:link w:val="Numbers"/>
    <w:rsid w:val="002E0301"/>
    <w:rPr>
      <w:rFonts w:ascii="Arial" w:hAnsi="Arial"/>
      <w:noProof/>
      <w:sz w:val="23"/>
      <w:lang w:eastAsia="en-AU"/>
    </w:rPr>
  </w:style>
  <w:style w:type="paragraph" w:customStyle="1" w:styleId="Heading4">
    <w:name w:val="Heading 4."/>
    <w:basedOn w:val="Normal"/>
    <w:link w:val="Heading4Char"/>
    <w:qFormat/>
    <w:rsid w:val="002E0301"/>
    <w:rPr>
      <w:b/>
      <w:i/>
    </w:rPr>
  </w:style>
  <w:style w:type="character" w:customStyle="1" w:styleId="Heading3Char0">
    <w:name w:val="Heading 3. Char"/>
    <w:basedOn w:val="DefaultParagraphFont"/>
    <w:link w:val="Heading30"/>
    <w:rsid w:val="002E0301"/>
    <w:rPr>
      <w:rFonts w:ascii="Arial" w:hAnsi="Arial"/>
      <w:b/>
      <w:sz w:val="24"/>
      <w:szCs w:val="24"/>
    </w:rPr>
  </w:style>
  <w:style w:type="character" w:styleId="CommentReference">
    <w:name w:val="annotation reference"/>
    <w:basedOn w:val="DefaultParagraphFont"/>
    <w:uiPriority w:val="99"/>
    <w:semiHidden/>
    <w:unhideWhenUsed/>
    <w:rsid w:val="00B85A4C"/>
    <w:rPr>
      <w:sz w:val="16"/>
      <w:szCs w:val="16"/>
    </w:rPr>
  </w:style>
  <w:style w:type="character" w:customStyle="1" w:styleId="Heading4Char">
    <w:name w:val="Heading 4. Char"/>
    <w:basedOn w:val="DefaultParagraphFont"/>
    <w:link w:val="Heading4"/>
    <w:rsid w:val="002E0301"/>
    <w:rPr>
      <w:rFonts w:ascii="Arial" w:hAnsi="Arial"/>
      <w:b/>
      <w:i/>
      <w:sz w:val="23"/>
    </w:rPr>
  </w:style>
  <w:style w:type="paragraph" w:styleId="CommentText">
    <w:name w:val="annotation text"/>
    <w:basedOn w:val="Normal"/>
    <w:link w:val="CommentTextChar"/>
    <w:uiPriority w:val="99"/>
    <w:unhideWhenUsed/>
    <w:rsid w:val="00B85A4C"/>
    <w:pPr>
      <w:spacing w:line="240" w:lineRule="auto"/>
    </w:pPr>
    <w:rPr>
      <w:sz w:val="20"/>
      <w:szCs w:val="20"/>
    </w:rPr>
  </w:style>
  <w:style w:type="character" w:customStyle="1" w:styleId="CommentTextChar">
    <w:name w:val="Comment Text Char"/>
    <w:basedOn w:val="DefaultParagraphFont"/>
    <w:link w:val="CommentText"/>
    <w:uiPriority w:val="99"/>
    <w:rsid w:val="00B85A4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85A4C"/>
    <w:rPr>
      <w:b/>
      <w:bCs/>
    </w:rPr>
  </w:style>
  <w:style w:type="character" w:customStyle="1" w:styleId="CommentSubjectChar">
    <w:name w:val="Comment Subject Char"/>
    <w:basedOn w:val="CommentTextChar"/>
    <w:link w:val="CommentSubject"/>
    <w:uiPriority w:val="99"/>
    <w:semiHidden/>
    <w:rsid w:val="00B85A4C"/>
    <w:rPr>
      <w:rFonts w:ascii="Arial" w:hAnsi="Arial"/>
      <w:b/>
      <w:bCs/>
      <w:sz w:val="20"/>
      <w:szCs w:val="20"/>
    </w:rPr>
  </w:style>
  <w:style w:type="table" w:styleId="TableColumns2">
    <w:name w:val="Table Columns 2"/>
    <w:basedOn w:val="TableNormal"/>
    <w:unhideWhenUsed/>
    <w:rsid w:val="0020239F"/>
    <w:pPr>
      <w:spacing w:before="60" w:after="60" w:line="276" w:lineRule="auto"/>
    </w:pPr>
    <w:rPr>
      <w:rFonts w:ascii="Arial" w:eastAsia="Arial Unicode MS" w:hAnsi="Arial" w:cs="Times New Roman"/>
      <w:bCs/>
      <w:sz w:val="23"/>
      <w:szCs w:val="20"/>
    </w:rPr>
    <w:tblPr>
      <w:tblStyleRowBandSize w:val="1"/>
      <w:tblStyleColBandSize w:val="1"/>
      <w:tblInd w:w="0" w:type="nil"/>
      <w:tblBorders>
        <w:top w:val="single" w:sz="4" w:space="0" w:color="F1F1F1"/>
        <w:left w:val="single" w:sz="4" w:space="0" w:color="F1F1F1"/>
        <w:bottom w:val="single" w:sz="4" w:space="0" w:color="F1F1F1"/>
        <w:right w:val="single" w:sz="4" w:space="0" w:color="F1F1F1"/>
        <w:insideH w:val="single" w:sz="4" w:space="0" w:color="F1F1F1"/>
        <w:insideV w:val="single" w:sz="4" w:space="0" w:color="F1F1F1"/>
      </w:tblBorders>
    </w:tblPr>
    <w:tblStylePr w:type="firstRow">
      <w:pPr>
        <w:wordWrap/>
        <w:spacing w:beforeLines="0" w:before="100" w:beforeAutospacing="1" w:afterLines="0" w:after="100" w:afterAutospacing="1" w:line="276" w:lineRule="auto"/>
      </w:pPr>
      <w:rPr>
        <w:rFonts w:ascii="Arial" w:hAnsi="Arial" w:cs="Arial" w:hint="default"/>
        <w:b/>
        <w:color w:val="FFFFFF"/>
        <w:sz w:val="23"/>
        <w:szCs w:val="23"/>
      </w:rPr>
      <w:tblPr/>
      <w:tcPr>
        <w:shd w:val="clear" w:color="auto" w:fill="5E91A8"/>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band1Horz">
      <w:tblPr/>
      <w:tcPr>
        <w:shd w:val="clear" w:color="auto" w:fill="F1F1F1"/>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basedOn w:val="DefaultParagraphFont"/>
    <w:rsid w:val="00A44ED9"/>
    <w:rPr>
      <w:vertAlign w:val="superscript"/>
    </w:rPr>
  </w:style>
  <w:style w:type="paragraph" w:customStyle="1" w:styleId="BulletList">
    <w:name w:val="Bullet List"/>
    <w:basedOn w:val="Normal"/>
    <w:link w:val="BulletListChar"/>
    <w:autoRedefine/>
    <w:qFormat/>
    <w:rsid w:val="00A44ED9"/>
    <w:pPr>
      <w:numPr>
        <w:numId w:val="25"/>
      </w:numPr>
      <w:spacing w:after="0" w:line="276" w:lineRule="auto"/>
    </w:pPr>
    <w:rPr>
      <w:rFonts w:eastAsia="Times New Roman" w:cs="Arial"/>
      <w:szCs w:val="23"/>
      <w:lang w:eastAsia="en-AU"/>
    </w:rPr>
  </w:style>
  <w:style w:type="character" w:customStyle="1" w:styleId="BulletListChar">
    <w:name w:val="Bullet List Char"/>
    <w:link w:val="BulletList"/>
    <w:rsid w:val="00A44ED9"/>
    <w:rPr>
      <w:rFonts w:ascii="Arial" w:eastAsia="Times New Roman" w:hAnsi="Arial" w:cs="Arial"/>
      <w:sz w:val="23"/>
      <w:szCs w:val="23"/>
      <w:lang w:eastAsia="en-AU"/>
    </w:rPr>
  </w:style>
  <w:style w:type="character" w:styleId="FollowedHyperlink">
    <w:name w:val="FollowedHyperlink"/>
    <w:basedOn w:val="DefaultParagraphFont"/>
    <w:uiPriority w:val="99"/>
    <w:semiHidden/>
    <w:unhideWhenUsed/>
    <w:rsid w:val="001A380B"/>
    <w:rPr>
      <w:color w:val="954F72" w:themeColor="followedHyperlink"/>
      <w:u w:val="single"/>
    </w:rPr>
  </w:style>
  <w:style w:type="paragraph" w:styleId="TOCHeading">
    <w:name w:val="TOC Heading"/>
    <w:basedOn w:val="Heading1"/>
    <w:next w:val="Normal"/>
    <w:uiPriority w:val="39"/>
    <w:unhideWhenUsed/>
    <w:qFormat/>
    <w:rsid w:val="000927C1"/>
    <w:pPr>
      <w:spacing w:after="0" w:line="259" w:lineRule="auto"/>
      <w:contextualSpacing w:val="0"/>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0927C1"/>
    <w:pPr>
      <w:spacing w:after="100"/>
    </w:pPr>
  </w:style>
  <w:style w:type="paragraph" w:styleId="TOC2">
    <w:name w:val="toc 2"/>
    <w:basedOn w:val="Normal"/>
    <w:next w:val="Normal"/>
    <w:autoRedefine/>
    <w:uiPriority w:val="39"/>
    <w:unhideWhenUsed/>
    <w:rsid w:val="000927C1"/>
    <w:pPr>
      <w:spacing w:after="100"/>
      <w:ind w:left="23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03572">
      <w:bodyDiv w:val="1"/>
      <w:marLeft w:val="0"/>
      <w:marRight w:val="0"/>
      <w:marTop w:val="0"/>
      <w:marBottom w:val="0"/>
      <w:divBdr>
        <w:top w:val="none" w:sz="0" w:space="0" w:color="auto"/>
        <w:left w:val="none" w:sz="0" w:space="0" w:color="auto"/>
        <w:bottom w:val="none" w:sz="0" w:space="0" w:color="auto"/>
        <w:right w:val="none" w:sz="0" w:space="0" w:color="auto"/>
      </w:divBdr>
    </w:div>
    <w:div w:id="516162151">
      <w:bodyDiv w:val="1"/>
      <w:marLeft w:val="0"/>
      <w:marRight w:val="0"/>
      <w:marTop w:val="0"/>
      <w:marBottom w:val="0"/>
      <w:divBdr>
        <w:top w:val="none" w:sz="0" w:space="0" w:color="auto"/>
        <w:left w:val="none" w:sz="0" w:space="0" w:color="auto"/>
        <w:bottom w:val="none" w:sz="0" w:space="0" w:color="auto"/>
        <w:right w:val="none" w:sz="0" w:space="0" w:color="auto"/>
      </w:divBdr>
    </w:div>
    <w:div w:id="784613332">
      <w:bodyDiv w:val="1"/>
      <w:marLeft w:val="0"/>
      <w:marRight w:val="0"/>
      <w:marTop w:val="0"/>
      <w:marBottom w:val="0"/>
      <w:divBdr>
        <w:top w:val="none" w:sz="0" w:space="0" w:color="auto"/>
        <w:left w:val="none" w:sz="0" w:space="0" w:color="auto"/>
        <w:bottom w:val="none" w:sz="0" w:space="0" w:color="auto"/>
        <w:right w:val="none" w:sz="0" w:space="0" w:color="auto"/>
      </w:divBdr>
    </w:div>
    <w:div w:id="805199919">
      <w:bodyDiv w:val="1"/>
      <w:marLeft w:val="0"/>
      <w:marRight w:val="0"/>
      <w:marTop w:val="0"/>
      <w:marBottom w:val="0"/>
      <w:divBdr>
        <w:top w:val="none" w:sz="0" w:space="0" w:color="auto"/>
        <w:left w:val="none" w:sz="0" w:space="0" w:color="auto"/>
        <w:bottom w:val="none" w:sz="0" w:space="0" w:color="auto"/>
        <w:right w:val="none" w:sz="0" w:space="0" w:color="auto"/>
      </w:divBdr>
    </w:div>
    <w:div w:id="875774393">
      <w:bodyDiv w:val="1"/>
      <w:marLeft w:val="0"/>
      <w:marRight w:val="0"/>
      <w:marTop w:val="0"/>
      <w:marBottom w:val="0"/>
      <w:divBdr>
        <w:top w:val="none" w:sz="0" w:space="0" w:color="auto"/>
        <w:left w:val="none" w:sz="0" w:space="0" w:color="auto"/>
        <w:bottom w:val="none" w:sz="0" w:space="0" w:color="auto"/>
        <w:right w:val="none" w:sz="0" w:space="0" w:color="auto"/>
      </w:divBdr>
    </w:div>
    <w:div w:id="895897860">
      <w:bodyDiv w:val="1"/>
      <w:marLeft w:val="0"/>
      <w:marRight w:val="0"/>
      <w:marTop w:val="0"/>
      <w:marBottom w:val="0"/>
      <w:divBdr>
        <w:top w:val="none" w:sz="0" w:space="0" w:color="auto"/>
        <w:left w:val="none" w:sz="0" w:space="0" w:color="auto"/>
        <w:bottom w:val="none" w:sz="0" w:space="0" w:color="auto"/>
        <w:right w:val="none" w:sz="0" w:space="0" w:color="auto"/>
      </w:divBdr>
    </w:div>
    <w:div w:id="1377242916">
      <w:bodyDiv w:val="1"/>
      <w:marLeft w:val="0"/>
      <w:marRight w:val="0"/>
      <w:marTop w:val="0"/>
      <w:marBottom w:val="0"/>
      <w:divBdr>
        <w:top w:val="none" w:sz="0" w:space="0" w:color="auto"/>
        <w:left w:val="none" w:sz="0" w:space="0" w:color="auto"/>
        <w:bottom w:val="none" w:sz="0" w:space="0" w:color="auto"/>
        <w:right w:val="none" w:sz="0" w:space="0" w:color="auto"/>
      </w:divBdr>
    </w:div>
    <w:div w:id="1401712862">
      <w:bodyDiv w:val="1"/>
      <w:marLeft w:val="0"/>
      <w:marRight w:val="0"/>
      <w:marTop w:val="0"/>
      <w:marBottom w:val="0"/>
      <w:divBdr>
        <w:top w:val="none" w:sz="0" w:space="0" w:color="auto"/>
        <w:left w:val="none" w:sz="0" w:space="0" w:color="auto"/>
        <w:bottom w:val="none" w:sz="0" w:space="0" w:color="auto"/>
        <w:right w:val="none" w:sz="0" w:space="0" w:color="auto"/>
      </w:divBdr>
    </w:div>
    <w:div w:id="1720979334">
      <w:bodyDiv w:val="1"/>
      <w:marLeft w:val="0"/>
      <w:marRight w:val="0"/>
      <w:marTop w:val="0"/>
      <w:marBottom w:val="0"/>
      <w:divBdr>
        <w:top w:val="none" w:sz="0" w:space="0" w:color="auto"/>
        <w:left w:val="none" w:sz="0" w:space="0" w:color="auto"/>
        <w:bottom w:val="none" w:sz="0" w:space="0" w:color="auto"/>
        <w:right w:val="none" w:sz="0" w:space="0" w:color="auto"/>
      </w:divBdr>
    </w:div>
    <w:div w:id="1737119918">
      <w:bodyDiv w:val="1"/>
      <w:marLeft w:val="0"/>
      <w:marRight w:val="0"/>
      <w:marTop w:val="0"/>
      <w:marBottom w:val="0"/>
      <w:divBdr>
        <w:top w:val="none" w:sz="0" w:space="0" w:color="auto"/>
        <w:left w:val="none" w:sz="0" w:space="0" w:color="auto"/>
        <w:bottom w:val="none" w:sz="0" w:space="0" w:color="auto"/>
        <w:right w:val="none" w:sz="0" w:space="0" w:color="auto"/>
      </w:divBdr>
    </w:div>
    <w:div w:id="1935282857">
      <w:bodyDiv w:val="1"/>
      <w:marLeft w:val="0"/>
      <w:marRight w:val="0"/>
      <w:marTop w:val="0"/>
      <w:marBottom w:val="0"/>
      <w:divBdr>
        <w:top w:val="none" w:sz="0" w:space="0" w:color="auto"/>
        <w:left w:val="none" w:sz="0" w:space="0" w:color="auto"/>
        <w:bottom w:val="none" w:sz="0" w:space="0" w:color="auto"/>
        <w:right w:val="none" w:sz="0" w:space="0" w:color="auto"/>
      </w:divBdr>
    </w:div>
    <w:div w:id="211447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orporate Library Document" ma:contentTypeID="0x0101001FBC8B74C95A43CFAFE0DB1CCF830385009F88D1B8B0504A489A5E856BB443D6BE" ma:contentTypeVersion="51" ma:contentTypeDescription="Published Document Content Type" ma:contentTypeScope="" ma:versionID="cd1f75091ceee620aad3f010e791de15">
  <xsd:schema xmlns:xsd="http://www.w3.org/2001/XMLSchema" xmlns:xs="http://www.w3.org/2001/XMLSchema" xmlns:p="http://schemas.microsoft.com/office/2006/metadata/properties" xmlns:ns2="3e6137ec-5a33-48e1-b4a4-b3d3fc2edb53" xmlns:ns3="d727913f-0cf9-4c48-ad0f-229091bf0a6b" xmlns:ns4="160935bb-7d01-4b96-91e7-4e9c47a96f49" xmlns:ns5="b30337e0-0a1c-4362-897f-a11875a06e9e" targetNamespace="http://schemas.microsoft.com/office/2006/metadata/properties" ma:root="true" ma:fieldsID="1324622f6cd64f7077928c2140f4ca56" ns2:_="" ns3:_="" ns4:_="" ns5:_="">
    <xsd:import namespace="3e6137ec-5a33-48e1-b4a4-b3d3fc2edb53"/>
    <xsd:import namespace="d727913f-0cf9-4c48-ad0f-229091bf0a6b"/>
    <xsd:import namespace="160935bb-7d01-4b96-91e7-4e9c47a96f49"/>
    <xsd:import namespace="b30337e0-0a1c-4362-897f-a11875a06e9e"/>
    <xsd:element name="properties">
      <xsd:complexType>
        <xsd:sequence>
          <xsd:element name="documentManagement">
            <xsd:complexType>
              <xsd:all>
                <xsd:element ref="ns2:DWPDocumentID" minOccurs="0"/>
                <xsd:element ref="ns3:DWPDocumentOwner" minOccurs="0"/>
                <xsd:element ref="ns2:DWPExpiryDate" minOccurs="0"/>
                <xsd:element ref="ns2:DWPNotificationDate" minOccurs="0"/>
                <xsd:element ref="ns2:DWPDiscipline" minOccurs="0"/>
                <xsd:element ref="ns4:DWPDescription" minOccurs="0"/>
                <xsd:element ref="ns4:DWPAudience" minOccurs="0"/>
                <xsd:element ref="ns3:DWPDocumentType"/>
                <xsd:element ref="ns3:DWPCategory" minOccurs="0"/>
                <xsd:element ref="ns3:DWPApprovedBy" minOccurs="0"/>
                <xsd:element ref="ns2:DWPPublishedVersion" minOccurs="0"/>
                <xsd:element ref="ns2:DWPSourceContentType" minOccurs="0"/>
                <xsd:element ref="ns2:DWPSourceSiteTitle" minOccurs="0"/>
                <xsd:element ref="ns2:DWPDocumentSubCategoryText" minOccurs="0"/>
                <xsd:element ref="ns5:Lastupdated" minOccurs="0"/>
                <xsd:element ref="ns3:TaxCatchAll" minOccurs="0"/>
                <xsd:element ref="ns3:TaxKeywordTaxHTField" minOccurs="0"/>
                <xsd:element ref="ns3:TaxCatchAllLabel"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4:m7757a1667b3485c9576e9a836fff4b5"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137ec-5a33-48e1-b4a4-b3d3fc2edb53" elementFormDefault="qualified">
    <xsd:import namespace="http://schemas.microsoft.com/office/2006/documentManagement/types"/>
    <xsd:import namespace="http://schemas.microsoft.com/office/infopath/2007/PartnerControls"/>
    <xsd:element name="DWPDocumentID" ma:index="2" nillable="true" ma:displayName="Document ID" ma:description="" ma:internalName="DWPDocumentID" ma:readOnly="false">
      <xsd:simpleType>
        <xsd:restriction base="dms:Text">
          <xsd:maxLength value="255"/>
        </xsd:restriction>
      </xsd:simpleType>
    </xsd:element>
    <xsd:element name="DWPExpiryDate" ma:index="4" nillable="true" ma:displayName="Expiry Date" ma:description="The document's expiry date" ma:format="DateTime" ma:internalName="DWPExpiryDate" ma:readOnly="false">
      <xsd:simpleType>
        <xsd:restriction base="dms:DateTime"/>
      </xsd:simpleType>
    </xsd:element>
    <xsd:element name="DWPNotificationDate" ma:index="5" nillable="true" ma:displayName="Notification Date" ma:description="The document owner's reminder notification date" ma:format="DateTime" ma:internalName="DWPNotificationDate" ma:readOnly="false">
      <xsd:simpleType>
        <xsd:restriction base="dms:DateTime"/>
      </xsd:simpleType>
    </xsd:element>
    <xsd:element name="DWPDiscipline" ma:index="6" nillable="true" ma:displayName="Discipline" ma:description="A link to the People and Groups page" ma:format="Image" ma:internalName="DWPDisciplin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WPPublishedVersion" ma:index="13" nillable="true" ma:displayName="Document Published Version" ma:description="The source document's published version" ma:internalName="DWPPublishedVersion" ma:readOnly="false">
      <xsd:simpleType>
        <xsd:restriction base="dms:Text">
          <xsd:maxLength value="255"/>
        </xsd:restriction>
      </xsd:simpleType>
    </xsd:element>
    <xsd:element name="DWPSourceContentType" ma:index="14" nillable="true" ma:displayName="Source Content Type Id" ma:description="The source Content Type ID from where this document was published" ma:internalName="DWPSourceContentType" ma:readOnly="false">
      <xsd:simpleType>
        <xsd:restriction base="dms:Text">
          <xsd:maxLength value="255"/>
        </xsd:restriction>
      </xsd:simpleType>
    </xsd:element>
    <xsd:element name="DWPSourceSiteTitle" ma:index="15" nillable="true" ma:displayName="Souce Site Title" ma:description="The source document's site" ma:internalName="DWPSourceSiteTitle" ma:readOnly="false">
      <xsd:simpleType>
        <xsd:restriction base="dms:Text">
          <xsd:maxLength value="255"/>
        </xsd:restriction>
      </xsd:simpleType>
    </xsd:element>
    <xsd:element name="DWPDocumentSubCategoryText" ma:index="16" nillable="true" ma:displayName="Document Sub Category" ma:description="The source document sub category" ma:internalName="DWPDocumentSubCategoryTex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27913f-0cf9-4c48-ad0f-229091bf0a6b" elementFormDefault="qualified">
    <xsd:import namespace="http://schemas.microsoft.com/office/2006/documentManagement/types"/>
    <xsd:import namespace="http://schemas.microsoft.com/office/infopath/2007/PartnerControls"/>
    <xsd:element name="DWPDocumentOwner" ma:index="3" nillable="true" ma:displayName="Owner" ma:description="The document's owner for reminder notification" ma:list="UserInfo" ma:SharePointGroup="0" ma:internalName="DWP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WPDocumentType" ma:index="9" ma:displayName="Document Type" ma:list="{c53ef5e5-cf6e-40e3-a571-f382915882b0}" ma:internalName="DWPDocumentType" ma:readOnly="false" ma:showField="Title" ma:web="d727913f-0cf9-4c48-ad0f-229091bf0a6b">
      <xsd:simpleType>
        <xsd:restriction base="dms:Lookup"/>
      </xsd:simpleType>
    </xsd:element>
    <xsd:element name="DWPCategory" ma:index="10" nillable="true" ma:displayName="Document Category" ma:list="{e3e74bed-f987-43e8-8d52-61d2df75fa4d}" ma:internalName="DWPCategory" ma:readOnly="false" ma:showField="Title" ma:web="d727913f-0cf9-4c48-ad0f-229091bf0a6b">
      <xsd:simpleType>
        <xsd:restriction base="dms:Lookup"/>
      </xsd:simpleType>
    </xsd:element>
    <xsd:element name="DWPApprovedBy" ma:index="12" nillable="true" ma:displayName="Approved By" ma:description="document approver" ma:list="UserInfo" ma:SharePointGroup="0" ma:internalName="DWPApprov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23f826ce-62c1-4c1c-a641-6640c5fd15e0}" ma:internalName="TaxCatchAll" ma:readOnly="false" ma:showField="CatchAllData" ma:web="d727913f-0cf9-4c48-ad0f-229091bf0a6b">
      <xsd:complexType>
        <xsd:complexContent>
          <xsd:extension base="dms:MultiChoiceLookup">
            <xsd:sequence>
              <xsd:element name="Value" type="dms:Lookup" maxOccurs="unbounded" minOccurs="0" nillable="true"/>
            </xsd:sequence>
          </xsd:extension>
        </xsd:complexContent>
      </xsd:complexType>
    </xsd:element>
    <xsd:element name="TaxKeywordTaxHTField" ma:index="26" nillable="true" ma:taxonomy="true" ma:internalName="TaxKeywordTaxHTField" ma:taxonomyFieldName="TaxKeyword" ma:displayName="Enterprise Keywords" ma:readOnly="false" ma:fieldId="{23f27201-bee3-471e-b2e7-b64fd8b7ca38}" ma:taxonomyMulti="true" ma:sspId="79dd5136-d8d3-43bd-8536-49417bb0680b" ma:termSetId="00000000-0000-0000-0000-000000000000" ma:anchorId="00000000-0000-0000-0000-000000000000" ma:open="true" ma:isKeyword="true">
      <xsd:complexType>
        <xsd:sequence>
          <xsd:element ref="pc:Terms" minOccurs="0" maxOccurs="1"/>
        </xsd:sequence>
      </xsd:complexType>
    </xsd:element>
    <xsd:element name="TaxCatchAllLabel" ma:index="27" nillable="true" ma:displayName="Taxonomy Catch All Column1" ma:hidden="true" ma:list="{23f826ce-62c1-4c1c-a641-6640c5fd15e0}" ma:internalName="TaxCatchAllLabel" ma:readOnly="false" ma:showField="CatchAllDataLabel" ma:web="d727913f-0cf9-4c48-ad0f-229091bf0a6b">
      <xsd:complexType>
        <xsd:complexContent>
          <xsd:extension base="dms:MultiChoiceLookup">
            <xsd:sequence>
              <xsd:element name="Value" type="dms:Lookup" maxOccurs="unbounded" minOccurs="0" nillable="true"/>
            </xsd:sequence>
          </xsd:extension>
        </xsd:complexContent>
      </xsd:complexType>
    </xsd:element>
    <xsd:element name="SharedWithUsers" ma:index="3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0935bb-7d01-4b96-91e7-4e9c47a96f49" elementFormDefault="qualified">
    <xsd:import namespace="http://schemas.microsoft.com/office/2006/documentManagement/types"/>
    <xsd:import namespace="http://schemas.microsoft.com/office/infopath/2007/PartnerControls"/>
    <xsd:element name="DWPDescription" ma:index="7" nillable="true" ma:displayName="Document Description" ma:internalName="DWPDescription" ma:readOnly="false">
      <xsd:simpleType>
        <xsd:restriction base="dms:Note">
          <xsd:maxLength value="255"/>
        </xsd:restriction>
      </xsd:simpleType>
    </xsd:element>
    <xsd:element name="DWPAudience" ma:index="8" nillable="true" ma:displayName="Audience" ma:default="Internal" ma:format="Dropdown" ma:internalName="DWPAudience" ma:readOnly="false">
      <xsd:simpleType>
        <xsd:restriction base="dms:Choice">
          <xsd:enumeration value="Internal"/>
          <xsd:enumeration value="Public"/>
          <xsd:enumeration value="Corporate"/>
        </xsd:restriction>
      </xsd:simpleType>
    </xsd:element>
    <xsd:element name="m7757a1667b3485c9576e9a836fff4b5" ma:index="36" nillable="true" ma:taxonomy="true" ma:internalName="m7757a1667b3485c9576e9a836fff4b5" ma:taxonomyFieldName="DWPBusinessStream" ma:displayName="Business Stream" ma:readOnly="false" ma:default="" ma:fieldId="{67757a16-67b3-485c-9576-e9a836fff4b5}" ma:sspId="79dd5136-d8d3-43bd-8536-49417bb0680b" ma:termSetId="72ed4be9-b6a6-47ad-ad89-5c99d43eef3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0337e0-0a1c-4362-897f-a11875a06e9e" elementFormDefault="qualified">
    <xsd:import namespace="http://schemas.microsoft.com/office/2006/documentManagement/types"/>
    <xsd:import namespace="http://schemas.microsoft.com/office/infopath/2007/PartnerControls"/>
    <xsd:element name="Lastupdated" ma:index="18" nillable="true" ma:displayName="Last updated" ma:format="DateOnly" ma:internalName="Lastupdated" ma:readOnly="false">
      <xsd:simpleType>
        <xsd:restriction base="dms:DateTime"/>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hidden="true" ma:internalName="MediaServiceKeyPoints" ma:readOnly="true">
      <xsd:simpleType>
        <xsd:restriction base="dms:Note"/>
      </xsd:simpleType>
    </xsd:element>
    <xsd:element name="MediaServiceAutoTags" ma:index="32" nillable="true" ma:displayName="Tags" ma:hidden="true" ma:internalName="MediaServiceAutoTags" ma:readOnly="true">
      <xsd:simpleType>
        <xsd:restriction base="dms:Text"/>
      </xsd:simpleType>
    </xsd:element>
    <xsd:element name="MediaServiceOCR" ma:index="33" nillable="true" ma:displayName="Extracted Text" ma:hidden="true" ma:internalName="MediaServiceOCR" ma:readOnly="true">
      <xsd:simpleType>
        <xsd:restriction base="dms:Note"/>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7757a1667b3485c9576e9a836fff4b5 xmlns="160935bb-7d01-4b96-91e7-4e9c47a96f49">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9848cc81-f204-4e09-86ac-66260e722c5f</TermId>
        </TermInfo>
      </Terms>
    </m7757a1667b3485c9576e9a836fff4b5>
    <DWPDocumentSubCategoryText xmlns="3e6137ec-5a33-48e1-b4a4-b3d3fc2edb53" xsi:nil="true"/>
    <DWPDocumentID xmlns="3e6137ec-5a33-48e1-b4a4-b3d3fc2edb53" xsi:nil="true"/>
    <DWPDiscipline xmlns="3e6137ec-5a33-48e1-b4a4-b3d3fc2edb53">
      <Url xsi:nil="true"/>
      <Description xsi:nil="true"/>
    </DWPDiscipline>
    <DWPAudience xmlns="160935bb-7d01-4b96-91e7-4e9c47a96f49">Internal</DWPAudience>
    <DWPNotificationDate xmlns="3e6137ec-5a33-48e1-b4a4-b3d3fc2edb53" xsi:nil="true"/>
    <TaxCatchAll xmlns="d727913f-0cf9-4c48-ad0f-229091bf0a6b">
      <Value>36</Value>
    </TaxCatchAll>
    <DWPDescription xmlns="160935bb-7d01-4b96-91e7-4e9c47a96f49" xsi:nil="true"/>
    <TaxKeywordTaxHTField xmlns="d727913f-0cf9-4c48-ad0f-229091bf0a6b">
      <Terms xmlns="http://schemas.microsoft.com/office/infopath/2007/PartnerControls"/>
    </TaxKeywordTaxHTField>
    <DWPSourceContentType xmlns="3e6137ec-5a33-48e1-b4a4-b3d3fc2edb53" xsi:nil="true"/>
    <DWPPublishedVersion xmlns="3e6137ec-5a33-48e1-b4a4-b3d3fc2edb53" xsi:nil="true"/>
    <DWPApprovedBy xmlns="d727913f-0cf9-4c48-ad0f-229091bf0a6b">
      <UserInfo>
        <DisplayName/>
        <AccountId xsi:nil="true"/>
        <AccountType/>
      </UserInfo>
    </DWPApprovedBy>
    <DWPExpiryDate xmlns="3e6137ec-5a33-48e1-b4a4-b3d3fc2edb53" xsi:nil="true"/>
    <DWPSourceSiteTitle xmlns="3e6137ec-5a33-48e1-b4a4-b3d3fc2edb53" xsi:nil="true"/>
    <DWPCategory xmlns="d727913f-0cf9-4c48-ad0f-229091bf0a6b">68</DWPCategory>
    <DWPDocumentOwner xmlns="d727913f-0cf9-4c48-ad0f-229091bf0a6b">
      <UserInfo>
        <DisplayName/>
        <AccountId xsi:nil="true"/>
        <AccountType/>
      </UserInfo>
    </DWPDocumentOwner>
    <DWPDocumentType xmlns="d727913f-0cf9-4c48-ad0f-229091bf0a6b">6</DWPDocumentType>
    <Lastupdated xmlns="b30337e0-0a1c-4362-897f-a11875a06e9e" xsi:nil="true"/>
    <TaxCatchAllLabel xmlns="d727913f-0cf9-4c48-ad0f-229091bf0a6b"/>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7E002-0ACF-4D04-B92F-067963277376}">
  <ds:schemaRefs>
    <ds:schemaRef ds:uri="http://schemas.microsoft.com/sharepoint/v3/contenttype/forms"/>
  </ds:schemaRefs>
</ds:datastoreItem>
</file>

<file path=customXml/itemProps2.xml><?xml version="1.0" encoding="utf-8"?>
<ds:datastoreItem xmlns:ds="http://schemas.openxmlformats.org/officeDocument/2006/customXml" ds:itemID="{448878DB-24CD-4F2E-88A7-0B9105ADB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137ec-5a33-48e1-b4a4-b3d3fc2edb53"/>
    <ds:schemaRef ds:uri="d727913f-0cf9-4c48-ad0f-229091bf0a6b"/>
    <ds:schemaRef ds:uri="160935bb-7d01-4b96-91e7-4e9c47a96f49"/>
    <ds:schemaRef ds:uri="b30337e0-0a1c-4362-897f-a11875a06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2C57F9-45FF-4E08-8715-2396F2783274}">
  <ds:schemaRefs>
    <ds:schemaRef ds:uri="http://schemas.microsoft.com/office/2006/metadata/properties"/>
    <ds:schemaRef ds:uri="http://schemas.microsoft.com/office/infopath/2007/PartnerControls"/>
    <ds:schemaRef ds:uri="160935bb-7d01-4b96-91e7-4e9c47a96f49"/>
    <ds:schemaRef ds:uri="3e6137ec-5a33-48e1-b4a4-b3d3fc2edb53"/>
    <ds:schemaRef ds:uri="d727913f-0cf9-4c48-ad0f-229091bf0a6b"/>
    <ds:schemaRef ds:uri="b30337e0-0a1c-4362-897f-a11875a06e9e"/>
  </ds:schemaRefs>
</ds:datastoreItem>
</file>

<file path=customXml/itemProps4.xml><?xml version="1.0" encoding="utf-8"?>
<ds:datastoreItem xmlns:ds="http://schemas.openxmlformats.org/officeDocument/2006/customXml" ds:itemID="{22C13441-A591-45A4-A762-DCD87CC0C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DPC</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Haupapa, Taylor</dc:creator>
  <cp:keywords/>
  <dc:description/>
  <cp:lastModifiedBy>Partridge, Julian</cp:lastModifiedBy>
  <cp:revision>6</cp:revision>
  <cp:lastPrinted>2021-08-16T03:13:00Z</cp:lastPrinted>
  <dcterms:created xsi:type="dcterms:W3CDTF">2021-10-29T03:49:00Z</dcterms:created>
  <dcterms:modified xsi:type="dcterms:W3CDTF">2021-11-01T02:18:00Z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0x0101001FBC8B74C95A43CFAFE0DB1CCF830385009F88D1B8B0504A489A5E856BB443D6BE</vt:lpwstr>
  </property>
  <property fmtid="{D5CDD505-2E9C-101B-9397-08002B2CF9AE}" pid="4" name="DWPBusinessStream">
    <vt:lpwstr>36;#Communications|9848cc81-f204-4e09-86ac-66260e722c5f</vt:lpwstr>
  </property>
  <property fmtid="{D5CDD505-2E9C-101B-9397-08002B2CF9AE}" pid="5" name="_AuthorEmailDisplayName">
    <vt:lpwstr>Haupapa, Taylor</vt:lpwstr>
  </property>
  <property fmtid="{D5CDD505-2E9C-101B-9397-08002B2CF9AE}" pid="6" name="_EmailSubject">
    <vt:lpwstr>Email how do i</vt:lpwstr>
  </property>
  <property fmtid="{D5CDD505-2E9C-101B-9397-08002B2CF9AE}" pid="7" name="_AdHocReviewCycleID">
    <vt:i4>-794294034</vt:i4>
  </property>
  <property fmtid="{D5CDD505-2E9C-101B-9397-08002B2CF9AE}" pid="8" name="_AuthorEmail">
    <vt:lpwstr>Taylor.Haupapa@psc.wa.gov.au</vt:lpwstr>
  </property>
  <property fmtid="{D5CDD505-2E9C-101B-9397-08002B2CF9AE}" pid="9" name="_NewReviewCycle">
    <vt:lpwstr/>
  </property>
  <property fmtid="{D5CDD505-2E9C-101B-9397-08002B2CF9AE}" pid="10" name="_ReviewingToolsShownOnce">
    <vt:lpwstr/>
  </property>
</Properties>
</file>