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3E1C57C3" w:rsidR="009B423D" w:rsidRPr="00AE423F" w:rsidRDefault="00EB553E" w:rsidP="00A243CD">
      <w:pPr>
        <w:pStyle w:val="Heading1"/>
        <w:spacing w:before="0" w:after="0"/>
        <w:rPr>
          <w:color w:val="002060"/>
          <w:sz w:val="22"/>
          <w:szCs w:val="22"/>
        </w:rPr>
        <w:sectPr w:rsidR="009B423D" w:rsidRPr="00AE423F"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bookmarkStart w:id="0" w:name="_GoBack"/>
      <w:bookmarkEnd w:id="0"/>
      <w:r w:rsidRPr="00D51391">
        <w:rPr>
          <w:color w:val="002060"/>
          <w:sz w:val="22"/>
          <w:szCs w:val="22"/>
        </w:rPr>
        <w:t xml:space="preserve">WESTERN AUSTRALIA </w:t>
      </w:r>
      <w:r w:rsidR="00981777" w:rsidRPr="00D51391">
        <w:rPr>
          <w:color w:val="002060"/>
          <w:sz w:val="22"/>
          <w:szCs w:val="22"/>
        </w:rPr>
        <w:t>L</w:t>
      </w:r>
      <w:r w:rsidR="007E7880" w:rsidRPr="00D51391">
        <w:rPr>
          <w:color w:val="002060"/>
          <w:sz w:val="22"/>
          <w:szCs w:val="22"/>
        </w:rPr>
        <w:t>NG</w:t>
      </w:r>
      <w:r w:rsidRPr="00D51391">
        <w:rPr>
          <w:color w:val="002060"/>
          <w:sz w:val="22"/>
          <w:szCs w:val="22"/>
        </w:rPr>
        <w:t xml:space="preserve"> PROFILE</w:t>
      </w:r>
      <w:r w:rsidR="009B423D" w:rsidRPr="00D51391">
        <w:rPr>
          <w:color w:val="002060"/>
          <w:sz w:val="22"/>
          <w:szCs w:val="22"/>
        </w:rPr>
        <w:t xml:space="preserve"> </w:t>
      </w:r>
      <w:r w:rsidR="007C2A78" w:rsidRPr="00EC2662">
        <w:rPr>
          <w:color w:val="002060"/>
          <w:sz w:val="22"/>
          <w:szCs w:val="22"/>
        </w:rPr>
        <w:t>–</w:t>
      </w:r>
      <w:r w:rsidR="009B423D" w:rsidRPr="00EC2662">
        <w:rPr>
          <w:color w:val="002060"/>
          <w:sz w:val="22"/>
          <w:szCs w:val="22"/>
        </w:rPr>
        <w:t xml:space="preserve"> </w:t>
      </w:r>
      <w:r w:rsidR="00B83D1D" w:rsidRPr="00EC2662">
        <w:rPr>
          <w:color w:val="002060"/>
          <w:sz w:val="22"/>
          <w:szCs w:val="22"/>
        </w:rPr>
        <w:t>November</w:t>
      </w:r>
      <w:r w:rsidR="00F44569" w:rsidRPr="00EC2662">
        <w:rPr>
          <w:color w:val="002060"/>
          <w:sz w:val="22"/>
          <w:szCs w:val="22"/>
        </w:rPr>
        <w:t xml:space="preserve"> </w:t>
      </w:r>
      <w:r w:rsidR="00A527AA" w:rsidRPr="00EC2662">
        <w:rPr>
          <w:color w:val="002060"/>
          <w:sz w:val="22"/>
          <w:szCs w:val="22"/>
        </w:rPr>
        <w:t>2021</w:t>
      </w:r>
    </w:p>
    <w:p w14:paraId="2AF36A24" w14:textId="77777777" w:rsidR="0096544C" w:rsidRPr="007963BB" w:rsidRDefault="0096544C" w:rsidP="00CA61C9">
      <w:pPr>
        <w:pStyle w:val="BodyText"/>
        <w:spacing w:after="0"/>
        <w:jc w:val="both"/>
        <w:rPr>
          <w:b/>
          <w:sz w:val="22"/>
        </w:rPr>
      </w:pPr>
    </w:p>
    <w:p w14:paraId="1DA834D4" w14:textId="1BF4F39C" w:rsidR="002F1CF3" w:rsidRPr="00AE423F" w:rsidRDefault="00887816" w:rsidP="00EC6333">
      <w:pPr>
        <w:pStyle w:val="BodyText"/>
        <w:spacing w:after="0"/>
        <w:rPr>
          <w:b/>
          <w:color w:val="92278F" w:themeColor="accent1"/>
          <w:sz w:val="20"/>
        </w:rPr>
      </w:pPr>
      <w:r w:rsidRPr="00AE423F">
        <w:rPr>
          <w:b/>
          <w:color w:val="92278F" w:themeColor="accent1"/>
          <w:sz w:val="20"/>
        </w:rPr>
        <w:t>G</w:t>
      </w:r>
      <w:r w:rsidR="0000198E" w:rsidRPr="00AE423F">
        <w:rPr>
          <w:b/>
          <w:color w:val="92278F" w:themeColor="accent1"/>
          <w:sz w:val="20"/>
        </w:rPr>
        <w:t xml:space="preserve">lobal </w:t>
      </w:r>
      <w:r w:rsidRPr="00AE423F">
        <w:rPr>
          <w:b/>
          <w:color w:val="92278F" w:themeColor="accent1"/>
          <w:sz w:val="20"/>
        </w:rPr>
        <w:t>LNG trade</w:t>
      </w:r>
      <w:r w:rsidR="0000198E" w:rsidRPr="00AE423F">
        <w:rPr>
          <w:b/>
          <w:color w:val="92278F" w:themeColor="accent1"/>
          <w:sz w:val="20"/>
        </w:rPr>
        <w:t>: Calendar</w:t>
      </w:r>
      <w:r w:rsidR="003316EF" w:rsidRPr="00AE423F">
        <w:rPr>
          <w:b/>
          <w:color w:val="92278F" w:themeColor="accent1"/>
          <w:sz w:val="20"/>
        </w:rPr>
        <w:t xml:space="preserve"> year</w:t>
      </w:r>
      <w:r w:rsidR="0025532C" w:rsidRPr="00AE423F">
        <w:rPr>
          <w:b/>
          <w:color w:val="92278F" w:themeColor="accent1"/>
          <w:sz w:val="20"/>
        </w:rPr>
        <w:t>s</w:t>
      </w:r>
    </w:p>
    <w:p w14:paraId="0C60638A" w14:textId="19ACE440" w:rsidR="002F1CF3" w:rsidRPr="007963BB" w:rsidRDefault="004B6858" w:rsidP="00CA61C9">
      <w:pPr>
        <w:pStyle w:val="BodyText"/>
        <w:spacing w:after="0"/>
        <w:jc w:val="both"/>
        <w:rPr>
          <w:sz w:val="16"/>
        </w:rPr>
      </w:pPr>
      <w:r w:rsidRPr="007963BB">
        <w:rPr>
          <w:noProof/>
          <w:sz w:val="16"/>
          <w:lang w:eastAsia="en-AU"/>
        </w:rPr>
        <w:drawing>
          <wp:inline distT="0" distB="0" distL="0" distR="0" wp14:anchorId="198C1D66" wp14:editId="46C9539E">
            <wp:extent cx="3439160" cy="2013044"/>
            <wp:effectExtent l="0" t="0" r="889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39321" cy="2013138"/>
                    </a:xfrm>
                    <a:prstGeom prst="rect">
                      <a:avLst/>
                    </a:prstGeom>
                    <a:noFill/>
                    <a:ln>
                      <a:noFill/>
                    </a:ln>
                  </pic:spPr>
                </pic:pic>
              </a:graphicData>
            </a:graphic>
          </wp:inline>
        </w:drawing>
      </w:r>
    </w:p>
    <w:p w14:paraId="41287CC3" w14:textId="16BDBC73" w:rsidR="0000198E" w:rsidRPr="007963BB" w:rsidRDefault="00887816" w:rsidP="004A7FCA">
      <w:pPr>
        <w:spacing w:after="0"/>
        <w:jc w:val="both"/>
        <w:rPr>
          <w:sz w:val="10"/>
        </w:rPr>
      </w:pPr>
      <w:r w:rsidRPr="007963BB">
        <w:rPr>
          <w:sz w:val="10"/>
        </w:rPr>
        <w:t>Mt = Million tonnes</w:t>
      </w:r>
      <w:r w:rsidR="0000198E" w:rsidRPr="007963BB">
        <w:rPr>
          <w:sz w:val="10"/>
        </w:rPr>
        <w:t>.</w:t>
      </w:r>
    </w:p>
    <w:p w14:paraId="04AD2C51" w14:textId="50B7AA5F" w:rsidR="006F54DD" w:rsidRPr="007963BB" w:rsidRDefault="00887816" w:rsidP="004A7FCA">
      <w:pPr>
        <w:spacing w:after="0"/>
        <w:jc w:val="both"/>
        <w:rPr>
          <w:sz w:val="10"/>
        </w:rPr>
      </w:pPr>
      <w:r w:rsidRPr="007963BB">
        <w:rPr>
          <w:sz w:val="10"/>
        </w:rPr>
        <w:t xml:space="preserve">Source: International Group of LNG importers (GIIGNL) </w:t>
      </w:r>
      <w:r w:rsidR="003316EF" w:rsidRPr="007963BB">
        <w:rPr>
          <w:sz w:val="10"/>
        </w:rPr>
        <w:t>(</w:t>
      </w:r>
      <w:r w:rsidRPr="007963BB">
        <w:rPr>
          <w:sz w:val="10"/>
        </w:rPr>
        <w:t>Annual</w:t>
      </w:r>
      <w:r w:rsidR="003316EF" w:rsidRPr="007963BB">
        <w:rPr>
          <w:sz w:val="10"/>
        </w:rPr>
        <w:t>).</w:t>
      </w:r>
    </w:p>
    <w:p w14:paraId="4284247B" w14:textId="3C2C1F16" w:rsidR="008405E1" w:rsidRPr="007963BB" w:rsidRDefault="0096544C" w:rsidP="008405E1">
      <w:pPr>
        <w:pStyle w:val="BodyText"/>
        <w:spacing w:after="0"/>
        <w:jc w:val="both"/>
        <w:rPr>
          <w:sz w:val="16"/>
        </w:rPr>
      </w:pPr>
      <w:r w:rsidRPr="007963BB">
        <w:rPr>
          <w:sz w:val="16"/>
        </w:rPr>
        <w:br w:type="column"/>
      </w:r>
    </w:p>
    <w:p w14:paraId="5956CC5A" w14:textId="77777777" w:rsidR="003D6F7E" w:rsidRPr="007963BB" w:rsidRDefault="003D6F7E" w:rsidP="008405E1">
      <w:pPr>
        <w:pStyle w:val="BodyText"/>
        <w:spacing w:after="0"/>
        <w:jc w:val="both"/>
        <w:rPr>
          <w:sz w:val="16"/>
        </w:rPr>
      </w:pPr>
    </w:p>
    <w:p w14:paraId="5ECEFCDF" w14:textId="77777777" w:rsidR="008405E1" w:rsidRPr="007963BB" w:rsidRDefault="008405E1" w:rsidP="008405E1">
      <w:pPr>
        <w:pStyle w:val="BodyText"/>
        <w:spacing w:after="0"/>
        <w:jc w:val="both"/>
        <w:rPr>
          <w:sz w:val="16"/>
        </w:rPr>
      </w:pPr>
    </w:p>
    <w:p w14:paraId="02679735" w14:textId="0495A283" w:rsidR="00395152" w:rsidRPr="007963BB" w:rsidRDefault="00395152" w:rsidP="00395152">
      <w:pPr>
        <w:pStyle w:val="BodyText"/>
        <w:numPr>
          <w:ilvl w:val="0"/>
          <w:numId w:val="9"/>
        </w:numPr>
        <w:spacing w:after="0"/>
        <w:jc w:val="both"/>
        <w:rPr>
          <w:sz w:val="16"/>
        </w:rPr>
      </w:pPr>
      <w:r w:rsidRPr="007963BB">
        <w:rPr>
          <w:sz w:val="16"/>
        </w:rPr>
        <w:t xml:space="preserve">Global liquefied natural gas (LNG) trade </w:t>
      </w:r>
      <w:r w:rsidR="0039000D" w:rsidRPr="007963BB">
        <w:rPr>
          <w:sz w:val="16"/>
        </w:rPr>
        <w:t xml:space="preserve">rose </w:t>
      </w:r>
      <w:r w:rsidR="0058782B" w:rsidRPr="007963BB">
        <w:rPr>
          <w:sz w:val="16"/>
        </w:rPr>
        <w:t>0.4</w:t>
      </w:r>
      <w:r w:rsidR="000B27A1" w:rsidRPr="007963BB">
        <w:rPr>
          <w:sz w:val="16"/>
        </w:rPr>
        <w:t>%</w:t>
      </w:r>
      <w:r w:rsidR="0039000D" w:rsidRPr="007963BB">
        <w:rPr>
          <w:sz w:val="16"/>
        </w:rPr>
        <w:t xml:space="preserve"> (</w:t>
      </w:r>
      <w:r w:rsidR="0058782B" w:rsidRPr="007963BB">
        <w:rPr>
          <w:sz w:val="16"/>
        </w:rPr>
        <w:t>1.4</w:t>
      </w:r>
      <w:r w:rsidR="007C2A78" w:rsidRPr="007963BB">
        <w:rPr>
          <w:sz w:val="16"/>
        </w:rPr>
        <w:t> </w:t>
      </w:r>
      <w:r w:rsidR="0039000D" w:rsidRPr="007963BB">
        <w:rPr>
          <w:sz w:val="16"/>
        </w:rPr>
        <w:t xml:space="preserve">million tonnes) to </w:t>
      </w:r>
      <w:r w:rsidRPr="007963BB">
        <w:rPr>
          <w:sz w:val="16"/>
        </w:rPr>
        <w:t>35</w:t>
      </w:r>
      <w:r w:rsidR="0058782B" w:rsidRPr="007963BB">
        <w:rPr>
          <w:sz w:val="16"/>
        </w:rPr>
        <w:t>6</w:t>
      </w:r>
      <w:r w:rsidR="007C2A78" w:rsidRPr="007963BB">
        <w:rPr>
          <w:sz w:val="16"/>
        </w:rPr>
        <w:t> </w:t>
      </w:r>
      <w:r w:rsidRPr="007963BB">
        <w:rPr>
          <w:sz w:val="16"/>
        </w:rPr>
        <w:t>million tonnes</w:t>
      </w:r>
      <w:r w:rsidR="0039000D" w:rsidRPr="007963BB">
        <w:rPr>
          <w:sz w:val="16"/>
        </w:rPr>
        <w:t xml:space="preserve"> in 20</w:t>
      </w:r>
      <w:r w:rsidR="0058782B" w:rsidRPr="007963BB">
        <w:rPr>
          <w:sz w:val="16"/>
        </w:rPr>
        <w:t>20</w:t>
      </w:r>
      <w:r w:rsidRPr="007963BB">
        <w:rPr>
          <w:sz w:val="16"/>
        </w:rPr>
        <w:t>.</w:t>
      </w:r>
    </w:p>
    <w:p w14:paraId="5B206CC5" w14:textId="3F628417" w:rsidR="00395152" w:rsidRPr="007963BB" w:rsidRDefault="0039000D" w:rsidP="00395152">
      <w:pPr>
        <w:pStyle w:val="BodyText"/>
        <w:numPr>
          <w:ilvl w:val="0"/>
          <w:numId w:val="9"/>
        </w:numPr>
        <w:spacing w:after="0"/>
        <w:jc w:val="both"/>
        <w:rPr>
          <w:sz w:val="16"/>
        </w:rPr>
      </w:pPr>
      <w:r w:rsidRPr="007963BB">
        <w:rPr>
          <w:sz w:val="16"/>
        </w:rPr>
        <w:t>G</w:t>
      </w:r>
      <w:r w:rsidR="00395152" w:rsidRPr="007963BB">
        <w:rPr>
          <w:sz w:val="16"/>
        </w:rPr>
        <w:t xml:space="preserve">lobal LNG trade has grown </w:t>
      </w:r>
      <w:r w:rsidR="0058782B" w:rsidRPr="007963BB">
        <w:rPr>
          <w:sz w:val="16"/>
        </w:rPr>
        <w:t>by a compound annual rate of 4.9</w:t>
      </w:r>
      <w:r w:rsidR="000B27A1" w:rsidRPr="007963BB">
        <w:rPr>
          <w:sz w:val="16"/>
        </w:rPr>
        <w:t>%</w:t>
      </w:r>
      <w:r w:rsidRPr="007963BB">
        <w:rPr>
          <w:sz w:val="16"/>
        </w:rPr>
        <w:t xml:space="preserve"> over the past 10 years</w:t>
      </w:r>
      <w:r w:rsidR="00395152" w:rsidRPr="007963BB">
        <w:rPr>
          <w:sz w:val="16"/>
        </w:rPr>
        <w:t>.</w:t>
      </w:r>
    </w:p>
    <w:p w14:paraId="20525F0C" w14:textId="65865808" w:rsidR="00FB5667" w:rsidRPr="007963BB" w:rsidRDefault="00395152" w:rsidP="00395152">
      <w:pPr>
        <w:pStyle w:val="BodyText"/>
        <w:numPr>
          <w:ilvl w:val="0"/>
          <w:numId w:val="9"/>
        </w:numPr>
        <w:spacing w:after="0"/>
        <w:jc w:val="both"/>
        <w:rPr>
          <w:sz w:val="16"/>
        </w:rPr>
      </w:pPr>
      <w:r w:rsidRPr="007963BB">
        <w:rPr>
          <w:sz w:val="16"/>
        </w:rPr>
        <w:t>Most LNG t</w:t>
      </w:r>
      <w:r w:rsidR="007C2A78" w:rsidRPr="007963BB">
        <w:rPr>
          <w:sz w:val="16"/>
        </w:rPr>
        <w:t>rade is through long and medium</w:t>
      </w:r>
      <w:r w:rsidR="007C2A78" w:rsidRPr="007963BB">
        <w:rPr>
          <w:sz w:val="16"/>
        </w:rPr>
        <w:noBreakHyphen/>
      </w:r>
      <w:r w:rsidRPr="007963BB">
        <w:rPr>
          <w:sz w:val="16"/>
        </w:rPr>
        <w:t>term contracts (contracts with</w:t>
      </w:r>
      <w:r w:rsidR="007C2A78" w:rsidRPr="007963BB">
        <w:rPr>
          <w:sz w:val="16"/>
        </w:rPr>
        <w:t xml:space="preserve"> a duration of longer than four </w:t>
      </w:r>
      <w:r w:rsidRPr="007963BB">
        <w:rPr>
          <w:sz w:val="16"/>
        </w:rPr>
        <w:t>years).</w:t>
      </w:r>
    </w:p>
    <w:p w14:paraId="05F9BB55" w14:textId="1E74B71A" w:rsidR="00395152" w:rsidRPr="007963BB" w:rsidRDefault="0058782B" w:rsidP="00395152">
      <w:pPr>
        <w:pStyle w:val="BodyText"/>
        <w:numPr>
          <w:ilvl w:val="0"/>
          <w:numId w:val="9"/>
        </w:numPr>
        <w:spacing w:after="0"/>
        <w:jc w:val="both"/>
        <w:rPr>
          <w:sz w:val="16"/>
        </w:rPr>
      </w:pPr>
      <w:r w:rsidRPr="007963BB">
        <w:rPr>
          <w:sz w:val="16"/>
        </w:rPr>
        <w:t>In 2020</w:t>
      </w:r>
      <w:r w:rsidR="00395152" w:rsidRPr="007963BB">
        <w:rPr>
          <w:sz w:val="16"/>
        </w:rPr>
        <w:t>, long</w:t>
      </w:r>
      <w:r w:rsidR="007C2A78" w:rsidRPr="007963BB">
        <w:rPr>
          <w:sz w:val="16"/>
        </w:rPr>
        <w:t xml:space="preserve"> and medium</w:t>
      </w:r>
      <w:r w:rsidR="007C2A78" w:rsidRPr="007963BB">
        <w:rPr>
          <w:sz w:val="16"/>
        </w:rPr>
        <w:noBreakHyphen/>
      </w:r>
      <w:r w:rsidRPr="007963BB">
        <w:rPr>
          <w:sz w:val="16"/>
        </w:rPr>
        <w:t>term contracts accounted for 60</w:t>
      </w:r>
      <w:r w:rsidR="00FB5667" w:rsidRPr="007963BB">
        <w:rPr>
          <w:sz w:val="16"/>
        </w:rPr>
        <w:t>%</w:t>
      </w:r>
      <w:r w:rsidR="00395152" w:rsidRPr="007963BB">
        <w:rPr>
          <w:sz w:val="16"/>
        </w:rPr>
        <w:t xml:space="preserve"> (2</w:t>
      </w:r>
      <w:r w:rsidRPr="007963BB">
        <w:rPr>
          <w:sz w:val="16"/>
        </w:rPr>
        <w:t>14</w:t>
      </w:r>
      <w:r w:rsidR="00FB5667" w:rsidRPr="007963BB">
        <w:rPr>
          <w:sz w:val="16"/>
        </w:rPr>
        <w:t xml:space="preserve"> </w:t>
      </w:r>
      <w:r w:rsidR="00395152" w:rsidRPr="007963BB">
        <w:rPr>
          <w:sz w:val="16"/>
        </w:rPr>
        <w:t>million tonnes) of global LNG trade.</w:t>
      </w:r>
    </w:p>
    <w:p w14:paraId="0EEF9027" w14:textId="4DC98829" w:rsidR="0096544C" w:rsidRPr="007963BB" w:rsidRDefault="00395152" w:rsidP="00FB5667">
      <w:pPr>
        <w:pStyle w:val="BodyText"/>
        <w:numPr>
          <w:ilvl w:val="0"/>
          <w:numId w:val="9"/>
        </w:numPr>
        <w:spacing w:after="0"/>
        <w:jc w:val="both"/>
        <w:rPr>
          <w:sz w:val="16"/>
        </w:rPr>
      </w:pPr>
      <w:r w:rsidRPr="007963BB">
        <w:rPr>
          <w:sz w:val="16"/>
        </w:rPr>
        <w:t>The share of L</w:t>
      </w:r>
      <w:r w:rsidR="007C2A78" w:rsidRPr="007963BB">
        <w:rPr>
          <w:sz w:val="16"/>
        </w:rPr>
        <w:t>NG trade through spot and short</w:t>
      </w:r>
      <w:r w:rsidR="007C2A78" w:rsidRPr="007963BB">
        <w:rPr>
          <w:sz w:val="16"/>
        </w:rPr>
        <w:noBreakHyphen/>
      </w:r>
      <w:r w:rsidRPr="007963BB">
        <w:rPr>
          <w:sz w:val="16"/>
        </w:rPr>
        <w:t xml:space="preserve">term contracts is growing, accounting for </w:t>
      </w:r>
      <w:r w:rsidR="0058782B" w:rsidRPr="007963BB">
        <w:rPr>
          <w:sz w:val="16"/>
        </w:rPr>
        <w:t>40</w:t>
      </w:r>
      <w:r w:rsidR="00FB5667" w:rsidRPr="007963BB">
        <w:rPr>
          <w:sz w:val="16"/>
        </w:rPr>
        <w:t>%</w:t>
      </w:r>
      <w:r w:rsidRPr="007963BB">
        <w:rPr>
          <w:sz w:val="16"/>
        </w:rPr>
        <w:t xml:space="preserve"> (</w:t>
      </w:r>
      <w:r w:rsidR="007C2A78" w:rsidRPr="007963BB">
        <w:rPr>
          <w:sz w:val="16"/>
        </w:rPr>
        <w:t>1</w:t>
      </w:r>
      <w:r w:rsidR="0058782B" w:rsidRPr="007963BB">
        <w:rPr>
          <w:sz w:val="16"/>
        </w:rPr>
        <w:t>42</w:t>
      </w:r>
      <w:r w:rsidR="007C2A78" w:rsidRPr="007963BB">
        <w:rPr>
          <w:sz w:val="16"/>
        </w:rPr>
        <w:t> </w:t>
      </w:r>
      <w:r w:rsidRPr="007963BB">
        <w:rPr>
          <w:sz w:val="16"/>
        </w:rPr>
        <w:t xml:space="preserve">million tonnes) of </w:t>
      </w:r>
      <w:r w:rsidR="00FB5667" w:rsidRPr="007963BB">
        <w:rPr>
          <w:sz w:val="16"/>
        </w:rPr>
        <w:t xml:space="preserve">global </w:t>
      </w:r>
      <w:r w:rsidRPr="007963BB">
        <w:rPr>
          <w:sz w:val="16"/>
        </w:rPr>
        <w:t>LNG trade in 20</w:t>
      </w:r>
      <w:r w:rsidR="0058782B" w:rsidRPr="007963BB">
        <w:rPr>
          <w:sz w:val="16"/>
        </w:rPr>
        <w:t>20</w:t>
      </w:r>
      <w:r w:rsidR="00FB5667" w:rsidRPr="007963BB">
        <w:rPr>
          <w:sz w:val="16"/>
        </w:rPr>
        <w:t xml:space="preserve"> </w:t>
      </w:r>
      <w:r w:rsidR="007C2A78" w:rsidRPr="007963BB">
        <w:rPr>
          <w:sz w:val="16"/>
        </w:rPr>
        <w:t>–</w:t>
      </w:r>
      <w:r w:rsidR="00FB5667" w:rsidRPr="007963BB">
        <w:rPr>
          <w:sz w:val="16"/>
        </w:rPr>
        <w:t xml:space="preserve"> the highest share on record</w:t>
      </w:r>
      <w:r w:rsidR="003F3D29" w:rsidRPr="007963BB">
        <w:rPr>
          <w:sz w:val="16"/>
        </w:rPr>
        <w:t>.</w:t>
      </w:r>
    </w:p>
    <w:p w14:paraId="65E1DDF2" w14:textId="77777777" w:rsidR="004E76B9" w:rsidRPr="007963BB" w:rsidRDefault="004E76B9" w:rsidP="004E76B9">
      <w:pPr>
        <w:pStyle w:val="BodyText"/>
        <w:spacing w:after="0"/>
        <w:jc w:val="both"/>
        <w:rPr>
          <w:sz w:val="16"/>
        </w:rPr>
        <w:sectPr w:rsidR="004E76B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0AF1E852" w14:textId="08E06810" w:rsidR="00006DAE" w:rsidRPr="007963BB" w:rsidRDefault="00006DAE" w:rsidP="004E76B9">
      <w:pPr>
        <w:pStyle w:val="BodyText"/>
        <w:spacing w:after="0"/>
        <w:jc w:val="both"/>
        <w:rPr>
          <w:sz w:val="16"/>
        </w:rPr>
      </w:pPr>
    </w:p>
    <w:p w14:paraId="7C3E4D76" w14:textId="4CAA5CFD" w:rsidR="001E71EC" w:rsidRPr="007963BB" w:rsidRDefault="001E71EC" w:rsidP="004E76B9">
      <w:pPr>
        <w:pStyle w:val="BodyText"/>
        <w:spacing w:after="0"/>
        <w:jc w:val="both"/>
        <w:rPr>
          <w:sz w:val="16"/>
        </w:rPr>
      </w:pPr>
    </w:p>
    <w:p w14:paraId="52B3C894" w14:textId="087E8C73" w:rsidR="004E76B9" w:rsidRPr="00AE423F" w:rsidRDefault="00CE1073" w:rsidP="00EC6333">
      <w:pPr>
        <w:pStyle w:val="BodyText"/>
        <w:spacing w:after="0"/>
        <w:rPr>
          <w:b/>
          <w:color w:val="92278F" w:themeColor="accent1"/>
          <w:sz w:val="20"/>
        </w:rPr>
      </w:pPr>
      <w:r w:rsidRPr="00AE423F">
        <w:rPr>
          <w:b/>
          <w:color w:val="92278F" w:themeColor="accent1"/>
          <w:sz w:val="20"/>
        </w:rPr>
        <w:t>Major g</w:t>
      </w:r>
      <w:r w:rsidR="00807540" w:rsidRPr="00AE423F">
        <w:rPr>
          <w:b/>
          <w:color w:val="92278F" w:themeColor="accent1"/>
          <w:sz w:val="20"/>
        </w:rPr>
        <w:t>lobal LNG export</w:t>
      </w:r>
      <w:r w:rsidRPr="00AE423F">
        <w:rPr>
          <w:b/>
          <w:color w:val="92278F" w:themeColor="accent1"/>
          <w:sz w:val="20"/>
        </w:rPr>
        <w:t>er</w:t>
      </w:r>
      <w:r w:rsidR="00807540" w:rsidRPr="00AE423F">
        <w:rPr>
          <w:b/>
          <w:color w:val="92278F" w:themeColor="accent1"/>
          <w:sz w:val="20"/>
        </w:rPr>
        <w:t>s</w:t>
      </w:r>
      <w:r w:rsidR="00C958FF" w:rsidRPr="00AE423F">
        <w:rPr>
          <w:b/>
          <w:color w:val="92278F" w:themeColor="accent1"/>
          <w:sz w:val="20"/>
        </w:rPr>
        <w:t xml:space="preserve">: </w:t>
      </w:r>
      <w:r w:rsidR="00807540" w:rsidRPr="00AE423F">
        <w:rPr>
          <w:b/>
          <w:color w:val="92278F" w:themeColor="accent1"/>
          <w:sz w:val="20"/>
        </w:rPr>
        <w:t>20</w:t>
      </w:r>
      <w:r w:rsidR="0058782B" w:rsidRPr="00AE423F">
        <w:rPr>
          <w:b/>
          <w:color w:val="92278F" w:themeColor="accent1"/>
          <w:sz w:val="20"/>
        </w:rPr>
        <w:t>20</w:t>
      </w:r>
      <w:r w:rsidR="00807540" w:rsidRPr="00AE423F">
        <w:rPr>
          <w:b/>
          <w:color w:val="92278F" w:themeColor="accent1"/>
          <w:sz w:val="20"/>
        </w:rPr>
        <w:t xml:space="preserve"> c</w:t>
      </w:r>
      <w:r w:rsidR="00F65673" w:rsidRPr="00AE423F">
        <w:rPr>
          <w:b/>
          <w:color w:val="92278F" w:themeColor="accent1"/>
          <w:sz w:val="20"/>
        </w:rPr>
        <w:t>alendar</w:t>
      </w:r>
      <w:r w:rsidR="0025532C" w:rsidRPr="00AE423F">
        <w:rPr>
          <w:b/>
          <w:color w:val="92278F" w:themeColor="accent1"/>
          <w:sz w:val="20"/>
        </w:rPr>
        <w:t xml:space="preserve"> year</w:t>
      </w:r>
    </w:p>
    <w:p w14:paraId="7B320940" w14:textId="590EA6C5" w:rsidR="0025532C" w:rsidRPr="007963BB" w:rsidRDefault="004B6858" w:rsidP="004E76B9">
      <w:pPr>
        <w:pStyle w:val="BodyText"/>
        <w:spacing w:after="0"/>
        <w:jc w:val="both"/>
        <w:rPr>
          <w:b/>
          <w:sz w:val="16"/>
        </w:rPr>
      </w:pPr>
      <w:r w:rsidRPr="007963BB">
        <w:rPr>
          <w:b/>
          <w:noProof/>
          <w:sz w:val="16"/>
          <w:lang w:eastAsia="en-AU"/>
        </w:rPr>
        <w:drawing>
          <wp:inline distT="0" distB="0" distL="0" distR="0" wp14:anchorId="033271BA" wp14:editId="0224CE65">
            <wp:extent cx="3514090" cy="2026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4090" cy="2026920"/>
                    </a:xfrm>
                    <a:prstGeom prst="rect">
                      <a:avLst/>
                    </a:prstGeom>
                    <a:noFill/>
                    <a:ln>
                      <a:noFill/>
                    </a:ln>
                  </pic:spPr>
                </pic:pic>
              </a:graphicData>
            </a:graphic>
          </wp:inline>
        </w:drawing>
      </w:r>
    </w:p>
    <w:p w14:paraId="5A1D891F" w14:textId="77777777" w:rsidR="00C67229" w:rsidRPr="007963BB" w:rsidRDefault="00C67229" w:rsidP="00C67229">
      <w:pPr>
        <w:spacing w:after="0"/>
        <w:jc w:val="both"/>
        <w:rPr>
          <w:sz w:val="10"/>
        </w:rPr>
      </w:pPr>
      <w:r w:rsidRPr="007963BB">
        <w:rPr>
          <w:sz w:val="10"/>
        </w:rPr>
        <w:t>Mt = Million tonnes.</w:t>
      </w:r>
    </w:p>
    <w:p w14:paraId="2F14AEFA" w14:textId="1E064806" w:rsidR="004E76B9" w:rsidRPr="007963BB" w:rsidRDefault="00C67229" w:rsidP="00C67229">
      <w:pPr>
        <w:spacing w:after="0"/>
        <w:jc w:val="both"/>
        <w:rPr>
          <w:sz w:val="10"/>
        </w:rPr>
      </w:pPr>
      <w:r w:rsidRPr="007963BB">
        <w:rPr>
          <w:sz w:val="10"/>
        </w:rPr>
        <w:t>Source: International Group of LNG importers (GIIGNL) (Annual); and WA Department of Jobs, Tourism, Science and Innovation</w:t>
      </w:r>
      <w:r w:rsidR="00B720D6" w:rsidRPr="007963BB">
        <w:rPr>
          <w:sz w:val="10"/>
        </w:rPr>
        <w:t>.</w:t>
      </w:r>
    </w:p>
    <w:p w14:paraId="12E2BC85" w14:textId="1A2DF315" w:rsidR="00006DAE" w:rsidRPr="007963BB" w:rsidRDefault="00524C37" w:rsidP="004E46F6">
      <w:pPr>
        <w:pStyle w:val="BodyText"/>
        <w:spacing w:after="0"/>
        <w:jc w:val="both"/>
        <w:rPr>
          <w:sz w:val="16"/>
        </w:rPr>
      </w:pPr>
      <w:r w:rsidRPr="007963BB">
        <w:rPr>
          <w:sz w:val="16"/>
        </w:rPr>
        <w:br w:type="column"/>
      </w:r>
    </w:p>
    <w:p w14:paraId="2DE9F1E5" w14:textId="2D5128AE" w:rsidR="001E71EC" w:rsidRPr="007963BB" w:rsidRDefault="001E71EC" w:rsidP="001E71EC">
      <w:pPr>
        <w:pStyle w:val="BodyText"/>
        <w:spacing w:after="0"/>
        <w:jc w:val="both"/>
        <w:rPr>
          <w:sz w:val="16"/>
        </w:rPr>
      </w:pPr>
    </w:p>
    <w:p w14:paraId="354DC1BF" w14:textId="331F1E7A" w:rsidR="004623D1" w:rsidRPr="00D51391" w:rsidRDefault="004623D1" w:rsidP="004623D1">
      <w:pPr>
        <w:pStyle w:val="BodyText"/>
        <w:numPr>
          <w:ilvl w:val="0"/>
          <w:numId w:val="9"/>
        </w:numPr>
        <w:spacing w:after="0"/>
        <w:jc w:val="both"/>
        <w:rPr>
          <w:sz w:val="16"/>
        </w:rPr>
      </w:pPr>
      <w:r w:rsidRPr="00D51391">
        <w:rPr>
          <w:sz w:val="16"/>
        </w:rPr>
        <w:t xml:space="preserve">Australia </w:t>
      </w:r>
      <w:r w:rsidR="004E2AA7" w:rsidRPr="00D51391">
        <w:rPr>
          <w:sz w:val="16"/>
        </w:rPr>
        <w:t>i</w:t>
      </w:r>
      <w:r w:rsidRPr="00D51391">
        <w:rPr>
          <w:sz w:val="16"/>
        </w:rPr>
        <w:t xml:space="preserve">s the largest </w:t>
      </w:r>
      <w:r w:rsidR="004E2AA7" w:rsidRPr="00D51391">
        <w:rPr>
          <w:sz w:val="16"/>
        </w:rPr>
        <w:t>global LNG exporter</w:t>
      </w:r>
      <w:r w:rsidR="0058782B" w:rsidRPr="00D51391">
        <w:rPr>
          <w:sz w:val="16"/>
        </w:rPr>
        <w:t>, accounting for 2</w:t>
      </w:r>
      <w:r w:rsidR="00AB68D6" w:rsidRPr="00D51391">
        <w:rPr>
          <w:sz w:val="16"/>
        </w:rPr>
        <w:t>1.8</w:t>
      </w:r>
      <w:r w:rsidR="004E2AA7" w:rsidRPr="00D51391">
        <w:rPr>
          <w:sz w:val="16"/>
        </w:rPr>
        <w:t>%</w:t>
      </w:r>
      <w:r w:rsidRPr="00D51391">
        <w:rPr>
          <w:sz w:val="16"/>
        </w:rPr>
        <w:t xml:space="preserve"> of global LNG exports</w:t>
      </w:r>
      <w:r w:rsidR="004E2AA7" w:rsidRPr="00D51391">
        <w:rPr>
          <w:sz w:val="16"/>
        </w:rPr>
        <w:t xml:space="preserve"> in 20</w:t>
      </w:r>
      <w:r w:rsidR="0058782B" w:rsidRPr="00D51391">
        <w:rPr>
          <w:sz w:val="16"/>
        </w:rPr>
        <w:t>20</w:t>
      </w:r>
      <w:r w:rsidRPr="00D51391">
        <w:rPr>
          <w:sz w:val="16"/>
        </w:rPr>
        <w:t>.</w:t>
      </w:r>
    </w:p>
    <w:p w14:paraId="030E837F" w14:textId="515504EC" w:rsidR="004623D1" w:rsidRPr="00D51391" w:rsidRDefault="004623D1" w:rsidP="004623D1">
      <w:pPr>
        <w:pStyle w:val="BodyText"/>
        <w:numPr>
          <w:ilvl w:val="0"/>
          <w:numId w:val="9"/>
        </w:numPr>
        <w:spacing w:after="0"/>
        <w:jc w:val="both"/>
        <w:rPr>
          <w:sz w:val="16"/>
        </w:rPr>
      </w:pPr>
      <w:r w:rsidRPr="00D51391">
        <w:rPr>
          <w:sz w:val="16"/>
        </w:rPr>
        <w:t>Western Australia accounted for 12</w:t>
      </w:r>
      <w:r w:rsidR="008714D3" w:rsidRPr="00D51391">
        <w:rPr>
          <w:sz w:val="16"/>
        </w:rPr>
        <w:t>%</w:t>
      </w:r>
      <w:r w:rsidR="0058782B" w:rsidRPr="00D51391">
        <w:rPr>
          <w:sz w:val="16"/>
        </w:rPr>
        <w:t xml:space="preserve"> of global LNG exports and 57</w:t>
      </w:r>
      <w:r w:rsidR="008714D3" w:rsidRPr="00D51391">
        <w:rPr>
          <w:sz w:val="16"/>
        </w:rPr>
        <w:t xml:space="preserve">% </w:t>
      </w:r>
      <w:r w:rsidRPr="00D51391">
        <w:rPr>
          <w:sz w:val="16"/>
        </w:rPr>
        <w:t>of Australia’s LNG exports in 20</w:t>
      </w:r>
      <w:r w:rsidR="0058782B" w:rsidRPr="00D51391">
        <w:rPr>
          <w:sz w:val="16"/>
        </w:rPr>
        <w:t>20</w:t>
      </w:r>
      <w:r w:rsidRPr="00D51391">
        <w:rPr>
          <w:sz w:val="16"/>
        </w:rPr>
        <w:t>.</w:t>
      </w:r>
    </w:p>
    <w:p w14:paraId="5ED76112" w14:textId="4BE10B75" w:rsidR="004623D1" w:rsidRPr="00D51391" w:rsidRDefault="004623D1" w:rsidP="004623D1">
      <w:pPr>
        <w:pStyle w:val="BodyText"/>
        <w:numPr>
          <w:ilvl w:val="0"/>
          <w:numId w:val="9"/>
        </w:numPr>
        <w:spacing w:after="0"/>
        <w:jc w:val="both"/>
        <w:rPr>
          <w:sz w:val="16"/>
        </w:rPr>
      </w:pPr>
      <w:r w:rsidRPr="00D51391">
        <w:rPr>
          <w:sz w:val="16"/>
        </w:rPr>
        <w:t xml:space="preserve">Qatar </w:t>
      </w:r>
      <w:r w:rsidR="008714D3" w:rsidRPr="00D51391">
        <w:rPr>
          <w:sz w:val="16"/>
        </w:rPr>
        <w:t>i</w:t>
      </w:r>
      <w:r w:rsidRPr="00D51391">
        <w:rPr>
          <w:sz w:val="16"/>
        </w:rPr>
        <w:t xml:space="preserve">s the </w:t>
      </w:r>
      <w:r w:rsidR="00522FBD" w:rsidRPr="00D51391">
        <w:rPr>
          <w:sz w:val="16"/>
        </w:rPr>
        <w:t>second</w:t>
      </w:r>
      <w:r w:rsidR="0058782B" w:rsidRPr="00D51391">
        <w:rPr>
          <w:color w:val="FF0000"/>
          <w:sz w:val="16"/>
        </w:rPr>
        <w:t xml:space="preserve"> </w:t>
      </w:r>
      <w:r w:rsidRPr="00D51391">
        <w:rPr>
          <w:sz w:val="16"/>
        </w:rPr>
        <w:t xml:space="preserve">largest </w:t>
      </w:r>
      <w:r w:rsidR="008714D3" w:rsidRPr="00D51391">
        <w:rPr>
          <w:sz w:val="16"/>
        </w:rPr>
        <w:t xml:space="preserve">global </w:t>
      </w:r>
      <w:r w:rsidRPr="00D51391">
        <w:rPr>
          <w:sz w:val="16"/>
        </w:rPr>
        <w:t>LNG exporter, accounting for 2</w:t>
      </w:r>
      <w:r w:rsidR="00AB68D6" w:rsidRPr="00D51391">
        <w:rPr>
          <w:sz w:val="16"/>
        </w:rPr>
        <w:t>1.7</w:t>
      </w:r>
      <w:r w:rsidR="008714D3" w:rsidRPr="00D51391">
        <w:rPr>
          <w:sz w:val="16"/>
        </w:rPr>
        <w:t>%</w:t>
      </w:r>
      <w:r w:rsidRPr="00D51391">
        <w:rPr>
          <w:sz w:val="16"/>
        </w:rPr>
        <w:t xml:space="preserve"> of global LNG exports</w:t>
      </w:r>
      <w:r w:rsidR="008714D3" w:rsidRPr="00D51391">
        <w:rPr>
          <w:sz w:val="16"/>
        </w:rPr>
        <w:t xml:space="preserve"> in 20</w:t>
      </w:r>
      <w:r w:rsidR="0058782B" w:rsidRPr="00D51391">
        <w:rPr>
          <w:sz w:val="16"/>
        </w:rPr>
        <w:t>20</w:t>
      </w:r>
      <w:r w:rsidRPr="00D51391">
        <w:rPr>
          <w:sz w:val="16"/>
        </w:rPr>
        <w:t xml:space="preserve">. Qatar </w:t>
      </w:r>
      <w:r w:rsidR="0058782B" w:rsidRPr="00D51391">
        <w:rPr>
          <w:sz w:val="16"/>
        </w:rPr>
        <w:t>was</w:t>
      </w:r>
      <w:r w:rsidRPr="00D51391">
        <w:rPr>
          <w:sz w:val="16"/>
        </w:rPr>
        <w:t xml:space="preserve"> the world’s largest LNG exporter </w:t>
      </w:r>
      <w:r w:rsidR="0058782B" w:rsidRPr="00D51391">
        <w:rPr>
          <w:sz w:val="16"/>
        </w:rPr>
        <w:t xml:space="preserve">from </w:t>
      </w:r>
      <w:r w:rsidRPr="00D51391">
        <w:rPr>
          <w:sz w:val="16"/>
        </w:rPr>
        <w:t>2006</w:t>
      </w:r>
      <w:r w:rsidR="0058782B" w:rsidRPr="00D51391">
        <w:rPr>
          <w:sz w:val="16"/>
        </w:rPr>
        <w:t xml:space="preserve"> to 2019</w:t>
      </w:r>
      <w:r w:rsidRPr="00D51391">
        <w:rPr>
          <w:sz w:val="16"/>
        </w:rPr>
        <w:t>.</w:t>
      </w:r>
    </w:p>
    <w:p w14:paraId="71B05C19" w14:textId="4B961230" w:rsidR="004E46F6" w:rsidRPr="00D51391" w:rsidRDefault="004623D1" w:rsidP="00810D5A">
      <w:pPr>
        <w:pStyle w:val="BodyText"/>
        <w:numPr>
          <w:ilvl w:val="0"/>
          <w:numId w:val="9"/>
        </w:numPr>
        <w:spacing w:after="0"/>
        <w:jc w:val="both"/>
        <w:rPr>
          <w:sz w:val="16"/>
        </w:rPr>
      </w:pPr>
      <w:r w:rsidRPr="00D51391">
        <w:rPr>
          <w:sz w:val="16"/>
        </w:rPr>
        <w:t>The U</w:t>
      </w:r>
      <w:r w:rsidR="008714D3" w:rsidRPr="00D51391">
        <w:rPr>
          <w:sz w:val="16"/>
        </w:rPr>
        <w:t xml:space="preserve">nited States </w:t>
      </w:r>
      <w:r w:rsidRPr="00D51391">
        <w:rPr>
          <w:sz w:val="16"/>
        </w:rPr>
        <w:t>accounted for 1</w:t>
      </w:r>
      <w:r w:rsidR="0058782B" w:rsidRPr="00D51391">
        <w:rPr>
          <w:sz w:val="16"/>
        </w:rPr>
        <w:t>3</w:t>
      </w:r>
      <w:r w:rsidR="008714D3" w:rsidRPr="00D51391">
        <w:rPr>
          <w:sz w:val="16"/>
        </w:rPr>
        <w:t>%</w:t>
      </w:r>
      <w:r w:rsidR="0058782B" w:rsidRPr="00D51391">
        <w:rPr>
          <w:sz w:val="16"/>
        </w:rPr>
        <w:t xml:space="preserve"> of global LNG exports in 2020</w:t>
      </w:r>
      <w:r w:rsidRPr="00D51391">
        <w:rPr>
          <w:sz w:val="16"/>
        </w:rPr>
        <w:t>. The U</w:t>
      </w:r>
      <w:r w:rsidR="008714D3" w:rsidRPr="00D51391">
        <w:rPr>
          <w:sz w:val="16"/>
        </w:rPr>
        <w:t>nited States’</w:t>
      </w:r>
      <w:r w:rsidRPr="00D51391">
        <w:rPr>
          <w:sz w:val="16"/>
        </w:rPr>
        <w:t xml:space="preserve"> share of global LNG exports </w:t>
      </w:r>
      <w:r w:rsidR="008714D3" w:rsidRPr="00D51391">
        <w:rPr>
          <w:sz w:val="16"/>
        </w:rPr>
        <w:t>is i</w:t>
      </w:r>
      <w:r w:rsidRPr="00D51391">
        <w:rPr>
          <w:sz w:val="16"/>
        </w:rPr>
        <w:t>ncreas</w:t>
      </w:r>
      <w:r w:rsidR="008714D3" w:rsidRPr="00D51391">
        <w:rPr>
          <w:sz w:val="16"/>
        </w:rPr>
        <w:t xml:space="preserve">ing </w:t>
      </w:r>
      <w:r w:rsidRPr="00D51391">
        <w:rPr>
          <w:sz w:val="16"/>
        </w:rPr>
        <w:t>as new projects become operational</w:t>
      </w:r>
      <w:r w:rsidR="004E46F6" w:rsidRPr="00D51391">
        <w:rPr>
          <w:sz w:val="16"/>
        </w:rPr>
        <w:t>.</w:t>
      </w:r>
    </w:p>
    <w:p w14:paraId="6AC99C77" w14:textId="77777777" w:rsidR="00C6467F" w:rsidRPr="007963BB" w:rsidRDefault="00C6467F" w:rsidP="00C6467F">
      <w:pPr>
        <w:pStyle w:val="BodyText"/>
        <w:spacing w:after="0"/>
        <w:ind w:left="360"/>
        <w:jc w:val="both"/>
        <w:rPr>
          <w:sz w:val="16"/>
        </w:rPr>
        <w:sectPr w:rsidR="00C6467F"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0A3B76CA" w14:textId="17B3A591" w:rsidR="00C6467F" w:rsidRPr="007963BB" w:rsidRDefault="00C6467F" w:rsidP="00C6467F">
      <w:pPr>
        <w:pStyle w:val="BodyText"/>
        <w:spacing w:after="0"/>
        <w:jc w:val="both"/>
        <w:rPr>
          <w:sz w:val="16"/>
        </w:rPr>
      </w:pPr>
    </w:p>
    <w:p w14:paraId="38182403" w14:textId="194FED38" w:rsidR="00006DAE" w:rsidRPr="007963BB" w:rsidRDefault="00006DAE" w:rsidP="00C6467F">
      <w:pPr>
        <w:pStyle w:val="BodyText"/>
        <w:spacing w:after="0"/>
        <w:jc w:val="both"/>
        <w:rPr>
          <w:sz w:val="16"/>
        </w:rPr>
      </w:pPr>
    </w:p>
    <w:p w14:paraId="24EE57E9" w14:textId="620F9F69" w:rsidR="00FA5611" w:rsidRPr="00AE423F" w:rsidRDefault="00C50550" w:rsidP="00FA5611">
      <w:pPr>
        <w:pStyle w:val="BodyText"/>
        <w:spacing w:after="0"/>
        <w:rPr>
          <w:b/>
          <w:color w:val="92278F" w:themeColor="accent1"/>
          <w:sz w:val="20"/>
        </w:rPr>
      </w:pPr>
      <w:r w:rsidRPr="00AE423F">
        <w:rPr>
          <w:b/>
          <w:color w:val="92278F" w:themeColor="accent1"/>
          <w:sz w:val="20"/>
        </w:rPr>
        <w:t>Major g</w:t>
      </w:r>
      <w:r w:rsidR="00FA5611" w:rsidRPr="00AE423F">
        <w:rPr>
          <w:b/>
          <w:color w:val="92278F" w:themeColor="accent1"/>
          <w:sz w:val="20"/>
        </w:rPr>
        <w:t>lobal LNG import</w:t>
      </w:r>
      <w:r w:rsidRPr="00AE423F">
        <w:rPr>
          <w:b/>
          <w:color w:val="92278F" w:themeColor="accent1"/>
          <w:sz w:val="20"/>
        </w:rPr>
        <w:t>ers</w:t>
      </w:r>
      <w:r w:rsidR="00FA5611" w:rsidRPr="00AE423F">
        <w:rPr>
          <w:b/>
          <w:color w:val="92278F" w:themeColor="accent1"/>
          <w:sz w:val="20"/>
        </w:rPr>
        <w:t>: 20</w:t>
      </w:r>
      <w:r w:rsidR="0058782B" w:rsidRPr="00AE423F">
        <w:rPr>
          <w:b/>
          <w:color w:val="92278F" w:themeColor="accent1"/>
          <w:sz w:val="20"/>
        </w:rPr>
        <w:t>20</w:t>
      </w:r>
      <w:r w:rsidR="00FA5611" w:rsidRPr="00AE423F">
        <w:rPr>
          <w:b/>
          <w:color w:val="92278F" w:themeColor="accent1"/>
          <w:sz w:val="20"/>
        </w:rPr>
        <w:t xml:space="preserve"> calendar year</w:t>
      </w:r>
    </w:p>
    <w:p w14:paraId="02496F3B" w14:textId="04095937" w:rsidR="00771526" w:rsidRPr="007963BB" w:rsidRDefault="004B6858" w:rsidP="00771526">
      <w:pPr>
        <w:pStyle w:val="BodyText"/>
        <w:spacing w:after="0"/>
        <w:jc w:val="both"/>
        <w:rPr>
          <w:sz w:val="16"/>
        </w:rPr>
      </w:pPr>
      <w:r w:rsidRPr="007963BB">
        <w:rPr>
          <w:noProof/>
          <w:sz w:val="16"/>
          <w:lang w:eastAsia="en-AU"/>
        </w:rPr>
        <w:drawing>
          <wp:inline distT="0" distB="0" distL="0" distR="0" wp14:anchorId="554AF40F" wp14:editId="1714623C">
            <wp:extent cx="3575685" cy="2101850"/>
            <wp:effectExtent l="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75685" cy="2101850"/>
                    </a:xfrm>
                    <a:prstGeom prst="rect">
                      <a:avLst/>
                    </a:prstGeom>
                    <a:noFill/>
                    <a:ln>
                      <a:noFill/>
                    </a:ln>
                  </pic:spPr>
                </pic:pic>
              </a:graphicData>
            </a:graphic>
          </wp:inline>
        </w:drawing>
      </w:r>
    </w:p>
    <w:p w14:paraId="0B832FF8" w14:textId="77777777" w:rsidR="00B635D0" w:rsidRPr="007963BB" w:rsidRDefault="00B635D0" w:rsidP="00B635D0">
      <w:pPr>
        <w:spacing w:after="0"/>
        <w:jc w:val="both"/>
        <w:rPr>
          <w:sz w:val="10"/>
        </w:rPr>
      </w:pPr>
      <w:r w:rsidRPr="007963BB">
        <w:rPr>
          <w:sz w:val="10"/>
        </w:rPr>
        <w:t>Mt = Million tonnes.</w:t>
      </w:r>
    </w:p>
    <w:p w14:paraId="264E8B0B" w14:textId="1AEEF449" w:rsidR="00B635D0" w:rsidRPr="007963BB" w:rsidRDefault="00B635D0" w:rsidP="00B635D0">
      <w:pPr>
        <w:spacing w:after="0"/>
        <w:jc w:val="both"/>
        <w:rPr>
          <w:sz w:val="10"/>
        </w:rPr>
      </w:pPr>
      <w:r w:rsidRPr="007963BB">
        <w:rPr>
          <w:sz w:val="10"/>
        </w:rPr>
        <w:t>Source: International Group of LNG importers (GIIGNL) (Annual).</w:t>
      </w:r>
    </w:p>
    <w:p w14:paraId="262C3296" w14:textId="1AE38ABF" w:rsidR="00C922A0" w:rsidRPr="007963BB" w:rsidRDefault="00BA2F7B" w:rsidP="00B635D0">
      <w:pPr>
        <w:spacing w:after="0"/>
        <w:jc w:val="both"/>
        <w:rPr>
          <w:sz w:val="16"/>
        </w:rPr>
      </w:pPr>
      <w:r w:rsidRPr="007963BB">
        <w:br w:type="column"/>
      </w:r>
    </w:p>
    <w:p w14:paraId="4A7653D1" w14:textId="77777777" w:rsidR="00006DAE" w:rsidRPr="007963BB" w:rsidRDefault="00006DAE" w:rsidP="00B9649C">
      <w:pPr>
        <w:spacing w:after="0"/>
        <w:jc w:val="both"/>
        <w:rPr>
          <w:sz w:val="16"/>
        </w:rPr>
      </w:pPr>
    </w:p>
    <w:p w14:paraId="17E73A4F" w14:textId="0B27645C" w:rsidR="00580866" w:rsidRPr="007963BB" w:rsidRDefault="00580866" w:rsidP="00580866">
      <w:pPr>
        <w:pStyle w:val="BodyText"/>
        <w:numPr>
          <w:ilvl w:val="0"/>
          <w:numId w:val="9"/>
        </w:numPr>
        <w:spacing w:after="0"/>
        <w:jc w:val="both"/>
        <w:rPr>
          <w:sz w:val="16"/>
        </w:rPr>
      </w:pPr>
      <w:r w:rsidRPr="007963BB">
        <w:rPr>
          <w:sz w:val="16"/>
        </w:rPr>
        <w:t xml:space="preserve">Asia </w:t>
      </w:r>
      <w:r w:rsidR="002251A4" w:rsidRPr="007963BB">
        <w:rPr>
          <w:sz w:val="16"/>
        </w:rPr>
        <w:t>is the largest importer of LNG globally. In 20</w:t>
      </w:r>
      <w:r w:rsidR="0058782B" w:rsidRPr="007963BB">
        <w:rPr>
          <w:sz w:val="16"/>
        </w:rPr>
        <w:t>20</w:t>
      </w:r>
      <w:r w:rsidR="002251A4" w:rsidRPr="007963BB">
        <w:rPr>
          <w:sz w:val="16"/>
        </w:rPr>
        <w:t xml:space="preserve">, Asia </w:t>
      </w:r>
      <w:r w:rsidRPr="007963BB">
        <w:rPr>
          <w:sz w:val="16"/>
        </w:rPr>
        <w:t xml:space="preserve">accounted for </w:t>
      </w:r>
      <w:r w:rsidR="0058782B" w:rsidRPr="007963BB">
        <w:rPr>
          <w:sz w:val="16"/>
        </w:rPr>
        <w:t>71</w:t>
      </w:r>
      <w:r w:rsidR="002251A4" w:rsidRPr="007963BB">
        <w:rPr>
          <w:sz w:val="16"/>
        </w:rPr>
        <w:t>%</w:t>
      </w:r>
      <w:r w:rsidR="0058782B" w:rsidRPr="007963BB">
        <w:rPr>
          <w:sz w:val="16"/>
        </w:rPr>
        <w:t xml:space="preserve"> (254</w:t>
      </w:r>
      <w:r w:rsidR="002251A4" w:rsidRPr="007963BB">
        <w:rPr>
          <w:sz w:val="16"/>
        </w:rPr>
        <w:t xml:space="preserve"> </w:t>
      </w:r>
      <w:r w:rsidRPr="007963BB">
        <w:rPr>
          <w:sz w:val="16"/>
        </w:rPr>
        <w:t xml:space="preserve">million tonnes) of global LNG imports. The five largest LNG importers </w:t>
      </w:r>
      <w:r w:rsidR="004E0C3A" w:rsidRPr="007963BB">
        <w:rPr>
          <w:sz w:val="16"/>
        </w:rPr>
        <w:t>in 20</w:t>
      </w:r>
      <w:r w:rsidR="0058782B" w:rsidRPr="007963BB">
        <w:rPr>
          <w:sz w:val="16"/>
        </w:rPr>
        <w:t>20</w:t>
      </w:r>
      <w:r w:rsidR="004E0C3A" w:rsidRPr="007963BB">
        <w:rPr>
          <w:sz w:val="16"/>
        </w:rPr>
        <w:t xml:space="preserve"> </w:t>
      </w:r>
      <w:r w:rsidR="002251A4" w:rsidRPr="007963BB">
        <w:rPr>
          <w:sz w:val="16"/>
        </w:rPr>
        <w:t xml:space="preserve">were all from Asia: </w:t>
      </w:r>
      <w:r w:rsidRPr="007963BB">
        <w:rPr>
          <w:sz w:val="16"/>
        </w:rPr>
        <w:t>Japan, China, South Korea, India and Taiwan.</w:t>
      </w:r>
    </w:p>
    <w:p w14:paraId="1CB49775" w14:textId="38AB4053" w:rsidR="00580866" w:rsidRPr="007963BB" w:rsidRDefault="00580866" w:rsidP="00580866">
      <w:pPr>
        <w:pStyle w:val="BodyText"/>
        <w:numPr>
          <w:ilvl w:val="0"/>
          <w:numId w:val="9"/>
        </w:numPr>
        <w:spacing w:after="0"/>
        <w:jc w:val="both"/>
        <w:rPr>
          <w:sz w:val="16"/>
        </w:rPr>
      </w:pPr>
      <w:r w:rsidRPr="007963BB">
        <w:rPr>
          <w:sz w:val="16"/>
        </w:rPr>
        <w:t>Europe (2</w:t>
      </w:r>
      <w:r w:rsidR="0058782B" w:rsidRPr="007963BB">
        <w:rPr>
          <w:sz w:val="16"/>
        </w:rPr>
        <w:t>3</w:t>
      </w:r>
      <w:r w:rsidR="002251A4" w:rsidRPr="007963BB">
        <w:rPr>
          <w:sz w:val="16"/>
        </w:rPr>
        <w:t>%</w:t>
      </w:r>
      <w:r w:rsidRPr="007963BB">
        <w:rPr>
          <w:sz w:val="16"/>
        </w:rPr>
        <w:t>), the Americas (4</w:t>
      </w:r>
      <w:r w:rsidR="002251A4" w:rsidRPr="007963BB">
        <w:rPr>
          <w:sz w:val="16"/>
        </w:rPr>
        <w:t>%</w:t>
      </w:r>
      <w:r w:rsidRPr="007963BB">
        <w:rPr>
          <w:sz w:val="16"/>
        </w:rPr>
        <w:t>) and the Middle East and Africa (2</w:t>
      </w:r>
      <w:r w:rsidR="002251A4" w:rsidRPr="007963BB">
        <w:rPr>
          <w:sz w:val="16"/>
        </w:rPr>
        <w:t>%</w:t>
      </w:r>
      <w:r w:rsidRPr="007963BB">
        <w:rPr>
          <w:sz w:val="16"/>
        </w:rPr>
        <w:t>) made up the balance of global LNG imports in 20</w:t>
      </w:r>
      <w:r w:rsidR="0058782B" w:rsidRPr="007963BB">
        <w:rPr>
          <w:sz w:val="16"/>
        </w:rPr>
        <w:t>20</w:t>
      </w:r>
      <w:r w:rsidRPr="007963BB">
        <w:rPr>
          <w:sz w:val="16"/>
        </w:rPr>
        <w:t>.</w:t>
      </w:r>
    </w:p>
    <w:p w14:paraId="5723242A" w14:textId="2908107C" w:rsidR="00580866" w:rsidRPr="007963BB" w:rsidRDefault="00580866" w:rsidP="00580866">
      <w:pPr>
        <w:pStyle w:val="BodyText"/>
        <w:numPr>
          <w:ilvl w:val="0"/>
          <w:numId w:val="9"/>
        </w:numPr>
        <w:spacing w:after="0"/>
        <w:jc w:val="both"/>
        <w:rPr>
          <w:sz w:val="16"/>
        </w:rPr>
      </w:pPr>
      <w:r w:rsidRPr="007963BB">
        <w:rPr>
          <w:sz w:val="16"/>
        </w:rPr>
        <w:t xml:space="preserve">Japan </w:t>
      </w:r>
      <w:r w:rsidR="0058782B" w:rsidRPr="007963BB">
        <w:rPr>
          <w:sz w:val="16"/>
        </w:rPr>
        <w:t>was</w:t>
      </w:r>
      <w:r w:rsidR="002251A4" w:rsidRPr="007963BB">
        <w:rPr>
          <w:sz w:val="16"/>
        </w:rPr>
        <w:t xml:space="preserve"> </w:t>
      </w:r>
      <w:r w:rsidRPr="007963BB">
        <w:rPr>
          <w:sz w:val="16"/>
        </w:rPr>
        <w:t>the largest LNG importer</w:t>
      </w:r>
      <w:r w:rsidR="0058782B" w:rsidRPr="007963BB">
        <w:rPr>
          <w:sz w:val="16"/>
        </w:rPr>
        <w:t xml:space="preserve"> in 2020 with imports of </w:t>
      </w:r>
      <w:r w:rsidRPr="007963BB">
        <w:rPr>
          <w:sz w:val="16"/>
        </w:rPr>
        <w:t>7</w:t>
      </w:r>
      <w:r w:rsidR="0058782B" w:rsidRPr="007963BB">
        <w:rPr>
          <w:sz w:val="16"/>
        </w:rPr>
        <w:t>4</w:t>
      </w:r>
      <w:r w:rsidR="002251A4" w:rsidRPr="007963BB">
        <w:rPr>
          <w:sz w:val="16"/>
        </w:rPr>
        <w:t xml:space="preserve"> </w:t>
      </w:r>
      <w:r w:rsidRPr="007963BB">
        <w:rPr>
          <w:sz w:val="16"/>
        </w:rPr>
        <w:t>million tonnes.</w:t>
      </w:r>
      <w:r w:rsidR="002251A4" w:rsidRPr="007963BB">
        <w:rPr>
          <w:sz w:val="16"/>
        </w:rPr>
        <w:t xml:space="preserve"> </w:t>
      </w:r>
      <w:r w:rsidRPr="007963BB">
        <w:rPr>
          <w:sz w:val="16"/>
        </w:rPr>
        <w:t>Japan’s LNG imports peaked at 89</w:t>
      </w:r>
      <w:r w:rsidR="002251A4" w:rsidRPr="007963BB">
        <w:rPr>
          <w:sz w:val="16"/>
        </w:rPr>
        <w:t xml:space="preserve"> </w:t>
      </w:r>
      <w:r w:rsidRPr="007963BB">
        <w:rPr>
          <w:sz w:val="16"/>
        </w:rPr>
        <w:t>million ton</w:t>
      </w:r>
      <w:r w:rsidR="002251A4" w:rsidRPr="007963BB">
        <w:rPr>
          <w:sz w:val="16"/>
        </w:rPr>
        <w:t>n</w:t>
      </w:r>
      <w:r w:rsidRPr="007963BB">
        <w:rPr>
          <w:sz w:val="16"/>
        </w:rPr>
        <w:t>es</w:t>
      </w:r>
      <w:r w:rsidR="00142DA1" w:rsidRPr="007963BB">
        <w:rPr>
          <w:sz w:val="16"/>
        </w:rPr>
        <w:t xml:space="preserve"> in 2014</w:t>
      </w:r>
      <w:r w:rsidRPr="007963BB">
        <w:rPr>
          <w:sz w:val="16"/>
        </w:rPr>
        <w:t>.</w:t>
      </w:r>
    </w:p>
    <w:p w14:paraId="1D5902ED" w14:textId="07FE2B6A" w:rsidR="00BA2F7B" w:rsidRPr="007963BB" w:rsidRDefault="00580866" w:rsidP="00D75731">
      <w:pPr>
        <w:pStyle w:val="BodyText"/>
        <w:numPr>
          <w:ilvl w:val="0"/>
          <w:numId w:val="9"/>
        </w:numPr>
        <w:spacing w:after="0"/>
        <w:jc w:val="both"/>
        <w:rPr>
          <w:sz w:val="16"/>
        </w:rPr>
      </w:pPr>
      <w:r w:rsidRPr="007963BB">
        <w:rPr>
          <w:sz w:val="16"/>
        </w:rPr>
        <w:t xml:space="preserve">China </w:t>
      </w:r>
      <w:r w:rsidR="0058782B" w:rsidRPr="007963BB">
        <w:rPr>
          <w:sz w:val="16"/>
        </w:rPr>
        <w:t>was</w:t>
      </w:r>
      <w:r w:rsidR="00321707" w:rsidRPr="007963BB">
        <w:rPr>
          <w:sz w:val="16"/>
        </w:rPr>
        <w:t xml:space="preserve"> </w:t>
      </w:r>
      <w:r w:rsidRPr="007963BB">
        <w:rPr>
          <w:sz w:val="16"/>
        </w:rPr>
        <w:t xml:space="preserve">the </w:t>
      </w:r>
      <w:r w:rsidR="007963BB" w:rsidRPr="00EA3447">
        <w:rPr>
          <w:sz w:val="16"/>
        </w:rPr>
        <w:t>second</w:t>
      </w:r>
      <w:r w:rsidR="004E0C3A" w:rsidRPr="007963BB">
        <w:rPr>
          <w:sz w:val="16"/>
        </w:rPr>
        <w:t xml:space="preserve"> </w:t>
      </w:r>
      <w:r w:rsidRPr="007963BB">
        <w:rPr>
          <w:sz w:val="16"/>
        </w:rPr>
        <w:t xml:space="preserve">largest </w:t>
      </w:r>
      <w:r w:rsidR="00321707" w:rsidRPr="007963BB">
        <w:rPr>
          <w:sz w:val="16"/>
        </w:rPr>
        <w:t xml:space="preserve">global </w:t>
      </w:r>
      <w:r w:rsidRPr="007963BB">
        <w:rPr>
          <w:sz w:val="16"/>
        </w:rPr>
        <w:t>LNG importer</w:t>
      </w:r>
      <w:r w:rsidR="0058782B" w:rsidRPr="007963BB">
        <w:rPr>
          <w:sz w:val="16"/>
        </w:rPr>
        <w:t xml:space="preserve"> in 2020.</w:t>
      </w:r>
      <w:r w:rsidR="00321707" w:rsidRPr="007963BB">
        <w:rPr>
          <w:sz w:val="16"/>
        </w:rPr>
        <w:t xml:space="preserve"> </w:t>
      </w:r>
      <w:r w:rsidR="0058782B" w:rsidRPr="007963BB">
        <w:rPr>
          <w:sz w:val="16"/>
        </w:rPr>
        <w:t xml:space="preserve">China’s LNG imports </w:t>
      </w:r>
      <w:r w:rsidR="00D75731" w:rsidRPr="007963BB">
        <w:rPr>
          <w:sz w:val="16"/>
        </w:rPr>
        <w:t>have grown from 20 million tonnes in 2015 to 69 million tonnes in 2020 at a compound annual rate of 28%.</w:t>
      </w:r>
    </w:p>
    <w:p w14:paraId="69D2A0A0" w14:textId="585FF906" w:rsidR="00562E13" w:rsidRPr="007963BB" w:rsidRDefault="00562E13" w:rsidP="00FB698D">
      <w:pPr>
        <w:jc w:val="both"/>
        <w:rPr>
          <w:sz w:val="16"/>
        </w:rPr>
      </w:pPr>
      <w:r w:rsidRPr="007963BB">
        <w:rPr>
          <w:sz w:val="16"/>
        </w:rPr>
        <w:br w:type="page"/>
      </w:r>
    </w:p>
    <w:p w14:paraId="74E13C6F" w14:textId="6368C065" w:rsidR="006F54DD" w:rsidRPr="007963BB" w:rsidRDefault="006F54DD" w:rsidP="00562E13">
      <w:pPr>
        <w:spacing w:after="0"/>
        <w:jc w:val="both"/>
        <w:rPr>
          <w:sz w:val="22"/>
        </w:rPr>
      </w:pPr>
    </w:p>
    <w:p w14:paraId="656402CD" w14:textId="44AD68CB" w:rsidR="00562E13" w:rsidRPr="00AE423F" w:rsidRDefault="005F1191" w:rsidP="00EC6333">
      <w:pPr>
        <w:pStyle w:val="BodyText"/>
        <w:spacing w:after="0"/>
        <w:rPr>
          <w:b/>
          <w:color w:val="92278F" w:themeColor="accent1"/>
          <w:sz w:val="20"/>
        </w:rPr>
      </w:pPr>
      <w:r w:rsidRPr="00AE423F">
        <w:rPr>
          <w:b/>
          <w:color w:val="92278F" w:themeColor="accent1"/>
          <w:sz w:val="20"/>
        </w:rPr>
        <w:t xml:space="preserve">Western Australia’s </w:t>
      </w:r>
      <w:r w:rsidR="00EC0F7A" w:rsidRPr="00AE423F">
        <w:rPr>
          <w:b/>
          <w:color w:val="92278F" w:themeColor="accent1"/>
          <w:sz w:val="20"/>
        </w:rPr>
        <w:t>LNG export capacity</w:t>
      </w:r>
      <w:r w:rsidR="002810C9" w:rsidRPr="00AE423F">
        <w:rPr>
          <w:b/>
          <w:color w:val="92278F" w:themeColor="accent1"/>
          <w:sz w:val="20"/>
        </w:rPr>
        <w:t xml:space="preserve">: </w:t>
      </w:r>
      <w:r w:rsidR="00EC0F7A" w:rsidRPr="00AE423F">
        <w:rPr>
          <w:b/>
          <w:color w:val="92278F" w:themeColor="accent1"/>
          <w:sz w:val="20"/>
        </w:rPr>
        <w:t>Calendar</w:t>
      </w:r>
      <w:r w:rsidR="002810C9" w:rsidRPr="00AE423F">
        <w:rPr>
          <w:b/>
          <w:color w:val="92278F" w:themeColor="accent1"/>
          <w:sz w:val="20"/>
        </w:rPr>
        <w:t xml:space="preserve"> years</w:t>
      </w:r>
    </w:p>
    <w:p w14:paraId="3D0CFD0F" w14:textId="66AFDAA7" w:rsidR="00FE23FA" w:rsidRPr="007963BB" w:rsidRDefault="0014330A" w:rsidP="00FE23FA">
      <w:pPr>
        <w:spacing w:after="0"/>
        <w:jc w:val="both"/>
        <w:rPr>
          <w:sz w:val="16"/>
        </w:rPr>
      </w:pPr>
      <w:r w:rsidRPr="007963BB">
        <w:rPr>
          <w:noProof/>
          <w:sz w:val="16"/>
          <w:lang w:eastAsia="en-AU"/>
        </w:rPr>
        <w:drawing>
          <wp:inline distT="0" distB="0" distL="0" distR="0" wp14:anchorId="4EB530BA" wp14:editId="25CF4149">
            <wp:extent cx="3424555" cy="2052955"/>
            <wp:effectExtent l="0" t="0" r="4445"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24555" cy="2052955"/>
                    </a:xfrm>
                    <a:prstGeom prst="rect">
                      <a:avLst/>
                    </a:prstGeom>
                    <a:noFill/>
                    <a:ln>
                      <a:noFill/>
                    </a:ln>
                  </pic:spPr>
                </pic:pic>
              </a:graphicData>
            </a:graphic>
          </wp:inline>
        </w:drawing>
      </w:r>
    </w:p>
    <w:p w14:paraId="5D81511C" w14:textId="77777777" w:rsidR="00D13BA5" w:rsidRPr="007963BB" w:rsidRDefault="00D13BA5" w:rsidP="00D13BA5">
      <w:pPr>
        <w:pStyle w:val="BodyText"/>
        <w:spacing w:after="0"/>
        <w:rPr>
          <w:sz w:val="10"/>
        </w:rPr>
      </w:pPr>
      <w:r w:rsidRPr="007963BB">
        <w:rPr>
          <w:sz w:val="10"/>
        </w:rPr>
        <w:t>Note – Additions to LNG export capacity reflect the start-up of LNG trains during a particular year.</w:t>
      </w:r>
    </w:p>
    <w:p w14:paraId="6371C503" w14:textId="1898C3D0" w:rsidR="00EF095B" w:rsidRPr="007963BB" w:rsidRDefault="00D13BA5" w:rsidP="00D13BA5">
      <w:pPr>
        <w:pStyle w:val="BodyText"/>
        <w:spacing w:after="0"/>
        <w:jc w:val="both"/>
        <w:rPr>
          <w:sz w:val="10"/>
        </w:rPr>
      </w:pPr>
      <w:r w:rsidRPr="007963BB">
        <w:rPr>
          <w:sz w:val="10"/>
        </w:rPr>
        <w:t>Source: WA Department of Jobs, Tourism, Science and Innovation based on company investor information</w:t>
      </w:r>
      <w:r w:rsidR="00490EEF" w:rsidRPr="007963BB">
        <w:rPr>
          <w:sz w:val="10"/>
        </w:rPr>
        <w:t xml:space="preserve"> </w:t>
      </w:r>
      <w:r w:rsidR="00490EEF" w:rsidRPr="007963BB">
        <w:rPr>
          <w:rFonts w:cs="Arial"/>
          <w:sz w:val="10"/>
          <w:szCs w:val="20"/>
        </w:rPr>
        <w:t>(announcements, reports and presentations)</w:t>
      </w:r>
      <w:r w:rsidR="00EF095B" w:rsidRPr="007963BB">
        <w:rPr>
          <w:sz w:val="10"/>
        </w:rPr>
        <w:t>.</w:t>
      </w:r>
    </w:p>
    <w:p w14:paraId="1FF005DB" w14:textId="6ECB42EB" w:rsidR="00425B81" w:rsidRPr="007963BB" w:rsidRDefault="00425B81" w:rsidP="00425B81">
      <w:pPr>
        <w:spacing w:after="0"/>
        <w:jc w:val="both"/>
        <w:rPr>
          <w:sz w:val="16"/>
        </w:rPr>
      </w:pPr>
    </w:p>
    <w:p w14:paraId="4EC773DA" w14:textId="77777777" w:rsidR="00425B81" w:rsidRPr="007963BB" w:rsidRDefault="00425B81" w:rsidP="00425B81">
      <w:pPr>
        <w:spacing w:after="0"/>
        <w:jc w:val="both"/>
        <w:rPr>
          <w:sz w:val="16"/>
        </w:rPr>
      </w:pPr>
      <w:r w:rsidRPr="007963BB">
        <w:rPr>
          <w:sz w:val="16"/>
        </w:rPr>
        <w:br w:type="column"/>
      </w:r>
    </w:p>
    <w:p w14:paraId="6F27990F" w14:textId="77777777" w:rsidR="00425B81" w:rsidRPr="007963BB" w:rsidRDefault="00425B81" w:rsidP="00425B81">
      <w:pPr>
        <w:spacing w:after="0"/>
        <w:jc w:val="both"/>
        <w:rPr>
          <w:sz w:val="16"/>
        </w:rPr>
      </w:pPr>
    </w:p>
    <w:p w14:paraId="7C49B582" w14:textId="77777777" w:rsidR="00425B81" w:rsidRPr="007963BB" w:rsidRDefault="00425B81" w:rsidP="00425B81">
      <w:pPr>
        <w:spacing w:after="0"/>
        <w:jc w:val="both"/>
        <w:rPr>
          <w:sz w:val="16"/>
        </w:rPr>
      </w:pPr>
    </w:p>
    <w:p w14:paraId="636917AB" w14:textId="2762FA99" w:rsidR="00973160" w:rsidRPr="007963BB" w:rsidRDefault="00973160" w:rsidP="00973160">
      <w:pPr>
        <w:pStyle w:val="BodyText"/>
        <w:numPr>
          <w:ilvl w:val="0"/>
          <w:numId w:val="9"/>
        </w:numPr>
        <w:spacing w:after="0"/>
        <w:jc w:val="both"/>
        <w:rPr>
          <w:sz w:val="16"/>
        </w:rPr>
      </w:pPr>
      <w:r w:rsidRPr="007963BB">
        <w:rPr>
          <w:sz w:val="16"/>
        </w:rPr>
        <w:t>Western Australia has an established and reliable LNG export industry. The State’s first LNG project, the North West Shelf, marked 30 years of LNG exports in 2019.</w:t>
      </w:r>
    </w:p>
    <w:p w14:paraId="51BDEA2A" w14:textId="2CAF8904" w:rsidR="00973160" w:rsidRPr="007963BB" w:rsidRDefault="00973160" w:rsidP="00B20EFD">
      <w:pPr>
        <w:pStyle w:val="BodyText"/>
        <w:numPr>
          <w:ilvl w:val="0"/>
          <w:numId w:val="9"/>
        </w:numPr>
        <w:spacing w:after="0"/>
        <w:jc w:val="both"/>
        <w:rPr>
          <w:sz w:val="16"/>
        </w:rPr>
      </w:pPr>
      <w:r w:rsidRPr="007963BB">
        <w:rPr>
          <w:sz w:val="16"/>
        </w:rPr>
        <w:t xml:space="preserve">Western Australia currently has five operating LNG export projects: the North West Shelf, Pluto, Gorgon, Wheatstone and Prelude. </w:t>
      </w:r>
      <w:r w:rsidR="004E0C3A" w:rsidRPr="007963BB">
        <w:rPr>
          <w:sz w:val="16"/>
        </w:rPr>
        <w:t>T</w:t>
      </w:r>
      <w:r w:rsidRPr="007963BB">
        <w:rPr>
          <w:sz w:val="16"/>
        </w:rPr>
        <w:t xml:space="preserve">he </w:t>
      </w:r>
      <w:r w:rsidR="004E0C3A" w:rsidRPr="007963BB">
        <w:rPr>
          <w:sz w:val="16"/>
        </w:rPr>
        <w:t xml:space="preserve">total export </w:t>
      </w:r>
      <w:r w:rsidRPr="007963BB">
        <w:rPr>
          <w:sz w:val="16"/>
        </w:rPr>
        <w:t xml:space="preserve">capacity </w:t>
      </w:r>
      <w:r w:rsidR="004E0C3A" w:rsidRPr="007963BB">
        <w:rPr>
          <w:sz w:val="16"/>
        </w:rPr>
        <w:t>of these five projects is</w:t>
      </w:r>
      <w:r w:rsidRPr="007963BB">
        <w:rPr>
          <w:sz w:val="16"/>
        </w:rPr>
        <w:t xml:space="preserve"> 50 million tonnes of LNG a year.</w:t>
      </w:r>
    </w:p>
    <w:p w14:paraId="5B313DD0" w14:textId="64841233" w:rsidR="000415D9" w:rsidRDefault="000415D9" w:rsidP="00973160">
      <w:pPr>
        <w:pStyle w:val="BodyText"/>
        <w:numPr>
          <w:ilvl w:val="0"/>
          <w:numId w:val="9"/>
        </w:numPr>
        <w:spacing w:after="0"/>
        <w:jc w:val="both"/>
        <w:rPr>
          <w:sz w:val="16"/>
        </w:rPr>
      </w:pPr>
      <w:r>
        <w:rPr>
          <w:sz w:val="16"/>
        </w:rPr>
        <w:t>In November 2021, a final investment decision was made for a second LNG train for the Pluto project with a capacity of 5 million tonnes a year. Pluto Train 2 is expected to begin exporting LNG in 2026.</w:t>
      </w:r>
    </w:p>
    <w:p w14:paraId="23C2BF82" w14:textId="1E3465C7" w:rsidR="00306D70" w:rsidRPr="007963BB" w:rsidRDefault="00973160" w:rsidP="00973160">
      <w:pPr>
        <w:pStyle w:val="BodyText"/>
        <w:numPr>
          <w:ilvl w:val="0"/>
          <w:numId w:val="9"/>
        </w:numPr>
        <w:spacing w:after="0"/>
        <w:jc w:val="both"/>
        <w:rPr>
          <w:sz w:val="16"/>
        </w:rPr>
      </w:pPr>
      <w:r w:rsidRPr="007963BB">
        <w:rPr>
          <w:sz w:val="16"/>
        </w:rPr>
        <w:t>Western Australia’s LNG projects are located close to Asia, comparing favourably to the shipping distances from Qatar (with the exception of India)</w:t>
      </w:r>
      <w:r w:rsidR="00306D70" w:rsidRPr="007963BB">
        <w:rPr>
          <w:sz w:val="16"/>
        </w:rPr>
        <w:t>.</w:t>
      </w:r>
    </w:p>
    <w:p w14:paraId="064A2620" w14:textId="4F26EB38" w:rsidR="003F26FE" w:rsidRPr="007963BB" w:rsidRDefault="00973160" w:rsidP="00810D5A">
      <w:pPr>
        <w:pStyle w:val="BodyText"/>
        <w:numPr>
          <w:ilvl w:val="0"/>
          <w:numId w:val="9"/>
        </w:numPr>
        <w:spacing w:after="0"/>
        <w:jc w:val="both"/>
        <w:rPr>
          <w:sz w:val="16"/>
        </w:rPr>
      </w:pPr>
      <w:r w:rsidRPr="007963BB">
        <w:rPr>
          <w:sz w:val="16"/>
        </w:rPr>
        <w:t>Shipping from Western Australia to Asia takes less than half the time of shipping from the US Gulf Coast to Asia</w:t>
      </w:r>
      <w:r w:rsidR="003F26FE" w:rsidRPr="007963BB">
        <w:rPr>
          <w:sz w:val="16"/>
        </w:rPr>
        <w:t>.</w:t>
      </w:r>
    </w:p>
    <w:p w14:paraId="207DC180" w14:textId="77777777" w:rsidR="00C449B9" w:rsidRPr="007963BB" w:rsidRDefault="00C449B9" w:rsidP="00C449B9">
      <w:pPr>
        <w:pStyle w:val="BodyText"/>
        <w:spacing w:after="0"/>
        <w:jc w:val="both"/>
        <w:rPr>
          <w:sz w:val="16"/>
        </w:rPr>
        <w:sectPr w:rsidR="00C449B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77777777" w:rsidR="004A7FCA" w:rsidRPr="007963BB" w:rsidRDefault="004A7FCA" w:rsidP="00C449B9">
      <w:pPr>
        <w:pStyle w:val="BodyText"/>
        <w:spacing w:after="0"/>
        <w:jc w:val="both"/>
        <w:rPr>
          <w:sz w:val="16"/>
        </w:rPr>
      </w:pPr>
    </w:p>
    <w:p w14:paraId="2353EE19" w14:textId="1FDD6375" w:rsidR="00C449B9" w:rsidRPr="00AE423F" w:rsidRDefault="00DF0525" w:rsidP="00EC6333">
      <w:pPr>
        <w:pStyle w:val="BodyText"/>
        <w:spacing w:after="0"/>
        <w:rPr>
          <w:b/>
          <w:color w:val="92278F" w:themeColor="accent1"/>
          <w:sz w:val="20"/>
        </w:rPr>
      </w:pPr>
      <w:r w:rsidRPr="00AE423F">
        <w:rPr>
          <w:b/>
          <w:color w:val="92278F" w:themeColor="accent1"/>
          <w:sz w:val="20"/>
        </w:rPr>
        <w:t>Western Australia’s natural gas reserves and resources</w:t>
      </w:r>
      <w:r w:rsidR="004E0C3A" w:rsidRPr="00AE423F">
        <w:rPr>
          <w:b/>
          <w:color w:val="92278F" w:themeColor="accent1"/>
          <w:sz w:val="20"/>
        </w:rPr>
        <w:t xml:space="preserve"> a</w:t>
      </w:r>
      <w:r w:rsidRPr="00AE423F">
        <w:rPr>
          <w:b/>
          <w:color w:val="92278F" w:themeColor="accent1"/>
          <w:sz w:val="20"/>
        </w:rPr>
        <w:t>s at</w:t>
      </w:r>
      <w:r w:rsidR="00F43EBF" w:rsidRPr="00AE423F">
        <w:rPr>
          <w:b/>
          <w:color w:val="92278F" w:themeColor="accent1"/>
          <w:sz w:val="20"/>
        </w:rPr>
        <w:t xml:space="preserve"> August</w:t>
      </w:r>
      <w:r w:rsidRPr="00AE423F">
        <w:rPr>
          <w:b/>
          <w:color w:val="92278F" w:themeColor="accent1"/>
          <w:sz w:val="20"/>
        </w:rPr>
        <w:t xml:space="preserve"> </w:t>
      </w:r>
      <w:r w:rsidR="00971F4D" w:rsidRPr="00AE423F">
        <w:rPr>
          <w:b/>
          <w:color w:val="92278F" w:themeColor="accent1"/>
          <w:sz w:val="20"/>
        </w:rPr>
        <w:t>2021</w:t>
      </w:r>
    </w:p>
    <w:tbl>
      <w:tblPr>
        <w:tblStyle w:val="ListTable3-Accent1"/>
        <w:tblW w:w="0" w:type="auto"/>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964"/>
        <w:gridCol w:w="1871"/>
        <w:gridCol w:w="2812"/>
      </w:tblGrid>
      <w:tr w:rsidR="00C6665F" w:rsidRPr="007963BB" w14:paraId="18928F8C" w14:textId="77777777" w:rsidTr="004E264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002060"/>
          </w:tcPr>
          <w:p w14:paraId="1D1428A6" w14:textId="4EBA323F" w:rsidR="00C6665F" w:rsidRPr="007963BB" w:rsidRDefault="00C6665F" w:rsidP="00810D5A">
            <w:pPr>
              <w:pStyle w:val="BodyText"/>
              <w:spacing w:after="0"/>
              <w:jc w:val="both"/>
              <w:rPr>
                <w:rFonts w:cstheme="minorHAnsi"/>
                <w:sz w:val="16"/>
                <w:szCs w:val="12"/>
              </w:rPr>
            </w:pPr>
            <w:r w:rsidRPr="007963BB">
              <w:rPr>
                <w:rFonts w:cstheme="minorHAnsi"/>
                <w:sz w:val="16"/>
                <w:szCs w:val="12"/>
              </w:rPr>
              <w:t>Basin</w:t>
            </w:r>
          </w:p>
        </w:tc>
        <w:tc>
          <w:tcPr>
            <w:tcW w:w="0" w:type="auto"/>
            <w:shd w:val="clear" w:color="auto" w:fill="002060"/>
          </w:tcPr>
          <w:p w14:paraId="10095526" w14:textId="74F8C31E" w:rsidR="00C6665F" w:rsidRPr="007963BB" w:rsidRDefault="00C6665F" w:rsidP="006225F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7963BB">
              <w:rPr>
                <w:rFonts w:cstheme="minorHAnsi"/>
                <w:sz w:val="16"/>
                <w:szCs w:val="12"/>
              </w:rPr>
              <w:t>Reserves (petajoules)</w:t>
            </w:r>
          </w:p>
        </w:tc>
        <w:tc>
          <w:tcPr>
            <w:tcW w:w="0" w:type="auto"/>
            <w:shd w:val="clear" w:color="auto" w:fill="002060"/>
          </w:tcPr>
          <w:p w14:paraId="1587DF6A" w14:textId="1A04F803" w:rsidR="00C6665F" w:rsidRPr="007963BB" w:rsidRDefault="00C6665F" w:rsidP="006225FF">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6"/>
                <w:szCs w:val="12"/>
              </w:rPr>
            </w:pPr>
            <w:r w:rsidRPr="007963BB">
              <w:rPr>
                <w:rFonts w:cstheme="minorHAnsi"/>
                <w:sz w:val="16"/>
                <w:szCs w:val="12"/>
              </w:rPr>
              <w:t>Contingent resources (petajoules)</w:t>
            </w:r>
          </w:p>
        </w:tc>
      </w:tr>
      <w:tr w:rsidR="00C6665F" w:rsidRPr="007963BB" w14:paraId="7E2E03D1" w14:textId="77777777" w:rsidTr="004E2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0B39EFA" w14:textId="5642B847" w:rsidR="00C6665F" w:rsidRPr="007963BB" w:rsidRDefault="004E2645" w:rsidP="00810D5A">
            <w:pPr>
              <w:pStyle w:val="BodyText"/>
              <w:spacing w:after="0"/>
              <w:jc w:val="both"/>
              <w:rPr>
                <w:rFonts w:cstheme="minorHAnsi"/>
                <w:b w:val="0"/>
                <w:sz w:val="16"/>
                <w:szCs w:val="12"/>
              </w:rPr>
            </w:pPr>
            <w:r w:rsidRPr="007963BB">
              <w:rPr>
                <w:rFonts w:cstheme="minorHAnsi"/>
                <w:b w:val="0"/>
                <w:sz w:val="16"/>
                <w:szCs w:val="12"/>
              </w:rPr>
              <w:t>Carnarvon</w:t>
            </w:r>
          </w:p>
        </w:tc>
        <w:tc>
          <w:tcPr>
            <w:tcW w:w="0" w:type="auto"/>
          </w:tcPr>
          <w:p w14:paraId="65262564" w14:textId="3037E9D2" w:rsidR="00C6665F" w:rsidRPr="00EA3447" w:rsidRDefault="008267EF" w:rsidP="006225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sidRPr="00EA3447">
              <w:rPr>
                <w:rFonts w:cstheme="minorHAnsi"/>
                <w:sz w:val="16"/>
                <w:szCs w:val="12"/>
              </w:rPr>
              <w:t>44,094</w:t>
            </w:r>
          </w:p>
        </w:tc>
        <w:tc>
          <w:tcPr>
            <w:tcW w:w="0" w:type="auto"/>
          </w:tcPr>
          <w:p w14:paraId="49348062" w14:textId="75B509A8" w:rsidR="00C6665F" w:rsidRPr="007963BB" w:rsidRDefault="00971F4D" w:rsidP="006225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sidRPr="007963BB">
              <w:rPr>
                <w:rFonts w:cstheme="minorHAnsi"/>
                <w:sz w:val="16"/>
                <w:szCs w:val="12"/>
              </w:rPr>
              <w:t>39,547</w:t>
            </w:r>
          </w:p>
        </w:tc>
      </w:tr>
      <w:tr w:rsidR="00C6665F" w:rsidRPr="007963BB" w14:paraId="04EF6C5A" w14:textId="77777777" w:rsidTr="004E2645">
        <w:tc>
          <w:tcPr>
            <w:cnfStyle w:val="001000000000" w:firstRow="0" w:lastRow="0" w:firstColumn="1" w:lastColumn="0" w:oddVBand="0" w:evenVBand="0" w:oddHBand="0" w:evenHBand="0" w:firstRowFirstColumn="0" w:firstRowLastColumn="0" w:lastRowFirstColumn="0" w:lastRowLastColumn="0"/>
            <w:tcW w:w="0" w:type="auto"/>
          </w:tcPr>
          <w:p w14:paraId="46556F6C" w14:textId="7C1EC5A3" w:rsidR="00C6665F" w:rsidRPr="007963BB" w:rsidRDefault="004E2645" w:rsidP="00810D5A">
            <w:pPr>
              <w:pStyle w:val="BodyText"/>
              <w:spacing w:after="0"/>
              <w:jc w:val="both"/>
              <w:rPr>
                <w:rFonts w:cstheme="minorHAnsi"/>
                <w:b w:val="0"/>
                <w:sz w:val="16"/>
                <w:szCs w:val="12"/>
              </w:rPr>
            </w:pPr>
            <w:r w:rsidRPr="007963BB">
              <w:rPr>
                <w:rFonts w:cstheme="minorHAnsi"/>
                <w:b w:val="0"/>
                <w:sz w:val="16"/>
                <w:szCs w:val="12"/>
              </w:rPr>
              <w:t>Browse</w:t>
            </w:r>
          </w:p>
        </w:tc>
        <w:tc>
          <w:tcPr>
            <w:tcW w:w="0" w:type="auto"/>
          </w:tcPr>
          <w:p w14:paraId="257DCC2B" w14:textId="6E41F214" w:rsidR="00C6665F" w:rsidRPr="007963BB" w:rsidRDefault="00971F4D" w:rsidP="006225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sidRPr="007963BB">
              <w:rPr>
                <w:rFonts w:cstheme="minorHAnsi"/>
                <w:sz w:val="16"/>
                <w:szCs w:val="12"/>
              </w:rPr>
              <w:t>16,308</w:t>
            </w:r>
          </w:p>
        </w:tc>
        <w:tc>
          <w:tcPr>
            <w:tcW w:w="0" w:type="auto"/>
          </w:tcPr>
          <w:p w14:paraId="513F5011" w14:textId="02C4EE35" w:rsidR="00C6665F" w:rsidRPr="007963BB" w:rsidRDefault="004E2645" w:rsidP="006225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sidRPr="007963BB">
              <w:rPr>
                <w:rFonts w:cstheme="minorHAnsi"/>
                <w:sz w:val="16"/>
                <w:szCs w:val="12"/>
              </w:rPr>
              <w:t>19,943</w:t>
            </w:r>
          </w:p>
        </w:tc>
      </w:tr>
      <w:tr w:rsidR="00C6665F" w:rsidRPr="007963BB" w14:paraId="7A19F4A7" w14:textId="77777777" w:rsidTr="004E26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01C79CE" w14:textId="63D338A3" w:rsidR="00C6665F" w:rsidRPr="007963BB" w:rsidRDefault="004E2645" w:rsidP="00810D5A">
            <w:pPr>
              <w:pStyle w:val="BodyText"/>
              <w:spacing w:after="0"/>
              <w:jc w:val="both"/>
              <w:rPr>
                <w:rFonts w:cstheme="minorHAnsi"/>
                <w:b w:val="0"/>
                <w:sz w:val="16"/>
                <w:szCs w:val="12"/>
              </w:rPr>
            </w:pPr>
            <w:r w:rsidRPr="007963BB">
              <w:rPr>
                <w:rFonts w:cstheme="minorHAnsi"/>
                <w:b w:val="0"/>
                <w:sz w:val="16"/>
                <w:szCs w:val="12"/>
              </w:rPr>
              <w:t>Bonaparte</w:t>
            </w:r>
          </w:p>
        </w:tc>
        <w:tc>
          <w:tcPr>
            <w:tcW w:w="0" w:type="auto"/>
          </w:tcPr>
          <w:p w14:paraId="4BC2BD5D" w14:textId="7A229E2B" w:rsidR="00C6665F" w:rsidRPr="007963BB" w:rsidRDefault="008267EF" w:rsidP="006225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sidRPr="00EA3447">
              <w:rPr>
                <w:rFonts w:cstheme="minorHAnsi"/>
                <w:sz w:val="16"/>
                <w:szCs w:val="12"/>
              </w:rPr>
              <w:t>4,769</w:t>
            </w:r>
          </w:p>
        </w:tc>
        <w:tc>
          <w:tcPr>
            <w:tcW w:w="0" w:type="auto"/>
          </w:tcPr>
          <w:p w14:paraId="31B7FAB6" w14:textId="64D8966B" w:rsidR="00C6665F" w:rsidRPr="007963BB" w:rsidRDefault="00377144" w:rsidP="006225F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6"/>
                <w:szCs w:val="12"/>
              </w:rPr>
            </w:pPr>
            <w:r w:rsidRPr="007963BB">
              <w:rPr>
                <w:rFonts w:cstheme="minorHAnsi"/>
                <w:sz w:val="16"/>
                <w:szCs w:val="12"/>
              </w:rPr>
              <w:t>13,568</w:t>
            </w:r>
          </w:p>
        </w:tc>
      </w:tr>
      <w:tr w:rsidR="00C6665F" w:rsidRPr="007963BB" w14:paraId="363C788D" w14:textId="77777777" w:rsidTr="004E2645">
        <w:tc>
          <w:tcPr>
            <w:cnfStyle w:val="001000000000" w:firstRow="0" w:lastRow="0" w:firstColumn="1" w:lastColumn="0" w:oddVBand="0" w:evenVBand="0" w:oddHBand="0" w:evenHBand="0" w:firstRowFirstColumn="0" w:firstRowLastColumn="0" w:lastRowFirstColumn="0" w:lastRowLastColumn="0"/>
            <w:tcW w:w="0" w:type="auto"/>
          </w:tcPr>
          <w:p w14:paraId="50CB9105" w14:textId="782DA1F2" w:rsidR="00C6665F" w:rsidRPr="007963BB" w:rsidRDefault="004E2645" w:rsidP="00810D5A">
            <w:pPr>
              <w:pStyle w:val="BodyText"/>
              <w:spacing w:after="0"/>
              <w:jc w:val="both"/>
              <w:rPr>
                <w:rFonts w:cstheme="minorHAnsi"/>
                <w:b w:val="0"/>
                <w:sz w:val="16"/>
                <w:szCs w:val="12"/>
              </w:rPr>
            </w:pPr>
            <w:r w:rsidRPr="007963BB">
              <w:rPr>
                <w:rFonts w:cstheme="minorHAnsi"/>
                <w:b w:val="0"/>
                <w:sz w:val="16"/>
                <w:szCs w:val="12"/>
              </w:rPr>
              <w:t>Perth</w:t>
            </w:r>
          </w:p>
        </w:tc>
        <w:tc>
          <w:tcPr>
            <w:tcW w:w="0" w:type="auto"/>
          </w:tcPr>
          <w:p w14:paraId="3C2787C8" w14:textId="5E0E18F6" w:rsidR="00C6665F" w:rsidRPr="007963BB" w:rsidRDefault="008267EF" w:rsidP="006225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sidRPr="00EA3447">
              <w:rPr>
                <w:rFonts w:cstheme="minorHAnsi"/>
                <w:sz w:val="16"/>
                <w:szCs w:val="12"/>
              </w:rPr>
              <w:t>1,166</w:t>
            </w:r>
          </w:p>
        </w:tc>
        <w:tc>
          <w:tcPr>
            <w:tcW w:w="0" w:type="auto"/>
          </w:tcPr>
          <w:p w14:paraId="79686D77" w14:textId="143AF3AA" w:rsidR="00C6665F" w:rsidRPr="007963BB" w:rsidRDefault="008267EF" w:rsidP="006225F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6"/>
                <w:szCs w:val="12"/>
              </w:rPr>
            </w:pPr>
            <w:r w:rsidRPr="00EA3447">
              <w:rPr>
                <w:rFonts w:cstheme="minorHAnsi"/>
                <w:sz w:val="16"/>
                <w:szCs w:val="12"/>
              </w:rPr>
              <w:t>1</w:t>
            </w:r>
            <w:r w:rsidR="00A35AAF" w:rsidRPr="00EA3447">
              <w:rPr>
                <w:rFonts w:cstheme="minorHAnsi"/>
                <w:sz w:val="16"/>
                <w:szCs w:val="12"/>
              </w:rPr>
              <w:t>,</w:t>
            </w:r>
            <w:r w:rsidRPr="00EA3447">
              <w:rPr>
                <w:rFonts w:cstheme="minorHAnsi"/>
                <w:sz w:val="16"/>
                <w:szCs w:val="12"/>
              </w:rPr>
              <w:t>369</w:t>
            </w:r>
          </w:p>
        </w:tc>
      </w:tr>
    </w:tbl>
    <w:p w14:paraId="14D07B23" w14:textId="065043C4" w:rsidR="00013D5D" w:rsidRPr="007963BB" w:rsidRDefault="00013D5D" w:rsidP="00013D5D">
      <w:pPr>
        <w:pStyle w:val="ListBullet"/>
        <w:numPr>
          <w:ilvl w:val="0"/>
          <w:numId w:val="0"/>
        </w:numPr>
        <w:spacing w:after="0"/>
        <w:jc w:val="both"/>
        <w:rPr>
          <w:sz w:val="10"/>
        </w:rPr>
      </w:pPr>
      <w:r w:rsidRPr="007963BB">
        <w:rPr>
          <w:sz w:val="10"/>
        </w:rPr>
        <w:t>Note - Reserves and resources are categorised by probability or likelihood of recovery. Reserves refer to 2P reserves that are proved (90%) and probable (50%) while contingent resources refer to 2C resources (best estimate of contingent resources). Bonaparte Basin figures refer to Australia’s share of reserves and resources.</w:t>
      </w:r>
    </w:p>
    <w:p w14:paraId="13393943" w14:textId="6132F228" w:rsidR="00F37878" w:rsidRPr="007963BB" w:rsidRDefault="00013D5D" w:rsidP="00F37878">
      <w:pPr>
        <w:pStyle w:val="ListBullet"/>
        <w:numPr>
          <w:ilvl w:val="0"/>
          <w:numId w:val="0"/>
        </w:numPr>
        <w:spacing w:after="0"/>
        <w:jc w:val="both"/>
        <w:rPr>
          <w:sz w:val="10"/>
        </w:rPr>
      </w:pPr>
      <w:r w:rsidRPr="007963BB">
        <w:rPr>
          <w:sz w:val="10"/>
        </w:rPr>
        <w:t>Source: EnergyQuest</w:t>
      </w:r>
      <w:r w:rsidR="0020221E" w:rsidRPr="007963BB">
        <w:rPr>
          <w:sz w:val="10"/>
        </w:rPr>
        <w:t xml:space="preserve">, </w:t>
      </w:r>
      <w:r w:rsidRPr="007963BB">
        <w:rPr>
          <w:sz w:val="10"/>
        </w:rPr>
        <w:t>Energy Quarterly (</w:t>
      </w:r>
      <w:r w:rsidR="000E3E3A" w:rsidRPr="00EA3447">
        <w:rPr>
          <w:sz w:val="10"/>
        </w:rPr>
        <w:t>September</w:t>
      </w:r>
      <w:r w:rsidR="00D60DB9" w:rsidRPr="00EA3447">
        <w:rPr>
          <w:sz w:val="10"/>
        </w:rPr>
        <w:t> </w:t>
      </w:r>
      <w:r w:rsidR="006E7182" w:rsidRPr="00EA3447">
        <w:rPr>
          <w:sz w:val="10"/>
        </w:rPr>
        <w:t>2021</w:t>
      </w:r>
      <w:r w:rsidRPr="00EA3447">
        <w:rPr>
          <w:sz w:val="10"/>
        </w:rPr>
        <w:t>)</w:t>
      </w:r>
      <w:r w:rsidR="00F37878" w:rsidRPr="00EA3447">
        <w:rPr>
          <w:sz w:val="10"/>
        </w:rPr>
        <w:t>.</w:t>
      </w:r>
    </w:p>
    <w:p w14:paraId="2E550D8C" w14:textId="469AC7D0" w:rsidR="00F37878" w:rsidRPr="007963BB" w:rsidRDefault="00F37878" w:rsidP="00C449B9">
      <w:pPr>
        <w:pStyle w:val="BodyText"/>
        <w:spacing w:after="0"/>
        <w:jc w:val="both"/>
        <w:rPr>
          <w:sz w:val="16"/>
        </w:rPr>
      </w:pPr>
    </w:p>
    <w:p w14:paraId="4FE3147F" w14:textId="31EC2CF5" w:rsidR="004A7FCA" w:rsidRPr="007963BB" w:rsidRDefault="004A7FCA" w:rsidP="004A7FCA">
      <w:pPr>
        <w:pStyle w:val="BodyText"/>
        <w:spacing w:after="0"/>
        <w:jc w:val="both"/>
        <w:rPr>
          <w:sz w:val="16"/>
        </w:rPr>
      </w:pPr>
      <w:r w:rsidRPr="007963BB">
        <w:rPr>
          <w:sz w:val="16"/>
        </w:rPr>
        <w:br w:type="column"/>
      </w:r>
    </w:p>
    <w:p w14:paraId="0C2B4BD1" w14:textId="6BA79AF4" w:rsidR="00013D5D" w:rsidRPr="007963BB" w:rsidRDefault="00C90099" w:rsidP="00013D5D">
      <w:pPr>
        <w:pStyle w:val="BodyText"/>
        <w:numPr>
          <w:ilvl w:val="0"/>
          <w:numId w:val="9"/>
        </w:numPr>
        <w:spacing w:after="0"/>
        <w:jc w:val="both"/>
        <w:rPr>
          <w:sz w:val="16"/>
        </w:rPr>
      </w:pPr>
      <w:r w:rsidRPr="007963BB">
        <w:rPr>
          <w:sz w:val="16"/>
        </w:rPr>
        <w:t xml:space="preserve">Western Australia’s </w:t>
      </w:r>
      <w:r w:rsidR="00013D5D" w:rsidRPr="007963BB">
        <w:rPr>
          <w:sz w:val="16"/>
        </w:rPr>
        <w:t>LNG projects are underpinned by large, conventional gas reserves in the Carnarvon and Browse Basins, which provide LNG buyers with security of supply.</w:t>
      </w:r>
    </w:p>
    <w:p w14:paraId="7408455F" w14:textId="77777777" w:rsidR="00013D5D" w:rsidRPr="007963BB" w:rsidRDefault="00013D5D" w:rsidP="00013D5D">
      <w:pPr>
        <w:pStyle w:val="BodyText"/>
        <w:numPr>
          <w:ilvl w:val="0"/>
          <w:numId w:val="9"/>
        </w:numPr>
        <w:spacing w:after="0"/>
        <w:jc w:val="both"/>
        <w:rPr>
          <w:sz w:val="16"/>
        </w:rPr>
      </w:pPr>
      <w:r w:rsidRPr="007963BB">
        <w:rPr>
          <w:sz w:val="16"/>
        </w:rPr>
        <w:t>Western Australia also has onshore shale and tight gas resources in the Canning, Carnarvon and Perth basins.</w:t>
      </w:r>
    </w:p>
    <w:p w14:paraId="7060A486" w14:textId="6513A0E1" w:rsidR="00FA7BE9" w:rsidRPr="007963BB" w:rsidRDefault="00013D5D" w:rsidP="00810D5A">
      <w:pPr>
        <w:pStyle w:val="BodyText"/>
        <w:numPr>
          <w:ilvl w:val="0"/>
          <w:numId w:val="9"/>
        </w:numPr>
        <w:spacing w:after="0"/>
        <w:jc w:val="both"/>
        <w:rPr>
          <w:sz w:val="16"/>
        </w:rPr>
      </w:pPr>
      <w:r w:rsidRPr="007963BB">
        <w:rPr>
          <w:sz w:val="16"/>
        </w:rPr>
        <w:t xml:space="preserve">The WA Domestic Gas Policy requires LNG exporters to make gas available to Western Australian </w:t>
      </w:r>
      <w:r w:rsidR="00C6665F" w:rsidRPr="007963BB">
        <w:rPr>
          <w:sz w:val="16"/>
        </w:rPr>
        <w:t>consumer’s</w:t>
      </w:r>
      <w:r w:rsidRPr="007963BB">
        <w:rPr>
          <w:sz w:val="16"/>
        </w:rPr>
        <w:t xml:space="preserve"> equivalent to 15% of their LNG exports.</w:t>
      </w:r>
    </w:p>
    <w:p w14:paraId="6332B287" w14:textId="77777777" w:rsidR="00C90099" w:rsidRPr="007963BB" w:rsidRDefault="00C90099" w:rsidP="00810D5A">
      <w:pPr>
        <w:pStyle w:val="BodyText"/>
        <w:numPr>
          <w:ilvl w:val="0"/>
          <w:numId w:val="9"/>
        </w:numPr>
        <w:spacing w:after="0"/>
        <w:jc w:val="both"/>
        <w:rPr>
          <w:sz w:val="16"/>
        </w:rPr>
        <w:sectPr w:rsidR="00C9009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144FE916" w14:textId="6268FA8B" w:rsidR="00FA7BE9" w:rsidRPr="007963BB" w:rsidRDefault="00FA7BE9" w:rsidP="00FA7BE9">
      <w:pPr>
        <w:pStyle w:val="BodyText"/>
        <w:spacing w:after="0"/>
        <w:jc w:val="both"/>
        <w:rPr>
          <w:sz w:val="16"/>
        </w:rPr>
      </w:pPr>
    </w:p>
    <w:p w14:paraId="692DB519" w14:textId="0F72F948" w:rsidR="006F54DD" w:rsidRPr="00AE423F" w:rsidRDefault="00581553" w:rsidP="00EC6333">
      <w:pPr>
        <w:pStyle w:val="BodyText"/>
        <w:spacing w:after="0"/>
        <w:rPr>
          <w:b/>
          <w:color w:val="92278F" w:themeColor="accent1"/>
          <w:sz w:val="20"/>
        </w:rPr>
      </w:pPr>
      <w:r w:rsidRPr="00AE423F">
        <w:rPr>
          <w:b/>
          <w:color w:val="92278F" w:themeColor="accent1"/>
          <w:sz w:val="20"/>
        </w:rPr>
        <w:t>LNG and natural gas pipeline prices: Month</w:t>
      </w:r>
      <w:r w:rsidR="00743AB9" w:rsidRPr="00AE423F">
        <w:rPr>
          <w:b/>
          <w:color w:val="92278F" w:themeColor="accent1"/>
          <w:sz w:val="20"/>
        </w:rPr>
        <w:t>s</w:t>
      </w:r>
    </w:p>
    <w:p w14:paraId="4AE5E3DF" w14:textId="77B246EB" w:rsidR="006F54DD" w:rsidRPr="007963BB" w:rsidRDefault="0080020F" w:rsidP="004A64BB">
      <w:pPr>
        <w:spacing w:after="0"/>
        <w:jc w:val="both"/>
        <w:rPr>
          <w:sz w:val="16"/>
        </w:rPr>
      </w:pPr>
      <w:r>
        <w:rPr>
          <w:noProof/>
          <w:sz w:val="16"/>
          <w:lang w:eastAsia="en-AU"/>
        </w:rPr>
        <w:drawing>
          <wp:inline distT="0" distB="0" distL="0" distR="0" wp14:anchorId="432E799E" wp14:editId="10335D4E">
            <wp:extent cx="3527425" cy="1993479"/>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581418" cy="2023992"/>
                    </a:xfrm>
                    <a:prstGeom prst="rect">
                      <a:avLst/>
                    </a:prstGeom>
                    <a:noFill/>
                    <a:ln>
                      <a:noFill/>
                    </a:ln>
                  </pic:spPr>
                </pic:pic>
              </a:graphicData>
            </a:graphic>
          </wp:inline>
        </w:drawing>
      </w:r>
    </w:p>
    <w:p w14:paraId="2AB3E45C" w14:textId="38FC5955" w:rsidR="007F4A87" w:rsidRPr="007963BB" w:rsidRDefault="00581553" w:rsidP="007F4A87">
      <w:pPr>
        <w:spacing w:after="0"/>
        <w:jc w:val="both"/>
        <w:rPr>
          <w:sz w:val="10"/>
        </w:rPr>
      </w:pPr>
      <w:r w:rsidRPr="007963BB">
        <w:rPr>
          <w:sz w:val="10"/>
        </w:rPr>
        <w:t>mmBtu</w:t>
      </w:r>
      <w:r w:rsidR="00E827DF" w:rsidRPr="007963BB">
        <w:rPr>
          <w:sz w:val="10"/>
        </w:rPr>
        <w:t xml:space="preserve"> = Million</w:t>
      </w:r>
      <w:r w:rsidRPr="007963BB">
        <w:rPr>
          <w:sz w:val="10"/>
        </w:rPr>
        <w:t xml:space="preserve"> British thermal units. bbl = Barrels</w:t>
      </w:r>
      <w:r w:rsidR="007F4A87" w:rsidRPr="007963BB">
        <w:rPr>
          <w:sz w:val="10"/>
        </w:rPr>
        <w:t>.</w:t>
      </w:r>
    </w:p>
    <w:p w14:paraId="3637549B" w14:textId="0A00CF18" w:rsidR="00716C34" w:rsidRPr="007963BB" w:rsidRDefault="007F4A87" w:rsidP="004A64BB">
      <w:pPr>
        <w:spacing w:after="0"/>
        <w:jc w:val="both"/>
        <w:rPr>
          <w:sz w:val="10"/>
        </w:rPr>
      </w:pPr>
      <w:r w:rsidRPr="007963BB">
        <w:rPr>
          <w:sz w:val="10"/>
        </w:rPr>
        <w:t xml:space="preserve">Source: </w:t>
      </w:r>
      <w:r w:rsidR="00581553" w:rsidRPr="007963BB">
        <w:rPr>
          <w:sz w:val="10"/>
        </w:rPr>
        <w:t>Wor</w:t>
      </w:r>
      <w:r w:rsidR="00AC3F37">
        <w:rPr>
          <w:sz w:val="10"/>
        </w:rPr>
        <w:t>l</w:t>
      </w:r>
      <w:r w:rsidR="00581553" w:rsidRPr="007963BB">
        <w:rPr>
          <w:sz w:val="10"/>
        </w:rPr>
        <w:t>d Bank, Commodity Markets</w:t>
      </w:r>
      <w:r w:rsidRPr="007963BB">
        <w:rPr>
          <w:sz w:val="10"/>
        </w:rPr>
        <w:t xml:space="preserve"> (Month</w:t>
      </w:r>
      <w:r w:rsidR="006F4CE7" w:rsidRPr="007963BB">
        <w:rPr>
          <w:sz w:val="10"/>
        </w:rPr>
        <w:t>ly)</w:t>
      </w:r>
      <w:r w:rsidR="00716C34" w:rsidRPr="007963BB">
        <w:rPr>
          <w:sz w:val="10"/>
        </w:rPr>
        <w:t>.</w:t>
      </w:r>
    </w:p>
    <w:p w14:paraId="3F60B264" w14:textId="1B6C14A7" w:rsidR="006F54DD" w:rsidRPr="007963BB" w:rsidRDefault="006F54DD" w:rsidP="00716C34">
      <w:pPr>
        <w:spacing w:after="0"/>
        <w:jc w:val="both"/>
        <w:rPr>
          <w:sz w:val="16"/>
        </w:rPr>
      </w:pPr>
    </w:p>
    <w:p w14:paraId="1C610AF5" w14:textId="6679D2F4" w:rsidR="00716C34" w:rsidRPr="007963BB" w:rsidRDefault="00716C34" w:rsidP="00716C34">
      <w:pPr>
        <w:spacing w:after="0"/>
        <w:jc w:val="both"/>
        <w:rPr>
          <w:sz w:val="16"/>
        </w:rPr>
      </w:pPr>
    </w:p>
    <w:p w14:paraId="29D89194" w14:textId="77777777" w:rsidR="00716C34" w:rsidRPr="007963BB" w:rsidRDefault="00716C34" w:rsidP="00716C34">
      <w:pPr>
        <w:spacing w:after="0"/>
        <w:jc w:val="both"/>
        <w:rPr>
          <w:sz w:val="16"/>
        </w:rPr>
      </w:pPr>
      <w:r w:rsidRPr="007963BB">
        <w:rPr>
          <w:sz w:val="16"/>
        </w:rPr>
        <w:br w:type="column"/>
      </w:r>
    </w:p>
    <w:p w14:paraId="068BB8CC" w14:textId="4D771278" w:rsidR="007B4FBB" w:rsidRPr="00D51391" w:rsidRDefault="00CF53CC" w:rsidP="007B4FBB">
      <w:pPr>
        <w:pStyle w:val="BodyText"/>
        <w:numPr>
          <w:ilvl w:val="0"/>
          <w:numId w:val="9"/>
        </w:numPr>
        <w:spacing w:after="0"/>
        <w:jc w:val="both"/>
        <w:rPr>
          <w:sz w:val="16"/>
        </w:rPr>
      </w:pPr>
      <w:r w:rsidRPr="007963BB">
        <w:rPr>
          <w:sz w:val="16"/>
        </w:rPr>
        <w:t xml:space="preserve">The low operating costs of </w:t>
      </w:r>
      <w:r w:rsidR="007B4FBB" w:rsidRPr="007963BB">
        <w:rPr>
          <w:sz w:val="16"/>
        </w:rPr>
        <w:t xml:space="preserve">Western Australia’s LNG </w:t>
      </w:r>
      <w:r w:rsidR="007B4FBB" w:rsidRPr="00D51391">
        <w:rPr>
          <w:sz w:val="16"/>
        </w:rPr>
        <w:t xml:space="preserve">projects </w:t>
      </w:r>
      <w:r w:rsidR="00C50550" w:rsidRPr="00D51391">
        <w:rPr>
          <w:sz w:val="16"/>
        </w:rPr>
        <w:t xml:space="preserve">allows </w:t>
      </w:r>
      <w:r w:rsidRPr="00D51391">
        <w:rPr>
          <w:sz w:val="16"/>
        </w:rPr>
        <w:t xml:space="preserve">them </w:t>
      </w:r>
      <w:r w:rsidR="007B4FBB" w:rsidRPr="00D51391">
        <w:rPr>
          <w:sz w:val="16"/>
        </w:rPr>
        <w:t>to maintain supply as prices vary.</w:t>
      </w:r>
    </w:p>
    <w:p w14:paraId="393D274A" w14:textId="7F6354C0" w:rsidR="007B4FBB" w:rsidRPr="00D51391" w:rsidRDefault="00CF53CC" w:rsidP="007B4FBB">
      <w:pPr>
        <w:pStyle w:val="BodyText"/>
        <w:numPr>
          <w:ilvl w:val="0"/>
          <w:numId w:val="9"/>
        </w:numPr>
        <w:spacing w:after="0"/>
        <w:jc w:val="both"/>
        <w:rPr>
          <w:sz w:val="16"/>
        </w:rPr>
      </w:pPr>
      <w:r w:rsidRPr="00D51391">
        <w:rPr>
          <w:sz w:val="16"/>
        </w:rPr>
        <w:t>LNG prices in Asia generally move with the oil price (with a 3-month lag) because m</w:t>
      </w:r>
      <w:r w:rsidR="007B4FBB" w:rsidRPr="00D51391">
        <w:rPr>
          <w:sz w:val="16"/>
        </w:rPr>
        <w:t xml:space="preserve">ost </w:t>
      </w:r>
      <w:r w:rsidRPr="00D51391">
        <w:rPr>
          <w:sz w:val="16"/>
        </w:rPr>
        <w:t xml:space="preserve">of Asia’s </w:t>
      </w:r>
      <w:r w:rsidR="007B4FBB" w:rsidRPr="00D51391">
        <w:rPr>
          <w:sz w:val="16"/>
        </w:rPr>
        <w:t xml:space="preserve">long-term LNG </w:t>
      </w:r>
      <w:r w:rsidRPr="00D51391">
        <w:rPr>
          <w:sz w:val="16"/>
        </w:rPr>
        <w:t xml:space="preserve">supply </w:t>
      </w:r>
      <w:r w:rsidR="007B4FBB" w:rsidRPr="00D51391">
        <w:rPr>
          <w:sz w:val="16"/>
        </w:rPr>
        <w:t xml:space="preserve">contracts have </w:t>
      </w:r>
      <w:r w:rsidRPr="00D51391">
        <w:rPr>
          <w:sz w:val="16"/>
        </w:rPr>
        <w:t>prices linked to the oil price</w:t>
      </w:r>
      <w:r w:rsidR="007B4FBB" w:rsidRPr="00D51391">
        <w:rPr>
          <w:sz w:val="16"/>
        </w:rPr>
        <w:t>. This differs from gas prices in the U</w:t>
      </w:r>
      <w:r w:rsidRPr="00D51391">
        <w:rPr>
          <w:sz w:val="16"/>
        </w:rPr>
        <w:t>nited States</w:t>
      </w:r>
      <w:r w:rsidR="007B4FBB" w:rsidRPr="00D51391">
        <w:rPr>
          <w:sz w:val="16"/>
        </w:rPr>
        <w:t xml:space="preserve"> and Europe</w:t>
      </w:r>
      <w:r w:rsidR="00AC4BC6" w:rsidRPr="00D51391">
        <w:rPr>
          <w:sz w:val="16"/>
        </w:rPr>
        <w:t xml:space="preserve"> that </w:t>
      </w:r>
      <w:r w:rsidR="007B4FBB" w:rsidRPr="00D51391">
        <w:rPr>
          <w:sz w:val="16"/>
        </w:rPr>
        <w:t>respond to the regional gas market.</w:t>
      </w:r>
    </w:p>
    <w:p w14:paraId="7A19146A" w14:textId="4CAA87D1" w:rsidR="007B4FBB" w:rsidRPr="00EC2662" w:rsidRDefault="00CF53CC" w:rsidP="007B4FBB">
      <w:pPr>
        <w:pStyle w:val="BodyText"/>
        <w:numPr>
          <w:ilvl w:val="0"/>
          <w:numId w:val="9"/>
        </w:numPr>
        <w:spacing w:after="0"/>
        <w:jc w:val="both"/>
        <w:rPr>
          <w:sz w:val="16"/>
        </w:rPr>
      </w:pPr>
      <w:r w:rsidRPr="00EC2662">
        <w:rPr>
          <w:sz w:val="16"/>
        </w:rPr>
        <w:t>The</w:t>
      </w:r>
      <w:r w:rsidR="007B4FBB" w:rsidRPr="00EC2662">
        <w:rPr>
          <w:sz w:val="16"/>
        </w:rPr>
        <w:t xml:space="preserve"> LNG import</w:t>
      </w:r>
      <w:r w:rsidR="005D2DC1" w:rsidRPr="00EC2662">
        <w:rPr>
          <w:sz w:val="16"/>
        </w:rPr>
        <w:t xml:space="preserve"> price to Japan</w:t>
      </w:r>
      <w:r w:rsidRPr="00EC2662">
        <w:rPr>
          <w:sz w:val="16"/>
        </w:rPr>
        <w:t xml:space="preserve"> </w:t>
      </w:r>
      <w:r w:rsidR="00DA43AC" w:rsidRPr="00EC2662">
        <w:rPr>
          <w:sz w:val="16"/>
        </w:rPr>
        <w:t>was</w:t>
      </w:r>
      <w:r w:rsidRPr="00EC2662">
        <w:rPr>
          <w:sz w:val="16"/>
        </w:rPr>
        <w:t xml:space="preserve"> </w:t>
      </w:r>
      <w:r w:rsidR="003D347F" w:rsidRPr="00EC2662">
        <w:rPr>
          <w:sz w:val="16"/>
        </w:rPr>
        <w:t>US$</w:t>
      </w:r>
      <w:r w:rsidR="00FD341B" w:rsidRPr="00EC2662">
        <w:rPr>
          <w:sz w:val="16"/>
        </w:rPr>
        <w:t>1</w:t>
      </w:r>
      <w:r w:rsidR="0080020F" w:rsidRPr="00EC2662">
        <w:rPr>
          <w:sz w:val="16"/>
        </w:rPr>
        <w:t>2.4</w:t>
      </w:r>
      <w:r w:rsidR="004E0C3A" w:rsidRPr="00EC2662">
        <w:rPr>
          <w:sz w:val="16"/>
        </w:rPr>
        <w:t> per </w:t>
      </w:r>
      <w:r w:rsidRPr="00EC2662">
        <w:rPr>
          <w:sz w:val="16"/>
        </w:rPr>
        <w:t xml:space="preserve">mmBtu </w:t>
      </w:r>
      <w:r w:rsidR="007B4FBB" w:rsidRPr="00EC2662">
        <w:rPr>
          <w:sz w:val="16"/>
        </w:rPr>
        <w:t xml:space="preserve">in </w:t>
      </w:r>
      <w:r w:rsidR="0080020F" w:rsidRPr="00EC2662">
        <w:rPr>
          <w:sz w:val="16"/>
        </w:rPr>
        <w:t>October</w:t>
      </w:r>
      <w:r w:rsidR="0035788E" w:rsidRPr="00EC2662">
        <w:rPr>
          <w:sz w:val="16"/>
        </w:rPr>
        <w:t xml:space="preserve"> </w:t>
      </w:r>
      <w:r w:rsidR="00FD341B" w:rsidRPr="00EC2662">
        <w:rPr>
          <w:sz w:val="16"/>
        </w:rPr>
        <w:t xml:space="preserve">2021, </w:t>
      </w:r>
      <w:r w:rsidR="0035788E" w:rsidRPr="00EC2662">
        <w:rPr>
          <w:sz w:val="16"/>
        </w:rPr>
        <w:t>1</w:t>
      </w:r>
      <w:r w:rsidR="0080020F" w:rsidRPr="00EC2662">
        <w:rPr>
          <w:sz w:val="16"/>
        </w:rPr>
        <w:t>00</w:t>
      </w:r>
      <w:r w:rsidRPr="00EC2662">
        <w:rPr>
          <w:sz w:val="16"/>
        </w:rPr>
        <w:t>%</w:t>
      </w:r>
      <w:r w:rsidRPr="00EC2662">
        <w:rPr>
          <w:color w:val="FF0000"/>
          <w:sz w:val="16"/>
        </w:rPr>
        <w:t xml:space="preserve"> </w:t>
      </w:r>
      <w:r w:rsidR="001218B7" w:rsidRPr="00EC2662">
        <w:rPr>
          <w:sz w:val="16"/>
        </w:rPr>
        <w:t xml:space="preserve">higher </w:t>
      </w:r>
      <w:r w:rsidRPr="00EC2662">
        <w:rPr>
          <w:sz w:val="16"/>
        </w:rPr>
        <w:t xml:space="preserve">than in </w:t>
      </w:r>
      <w:r w:rsidR="0080020F" w:rsidRPr="00EC2662">
        <w:rPr>
          <w:sz w:val="16"/>
        </w:rPr>
        <w:t>October</w:t>
      </w:r>
      <w:r w:rsidR="0035788E" w:rsidRPr="00EC2662">
        <w:rPr>
          <w:sz w:val="16"/>
        </w:rPr>
        <w:t> </w:t>
      </w:r>
      <w:r w:rsidR="0080020F" w:rsidRPr="00EC2662">
        <w:rPr>
          <w:sz w:val="16"/>
        </w:rPr>
        <w:t>2021</w:t>
      </w:r>
      <w:r w:rsidR="007B4FBB" w:rsidRPr="00EC2662">
        <w:rPr>
          <w:sz w:val="16"/>
        </w:rPr>
        <w:t>.</w:t>
      </w:r>
    </w:p>
    <w:p w14:paraId="79C9B5DD" w14:textId="28D9CE0C" w:rsidR="00716C34" w:rsidRPr="00D51391" w:rsidRDefault="00CF53CC" w:rsidP="00810D5A">
      <w:pPr>
        <w:pStyle w:val="BodyText"/>
        <w:numPr>
          <w:ilvl w:val="0"/>
          <w:numId w:val="9"/>
        </w:numPr>
        <w:spacing w:after="0"/>
        <w:jc w:val="both"/>
        <w:rPr>
          <w:sz w:val="16"/>
        </w:rPr>
      </w:pPr>
      <w:r w:rsidRPr="00EC2662">
        <w:rPr>
          <w:sz w:val="16"/>
        </w:rPr>
        <w:t xml:space="preserve">The </w:t>
      </w:r>
      <w:r w:rsidR="00DA43AC" w:rsidRPr="00EC2662">
        <w:rPr>
          <w:sz w:val="16"/>
        </w:rPr>
        <w:t xml:space="preserve">average </w:t>
      </w:r>
      <w:r w:rsidR="007B4FBB" w:rsidRPr="00EC2662">
        <w:rPr>
          <w:sz w:val="16"/>
        </w:rPr>
        <w:t>LNG import</w:t>
      </w:r>
      <w:r w:rsidR="005D2DC1" w:rsidRPr="00EC2662">
        <w:rPr>
          <w:sz w:val="16"/>
        </w:rPr>
        <w:t xml:space="preserve"> price to Japan</w:t>
      </w:r>
      <w:r w:rsidRPr="00EC2662">
        <w:rPr>
          <w:sz w:val="16"/>
        </w:rPr>
        <w:t xml:space="preserve"> </w:t>
      </w:r>
      <w:r w:rsidR="00DA43AC" w:rsidRPr="00EC2662">
        <w:rPr>
          <w:sz w:val="16"/>
        </w:rPr>
        <w:t>in 2020</w:t>
      </w:r>
      <w:r w:rsidR="00DA43AC" w:rsidRPr="00EC2662">
        <w:rPr>
          <w:sz w:val="16"/>
        </w:rPr>
        <w:noBreakHyphen/>
        <w:t>21 was</w:t>
      </w:r>
      <w:r w:rsidRPr="00D51391">
        <w:rPr>
          <w:sz w:val="16"/>
        </w:rPr>
        <w:t xml:space="preserve"> US$</w:t>
      </w:r>
      <w:r w:rsidR="00035FD4" w:rsidRPr="00D51391">
        <w:rPr>
          <w:sz w:val="16"/>
        </w:rPr>
        <w:t>7.9</w:t>
      </w:r>
      <w:r w:rsidR="00B511C4" w:rsidRPr="00D51391">
        <w:rPr>
          <w:sz w:val="16"/>
        </w:rPr>
        <w:t xml:space="preserve"> per </w:t>
      </w:r>
      <w:r w:rsidRPr="00D51391">
        <w:rPr>
          <w:sz w:val="16"/>
        </w:rPr>
        <w:t>mmBtu</w:t>
      </w:r>
      <w:r w:rsidR="007B4FBB" w:rsidRPr="00D51391">
        <w:rPr>
          <w:sz w:val="16"/>
        </w:rPr>
        <w:t xml:space="preserve">, </w:t>
      </w:r>
      <w:r w:rsidR="00DA521A" w:rsidRPr="00D51391">
        <w:rPr>
          <w:sz w:val="16"/>
        </w:rPr>
        <w:t>22</w:t>
      </w:r>
      <w:r w:rsidRPr="00D51391">
        <w:rPr>
          <w:sz w:val="16"/>
        </w:rPr>
        <w:t xml:space="preserve">% less than in </w:t>
      </w:r>
      <w:r w:rsidR="007B4FBB" w:rsidRPr="00D51391">
        <w:rPr>
          <w:sz w:val="16"/>
        </w:rPr>
        <w:t>2019</w:t>
      </w:r>
      <w:r w:rsidR="00DA521A" w:rsidRPr="00D51391">
        <w:rPr>
          <w:sz w:val="16"/>
        </w:rPr>
        <w:t>-20</w:t>
      </w:r>
      <w:r w:rsidR="007B4FBB" w:rsidRPr="00D51391">
        <w:rPr>
          <w:sz w:val="16"/>
        </w:rPr>
        <w:t>.</w:t>
      </w:r>
    </w:p>
    <w:p w14:paraId="48457063" w14:textId="4328A721" w:rsidR="00387710" w:rsidRPr="007963BB" w:rsidRDefault="00387710" w:rsidP="00387710">
      <w:pPr>
        <w:pStyle w:val="BodyText"/>
        <w:spacing w:after="0"/>
        <w:jc w:val="both"/>
        <w:rPr>
          <w:sz w:val="16"/>
        </w:rPr>
      </w:pPr>
      <w:r w:rsidRPr="007963BB">
        <w:rPr>
          <w:sz w:val="16"/>
        </w:rPr>
        <w:br w:type="page"/>
      </w:r>
    </w:p>
    <w:p w14:paraId="65C50C67" w14:textId="77777777" w:rsidR="00D426CF" w:rsidRPr="007963BB" w:rsidRDefault="00D426CF" w:rsidP="00D426CF">
      <w:pPr>
        <w:pStyle w:val="BodyText"/>
        <w:spacing w:after="0"/>
      </w:pPr>
      <w:bookmarkStart w:id="1" w:name="_JAPAN"/>
      <w:bookmarkEnd w:id="1"/>
    </w:p>
    <w:p w14:paraId="75763FD7" w14:textId="143A972A" w:rsidR="00D426CF" w:rsidRPr="00AE423F" w:rsidRDefault="005F1191" w:rsidP="00EC6333">
      <w:pPr>
        <w:pStyle w:val="BodyText"/>
        <w:spacing w:after="0"/>
        <w:rPr>
          <w:b/>
          <w:color w:val="92278F" w:themeColor="accent1"/>
          <w:sz w:val="20"/>
        </w:rPr>
      </w:pPr>
      <w:r w:rsidRPr="00AE423F">
        <w:rPr>
          <w:b/>
          <w:color w:val="92278F" w:themeColor="accent1"/>
          <w:sz w:val="20"/>
        </w:rPr>
        <w:t>Western Australia’s</w:t>
      </w:r>
      <w:r w:rsidR="00381558" w:rsidRPr="00AE423F">
        <w:rPr>
          <w:b/>
          <w:color w:val="92278F" w:themeColor="accent1"/>
          <w:sz w:val="20"/>
        </w:rPr>
        <w:t xml:space="preserve"> </w:t>
      </w:r>
      <w:r w:rsidR="001F61C3" w:rsidRPr="00AE423F">
        <w:rPr>
          <w:b/>
          <w:color w:val="92278F" w:themeColor="accent1"/>
          <w:sz w:val="20"/>
        </w:rPr>
        <w:t>LNG</w:t>
      </w:r>
      <w:r w:rsidR="00381558" w:rsidRPr="00AE423F">
        <w:rPr>
          <w:b/>
          <w:color w:val="92278F" w:themeColor="accent1"/>
          <w:sz w:val="20"/>
        </w:rPr>
        <w:t xml:space="preserve"> sales</w:t>
      </w:r>
      <w:r w:rsidR="008078FF" w:rsidRPr="00AE423F">
        <w:rPr>
          <w:b/>
          <w:color w:val="92278F" w:themeColor="accent1"/>
          <w:sz w:val="20"/>
        </w:rPr>
        <w:t>:</w:t>
      </w:r>
      <w:r w:rsidR="001F61C3" w:rsidRPr="00AE423F">
        <w:rPr>
          <w:b/>
          <w:color w:val="92278F" w:themeColor="accent1"/>
          <w:sz w:val="20"/>
        </w:rPr>
        <w:t xml:space="preserve"> </w:t>
      </w:r>
      <w:r w:rsidR="008E02A2" w:rsidRPr="00AE423F">
        <w:rPr>
          <w:b/>
          <w:color w:val="92278F" w:themeColor="accent1"/>
          <w:sz w:val="20"/>
        </w:rPr>
        <w:t xml:space="preserve">Financial </w:t>
      </w:r>
      <w:r w:rsidR="00381558" w:rsidRPr="00AE423F">
        <w:rPr>
          <w:b/>
          <w:color w:val="92278F" w:themeColor="accent1"/>
          <w:sz w:val="20"/>
        </w:rPr>
        <w:t>year</w:t>
      </w:r>
      <w:r w:rsidR="007F074F" w:rsidRPr="00AE423F">
        <w:rPr>
          <w:b/>
          <w:color w:val="92278F" w:themeColor="accent1"/>
          <w:sz w:val="20"/>
        </w:rPr>
        <w:t>s</w:t>
      </w:r>
    </w:p>
    <w:p w14:paraId="6AB2FA21" w14:textId="028721C6" w:rsidR="006F54DD" w:rsidRPr="007963BB" w:rsidRDefault="009A6164" w:rsidP="00E81121">
      <w:pPr>
        <w:spacing w:after="0"/>
        <w:jc w:val="both"/>
        <w:rPr>
          <w:sz w:val="16"/>
        </w:rPr>
      </w:pPr>
      <w:r>
        <w:rPr>
          <w:noProof/>
          <w:sz w:val="16"/>
          <w:lang w:eastAsia="en-AU"/>
        </w:rPr>
        <w:drawing>
          <wp:inline distT="0" distB="0" distL="0" distR="0" wp14:anchorId="0E2302E4" wp14:editId="4CD3F0D3">
            <wp:extent cx="3431540" cy="2088107"/>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59973" cy="2105409"/>
                    </a:xfrm>
                    <a:prstGeom prst="rect">
                      <a:avLst/>
                    </a:prstGeom>
                    <a:noFill/>
                    <a:ln>
                      <a:noFill/>
                    </a:ln>
                  </pic:spPr>
                </pic:pic>
              </a:graphicData>
            </a:graphic>
          </wp:inline>
        </w:drawing>
      </w:r>
    </w:p>
    <w:p w14:paraId="0B8D2FBE" w14:textId="03FA8F19" w:rsidR="008B64AE" w:rsidRPr="007963BB" w:rsidRDefault="008B64AE" w:rsidP="009759CC">
      <w:pPr>
        <w:spacing w:after="0"/>
        <w:jc w:val="both"/>
        <w:rPr>
          <w:sz w:val="10"/>
        </w:rPr>
      </w:pPr>
      <w:r w:rsidRPr="007963BB">
        <w:rPr>
          <w:sz w:val="10"/>
        </w:rPr>
        <w:t>Mt = Million tonnes</w:t>
      </w:r>
      <w:r w:rsidR="001566B1" w:rsidRPr="007963BB">
        <w:rPr>
          <w:sz w:val="10"/>
        </w:rPr>
        <w:t>. ^ Includes condensate, crude oil, LPG and domestic gas.</w:t>
      </w:r>
    </w:p>
    <w:p w14:paraId="540DB768" w14:textId="76BCBBDA" w:rsidR="009759CC" w:rsidRPr="007963BB" w:rsidRDefault="00930360" w:rsidP="009759CC">
      <w:pPr>
        <w:spacing w:after="0"/>
        <w:jc w:val="both"/>
        <w:rPr>
          <w:sz w:val="10"/>
        </w:rPr>
      </w:pPr>
      <w:r w:rsidRPr="007963BB">
        <w:rPr>
          <w:sz w:val="10"/>
        </w:rPr>
        <w:t>Source: WA Department of Mines, Industry Regulation and Safety, Resource Data Files (Bi-Annual)</w:t>
      </w:r>
      <w:r w:rsidR="009759CC" w:rsidRPr="007963BB">
        <w:rPr>
          <w:sz w:val="10"/>
        </w:rPr>
        <w:t>.</w:t>
      </w:r>
    </w:p>
    <w:p w14:paraId="3F524E08" w14:textId="36870BEB" w:rsidR="00920EEA" w:rsidRPr="007963BB" w:rsidRDefault="00920EEA" w:rsidP="00E81121">
      <w:pPr>
        <w:spacing w:after="0"/>
        <w:jc w:val="both"/>
        <w:rPr>
          <w:sz w:val="16"/>
        </w:rPr>
      </w:pPr>
    </w:p>
    <w:p w14:paraId="18D3AB25" w14:textId="28B03965" w:rsidR="00920EEA" w:rsidRPr="007963BB" w:rsidRDefault="00920EEA" w:rsidP="00E81121">
      <w:pPr>
        <w:spacing w:after="0"/>
        <w:jc w:val="both"/>
        <w:rPr>
          <w:sz w:val="16"/>
        </w:rPr>
      </w:pPr>
    </w:p>
    <w:p w14:paraId="2BEE35BD" w14:textId="77777777" w:rsidR="00920EEA" w:rsidRPr="007963BB" w:rsidRDefault="00920EEA" w:rsidP="00920EEA">
      <w:pPr>
        <w:spacing w:after="0"/>
        <w:jc w:val="both"/>
        <w:rPr>
          <w:sz w:val="16"/>
        </w:rPr>
      </w:pPr>
      <w:r w:rsidRPr="007963BB">
        <w:rPr>
          <w:sz w:val="16"/>
        </w:rPr>
        <w:br w:type="column"/>
      </w:r>
    </w:p>
    <w:p w14:paraId="43AEB915" w14:textId="77777777" w:rsidR="00920EEA" w:rsidRPr="007963BB" w:rsidRDefault="00920EEA" w:rsidP="00920EEA">
      <w:pPr>
        <w:spacing w:after="0"/>
        <w:jc w:val="both"/>
        <w:rPr>
          <w:sz w:val="16"/>
        </w:rPr>
      </w:pPr>
    </w:p>
    <w:p w14:paraId="045F74F8" w14:textId="77777777" w:rsidR="00920EEA" w:rsidRPr="007963BB" w:rsidRDefault="00920EEA" w:rsidP="00920EEA">
      <w:pPr>
        <w:spacing w:after="0"/>
        <w:jc w:val="both"/>
        <w:rPr>
          <w:sz w:val="16"/>
        </w:rPr>
      </w:pPr>
    </w:p>
    <w:p w14:paraId="61C3A2AE" w14:textId="0C543D42" w:rsidR="00EE1288" w:rsidRPr="00D51391" w:rsidRDefault="00EE1288" w:rsidP="00EE1288">
      <w:pPr>
        <w:pStyle w:val="BodyText"/>
        <w:numPr>
          <w:ilvl w:val="0"/>
          <w:numId w:val="9"/>
        </w:numPr>
        <w:spacing w:after="0"/>
        <w:jc w:val="both"/>
        <w:rPr>
          <w:sz w:val="16"/>
        </w:rPr>
      </w:pPr>
      <w:r w:rsidRPr="00D51391">
        <w:rPr>
          <w:sz w:val="16"/>
        </w:rPr>
        <w:t>The volume of West</w:t>
      </w:r>
      <w:r w:rsidR="00307696" w:rsidRPr="00D51391">
        <w:rPr>
          <w:sz w:val="16"/>
        </w:rPr>
        <w:t xml:space="preserve">ern Australia’s LNG sales </w:t>
      </w:r>
      <w:r w:rsidR="000E130F" w:rsidRPr="00D51391">
        <w:rPr>
          <w:sz w:val="16"/>
        </w:rPr>
        <w:t>in 2020</w:t>
      </w:r>
      <w:r w:rsidR="008E02A2" w:rsidRPr="00D51391">
        <w:rPr>
          <w:sz w:val="16"/>
        </w:rPr>
        <w:t>-21</w:t>
      </w:r>
      <w:r w:rsidR="000E130F" w:rsidRPr="00D51391">
        <w:rPr>
          <w:sz w:val="16"/>
        </w:rPr>
        <w:t xml:space="preserve"> was </w:t>
      </w:r>
      <w:r w:rsidR="008E02A2" w:rsidRPr="00D51391">
        <w:rPr>
          <w:sz w:val="16"/>
        </w:rPr>
        <w:t>42.4</w:t>
      </w:r>
      <w:r w:rsidR="009236FA" w:rsidRPr="00D51391">
        <w:rPr>
          <w:sz w:val="16"/>
        </w:rPr>
        <w:t> </w:t>
      </w:r>
      <w:r w:rsidR="000E130F" w:rsidRPr="00D51391">
        <w:rPr>
          <w:sz w:val="16"/>
        </w:rPr>
        <w:t xml:space="preserve">million tonnes, </w:t>
      </w:r>
      <w:r w:rsidR="008E02A2" w:rsidRPr="00D51391">
        <w:rPr>
          <w:sz w:val="16"/>
        </w:rPr>
        <w:t>4.7</w:t>
      </w:r>
      <w:r w:rsidR="000E130F" w:rsidRPr="00D51391">
        <w:rPr>
          <w:sz w:val="16"/>
        </w:rPr>
        <w:t xml:space="preserve"> million tonnes </w:t>
      </w:r>
      <w:r w:rsidR="008E02A2" w:rsidRPr="00D51391">
        <w:rPr>
          <w:sz w:val="16"/>
        </w:rPr>
        <w:t xml:space="preserve">less </w:t>
      </w:r>
      <w:r w:rsidR="000E130F" w:rsidRPr="00D51391">
        <w:rPr>
          <w:sz w:val="16"/>
        </w:rPr>
        <w:t>than in 20</w:t>
      </w:r>
      <w:r w:rsidR="008E02A2" w:rsidRPr="00D51391">
        <w:rPr>
          <w:sz w:val="16"/>
        </w:rPr>
        <w:t>19-20</w:t>
      </w:r>
      <w:r w:rsidR="000E130F" w:rsidRPr="00D51391">
        <w:rPr>
          <w:sz w:val="16"/>
        </w:rPr>
        <w:t>.</w:t>
      </w:r>
      <w:r w:rsidR="009236FA" w:rsidRPr="00D51391">
        <w:rPr>
          <w:sz w:val="16"/>
        </w:rPr>
        <w:t xml:space="preserve"> The fall was largely due to maintenance limiting production volumes on some of Western Australia’s LNG projects during 2020</w:t>
      </w:r>
      <w:r w:rsidR="009236FA" w:rsidRPr="00D51391">
        <w:rPr>
          <w:sz w:val="16"/>
        </w:rPr>
        <w:noBreakHyphen/>
        <w:t>21.</w:t>
      </w:r>
    </w:p>
    <w:p w14:paraId="2944D19E" w14:textId="323CCD88" w:rsidR="00EE1288" w:rsidRPr="00D51391" w:rsidRDefault="00EE1288" w:rsidP="00EE1288">
      <w:pPr>
        <w:pStyle w:val="BodyText"/>
        <w:numPr>
          <w:ilvl w:val="0"/>
          <w:numId w:val="9"/>
        </w:numPr>
        <w:spacing w:after="0"/>
        <w:jc w:val="both"/>
        <w:rPr>
          <w:sz w:val="16"/>
        </w:rPr>
      </w:pPr>
      <w:r w:rsidRPr="00D51391">
        <w:rPr>
          <w:sz w:val="16"/>
        </w:rPr>
        <w:t xml:space="preserve">The value of Western Australia’s LNG sales </w:t>
      </w:r>
      <w:r w:rsidR="00511AF5" w:rsidRPr="00D51391">
        <w:rPr>
          <w:sz w:val="16"/>
        </w:rPr>
        <w:t>fell</w:t>
      </w:r>
      <w:r w:rsidR="00307696" w:rsidRPr="00D51391">
        <w:rPr>
          <w:sz w:val="16"/>
        </w:rPr>
        <w:t xml:space="preserve"> </w:t>
      </w:r>
      <w:r w:rsidR="008E02A2" w:rsidRPr="00D51391">
        <w:rPr>
          <w:sz w:val="16"/>
        </w:rPr>
        <w:t>41</w:t>
      </w:r>
      <w:r w:rsidRPr="00D51391">
        <w:rPr>
          <w:sz w:val="16"/>
        </w:rPr>
        <w:t xml:space="preserve">% </w:t>
      </w:r>
      <w:r w:rsidR="00511AF5" w:rsidRPr="00D51391">
        <w:rPr>
          <w:sz w:val="16"/>
        </w:rPr>
        <w:t>to $</w:t>
      </w:r>
      <w:r w:rsidR="008E02A2" w:rsidRPr="00D51391">
        <w:rPr>
          <w:sz w:val="16"/>
        </w:rPr>
        <w:t>15.8</w:t>
      </w:r>
      <w:r w:rsidRPr="00D51391">
        <w:rPr>
          <w:sz w:val="16"/>
        </w:rPr>
        <w:t xml:space="preserve"> </w:t>
      </w:r>
      <w:r w:rsidR="00307696" w:rsidRPr="00D51391">
        <w:rPr>
          <w:sz w:val="16"/>
        </w:rPr>
        <w:t>billion in 202</w:t>
      </w:r>
      <w:r w:rsidRPr="00D51391">
        <w:rPr>
          <w:sz w:val="16"/>
        </w:rPr>
        <w:t>0</w:t>
      </w:r>
      <w:r w:rsidR="008E02A2" w:rsidRPr="00D51391">
        <w:rPr>
          <w:sz w:val="16"/>
        </w:rPr>
        <w:t>-21</w:t>
      </w:r>
      <w:r w:rsidRPr="00D51391">
        <w:rPr>
          <w:sz w:val="16"/>
        </w:rPr>
        <w:t>.</w:t>
      </w:r>
      <w:r w:rsidR="009236FA" w:rsidRPr="00D51391">
        <w:rPr>
          <w:sz w:val="16"/>
        </w:rPr>
        <w:t xml:space="preserve"> The fall was due to lower production volumes and lower average LNG prices during 2020</w:t>
      </w:r>
      <w:r w:rsidR="009236FA" w:rsidRPr="00D51391">
        <w:rPr>
          <w:sz w:val="16"/>
        </w:rPr>
        <w:noBreakHyphen/>
        <w:t>21.</w:t>
      </w:r>
    </w:p>
    <w:p w14:paraId="502A5D29" w14:textId="43F71EA0" w:rsidR="00EE1288" w:rsidRPr="00D51391" w:rsidRDefault="00307696" w:rsidP="00EE1288">
      <w:pPr>
        <w:pStyle w:val="BodyText"/>
        <w:numPr>
          <w:ilvl w:val="0"/>
          <w:numId w:val="9"/>
        </w:numPr>
        <w:spacing w:after="0"/>
        <w:jc w:val="both"/>
        <w:rPr>
          <w:sz w:val="16"/>
        </w:rPr>
      </w:pPr>
      <w:r w:rsidRPr="00D51391">
        <w:rPr>
          <w:sz w:val="16"/>
        </w:rPr>
        <w:t>In 202</w:t>
      </w:r>
      <w:r w:rsidR="00EE1288" w:rsidRPr="00D51391">
        <w:rPr>
          <w:sz w:val="16"/>
        </w:rPr>
        <w:t>0</w:t>
      </w:r>
      <w:r w:rsidR="008E02A2" w:rsidRPr="00D51391">
        <w:rPr>
          <w:sz w:val="16"/>
        </w:rPr>
        <w:t>-21</w:t>
      </w:r>
      <w:r w:rsidR="00511AF5" w:rsidRPr="00D51391">
        <w:rPr>
          <w:sz w:val="16"/>
        </w:rPr>
        <w:t xml:space="preserve">, LNG accounted for </w:t>
      </w:r>
      <w:r w:rsidR="008E02A2" w:rsidRPr="00D51391">
        <w:rPr>
          <w:sz w:val="16"/>
        </w:rPr>
        <w:t>8</w:t>
      </w:r>
      <w:r w:rsidR="00EE1288" w:rsidRPr="00D51391">
        <w:rPr>
          <w:sz w:val="16"/>
        </w:rPr>
        <w:t>% of Western Australia’s total</w:t>
      </w:r>
      <w:r w:rsidR="00C50550" w:rsidRPr="00D51391">
        <w:rPr>
          <w:sz w:val="16"/>
        </w:rPr>
        <w:t xml:space="preserve"> sales of </w:t>
      </w:r>
      <w:r w:rsidRPr="00D51391">
        <w:rPr>
          <w:sz w:val="16"/>
        </w:rPr>
        <w:t>minerals and petroleum ($</w:t>
      </w:r>
      <w:r w:rsidR="008E02A2" w:rsidRPr="00D51391">
        <w:rPr>
          <w:sz w:val="16"/>
        </w:rPr>
        <w:t>209.6</w:t>
      </w:r>
      <w:r w:rsidR="00EE1288" w:rsidRPr="00D51391">
        <w:rPr>
          <w:sz w:val="16"/>
        </w:rPr>
        <w:t> billion).</w:t>
      </w:r>
    </w:p>
    <w:p w14:paraId="0B96B08F" w14:textId="4E244168" w:rsidR="00920EEA" w:rsidRPr="00D51391" w:rsidRDefault="00EE1288" w:rsidP="009236FA">
      <w:pPr>
        <w:pStyle w:val="BodyText"/>
        <w:numPr>
          <w:ilvl w:val="0"/>
          <w:numId w:val="9"/>
        </w:numPr>
        <w:spacing w:after="0"/>
        <w:jc w:val="both"/>
        <w:rPr>
          <w:sz w:val="16"/>
        </w:rPr>
      </w:pPr>
      <w:r w:rsidRPr="00D51391">
        <w:rPr>
          <w:sz w:val="16"/>
        </w:rPr>
        <w:t>Western Australia’s LNG projects also produce condensate and liquefied petroleum gas (LPG), mostly for export markets</w:t>
      </w:r>
      <w:r w:rsidR="009236FA" w:rsidRPr="00D51391">
        <w:rPr>
          <w:sz w:val="16"/>
        </w:rPr>
        <w:t xml:space="preserve"> and</w:t>
      </w:r>
      <w:r w:rsidRPr="00D51391">
        <w:rPr>
          <w:sz w:val="16"/>
        </w:rPr>
        <w:t xml:space="preserve"> supply the majority of Western Australia’s domestic gas.</w:t>
      </w:r>
    </w:p>
    <w:p w14:paraId="64A667C8" w14:textId="77777777" w:rsidR="00FB68B7" w:rsidRPr="007963BB" w:rsidRDefault="00FB68B7" w:rsidP="00FB68B7">
      <w:pPr>
        <w:pStyle w:val="BodyText"/>
        <w:spacing w:after="0"/>
        <w:ind w:left="284"/>
        <w:jc w:val="both"/>
        <w:rPr>
          <w:sz w:val="16"/>
        </w:rPr>
      </w:pPr>
    </w:p>
    <w:p w14:paraId="4AD3B9F3" w14:textId="77777777" w:rsidR="000F3A49" w:rsidRPr="007963BB" w:rsidRDefault="000F3A49" w:rsidP="000F3A49">
      <w:pPr>
        <w:spacing w:after="0"/>
        <w:jc w:val="both"/>
        <w:rPr>
          <w:sz w:val="16"/>
        </w:rPr>
        <w:sectPr w:rsidR="000F3A49"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2BDB05E1" w14:textId="709B36F2" w:rsidR="000F3A49" w:rsidRPr="00AE423F" w:rsidRDefault="00645A14" w:rsidP="00EC6333">
      <w:pPr>
        <w:pStyle w:val="BodyText"/>
        <w:spacing w:after="0"/>
        <w:rPr>
          <w:b/>
          <w:color w:val="92278F" w:themeColor="accent1"/>
          <w:sz w:val="20"/>
        </w:rPr>
      </w:pPr>
      <w:r w:rsidRPr="00AE423F">
        <w:rPr>
          <w:b/>
          <w:color w:val="92278F" w:themeColor="accent1"/>
          <w:sz w:val="20"/>
        </w:rPr>
        <w:t xml:space="preserve">Western Australia’s </w:t>
      </w:r>
      <w:r w:rsidR="00B6158D" w:rsidRPr="00AE423F">
        <w:rPr>
          <w:b/>
          <w:color w:val="92278F" w:themeColor="accent1"/>
          <w:sz w:val="20"/>
        </w:rPr>
        <w:t>LNG</w:t>
      </w:r>
      <w:r w:rsidRPr="00AE423F">
        <w:rPr>
          <w:b/>
          <w:color w:val="92278F" w:themeColor="accent1"/>
          <w:sz w:val="20"/>
        </w:rPr>
        <w:t xml:space="preserve"> sales by </w:t>
      </w:r>
      <w:r w:rsidR="00B6158D" w:rsidRPr="00AE423F">
        <w:rPr>
          <w:b/>
          <w:color w:val="92278F" w:themeColor="accent1"/>
          <w:sz w:val="20"/>
        </w:rPr>
        <w:t>market</w:t>
      </w:r>
      <w:r w:rsidR="00170BCC" w:rsidRPr="00AE423F">
        <w:rPr>
          <w:b/>
          <w:color w:val="92278F" w:themeColor="accent1"/>
          <w:sz w:val="20"/>
        </w:rPr>
        <w:t xml:space="preserve">: </w:t>
      </w:r>
      <w:r w:rsidR="00645EE8" w:rsidRPr="00AE423F">
        <w:rPr>
          <w:b/>
          <w:color w:val="92278F" w:themeColor="accent1"/>
          <w:sz w:val="20"/>
        </w:rPr>
        <w:t>Financial</w:t>
      </w:r>
      <w:r w:rsidR="00170BCC" w:rsidRPr="00AE423F">
        <w:rPr>
          <w:b/>
          <w:color w:val="92278F" w:themeColor="accent1"/>
          <w:sz w:val="20"/>
        </w:rPr>
        <w:t xml:space="preserve"> years</w:t>
      </w:r>
    </w:p>
    <w:p w14:paraId="3A390A83" w14:textId="6347EF1E" w:rsidR="006F54DD" w:rsidRPr="007963BB" w:rsidRDefault="00645EE8" w:rsidP="000F3A49">
      <w:pPr>
        <w:spacing w:after="0"/>
        <w:jc w:val="both"/>
        <w:rPr>
          <w:sz w:val="16"/>
        </w:rPr>
      </w:pPr>
      <w:r w:rsidRPr="007963BB">
        <w:rPr>
          <w:noProof/>
          <w:sz w:val="16"/>
          <w:lang w:eastAsia="en-AU"/>
        </w:rPr>
        <w:drawing>
          <wp:inline distT="0" distB="0" distL="0" distR="0" wp14:anchorId="63C89F44" wp14:editId="453F744E">
            <wp:extent cx="3473450" cy="20586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81952" cy="2063709"/>
                    </a:xfrm>
                    <a:prstGeom prst="rect">
                      <a:avLst/>
                    </a:prstGeom>
                    <a:noFill/>
                    <a:ln>
                      <a:noFill/>
                    </a:ln>
                  </pic:spPr>
                </pic:pic>
              </a:graphicData>
            </a:graphic>
          </wp:inline>
        </w:drawing>
      </w:r>
    </w:p>
    <w:p w14:paraId="60621339" w14:textId="3E2569C1" w:rsidR="00645A14" w:rsidRPr="007963BB" w:rsidRDefault="008B64AE" w:rsidP="00645A14">
      <w:pPr>
        <w:spacing w:after="0"/>
        <w:jc w:val="both"/>
        <w:rPr>
          <w:sz w:val="10"/>
        </w:rPr>
      </w:pPr>
      <w:r w:rsidRPr="007963BB">
        <w:rPr>
          <w:sz w:val="10"/>
        </w:rPr>
        <w:t xml:space="preserve">Mt = Million tonnes. </w:t>
      </w:r>
      <w:r w:rsidR="001B47EC" w:rsidRPr="007963BB">
        <w:rPr>
          <w:sz w:val="10"/>
        </w:rPr>
        <w:t>^ I</w:t>
      </w:r>
      <w:r w:rsidR="001B47EC" w:rsidRPr="007963BB">
        <w:rPr>
          <w:rFonts w:cs="Arial"/>
          <w:sz w:val="10"/>
          <w:szCs w:val="10"/>
        </w:rPr>
        <w:t>ncludes</w:t>
      </w:r>
      <w:r w:rsidR="00343A4F" w:rsidRPr="007963BB">
        <w:rPr>
          <w:rFonts w:cs="Arial"/>
          <w:sz w:val="10"/>
          <w:szCs w:val="10"/>
        </w:rPr>
        <w:t xml:space="preserve"> Malaysia, Mexico and United Arab Emirates in</w:t>
      </w:r>
      <w:r w:rsidR="00525083" w:rsidRPr="007963BB">
        <w:rPr>
          <w:rFonts w:cs="Arial"/>
          <w:sz w:val="10"/>
          <w:szCs w:val="10"/>
        </w:rPr>
        <w:t xml:space="preserve"> </w:t>
      </w:r>
      <w:r w:rsidR="00343A4F" w:rsidRPr="007963BB">
        <w:rPr>
          <w:rFonts w:cs="Arial"/>
          <w:sz w:val="10"/>
          <w:szCs w:val="10"/>
        </w:rPr>
        <w:t>2019-</w:t>
      </w:r>
      <w:r w:rsidR="00525083" w:rsidRPr="007963BB">
        <w:rPr>
          <w:rFonts w:cs="Arial"/>
          <w:sz w:val="10"/>
          <w:szCs w:val="10"/>
        </w:rPr>
        <w:t>20</w:t>
      </w:r>
      <w:r w:rsidR="00844AEE" w:rsidRPr="007963BB">
        <w:rPr>
          <w:sz w:val="10"/>
        </w:rPr>
        <w:t>.</w:t>
      </w:r>
    </w:p>
    <w:p w14:paraId="259A449E" w14:textId="13D7835A" w:rsidR="001B47EC" w:rsidRPr="007963BB" w:rsidRDefault="001B47EC" w:rsidP="001B47EC">
      <w:pPr>
        <w:pStyle w:val="ListBullet"/>
        <w:numPr>
          <w:ilvl w:val="0"/>
          <w:numId w:val="0"/>
        </w:numPr>
        <w:spacing w:after="0"/>
        <w:jc w:val="both"/>
        <w:rPr>
          <w:sz w:val="10"/>
        </w:rPr>
      </w:pPr>
      <w:r w:rsidRPr="007963BB">
        <w:rPr>
          <w:sz w:val="10"/>
        </w:rPr>
        <w:t xml:space="preserve">Source: EnergyQuest, </w:t>
      </w:r>
      <w:r w:rsidR="006056D9" w:rsidRPr="007963BB">
        <w:rPr>
          <w:sz w:val="10"/>
        </w:rPr>
        <w:t xml:space="preserve">LNG Report </w:t>
      </w:r>
      <w:r w:rsidRPr="007963BB">
        <w:rPr>
          <w:sz w:val="10"/>
        </w:rPr>
        <w:t>(</w:t>
      </w:r>
      <w:r w:rsidR="00A35AAF" w:rsidRPr="007963BB">
        <w:rPr>
          <w:sz w:val="10"/>
        </w:rPr>
        <w:t xml:space="preserve">July 2020 to </w:t>
      </w:r>
      <w:r w:rsidR="00645EE8" w:rsidRPr="007963BB">
        <w:rPr>
          <w:sz w:val="10"/>
        </w:rPr>
        <w:t>June 2021</w:t>
      </w:r>
      <w:r w:rsidR="00252B23" w:rsidRPr="007963BB">
        <w:rPr>
          <w:sz w:val="10"/>
        </w:rPr>
        <w:t>)</w:t>
      </w:r>
    </w:p>
    <w:p w14:paraId="092820B3" w14:textId="6DEA4347" w:rsidR="0081205B" w:rsidRPr="007963BB" w:rsidRDefault="0081205B" w:rsidP="000F3A49">
      <w:pPr>
        <w:spacing w:after="0"/>
        <w:jc w:val="both"/>
        <w:rPr>
          <w:sz w:val="16"/>
        </w:rPr>
      </w:pPr>
    </w:p>
    <w:p w14:paraId="7A5D4687" w14:textId="1F7CBEF7" w:rsidR="0081205B" w:rsidRPr="007963BB" w:rsidRDefault="0081205B" w:rsidP="000F3A49">
      <w:pPr>
        <w:spacing w:after="0"/>
        <w:jc w:val="both"/>
        <w:rPr>
          <w:sz w:val="16"/>
        </w:rPr>
      </w:pPr>
    </w:p>
    <w:p w14:paraId="7B66D376" w14:textId="5FEE03ED" w:rsidR="00880A7A" w:rsidRPr="007963BB" w:rsidRDefault="0081205B" w:rsidP="00B20EFD">
      <w:pPr>
        <w:pStyle w:val="BodyText"/>
        <w:numPr>
          <w:ilvl w:val="0"/>
          <w:numId w:val="9"/>
        </w:numPr>
        <w:spacing w:after="0"/>
        <w:jc w:val="both"/>
        <w:rPr>
          <w:sz w:val="16"/>
        </w:rPr>
      </w:pPr>
      <w:r w:rsidRPr="007963BB">
        <w:rPr>
          <w:sz w:val="16"/>
        </w:rPr>
        <w:br w:type="column"/>
      </w:r>
      <w:r w:rsidR="00880A7A" w:rsidRPr="007963BB">
        <w:rPr>
          <w:sz w:val="16"/>
        </w:rPr>
        <w:t xml:space="preserve">Japan was Western Australia’s first LNG customer in 1989 and remains the </w:t>
      </w:r>
      <w:r w:rsidR="006E6ADA">
        <w:rPr>
          <w:sz w:val="16"/>
        </w:rPr>
        <w:t>s</w:t>
      </w:r>
      <w:r w:rsidR="00880A7A" w:rsidRPr="007963BB">
        <w:rPr>
          <w:sz w:val="16"/>
        </w:rPr>
        <w:t>tate’s largest customer.</w:t>
      </w:r>
      <w:r w:rsidR="00B20EFD" w:rsidRPr="007963BB">
        <w:rPr>
          <w:sz w:val="16"/>
        </w:rPr>
        <w:t xml:space="preserve"> </w:t>
      </w:r>
      <w:r w:rsidR="00880A7A" w:rsidRPr="007963BB">
        <w:rPr>
          <w:sz w:val="16"/>
        </w:rPr>
        <w:t>We</w:t>
      </w:r>
      <w:r w:rsidR="00D9269D" w:rsidRPr="007963BB">
        <w:rPr>
          <w:sz w:val="16"/>
        </w:rPr>
        <w:t>stern Australia accounted for 28% of Japan’s LNG imports in 2020</w:t>
      </w:r>
      <w:r w:rsidR="00880A7A" w:rsidRPr="007963BB">
        <w:rPr>
          <w:sz w:val="16"/>
        </w:rPr>
        <w:t>.</w:t>
      </w:r>
    </w:p>
    <w:p w14:paraId="32CB4968" w14:textId="4919906F" w:rsidR="00880A7A" w:rsidRPr="007963BB" w:rsidRDefault="00880A7A" w:rsidP="00B20EFD">
      <w:pPr>
        <w:pStyle w:val="BodyText"/>
        <w:numPr>
          <w:ilvl w:val="0"/>
          <w:numId w:val="9"/>
        </w:numPr>
        <w:spacing w:after="0"/>
        <w:jc w:val="both"/>
        <w:rPr>
          <w:sz w:val="16"/>
        </w:rPr>
      </w:pPr>
      <w:r w:rsidRPr="007963BB">
        <w:rPr>
          <w:sz w:val="16"/>
        </w:rPr>
        <w:t>In 2006, Western Australia became the first jurisdiction in the world to export LNG to China via the North West Shelf’s contract with Guangdong Dapeng LNG.</w:t>
      </w:r>
      <w:r w:rsidR="00B20EFD" w:rsidRPr="007963BB">
        <w:rPr>
          <w:sz w:val="16"/>
        </w:rPr>
        <w:t xml:space="preserve"> </w:t>
      </w:r>
      <w:r w:rsidRPr="007963BB">
        <w:rPr>
          <w:sz w:val="16"/>
        </w:rPr>
        <w:t>Western Australia accounted for 20</w:t>
      </w:r>
      <w:r w:rsidR="00525083" w:rsidRPr="007963BB">
        <w:rPr>
          <w:sz w:val="16"/>
        </w:rPr>
        <w:t>% of China’s LNG imports in 2020</w:t>
      </w:r>
      <w:r w:rsidRPr="007963BB">
        <w:rPr>
          <w:sz w:val="16"/>
        </w:rPr>
        <w:t>.</w:t>
      </w:r>
    </w:p>
    <w:p w14:paraId="3BCBF838" w14:textId="3345EE85" w:rsidR="00880A7A" w:rsidRPr="007963BB" w:rsidRDefault="00880A7A" w:rsidP="00880A7A">
      <w:pPr>
        <w:pStyle w:val="BodyText"/>
        <w:numPr>
          <w:ilvl w:val="0"/>
          <w:numId w:val="9"/>
        </w:numPr>
        <w:spacing w:after="0"/>
        <w:jc w:val="both"/>
        <w:rPr>
          <w:sz w:val="16"/>
        </w:rPr>
      </w:pPr>
      <w:r w:rsidRPr="007963BB">
        <w:rPr>
          <w:sz w:val="16"/>
        </w:rPr>
        <w:t>Of Western Austral</w:t>
      </w:r>
      <w:r w:rsidR="004F5D65" w:rsidRPr="007963BB">
        <w:rPr>
          <w:sz w:val="16"/>
        </w:rPr>
        <w:t>ia’s total LNG exports in 202</w:t>
      </w:r>
      <w:r w:rsidRPr="007963BB">
        <w:rPr>
          <w:sz w:val="16"/>
        </w:rPr>
        <w:t>0</w:t>
      </w:r>
      <w:r w:rsidR="00000702" w:rsidRPr="007963BB">
        <w:rPr>
          <w:sz w:val="16"/>
        </w:rPr>
        <w:t>-21</w:t>
      </w:r>
      <w:r w:rsidRPr="007963BB">
        <w:rPr>
          <w:sz w:val="16"/>
        </w:rPr>
        <w:t>:</w:t>
      </w:r>
    </w:p>
    <w:p w14:paraId="1AFE433A" w14:textId="2B97B350" w:rsidR="00880A7A" w:rsidRPr="007963BB" w:rsidRDefault="00000702" w:rsidP="00AC4BC6">
      <w:pPr>
        <w:pStyle w:val="BodyText"/>
        <w:numPr>
          <w:ilvl w:val="1"/>
          <w:numId w:val="10"/>
        </w:numPr>
        <w:spacing w:after="0"/>
        <w:ind w:left="851" w:hanging="284"/>
        <w:jc w:val="both"/>
        <w:rPr>
          <w:sz w:val="16"/>
        </w:rPr>
      </w:pPr>
      <w:r w:rsidRPr="007963BB">
        <w:rPr>
          <w:sz w:val="16"/>
        </w:rPr>
        <w:t>Japan accounted for 48</w:t>
      </w:r>
      <w:r w:rsidR="00880A7A" w:rsidRPr="007963BB">
        <w:rPr>
          <w:sz w:val="16"/>
        </w:rPr>
        <w:t>%.</w:t>
      </w:r>
    </w:p>
    <w:p w14:paraId="2765DB78" w14:textId="6D7CC352" w:rsidR="00880A7A" w:rsidRPr="007963BB" w:rsidRDefault="00000702" w:rsidP="00AC4BC6">
      <w:pPr>
        <w:pStyle w:val="BodyText"/>
        <w:numPr>
          <w:ilvl w:val="1"/>
          <w:numId w:val="10"/>
        </w:numPr>
        <w:spacing w:after="0"/>
        <w:ind w:left="851" w:hanging="284"/>
        <w:jc w:val="both"/>
        <w:rPr>
          <w:sz w:val="16"/>
        </w:rPr>
      </w:pPr>
      <w:r w:rsidRPr="007963BB">
        <w:rPr>
          <w:sz w:val="16"/>
        </w:rPr>
        <w:t>China accounted for 29</w:t>
      </w:r>
      <w:r w:rsidR="00880A7A" w:rsidRPr="007963BB">
        <w:rPr>
          <w:sz w:val="16"/>
        </w:rPr>
        <w:t>%.</w:t>
      </w:r>
    </w:p>
    <w:p w14:paraId="09A14471" w14:textId="4714D915" w:rsidR="00880A7A" w:rsidRPr="007963BB" w:rsidRDefault="00000702" w:rsidP="00AC4BC6">
      <w:pPr>
        <w:pStyle w:val="BodyText"/>
        <w:numPr>
          <w:ilvl w:val="1"/>
          <w:numId w:val="10"/>
        </w:numPr>
        <w:spacing w:after="0"/>
        <w:ind w:left="851" w:hanging="284"/>
        <w:jc w:val="both"/>
        <w:rPr>
          <w:sz w:val="16"/>
        </w:rPr>
      </w:pPr>
      <w:r w:rsidRPr="007963BB">
        <w:rPr>
          <w:sz w:val="16"/>
        </w:rPr>
        <w:t>South Korea accounted for 10</w:t>
      </w:r>
      <w:r w:rsidR="00880A7A" w:rsidRPr="007963BB">
        <w:rPr>
          <w:sz w:val="16"/>
        </w:rPr>
        <w:t>%.</w:t>
      </w:r>
    </w:p>
    <w:p w14:paraId="0ACB5F39" w14:textId="05A81425" w:rsidR="00880A7A" w:rsidRPr="007963BB" w:rsidRDefault="00880A7A" w:rsidP="00AC4BC6">
      <w:pPr>
        <w:pStyle w:val="BodyText"/>
        <w:numPr>
          <w:ilvl w:val="1"/>
          <w:numId w:val="10"/>
        </w:numPr>
        <w:spacing w:after="0"/>
        <w:ind w:left="851" w:hanging="284"/>
        <w:jc w:val="both"/>
        <w:rPr>
          <w:sz w:val="16"/>
        </w:rPr>
      </w:pPr>
      <w:r w:rsidRPr="007963BB">
        <w:rPr>
          <w:sz w:val="16"/>
        </w:rPr>
        <w:t xml:space="preserve">Taiwan </w:t>
      </w:r>
      <w:r w:rsidR="00000702" w:rsidRPr="007963BB">
        <w:rPr>
          <w:sz w:val="16"/>
        </w:rPr>
        <w:t>accounted for 8</w:t>
      </w:r>
      <w:r w:rsidRPr="007963BB">
        <w:rPr>
          <w:sz w:val="16"/>
        </w:rPr>
        <w:t>%.</w:t>
      </w:r>
    </w:p>
    <w:p w14:paraId="3710BBB7" w14:textId="7D752054" w:rsidR="00880A7A" w:rsidRPr="007963BB" w:rsidRDefault="00000702" w:rsidP="00AC4BC6">
      <w:pPr>
        <w:pStyle w:val="BodyText"/>
        <w:numPr>
          <w:ilvl w:val="1"/>
          <w:numId w:val="10"/>
        </w:numPr>
        <w:spacing w:after="0"/>
        <w:ind w:left="851" w:hanging="284"/>
        <w:jc w:val="both"/>
        <w:rPr>
          <w:sz w:val="16"/>
        </w:rPr>
      </w:pPr>
      <w:r w:rsidRPr="007963BB">
        <w:rPr>
          <w:sz w:val="16"/>
        </w:rPr>
        <w:t xml:space="preserve">Singapore accounted for </w:t>
      </w:r>
      <w:r w:rsidR="009D0E36" w:rsidRPr="007963BB">
        <w:rPr>
          <w:sz w:val="16"/>
        </w:rPr>
        <w:t>4</w:t>
      </w:r>
      <w:r w:rsidR="00880A7A" w:rsidRPr="007963BB">
        <w:rPr>
          <w:sz w:val="16"/>
        </w:rPr>
        <w:t>%.</w:t>
      </w:r>
    </w:p>
    <w:p w14:paraId="33C23342" w14:textId="4A7A9392" w:rsidR="0081205B" w:rsidRPr="007963BB" w:rsidRDefault="00880A7A" w:rsidP="00AC4BC6">
      <w:pPr>
        <w:pStyle w:val="BodyText"/>
        <w:numPr>
          <w:ilvl w:val="1"/>
          <w:numId w:val="10"/>
        </w:numPr>
        <w:spacing w:after="0"/>
        <w:ind w:left="851" w:hanging="284"/>
        <w:jc w:val="both"/>
        <w:rPr>
          <w:sz w:val="16"/>
        </w:rPr>
      </w:pPr>
      <w:r w:rsidRPr="007963BB">
        <w:rPr>
          <w:sz w:val="16"/>
        </w:rPr>
        <w:t xml:space="preserve">India and Thailand accounted </w:t>
      </w:r>
      <w:r w:rsidR="00000702" w:rsidRPr="007963BB">
        <w:rPr>
          <w:sz w:val="16"/>
        </w:rPr>
        <w:t xml:space="preserve">for </w:t>
      </w:r>
      <w:r w:rsidR="009D0E36" w:rsidRPr="007963BB">
        <w:rPr>
          <w:sz w:val="16"/>
        </w:rPr>
        <w:t>1</w:t>
      </w:r>
      <w:r w:rsidRPr="007963BB">
        <w:rPr>
          <w:sz w:val="16"/>
        </w:rPr>
        <w:t>% each</w:t>
      </w:r>
      <w:r w:rsidR="0074190E" w:rsidRPr="007963BB">
        <w:rPr>
          <w:sz w:val="16"/>
        </w:rPr>
        <w:t>.</w:t>
      </w:r>
    </w:p>
    <w:p w14:paraId="4D0B92D3" w14:textId="77777777" w:rsidR="002860CD" w:rsidRPr="007963BB" w:rsidRDefault="002860CD" w:rsidP="002860CD">
      <w:pPr>
        <w:pStyle w:val="BodyText"/>
        <w:spacing w:after="0"/>
        <w:ind w:left="851"/>
        <w:jc w:val="both"/>
        <w:rPr>
          <w:sz w:val="16"/>
        </w:rPr>
      </w:pPr>
    </w:p>
    <w:p w14:paraId="3A128EDF" w14:textId="77777777" w:rsidR="004F3812" w:rsidRPr="007963BB" w:rsidRDefault="004F3812" w:rsidP="00FB698D">
      <w:pPr>
        <w:jc w:val="both"/>
        <w:rPr>
          <w:sz w:val="16"/>
        </w:rPr>
        <w:sectPr w:rsidR="004F3812"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3BE48C4E" w14:textId="21E27DC5" w:rsidR="008F7FD2" w:rsidRPr="00AE423F" w:rsidRDefault="006D07C1" w:rsidP="00EC6333">
      <w:pPr>
        <w:spacing w:after="0"/>
        <w:rPr>
          <w:b/>
          <w:color w:val="92278F" w:themeColor="accent1"/>
          <w:sz w:val="20"/>
        </w:rPr>
      </w:pPr>
      <w:r w:rsidRPr="00AE423F">
        <w:rPr>
          <w:b/>
          <w:color w:val="92278F" w:themeColor="accent1"/>
          <w:sz w:val="20"/>
        </w:rPr>
        <w:t>W</w:t>
      </w:r>
      <w:r w:rsidR="00736311" w:rsidRPr="00AE423F">
        <w:rPr>
          <w:b/>
          <w:color w:val="92278F" w:themeColor="accent1"/>
          <w:sz w:val="20"/>
        </w:rPr>
        <w:t xml:space="preserve">estern Australia’s </w:t>
      </w:r>
      <w:r w:rsidR="007C12F9" w:rsidRPr="00AE423F">
        <w:rPr>
          <w:b/>
          <w:color w:val="92278F" w:themeColor="accent1"/>
          <w:sz w:val="20"/>
        </w:rPr>
        <w:t>LNG production by producer</w:t>
      </w:r>
      <w:r w:rsidR="00736311" w:rsidRPr="00AE423F">
        <w:rPr>
          <w:b/>
          <w:color w:val="92278F" w:themeColor="accent1"/>
          <w:sz w:val="20"/>
        </w:rPr>
        <w:t>:</w:t>
      </w:r>
    </w:p>
    <w:p w14:paraId="49E8AC37" w14:textId="78928427" w:rsidR="004F3812" w:rsidRPr="00AE423F" w:rsidRDefault="007519E8" w:rsidP="00EC6333">
      <w:pPr>
        <w:spacing w:after="0"/>
        <w:rPr>
          <w:color w:val="92278F" w:themeColor="accent1"/>
          <w:sz w:val="22"/>
        </w:rPr>
      </w:pPr>
      <w:r w:rsidRPr="00AE423F">
        <w:rPr>
          <w:b/>
          <w:color w:val="92278F" w:themeColor="accent1"/>
          <w:sz w:val="20"/>
        </w:rPr>
        <w:t>20</w:t>
      </w:r>
      <w:r w:rsidR="007C12F9" w:rsidRPr="00AE423F">
        <w:rPr>
          <w:b/>
          <w:color w:val="92278F" w:themeColor="accent1"/>
          <w:sz w:val="20"/>
        </w:rPr>
        <w:t>20</w:t>
      </w:r>
      <w:r w:rsidR="00FD341B" w:rsidRPr="00AE423F">
        <w:rPr>
          <w:b/>
          <w:color w:val="92278F" w:themeColor="accent1"/>
          <w:sz w:val="20"/>
        </w:rPr>
        <w:t>-21</w:t>
      </w:r>
      <w:r w:rsidR="007C12F9" w:rsidRPr="00AE423F">
        <w:rPr>
          <w:b/>
          <w:color w:val="92278F" w:themeColor="accent1"/>
          <w:sz w:val="20"/>
        </w:rPr>
        <w:t xml:space="preserve"> </w:t>
      </w:r>
      <w:r w:rsidR="00FD341B" w:rsidRPr="00AE423F">
        <w:rPr>
          <w:b/>
          <w:color w:val="92278F" w:themeColor="accent1"/>
          <w:sz w:val="20"/>
        </w:rPr>
        <w:t>financial</w:t>
      </w:r>
      <w:r w:rsidR="00375A51" w:rsidRPr="00AE423F">
        <w:rPr>
          <w:b/>
          <w:color w:val="92278F" w:themeColor="accent1"/>
          <w:sz w:val="20"/>
        </w:rPr>
        <w:t xml:space="preserve"> year</w:t>
      </w:r>
    </w:p>
    <w:p w14:paraId="132881AF" w14:textId="153A5D81" w:rsidR="006F54DD" w:rsidRPr="007963BB" w:rsidRDefault="00FD341B" w:rsidP="004F3812">
      <w:pPr>
        <w:spacing w:after="0"/>
        <w:jc w:val="both"/>
        <w:rPr>
          <w:sz w:val="16"/>
        </w:rPr>
      </w:pPr>
      <w:r w:rsidRPr="007963BB">
        <w:rPr>
          <w:noProof/>
          <w:sz w:val="16"/>
          <w:lang w:eastAsia="en-AU"/>
        </w:rPr>
        <w:drawing>
          <wp:inline distT="0" distB="0" distL="0" distR="0" wp14:anchorId="67CEA26F" wp14:editId="1C80D49B">
            <wp:extent cx="3473450" cy="2190466"/>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75125" cy="2191522"/>
                    </a:xfrm>
                    <a:prstGeom prst="rect">
                      <a:avLst/>
                    </a:prstGeom>
                    <a:noFill/>
                    <a:ln>
                      <a:noFill/>
                    </a:ln>
                  </pic:spPr>
                </pic:pic>
              </a:graphicData>
            </a:graphic>
          </wp:inline>
        </w:drawing>
      </w:r>
    </w:p>
    <w:p w14:paraId="7AADF4A5" w14:textId="3D9582F4" w:rsidR="008B64AE" w:rsidRPr="007963BB" w:rsidRDefault="008B64AE" w:rsidP="00263AEC">
      <w:pPr>
        <w:spacing w:after="0"/>
        <w:jc w:val="both"/>
        <w:rPr>
          <w:sz w:val="10"/>
        </w:rPr>
      </w:pPr>
      <w:r w:rsidRPr="007963BB">
        <w:rPr>
          <w:sz w:val="10"/>
        </w:rPr>
        <w:t>Mt = Million tonnes.</w:t>
      </w:r>
      <w:r w:rsidR="000D1A3E" w:rsidRPr="007963BB">
        <w:rPr>
          <w:sz w:val="10"/>
        </w:rPr>
        <w:t>^ Includes Kufpec, CNOOC, PE Wheatstone, Tokyo Gas, Kansai Electric, Inpex, Osaka Gas, Kyushu Electric, Kogas, Jera and CPC.</w:t>
      </w:r>
    </w:p>
    <w:p w14:paraId="37114D14" w14:textId="42ADAB69" w:rsidR="00263AEC" w:rsidRPr="007963BB" w:rsidRDefault="000D1A3E" w:rsidP="000E3E3A">
      <w:pPr>
        <w:pStyle w:val="ListBullet"/>
        <w:numPr>
          <w:ilvl w:val="0"/>
          <w:numId w:val="0"/>
        </w:numPr>
        <w:spacing w:after="0"/>
        <w:jc w:val="both"/>
        <w:rPr>
          <w:sz w:val="16"/>
        </w:rPr>
      </w:pPr>
      <w:r w:rsidRPr="007963BB">
        <w:rPr>
          <w:sz w:val="10"/>
        </w:rPr>
        <w:t xml:space="preserve">Source: EnergyQuest, Energy Quarterly </w:t>
      </w:r>
      <w:r w:rsidR="000E3E3A" w:rsidRPr="00EA3447">
        <w:rPr>
          <w:sz w:val="10"/>
        </w:rPr>
        <w:t>(September 2021)</w:t>
      </w:r>
    </w:p>
    <w:p w14:paraId="62E61871" w14:textId="748A97CA" w:rsidR="00F85A90" w:rsidRPr="007963BB" w:rsidRDefault="00263AEC" w:rsidP="00F85A90">
      <w:pPr>
        <w:pStyle w:val="BodyText"/>
        <w:numPr>
          <w:ilvl w:val="0"/>
          <w:numId w:val="9"/>
        </w:numPr>
        <w:spacing w:after="0"/>
        <w:jc w:val="both"/>
        <w:rPr>
          <w:sz w:val="16"/>
        </w:rPr>
      </w:pPr>
      <w:r w:rsidRPr="007963BB">
        <w:rPr>
          <w:sz w:val="16"/>
        </w:rPr>
        <w:br w:type="column"/>
      </w:r>
      <w:r w:rsidR="00F85A90" w:rsidRPr="007963BB">
        <w:rPr>
          <w:sz w:val="16"/>
        </w:rPr>
        <w:t>In</w:t>
      </w:r>
      <w:r w:rsidR="007519E8" w:rsidRPr="007963BB">
        <w:rPr>
          <w:sz w:val="16"/>
        </w:rPr>
        <w:t xml:space="preserve"> </w:t>
      </w:r>
      <w:r w:rsidR="007519E8" w:rsidRPr="00EA3447">
        <w:rPr>
          <w:sz w:val="16"/>
        </w:rPr>
        <w:t>20</w:t>
      </w:r>
      <w:r w:rsidR="00F85A90" w:rsidRPr="00EA3447">
        <w:rPr>
          <w:sz w:val="16"/>
        </w:rPr>
        <w:t>20</w:t>
      </w:r>
      <w:r w:rsidR="00FD341B" w:rsidRPr="00EA3447">
        <w:rPr>
          <w:sz w:val="16"/>
        </w:rPr>
        <w:t>-21</w:t>
      </w:r>
      <w:r w:rsidR="00F85A90" w:rsidRPr="007963BB">
        <w:rPr>
          <w:sz w:val="16"/>
        </w:rPr>
        <w:t>, Chevron (33%</w:t>
      </w:r>
      <w:r w:rsidR="007519E8" w:rsidRPr="007963BB">
        <w:rPr>
          <w:sz w:val="16"/>
        </w:rPr>
        <w:t>), Woodside (19</w:t>
      </w:r>
      <w:r w:rsidR="00F85A90" w:rsidRPr="007963BB">
        <w:rPr>
          <w:sz w:val="16"/>
        </w:rPr>
        <w:t>%) and Shell (</w:t>
      </w:r>
      <w:r w:rsidR="00F85A90" w:rsidRPr="00EA3447">
        <w:rPr>
          <w:sz w:val="16"/>
        </w:rPr>
        <w:t>1</w:t>
      </w:r>
      <w:r w:rsidR="00296869" w:rsidRPr="00EA3447">
        <w:rPr>
          <w:sz w:val="16"/>
        </w:rPr>
        <w:t>4</w:t>
      </w:r>
      <w:r w:rsidR="00F85A90" w:rsidRPr="007963BB">
        <w:rPr>
          <w:sz w:val="16"/>
        </w:rPr>
        <w:t>%) accounted for the largest shares of Western Australia’s LNG production.</w:t>
      </w:r>
    </w:p>
    <w:p w14:paraId="30448816" w14:textId="44AF8936" w:rsidR="00F85A90" w:rsidRPr="007963BB" w:rsidRDefault="00F85A90" w:rsidP="00F85A90">
      <w:pPr>
        <w:pStyle w:val="BodyText"/>
        <w:numPr>
          <w:ilvl w:val="0"/>
          <w:numId w:val="9"/>
        </w:numPr>
        <w:spacing w:after="0"/>
        <w:jc w:val="both"/>
        <w:rPr>
          <w:sz w:val="16"/>
        </w:rPr>
      </w:pPr>
      <w:r w:rsidRPr="007963BB">
        <w:rPr>
          <w:sz w:val="16"/>
        </w:rPr>
        <w:t xml:space="preserve">Chevron has a </w:t>
      </w:r>
      <w:r w:rsidR="00E47A79" w:rsidRPr="007963BB">
        <w:rPr>
          <w:sz w:val="16"/>
        </w:rPr>
        <w:t>1/</w:t>
      </w:r>
      <w:r w:rsidR="0083144C" w:rsidRPr="007963BB">
        <w:rPr>
          <w:sz w:val="16"/>
        </w:rPr>
        <w:t xml:space="preserve">6th </w:t>
      </w:r>
      <w:r w:rsidRPr="007963BB">
        <w:rPr>
          <w:sz w:val="16"/>
        </w:rPr>
        <w:t>share of the North West Shelf project and is the operator and largest stakeholder in the Gorgon and Wheatstone projects.</w:t>
      </w:r>
    </w:p>
    <w:p w14:paraId="50257016" w14:textId="3E106710" w:rsidR="00F85A90" w:rsidRPr="007963BB" w:rsidRDefault="00F85A90" w:rsidP="00F85A90">
      <w:pPr>
        <w:pStyle w:val="BodyText"/>
        <w:numPr>
          <w:ilvl w:val="0"/>
          <w:numId w:val="9"/>
        </w:numPr>
        <w:spacing w:after="0"/>
        <w:jc w:val="both"/>
        <w:rPr>
          <w:sz w:val="16"/>
        </w:rPr>
      </w:pPr>
      <w:r w:rsidRPr="007963BB">
        <w:rPr>
          <w:sz w:val="16"/>
        </w:rPr>
        <w:t xml:space="preserve">Woodside has a </w:t>
      </w:r>
      <w:r w:rsidR="00E47A79" w:rsidRPr="007963BB">
        <w:rPr>
          <w:sz w:val="16"/>
        </w:rPr>
        <w:t>1/</w:t>
      </w:r>
      <w:r w:rsidR="0083144C" w:rsidRPr="007963BB">
        <w:rPr>
          <w:sz w:val="16"/>
        </w:rPr>
        <w:t xml:space="preserve">6th </w:t>
      </w:r>
      <w:r w:rsidRPr="007963BB">
        <w:rPr>
          <w:sz w:val="16"/>
        </w:rPr>
        <w:t>share of the North West Shelf project and a 90</w:t>
      </w:r>
      <w:r w:rsidR="0083144C" w:rsidRPr="007963BB">
        <w:rPr>
          <w:sz w:val="16"/>
        </w:rPr>
        <w:t xml:space="preserve">% </w:t>
      </w:r>
      <w:r w:rsidRPr="007963BB">
        <w:rPr>
          <w:sz w:val="16"/>
        </w:rPr>
        <w:t xml:space="preserve">share of the Pluto project and is the operator of </w:t>
      </w:r>
      <w:r w:rsidR="00A35AAF" w:rsidRPr="007963BB">
        <w:rPr>
          <w:sz w:val="16"/>
        </w:rPr>
        <w:t xml:space="preserve">both of </w:t>
      </w:r>
      <w:r w:rsidRPr="007963BB">
        <w:rPr>
          <w:sz w:val="16"/>
        </w:rPr>
        <w:t>these projects.</w:t>
      </w:r>
      <w:r w:rsidR="00A35AAF" w:rsidRPr="007963BB">
        <w:rPr>
          <w:sz w:val="16"/>
        </w:rPr>
        <w:t xml:space="preserve"> Woodside also has a 13% share of the Wheatstone project.</w:t>
      </w:r>
    </w:p>
    <w:p w14:paraId="5E0AEAEF" w14:textId="3A531BFB" w:rsidR="00263AEC" w:rsidRPr="007963BB" w:rsidRDefault="00F85A90" w:rsidP="00810D5A">
      <w:pPr>
        <w:pStyle w:val="BodyText"/>
        <w:numPr>
          <w:ilvl w:val="0"/>
          <w:numId w:val="9"/>
        </w:numPr>
        <w:spacing w:after="0"/>
        <w:jc w:val="both"/>
        <w:rPr>
          <w:sz w:val="16"/>
        </w:rPr>
      </w:pPr>
      <w:r w:rsidRPr="007963BB">
        <w:rPr>
          <w:sz w:val="16"/>
        </w:rPr>
        <w:t xml:space="preserve">Shell has a </w:t>
      </w:r>
      <w:r w:rsidR="00E47A79" w:rsidRPr="007963BB">
        <w:rPr>
          <w:sz w:val="16"/>
        </w:rPr>
        <w:t>1/</w:t>
      </w:r>
      <w:r w:rsidR="0083144C" w:rsidRPr="007963BB">
        <w:rPr>
          <w:sz w:val="16"/>
        </w:rPr>
        <w:t xml:space="preserve">6th </w:t>
      </w:r>
      <w:r w:rsidRPr="007963BB">
        <w:rPr>
          <w:sz w:val="16"/>
        </w:rPr>
        <w:t>share of the North West Shelf project, a 25</w:t>
      </w:r>
      <w:r w:rsidR="0083144C" w:rsidRPr="007963BB">
        <w:rPr>
          <w:sz w:val="16"/>
        </w:rPr>
        <w:t xml:space="preserve">% </w:t>
      </w:r>
      <w:r w:rsidRPr="007963BB">
        <w:rPr>
          <w:sz w:val="16"/>
        </w:rPr>
        <w:t>share of the Gorgon project and is the operator and largest stakeholder of t</w:t>
      </w:r>
      <w:r w:rsidR="0083144C" w:rsidRPr="007963BB">
        <w:rPr>
          <w:sz w:val="16"/>
        </w:rPr>
        <w:t>he Prelude floating LNG project</w:t>
      </w:r>
      <w:r w:rsidR="00652EA6" w:rsidRPr="007963BB">
        <w:rPr>
          <w:sz w:val="16"/>
        </w:rPr>
        <w:t>.</w:t>
      </w:r>
    </w:p>
    <w:p w14:paraId="73C97F98" w14:textId="58EC438B" w:rsidR="00E96F38" w:rsidRPr="007963BB" w:rsidRDefault="00E96F38" w:rsidP="00FB698D">
      <w:pPr>
        <w:jc w:val="both"/>
        <w:rPr>
          <w:sz w:val="16"/>
        </w:rPr>
      </w:pPr>
      <w:r w:rsidRPr="007963BB">
        <w:rPr>
          <w:sz w:val="16"/>
        </w:rPr>
        <w:br w:type="page"/>
      </w:r>
    </w:p>
    <w:p w14:paraId="4913243E" w14:textId="77777777" w:rsidR="00E96F38" w:rsidRPr="007963BB" w:rsidRDefault="00E96F38" w:rsidP="00E96F38">
      <w:pPr>
        <w:pStyle w:val="BodyText"/>
        <w:spacing w:after="0"/>
      </w:pPr>
    </w:p>
    <w:p w14:paraId="34B771C4" w14:textId="77777777" w:rsidR="00E11EDB" w:rsidRPr="007963BB" w:rsidRDefault="00E11EDB" w:rsidP="00E96F38">
      <w:pPr>
        <w:pStyle w:val="BodyText"/>
        <w:spacing w:after="0"/>
        <w:rPr>
          <w:b/>
          <w:sz w:val="20"/>
        </w:rPr>
        <w:sectPr w:rsidR="00E11EDB" w:rsidRPr="007963BB" w:rsidSect="00F7498D">
          <w:type w:val="continuous"/>
          <w:pgSz w:w="11907" w:h="16840" w:code="9"/>
          <w:pgMar w:top="1701" w:right="720" w:bottom="720" w:left="720" w:header="709" w:footer="709" w:gutter="0"/>
          <w:cols w:num="2" w:space="284" w:equalWidth="0">
            <w:col w:w="5647" w:space="284"/>
            <w:col w:w="4536"/>
          </w:cols>
          <w:docGrid w:linePitch="360"/>
        </w:sectPr>
      </w:pPr>
    </w:p>
    <w:p w14:paraId="15AE7415" w14:textId="6BA3857A" w:rsidR="00576F3B" w:rsidRPr="00AE423F" w:rsidRDefault="00E96F38" w:rsidP="000E4F41">
      <w:pPr>
        <w:pStyle w:val="BodyText"/>
        <w:spacing w:after="120" w:line="240" w:lineRule="auto"/>
        <w:rPr>
          <w:b/>
          <w:color w:val="92278F" w:themeColor="accent1"/>
          <w:sz w:val="20"/>
        </w:rPr>
      </w:pPr>
      <w:r w:rsidRPr="00AE423F">
        <w:rPr>
          <w:b/>
          <w:color w:val="92278F" w:themeColor="accent1"/>
          <w:sz w:val="20"/>
        </w:rPr>
        <w:t xml:space="preserve">Western Australia’s </w:t>
      </w:r>
      <w:r w:rsidR="00E11EDB" w:rsidRPr="00AE423F">
        <w:rPr>
          <w:b/>
          <w:color w:val="92278F" w:themeColor="accent1"/>
          <w:sz w:val="20"/>
        </w:rPr>
        <w:t>LNG projects and associated developments</w:t>
      </w:r>
      <w:r w:rsidR="00A4415C" w:rsidRPr="00AE423F">
        <w:rPr>
          <w:b/>
          <w:color w:val="92278F" w:themeColor="accent1"/>
          <w:sz w:val="20"/>
          <w:vertAlign w:val="superscript"/>
        </w:rPr>
        <w:t>1</w:t>
      </w:r>
      <w:r w:rsidR="00B876A0" w:rsidRPr="00D51391">
        <w:rPr>
          <w:b/>
          <w:color w:val="92278F" w:themeColor="accent1"/>
          <w:sz w:val="20"/>
        </w:rPr>
        <w:t xml:space="preserve">: </w:t>
      </w:r>
      <w:r w:rsidR="002D38A5" w:rsidRPr="00D51391">
        <w:rPr>
          <w:b/>
          <w:color w:val="92278F" w:themeColor="accent1"/>
          <w:sz w:val="20"/>
        </w:rPr>
        <w:t>a</w:t>
      </w:r>
      <w:r w:rsidR="006C1F5F" w:rsidRPr="00D51391">
        <w:rPr>
          <w:b/>
          <w:color w:val="92278F" w:themeColor="accent1"/>
          <w:sz w:val="20"/>
        </w:rPr>
        <w:t xml:space="preserve">s at </w:t>
      </w:r>
      <w:r w:rsidR="008641DC">
        <w:rPr>
          <w:b/>
          <w:color w:val="92278F" w:themeColor="accent1"/>
          <w:sz w:val="20"/>
        </w:rPr>
        <w:t>30</w:t>
      </w:r>
      <w:r w:rsidR="001C3EDE" w:rsidRPr="00D51391">
        <w:rPr>
          <w:b/>
          <w:color w:val="92278F" w:themeColor="accent1"/>
          <w:sz w:val="20"/>
        </w:rPr>
        <w:t xml:space="preserve"> </w:t>
      </w:r>
      <w:r w:rsidR="003E00EC">
        <w:rPr>
          <w:b/>
          <w:color w:val="92278F" w:themeColor="accent1"/>
          <w:sz w:val="20"/>
        </w:rPr>
        <w:t>November</w:t>
      </w:r>
      <w:r w:rsidR="008E02A2" w:rsidRPr="00D51391">
        <w:rPr>
          <w:b/>
          <w:color w:val="92278F" w:themeColor="accent1"/>
          <w:sz w:val="20"/>
        </w:rPr>
        <w:t xml:space="preserve"> </w:t>
      </w:r>
      <w:r w:rsidR="006C1F5F" w:rsidRPr="00D51391">
        <w:rPr>
          <w:b/>
          <w:color w:val="92278F" w:themeColor="accent1"/>
          <w:sz w:val="20"/>
        </w:rPr>
        <w:t>2021</w:t>
      </w:r>
    </w:p>
    <w:tbl>
      <w:tblPr>
        <w:tblStyle w:val="ListTable3-Accent1"/>
        <w:tblW w:w="10881"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511"/>
        <w:gridCol w:w="1848"/>
        <w:gridCol w:w="824"/>
        <w:gridCol w:w="800"/>
        <w:gridCol w:w="932"/>
        <w:gridCol w:w="4966"/>
      </w:tblGrid>
      <w:tr w:rsidR="00551FF0" w:rsidRPr="007963BB" w14:paraId="340178AD" w14:textId="77777777" w:rsidTr="00C33E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11" w:type="dxa"/>
            <w:shd w:val="clear" w:color="auto" w:fill="002060"/>
            <w:vAlign w:val="center"/>
          </w:tcPr>
          <w:p w14:paraId="297F5125" w14:textId="0D77A7C7" w:rsidR="00F55685" w:rsidRPr="007963BB" w:rsidRDefault="00D87F88" w:rsidP="00B20EFD">
            <w:pPr>
              <w:pStyle w:val="BodyText"/>
              <w:spacing w:after="0"/>
              <w:rPr>
                <w:rFonts w:cstheme="minorHAnsi"/>
                <w:sz w:val="14"/>
                <w:szCs w:val="14"/>
              </w:rPr>
            </w:pPr>
            <w:r w:rsidRPr="007963BB">
              <w:rPr>
                <w:rFonts w:cstheme="minorHAnsi"/>
                <w:sz w:val="14"/>
                <w:szCs w:val="14"/>
              </w:rPr>
              <w:t>Project</w:t>
            </w:r>
          </w:p>
        </w:tc>
        <w:tc>
          <w:tcPr>
            <w:tcW w:w="1848" w:type="dxa"/>
            <w:shd w:val="clear" w:color="auto" w:fill="002060"/>
            <w:vAlign w:val="center"/>
          </w:tcPr>
          <w:p w14:paraId="1458BFA0" w14:textId="2C2B9D04" w:rsidR="00F55685" w:rsidRPr="007963BB" w:rsidRDefault="00D87F88" w:rsidP="00B20EFD">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Stakeholders</w:t>
            </w:r>
          </w:p>
        </w:tc>
        <w:tc>
          <w:tcPr>
            <w:tcW w:w="824" w:type="dxa"/>
            <w:shd w:val="clear" w:color="auto" w:fill="002060"/>
            <w:vAlign w:val="center"/>
          </w:tcPr>
          <w:p w14:paraId="5BEC86E6" w14:textId="01D41AE4" w:rsidR="00576F3B" w:rsidRPr="007963B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Ca</w:t>
            </w:r>
            <w:r w:rsidR="00E47A79" w:rsidRPr="007963BB">
              <w:rPr>
                <w:rFonts w:cstheme="minorHAnsi"/>
                <w:sz w:val="14"/>
                <w:szCs w:val="14"/>
              </w:rPr>
              <w:t>p</w:t>
            </w:r>
            <w:r w:rsidRPr="007963BB">
              <w:rPr>
                <w:rFonts w:cstheme="minorHAnsi"/>
                <w:sz w:val="14"/>
                <w:szCs w:val="14"/>
              </w:rPr>
              <w:t>ex</w:t>
            </w:r>
            <w:r w:rsidR="00263F82" w:rsidRPr="007963BB">
              <w:rPr>
                <w:rFonts w:cstheme="minorHAnsi"/>
                <w:sz w:val="14"/>
                <w:szCs w:val="14"/>
                <w:vertAlign w:val="superscript"/>
              </w:rPr>
              <w:t>2</w:t>
            </w:r>
          </w:p>
          <w:p w14:paraId="7ABF1901" w14:textId="7F6835FF" w:rsidR="00F55685" w:rsidRPr="007963BB" w:rsidRDefault="00F55685" w:rsidP="00E47A79">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963BB">
              <w:rPr>
                <w:rFonts w:cstheme="minorHAnsi"/>
                <w:sz w:val="14"/>
                <w:szCs w:val="14"/>
              </w:rPr>
              <w:t>($</w:t>
            </w:r>
            <w:r w:rsidR="00D87F88" w:rsidRPr="007963BB">
              <w:rPr>
                <w:rFonts w:cstheme="minorHAnsi"/>
                <w:sz w:val="14"/>
                <w:szCs w:val="14"/>
              </w:rPr>
              <w:t>b</w:t>
            </w:r>
            <w:r w:rsidRPr="007963BB">
              <w:rPr>
                <w:rFonts w:cstheme="minorHAnsi"/>
                <w:sz w:val="14"/>
                <w:szCs w:val="14"/>
              </w:rPr>
              <w:t>):</w:t>
            </w:r>
          </w:p>
        </w:tc>
        <w:tc>
          <w:tcPr>
            <w:tcW w:w="800" w:type="dxa"/>
            <w:shd w:val="clear" w:color="auto" w:fill="002060"/>
            <w:vAlign w:val="center"/>
          </w:tcPr>
          <w:p w14:paraId="2BBC2608" w14:textId="7422072E" w:rsidR="00F55685" w:rsidRPr="007963BB" w:rsidRDefault="00F55685"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Capacity (Mtpa)</w:t>
            </w:r>
          </w:p>
        </w:tc>
        <w:tc>
          <w:tcPr>
            <w:tcW w:w="932" w:type="dxa"/>
            <w:shd w:val="clear" w:color="auto" w:fill="002060"/>
            <w:vAlign w:val="center"/>
          </w:tcPr>
          <w:p w14:paraId="3302BF50" w14:textId="0EE22B04" w:rsidR="00B20EFD" w:rsidRPr="007963B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Start of</w:t>
            </w:r>
          </w:p>
          <w:p w14:paraId="6C0BD0A1" w14:textId="1FC711CE" w:rsidR="00F55685" w:rsidRPr="007963BB" w:rsidRDefault="00D87F88" w:rsidP="00B20EFD">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operations</w:t>
            </w:r>
          </w:p>
        </w:tc>
        <w:tc>
          <w:tcPr>
            <w:tcW w:w="4966" w:type="dxa"/>
            <w:shd w:val="clear" w:color="auto" w:fill="002060"/>
            <w:vAlign w:val="center"/>
          </w:tcPr>
          <w:p w14:paraId="1C4F9485" w14:textId="2DDF39A8" w:rsidR="00F55685" w:rsidRPr="007963BB" w:rsidRDefault="00D87F88" w:rsidP="003F1169">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Details</w:t>
            </w:r>
          </w:p>
        </w:tc>
      </w:tr>
      <w:tr w:rsidR="00551FF0" w:rsidRPr="007963BB" w14:paraId="32ABFD05" w14:textId="77777777" w:rsidTr="00C33E02">
        <w:trPr>
          <w:cnfStyle w:val="000000100000" w:firstRow="0" w:lastRow="0" w:firstColumn="0" w:lastColumn="0" w:oddVBand="0" w:evenVBand="0" w:oddHBand="1" w:evenHBand="0" w:firstRowFirstColumn="0" w:firstRowLastColumn="0" w:lastRowFirstColumn="0" w:lastRowLastColumn="0"/>
          <w:trHeight w:val="1161"/>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2B95E5D1" w14:textId="77777777" w:rsidR="006B5876" w:rsidRPr="007963BB" w:rsidRDefault="003B7762" w:rsidP="00B20EFD">
            <w:pPr>
              <w:pStyle w:val="BodyText"/>
              <w:spacing w:after="0"/>
              <w:rPr>
                <w:rFonts w:cstheme="minorHAnsi"/>
                <w:sz w:val="14"/>
                <w:szCs w:val="14"/>
              </w:rPr>
            </w:pPr>
            <w:r w:rsidRPr="007963BB">
              <w:rPr>
                <w:rFonts w:cstheme="minorHAnsi"/>
                <w:sz w:val="14"/>
                <w:szCs w:val="14"/>
              </w:rPr>
              <w:t>North West Shelf</w:t>
            </w:r>
          </w:p>
          <w:p w14:paraId="44D44625" w14:textId="68413E57" w:rsidR="003B7762" w:rsidRPr="007963BB" w:rsidRDefault="003B7762" w:rsidP="00B20EFD">
            <w:pPr>
              <w:pStyle w:val="BodyText"/>
              <w:spacing w:after="0"/>
              <w:rPr>
                <w:rFonts w:cstheme="minorHAnsi"/>
                <w:b w:val="0"/>
                <w:sz w:val="14"/>
                <w:szCs w:val="14"/>
              </w:rPr>
            </w:pPr>
            <w:r w:rsidRPr="007963BB">
              <w:rPr>
                <w:rFonts w:cstheme="minorHAnsi"/>
                <w:b w:val="0"/>
                <w:sz w:val="14"/>
                <w:szCs w:val="14"/>
              </w:rPr>
              <w:t>Trains 1-5</w:t>
            </w:r>
          </w:p>
        </w:tc>
        <w:tc>
          <w:tcPr>
            <w:tcW w:w="1848" w:type="dxa"/>
            <w:vAlign w:val="center"/>
          </w:tcPr>
          <w:p w14:paraId="4D31DE80" w14:textId="08179FEA" w:rsidR="004D4F8C" w:rsidRPr="007963B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Woodside (16.67%)</w:t>
            </w:r>
          </w:p>
          <w:p w14:paraId="29A44B3F" w14:textId="13121914" w:rsidR="004D4F8C" w:rsidRPr="007963B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BHP (16.67%)</w:t>
            </w:r>
          </w:p>
          <w:p w14:paraId="547B1A22" w14:textId="3443D738" w:rsidR="004D4F8C" w:rsidRPr="007963B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BP (16.67%)</w:t>
            </w:r>
          </w:p>
          <w:p w14:paraId="2A70AF28" w14:textId="77777777" w:rsidR="004D4F8C" w:rsidRPr="007963B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Chevron (16.67%)</w:t>
            </w:r>
          </w:p>
          <w:p w14:paraId="11A65A3A" w14:textId="4C245F81" w:rsidR="004D4F8C" w:rsidRPr="007963B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MIMI (16.67%)</w:t>
            </w:r>
          </w:p>
          <w:p w14:paraId="1E93D89A" w14:textId="35E02EAD" w:rsidR="006B5876" w:rsidRPr="007963BB" w:rsidRDefault="004D4F8C" w:rsidP="004D4F8C">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Shell (16.67%)</w:t>
            </w:r>
          </w:p>
        </w:tc>
        <w:tc>
          <w:tcPr>
            <w:tcW w:w="824" w:type="dxa"/>
            <w:vAlign w:val="center"/>
          </w:tcPr>
          <w:p w14:paraId="28E959A6" w14:textId="79DBF847" w:rsidR="006B5876" w:rsidRPr="007963B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34.0</w:t>
            </w:r>
          </w:p>
        </w:tc>
        <w:tc>
          <w:tcPr>
            <w:tcW w:w="800" w:type="dxa"/>
            <w:vAlign w:val="center"/>
          </w:tcPr>
          <w:p w14:paraId="1B20F6A5" w14:textId="6BE60C87" w:rsidR="006B5876" w:rsidRPr="007963BB" w:rsidRDefault="004D4F8C"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16.9</w:t>
            </w:r>
          </w:p>
        </w:tc>
        <w:tc>
          <w:tcPr>
            <w:tcW w:w="932" w:type="dxa"/>
            <w:vAlign w:val="center"/>
          </w:tcPr>
          <w:p w14:paraId="5AA2DA67" w14:textId="65C321DF" w:rsidR="006B5876" w:rsidRPr="007963BB" w:rsidRDefault="00C575B0" w:rsidP="00B20EFD">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 xml:space="preserve">September </w:t>
            </w:r>
            <w:r w:rsidR="004D4F8C" w:rsidRPr="007963BB">
              <w:rPr>
                <w:rFonts w:cstheme="minorHAnsi"/>
                <w:sz w:val="14"/>
                <w:szCs w:val="14"/>
              </w:rPr>
              <w:t>1989</w:t>
            </w:r>
          </w:p>
        </w:tc>
        <w:tc>
          <w:tcPr>
            <w:tcW w:w="4966" w:type="dxa"/>
            <w:vAlign w:val="center"/>
          </w:tcPr>
          <w:p w14:paraId="2EFDB218" w14:textId="7B61A77B" w:rsidR="002D38A5" w:rsidRPr="007963BB" w:rsidRDefault="002D38A5" w:rsidP="002D38A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The North West Shelf is a five</w:t>
            </w:r>
            <w:r w:rsidRPr="007963BB">
              <w:rPr>
                <w:rFonts w:cstheme="minorHAnsi"/>
                <w:sz w:val="14"/>
                <w:szCs w:val="14"/>
              </w:rPr>
              <w:noBreakHyphen/>
              <w:t>train LNG project located within the Burrup Strategic Industrial Area in Western Australia’s Pilbara region.</w:t>
            </w:r>
          </w:p>
          <w:p w14:paraId="0BB17683" w14:textId="1083E53B" w:rsidR="0065246A" w:rsidRPr="007963BB" w:rsidRDefault="0065246A" w:rsidP="002D38A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Trains 1 and 2 began in 1989.</w:t>
            </w:r>
          </w:p>
          <w:p w14:paraId="321C3491" w14:textId="77777777" w:rsidR="0065246A" w:rsidRPr="007963BB" w:rsidRDefault="0065246A" w:rsidP="002D38A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Train 3 began in 1992.</w:t>
            </w:r>
          </w:p>
          <w:p w14:paraId="7F196242" w14:textId="77777777" w:rsidR="0065246A" w:rsidRPr="007963BB" w:rsidRDefault="0065246A" w:rsidP="002D38A5">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Train 4 began in 2004.</w:t>
            </w:r>
          </w:p>
          <w:p w14:paraId="34A17FAE" w14:textId="365EFE43" w:rsidR="00E157B3" w:rsidRPr="007963BB" w:rsidRDefault="0065246A" w:rsidP="006F1239">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Train 5 began in 2008.</w:t>
            </w:r>
          </w:p>
        </w:tc>
      </w:tr>
      <w:tr w:rsidR="00551FF0" w:rsidRPr="007963BB" w14:paraId="438C8F69" w14:textId="77777777" w:rsidTr="00C33E02">
        <w:trPr>
          <w:trHeight w:val="890"/>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37BB757B" w14:textId="77777777" w:rsidR="006B5876" w:rsidRPr="007963BB" w:rsidRDefault="003B7762" w:rsidP="00B20EFD">
            <w:pPr>
              <w:pStyle w:val="BodyText"/>
              <w:spacing w:after="0"/>
              <w:rPr>
                <w:rFonts w:cstheme="minorHAnsi"/>
                <w:sz w:val="14"/>
                <w:szCs w:val="14"/>
              </w:rPr>
            </w:pPr>
            <w:r w:rsidRPr="007963BB">
              <w:rPr>
                <w:rFonts w:cstheme="minorHAnsi"/>
                <w:sz w:val="14"/>
                <w:szCs w:val="14"/>
              </w:rPr>
              <w:t>Pluto</w:t>
            </w:r>
          </w:p>
          <w:p w14:paraId="0B16753F" w14:textId="64D12A84" w:rsidR="003B7762" w:rsidRPr="007963BB" w:rsidRDefault="003B7762" w:rsidP="00B20EFD">
            <w:pPr>
              <w:pStyle w:val="BodyText"/>
              <w:spacing w:after="0"/>
              <w:rPr>
                <w:rFonts w:cstheme="minorHAnsi"/>
                <w:b w:val="0"/>
                <w:sz w:val="14"/>
                <w:szCs w:val="14"/>
              </w:rPr>
            </w:pPr>
            <w:r w:rsidRPr="007963BB">
              <w:rPr>
                <w:rFonts w:cstheme="minorHAnsi"/>
                <w:b w:val="0"/>
                <w:sz w:val="14"/>
                <w:szCs w:val="14"/>
              </w:rPr>
              <w:t>Train 1</w:t>
            </w:r>
          </w:p>
        </w:tc>
        <w:tc>
          <w:tcPr>
            <w:tcW w:w="1848" w:type="dxa"/>
            <w:vAlign w:val="center"/>
          </w:tcPr>
          <w:p w14:paraId="39F16C17" w14:textId="77777777" w:rsidR="00690D6A" w:rsidRPr="007963B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Woodside (90%)</w:t>
            </w:r>
          </w:p>
          <w:p w14:paraId="24942923" w14:textId="77777777" w:rsidR="00690D6A" w:rsidRPr="007963B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Tokyo Gas (5%)</w:t>
            </w:r>
          </w:p>
          <w:p w14:paraId="779CAFD9" w14:textId="6404BB59" w:rsidR="006B5876" w:rsidRPr="007963BB" w:rsidRDefault="00690D6A" w:rsidP="00690D6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Kansai Electric (5%)</w:t>
            </w:r>
          </w:p>
        </w:tc>
        <w:tc>
          <w:tcPr>
            <w:tcW w:w="824" w:type="dxa"/>
            <w:vAlign w:val="center"/>
          </w:tcPr>
          <w:p w14:paraId="5113205A" w14:textId="66D477F2" w:rsidR="006B5876" w:rsidRPr="007963B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15.0</w:t>
            </w:r>
          </w:p>
        </w:tc>
        <w:tc>
          <w:tcPr>
            <w:tcW w:w="800" w:type="dxa"/>
            <w:vAlign w:val="center"/>
          </w:tcPr>
          <w:p w14:paraId="65CCF4BC" w14:textId="5D545DF9" w:rsidR="006B5876" w:rsidRPr="007963BB" w:rsidRDefault="004D4F8C" w:rsidP="00B20EFD">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4.9</w:t>
            </w:r>
          </w:p>
        </w:tc>
        <w:tc>
          <w:tcPr>
            <w:tcW w:w="932" w:type="dxa"/>
            <w:vAlign w:val="center"/>
          </w:tcPr>
          <w:p w14:paraId="02D5BA8D" w14:textId="2E2BD0E1" w:rsidR="006B5876" w:rsidRPr="007963BB" w:rsidRDefault="004C10C0" w:rsidP="005001E6">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April</w:t>
            </w:r>
            <w:r w:rsidR="000E4F41" w:rsidRPr="007963BB">
              <w:rPr>
                <w:rFonts w:cstheme="minorHAnsi"/>
                <w:sz w:val="14"/>
                <w:szCs w:val="14"/>
              </w:rPr>
              <w:br/>
            </w:r>
            <w:r w:rsidR="004D4F8C" w:rsidRPr="007963BB">
              <w:rPr>
                <w:rFonts w:cstheme="minorHAnsi"/>
                <w:sz w:val="14"/>
                <w:szCs w:val="14"/>
              </w:rPr>
              <w:t>2012</w:t>
            </w:r>
          </w:p>
        </w:tc>
        <w:tc>
          <w:tcPr>
            <w:tcW w:w="4966" w:type="dxa"/>
            <w:vAlign w:val="center"/>
          </w:tcPr>
          <w:p w14:paraId="05FB3714" w14:textId="77777777" w:rsidR="0093517E" w:rsidRDefault="000415D9" w:rsidP="00551FF0">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0415D9">
              <w:rPr>
                <w:rFonts w:cstheme="minorHAnsi"/>
                <w:sz w:val="14"/>
                <w:szCs w:val="14"/>
              </w:rPr>
              <w:t xml:space="preserve">Pluto is </w:t>
            </w:r>
            <w:r>
              <w:rPr>
                <w:rFonts w:cstheme="minorHAnsi"/>
                <w:sz w:val="14"/>
                <w:szCs w:val="14"/>
              </w:rPr>
              <w:t xml:space="preserve">currently </w:t>
            </w:r>
            <w:r w:rsidRPr="000415D9">
              <w:rPr>
                <w:rFonts w:cstheme="minorHAnsi"/>
                <w:sz w:val="14"/>
                <w:szCs w:val="14"/>
              </w:rPr>
              <w:t>a single train LNG project located within the Burrup Strategic Industrial Area in Western Australia’s Pilbara region.</w:t>
            </w:r>
          </w:p>
          <w:p w14:paraId="5C625610" w14:textId="4487A708" w:rsidR="00FF11AB" w:rsidRPr="007963BB" w:rsidRDefault="00653289" w:rsidP="00551FF0">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 xml:space="preserve">In November 2021, a final investment decision was made to </w:t>
            </w:r>
            <w:r w:rsidRPr="00653289">
              <w:rPr>
                <w:rFonts w:cstheme="minorHAnsi"/>
                <w:sz w:val="14"/>
                <w:szCs w:val="14"/>
              </w:rPr>
              <w:t xml:space="preserve">backfill and expand the Pluto LNG </w:t>
            </w:r>
            <w:r>
              <w:rPr>
                <w:rFonts w:cstheme="minorHAnsi"/>
                <w:sz w:val="14"/>
                <w:szCs w:val="14"/>
              </w:rPr>
              <w:t>project</w:t>
            </w:r>
            <w:r w:rsidRPr="00653289">
              <w:rPr>
                <w:rFonts w:cstheme="minorHAnsi"/>
                <w:sz w:val="14"/>
                <w:szCs w:val="14"/>
              </w:rPr>
              <w:t xml:space="preserve"> with gas from the Scarborough fields</w:t>
            </w:r>
            <w:r>
              <w:rPr>
                <w:rFonts w:cstheme="minorHAnsi"/>
                <w:sz w:val="14"/>
                <w:szCs w:val="14"/>
              </w:rPr>
              <w:t xml:space="preserve"> (see Scarborough and Pluto Train 2 below</w:t>
            </w:r>
            <w:r w:rsidR="00D0220B">
              <w:rPr>
                <w:rFonts w:cstheme="minorHAnsi"/>
                <w:sz w:val="14"/>
                <w:szCs w:val="14"/>
              </w:rPr>
              <w:t>).</w:t>
            </w:r>
          </w:p>
        </w:tc>
      </w:tr>
      <w:tr w:rsidR="00551FF0" w:rsidRPr="007963BB" w14:paraId="5DA6B98C" w14:textId="77777777" w:rsidTr="00C33E02">
        <w:trPr>
          <w:cnfStyle w:val="000000100000" w:firstRow="0" w:lastRow="0" w:firstColumn="0" w:lastColumn="0" w:oddVBand="0" w:evenVBand="0" w:oddHBand="1" w:evenHBand="0" w:firstRowFirstColumn="0" w:firstRowLastColumn="0" w:lastRowFirstColumn="0" w:lastRowLastColumn="0"/>
          <w:trHeight w:val="1132"/>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3D01CC58" w14:textId="77777777" w:rsidR="00530F27" w:rsidRPr="007963BB" w:rsidRDefault="00530F27" w:rsidP="00530F27">
            <w:pPr>
              <w:pStyle w:val="BodyText"/>
              <w:spacing w:after="0"/>
              <w:rPr>
                <w:rFonts w:cstheme="minorHAnsi"/>
                <w:sz w:val="14"/>
                <w:szCs w:val="14"/>
              </w:rPr>
            </w:pPr>
            <w:r w:rsidRPr="007963BB">
              <w:rPr>
                <w:rFonts w:cstheme="minorHAnsi"/>
                <w:sz w:val="14"/>
                <w:szCs w:val="14"/>
              </w:rPr>
              <w:t>Gorgon</w:t>
            </w:r>
          </w:p>
          <w:p w14:paraId="026699B2" w14:textId="1CD80A42" w:rsidR="00530F27" w:rsidRPr="007963BB" w:rsidRDefault="00530F27" w:rsidP="00530F27">
            <w:pPr>
              <w:pStyle w:val="BodyText"/>
              <w:spacing w:after="0"/>
              <w:rPr>
                <w:rFonts w:cstheme="minorHAnsi"/>
                <w:b w:val="0"/>
                <w:sz w:val="14"/>
                <w:szCs w:val="14"/>
              </w:rPr>
            </w:pPr>
            <w:r w:rsidRPr="007963BB">
              <w:rPr>
                <w:rFonts w:cstheme="minorHAnsi"/>
                <w:b w:val="0"/>
                <w:sz w:val="14"/>
                <w:szCs w:val="14"/>
              </w:rPr>
              <w:t>Trains 1-3</w:t>
            </w:r>
          </w:p>
        </w:tc>
        <w:tc>
          <w:tcPr>
            <w:tcW w:w="1848" w:type="dxa"/>
            <w:vAlign w:val="center"/>
          </w:tcPr>
          <w:p w14:paraId="10353369"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Chevron (47.3%)</w:t>
            </w:r>
          </w:p>
          <w:p w14:paraId="6401FA37"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ExxonMobil (25%)</w:t>
            </w:r>
          </w:p>
          <w:p w14:paraId="3AE8FD3A"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Shell (25%)</w:t>
            </w:r>
          </w:p>
          <w:p w14:paraId="17476D78"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Osaka Gas (1.25%)</w:t>
            </w:r>
          </w:p>
          <w:p w14:paraId="2A3F4E71"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Tokyo Gas (1%)</w:t>
            </w:r>
          </w:p>
          <w:p w14:paraId="35230061" w14:textId="59B10138"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JERA (0.417%)</w:t>
            </w:r>
          </w:p>
        </w:tc>
        <w:tc>
          <w:tcPr>
            <w:tcW w:w="824" w:type="dxa"/>
            <w:vAlign w:val="center"/>
          </w:tcPr>
          <w:p w14:paraId="1AD2645B" w14:textId="7058E038"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55.0</w:t>
            </w:r>
          </w:p>
        </w:tc>
        <w:tc>
          <w:tcPr>
            <w:tcW w:w="800" w:type="dxa"/>
            <w:vAlign w:val="center"/>
          </w:tcPr>
          <w:p w14:paraId="1460BCBF" w14:textId="3BDBE066"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15.6</w:t>
            </w:r>
          </w:p>
        </w:tc>
        <w:tc>
          <w:tcPr>
            <w:tcW w:w="932" w:type="dxa"/>
            <w:vAlign w:val="center"/>
          </w:tcPr>
          <w:p w14:paraId="5E359C03" w14:textId="50BB9E5E"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March 2016</w:t>
            </w:r>
          </w:p>
        </w:tc>
        <w:tc>
          <w:tcPr>
            <w:tcW w:w="4966" w:type="dxa"/>
            <w:vAlign w:val="center"/>
          </w:tcPr>
          <w:p w14:paraId="2D2224E4" w14:textId="038DC0D8" w:rsidR="00530F27" w:rsidRPr="007963BB" w:rsidRDefault="00530F27" w:rsidP="00530F27">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Gorgon is a three</w:t>
            </w:r>
            <w:r w:rsidRPr="007963BB">
              <w:rPr>
                <w:rFonts w:cstheme="minorHAnsi"/>
                <w:sz w:val="14"/>
                <w:szCs w:val="14"/>
              </w:rPr>
              <w:noBreakHyphen/>
              <w:t>train LNG project located on Barrow Island in Western Australia’s Pilbara region.</w:t>
            </w:r>
          </w:p>
          <w:p w14:paraId="64D59A59" w14:textId="2DC657C6" w:rsidR="00530F27" w:rsidRPr="007963BB" w:rsidRDefault="00530F27" w:rsidP="00530F27">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Gorgon exported its first LNG cargo in March 2016.</w:t>
            </w:r>
          </w:p>
          <w:p w14:paraId="718F2CE2" w14:textId="3EB20F68" w:rsidR="00530F27" w:rsidRPr="007963BB" w:rsidRDefault="00530F27" w:rsidP="00530F27">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Train 2 began production in October 2016.</w:t>
            </w:r>
          </w:p>
          <w:p w14:paraId="49AF1ADF" w14:textId="68F8B003" w:rsidR="00530F27" w:rsidRPr="007963BB" w:rsidRDefault="00530F27" w:rsidP="00530F27">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Train 3 began production in March 2017.</w:t>
            </w:r>
          </w:p>
        </w:tc>
      </w:tr>
      <w:tr w:rsidR="00551FF0" w:rsidRPr="007963BB" w14:paraId="603EC485" w14:textId="77777777" w:rsidTr="00C33E02">
        <w:trPr>
          <w:trHeight w:val="964"/>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30851B1A" w14:textId="77777777" w:rsidR="00530F27" w:rsidRPr="007963BB" w:rsidRDefault="00530F27" w:rsidP="00530F27">
            <w:pPr>
              <w:pStyle w:val="BodyText"/>
              <w:spacing w:after="0"/>
              <w:rPr>
                <w:rFonts w:cstheme="minorHAnsi"/>
                <w:sz w:val="14"/>
                <w:szCs w:val="14"/>
              </w:rPr>
            </w:pPr>
            <w:r w:rsidRPr="007963BB">
              <w:rPr>
                <w:rFonts w:cstheme="minorHAnsi"/>
                <w:sz w:val="14"/>
                <w:szCs w:val="14"/>
              </w:rPr>
              <w:t>Wheatstone</w:t>
            </w:r>
          </w:p>
          <w:p w14:paraId="60291636" w14:textId="0111467F" w:rsidR="00530F27" w:rsidRPr="007963BB" w:rsidRDefault="00530F27" w:rsidP="00530F27">
            <w:pPr>
              <w:pStyle w:val="BodyText"/>
              <w:spacing w:after="0"/>
              <w:rPr>
                <w:rFonts w:cstheme="minorHAnsi"/>
                <w:b w:val="0"/>
                <w:sz w:val="14"/>
                <w:szCs w:val="14"/>
              </w:rPr>
            </w:pPr>
            <w:r w:rsidRPr="007963BB">
              <w:rPr>
                <w:rFonts w:cstheme="minorHAnsi"/>
                <w:b w:val="0"/>
                <w:sz w:val="14"/>
                <w:szCs w:val="14"/>
              </w:rPr>
              <w:t>Trains 1-2</w:t>
            </w:r>
          </w:p>
        </w:tc>
        <w:tc>
          <w:tcPr>
            <w:tcW w:w="1848" w:type="dxa"/>
            <w:vAlign w:val="center"/>
          </w:tcPr>
          <w:p w14:paraId="107F235E" w14:textId="77777777"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Chevron (64.14%)</w:t>
            </w:r>
          </w:p>
          <w:p w14:paraId="787C9527" w14:textId="77777777"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KUFPEC (13.4%)</w:t>
            </w:r>
          </w:p>
          <w:p w14:paraId="5E72E85C" w14:textId="77777777"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Woodside (13%)</w:t>
            </w:r>
          </w:p>
          <w:p w14:paraId="7949008A" w14:textId="77777777"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PE Wheatstone (8%)</w:t>
            </w:r>
          </w:p>
          <w:p w14:paraId="2345F41B" w14:textId="00A6964A"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Kyushu Electric (1.46%)</w:t>
            </w:r>
          </w:p>
        </w:tc>
        <w:tc>
          <w:tcPr>
            <w:tcW w:w="824" w:type="dxa"/>
            <w:vAlign w:val="center"/>
          </w:tcPr>
          <w:p w14:paraId="4DB26528" w14:textId="5506CAA8"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40.0</w:t>
            </w:r>
          </w:p>
        </w:tc>
        <w:tc>
          <w:tcPr>
            <w:tcW w:w="800" w:type="dxa"/>
            <w:vAlign w:val="center"/>
          </w:tcPr>
          <w:p w14:paraId="4FDF95F5" w14:textId="5F9A166A"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8.9</w:t>
            </w:r>
          </w:p>
        </w:tc>
        <w:tc>
          <w:tcPr>
            <w:tcW w:w="932" w:type="dxa"/>
            <w:vAlign w:val="center"/>
          </w:tcPr>
          <w:p w14:paraId="4F88BD75" w14:textId="2A90DA8E"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October 2017</w:t>
            </w:r>
          </w:p>
        </w:tc>
        <w:tc>
          <w:tcPr>
            <w:tcW w:w="4966" w:type="dxa"/>
            <w:vAlign w:val="center"/>
          </w:tcPr>
          <w:p w14:paraId="2A310373" w14:textId="788E9B27" w:rsidR="00530F27" w:rsidRPr="007963BB" w:rsidRDefault="00530F27" w:rsidP="00530F27">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Wheatstone is a two</w:t>
            </w:r>
            <w:r w:rsidRPr="007963BB">
              <w:rPr>
                <w:rFonts w:cstheme="minorHAnsi"/>
                <w:sz w:val="14"/>
                <w:szCs w:val="14"/>
              </w:rPr>
              <w:noBreakHyphen/>
              <w:t>train LNG project located within the Ashburton North Strategic Industrial Area in Western Australia’s Pilbara region.</w:t>
            </w:r>
          </w:p>
          <w:p w14:paraId="066ED11D" w14:textId="7110BD09" w:rsidR="00530F27" w:rsidRPr="007963BB" w:rsidRDefault="00530F27" w:rsidP="00530F27">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Train 1 commenced LNG production in October 2017.</w:t>
            </w:r>
          </w:p>
          <w:p w14:paraId="4BD90918" w14:textId="4F91F292" w:rsidR="00530F27" w:rsidRPr="007963BB" w:rsidRDefault="00530F27" w:rsidP="00530F27">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Train 2 commenced LNG production in June 2018.</w:t>
            </w:r>
          </w:p>
        </w:tc>
      </w:tr>
      <w:tr w:rsidR="00551FF0" w:rsidRPr="007963BB" w14:paraId="7364F2EC" w14:textId="77777777" w:rsidTr="00C33E02">
        <w:trPr>
          <w:cnfStyle w:val="000000100000" w:firstRow="0" w:lastRow="0" w:firstColumn="0" w:lastColumn="0" w:oddVBand="0" w:evenVBand="0" w:oddHBand="1" w:evenHBand="0" w:firstRowFirstColumn="0" w:firstRowLastColumn="0" w:lastRowFirstColumn="0" w:lastRowLastColumn="0"/>
          <w:trHeight w:val="1417"/>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793849F7" w14:textId="77777777" w:rsidR="00530F27" w:rsidRPr="007963BB" w:rsidRDefault="00530F27" w:rsidP="00530F27">
            <w:pPr>
              <w:pStyle w:val="BodyText"/>
              <w:spacing w:after="0"/>
              <w:rPr>
                <w:rFonts w:cstheme="minorHAnsi"/>
                <w:sz w:val="14"/>
                <w:szCs w:val="14"/>
              </w:rPr>
            </w:pPr>
            <w:r w:rsidRPr="007963BB">
              <w:rPr>
                <w:rFonts w:cstheme="minorHAnsi"/>
                <w:sz w:val="14"/>
                <w:szCs w:val="14"/>
              </w:rPr>
              <w:t>Ichthys</w:t>
            </w:r>
          </w:p>
          <w:p w14:paraId="6306043F" w14:textId="159D69BB" w:rsidR="00530F27" w:rsidRPr="007963BB" w:rsidRDefault="00530F27" w:rsidP="00530F27">
            <w:pPr>
              <w:pStyle w:val="BodyText"/>
              <w:spacing w:after="0"/>
              <w:rPr>
                <w:rFonts w:cstheme="minorHAnsi"/>
                <w:b w:val="0"/>
                <w:sz w:val="14"/>
                <w:szCs w:val="14"/>
              </w:rPr>
            </w:pPr>
            <w:r w:rsidRPr="007963BB">
              <w:rPr>
                <w:rFonts w:cstheme="minorHAnsi"/>
                <w:b w:val="0"/>
                <w:sz w:val="14"/>
                <w:szCs w:val="14"/>
              </w:rPr>
              <w:t>Trains 1-2</w:t>
            </w:r>
          </w:p>
        </w:tc>
        <w:tc>
          <w:tcPr>
            <w:tcW w:w="1848" w:type="dxa"/>
            <w:vAlign w:val="center"/>
          </w:tcPr>
          <w:p w14:paraId="01FE13DD"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Inpex (66.245%)</w:t>
            </w:r>
          </w:p>
          <w:p w14:paraId="0B4CA416"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Total (26%)</w:t>
            </w:r>
          </w:p>
          <w:p w14:paraId="163F8636"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CPC (2.625%)</w:t>
            </w:r>
          </w:p>
          <w:p w14:paraId="1E0C8227"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Tokyo Gas (1.575%)</w:t>
            </w:r>
          </w:p>
          <w:p w14:paraId="60E9D3C4"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Osaka Gas (1.2%)</w:t>
            </w:r>
          </w:p>
          <w:p w14:paraId="056DF43D"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Kansai Electric (1.2%)</w:t>
            </w:r>
          </w:p>
          <w:p w14:paraId="663F84DA" w14:textId="77777777"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JERA (0.735%)</w:t>
            </w:r>
          </w:p>
          <w:p w14:paraId="78DDCE3C" w14:textId="2DD87DFB"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Toho Gas (0.42%)</w:t>
            </w:r>
          </w:p>
        </w:tc>
        <w:tc>
          <w:tcPr>
            <w:tcW w:w="824" w:type="dxa"/>
            <w:vAlign w:val="center"/>
          </w:tcPr>
          <w:p w14:paraId="703DBC78" w14:textId="10E620E5"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27.2^</w:t>
            </w:r>
          </w:p>
        </w:tc>
        <w:tc>
          <w:tcPr>
            <w:tcW w:w="800" w:type="dxa"/>
            <w:vAlign w:val="center"/>
          </w:tcPr>
          <w:p w14:paraId="0B743E5C" w14:textId="06BD7B5B"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n.a.</w:t>
            </w:r>
          </w:p>
        </w:tc>
        <w:tc>
          <w:tcPr>
            <w:tcW w:w="932" w:type="dxa"/>
            <w:vAlign w:val="center"/>
          </w:tcPr>
          <w:p w14:paraId="0588FF28" w14:textId="0B5C9B57"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October 2018</w:t>
            </w:r>
          </w:p>
        </w:tc>
        <w:tc>
          <w:tcPr>
            <w:tcW w:w="4966" w:type="dxa"/>
            <w:vAlign w:val="center"/>
          </w:tcPr>
          <w:p w14:paraId="45DD61FB" w14:textId="77777777" w:rsidR="00551FF0" w:rsidRDefault="00530F27" w:rsidP="00551FF0">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Ichthys is a two</w:t>
            </w:r>
            <w:r w:rsidRPr="007963BB">
              <w:rPr>
                <w:rFonts w:cstheme="minorHAnsi"/>
                <w:sz w:val="14"/>
                <w:szCs w:val="14"/>
              </w:rPr>
              <w:noBreakHyphen/>
              <w:t>train LNG project located in Darwin, sourcing gas from the Browse Basin offshore Western Australia. Western Australia’s share of the Ichthys project’s total capital expenditure is around 50%.</w:t>
            </w:r>
          </w:p>
          <w:p w14:paraId="73B149B1" w14:textId="2F936D85" w:rsidR="00530F27" w:rsidRPr="007963BB" w:rsidRDefault="00530F27" w:rsidP="00551FF0">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 xml:space="preserve">While Ichthys exports LNG from the Northern Territory, condensate </w:t>
            </w:r>
            <w:r w:rsidR="00551FF0">
              <w:rPr>
                <w:rFonts w:cstheme="minorHAnsi"/>
                <w:sz w:val="14"/>
                <w:szCs w:val="14"/>
              </w:rPr>
              <w:t xml:space="preserve">is </w:t>
            </w:r>
            <w:r w:rsidRPr="007963BB">
              <w:rPr>
                <w:rFonts w:cstheme="minorHAnsi"/>
                <w:sz w:val="14"/>
                <w:szCs w:val="14"/>
              </w:rPr>
              <w:t>exported directly from a floating production, storage and offloading facility located offshore Western Australia.</w:t>
            </w:r>
          </w:p>
        </w:tc>
      </w:tr>
      <w:tr w:rsidR="00551FF0" w:rsidRPr="007963BB" w14:paraId="75309084" w14:textId="77777777" w:rsidTr="00C33E02">
        <w:trPr>
          <w:trHeight w:val="884"/>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7B9E2ED1" w14:textId="77777777" w:rsidR="00530F27" w:rsidRPr="007963BB" w:rsidRDefault="00530F27" w:rsidP="00530F27">
            <w:pPr>
              <w:pStyle w:val="BodyText"/>
              <w:spacing w:after="0"/>
              <w:rPr>
                <w:rFonts w:cstheme="minorHAnsi"/>
                <w:sz w:val="14"/>
                <w:szCs w:val="14"/>
              </w:rPr>
            </w:pPr>
            <w:r w:rsidRPr="007963BB">
              <w:rPr>
                <w:rFonts w:cstheme="minorHAnsi"/>
                <w:sz w:val="14"/>
                <w:szCs w:val="14"/>
              </w:rPr>
              <w:t>Prelude</w:t>
            </w:r>
          </w:p>
          <w:p w14:paraId="02C85008" w14:textId="2755489D" w:rsidR="00530F27" w:rsidRPr="007963BB" w:rsidRDefault="00530F27" w:rsidP="00530F27">
            <w:pPr>
              <w:pStyle w:val="BodyText"/>
              <w:spacing w:after="0"/>
              <w:rPr>
                <w:rFonts w:cstheme="minorHAnsi"/>
                <w:b w:val="0"/>
                <w:sz w:val="14"/>
                <w:szCs w:val="14"/>
              </w:rPr>
            </w:pPr>
            <w:r w:rsidRPr="007963BB">
              <w:rPr>
                <w:rFonts w:cstheme="minorHAnsi"/>
                <w:b w:val="0"/>
                <w:sz w:val="14"/>
                <w:szCs w:val="14"/>
              </w:rPr>
              <w:t>Floating LNG vessel</w:t>
            </w:r>
          </w:p>
        </w:tc>
        <w:tc>
          <w:tcPr>
            <w:tcW w:w="1848" w:type="dxa"/>
            <w:vAlign w:val="center"/>
          </w:tcPr>
          <w:p w14:paraId="257C90B9" w14:textId="77777777"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Shell (67.5%)</w:t>
            </w:r>
          </w:p>
          <w:p w14:paraId="36C8CEF7" w14:textId="77777777"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Inpex (17.5%)</w:t>
            </w:r>
          </w:p>
          <w:p w14:paraId="50B8B7B1" w14:textId="77777777"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KOGAS (10%)</w:t>
            </w:r>
          </w:p>
          <w:p w14:paraId="59B305F7" w14:textId="596BD299"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CPC (5%)</w:t>
            </w:r>
          </w:p>
        </w:tc>
        <w:tc>
          <w:tcPr>
            <w:tcW w:w="824" w:type="dxa"/>
            <w:vAlign w:val="center"/>
          </w:tcPr>
          <w:p w14:paraId="43F8C460" w14:textId="475C2B57"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19.6</w:t>
            </w:r>
          </w:p>
        </w:tc>
        <w:tc>
          <w:tcPr>
            <w:tcW w:w="800" w:type="dxa"/>
            <w:vAlign w:val="center"/>
          </w:tcPr>
          <w:p w14:paraId="39927A15" w14:textId="244C85D6"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3.6</w:t>
            </w:r>
          </w:p>
        </w:tc>
        <w:tc>
          <w:tcPr>
            <w:tcW w:w="932" w:type="dxa"/>
            <w:vAlign w:val="center"/>
          </w:tcPr>
          <w:p w14:paraId="43623DFD" w14:textId="16284C2C"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June</w:t>
            </w:r>
            <w:r w:rsidRPr="007963BB">
              <w:rPr>
                <w:rFonts w:cstheme="minorHAnsi"/>
                <w:sz w:val="14"/>
                <w:szCs w:val="14"/>
              </w:rPr>
              <w:br/>
              <w:t>2019</w:t>
            </w:r>
          </w:p>
        </w:tc>
        <w:tc>
          <w:tcPr>
            <w:tcW w:w="4966" w:type="dxa"/>
            <w:vAlign w:val="center"/>
          </w:tcPr>
          <w:p w14:paraId="2AF0DBE4" w14:textId="53CD5E22" w:rsidR="00530F27" w:rsidRPr="007963BB" w:rsidRDefault="00530F27" w:rsidP="00551FF0">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Prelude is a floating LNG project located in the Browse Basin offshore Western Australia.</w:t>
            </w:r>
            <w:r w:rsidR="00551FF0">
              <w:rPr>
                <w:rFonts w:cstheme="minorHAnsi"/>
                <w:sz w:val="14"/>
                <w:szCs w:val="14"/>
              </w:rPr>
              <w:t xml:space="preserve"> </w:t>
            </w:r>
            <w:r w:rsidRPr="007963BB">
              <w:rPr>
                <w:rFonts w:cstheme="minorHAnsi"/>
                <w:sz w:val="14"/>
                <w:szCs w:val="14"/>
              </w:rPr>
              <w:t>Prelude also produces up to 1.3 million tonnes of condensate a year and 0.4 million tonnes of LPG a year. The vessel will operate at the Prelude gas field for 25 years.</w:t>
            </w:r>
          </w:p>
        </w:tc>
      </w:tr>
      <w:tr w:rsidR="00551FF0" w:rsidRPr="007963BB" w14:paraId="5C6BB0BD" w14:textId="77777777" w:rsidTr="00C33E02">
        <w:trPr>
          <w:cnfStyle w:val="000000100000" w:firstRow="0" w:lastRow="0" w:firstColumn="0" w:lastColumn="0" w:oddVBand="0" w:evenVBand="0" w:oddHBand="1"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17EC450C" w14:textId="64E80B68" w:rsidR="00530F27" w:rsidRPr="007963BB" w:rsidRDefault="00530F27" w:rsidP="00530F27">
            <w:pPr>
              <w:pStyle w:val="BodyText"/>
              <w:spacing w:after="0"/>
              <w:rPr>
                <w:rFonts w:cstheme="minorHAnsi"/>
                <w:b w:val="0"/>
                <w:sz w:val="14"/>
                <w:szCs w:val="14"/>
              </w:rPr>
            </w:pPr>
            <w:r w:rsidRPr="007963BB">
              <w:rPr>
                <w:rFonts w:cstheme="minorHAnsi"/>
                <w:sz w:val="14"/>
                <w:szCs w:val="14"/>
              </w:rPr>
              <w:t>Gorgon Stage</w:t>
            </w:r>
            <w:r w:rsidRPr="007963BB">
              <w:rPr>
                <w:rFonts w:cstheme="minorHAnsi"/>
                <w:b w:val="0"/>
                <w:sz w:val="14"/>
                <w:szCs w:val="14"/>
              </w:rPr>
              <w:t xml:space="preserve"> </w:t>
            </w:r>
            <w:r w:rsidRPr="007963BB">
              <w:rPr>
                <w:rFonts w:cstheme="minorHAnsi"/>
                <w:sz w:val="14"/>
                <w:szCs w:val="14"/>
              </w:rPr>
              <w:t>2</w:t>
            </w:r>
          </w:p>
          <w:p w14:paraId="63251E39" w14:textId="6C8F5B17" w:rsidR="00530F27" w:rsidRPr="007963BB" w:rsidRDefault="00530F27" w:rsidP="00530F27">
            <w:pPr>
              <w:pStyle w:val="BodyText"/>
              <w:spacing w:after="0"/>
              <w:rPr>
                <w:rFonts w:cstheme="minorHAnsi"/>
                <w:b w:val="0"/>
                <w:sz w:val="14"/>
                <w:szCs w:val="14"/>
              </w:rPr>
            </w:pPr>
            <w:r w:rsidRPr="007963BB">
              <w:rPr>
                <w:rFonts w:cstheme="minorHAnsi"/>
                <w:b w:val="0"/>
                <w:sz w:val="14"/>
                <w:szCs w:val="14"/>
              </w:rPr>
              <w:t>Development</w:t>
            </w:r>
          </w:p>
        </w:tc>
        <w:tc>
          <w:tcPr>
            <w:tcW w:w="1848" w:type="dxa"/>
            <w:vAlign w:val="center"/>
          </w:tcPr>
          <w:p w14:paraId="22055DBB" w14:textId="7048F036"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See Gorgon</w:t>
            </w:r>
          </w:p>
        </w:tc>
        <w:tc>
          <w:tcPr>
            <w:tcW w:w="824" w:type="dxa"/>
            <w:vAlign w:val="center"/>
          </w:tcPr>
          <w:p w14:paraId="42E98D6D" w14:textId="1E28905A"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5.1</w:t>
            </w:r>
          </w:p>
        </w:tc>
        <w:tc>
          <w:tcPr>
            <w:tcW w:w="800" w:type="dxa"/>
            <w:vAlign w:val="center"/>
          </w:tcPr>
          <w:p w14:paraId="14E354CF" w14:textId="290C9052"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n.a.</w:t>
            </w:r>
          </w:p>
        </w:tc>
        <w:tc>
          <w:tcPr>
            <w:tcW w:w="932" w:type="dxa"/>
            <w:vAlign w:val="center"/>
          </w:tcPr>
          <w:p w14:paraId="7039443D" w14:textId="260BD9CB"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2022</w:t>
            </w:r>
          </w:p>
        </w:tc>
        <w:tc>
          <w:tcPr>
            <w:tcW w:w="4966" w:type="dxa"/>
            <w:vAlign w:val="center"/>
          </w:tcPr>
          <w:p w14:paraId="5FFBDD75" w14:textId="7101ABD5" w:rsidR="00530F27" w:rsidRPr="007963BB" w:rsidRDefault="00530F27" w:rsidP="00551FF0">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 xml:space="preserve">In April 2018, Chevron announced the second stage of the Gorgon project, which will help maintain gas supply to the project. </w:t>
            </w:r>
            <w:r w:rsidR="00615444">
              <w:rPr>
                <w:rFonts w:cstheme="minorHAnsi"/>
                <w:sz w:val="14"/>
                <w:szCs w:val="14"/>
              </w:rPr>
              <w:t>Stage 2</w:t>
            </w:r>
            <w:r w:rsidR="00D77EE4">
              <w:rPr>
                <w:rFonts w:cstheme="minorHAnsi"/>
                <w:sz w:val="14"/>
                <w:szCs w:val="14"/>
              </w:rPr>
              <w:t>,</w:t>
            </w:r>
            <w:r w:rsidR="00615444">
              <w:rPr>
                <w:rFonts w:cstheme="minorHAnsi"/>
                <w:sz w:val="14"/>
                <w:szCs w:val="14"/>
              </w:rPr>
              <w:t xml:space="preserve"> nearing completion, is the drilling and connection of eleven additional wells to the Gorgon and Jansz</w:t>
            </w:r>
            <w:r w:rsidR="00615444">
              <w:rPr>
                <w:rFonts w:cstheme="minorHAnsi"/>
                <w:sz w:val="14"/>
                <w:szCs w:val="14"/>
              </w:rPr>
              <w:noBreakHyphen/>
              <w:t>lo fields.</w:t>
            </w:r>
          </w:p>
        </w:tc>
      </w:tr>
      <w:tr w:rsidR="00551FF0" w:rsidRPr="007963BB" w14:paraId="381E00BE" w14:textId="77777777" w:rsidTr="00C33E02">
        <w:trPr>
          <w:trHeight w:val="651"/>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334B2175" w14:textId="77777777" w:rsidR="00530F27" w:rsidRPr="007963BB" w:rsidRDefault="00530F27" w:rsidP="00530F27">
            <w:pPr>
              <w:pStyle w:val="BodyText"/>
              <w:spacing w:after="0"/>
              <w:rPr>
                <w:rFonts w:cstheme="minorHAnsi"/>
                <w:sz w:val="14"/>
                <w:szCs w:val="14"/>
              </w:rPr>
            </w:pPr>
            <w:r w:rsidRPr="007963BB">
              <w:rPr>
                <w:rFonts w:cstheme="minorHAnsi"/>
                <w:sz w:val="14"/>
                <w:szCs w:val="14"/>
              </w:rPr>
              <w:t>Julimar-Brunello Phase 2</w:t>
            </w:r>
          </w:p>
          <w:p w14:paraId="7A0C6835" w14:textId="46339D8F" w:rsidR="00530F27" w:rsidRPr="007963BB" w:rsidRDefault="00530F27" w:rsidP="00530F27">
            <w:pPr>
              <w:pStyle w:val="BodyText"/>
              <w:spacing w:after="0"/>
              <w:rPr>
                <w:rFonts w:cstheme="minorHAnsi"/>
                <w:b w:val="0"/>
                <w:sz w:val="14"/>
                <w:szCs w:val="14"/>
              </w:rPr>
            </w:pPr>
            <w:r w:rsidRPr="007963BB">
              <w:rPr>
                <w:rFonts w:cstheme="minorHAnsi"/>
                <w:b w:val="0"/>
                <w:sz w:val="14"/>
                <w:szCs w:val="14"/>
              </w:rPr>
              <w:t>Development</w:t>
            </w:r>
          </w:p>
        </w:tc>
        <w:tc>
          <w:tcPr>
            <w:tcW w:w="1848" w:type="dxa"/>
            <w:vAlign w:val="center"/>
          </w:tcPr>
          <w:p w14:paraId="7B06D244" w14:textId="77777777"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Woodside (65%)</w:t>
            </w:r>
          </w:p>
          <w:p w14:paraId="4906C0E0" w14:textId="4FBD6566"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KUFPEC (35%)</w:t>
            </w:r>
          </w:p>
        </w:tc>
        <w:tc>
          <w:tcPr>
            <w:tcW w:w="824" w:type="dxa"/>
            <w:vAlign w:val="center"/>
          </w:tcPr>
          <w:p w14:paraId="23222286" w14:textId="7A63BA96"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2.7</w:t>
            </w:r>
          </w:p>
        </w:tc>
        <w:tc>
          <w:tcPr>
            <w:tcW w:w="800" w:type="dxa"/>
            <w:vAlign w:val="center"/>
          </w:tcPr>
          <w:p w14:paraId="6F933DA7" w14:textId="44E189A3"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n.a.</w:t>
            </w:r>
          </w:p>
        </w:tc>
        <w:tc>
          <w:tcPr>
            <w:tcW w:w="932" w:type="dxa"/>
            <w:vAlign w:val="center"/>
          </w:tcPr>
          <w:p w14:paraId="7EB11ABD" w14:textId="718531AC"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2022</w:t>
            </w:r>
          </w:p>
        </w:tc>
        <w:tc>
          <w:tcPr>
            <w:tcW w:w="4966" w:type="dxa"/>
            <w:vAlign w:val="center"/>
          </w:tcPr>
          <w:p w14:paraId="6B5BB43A" w14:textId="2AEB3732" w:rsidR="00530F27" w:rsidRPr="007963BB" w:rsidRDefault="00530F27" w:rsidP="0042478F">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iCs/>
                <w:sz w:val="14"/>
                <w:szCs w:val="14"/>
              </w:rPr>
              <w:t xml:space="preserve">The Julimar and Brunello fields feed 2.1 trillion cubic feet of gas to the Wheatstone LNG plant. Phase two of the project to tie-back the Julimar field to the existing Brunello subsea infrastructure was </w:t>
            </w:r>
            <w:r>
              <w:rPr>
                <w:rFonts w:cstheme="minorHAnsi"/>
                <w:iCs/>
                <w:sz w:val="14"/>
                <w:szCs w:val="14"/>
              </w:rPr>
              <w:t>is preparing fo</w:t>
            </w:r>
            <w:r w:rsidR="00D77EE4">
              <w:rPr>
                <w:rFonts w:cstheme="minorHAnsi"/>
                <w:iCs/>
                <w:sz w:val="14"/>
                <w:szCs w:val="14"/>
              </w:rPr>
              <w:t>r cold commissioning and start</w:t>
            </w:r>
            <w:r w:rsidR="00D77EE4">
              <w:rPr>
                <w:rFonts w:cstheme="minorHAnsi"/>
                <w:iCs/>
                <w:sz w:val="14"/>
                <w:szCs w:val="14"/>
              </w:rPr>
              <w:noBreakHyphen/>
            </w:r>
            <w:r>
              <w:rPr>
                <w:rFonts w:cstheme="minorHAnsi"/>
                <w:iCs/>
                <w:sz w:val="14"/>
                <w:szCs w:val="14"/>
              </w:rPr>
              <w:t>up</w:t>
            </w:r>
            <w:r w:rsidR="007B2C92">
              <w:rPr>
                <w:rFonts w:cstheme="minorHAnsi"/>
                <w:iCs/>
                <w:sz w:val="14"/>
                <w:szCs w:val="14"/>
              </w:rPr>
              <w:t>.</w:t>
            </w:r>
          </w:p>
        </w:tc>
      </w:tr>
      <w:tr w:rsidR="00551FF0" w:rsidRPr="007963BB" w14:paraId="75F39409" w14:textId="77777777" w:rsidTr="00C33E02">
        <w:trPr>
          <w:cnfStyle w:val="000000100000" w:firstRow="0" w:lastRow="0" w:firstColumn="0" w:lastColumn="0" w:oddVBand="0" w:evenVBand="0" w:oddHBand="1" w:evenHBand="0" w:firstRowFirstColumn="0" w:firstRowLastColumn="0" w:lastRowFirstColumn="0" w:lastRowLastColumn="0"/>
          <w:trHeight w:val="891"/>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3F0E32AA" w14:textId="77777777" w:rsidR="00530F27" w:rsidRPr="007963BB" w:rsidRDefault="00530F27" w:rsidP="00530F27">
            <w:pPr>
              <w:pStyle w:val="BodyText"/>
              <w:spacing w:after="0"/>
              <w:rPr>
                <w:rFonts w:cstheme="minorHAnsi"/>
                <w:sz w:val="14"/>
                <w:szCs w:val="14"/>
              </w:rPr>
            </w:pPr>
            <w:r w:rsidRPr="007963BB">
              <w:rPr>
                <w:rFonts w:cstheme="minorHAnsi"/>
                <w:sz w:val="14"/>
                <w:szCs w:val="14"/>
              </w:rPr>
              <w:t>Greater Western Flank Phase 3 and Lambert Deep</w:t>
            </w:r>
          </w:p>
          <w:p w14:paraId="44587647" w14:textId="0E441D07" w:rsidR="00530F27" w:rsidRPr="007963BB" w:rsidRDefault="00530F27" w:rsidP="00530F27">
            <w:pPr>
              <w:pStyle w:val="BodyText"/>
              <w:spacing w:after="0"/>
              <w:rPr>
                <w:rFonts w:cstheme="minorHAnsi"/>
                <w:b w:val="0"/>
                <w:sz w:val="14"/>
                <w:szCs w:val="14"/>
              </w:rPr>
            </w:pPr>
            <w:r w:rsidRPr="007963BB">
              <w:rPr>
                <w:rFonts w:cstheme="minorHAnsi"/>
                <w:b w:val="0"/>
                <w:sz w:val="14"/>
                <w:szCs w:val="14"/>
              </w:rPr>
              <w:t>Development</w:t>
            </w:r>
          </w:p>
        </w:tc>
        <w:tc>
          <w:tcPr>
            <w:tcW w:w="1848" w:type="dxa"/>
            <w:vAlign w:val="center"/>
          </w:tcPr>
          <w:p w14:paraId="10BE6B85" w14:textId="47D7A19F"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See North West Shelf</w:t>
            </w:r>
          </w:p>
        </w:tc>
        <w:tc>
          <w:tcPr>
            <w:tcW w:w="824" w:type="dxa"/>
            <w:vAlign w:val="center"/>
          </w:tcPr>
          <w:p w14:paraId="742F8C1A" w14:textId="6E1E0408"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1.0</w:t>
            </w:r>
          </w:p>
        </w:tc>
        <w:tc>
          <w:tcPr>
            <w:tcW w:w="800" w:type="dxa"/>
            <w:vAlign w:val="center"/>
          </w:tcPr>
          <w:p w14:paraId="5F1EC9E3" w14:textId="73F6FED5"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n.a.</w:t>
            </w:r>
          </w:p>
        </w:tc>
        <w:tc>
          <w:tcPr>
            <w:tcW w:w="932" w:type="dxa"/>
            <w:vAlign w:val="center"/>
          </w:tcPr>
          <w:p w14:paraId="3B3400D4" w14:textId="3D37022B"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2022</w:t>
            </w:r>
          </w:p>
        </w:tc>
        <w:tc>
          <w:tcPr>
            <w:tcW w:w="4966" w:type="dxa"/>
            <w:vAlign w:val="center"/>
          </w:tcPr>
          <w:p w14:paraId="5510860D" w14:textId="1AE26C48" w:rsidR="00FC2A76" w:rsidRPr="007963BB" w:rsidRDefault="00530F27" w:rsidP="00FC2A76">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The Greater Western Flank Phase 3 and Lambert Deep gas projects involve the drilling and subsea tieback of new production wells to the existing infrastructure of the North West Shelf. FID was in January 2020</w:t>
            </w:r>
            <w:r w:rsidR="00FC2A76">
              <w:rPr>
                <w:rFonts w:cstheme="minorHAnsi"/>
                <w:sz w:val="14"/>
                <w:szCs w:val="14"/>
              </w:rPr>
              <w:t xml:space="preserve">, with the project 63% completed </w:t>
            </w:r>
            <w:r w:rsidR="0042478F">
              <w:rPr>
                <w:rFonts w:cstheme="minorHAnsi"/>
                <w:sz w:val="14"/>
                <w:szCs w:val="14"/>
              </w:rPr>
              <w:t xml:space="preserve">as </w:t>
            </w:r>
            <w:r w:rsidR="00FC2A76">
              <w:rPr>
                <w:rFonts w:cstheme="minorHAnsi"/>
                <w:sz w:val="14"/>
                <w:szCs w:val="14"/>
              </w:rPr>
              <w:t>at 30 September 2021</w:t>
            </w:r>
            <w:r w:rsidR="001D009C">
              <w:rPr>
                <w:rFonts w:cstheme="minorHAnsi"/>
                <w:sz w:val="14"/>
                <w:szCs w:val="14"/>
              </w:rPr>
              <w:t>,</w:t>
            </w:r>
          </w:p>
        </w:tc>
      </w:tr>
      <w:tr w:rsidR="00551FF0" w:rsidRPr="007963BB" w14:paraId="25E64AB6" w14:textId="77777777" w:rsidTr="00C33E02">
        <w:trPr>
          <w:trHeight w:val="1118"/>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03555C6A" w14:textId="4F06B15F" w:rsidR="00530F27" w:rsidRPr="007963BB" w:rsidRDefault="00530F27" w:rsidP="00530F27">
            <w:pPr>
              <w:pStyle w:val="BodyText"/>
              <w:spacing w:after="0"/>
              <w:rPr>
                <w:rFonts w:cstheme="minorHAnsi"/>
                <w:sz w:val="14"/>
                <w:szCs w:val="14"/>
              </w:rPr>
            </w:pPr>
            <w:r w:rsidRPr="007963BB">
              <w:rPr>
                <w:rFonts w:cstheme="minorHAnsi"/>
                <w:sz w:val="14"/>
                <w:szCs w:val="14"/>
              </w:rPr>
              <w:t>Waitsia Stage 2</w:t>
            </w:r>
          </w:p>
          <w:p w14:paraId="531461CB" w14:textId="65BBEFC0" w:rsidR="00530F27" w:rsidRPr="007963BB" w:rsidRDefault="00530F27" w:rsidP="00530F27">
            <w:pPr>
              <w:pStyle w:val="BodyText"/>
              <w:spacing w:after="0"/>
              <w:rPr>
                <w:rFonts w:cstheme="minorHAnsi"/>
                <w:b w:val="0"/>
                <w:sz w:val="14"/>
                <w:szCs w:val="14"/>
              </w:rPr>
            </w:pPr>
            <w:r w:rsidRPr="007963BB">
              <w:rPr>
                <w:rFonts w:cstheme="minorHAnsi"/>
                <w:b w:val="0"/>
                <w:sz w:val="14"/>
                <w:szCs w:val="14"/>
              </w:rPr>
              <w:t>Development</w:t>
            </w:r>
          </w:p>
        </w:tc>
        <w:tc>
          <w:tcPr>
            <w:tcW w:w="1848" w:type="dxa"/>
            <w:vAlign w:val="center"/>
          </w:tcPr>
          <w:p w14:paraId="4812995E" w14:textId="77777777"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Mitsui E&amp;P (50%)</w:t>
            </w:r>
          </w:p>
          <w:p w14:paraId="4FF87F83" w14:textId="4BCB1F01" w:rsidR="00530F27" w:rsidRPr="007963BB" w:rsidRDefault="00530F27"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Beach Energy (50%)</w:t>
            </w:r>
          </w:p>
        </w:tc>
        <w:tc>
          <w:tcPr>
            <w:tcW w:w="824" w:type="dxa"/>
            <w:vAlign w:val="center"/>
          </w:tcPr>
          <w:p w14:paraId="0B40AB78" w14:textId="226C9913"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0.8</w:t>
            </w:r>
          </w:p>
        </w:tc>
        <w:tc>
          <w:tcPr>
            <w:tcW w:w="800" w:type="dxa"/>
            <w:vAlign w:val="center"/>
          </w:tcPr>
          <w:p w14:paraId="4AFEDD21" w14:textId="45B9DE92"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n.a.</w:t>
            </w:r>
          </w:p>
        </w:tc>
        <w:tc>
          <w:tcPr>
            <w:tcW w:w="932" w:type="dxa"/>
            <w:vAlign w:val="center"/>
          </w:tcPr>
          <w:p w14:paraId="2E762038" w14:textId="0C9F01BE" w:rsidR="00530F27" w:rsidRPr="007963BB" w:rsidRDefault="00530F27"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2023</w:t>
            </w:r>
          </w:p>
        </w:tc>
        <w:tc>
          <w:tcPr>
            <w:tcW w:w="4966" w:type="dxa"/>
            <w:vAlign w:val="center"/>
          </w:tcPr>
          <w:p w14:paraId="04BEC709" w14:textId="2917E515" w:rsidR="00530F27" w:rsidRPr="007963BB" w:rsidRDefault="00530F27" w:rsidP="00530F27">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7963BB">
              <w:rPr>
                <w:rFonts w:cstheme="minorHAnsi"/>
                <w:sz w:val="14"/>
                <w:szCs w:val="14"/>
              </w:rPr>
              <w:t>Waitsia Stage 2 will involve further development of the Waitsia gas field, with more wells and a new production facility capable of producing 250 terajoules of gas a day. The Waitsia Joint Venture has an agreement to enable up to 7 million tonnes of LNG of Waitsia gas to be tolled and processed into LNG through the North West Shelf facilities between the second half of 2023 and the end of 2028.</w:t>
            </w:r>
          </w:p>
        </w:tc>
      </w:tr>
      <w:tr w:rsidR="00551FF0" w:rsidRPr="007963BB" w14:paraId="44C9F034" w14:textId="77777777" w:rsidTr="00C33E0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511" w:type="dxa"/>
            <w:vAlign w:val="center"/>
          </w:tcPr>
          <w:p w14:paraId="53CFD548" w14:textId="5B8BF112" w:rsidR="00530F27" w:rsidRPr="007963BB" w:rsidRDefault="00530F27" w:rsidP="00530F27">
            <w:pPr>
              <w:pStyle w:val="BodyText"/>
              <w:spacing w:after="0"/>
              <w:rPr>
                <w:rFonts w:cstheme="minorHAnsi"/>
                <w:sz w:val="14"/>
                <w:szCs w:val="14"/>
              </w:rPr>
            </w:pPr>
            <w:r w:rsidRPr="007963BB">
              <w:rPr>
                <w:rFonts w:cstheme="minorHAnsi"/>
                <w:sz w:val="14"/>
                <w:szCs w:val="14"/>
              </w:rPr>
              <w:t>Jansz-lo Compression</w:t>
            </w:r>
          </w:p>
        </w:tc>
        <w:tc>
          <w:tcPr>
            <w:tcW w:w="1848" w:type="dxa"/>
            <w:vAlign w:val="center"/>
          </w:tcPr>
          <w:p w14:paraId="673603F2" w14:textId="3D31810E" w:rsidR="00530F27" w:rsidRPr="007963BB" w:rsidRDefault="00530F27"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See Gorgon</w:t>
            </w:r>
          </w:p>
        </w:tc>
        <w:tc>
          <w:tcPr>
            <w:tcW w:w="824" w:type="dxa"/>
            <w:vAlign w:val="center"/>
          </w:tcPr>
          <w:p w14:paraId="1E423E1F" w14:textId="5983D560"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6.0</w:t>
            </w:r>
          </w:p>
        </w:tc>
        <w:tc>
          <w:tcPr>
            <w:tcW w:w="800" w:type="dxa"/>
            <w:vAlign w:val="center"/>
          </w:tcPr>
          <w:p w14:paraId="6E55F19E" w14:textId="7BC889BF"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n.a</w:t>
            </w:r>
          </w:p>
        </w:tc>
        <w:tc>
          <w:tcPr>
            <w:tcW w:w="932" w:type="dxa"/>
            <w:vAlign w:val="center"/>
          </w:tcPr>
          <w:p w14:paraId="722329BD" w14:textId="57594CD6" w:rsidR="00530F27" w:rsidRPr="007963BB" w:rsidRDefault="00530F27"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2026</w:t>
            </w:r>
          </w:p>
        </w:tc>
        <w:tc>
          <w:tcPr>
            <w:tcW w:w="4966" w:type="dxa"/>
            <w:vAlign w:val="center"/>
          </w:tcPr>
          <w:p w14:paraId="4A0534DD" w14:textId="36C7FABD" w:rsidR="00530F27" w:rsidRPr="007963BB" w:rsidRDefault="00530F27" w:rsidP="00D77EE4">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In July 2021, Chevron announced it will build and install a 27,000 tonne floating field-control station, 6,500 tonne subsea compression infrastructure and a 135 kilometre submarine power cable from the Jansz</w:t>
            </w:r>
            <w:r>
              <w:rPr>
                <w:rFonts w:cstheme="minorHAnsi"/>
                <w:sz w:val="14"/>
                <w:szCs w:val="14"/>
              </w:rPr>
              <w:noBreakHyphen/>
            </w:r>
            <w:r w:rsidRPr="007963BB">
              <w:rPr>
                <w:rFonts w:cstheme="minorHAnsi"/>
                <w:sz w:val="14"/>
                <w:szCs w:val="14"/>
              </w:rPr>
              <w:t>lo gas field to the Gorgon project’s three LNG trains and gas plant on Barrow island.</w:t>
            </w:r>
            <w:r>
              <w:rPr>
                <w:rFonts w:cstheme="minorHAnsi"/>
                <w:sz w:val="14"/>
                <w:szCs w:val="14"/>
              </w:rPr>
              <w:t xml:space="preserve"> </w:t>
            </w:r>
          </w:p>
        </w:tc>
      </w:tr>
      <w:tr w:rsidR="00C33E02" w:rsidRPr="007963BB" w14:paraId="2CA80E47" w14:textId="77777777" w:rsidTr="00C33E02">
        <w:trPr>
          <w:trHeight w:val="300"/>
        </w:trPr>
        <w:tc>
          <w:tcPr>
            <w:cnfStyle w:val="001000000000" w:firstRow="0" w:lastRow="0" w:firstColumn="1" w:lastColumn="0" w:oddVBand="0" w:evenVBand="0" w:oddHBand="0" w:evenHBand="0" w:firstRowFirstColumn="0" w:firstRowLastColumn="0" w:lastRowFirstColumn="0" w:lastRowLastColumn="0"/>
            <w:tcW w:w="1511" w:type="dxa"/>
            <w:vMerge w:val="restart"/>
            <w:vAlign w:val="center"/>
          </w:tcPr>
          <w:p w14:paraId="77A068A6" w14:textId="4D38BC25" w:rsidR="00C33E02" w:rsidRPr="007963BB" w:rsidRDefault="00C33E02" w:rsidP="00530F27">
            <w:pPr>
              <w:pStyle w:val="BodyText"/>
              <w:spacing w:after="0"/>
              <w:rPr>
                <w:rFonts w:cstheme="minorHAnsi"/>
                <w:sz w:val="14"/>
                <w:szCs w:val="14"/>
              </w:rPr>
            </w:pPr>
            <w:r>
              <w:rPr>
                <w:rFonts w:cstheme="minorHAnsi"/>
                <w:sz w:val="14"/>
                <w:szCs w:val="14"/>
              </w:rPr>
              <w:t>Scarborough and Pluto Train 2</w:t>
            </w:r>
          </w:p>
        </w:tc>
        <w:tc>
          <w:tcPr>
            <w:tcW w:w="1848" w:type="dxa"/>
            <w:vAlign w:val="center"/>
          </w:tcPr>
          <w:p w14:paraId="295347A2" w14:textId="5E0B64B7" w:rsidR="00C33E02" w:rsidRPr="0042478F" w:rsidRDefault="00C33E02" w:rsidP="0042478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i/>
                <w:sz w:val="14"/>
                <w:szCs w:val="14"/>
              </w:rPr>
            </w:pPr>
            <w:r w:rsidRPr="0042478F">
              <w:rPr>
                <w:rFonts w:cstheme="minorHAnsi"/>
                <w:i/>
                <w:sz w:val="14"/>
                <w:szCs w:val="14"/>
              </w:rPr>
              <w:t>Scarborough Gas Field</w:t>
            </w:r>
            <w:r>
              <w:rPr>
                <w:rFonts w:cstheme="minorHAnsi"/>
                <w:i/>
                <w:sz w:val="14"/>
                <w:szCs w:val="14"/>
              </w:rPr>
              <w:t>s</w:t>
            </w:r>
          </w:p>
          <w:p w14:paraId="7AEFE4CB" w14:textId="77777777" w:rsidR="00C33E02" w:rsidRPr="0042478F" w:rsidRDefault="00C33E02" w:rsidP="0042478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42478F">
              <w:rPr>
                <w:rFonts w:cstheme="minorHAnsi"/>
                <w:sz w:val="14"/>
                <w:szCs w:val="14"/>
              </w:rPr>
              <w:t>Woodside (73.5%)</w:t>
            </w:r>
          </w:p>
          <w:p w14:paraId="5FDB8D88" w14:textId="2F5D9200" w:rsidR="00C33E02" w:rsidRPr="007963BB" w:rsidRDefault="00C33E02" w:rsidP="00530F2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42478F">
              <w:rPr>
                <w:rFonts w:cstheme="minorHAnsi"/>
                <w:sz w:val="14"/>
                <w:szCs w:val="14"/>
              </w:rPr>
              <w:t>BHP (26.5%)</w:t>
            </w:r>
          </w:p>
        </w:tc>
        <w:tc>
          <w:tcPr>
            <w:tcW w:w="824" w:type="dxa"/>
            <w:vMerge w:val="restart"/>
            <w:vAlign w:val="center"/>
          </w:tcPr>
          <w:p w14:paraId="04D18389" w14:textId="4BEF5786" w:rsidR="00C33E02" w:rsidRPr="007963B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16.0</w:t>
            </w:r>
          </w:p>
        </w:tc>
        <w:tc>
          <w:tcPr>
            <w:tcW w:w="800" w:type="dxa"/>
            <w:vMerge w:val="restart"/>
            <w:vAlign w:val="center"/>
          </w:tcPr>
          <w:p w14:paraId="74AFCC2C" w14:textId="73BC1C98" w:rsidR="00C33E02" w:rsidRPr="007963B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5.0</w:t>
            </w:r>
          </w:p>
        </w:tc>
        <w:tc>
          <w:tcPr>
            <w:tcW w:w="932" w:type="dxa"/>
            <w:vMerge w:val="restart"/>
            <w:vAlign w:val="center"/>
          </w:tcPr>
          <w:p w14:paraId="1738B709" w14:textId="242EC949" w:rsidR="00C33E02" w:rsidRPr="007963BB" w:rsidRDefault="00C33E02" w:rsidP="00530F2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Pr>
                <w:rFonts w:cstheme="minorHAnsi"/>
                <w:sz w:val="14"/>
                <w:szCs w:val="14"/>
              </w:rPr>
              <w:t>2026</w:t>
            </w:r>
          </w:p>
        </w:tc>
        <w:tc>
          <w:tcPr>
            <w:tcW w:w="4966" w:type="dxa"/>
            <w:vMerge w:val="restart"/>
            <w:vAlign w:val="center"/>
          </w:tcPr>
          <w:p w14:paraId="77571597" w14:textId="77777777" w:rsidR="00C33E02" w:rsidRDefault="00C33E02" w:rsidP="00C33E02">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33E02">
              <w:rPr>
                <w:rFonts w:cstheme="minorHAnsi"/>
                <w:sz w:val="14"/>
                <w:szCs w:val="14"/>
              </w:rPr>
              <w:t>The Scarborough development involves a resource of 11.1 trillion cubic feet of gas with the offshore floating production unit capable of providing feed gas to produce 8 million tonnes a year of LNG plus dome</w:t>
            </w:r>
            <w:r>
              <w:rPr>
                <w:rFonts w:cstheme="minorHAnsi"/>
                <w:sz w:val="14"/>
                <w:szCs w:val="14"/>
              </w:rPr>
              <w:t>stic gas.</w:t>
            </w:r>
          </w:p>
          <w:p w14:paraId="75D2A244" w14:textId="2A78CCD7" w:rsidR="00C33E02" w:rsidRPr="007963BB" w:rsidRDefault="00C33E02" w:rsidP="00C33E02">
            <w:pPr>
              <w:pStyle w:val="BodyText"/>
              <w:spacing w:after="0"/>
              <w:jc w:val="both"/>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C33E02">
              <w:rPr>
                <w:rFonts w:cstheme="minorHAnsi"/>
                <w:sz w:val="14"/>
                <w:szCs w:val="14"/>
              </w:rPr>
              <w:t>The onshore development involves the construction of a new LNG train, modifications to Pluto Train 1 to allow it to process up to 3 million tonnes a year of LNG from Scarborough gas and a new domestic gas plant with capacity of 225 terajoules a day.</w:t>
            </w:r>
          </w:p>
        </w:tc>
      </w:tr>
      <w:tr w:rsidR="00C33E02" w:rsidRPr="007963BB" w14:paraId="22E49E53" w14:textId="77777777" w:rsidTr="00497D30">
        <w:trPr>
          <w:cnfStyle w:val="000000100000" w:firstRow="0" w:lastRow="0" w:firstColumn="0" w:lastColumn="0" w:oddVBand="0" w:evenVBand="0" w:oddHBand="1"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511" w:type="dxa"/>
            <w:vMerge/>
            <w:vAlign w:val="center"/>
          </w:tcPr>
          <w:p w14:paraId="3ECCC2AB" w14:textId="77777777" w:rsidR="00C33E02" w:rsidRDefault="00C33E02" w:rsidP="00530F27">
            <w:pPr>
              <w:pStyle w:val="BodyText"/>
              <w:spacing w:after="0"/>
              <w:rPr>
                <w:rFonts w:cstheme="minorHAnsi"/>
                <w:sz w:val="14"/>
                <w:szCs w:val="14"/>
              </w:rPr>
            </w:pPr>
          </w:p>
        </w:tc>
        <w:tc>
          <w:tcPr>
            <w:tcW w:w="1848" w:type="dxa"/>
            <w:vAlign w:val="center"/>
          </w:tcPr>
          <w:p w14:paraId="1EE8449C" w14:textId="588618E0" w:rsidR="00C33E02" w:rsidRPr="0042478F" w:rsidRDefault="00C33E02"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i/>
                <w:sz w:val="14"/>
                <w:szCs w:val="14"/>
              </w:rPr>
            </w:pPr>
            <w:r w:rsidRPr="0042478F">
              <w:rPr>
                <w:rFonts w:cstheme="minorHAnsi"/>
                <w:i/>
                <w:sz w:val="14"/>
                <w:szCs w:val="14"/>
              </w:rPr>
              <w:t>Pluto Train 2</w:t>
            </w:r>
          </w:p>
          <w:p w14:paraId="330E5941" w14:textId="1FE1820A" w:rsidR="00C33E02" w:rsidRPr="007963BB" w:rsidRDefault="00C33E02" w:rsidP="00530F2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7963BB">
              <w:rPr>
                <w:rFonts w:cstheme="minorHAnsi"/>
                <w:sz w:val="14"/>
                <w:szCs w:val="14"/>
              </w:rPr>
              <w:t>W</w:t>
            </w:r>
            <w:r>
              <w:rPr>
                <w:rFonts w:cstheme="minorHAnsi"/>
                <w:sz w:val="14"/>
                <w:szCs w:val="14"/>
              </w:rPr>
              <w:t>oodside (51</w:t>
            </w:r>
            <w:r w:rsidRPr="007963BB">
              <w:rPr>
                <w:rFonts w:cstheme="minorHAnsi"/>
                <w:sz w:val="14"/>
                <w:szCs w:val="14"/>
              </w:rPr>
              <w:t>%)</w:t>
            </w:r>
            <w:r>
              <w:rPr>
                <w:rFonts w:cstheme="minorHAnsi"/>
                <w:sz w:val="14"/>
                <w:szCs w:val="14"/>
              </w:rPr>
              <w:t>*</w:t>
            </w:r>
          </w:p>
          <w:p w14:paraId="5054E2CD" w14:textId="02585E42" w:rsidR="00C33E02" w:rsidRPr="007963BB" w:rsidRDefault="00C33E02" w:rsidP="0042478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Pr>
                <w:rFonts w:cstheme="minorHAnsi"/>
                <w:sz w:val="14"/>
                <w:szCs w:val="14"/>
              </w:rPr>
              <w:t>Global Infrastructure Partners (49</w:t>
            </w:r>
            <w:r w:rsidRPr="007963BB">
              <w:rPr>
                <w:rFonts w:cstheme="minorHAnsi"/>
                <w:sz w:val="14"/>
                <w:szCs w:val="14"/>
              </w:rPr>
              <w:t>%)</w:t>
            </w:r>
            <w:r>
              <w:rPr>
                <w:rFonts w:cstheme="minorHAnsi"/>
                <w:sz w:val="14"/>
                <w:szCs w:val="14"/>
              </w:rPr>
              <w:t>*</w:t>
            </w:r>
          </w:p>
        </w:tc>
        <w:tc>
          <w:tcPr>
            <w:tcW w:w="824" w:type="dxa"/>
            <w:vMerge/>
            <w:vAlign w:val="center"/>
          </w:tcPr>
          <w:p w14:paraId="638DB3A7" w14:textId="347A5318" w:rsidR="00C33E02" w:rsidRPr="007963BB"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800" w:type="dxa"/>
            <w:vMerge/>
            <w:vAlign w:val="center"/>
          </w:tcPr>
          <w:p w14:paraId="4E31FE0F" w14:textId="77777777" w:rsidR="00C33E02"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932" w:type="dxa"/>
            <w:vMerge/>
            <w:vAlign w:val="center"/>
          </w:tcPr>
          <w:p w14:paraId="6EEC70F8" w14:textId="77777777" w:rsidR="00C33E02" w:rsidRDefault="00C33E02" w:rsidP="00530F2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c>
          <w:tcPr>
            <w:tcW w:w="4966" w:type="dxa"/>
            <w:vMerge/>
            <w:vAlign w:val="center"/>
          </w:tcPr>
          <w:p w14:paraId="7FB6CD08" w14:textId="77777777" w:rsidR="00C33E02" w:rsidRDefault="00C33E02" w:rsidP="00530F27">
            <w:pPr>
              <w:pStyle w:val="BodyText"/>
              <w:spacing w:after="0"/>
              <w:jc w:val="both"/>
              <w:cnfStyle w:val="000000100000" w:firstRow="0" w:lastRow="0" w:firstColumn="0" w:lastColumn="0" w:oddVBand="0" w:evenVBand="0" w:oddHBand="1" w:evenHBand="0" w:firstRowFirstColumn="0" w:firstRowLastColumn="0" w:lastRowFirstColumn="0" w:lastRowLastColumn="0"/>
              <w:rPr>
                <w:rFonts w:cstheme="minorHAnsi"/>
                <w:sz w:val="14"/>
                <w:szCs w:val="14"/>
              </w:rPr>
            </w:pPr>
          </w:p>
        </w:tc>
      </w:tr>
    </w:tbl>
    <w:p w14:paraId="06B2EE80" w14:textId="7CC3E311" w:rsidR="00973C36" w:rsidRPr="007963BB" w:rsidRDefault="00247E75" w:rsidP="00E96F38">
      <w:pPr>
        <w:spacing w:after="0"/>
        <w:jc w:val="both"/>
        <w:rPr>
          <w:rFonts w:cs="Arial"/>
          <w:sz w:val="10"/>
          <w:szCs w:val="20"/>
        </w:rPr>
      </w:pPr>
      <w:r w:rsidRPr="007963BB">
        <w:rPr>
          <w:sz w:val="10"/>
        </w:rPr>
        <w:br/>
      </w:r>
      <w:r w:rsidR="00F55685" w:rsidRPr="007963BB">
        <w:rPr>
          <w:sz w:val="10"/>
        </w:rPr>
        <w:t xml:space="preserve">Mtpa = million tonnes per annum. </w:t>
      </w:r>
      <w:r w:rsidR="00F55685" w:rsidRPr="007963BB">
        <w:rPr>
          <w:rFonts w:cs="Arial"/>
          <w:sz w:val="10"/>
          <w:szCs w:val="20"/>
        </w:rPr>
        <w:t xml:space="preserve">n.a. – not available or not applicable. </w:t>
      </w:r>
      <w:r w:rsidR="00493B95" w:rsidRPr="007963BB">
        <w:rPr>
          <w:rFonts w:cs="Arial"/>
          <w:sz w:val="10"/>
          <w:szCs w:val="20"/>
        </w:rPr>
        <w:t xml:space="preserve">FEED = front-end engineering and design: </w:t>
      </w:r>
      <w:r w:rsidR="003E6019" w:rsidRPr="007963BB">
        <w:rPr>
          <w:rFonts w:cs="Arial"/>
          <w:sz w:val="10"/>
          <w:szCs w:val="20"/>
        </w:rPr>
        <w:t>FID = final investment decision.</w:t>
      </w:r>
      <w:r w:rsidR="004D4F8C" w:rsidRPr="007963BB">
        <w:rPr>
          <w:rFonts w:cs="Arial"/>
          <w:sz w:val="10"/>
          <w:szCs w:val="20"/>
        </w:rPr>
        <w:t xml:space="preserve"> ^ Western Australia’s share of total capital expenditure.</w:t>
      </w:r>
      <w:r w:rsidR="00A4415C" w:rsidRPr="007963BB">
        <w:rPr>
          <w:rFonts w:cs="Arial"/>
          <w:sz w:val="10"/>
          <w:szCs w:val="20"/>
        </w:rPr>
        <w:t xml:space="preserve"> </w:t>
      </w:r>
      <w:r w:rsidR="00D0220B">
        <w:rPr>
          <w:rFonts w:cs="Arial"/>
          <w:sz w:val="10"/>
          <w:szCs w:val="20"/>
        </w:rPr>
        <w:t xml:space="preserve">* Shares upon formal completion of the transaction between Woodside and Global Infrastructure Partners, which is expected to occur in January 2022. </w:t>
      </w:r>
      <w:r w:rsidR="00A4415C" w:rsidRPr="007963BB">
        <w:rPr>
          <w:rFonts w:cs="Arial"/>
          <w:sz w:val="10"/>
          <w:szCs w:val="20"/>
          <w:vertAlign w:val="superscript"/>
        </w:rPr>
        <w:t>1</w:t>
      </w:r>
      <w:r w:rsidR="00A4415C" w:rsidRPr="007963BB">
        <w:rPr>
          <w:rFonts w:cs="Arial"/>
          <w:sz w:val="10"/>
          <w:szCs w:val="20"/>
        </w:rPr>
        <w:t xml:space="preserve"> Major projects under construction or committed only.</w:t>
      </w:r>
      <w:r w:rsidR="00263F82" w:rsidRPr="007963BB">
        <w:rPr>
          <w:rFonts w:cs="Arial"/>
          <w:sz w:val="10"/>
          <w:szCs w:val="20"/>
        </w:rPr>
        <w:t xml:space="preserve"> </w:t>
      </w:r>
      <w:r w:rsidR="00263F82" w:rsidRPr="007963BB">
        <w:rPr>
          <w:rFonts w:cs="Arial"/>
          <w:sz w:val="10"/>
          <w:szCs w:val="20"/>
          <w:vertAlign w:val="superscript"/>
        </w:rPr>
        <w:t>2</w:t>
      </w:r>
      <w:r w:rsidR="00263F82" w:rsidRPr="007963BB">
        <w:rPr>
          <w:rFonts w:cs="Arial"/>
          <w:sz w:val="10"/>
          <w:szCs w:val="20"/>
        </w:rPr>
        <w:t xml:space="preserve"> Capital expenditure.</w:t>
      </w:r>
    </w:p>
    <w:p w14:paraId="0BECFCB5" w14:textId="2E3F0D4F" w:rsidR="000B4DCE" w:rsidRPr="005E2C20" w:rsidRDefault="00F55685" w:rsidP="00247E75">
      <w:pPr>
        <w:spacing w:after="0"/>
        <w:jc w:val="both"/>
        <w:rPr>
          <w:sz w:val="16"/>
        </w:rPr>
      </w:pPr>
      <w:r w:rsidRPr="007963BB">
        <w:rPr>
          <w:rFonts w:cs="Arial"/>
          <w:sz w:val="10"/>
          <w:szCs w:val="20"/>
        </w:rPr>
        <w:t xml:space="preserve">Source: </w:t>
      </w:r>
      <w:r w:rsidR="00493B95" w:rsidRPr="007963BB">
        <w:rPr>
          <w:rFonts w:cs="Arial"/>
          <w:sz w:val="10"/>
          <w:szCs w:val="20"/>
        </w:rPr>
        <w:t>EnergyQuest, Energy Quarterly</w:t>
      </w:r>
      <w:r w:rsidRPr="007963BB">
        <w:rPr>
          <w:rFonts w:cs="Arial"/>
          <w:sz w:val="10"/>
          <w:szCs w:val="20"/>
        </w:rPr>
        <w:t xml:space="preserve">; </w:t>
      </w:r>
      <w:r w:rsidR="00D46337" w:rsidRPr="007963BB">
        <w:rPr>
          <w:rFonts w:cs="Arial"/>
          <w:sz w:val="10"/>
          <w:szCs w:val="20"/>
        </w:rPr>
        <w:t xml:space="preserve">WA Department of Jobs, Tourism, Science and Innovation; </w:t>
      </w:r>
      <w:r w:rsidRPr="007963BB">
        <w:rPr>
          <w:rFonts w:cs="Arial"/>
          <w:sz w:val="10"/>
          <w:szCs w:val="20"/>
        </w:rPr>
        <w:t>and company</w:t>
      </w:r>
      <w:r w:rsidR="00973C36" w:rsidRPr="007963BB">
        <w:rPr>
          <w:rFonts w:cs="Arial"/>
          <w:sz w:val="10"/>
          <w:szCs w:val="20"/>
        </w:rPr>
        <w:t xml:space="preserve"> investor information (</w:t>
      </w:r>
      <w:r w:rsidRPr="007963BB">
        <w:rPr>
          <w:rFonts w:cs="Arial"/>
          <w:sz w:val="10"/>
          <w:szCs w:val="20"/>
        </w:rPr>
        <w:t>announcements, reports and presentations</w:t>
      </w:r>
      <w:r w:rsidR="00973C36" w:rsidRPr="007963BB">
        <w:rPr>
          <w:rFonts w:cs="Arial"/>
          <w:sz w:val="10"/>
          <w:szCs w:val="20"/>
        </w:rPr>
        <w:t>)</w:t>
      </w:r>
      <w:r w:rsidR="00E96F38" w:rsidRPr="007963BB">
        <w:rPr>
          <w:sz w:val="10"/>
        </w:rPr>
        <w:t>.</w:t>
      </w:r>
    </w:p>
    <w:sectPr w:rsidR="000B4DCE" w:rsidRPr="005E2C20" w:rsidSect="00E11EDB">
      <w:type w:val="continuous"/>
      <w:pgSz w:w="11907" w:h="16840" w:code="9"/>
      <w:pgMar w:top="1701" w:right="720" w:bottom="720" w:left="720"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F0F64" w14:textId="77777777" w:rsidR="00F2230E" w:rsidRDefault="00F2230E" w:rsidP="00A4382C">
      <w:pPr>
        <w:spacing w:line="240" w:lineRule="auto"/>
      </w:pPr>
      <w:r>
        <w:separator/>
      </w:r>
    </w:p>
  </w:endnote>
  <w:endnote w:type="continuationSeparator" w:id="0">
    <w:p w14:paraId="64F6EE92" w14:textId="77777777" w:rsidR="00F2230E" w:rsidRDefault="00F2230E" w:rsidP="00A4382C">
      <w:pPr>
        <w:spacing w:line="240" w:lineRule="auto"/>
      </w:pPr>
      <w:r>
        <w:continuationSeparator/>
      </w:r>
    </w:p>
  </w:endnote>
  <w:endnote w:type="continuationNotice" w:id="1">
    <w:p w14:paraId="1B4D0D87" w14:textId="77777777" w:rsidR="002A4881" w:rsidRDefault="002A48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D8F48" w14:textId="77777777" w:rsidR="00F2230E" w:rsidRDefault="00F223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6BF17BEC" w:rsidR="00F2230E" w:rsidRPr="00CC5FB3" w:rsidRDefault="00F2230E" w:rsidP="00CC5FB3">
    <w:pPr>
      <w:pStyle w:val="Footer"/>
      <w:rPr>
        <w:szCs w:val="16"/>
      </w:rPr>
    </w:pPr>
    <w:r>
      <w:rPr>
        <w:szCs w:val="16"/>
      </w:rPr>
      <w:t>WA LNG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570CC1">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570CC1">
      <w:rPr>
        <w:noProof/>
        <w:szCs w:val="16"/>
      </w:rPr>
      <w:t>4</w:t>
    </w:r>
    <w:r>
      <w:rPr>
        <w:szCs w:val="16"/>
      </w:rPr>
      <w:fldChar w:fldCharType="end"/>
    </w:r>
    <w:r>
      <w:rPr>
        <w:szCs w:val="16"/>
      </w:rPr>
      <w:tab/>
      <w:t xml:space="preserve"> </w:t>
    </w:r>
    <w:r>
      <w:rPr>
        <w:szCs w:val="16"/>
      </w:rPr>
      <w:tab/>
    </w:r>
    <w:r>
      <w:rPr>
        <w:szCs w:val="16"/>
      </w:rPr>
      <w:tab/>
    </w:r>
    <w:r>
      <w:rPr>
        <w:szCs w:val="16"/>
      </w:rPr>
      <w:tab/>
    </w:r>
    <w:r>
      <w:rPr>
        <w:szCs w:val="16"/>
      </w:rPr>
      <w:tab/>
    </w:r>
    <w:r>
      <w:rPr>
        <w:szCs w:val="16"/>
      </w:rPr>
      <w:tab/>
    </w:r>
    <w:r>
      <w:rPr>
        <w:szCs w:val="16"/>
      </w:rPr>
      <w:tab/>
    </w:r>
    <w:r w:rsidRPr="00EC2662">
      <w:rPr>
        <w:szCs w:val="16"/>
      </w:rPr>
      <w:t>November</w:t>
    </w:r>
    <w:r>
      <w:rPr>
        <w:szCs w:val="16"/>
      </w:rPr>
      <w:t xml:space="preserve">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10A8B630" w:rsidR="00F2230E" w:rsidRPr="0075253D" w:rsidRDefault="00F2230E" w:rsidP="0075253D">
    <w:pPr>
      <w:pStyle w:val="Footer"/>
      <w:rPr>
        <w:szCs w:val="16"/>
      </w:rPr>
    </w:pPr>
    <w:r>
      <w:rPr>
        <w:szCs w:val="16"/>
      </w:rPr>
      <w:fldChar w:fldCharType="begin"/>
    </w:r>
    <w:r>
      <w:rPr>
        <w:szCs w:val="16"/>
      </w:rPr>
      <w:instrText xml:space="preserve"> FILENAME</w:instrText>
    </w:r>
    <w:r>
      <w:rPr>
        <w:szCs w:val="16"/>
      </w:rPr>
      <w:fldChar w:fldCharType="separate"/>
    </w:r>
    <w:r w:rsidR="002A4881">
      <w:rPr>
        <w:noProof/>
        <w:szCs w:val="16"/>
      </w:rPr>
      <w:t>002464policy.data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2A4881">
      <w:rPr>
        <w:noProof/>
        <w:szCs w:val="16"/>
      </w:rPr>
      <w:t>12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2A4881">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1291E" w14:textId="77777777" w:rsidR="00F2230E" w:rsidRDefault="00F2230E" w:rsidP="00A4382C">
      <w:pPr>
        <w:spacing w:line="240" w:lineRule="auto"/>
      </w:pPr>
      <w:r>
        <w:separator/>
      </w:r>
    </w:p>
  </w:footnote>
  <w:footnote w:type="continuationSeparator" w:id="0">
    <w:p w14:paraId="0898E8CF" w14:textId="77777777" w:rsidR="00F2230E" w:rsidRDefault="00F2230E" w:rsidP="00A4382C">
      <w:pPr>
        <w:spacing w:line="240" w:lineRule="auto"/>
      </w:pPr>
      <w:r>
        <w:continuationSeparator/>
      </w:r>
    </w:p>
  </w:footnote>
  <w:footnote w:type="continuationNotice" w:id="1">
    <w:p w14:paraId="344C8FC8" w14:textId="77777777" w:rsidR="002A4881" w:rsidRDefault="002A48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05ED0" w14:textId="77777777" w:rsidR="00F2230E" w:rsidRDefault="00F223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F2230E" w:rsidRDefault="00F2230E">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646F8" w14:textId="77777777" w:rsidR="00F2230E" w:rsidRDefault="00F223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0" w15:restartNumberingAfterBreak="0">
    <w:nsid w:val="30AA35B5"/>
    <w:multiLevelType w:val="hybridMultilevel"/>
    <w:tmpl w:val="23E44186"/>
    <w:lvl w:ilvl="0" w:tplc="78DCFD04">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EFC0FCA"/>
    <w:multiLevelType w:val="hybridMultilevel"/>
    <w:tmpl w:val="2DA80C5C"/>
    <w:lvl w:ilvl="0" w:tplc="0C090001">
      <w:start w:val="1"/>
      <w:numFmt w:val="bullet"/>
      <w:lvlText w:val=""/>
      <w:lvlJc w:val="left"/>
      <w:pPr>
        <w:ind w:left="720" w:hanging="360"/>
      </w:pPr>
      <w:rPr>
        <w:rFonts w:ascii="Symbol" w:hAnsi="Symbol"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B20D18"/>
    <w:multiLevelType w:val="multilevel"/>
    <w:tmpl w:val="C4023126"/>
    <w:numStyleLink w:val="AgencyTableBullets"/>
  </w:abstractNum>
  <w:abstractNum w:abstractNumId="13" w15:restartNumberingAfterBreak="0">
    <w:nsid w:val="4474526F"/>
    <w:multiLevelType w:val="multilevel"/>
    <w:tmpl w:val="D5A4B100"/>
    <w:numStyleLink w:val="AgencyTableNumbers"/>
  </w:abstractNum>
  <w:abstractNum w:abstractNumId="14"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7" w15:restartNumberingAfterBreak="0">
    <w:nsid w:val="4CBB6271"/>
    <w:multiLevelType w:val="hybridMultilevel"/>
    <w:tmpl w:val="ABBE3BCA"/>
    <w:lvl w:ilvl="0" w:tplc="C0506D72">
      <w:start w:val="1"/>
      <w:numFmt w:val="bullet"/>
      <w:lvlText w:val="­"/>
      <w:lvlJc w:val="left"/>
      <w:pPr>
        <w:ind w:left="720" w:hanging="360"/>
      </w:pPr>
      <w:rPr>
        <w:rFonts w:ascii="Courier New" w:hAnsi="Courier New" w:hint="default"/>
        <w:b/>
        <w:caps w:val="0"/>
        <w:smallCaps w:val="0"/>
        <w:color w:val="000000" w:themeColor="text1"/>
        <w:spacing w:val="10"/>
        <w:sz w:val="16"/>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6743" w14:cap="flat" w14:cmpd="sng" w14:algn="ctr">
          <w14:solidFill>
            <w14:schemeClr w14:val="accent1">
              <w14:alpha w14:val="93500"/>
              <w14:shade w14:val="2500"/>
            </w14:schemeClr>
          </w14:solidFill>
          <w14:prstDash w14:val="solid"/>
          <w14:round/>
        </w14:textOutline>
        <w14:props3d w14:extrusionH="0" w14:contourW="0" w14:prstMaterial="no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57D660D"/>
    <w:multiLevelType w:val="hybridMultilevel"/>
    <w:tmpl w:val="F65843FE"/>
    <w:lvl w:ilvl="0" w:tplc="0C090001">
      <w:start w:val="1"/>
      <w:numFmt w:val="bullet"/>
      <w:lvlText w:val=""/>
      <w:lvlJc w:val="left"/>
      <w:pPr>
        <w:ind w:left="570" w:hanging="570"/>
      </w:pPr>
      <w:rPr>
        <w:rFonts w:ascii="Symbol" w:hAnsi="Symbol" w:hint="default"/>
      </w:rPr>
    </w:lvl>
    <w:lvl w:ilvl="1" w:tplc="E4CA9484">
      <w:start w:val="1"/>
      <w:numFmt w:val="bullet"/>
      <w:lvlText w:val="­"/>
      <w:lvlJc w:val="left"/>
      <w:pPr>
        <w:ind w:left="1134" w:hanging="567"/>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6"/>
  </w:num>
  <w:num w:numId="3">
    <w:abstractNumId w:val="3"/>
  </w:num>
  <w:num w:numId="4">
    <w:abstractNumId w:val="7"/>
  </w:num>
  <w:num w:numId="5">
    <w:abstractNumId w:val="9"/>
  </w:num>
  <w:num w:numId="6">
    <w:abstractNumId w:val="16"/>
  </w:num>
  <w:num w:numId="7">
    <w:abstractNumId w:val="12"/>
  </w:num>
  <w:num w:numId="8">
    <w:abstractNumId w:val="13"/>
  </w:num>
  <w:num w:numId="9">
    <w:abstractNumId w:val="10"/>
  </w:num>
  <w:num w:numId="10">
    <w:abstractNumId w:val="18"/>
  </w:num>
  <w:num w:numId="11">
    <w:abstractNumId w:val="14"/>
  </w:num>
  <w:num w:numId="12">
    <w:abstractNumId w:val="2"/>
  </w:num>
  <w:num w:numId="13">
    <w:abstractNumId w:val="5"/>
  </w:num>
  <w:num w:numId="14">
    <w:abstractNumId w:val="15"/>
  </w:num>
  <w:num w:numId="15">
    <w:abstractNumId w:val="8"/>
  </w:num>
  <w:num w:numId="16">
    <w:abstractNumId w:val="20"/>
  </w:num>
  <w:num w:numId="17">
    <w:abstractNumId w:val="19"/>
  </w:num>
  <w:num w:numId="18">
    <w:abstractNumId w:val="1"/>
  </w:num>
  <w:num w:numId="19">
    <w:abstractNumId w:val="4"/>
  </w:num>
  <w:num w:numId="20">
    <w:abstractNumId w:val="0"/>
  </w:num>
  <w:num w:numId="21">
    <w:abstractNumId w:val="6"/>
  </w:num>
  <w:num w:numId="22">
    <w:abstractNumId w:val="11"/>
  </w:num>
  <w:num w:numId="23">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567"/>
  <w:drawingGridHorizontalSpacing w:val="110"/>
  <w:drawingGridVerticalSpacing w:val="181"/>
  <w:displayHorizontalDrawingGridEvery w:val="2"/>
  <w:characterSpacingControl w:val="doNotCompress"/>
  <w:hdrShapeDefaults>
    <o:shapedefaults v:ext="edit" spidmax="2007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60"/>
    <w:rsid w:val="00000702"/>
    <w:rsid w:val="0000198E"/>
    <w:rsid w:val="00004598"/>
    <w:rsid w:val="00005285"/>
    <w:rsid w:val="00006269"/>
    <w:rsid w:val="000063FF"/>
    <w:rsid w:val="00006DAE"/>
    <w:rsid w:val="0000797E"/>
    <w:rsid w:val="00013D5D"/>
    <w:rsid w:val="0001436C"/>
    <w:rsid w:val="00020A91"/>
    <w:rsid w:val="00024416"/>
    <w:rsid w:val="00030161"/>
    <w:rsid w:val="0003118B"/>
    <w:rsid w:val="0003298A"/>
    <w:rsid w:val="00034CF8"/>
    <w:rsid w:val="00035E69"/>
    <w:rsid w:val="00035FD4"/>
    <w:rsid w:val="00036C0B"/>
    <w:rsid w:val="000400BA"/>
    <w:rsid w:val="000415D9"/>
    <w:rsid w:val="00043503"/>
    <w:rsid w:val="000517E2"/>
    <w:rsid w:val="0005585E"/>
    <w:rsid w:val="00056706"/>
    <w:rsid w:val="00056C85"/>
    <w:rsid w:val="0006020B"/>
    <w:rsid w:val="00060FFB"/>
    <w:rsid w:val="0006234D"/>
    <w:rsid w:val="000628DD"/>
    <w:rsid w:val="00070650"/>
    <w:rsid w:val="000724CA"/>
    <w:rsid w:val="000731E7"/>
    <w:rsid w:val="00075084"/>
    <w:rsid w:val="00076DFB"/>
    <w:rsid w:val="00077902"/>
    <w:rsid w:val="00081F4F"/>
    <w:rsid w:val="000836F9"/>
    <w:rsid w:val="000855C9"/>
    <w:rsid w:val="00087862"/>
    <w:rsid w:val="00087E7C"/>
    <w:rsid w:val="00090654"/>
    <w:rsid w:val="00091204"/>
    <w:rsid w:val="00091C51"/>
    <w:rsid w:val="000923ED"/>
    <w:rsid w:val="0009494E"/>
    <w:rsid w:val="000A1BE9"/>
    <w:rsid w:val="000A4438"/>
    <w:rsid w:val="000A576B"/>
    <w:rsid w:val="000B0111"/>
    <w:rsid w:val="000B03AB"/>
    <w:rsid w:val="000B097E"/>
    <w:rsid w:val="000B27A1"/>
    <w:rsid w:val="000B4DCE"/>
    <w:rsid w:val="000B521B"/>
    <w:rsid w:val="000B6C74"/>
    <w:rsid w:val="000B74E7"/>
    <w:rsid w:val="000C0842"/>
    <w:rsid w:val="000C0B8C"/>
    <w:rsid w:val="000C0C03"/>
    <w:rsid w:val="000C636D"/>
    <w:rsid w:val="000C713C"/>
    <w:rsid w:val="000C7B25"/>
    <w:rsid w:val="000D1A3E"/>
    <w:rsid w:val="000D2A92"/>
    <w:rsid w:val="000D2BBF"/>
    <w:rsid w:val="000D6278"/>
    <w:rsid w:val="000D67A1"/>
    <w:rsid w:val="000E130F"/>
    <w:rsid w:val="000E3009"/>
    <w:rsid w:val="000E3E3A"/>
    <w:rsid w:val="000E3E3E"/>
    <w:rsid w:val="000E4402"/>
    <w:rsid w:val="000E4F41"/>
    <w:rsid w:val="000E5DCE"/>
    <w:rsid w:val="000F13E1"/>
    <w:rsid w:val="000F371C"/>
    <w:rsid w:val="000F390A"/>
    <w:rsid w:val="000F3A49"/>
    <w:rsid w:val="000F410D"/>
    <w:rsid w:val="000F4B54"/>
    <w:rsid w:val="000F680B"/>
    <w:rsid w:val="000F79FB"/>
    <w:rsid w:val="00101A4E"/>
    <w:rsid w:val="00117846"/>
    <w:rsid w:val="001178DD"/>
    <w:rsid w:val="00117A9B"/>
    <w:rsid w:val="00121232"/>
    <w:rsid w:val="001214E8"/>
    <w:rsid w:val="001218B7"/>
    <w:rsid w:val="00121B41"/>
    <w:rsid w:val="00121BB3"/>
    <w:rsid w:val="0012443B"/>
    <w:rsid w:val="0012712C"/>
    <w:rsid w:val="00127949"/>
    <w:rsid w:val="00127A81"/>
    <w:rsid w:val="00130A6A"/>
    <w:rsid w:val="00131643"/>
    <w:rsid w:val="001319F4"/>
    <w:rsid w:val="00131E8F"/>
    <w:rsid w:val="00137217"/>
    <w:rsid w:val="00137C47"/>
    <w:rsid w:val="00140B1A"/>
    <w:rsid w:val="0014129B"/>
    <w:rsid w:val="00141682"/>
    <w:rsid w:val="00142DA1"/>
    <w:rsid w:val="00142E8D"/>
    <w:rsid w:val="0014330A"/>
    <w:rsid w:val="00143563"/>
    <w:rsid w:val="00143B8B"/>
    <w:rsid w:val="001441FA"/>
    <w:rsid w:val="00147494"/>
    <w:rsid w:val="00150D6F"/>
    <w:rsid w:val="0015139A"/>
    <w:rsid w:val="0015286C"/>
    <w:rsid w:val="00154364"/>
    <w:rsid w:val="00154A96"/>
    <w:rsid w:val="00154B43"/>
    <w:rsid w:val="001566B1"/>
    <w:rsid w:val="0015794A"/>
    <w:rsid w:val="0016162F"/>
    <w:rsid w:val="00161BAC"/>
    <w:rsid w:val="00163E11"/>
    <w:rsid w:val="00164FD5"/>
    <w:rsid w:val="00166F4F"/>
    <w:rsid w:val="00167179"/>
    <w:rsid w:val="001702C2"/>
    <w:rsid w:val="001707B4"/>
    <w:rsid w:val="00170BCC"/>
    <w:rsid w:val="00171E35"/>
    <w:rsid w:val="001723E2"/>
    <w:rsid w:val="00172F4D"/>
    <w:rsid w:val="00173B18"/>
    <w:rsid w:val="001743E9"/>
    <w:rsid w:val="001750A9"/>
    <w:rsid w:val="00175473"/>
    <w:rsid w:val="00175B21"/>
    <w:rsid w:val="00176B7E"/>
    <w:rsid w:val="00181DCF"/>
    <w:rsid w:val="00182318"/>
    <w:rsid w:val="0018235A"/>
    <w:rsid w:val="001853E7"/>
    <w:rsid w:val="00187ED2"/>
    <w:rsid w:val="00192875"/>
    <w:rsid w:val="001938E5"/>
    <w:rsid w:val="00194018"/>
    <w:rsid w:val="00194D8E"/>
    <w:rsid w:val="001A0CFE"/>
    <w:rsid w:val="001A1794"/>
    <w:rsid w:val="001A1965"/>
    <w:rsid w:val="001A7024"/>
    <w:rsid w:val="001A70B1"/>
    <w:rsid w:val="001B25CC"/>
    <w:rsid w:val="001B38E8"/>
    <w:rsid w:val="001B47EC"/>
    <w:rsid w:val="001B5124"/>
    <w:rsid w:val="001B7BB2"/>
    <w:rsid w:val="001C02F8"/>
    <w:rsid w:val="001C316F"/>
    <w:rsid w:val="001C3EDE"/>
    <w:rsid w:val="001C5B6B"/>
    <w:rsid w:val="001C7BF6"/>
    <w:rsid w:val="001D009C"/>
    <w:rsid w:val="001D00A7"/>
    <w:rsid w:val="001D029B"/>
    <w:rsid w:val="001D0577"/>
    <w:rsid w:val="001D06E5"/>
    <w:rsid w:val="001D09B9"/>
    <w:rsid w:val="001D14B2"/>
    <w:rsid w:val="001D233C"/>
    <w:rsid w:val="001D2EB0"/>
    <w:rsid w:val="001D31AA"/>
    <w:rsid w:val="001D7DDB"/>
    <w:rsid w:val="001E18E0"/>
    <w:rsid w:val="001E1980"/>
    <w:rsid w:val="001E38AF"/>
    <w:rsid w:val="001E43A3"/>
    <w:rsid w:val="001E71EC"/>
    <w:rsid w:val="001F1168"/>
    <w:rsid w:val="001F2273"/>
    <w:rsid w:val="001F3557"/>
    <w:rsid w:val="001F3B43"/>
    <w:rsid w:val="001F3ED0"/>
    <w:rsid w:val="001F4AA2"/>
    <w:rsid w:val="001F61C3"/>
    <w:rsid w:val="001F64A7"/>
    <w:rsid w:val="001F7892"/>
    <w:rsid w:val="0020221E"/>
    <w:rsid w:val="002024DA"/>
    <w:rsid w:val="00204CC7"/>
    <w:rsid w:val="0020536C"/>
    <w:rsid w:val="00210923"/>
    <w:rsid w:val="0021126D"/>
    <w:rsid w:val="0021319C"/>
    <w:rsid w:val="00213DE3"/>
    <w:rsid w:val="002144EA"/>
    <w:rsid w:val="00217A4B"/>
    <w:rsid w:val="00217BF0"/>
    <w:rsid w:val="00220037"/>
    <w:rsid w:val="002244A2"/>
    <w:rsid w:val="002251A4"/>
    <w:rsid w:val="0022624E"/>
    <w:rsid w:val="0023136A"/>
    <w:rsid w:val="00231E84"/>
    <w:rsid w:val="00232EC5"/>
    <w:rsid w:val="00234AE0"/>
    <w:rsid w:val="00236E8A"/>
    <w:rsid w:val="00237284"/>
    <w:rsid w:val="002404B1"/>
    <w:rsid w:val="002407F7"/>
    <w:rsid w:val="00241063"/>
    <w:rsid w:val="00241CBD"/>
    <w:rsid w:val="002422CF"/>
    <w:rsid w:val="00242A95"/>
    <w:rsid w:val="002451DB"/>
    <w:rsid w:val="00245787"/>
    <w:rsid w:val="00247E75"/>
    <w:rsid w:val="00250692"/>
    <w:rsid w:val="00252B23"/>
    <w:rsid w:val="0025532C"/>
    <w:rsid w:val="00255C05"/>
    <w:rsid w:val="002570AD"/>
    <w:rsid w:val="00262CC7"/>
    <w:rsid w:val="00263AEC"/>
    <w:rsid w:val="00263F82"/>
    <w:rsid w:val="002641AD"/>
    <w:rsid w:val="002741E8"/>
    <w:rsid w:val="00275336"/>
    <w:rsid w:val="00275369"/>
    <w:rsid w:val="002760CB"/>
    <w:rsid w:val="00276E0B"/>
    <w:rsid w:val="002805DC"/>
    <w:rsid w:val="002810C9"/>
    <w:rsid w:val="00285376"/>
    <w:rsid w:val="002860CD"/>
    <w:rsid w:val="00291395"/>
    <w:rsid w:val="002921DB"/>
    <w:rsid w:val="0029325D"/>
    <w:rsid w:val="00296019"/>
    <w:rsid w:val="00296869"/>
    <w:rsid w:val="00296BD6"/>
    <w:rsid w:val="00297373"/>
    <w:rsid w:val="002A0CC8"/>
    <w:rsid w:val="002A2900"/>
    <w:rsid w:val="002A3FA6"/>
    <w:rsid w:val="002A40B7"/>
    <w:rsid w:val="002A4881"/>
    <w:rsid w:val="002A575F"/>
    <w:rsid w:val="002A5DE6"/>
    <w:rsid w:val="002A6063"/>
    <w:rsid w:val="002A6E3C"/>
    <w:rsid w:val="002B106A"/>
    <w:rsid w:val="002B1A3D"/>
    <w:rsid w:val="002B1D59"/>
    <w:rsid w:val="002B3565"/>
    <w:rsid w:val="002B37B1"/>
    <w:rsid w:val="002C22CA"/>
    <w:rsid w:val="002C35B4"/>
    <w:rsid w:val="002C50FD"/>
    <w:rsid w:val="002D2D6A"/>
    <w:rsid w:val="002D38A5"/>
    <w:rsid w:val="002D4783"/>
    <w:rsid w:val="002E58B7"/>
    <w:rsid w:val="002E5D2B"/>
    <w:rsid w:val="002E71DF"/>
    <w:rsid w:val="002E7DD3"/>
    <w:rsid w:val="002F0C65"/>
    <w:rsid w:val="002F15F9"/>
    <w:rsid w:val="002F1CF3"/>
    <w:rsid w:val="002F3FBC"/>
    <w:rsid w:val="002F4364"/>
    <w:rsid w:val="002F4630"/>
    <w:rsid w:val="002F59E3"/>
    <w:rsid w:val="002F6471"/>
    <w:rsid w:val="00300127"/>
    <w:rsid w:val="00303CBB"/>
    <w:rsid w:val="00306D70"/>
    <w:rsid w:val="00306FAF"/>
    <w:rsid w:val="00307696"/>
    <w:rsid w:val="00307B64"/>
    <w:rsid w:val="00310D60"/>
    <w:rsid w:val="003115D5"/>
    <w:rsid w:val="00311639"/>
    <w:rsid w:val="00313B86"/>
    <w:rsid w:val="003149CC"/>
    <w:rsid w:val="00316033"/>
    <w:rsid w:val="00316310"/>
    <w:rsid w:val="00316E64"/>
    <w:rsid w:val="0031702C"/>
    <w:rsid w:val="00320F6F"/>
    <w:rsid w:val="00321707"/>
    <w:rsid w:val="00321C39"/>
    <w:rsid w:val="00322F94"/>
    <w:rsid w:val="00327D01"/>
    <w:rsid w:val="00330481"/>
    <w:rsid w:val="003316EF"/>
    <w:rsid w:val="00332FCA"/>
    <w:rsid w:val="00333106"/>
    <w:rsid w:val="00333E24"/>
    <w:rsid w:val="0033401D"/>
    <w:rsid w:val="00334E55"/>
    <w:rsid w:val="003379C5"/>
    <w:rsid w:val="00337D05"/>
    <w:rsid w:val="00341A45"/>
    <w:rsid w:val="00343A4F"/>
    <w:rsid w:val="003441B3"/>
    <w:rsid w:val="00346875"/>
    <w:rsid w:val="0034798D"/>
    <w:rsid w:val="00347B6E"/>
    <w:rsid w:val="00350BCD"/>
    <w:rsid w:val="00353881"/>
    <w:rsid w:val="00356B1A"/>
    <w:rsid w:val="0035788E"/>
    <w:rsid w:val="0036263D"/>
    <w:rsid w:val="003636FF"/>
    <w:rsid w:val="003651F3"/>
    <w:rsid w:val="0037070E"/>
    <w:rsid w:val="00370929"/>
    <w:rsid w:val="00371FB3"/>
    <w:rsid w:val="00373896"/>
    <w:rsid w:val="00373E55"/>
    <w:rsid w:val="00374C8B"/>
    <w:rsid w:val="00375984"/>
    <w:rsid w:val="00375A51"/>
    <w:rsid w:val="00377144"/>
    <w:rsid w:val="003801D1"/>
    <w:rsid w:val="003801F5"/>
    <w:rsid w:val="00381558"/>
    <w:rsid w:val="0038356A"/>
    <w:rsid w:val="00386599"/>
    <w:rsid w:val="0038720A"/>
    <w:rsid w:val="003875B0"/>
    <w:rsid w:val="00387710"/>
    <w:rsid w:val="0039000D"/>
    <w:rsid w:val="003907DE"/>
    <w:rsid w:val="003947D4"/>
    <w:rsid w:val="00394BFB"/>
    <w:rsid w:val="0039505F"/>
    <w:rsid w:val="00395152"/>
    <w:rsid w:val="0039528C"/>
    <w:rsid w:val="003962F4"/>
    <w:rsid w:val="0039771D"/>
    <w:rsid w:val="003A57D0"/>
    <w:rsid w:val="003A57E9"/>
    <w:rsid w:val="003A5F4C"/>
    <w:rsid w:val="003B1641"/>
    <w:rsid w:val="003B1CE3"/>
    <w:rsid w:val="003B1D40"/>
    <w:rsid w:val="003B68D0"/>
    <w:rsid w:val="003B7762"/>
    <w:rsid w:val="003C0875"/>
    <w:rsid w:val="003C4E9E"/>
    <w:rsid w:val="003C695D"/>
    <w:rsid w:val="003D1855"/>
    <w:rsid w:val="003D347F"/>
    <w:rsid w:val="003D47BF"/>
    <w:rsid w:val="003D5BE8"/>
    <w:rsid w:val="003D6F7E"/>
    <w:rsid w:val="003E00EC"/>
    <w:rsid w:val="003E1400"/>
    <w:rsid w:val="003E1747"/>
    <w:rsid w:val="003E1E09"/>
    <w:rsid w:val="003E1F3E"/>
    <w:rsid w:val="003E271F"/>
    <w:rsid w:val="003E28A9"/>
    <w:rsid w:val="003E4B2A"/>
    <w:rsid w:val="003E579A"/>
    <w:rsid w:val="003E6019"/>
    <w:rsid w:val="003F1169"/>
    <w:rsid w:val="003F26FE"/>
    <w:rsid w:val="003F34CF"/>
    <w:rsid w:val="003F3672"/>
    <w:rsid w:val="003F3D29"/>
    <w:rsid w:val="003F4002"/>
    <w:rsid w:val="003F4681"/>
    <w:rsid w:val="003F68F5"/>
    <w:rsid w:val="003F7D47"/>
    <w:rsid w:val="003F7E00"/>
    <w:rsid w:val="003F7FF9"/>
    <w:rsid w:val="00400C03"/>
    <w:rsid w:val="004026D0"/>
    <w:rsid w:val="004028B9"/>
    <w:rsid w:val="00403DB4"/>
    <w:rsid w:val="0040481A"/>
    <w:rsid w:val="0040491A"/>
    <w:rsid w:val="00405778"/>
    <w:rsid w:val="00407FB0"/>
    <w:rsid w:val="004108AE"/>
    <w:rsid w:val="004127B1"/>
    <w:rsid w:val="00412AA2"/>
    <w:rsid w:val="00414479"/>
    <w:rsid w:val="00414530"/>
    <w:rsid w:val="00415EDF"/>
    <w:rsid w:val="004165AA"/>
    <w:rsid w:val="00417238"/>
    <w:rsid w:val="00417D8D"/>
    <w:rsid w:val="00417EFE"/>
    <w:rsid w:val="004239AE"/>
    <w:rsid w:val="00423A67"/>
    <w:rsid w:val="00423D42"/>
    <w:rsid w:val="0042478F"/>
    <w:rsid w:val="00425B81"/>
    <w:rsid w:val="00430573"/>
    <w:rsid w:val="00432532"/>
    <w:rsid w:val="004325EC"/>
    <w:rsid w:val="00437D37"/>
    <w:rsid w:val="00441911"/>
    <w:rsid w:val="00441917"/>
    <w:rsid w:val="00441E01"/>
    <w:rsid w:val="004436DE"/>
    <w:rsid w:val="00445A5B"/>
    <w:rsid w:val="004478B8"/>
    <w:rsid w:val="00450B63"/>
    <w:rsid w:val="00451B5B"/>
    <w:rsid w:val="00454E03"/>
    <w:rsid w:val="00456642"/>
    <w:rsid w:val="00460DA3"/>
    <w:rsid w:val="004623D1"/>
    <w:rsid w:val="0046320D"/>
    <w:rsid w:val="00464B51"/>
    <w:rsid w:val="004653C8"/>
    <w:rsid w:val="0047115C"/>
    <w:rsid w:val="00471334"/>
    <w:rsid w:val="004723F0"/>
    <w:rsid w:val="004727A0"/>
    <w:rsid w:val="00473F8A"/>
    <w:rsid w:val="004740B8"/>
    <w:rsid w:val="0047561C"/>
    <w:rsid w:val="00475A14"/>
    <w:rsid w:val="00475A8D"/>
    <w:rsid w:val="00480169"/>
    <w:rsid w:val="00480A4C"/>
    <w:rsid w:val="00481C9C"/>
    <w:rsid w:val="00482AA0"/>
    <w:rsid w:val="00485695"/>
    <w:rsid w:val="00485967"/>
    <w:rsid w:val="00486847"/>
    <w:rsid w:val="004876C9"/>
    <w:rsid w:val="00490548"/>
    <w:rsid w:val="00490E54"/>
    <w:rsid w:val="00490EEF"/>
    <w:rsid w:val="00490F2F"/>
    <w:rsid w:val="00493AE3"/>
    <w:rsid w:val="00493B95"/>
    <w:rsid w:val="0049414A"/>
    <w:rsid w:val="004956FF"/>
    <w:rsid w:val="00495940"/>
    <w:rsid w:val="00497D30"/>
    <w:rsid w:val="00497FC5"/>
    <w:rsid w:val="004A4FF1"/>
    <w:rsid w:val="004A62C0"/>
    <w:rsid w:val="004A647A"/>
    <w:rsid w:val="004A64BB"/>
    <w:rsid w:val="004A7FCA"/>
    <w:rsid w:val="004B3FC9"/>
    <w:rsid w:val="004B4336"/>
    <w:rsid w:val="004B5A0B"/>
    <w:rsid w:val="004B61DD"/>
    <w:rsid w:val="004B6858"/>
    <w:rsid w:val="004C1089"/>
    <w:rsid w:val="004C10C0"/>
    <w:rsid w:val="004C12D6"/>
    <w:rsid w:val="004C3B9E"/>
    <w:rsid w:val="004C3EEB"/>
    <w:rsid w:val="004C45E4"/>
    <w:rsid w:val="004C49F9"/>
    <w:rsid w:val="004C7BEE"/>
    <w:rsid w:val="004C7EBC"/>
    <w:rsid w:val="004D32FD"/>
    <w:rsid w:val="004D4A29"/>
    <w:rsid w:val="004D4A5F"/>
    <w:rsid w:val="004D4F8C"/>
    <w:rsid w:val="004D5BAB"/>
    <w:rsid w:val="004D6517"/>
    <w:rsid w:val="004D6A04"/>
    <w:rsid w:val="004D722D"/>
    <w:rsid w:val="004E0C3A"/>
    <w:rsid w:val="004E2645"/>
    <w:rsid w:val="004E2AA7"/>
    <w:rsid w:val="004E2D8A"/>
    <w:rsid w:val="004E3F1E"/>
    <w:rsid w:val="004E46F6"/>
    <w:rsid w:val="004E61A9"/>
    <w:rsid w:val="004E65FE"/>
    <w:rsid w:val="004E76B9"/>
    <w:rsid w:val="004F0CF0"/>
    <w:rsid w:val="004F2490"/>
    <w:rsid w:val="004F3812"/>
    <w:rsid w:val="004F494B"/>
    <w:rsid w:val="004F5D65"/>
    <w:rsid w:val="004F6053"/>
    <w:rsid w:val="004F6AB4"/>
    <w:rsid w:val="004F6C26"/>
    <w:rsid w:val="004F7573"/>
    <w:rsid w:val="005001E6"/>
    <w:rsid w:val="005016D9"/>
    <w:rsid w:val="00502FFE"/>
    <w:rsid w:val="00505A45"/>
    <w:rsid w:val="00505CCD"/>
    <w:rsid w:val="00507B3E"/>
    <w:rsid w:val="005107C5"/>
    <w:rsid w:val="00511696"/>
    <w:rsid w:val="00511AF5"/>
    <w:rsid w:val="00514046"/>
    <w:rsid w:val="00516EA6"/>
    <w:rsid w:val="00517B50"/>
    <w:rsid w:val="00520F30"/>
    <w:rsid w:val="00521B09"/>
    <w:rsid w:val="00521C69"/>
    <w:rsid w:val="00522CA1"/>
    <w:rsid w:val="00522FBD"/>
    <w:rsid w:val="00524C37"/>
    <w:rsid w:val="00525083"/>
    <w:rsid w:val="005252BE"/>
    <w:rsid w:val="00526CED"/>
    <w:rsid w:val="005270A9"/>
    <w:rsid w:val="005276F3"/>
    <w:rsid w:val="005309D9"/>
    <w:rsid w:val="00530F27"/>
    <w:rsid w:val="00532607"/>
    <w:rsid w:val="0053403F"/>
    <w:rsid w:val="005362A4"/>
    <w:rsid w:val="00540B18"/>
    <w:rsid w:val="005417CC"/>
    <w:rsid w:val="00544831"/>
    <w:rsid w:val="00546D8D"/>
    <w:rsid w:val="0054751B"/>
    <w:rsid w:val="00551FF0"/>
    <w:rsid w:val="00552DD1"/>
    <w:rsid w:val="005537D5"/>
    <w:rsid w:val="0055663F"/>
    <w:rsid w:val="00556CD6"/>
    <w:rsid w:val="00562E13"/>
    <w:rsid w:val="00563703"/>
    <w:rsid w:val="005642CA"/>
    <w:rsid w:val="00565250"/>
    <w:rsid w:val="00566F5F"/>
    <w:rsid w:val="00570CC1"/>
    <w:rsid w:val="00571929"/>
    <w:rsid w:val="0057581E"/>
    <w:rsid w:val="00575B72"/>
    <w:rsid w:val="00576F3B"/>
    <w:rsid w:val="00577902"/>
    <w:rsid w:val="00580866"/>
    <w:rsid w:val="00581553"/>
    <w:rsid w:val="00584414"/>
    <w:rsid w:val="00584C3C"/>
    <w:rsid w:val="005857AE"/>
    <w:rsid w:val="0058782B"/>
    <w:rsid w:val="00591BD4"/>
    <w:rsid w:val="00594767"/>
    <w:rsid w:val="00594E58"/>
    <w:rsid w:val="005953F9"/>
    <w:rsid w:val="00595FF9"/>
    <w:rsid w:val="005A0581"/>
    <w:rsid w:val="005A4D46"/>
    <w:rsid w:val="005A4D97"/>
    <w:rsid w:val="005B0F45"/>
    <w:rsid w:val="005B1654"/>
    <w:rsid w:val="005B28B6"/>
    <w:rsid w:val="005B3F1F"/>
    <w:rsid w:val="005B5A18"/>
    <w:rsid w:val="005B7026"/>
    <w:rsid w:val="005B7565"/>
    <w:rsid w:val="005C06F0"/>
    <w:rsid w:val="005C0907"/>
    <w:rsid w:val="005C32A6"/>
    <w:rsid w:val="005C3D09"/>
    <w:rsid w:val="005C451E"/>
    <w:rsid w:val="005C65DD"/>
    <w:rsid w:val="005C7F45"/>
    <w:rsid w:val="005D1619"/>
    <w:rsid w:val="005D2DC1"/>
    <w:rsid w:val="005D5BB7"/>
    <w:rsid w:val="005D655F"/>
    <w:rsid w:val="005E0197"/>
    <w:rsid w:val="005E0DBB"/>
    <w:rsid w:val="005E1D94"/>
    <w:rsid w:val="005E2097"/>
    <w:rsid w:val="005E22F4"/>
    <w:rsid w:val="005E2BAE"/>
    <w:rsid w:val="005E2C20"/>
    <w:rsid w:val="005E4918"/>
    <w:rsid w:val="005E5BC4"/>
    <w:rsid w:val="005E7006"/>
    <w:rsid w:val="005F07E3"/>
    <w:rsid w:val="005F10AA"/>
    <w:rsid w:val="005F1191"/>
    <w:rsid w:val="005F3A86"/>
    <w:rsid w:val="005F3F3B"/>
    <w:rsid w:val="006056D9"/>
    <w:rsid w:val="006063E5"/>
    <w:rsid w:val="006075B7"/>
    <w:rsid w:val="00614339"/>
    <w:rsid w:val="006146DE"/>
    <w:rsid w:val="00615444"/>
    <w:rsid w:val="00615672"/>
    <w:rsid w:val="0061649B"/>
    <w:rsid w:val="0062028B"/>
    <w:rsid w:val="006225FF"/>
    <w:rsid w:val="00622D52"/>
    <w:rsid w:val="00626302"/>
    <w:rsid w:val="006341DD"/>
    <w:rsid w:val="0063454B"/>
    <w:rsid w:val="00635778"/>
    <w:rsid w:val="00637C18"/>
    <w:rsid w:val="00642EEC"/>
    <w:rsid w:val="00644D61"/>
    <w:rsid w:val="00645185"/>
    <w:rsid w:val="00645A14"/>
    <w:rsid w:val="00645EE8"/>
    <w:rsid w:val="006472D7"/>
    <w:rsid w:val="00647852"/>
    <w:rsid w:val="0065246A"/>
    <w:rsid w:val="006524A6"/>
    <w:rsid w:val="00652EA6"/>
    <w:rsid w:val="00653289"/>
    <w:rsid w:val="006533AC"/>
    <w:rsid w:val="00654BA5"/>
    <w:rsid w:val="00655AEB"/>
    <w:rsid w:val="00656852"/>
    <w:rsid w:val="006570A3"/>
    <w:rsid w:val="00657B60"/>
    <w:rsid w:val="00660D80"/>
    <w:rsid w:val="00664053"/>
    <w:rsid w:val="00664B55"/>
    <w:rsid w:val="00665B9F"/>
    <w:rsid w:val="006705C4"/>
    <w:rsid w:val="006722B2"/>
    <w:rsid w:val="00676B53"/>
    <w:rsid w:val="006849CE"/>
    <w:rsid w:val="00686268"/>
    <w:rsid w:val="0068688B"/>
    <w:rsid w:val="00686BE5"/>
    <w:rsid w:val="00690267"/>
    <w:rsid w:val="00690D6A"/>
    <w:rsid w:val="0069124D"/>
    <w:rsid w:val="00693B05"/>
    <w:rsid w:val="0069482D"/>
    <w:rsid w:val="00697FA3"/>
    <w:rsid w:val="006A367B"/>
    <w:rsid w:val="006A5AB2"/>
    <w:rsid w:val="006B227B"/>
    <w:rsid w:val="006B372C"/>
    <w:rsid w:val="006B3907"/>
    <w:rsid w:val="006B542D"/>
    <w:rsid w:val="006B5876"/>
    <w:rsid w:val="006B5BCA"/>
    <w:rsid w:val="006B7ECF"/>
    <w:rsid w:val="006C1046"/>
    <w:rsid w:val="006C1CE5"/>
    <w:rsid w:val="006C1F5F"/>
    <w:rsid w:val="006C236E"/>
    <w:rsid w:val="006C2F49"/>
    <w:rsid w:val="006C6044"/>
    <w:rsid w:val="006D00F7"/>
    <w:rsid w:val="006D07C1"/>
    <w:rsid w:val="006D1DA4"/>
    <w:rsid w:val="006D4F9E"/>
    <w:rsid w:val="006D660C"/>
    <w:rsid w:val="006D74E4"/>
    <w:rsid w:val="006D7B16"/>
    <w:rsid w:val="006E3BC2"/>
    <w:rsid w:val="006E641F"/>
    <w:rsid w:val="006E6ADA"/>
    <w:rsid w:val="006E7182"/>
    <w:rsid w:val="006E7ABB"/>
    <w:rsid w:val="006F1239"/>
    <w:rsid w:val="006F1671"/>
    <w:rsid w:val="006F272A"/>
    <w:rsid w:val="006F4CE7"/>
    <w:rsid w:val="006F54DD"/>
    <w:rsid w:val="006F79E5"/>
    <w:rsid w:val="006F7C3E"/>
    <w:rsid w:val="0070084C"/>
    <w:rsid w:val="007015BA"/>
    <w:rsid w:val="007037A0"/>
    <w:rsid w:val="00703D21"/>
    <w:rsid w:val="0070572F"/>
    <w:rsid w:val="00705BE1"/>
    <w:rsid w:val="00706F51"/>
    <w:rsid w:val="007073DD"/>
    <w:rsid w:val="0071079A"/>
    <w:rsid w:val="00711F53"/>
    <w:rsid w:val="00713934"/>
    <w:rsid w:val="00715528"/>
    <w:rsid w:val="00716C34"/>
    <w:rsid w:val="00720108"/>
    <w:rsid w:val="007208DD"/>
    <w:rsid w:val="007211AE"/>
    <w:rsid w:val="007218E4"/>
    <w:rsid w:val="00721B01"/>
    <w:rsid w:val="007222D6"/>
    <w:rsid w:val="00722D97"/>
    <w:rsid w:val="0072357C"/>
    <w:rsid w:val="00725843"/>
    <w:rsid w:val="007302BF"/>
    <w:rsid w:val="007310A6"/>
    <w:rsid w:val="00731347"/>
    <w:rsid w:val="00731371"/>
    <w:rsid w:val="007328F3"/>
    <w:rsid w:val="00733D32"/>
    <w:rsid w:val="00735D06"/>
    <w:rsid w:val="00736097"/>
    <w:rsid w:val="00736311"/>
    <w:rsid w:val="00736B45"/>
    <w:rsid w:val="0073708B"/>
    <w:rsid w:val="0074139E"/>
    <w:rsid w:val="0074190E"/>
    <w:rsid w:val="00743AB9"/>
    <w:rsid w:val="00746F26"/>
    <w:rsid w:val="007519E8"/>
    <w:rsid w:val="007520AC"/>
    <w:rsid w:val="0075253D"/>
    <w:rsid w:val="007528AA"/>
    <w:rsid w:val="00757A2A"/>
    <w:rsid w:val="00765079"/>
    <w:rsid w:val="00767563"/>
    <w:rsid w:val="00771526"/>
    <w:rsid w:val="007720F0"/>
    <w:rsid w:val="00772E64"/>
    <w:rsid w:val="0077371E"/>
    <w:rsid w:val="007754B6"/>
    <w:rsid w:val="007832A4"/>
    <w:rsid w:val="00790382"/>
    <w:rsid w:val="00794299"/>
    <w:rsid w:val="00794A9D"/>
    <w:rsid w:val="007963BB"/>
    <w:rsid w:val="00796920"/>
    <w:rsid w:val="007A01B4"/>
    <w:rsid w:val="007A10A1"/>
    <w:rsid w:val="007A11D6"/>
    <w:rsid w:val="007A5489"/>
    <w:rsid w:val="007A5491"/>
    <w:rsid w:val="007A54B1"/>
    <w:rsid w:val="007A7BD3"/>
    <w:rsid w:val="007B2C92"/>
    <w:rsid w:val="007B2F6A"/>
    <w:rsid w:val="007B47EF"/>
    <w:rsid w:val="007B4FBB"/>
    <w:rsid w:val="007C12F9"/>
    <w:rsid w:val="007C257D"/>
    <w:rsid w:val="007C2A78"/>
    <w:rsid w:val="007C2E47"/>
    <w:rsid w:val="007C342C"/>
    <w:rsid w:val="007C47E3"/>
    <w:rsid w:val="007C51D3"/>
    <w:rsid w:val="007C538F"/>
    <w:rsid w:val="007C7898"/>
    <w:rsid w:val="007C792D"/>
    <w:rsid w:val="007D03F1"/>
    <w:rsid w:val="007D1C96"/>
    <w:rsid w:val="007D5669"/>
    <w:rsid w:val="007D59E4"/>
    <w:rsid w:val="007D74D4"/>
    <w:rsid w:val="007E2BB1"/>
    <w:rsid w:val="007E7880"/>
    <w:rsid w:val="007F074F"/>
    <w:rsid w:val="007F208B"/>
    <w:rsid w:val="007F4A87"/>
    <w:rsid w:val="007F6117"/>
    <w:rsid w:val="0080020F"/>
    <w:rsid w:val="00800813"/>
    <w:rsid w:val="00805A42"/>
    <w:rsid w:val="00807540"/>
    <w:rsid w:val="008078FF"/>
    <w:rsid w:val="00810D5A"/>
    <w:rsid w:val="00811387"/>
    <w:rsid w:val="0081205B"/>
    <w:rsid w:val="00817AD8"/>
    <w:rsid w:val="00820809"/>
    <w:rsid w:val="00821DB9"/>
    <w:rsid w:val="00822DFF"/>
    <w:rsid w:val="008267EF"/>
    <w:rsid w:val="00826B46"/>
    <w:rsid w:val="00830A29"/>
    <w:rsid w:val="0083144C"/>
    <w:rsid w:val="00831C7B"/>
    <w:rsid w:val="0083258F"/>
    <w:rsid w:val="00832FCB"/>
    <w:rsid w:val="00834677"/>
    <w:rsid w:val="008363BE"/>
    <w:rsid w:val="008405E1"/>
    <w:rsid w:val="00842E54"/>
    <w:rsid w:val="00844AEE"/>
    <w:rsid w:val="008473DC"/>
    <w:rsid w:val="0085105E"/>
    <w:rsid w:val="0085518F"/>
    <w:rsid w:val="008565C8"/>
    <w:rsid w:val="00860F4E"/>
    <w:rsid w:val="008625B0"/>
    <w:rsid w:val="00862BDD"/>
    <w:rsid w:val="008641DC"/>
    <w:rsid w:val="00864605"/>
    <w:rsid w:val="008714D3"/>
    <w:rsid w:val="00871AE8"/>
    <w:rsid w:val="00872594"/>
    <w:rsid w:val="00873386"/>
    <w:rsid w:val="00875FE3"/>
    <w:rsid w:val="00880866"/>
    <w:rsid w:val="0088090E"/>
    <w:rsid w:val="00880A7A"/>
    <w:rsid w:val="00884423"/>
    <w:rsid w:val="00884F47"/>
    <w:rsid w:val="00887816"/>
    <w:rsid w:val="0089012F"/>
    <w:rsid w:val="00894975"/>
    <w:rsid w:val="00894F34"/>
    <w:rsid w:val="00896A8F"/>
    <w:rsid w:val="00897194"/>
    <w:rsid w:val="008A0283"/>
    <w:rsid w:val="008A035D"/>
    <w:rsid w:val="008A03ED"/>
    <w:rsid w:val="008A4CB2"/>
    <w:rsid w:val="008A663D"/>
    <w:rsid w:val="008A72AE"/>
    <w:rsid w:val="008B167C"/>
    <w:rsid w:val="008B1EEE"/>
    <w:rsid w:val="008B38EE"/>
    <w:rsid w:val="008B64AE"/>
    <w:rsid w:val="008B69DD"/>
    <w:rsid w:val="008C34A6"/>
    <w:rsid w:val="008C3ACB"/>
    <w:rsid w:val="008C59E9"/>
    <w:rsid w:val="008D280D"/>
    <w:rsid w:val="008D3503"/>
    <w:rsid w:val="008D5AC4"/>
    <w:rsid w:val="008E007A"/>
    <w:rsid w:val="008E02A2"/>
    <w:rsid w:val="008E0D74"/>
    <w:rsid w:val="008E25A9"/>
    <w:rsid w:val="008E41EC"/>
    <w:rsid w:val="008E515C"/>
    <w:rsid w:val="008E7341"/>
    <w:rsid w:val="008E742A"/>
    <w:rsid w:val="008F4140"/>
    <w:rsid w:val="008F71BC"/>
    <w:rsid w:val="008F7B84"/>
    <w:rsid w:val="008F7FD2"/>
    <w:rsid w:val="008F7FFA"/>
    <w:rsid w:val="00902083"/>
    <w:rsid w:val="0090293D"/>
    <w:rsid w:val="009029FB"/>
    <w:rsid w:val="00903559"/>
    <w:rsid w:val="00905700"/>
    <w:rsid w:val="00907518"/>
    <w:rsid w:val="00911864"/>
    <w:rsid w:val="0091262E"/>
    <w:rsid w:val="0091279C"/>
    <w:rsid w:val="009148D0"/>
    <w:rsid w:val="009164E6"/>
    <w:rsid w:val="00920EEA"/>
    <w:rsid w:val="00923026"/>
    <w:rsid w:val="009236FA"/>
    <w:rsid w:val="00924939"/>
    <w:rsid w:val="00925853"/>
    <w:rsid w:val="009271DD"/>
    <w:rsid w:val="00930360"/>
    <w:rsid w:val="00930B05"/>
    <w:rsid w:val="00930BCD"/>
    <w:rsid w:val="00931333"/>
    <w:rsid w:val="009316A2"/>
    <w:rsid w:val="00933F29"/>
    <w:rsid w:val="0093517E"/>
    <w:rsid w:val="00935B0B"/>
    <w:rsid w:val="00936587"/>
    <w:rsid w:val="0094285C"/>
    <w:rsid w:val="00943CC7"/>
    <w:rsid w:val="00944D7D"/>
    <w:rsid w:val="0094632E"/>
    <w:rsid w:val="00947447"/>
    <w:rsid w:val="00947B07"/>
    <w:rsid w:val="00950C0F"/>
    <w:rsid w:val="00950DFF"/>
    <w:rsid w:val="00952E92"/>
    <w:rsid w:val="00953276"/>
    <w:rsid w:val="009532BA"/>
    <w:rsid w:val="00955386"/>
    <w:rsid w:val="0095692F"/>
    <w:rsid w:val="00960283"/>
    <w:rsid w:val="009619F5"/>
    <w:rsid w:val="0096544C"/>
    <w:rsid w:val="00971125"/>
    <w:rsid w:val="00971F4D"/>
    <w:rsid w:val="00973160"/>
    <w:rsid w:val="00973817"/>
    <w:rsid w:val="00973C36"/>
    <w:rsid w:val="00973EE5"/>
    <w:rsid w:val="00974787"/>
    <w:rsid w:val="009759CC"/>
    <w:rsid w:val="0097646C"/>
    <w:rsid w:val="00981777"/>
    <w:rsid w:val="0098294D"/>
    <w:rsid w:val="00985553"/>
    <w:rsid w:val="00987239"/>
    <w:rsid w:val="00990166"/>
    <w:rsid w:val="009916A5"/>
    <w:rsid w:val="00993C31"/>
    <w:rsid w:val="00993C3C"/>
    <w:rsid w:val="00994DA8"/>
    <w:rsid w:val="00997D43"/>
    <w:rsid w:val="009A1073"/>
    <w:rsid w:val="009A1DFD"/>
    <w:rsid w:val="009A58CF"/>
    <w:rsid w:val="009A6164"/>
    <w:rsid w:val="009A6B37"/>
    <w:rsid w:val="009B0BD9"/>
    <w:rsid w:val="009B423D"/>
    <w:rsid w:val="009B5416"/>
    <w:rsid w:val="009B5E43"/>
    <w:rsid w:val="009C0240"/>
    <w:rsid w:val="009C1D87"/>
    <w:rsid w:val="009C3B5E"/>
    <w:rsid w:val="009C691D"/>
    <w:rsid w:val="009D077D"/>
    <w:rsid w:val="009D0E36"/>
    <w:rsid w:val="009D1726"/>
    <w:rsid w:val="009D3DCE"/>
    <w:rsid w:val="009D407B"/>
    <w:rsid w:val="009D44A1"/>
    <w:rsid w:val="009E3919"/>
    <w:rsid w:val="009E4293"/>
    <w:rsid w:val="009F018A"/>
    <w:rsid w:val="009F0F32"/>
    <w:rsid w:val="009F3EDD"/>
    <w:rsid w:val="009F60AD"/>
    <w:rsid w:val="009F60F5"/>
    <w:rsid w:val="00A02637"/>
    <w:rsid w:val="00A05774"/>
    <w:rsid w:val="00A06B1F"/>
    <w:rsid w:val="00A110CD"/>
    <w:rsid w:val="00A13AF7"/>
    <w:rsid w:val="00A13F7E"/>
    <w:rsid w:val="00A140E7"/>
    <w:rsid w:val="00A155B5"/>
    <w:rsid w:val="00A16892"/>
    <w:rsid w:val="00A1799A"/>
    <w:rsid w:val="00A2100B"/>
    <w:rsid w:val="00A21B6D"/>
    <w:rsid w:val="00A2336F"/>
    <w:rsid w:val="00A23722"/>
    <w:rsid w:val="00A2410D"/>
    <w:rsid w:val="00A243AA"/>
    <w:rsid w:val="00A243CD"/>
    <w:rsid w:val="00A2613E"/>
    <w:rsid w:val="00A27532"/>
    <w:rsid w:val="00A27A42"/>
    <w:rsid w:val="00A303BE"/>
    <w:rsid w:val="00A314B4"/>
    <w:rsid w:val="00A31DB7"/>
    <w:rsid w:val="00A3262D"/>
    <w:rsid w:val="00A32C12"/>
    <w:rsid w:val="00A339AC"/>
    <w:rsid w:val="00A34D8E"/>
    <w:rsid w:val="00A35AAF"/>
    <w:rsid w:val="00A36237"/>
    <w:rsid w:val="00A36F12"/>
    <w:rsid w:val="00A370F1"/>
    <w:rsid w:val="00A37CD3"/>
    <w:rsid w:val="00A40357"/>
    <w:rsid w:val="00A421DB"/>
    <w:rsid w:val="00A4380B"/>
    <w:rsid w:val="00A4382C"/>
    <w:rsid w:val="00A4415C"/>
    <w:rsid w:val="00A441A2"/>
    <w:rsid w:val="00A44890"/>
    <w:rsid w:val="00A4513B"/>
    <w:rsid w:val="00A466F9"/>
    <w:rsid w:val="00A467B8"/>
    <w:rsid w:val="00A47200"/>
    <w:rsid w:val="00A47AF7"/>
    <w:rsid w:val="00A50D6E"/>
    <w:rsid w:val="00A52513"/>
    <w:rsid w:val="00A5256C"/>
    <w:rsid w:val="00A527AA"/>
    <w:rsid w:val="00A545D6"/>
    <w:rsid w:val="00A57FED"/>
    <w:rsid w:val="00A6078B"/>
    <w:rsid w:val="00A61CA2"/>
    <w:rsid w:val="00A624C9"/>
    <w:rsid w:val="00A63CEC"/>
    <w:rsid w:val="00A65F25"/>
    <w:rsid w:val="00A663DD"/>
    <w:rsid w:val="00A678B6"/>
    <w:rsid w:val="00A73213"/>
    <w:rsid w:val="00A74572"/>
    <w:rsid w:val="00A74EE8"/>
    <w:rsid w:val="00A768BE"/>
    <w:rsid w:val="00A77D00"/>
    <w:rsid w:val="00A804F9"/>
    <w:rsid w:val="00A80E21"/>
    <w:rsid w:val="00A826CA"/>
    <w:rsid w:val="00A829F8"/>
    <w:rsid w:val="00A82EED"/>
    <w:rsid w:val="00A834A0"/>
    <w:rsid w:val="00A865D9"/>
    <w:rsid w:val="00A86E6B"/>
    <w:rsid w:val="00A86ECA"/>
    <w:rsid w:val="00A91962"/>
    <w:rsid w:val="00A9321F"/>
    <w:rsid w:val="00A94134"/>
    <w:rsid w:val="00A94F3C"/>
    <w:rsid w:val="00A956E1"/>
    <w:rsid w:val="00AA02BC"/>
    <w:rsid w:val="00AA1A4E"/>
    <w:rsid w:val="00AA2F67"/>
    <w:rsid w:val="00AA2FDD"/>
    <w:rsid w:val="00AA43B2"/>
    <w:rsid w:val="00AB108F"/>
    <w:rsid w:val="00AB4A58"/>
    <w:rsid w:val="00AB5FF6"/>
    <w:rsid w:val="00AB68D6"/>
    <w:rsid w:val="00AC05FC"/>
    <w:rsid w:val="00AC239E"/>
    <w:rsid w:val="00AC35CC"/>
    <w:rsid w:val="00AC3F37"/>
    <w:rsid w:val="00AC4226"/>
    <w:rsid w:val="00AC4BC6"/>
    <w:rsid w:val="00AC7FD7"/>
    <w:rsid w:val="00AD0559"/>
    <w:rsid w:val="00AD28BB"/>
    <w:rsid w:val="00AD29FB"/>
    <w:rsid w:val="00AD5246"/>
    <w:rsid w:val="00AD55D6"/>
    <w:rsid w:val="00AD7752"/>
    <w:rsid w:val="00AD7C47"/>
    <w:rsid w:val="00AE1723"/>
    <w:rsid w:val="00AE2CEB"/>
    <w:rsid w:val="00AE423F"/>
    <w:rsid w:val="00AE6CF0"/>
    <w:rsid w:val="00AF1477"/>
    <w:rsid w:val="00AF2437"/>
    <w:rsid w:val="00AF2A88"/>
    <w:rsid w:val="00AF4152"/>
    <w:rsid w:val="00AF4564"/>
    <w:rsid w:val="00AF5DB7"/>
    <w:rsid w:val="00B01371"/>
    <w:rsid w:val="00B04E38"/>
    <w:rsid w:val="00B06878"/>
    <w:rsid w:val="00B1395E"/>
    <w:rsid w:val="00B1425E"/>
    <w:rsid w:val="00B17C4A"/>
    <w:rsid w:val="00B20ABD"/>
    <w:rsid w:val="00B20EFD"/>
    <w:rsid w:val="00B21018"/>
    <w:rsid w:val="00B24C18"/>
    <w:rsid w:val="00B24E04"/>
    <w:rsid w:val="00B25A2F"/>
    <w:rsid w:val="00B26FD3"/>
    <w:rsid w:val="00B3034F"/>
    <w:rsid w:val="00B3444B"/>
    <w:rsid w:val="00B37BBC"/>
    <w:rsid w:val="00B407CD"/>
    <w:rsid w:val="00B40A97"/>
    <w:rsid w:val="00B4125F"/>
    <w:rsid w:val="00B417C8"/>
    <w:rsid w:val="00B4205B"/>
    <w:rsid w:val="00B436D9"/>
    <w:rsid w:val="00B45551"/>
    <w:rsid w:val="00B45600"/>
    <w:rsid w:val="00B45BCE"/>
    <w:rsid w:val="00B469D8"/>
    <w:rsid w:val="00B47865"/>
    <w:rsid w:val="00B5060D"/>
    <w:rsid w:val="00B511C4"/>
    <w:rsid w:val="00B523A8"/>
    <w:rsid w:val="00B54144"/>
    <w:rsid w:val="00B5660B"/>
    <w:rsid w:val="00B6158D"/>
    <w:rsid w:val="00B635D0"/>
    <w:rsid w:val="00B6636F"/>
    <w:rsid w:val="00B6663F"/>
    <w:rsid w:val="00B6667B"/>
    <w:rsid w:val="00B708F7"/>
    <w:rsid w:val="00B70A3A"/>
    <w:rsid w:val="00B720D6"/>
    <w:rsid w:val="00B83D1D"/>
    <w:rsid w:val="00B85FF6"/>
    <w:rsid w:val="00B876A0"/>
    <w:rsid w:val="00B9001E"/>
    <w:rsid w:val="00B944C5"/>
    <w:rsid w:val="00B94E92"/>
    <w:rsid w:val="00B96266"/>
    <w:rsid w:val="00B9649C"/>
    <w:rsid w:val="00B96B1B"/>
    <w:rsid w:val="00B96B5E"/>
    <w:rsid w:val="00B96B96"/>
    <w:rsid w:val="00B97D0A"/>
    <w:rsid w:val="00BA190C"/>
    <w:rsid w:val="00BA1F4C"/>
    <w:rsid w:val="00BA2F7B"/>
    <w:rsid w:val="00BA39FC"/>
    <w:rsid w:val="00BA6040"/>
    <w:rsid w:val="00BA6FA3"/>
    <w:rsid w:val="00BB06EB"/>
    <w:rsid w:val="00BB241A"/>
    <w:rsid w:val="00BB2424"/>
    <w:rsid w:val="00BB2864"/>
    <w:rsid w:val="00BB2A01"/>
    <w:rsid w:val="00BB30F4"/>
    <w:rsid w:val="00BC1879"/>
    <w:rsid w:val="00BC2F8A"/>
    <w:rsid w:val="00BC5B97"/>
    <w:rsid w:val="00BC7009"/>
    <w:rsid w:val="00BC7664"/>
    <w:rsid w:val="00BC790D"/>
    <w:rsid w:val="00BC7CB0"/>
    <w:rsid w:val="00BD1766"/>
    <w:rsid w:val="00BD452D"/>
    <w:rsid w:val="00BD7FE2"/>
    <w:rsid w:val="00BE05E3"/>
    <w:rsid w:val="00BE1A18"/>
    <w:rsid w:val="00BE3ADB"/>
    <w:rsid w:val="00BE4A78"/>
    <w:rsid w:val="00BF0A3D"/>
    <w:rsid w:val="00BF3151"/>
    <w:rsid w:val="00BF3A18"/>
    <w:rsid w:val="00BF408B"/>
    <w:rsid w:val="00BF59D0"/>
    <w:rsid w:val="00C11C42"/>
    <w:rsid w:val="00C169C6"/>
    <w:rsid w:val="00C17C2B"/>
    <w:rsid w:val="00C20056"/>
    <w:rsid w:val="00C219E3"/>
    <w:rsid w:val="00C249B3"/>
    <w:rsid w:val="00C25050"/>
    <w:rsid w:val="00C2561D"/>
    <w:rsid w:val="00C27BE9"/>
    <w:rsid w:val="00C31DEF"/>
    <w:rsid w:val="00C32994"/>
    <w:rsid w:val="00C33E02"/>
    <w:rsid w:val="00C3430C"/>
    <w:rsid w:val="00C34949"/>
    <w:rsid w:val="00C34B4C"/>
    <w:rsid w:val="00C365E7"/>
    <w:rsid w:val="00C40139"/>
    <w:rsid w:val="00C4168A"/>
    <w:rsid w:val="00C41B9A"/>
    <w:rsid w:val="00C43E08"/>
    <w:rsid w:val="00C449B9"/>
    <w:rsid w:val="00C44B51"/>
    <w:rsid w:val="00C50550"/>
    <w:rsid w:val="00C51184"/>
    <w:rsid w:val="00C524D8"/>
    <w:rsid w:val="00C56C41"/>
    <w:rsid w:val="00C56D2A"/>
    <w:rsid w:val="00C57117"/>
    <w:rsid w:val="00C575B0"/>
    <w:rsid w:val="00C602A0"/>
    <w:rsid w:val="00C60D6E"/>
    <w:rsid w:val="00C62D73"/>
    <w:rsid w:val="00C6467F"/>
    <w:rsid w:val="00C65E55"/>
    <w:rsid w:val="00C6665F"/>
    <w:rsid w:val="00C67229"/>
    <w:rsid w:val="00C706E2"/>
    <w:rsid w:val="00C71BF6"/>
    <w:rsid w:val="00C723CB"/>
    <w:rsid w:val="00C72D93"/>
    <w:rsid w:val="00C74436"/>
    <w:rsid w:val="00C81E25"/>
    <w:rsid w:val="00C8271E"/>
    <w:rsid w:val="00C83452"/>
    <w:rsid w:val="00C851DC"/>
    <w:rsid w:val="00C85FDD"/>
    <w:rsid w:val="00C86934"/>
    <w:rsid w:val="00C90099"/>
    <w:rsid w:val="00C922A0"/>
    <w:rsid w:val="00C93C6B"/>
    <w:rsid w:val="00C958FF"/>
    <w:rsid w:val="00C95C39"/>
    <w:rsid w:val="00C96FF7"/>
    <w:rsid w:val="00C97A98"/>
    <w:rsid w:val="00C97B7A"/>
    <w:rsid w:val="00CA0651"/>
    <w:rsid w:val="00CA09CA"/>
    <w:rsid w:val="00CA24FE"/>
    <w:rsid w:val="00CA3661"/>
    <w:rsid w:val="00CA3828"/>
    <w:rsid w:val="00CA61C9"/>
    <w:rsid w:val="00CA7A04"/>
    <w:rsid w:val="00CB079B"/>
    <w:rsid w:val="00CB1744"/>
    <w:rsid w:val="00CB1885"/>
    <w:rsid w:val="00CB298C"/>
    <w:rsid w:val="00CB55E4"/>
    <w:rsid w:val="00CB577A"/>
    <w:rsid w:val="00CB610F"/>
    <w:rsid w:val="00CB71ED"/>
    <w:rsid w:val="00CB731D"/>
    <w:rsid w:val="00CC4376"/>
    <w:rsid w:val="00CC43BA"/>
    <w:rsid w:val="00CC4942"/>
    <w:rsid w:val="00CC5814"/>
    <w:rsid w:val="00CC5FB3"/>
    <w:rsid w:val="00CC66D4"/>
    <w:rsid w:val="00CC6B9E"/>
    <w:rsid w:val="00CC7058"/>
    <w:rsid w:val="00CD2094"/>
    <w:rsid w:val="00CD25FB"/>
    <w:rsid w:val="00CD3038"/>
    <w:rsid w:val="00CD5264"/>
    <w:rsid w:val="00CD55C2"/>
    <w:rsid w:val="00CD5777"/>
    <w:rsid w:val="00CD7C92"/>
    <w:rsid w:val="00CE1073"/>
    <w:rsid w:val="00CE1DC1"/>
    <w:rsid w:val="00CE2057"/>
    <w:rsid w:val="00CE416E"/>
    <w:rsid w:val="00CE6ED7"/>
    <w:rsid w:val="00CF3BD5"/>
    <w:rsid w:val="00CF4EF6"/>
    <w:rsid w:val="00CF53CC"/>
    <w:rsid w:val="00CF68A9"/>
    <w:rsid w:val="00D001A3"/>
    <w:rsid w:val="00D01563"/>
    <w:rsid w:val="00D016D8"/>
    <w:rsid w:val="00D0220B"/>
    <w:rsid w:val="00D03C70"/>
    <w:rsid w:val="00D045E3"/>
    <w:rsid w:val="00D1187B"/>
    <w:rsid w:val="00D13BA5"/>
    <w:rsid w:val="00D13CB1"/>
    <w:rsid w:val="00D14F87"/>
    <w:rsid w:val="00D16218"/>
    <w:rsid w:val="00D16A1F"/>
    <w:rsid w:val="00D16BF5"/>
    <w:rsid w:val="00D17B87"/>
    <w:rsid w:val="00D20333"/>
    <w:rsid w:val="00D20D19"/>
    <w:rsid w:val="00D227B6"/>
    <w:rsid w:val="00D243FB"/>
    <w:rsid w:val="00D27E58"/>
    <w:rsid w:val="00D30561"/>
    <w:rsid w:val="00D31393"/>
    <w:rsid w:val="00D31E75"/>
    <w:rsid w:val="00D32E2A"/>
    <w:rsid w:val="00D33838"/>
    <w:rsid w:val="00D34F0D"/>
    <w:rsid w:val="00D35FD0"/>
    <w:rsid w:val="00D36592"/>
    <w:rsid w:val="00D426CF"/>
    <w:rsid w:val="00D43849"/>
    <w:rsid w:val="00D46337"/>
    <w:rsid w:val="00D465AE"/>
    <w:rsid w:val="00D50E47"/>
    <w:rsid w:val="00D51391"/>
    <w:rsid w:val="00D517CB"/>
    <w:rsid w:val="00D5241D"/>
    <w:rsid w:val="00D52C6A"/>
    <w:rsid w:val="00D5302E"/>
    <w:rsid w:val="00D57085"/>
    <w:rsid w:val="00D57C74"/>
    <w:rsid w:val="00D60DB9"/>
    <w:rsid w:val="00D61261"/>
    <w:rsid w:val="00D6395F"/>
    <w:rsid w:val="00D65748"/>
    <w:rsid w:val="00D674E3"/>
    <w:rsid w:val="00D67C08"/>
    <w:rsid w:val="00D701D6"/>
    <w:rsid w:val="00D71CF0"/>
    <w:rsid w:val="00D72673"/>
    <w:rsid w:val="00D746DC"/>
    <w:rsid w:val="00D75240"/>
    <w:rsid w:val="00D75731"/>
    <w:rsid w:val="00D77EE4"/>
    <w:rsid w:val="00D80AD5"/>
    <w:rsid w:val="00D863C8"/>
    <w:rsid w:val="00D8667D"/>
    <w:rsid w:val="00D867FB"/>
    <w:rsid w:val="00D87833"/>
    <w:rsid w:val="00D87E7B"/>
    <w:rsid w:val="00D87F88"/>
    <w:rsid w:val="00D9127D"/>
    <w:rsid w:val="00D9269D"/>
    <w:rsid w:val="00D926F2"/>
    <w:rsid w:val="00DA0964"/>
    <w:rsid w:val="00DA1335"/>
    <w:rsid w:val="00DA16BB"/>
    <w:rsid w:val="00DA3F34"/>
    <w:rsid w:val="00DA43AC"/>
    <w:rsid w:val="00DA49D1"/>
    <w:rsid w:val="00DA4B91"/>
    <w:rsid w:val="00DA521A"/>
    <w:rsid w:val="00DA528D"/>
    <w:rsid w:val="00DA5421"/>
    <w:rsid w:val="00DB2279"/>
    <w:rsid w:val="00DB3B0A"/>
    <w:rsid w:val="00DB40BB"/>
    <w:rsid w:val="00DB4E3E"/>
    <w:rsid w:val="00DB59BB"/>
    <w:rsid w:val="00DC047B"/>
    <w:rsid w:val="00DC07FF"/>
    <w:rsid w:val="00DC0FED"/>
    <w:rsid w:val="00DC3AAC"/>
    <w:rsid w:val="00DC4449"/>
    <w:rsid w:val="00DC44F4"/>
    <w:rsid w:val="00DC4C04"/>
    <w:rsid w:val="00DC68F8"/>
    <w:rsid w:val="00DD1970"/>
    <w:rsid w:val="00DD2F67"/>
    <w:rsid w:val="00DD4F95"/>
    <w:rsid w:val="00DE0A4C"/>
    <w:rsid w:val="00DE1773"/>
    <w:rsid w:val="00DE2FD3"/>
    <w:rsid w:val="00DE5B3B"/>
    <w:rsid w:val="00DE5F8E"/>
    <w:rsid w:val="00DE6B6D"/>
    <w:rsid w:val="00DE71C6"/>
    <w:rsid w:val="00DF0525"/>
    <w:rsid w:val="00DF08EE"/>
    <w:rsid w:val="00DF5E42"/>
    <w:rsid w:val="00DF6DCD"/>
    <w:rsid w:val="00DF6F29"/>
    <w:rsid w:val="00DF7502"/>
    <w:rsid w:val="00DF7A59"/>
    <w:rsid w:val="00DF7BE7"/>
    <w:rsid w:val="00E027B2"/>
    <w:rsid w:val="00E02C6E"/>
    <w:rsid w:val="00E05013"/>
    <w:rsid w:val="00E106CB"/>
    <w:rsid w:val="00E1113F"/>
    <w:rsid w:val="00E11187"/>
    <w:rsid w:val="00E11EDB"/>
    <w:rsid w:val="00E12C52"/>
    <w:rsid w:val="00E13A00"/>
    <w:rsid w:val="00E14428"/>
    <w:rsid w:val="00E157B3"/>
    <w:rsid w:val="00E210A3"/>
    <w:rsid w:val="00E21CC7"/>
    <w:rsid w:val="00E22807"/>
    <w:rsid w:val="00E262D6"/>
    <w:rsid w:val="00E2682C"/>
    <w:rsid w:val="00E26EED"/>
    <w:rsid w:val="00E30568"/>
    <w:rsid w:val="00E30ABB"/>
    <w:rsid w:val="00E31B54"/>
    <w:rsid w:val="00E31F21"/>
    <w:rsid w:val="00E335C1"/>
    <w:rsid w:val="00E33B33"/>
    <w:rsid w:val="00E407D6"/>
    <w:rsid w:val="00E471D3"/>
    <w:rsid w:val="00E47A79"/>
    <w:rsid w:val="00E52152"/>
    <w:rsid w:val="00E55556"/>
    <w:rsid w:val="00E55A89"/>
    <w:rsid w:val="00E605E6"/>
    <w:rsid w:val="00E63DB6"/>
    <w:rsid w:val="00E65798"/>
    <w:rsid w:val="00E65A19"/>
    <w:rsid w:val="00E67D1C"/>
    <w:rsid w:val="00E74BD6"/>
    <w:rsid w:val="00E761C4"/>
    <w:rsid w:val="00E768B4"/>
    <w:rsid w:val="00E77E38"/>
    <w:rsid w:val="00E77E98"/>
    <w:rsid w:val="00E800BA"/>
    <w:rsid w:val="00E81121"/>
    <w:rsid w:val="00E814C5"/>
    <w:rsid w:val="00E827DF"/>
    <w:rsid w:val="00E82CC2"/>
    <w:rsid w:val="00E837D2"/>
    <w:rsid w:val="00E847FA"/>
    <w:rsid w:val="00E84869"/>
    <w:rsid w:val="00E85DFD"/>
    <w:rsid w:val="00E864C2"/>
    <w:rsid w:val="00E86D85"/>
    <w:rsid w:val="00E87942"/>
    <w:rsid w:val="00E927AE"/>
    <w:rsid w:val="00E9407C"/>
    <w:rsid w:val="00E96F38"/>
    <w:rsid w:val="00E97D11"/>
    <w:rsid w:val="00EA0DA7"/>
    <w:rsid w:val="00EA3447"/>
    <w:rsid w:val="00EA50C8"/>
    <w:rsid w:val="00EA5673"/>
    <w:rsid w:val="00EA6CD8"/>
    <w:rsid w:val="00EA778D"/>
    <w:rsid w:val="00EB048B"/>
    <w:rsid w:val="00EB2067"/>
    <w:rsid w:val="00EB328E"/>
    <w:rsid w:val="00EB3453"/>
    <w:rsid w:val="00EB553E"/>
    <w:rsid w:val="00EC0374"/>
    <w:rsid w:val="00EC0F7A"/>
    <w:rsid w:val="00EC15C1"/>
    <w:rsid w:val="00EC2662"/>
    <w:rsid w:val="00EC40DE"/>
    <w:rsid w:val="00EC53CE"/>
    <w:rsid w:val="00EC6333"/>
    <w:rsid w:val="00ED0A91"/>
    <w:rsid w:val="00ED128E"/>
    <w:rsid w:val="00ED1B93"/>
    <w:rsid w:val="00ED1F45"/>
    <w:rsid w:val="00ED2168"/>
    <w:rsid w:val="00ED2D00"/>
    <w:rsid w:val="00ED4133"/>
    <w:rsid w:val="00ED4679"/>
    <w:rsid w:val="00EE1288"/>
    <w:rsid w:val="00EE2521"/>
    <w:rsid w:val="00EE44E9"/>
    <w:rsid w:val="00EE51B8"/>
    <w:rsid w:val="00EE642C"/>
    <w:rsid w:val="00EE6695"/>
    <w:rsid w:val="00EF095B"/>
    <w:rsid w:val="00EF1FB8"/>
    <w:rsid w:val="00EF6FD9"/>
    <w:rsid w:val="00EF72DB"/>
    <w:rsid w:val="00EF73AC"/>
    <w:rsid w:val="00EF773C"/>
    <w:rsid w:val="00F015E8"/>
    <w:rsid w:val="00F02C4D"/>
    <w:rsid w:val="00F037C9"/>
    <w:rsid w:val="00F04F93"/>
    <w:rsid w:val="00F056BF"/>
    <w:rsid w:val="00F05CE8"/>
    <w:rsid w:val="00F06689"/>
    <w:rsid w:val="00F07494"/>
    <w:rsid w:val="00F07B2C"/>
    <w:rsid w:val="00F1089A"/>
    <w:rsid w:val="00F11F3D"/>
    <w:rsid w:val="00F1229A"/>
    <w:rsid w:val="00F1489A"/>
    <w:rsid w:val="00F14951"/>
    <w:rsid w:val="00F160B7"/>
    <w:rsid w:val="00F17A22"/>
    <w:rsid w:val="00F21B01"/>
    <w:rsid w:val="00F21E51"/>
    <w:rsid w:val="00F2230E"/>
    <w:rsid w:val="00F234F8"/>
    <w:rsid w:val="00F2696F"/>
    <w:rsid w:val="00F3554E"/>
    <w:rsid w:val="00F36C6A"/>
    <w:rsid w:val="00F37878"/>
    <w:rsid w:val="00F378E3"/>
    <w:rsid w:val="00F42B9C"/>
    <w:rsid w:val="00F43EBF"/>
    <w:rsid w:val="00F44569"/>
    <w:rsid w:val="00F4474D"/>
    <w:rsid w:val="00F46D98"/>
    <w:rsid w:val="00F47608"/>
    <w:rsid w:val="00F47C35"/>
    <w:rsid w:val="00F47CE2"/>
    <w:rsid w:val="00F522CD"/>
    <w:rsid w:val="00F5370E"/>
    <w:rsid w:val="00F53854"/>
    <w:rsid w:val="00F53BB2"/>
    <w:rsid w:val="00F55685"/>
    <w:rsid w:val="00F60167"/>
    <w:rsid w:val="00F639F6"/>
    <w:rsid w:val="00F647F6"/>
    <w:rsid w:val="00F65212"/>
    <w:rsid w:val="00F65673"/>
    <w:rsid w:val="00F67C70"/>
    <w:rsid w:val="00F701A0"/>
    <w:rsid w:val="00F7197E"/>
    <w:rsid w:val="00F72C81"/>
    <w:rsid w:val="00F7498D"/>
    <w:rsid w:val="00F77B20"/>
    <w:rsid w:val="00F8038E"/>
    <w:rsid w:val="00F8185A"/>
    <w:rsid w:val="00F82378"/>
    <w:rsid w:val="00F82BF8"/>
    <w:rsid w:val="00F82DAC"/>
    <w:rsid w:val="00F844B2"/>
    <w:rsid w:val="00F85A90"/>
    <w:rsid w:val="00F85C18"/>
    <w:rsid w:val="00F87A5C"/>
    <w:rsid w:val="00F938D7"/>
    <w:rsid w:val="00F9427E"/>
    <w:rsid w:val="00F95326"/>
    <w:rsid w:val="00F97A50"/>
    <w:rsid w:val="00FA021B"/>
    <w:rsid w:val="00FA0927"/>
    <w:rsid w:val="00FA164E"/>
    <w:rsid w:val="00FA2DA3"/>
    <w:rsid w:val="00FA3B9E"/>
    <w:rsid w:val="00FA5611"/>
    <w:rsid w:val="00FA5CEA"/>
    <w:rsid w:val="00FA6076"/>
    <w:rsid w:val="00FA733A"/>
    <w:rsid w:val="00FA7BE9"/>
    <w:rsid w:val="00FB1CCB"/>
    <w:rsid w:val="00FB1E71"/>
    <w:rsid w:val="00FB2D24"/>
    <w:rsid w:val="00FB5667"/>
    <w:rsid w:val="00FB67E3"/>
    <w:rsid w:val="00FB68B7"/>
    <w:rsid w:val="00FB698D"/>
    <w:rsid w:val="00FC2410"/>
    <w:rsid w:val="00FC2A76"/>
    <w:rsid w:val="00FC327D"/>
    <w:rsid w:val="00FC4E26"/>
    <w:rsid w:val="00FC523A"/>
    <w:rsid w:val="00FD341B"/>
    <w:rsid w:val="00FD3DFA"/>
    <w:rsid w:val="00FD5004"/>
    <w:rsid w:val="00FD646A"/>
    <w:rsid w:val="00FE23FA"/>
    <w:rsid w:val="00FE321F"/>
    <w:rsid w:val="00FE6846"/>
    <w:rsid w:val="00FE6C25"/>
    <w:rsid w:val="00FF0151"/>
    <w:rsid w:val="00FF08A8"/>
    <w:rsid w:val="00FF11AB"/>
    <w:rsid w:val="00FF275A"/>
    <w:rsid w:val="00FF2AE1"/>
    <w:rsid w:val="00FF51CA"/>
    <w:rsid w:val="00FF6258"/>
    <w:rsid w:val="00FF6B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117A9B"/>
    <w:rPr>
      <w:sz w:val="16"/>
      <w:szCs w:val="16"/>
    </w:rPr>
  </w:style>
  <w:style w:type="paragraph" w:styleId="CommentText">
    <w:name w:val="annotation text"/>
    <w:basedOn w:val="Normal"/>
    <w:link w:val="CommentTextChar"/>
    <w:uiPriority w:val="99"/>
    <w:semiHidden/>
    <w:unhideWhenUsed/>
    <w:rsid w:val="00117A9B"/>
    <w:pPr>
      <w:spacing w:line="240" w:lineRule="auto"/>
    </w:pPr>
    <w:rPr>
      <w:sz w:val="20"/>
      <w:szCs w:val="20"/>
    </w:rPr>
  </w:style>
  <w:style w:type="character" w:customStyle="1" w:styleId="CommentTextChar">
    <w:name w:val="Comment Text Char"/>
    <w:basedOn w:val="DefaultParagraphFont"/>
    <w:link w:val="CommentText"/>
    <w:uiPriority w:val="99"/>
    <w:semiHidden/>
    <w:rsid w:val="00117A9B"/>
    <w:rPr>
      <w:sz w:val="20"/>
      <w:szCs w:val="20"/>
    </w:rPr>
  </w:style>
  <w:style w:type="paragraph" w:styleId="CommentSubject">
    <w:name w:val="annotation subject"/>
    <w:basedOn w:val="CommentText"/>
    <w:next w:val="CommentText"/>
    <w:link w:val="CommentSubjectChar"/>
    <w:uiPriority w:val="99"/>
    <w:semiHidden/>
    <w:unhideWhenUsed/>
    <w:rsid w:val="00117A9B"/>
    <w:rPr>
      <w:b/>
      <w:bCs/>
    </w:rPr>
  </w:style>
  <w:style w:type="character" w:customStyle="1" w:styleId="CommentSubjectChar">
    <w:name w:val="Comment Subject Char"/>
    <w:basedOn w:val="CommentTextChar"/>
    <w:link w:val="CommentSubject"/>
    <w:uiPriority w:val="99"/>
    <w:semiHidden/>
    <w:rsid w:val="00117A9B"/>
    <w:rPr>
      <w:b/>
      <w:bCs/>
      <w:sz w:val="20"/>
      <w:szCs w:val="20"/>
    </w:rPr>
  </w:style>
  <w:style w:type="paragraph" w:styleId="Revision">
    <w:name w:val="Revision"/>
    <w:hidden/>
    <w:uiPriority w:val="99"/>
    <w:semiHidden/>
    <w:rsid w:val="005250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002464policy.data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2021-12-05T16:00:00+00:00</OurDocsDocumentDate>
    <OurDocsVersionCreatedAt xmlns="0c56a47d-469b-460c-81a1-345d54cdeeee">2021-12-06T03:58:11+00:00</OurDocsVersionCreatedAt>
    <OurDocsReleaseClassification xmlns="0c56a47d-469b-460c-81a1-345d54cdeeee">For Public Release</OurDocsReleaseClassification>
    <OurDocsTitle xmlns="0c56a47d-469b-460c-81a1-345d54cdeeee">WA LNG Profile - December 2021</OurDocsTitle>
    <OurDocsLocation xmlns="0c56a47d-469b-460c-81a1-345d54cdeeee">Perth</OurDocsLocation>
    <OurDocsDescription xmlns="0c56a47d-469b-460c-81a1-345d54cdeeee" xsi:nil="true"/>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0ADC5-CA70-492B-ADE4-CBBC617A269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c56a47d-469b-460c-81a1-345d54cdeeee"/>
    <ds:schemaRef ds:uri="http://www.w3.org/XML/1998/namespace"/>
    <ds:schemaRef ds:uri="http://purl.org/dc/dcmitype/"/>
  </ds:schemaRefs>
</ds:datastoreItem>
</file>

<file path=customXml/itemProps2.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3.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D28419BC-BB50-4F7B-B10F-0151DF64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2164</Words>
  <Characters>11386</Characters>
  <Application>Microsoft Office Word</Application>
  <DocSecurity>4</DocSecurity>
  <Lines>421</Lines>
  <Paragraphs>265</Paragraphs>
  <ScaleCrop>false</ScaleCrop>
  <HeadingPairs>
    <vt:vector size="2" baseType="variant">
      <vt:variant>
        <vt:lpstr>Title</vt:lpstr>
      </vt:variant>
      <vt:variant>
        <vt:i4>1</vt:i4>
      </vt:variant>
    </vt:vector>
  </HeadingPairs>
  <TitlesOfParts>
    <vt:vector size="1" baseType="lpstr">
      <vt:lpstr>WA LNG Profile - December 2021</vt:lpstr>
    </vt:vector>
  </TitlesOfParts>
  <Company>Department of Mines and Petroleum</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LNG Profile - December 2021</dc:title>
  <dc:subject/>
  <dc:creator>Mike Thomas</dc:creator>
  <cp:keywords/>
  <dc:description/>
  <cp:lastModifiedBy>THOMAS, Mike</cp:lastModifiedBy>
  <cp:revision>2</cp:revision>
  <cp:lastPrinted>2020-11-17T23:38:00Z</cp:lastPrinted>
  <dcterms:created xsi:type="dcterms:W3CDTF">2021-12-06T04:08:00Z</dcterms:created>
  <dcterms:modified xsi:type="dcterms:W3CDTF">2021-12-06T04:08:00Z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