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89D0C" w14:textId="77777777" w:rsidR="008F3B21" w:rsidRPr="00671AF7" w:rsidRDefault="008F3B21" w:rsidP="00671AF7">
      <w:pPr>
        <w:pStyle w:val="Header"/>
        <w:tabs>
          <w:tab w:val="clear" w:pos="4153"/>
          <w:tab w:val="clear" w:pos="8306"/>
          <w:tab w:val="left" w:pos="993"/>
        </w:tabs>
        <w:jc w:val="left"/>
        <w:rPr>
          <w:rFonts w:ascii="Arial" w:hAnsi="Arial"/>
        </w:rPr>
      </w:pPr>
    </w:p>
    <w:p w14:paraId="0F3D98B9" w14:textId="77777777" w:rsidR="008F3B21" w:rsidRDefault="008F3B2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4918AFFF" w14:textId="77777777" w:rsidR="008F3B21" w:rsidRDefault="008F3B2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5324ABB8" w14:textId="77777777" w:rsidR="008F3B21" w:rsidRDefault="008F3B2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40DC82C4" w14:textId="77777777" w:rsidR="008F3B21" w:rsidRDefault="008F3B21">
      <w:pPr>
        <w:pStyle w:val="Heading5"/>
        <w:jc w:val="left"/>
        <w:rPr>
          <w:sz w:val="36"/>
        </w:rPr>
      </w:pPr>
      <w:r>
        <w:rPr>
          <w:sz w:val="36"/>
        </w:rPr>
        <w:t>Premier’s Circular</w:t>
      </w:r>
    </w:p>
    <w:p w14:paraId="669179A2" w14:textId="446F8DCC" w:rsidR="008F3B21" w:rsidRDefault="008F3B21" w:rsidP="00716780">
      <w:pPr>
        <w:pStyle w:val="Header"/>
        <w:pBdr>
          <w:top w:val="single" w:sz="4" w:space="1" w:color="auto"/>
          <w:left w:val="single" w:sz="4" w:space="14" w:color="auto"/>
          <w:right w:val="single" w:sz="4" w:space="0" w:color="auto"/>
        </w:pBdr>
        <w:tabs>
          <w:tab w:val="clear" w:pos="4153"/>
          <w:tab w:val="clear" w:pos="8306"/>
          <w:tab w:val="right" w:pos="8647"/>
        </w:tabs>
        <w:ind w:left="5387" w:right="55"/>
        <w:jc w:val="left"/>
        <w:rPr>
          <w:rFonts w:ascii="Arial" w:hAnsi="Arial"/>
        </w:rPr>
      </w:pPr>
      <w:r>
        <w:rPr>
          <w:rFonts w:ascii="Arial" w:hAnsi="Arial"/>
        </w:rPr>
        <w:t>Number:</w:t>
      </w:r>
      <w:r>
        <w:rPr>
          <w:rFonts w:ascii="Arial" w:hAnsi="Arial"/>
        </w:rPr>
        <w:tab/>
        <w:t>20</w:t>
      </w:r>
      <w:r w:rsidR="00671AF7">
        <w:rPr>
          <w:rFonts w:ascii="Arial" w:hAnsi="Arial"/>
        </w:rPr>
        <w:t>22/01</w:t>
      </w:r>
      <w:r>
        <w:rPr>
          <w:rFonts w:ascii="Arial" w:hAnsi="Arial"/>
        </w:rPr>
        <w:br/>
      </w:r>
      <w:r>
        <w:rPr>
          <w:rFonts w:ascii="Arial" w:hAnsi="Arial"/>
          <w:noProof/>
        </w:rPr>
        <w:t>Issue Date:</w:t>
      </w:r>
      <w:r>
        <w:rPr>
          <w:rFonts w:ascii="Arial" w:hAnsi="Arial"/>
          <w:noProof/>
        </w:rPr>
        <w:tab/>
      </w:r>
      <w:r w:rsidR="00330A71">
        <w:rPr>
          <w:rFonts w:ascii="Arial" w:hAnsi="Arial"/>
          <w:noProof/>
        </w:rPr>
        <w:t>11/03</w:t>
      </w:r>
      <w:bookmarkStart w:id="0" w:name="_GoBack"/>
      <w:bookmarkEnd w:id="0"/>
      <w:r>
        <w:rPr>
          <w:rFonts w:ascii="Arial" w:hAnsi="Arial"/>
          <w:noProof/>
        </w:rPr>
        <w:t>/20</w:t>
      </w:r>
      <w:r w:rsidR="00716780">
        <w:rPr>
          <w:rFonts w:ascii="Arial" w:hAnsi="Arial"/>
          <w:noProof/>
        </w:rPr>
        <w:t>22</w:t>
      </w:r>
      <w:r>
        <w:rPr>
          <w:rFonts w:ascii="Arial" w:hAnsi="Arial"/>
          <w:noProof/>
        </w:rPr>
        <w:br/>
      </w:r>
      <w:r w:rsidR="00EB0F77">
        <w:rPr>
          <w:rFonts w:ascii="Arial" w:hAnsi="Arial"/>
          <w:noProof/>
        </w:rPr>
        <w:t>Review Date:</w:t>
      </w:r>
      <w:r w:rsidR="00EB0F77">
        <w:rPr>
          <w:rFonts w:ascii="Arial" w:hAnsi="Arial"/>
          <w:noProof/>
        </w:rPr>
        <w:tab/>
      </w:r>
      <w:r w:rsidR="00851D28">
        <w:rPr>
          <w:rFonts w:ascii="Arial" w:hAnsi="Arial"/>
          <w:noProof/>
        </w:rPr>
        <w:t>30/09/2022</w:t>
      </w:r>
    </w:p>
    <w:p w14:paraId="75F43349" w14:textId="77777777" w:rsidR="008F3B21" w:rsidRDefault="008F3B21">
      <w:pPr>
        <w:pBdr>
          <w:top w:val="single" w:sz="4" w:space="1" w:color="auto"/>
        </w:pBdr>
        <w:ind w:right="55"/>
        <w:rPr>
          <w:rFonts w:ascii="Arial" w:hAnsi="Arial"/>
          <w:i/>
          <w:sz w:val="20"/>
        </w:rPr>
      </w:pPr>
    </w:p>
    <w:p w14:paraId="346065E4" w14:textId="77777777" w:rsidR="008967DC" w:rsidRDefault="008967DC">
      <w:pPr>
        <w:pBdr>
          <w:top w:val="single" w:sz="4" w:space="1" w:color="auto"/>
        </w:pBdr>
        <w:ind w:right="55"/>
        <w:rPr>
          <w:rFonts w:ascii="Arial" w:hAnsi="Arial"/>
          <w:i/>
          <w:sz w:val="20"/>
        </w:rPr>
      </w:pPr>
    </w:p>
    <w:p w14:paraId="7131A4BB" w14:textId="77777777" w:rsidR="008F3B21" w:rsidRDefault="008F3B21">
      <w:pPr>
        <w:pStyle w:val="Heading3"/>
      </w:pPr>
      <w:r>
        <w:t>TITLE</w:t>
      </w:r>
    </w:p>
    <w:p w14:paraId="18899006" w14:textId="77777777" w:rsidR="008F3B21" w:rsidRDefault="008F3B21">
      <w:pPr>
        <w:pStyle w:val="Heading1"/>
        <w:jc w:val="left"/>
        <w:rPr>
          <w:rFonts w:ascii="Arial" w:hAnsi="Arial"/>
          <w:b w:val="0"/>
          <w:sz w:val="24"/>
        </w:rPr>
      </w:pPr>
    </w:p>
    <w:p w14:paraId="7066F3D8" w14:textId="6B4A1AA1" w:rsidR="008F3B21" w:rsidRDefault="00E21B52">
      <w:pPr>
        <w:rPr>
          <w:rFonts w:ascii="Arial" w:hAnsi="Arial"/>
        </w:rPr>
      </w:pPr>
      <w:r>
        <w:rPr>
          <w:rFonts w:ascii="Arial" w:hAnsi="Arial"/>
        </w:rPr>
        <w:t>TENANT RENTAL CREDIT SCHEME FOR SMALL BUSINESS</w:t>
      </w:r>
      <w:r w:rsidR="00AB286E">
        <w:rPr>
          <w:rFonts w:ascii="Arial" w:hAnsi="Arial"/>
        </w:rPr>
        <w:t xml:space="preserve"> AND NOT</w:t>
      </w:r>
      <w:r w:rsidR="00AB286E">
        <w:rPr>
          <w:rFonts w:ascii="Arial" w:hAnsi="Arial"/>
        </w:rPr>
        <w:noBreakHyphen/>
        <w:t>FOR</w:t>
      </w:r>
      <w:r w:rsidR="00AB286E">
        <w:rPr>
          <w:rFonts w:ascii="Arial" w:hAnsi="Arial"/>
        </w:rPr>
        <w:noBreakHyphen/>
      </w:r>
      <w:r w:rsidR="009B1A26">
        <w:rPr>
          <w:rFonts w:ascii="Arial" w:hAnsi="Arial"/>
        </w:rPr>
        <w:t>PROFIT TENANTS</w:t>
      </w:r>
      <w:r w:rsidR="00AB286E">
        <w:rPr>
          <w:rFonts w:ascii="Arial" w:hAnsi="Arial"/>
        </w:rPr>
        <w:t xml:space="preserve"> OF GOVERNMENT-OWNED BUILDINGS</w:t>
      </w:r>
    </w:p>
    <w:p w14:paraId="38A5921E" w14:textId="77777777" w:rsidR="00671AF7" w:rsidRDefault="00671AF7">
      <w:pPr>
        <w:rPr>
          <w:rFonts w:ascii="Arial" w:hAnsi="Arial"/>
        </w:rPr>
      </w:pPr>
    </w:p>
    <w:p w14:paraId="42E34B0F" w14:textId="77777777" w:rsidR="008F3B21" w:rsidRDefault="008F3B21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POLICY</w:t>
      </w:r>
    </w:p>
    <w:p w14:paraId="24C36733" w14:textId="77777777" w:rsidR="008F3B21" w:rsidRDefault="008F3B21">
      <w:pPr>
        <w:pStyle w:val="BodyText2"/>
        <w:rPr>
          <w:i w:val="0"/>
        </w:rPr>
      </w:pPr>
    </w:p>
    <w:p w14:paraId="775AE6D1" w14:textId="7744FA6F" w:rsidR="00671AF7" w:rsidRPr="00671AF7" w:rsidRDefault="00671AF7" w:rsidP="00671AF7">
      <w:pPr>
        <w:pStyle w:val="BodyText2"/>
        <w:rPr>
          <w:i w:val="0"/>
        </w:rPr>
      </w:pPr>
      <w:r w:rsidRPr="00671AF7">
        <w:rPr>
          <w:i w:val="0"/>
        </w:rPr>
        <w:t xml:space="preserve">The </w:t>
      </w:r>
      <w:r w:rsidR="00AB286E">
        <w:rPr>
          <w:i w:val="0"/>
        </w:rPr>
        <w:t xml:space="preserve">Tenant Rental Credit Scheme for </w:t>
      </w:r>
      <w:r w:rsidR="009E162F">
        <w:rPr>
          <w:i w:val="0"/>
        </w:rPr>
        <w:t>S</w:t>
      </w:r>
      <w:r w:rsidR="00AB286E">
        <w:rPr>
          <w:i w:val="0"/>
        </w:rPr>
        <w:t xml:space="preserve">mall </w:t>
      </w:r>
      <w:r w:rsidR="009E162F">
        <w:rPr>
          <w:i w:val="0"/>
        </w:rPr>
        <w:t>B</w:t>
      </w:r>
      <w:r w:rsidR="00AB286E">
        <w:rPr>
          <w:i w:val="0"/>
        </w:rPr>
        <w:t xml:space="preserve">usiness and </w:t>
      </w:r>
      <w:r w:rsidR="009E162F">
        <w:rPr>
          <w:i w:val="0"/>
        </w:rPr>
        <w:t>N</w:t>
      </w:r>
      <w:r w:rsidR="00AB286E">
        <w:rPr>
          <w:i w:val="0"/>
        </w:rPr>
        <w:t xml:space="preserve">ot-for-profit </w:t>
      </w:r>
      <w:r w:rsidR="009E162F">
        <w:rPr>
          <w:i w:val="0"/>
        </w:rPr>
        <w:t>T</w:t>
      </w:r>
      <w:r w:rsidR="00AB286E">
        <w:rPr>
          <w:i w:val="0"/>
        </w:rPr>
        <w:t xml:space="preserve">enants of </w:t>
      </w:r>
      <w:r w:rsidR="009E162F">
        <w:rPr>
          <w:i w:val="0"/>
        </w:rPr>
        <w:t>G</w:t>
      </w:r>
      <w:r w:rsidR="00AB286E">
        <w:rPr>
          <w:i w:val="0"/>
        </w:rPr>
        <w:t xml:space="preserve">overnment-owned </w:t>
      </w:r>
      <w:r w:rsidR="009E162F">
        <w:rPr>
          <w:i w:val="0"/>
        </w:rPr>
        <w:t>B</w:t>
      </w:r>
      <w:r w:rsidR="00AB286E">
        <w:rPr>
          <w:i w:val="0"/>
        </w:rPr>
        <w:t>uildings</w:t>
      </w:r>
      <w:r w:rsidRPr="00671AF7">
        <w:rPr>
          <w:i w:val="0"/>
        </w:rPr>
        <w:t xml:space="preserve"> (</w:t>
      </w:r>
      <w:r w:rsidR="005043EF">
        <w:rPr>
          <w:b/>
          <w:i w:val="0"/>
        </w:rPr>
        <w:t>Scheme</w:t>
      </w:r>
      <w:r w:rsidRPr="00671AF7">
        <w:rPr>
          <w:i w:val="0"/>
        </w:rPr>
        <w:t>) assist</w:t>
      </w:r>
      <w:r w:rsidR="005043EF">
        <w:rPr>
          <w:i w:val="0"/>
        </w:rPr>
        <w:t>s</w:t>
      </w:r>
      <w:r w:rsidRPr="00671AF7">
        <w:rPr>
          <w:i w:val="0"/>
        </w:rPr>
        <w:t xml:space="preserve"> in addressing financial hardship being experienced by small businesses and not-for-profit entities where those small businesses and not-for-profit entities are also:</w:t>
      </w:r>
    </w:p>
    <w:p w14:paraId="7555D137" w14:textId="77777777" w:rsidR="00671AF7" w:rsidRPr="00671AF7" w:rsidRDefault="00671AF7" w:rsidP="00671AF7">
      <w:pPr>
        <w:pStyle w:val="BodyText2"/>
        <w:rPr>
          <w:i w:val="0"/>
        </w:rPr>
      </w:pPr>
    </w:p>
    <w:p w14:paraId="78481D65" w14:textId="77777777" w:rsidR="00671AF7" w:rsidRPr="00671AF7" w:rsidRDefault="00671AF7" w:rsidP="00671AF7">
      <w:pPr>
        <w:pStyle w:val="BodyText2"/>
        <w:numPr>
          <w:ilvl w:val="0"/>
          <w:numId w:val="13"/>
        </w:numPr>
        <w:rPr>
          <w:i w:val="0"/>
        </w:rPr>
      </w:pPr>
      <w:r w:rsidRPr="00671AF7">
        <w:rPr>
          <w:i w:val="0"/>
        </w:rPr>
        <w:t>a lessee i</w:t>
      </w:r>
      <w:r>
        <w:rPr>
          <w:i w:val="0"/>
        </w:rPr>
        <w:t>n a lessor-lessee relationship;</w:t>
      </w:r>
    </w:p>
    <w:p w14:paraId="019C939F" w14:textId="77777777" w:rsidR="00671AF7" w:rsidRPr="00671AF7" w:rsidRDefault="00671AF7" w:rsidP="00671AF7">
      <w:pPr>
        <w:pStyle w:val="BodyText2"/>
        <w:rPr>
          <w:i w:val="0"/>
        </w:rPr>
      </w:pPr>
    </w:p>
    <w:p w14:paraId="6ED7EBD6" w14:textId="77777777" w:rsidR="00671AF7" w:rsidRPr="00671AF7" w:rsidRDefault="00671AF7" w:rsidP="00671AF7">
      <w:pPr>
        <w:pStyle w:val="BodyText2"/>
        <w:numPr>
          <w:ilvl w:val="0"/>
          <w:numId w:val="13"/>
        </w:numPr>
        <w:rPr>
          <w:i w:val="0"/>
        </w:rPr>
      </w:pPr>
      <w:r w:rsidRPr="00671AF7">
        <w:rPr>
          <w:i w:val="0"/>
        </w:rPr>
        <w:t xml:space="preserve">a sub-lessee (secondary tenant) under a </w:t>
      </w:r>
      <w:r>
        <w:rPr>
          <w:i w:val="0"/>
        </w:rPr>
        <w:t xml:space="preserve">lessor-lessee relationship; </w:t>
      </w:r>
      <w:r w:rsidR="00EB3389">
        <w:rPr>
          <w:i w:val="0"/>
        </w:rPr>
        <w:t>or</w:t>
      </w:r>
    </w:p>
    <w:p w14:paraId="6C7F6FF8" w14:textId="77777777" w:rsidR="00671AF7" w:rsidRPr="00671AF7" w:rsidRDefault="00671AF7" w:rsidP="00671AF7">
      <w:pPr>
        <w:pStyle w:val="BodyText2"/>
        <w:rPr>
          <w:i w:val="0"/>
        </w:rPr>
      </w:pPr>
    </w:p>
    <w:p w14:paraId="6FF772CE" w14:textId="77777777" w:rsidR="00671AF7" w:rsidRPr="00671AF7" w:rsidRDefault="00671AF7" w:rsidP="00671AF7">
      <w:pPr>
        <w:pStyle w:val="BodyText2"/>
        <w:numPr>
          <w:ilvl w:val="0"/>
          <w:numId w:val="13"/>
        </w:numPr>
        <w:rPr>
          <w:i w:val="0"/>
        </w:rPr>
      </w:pPr>
      <w:r w:rsidRPr="00671AF7">
        <w:rPr>
          <w:i w:val="0"/>
        </w:rPr>
        <w:t>a licensee in a</w:t>
      </w:r>
      <w:r>
        <w:rPr>
          <w:i w:val="0"/>
        </w:rPr>
        <w:t xml:space="preserve"> licensor-licensee relationship,</w:t>
      </w:r>
    </w:p>
    <w:p w14:paraId="02FC3077" w14:textId="77777777" w:rsidR="00671AF7" w:rsidRPr="00671AF7" w:rsidRDefault="00671AF7" w:rsidP="00671AF7">
      <w:pPr>
        <w:pStyle w:val="BodyText2"/>
        <w:rPr>
          <w:i w:val="0"/>
        </w:rPr>
      </w:pPr>
    </w:p>
    <w:p w14:paraId="1FDC00CD" w14:textId="77777777" w:rsidR="00671AF7" w:rsidRPr="00671AF7" w:rsidRDefault="00671AF7" w:rsidP="00671AF7">
      <w:pPr>
        <w:pStyle w:val="BodyText2"/>
        <w:rPr>
          <w:i w:val="0"/>
        </w:rPr>
      </w:pPr>
      <w:r w:rsidRPr="00671AF7">
        <w:rPr>
          <w:i w:val="0"/>
        </w:rPr>
        <w:t>with a PSMA Entity</w:t>
      </w:r>
      <w:r w:rsidR="001A5166">
        <w:rPr>
          <w:rStyle w:val="FootnoteReference"/>
          <w:i w:val="0"/>
        </w:rPr>
        <w:footnoteReference w:id="1"/>
      </w:r>
      <w:r w:rsidRPr="00671AF7">
        <w:rPr>
          <w:i w:val="0"/>
        </w:rPr>
        <w:t xml:space="preserve"> in respect of commercial premises which they use for the purposes of operating their small business or not-for-profit business.</w:t>
      </w:r>
    </w:p>
    <w:p w14:paraId="56177B76" w14:textId="77777777" w:rsidR="00671AF7" w:rsidRPr="00671AF7" w:rsidRDefault="00671AF7" w:rsidP="00671AF7">
      <w:pPr>
        <w:pStyle w:val="BodyText2"/>
        <w:rPr>
          <w:i w:val="0"/>
        </w:rPr>
      </w:pPr>
    </w:p>
    <w:p w14:paraId="5DE8372E" w14:textId="07229030" w:rsidR="00671AF7" w:rsidRPr="00671AF7" w:rsidRDefault="00671AF7" w:rsidP="00671AF7">
      <w:pPr>
        <w:pStyle w:val="BodyText2"/>
        <w:rPr>
          <w:i w:val="0"/>
        </w:rPr>
      </w:pPr>
      <w:r w:rsidRPr="00671AF7">
        <w:rPr>
          <w:i w:val="0"/>
        </w:rPr>
        <w:t xml:space="preserve">The </w:t>
      </w:r>
      <w:r w:rsidR="005043EF">
        <w:rPr>
          <w:i w:val="0"/>
        </w:rPr>
        <w:t>Scheme</w:t>
      </w:r>
      <w:r w:rsidRPr="00671AF7">
        <w:rPr>
          <w:i w:val="0"/>
        </w:rPr>
        <w:t xml:space="preserve"> aim</w:t>
      </w:r>
      <w:r w:rsidR="005043EF">
        <w:rPr>
          <w:i w:val="0"/>
        </w:rPr>
        <w:t>s</w:t>
      </w:r>
      <w:r w:rsidRPr="00671AF7">
        <w:rPr>
          <w:i w:val="0"/>
        </w:rPr>
        <w:t xml:space="preserve"> to provide rent relief to the above categories of </w:t>
      </w:r>
      <w:r w:rsidR="00EB3389">
        <w:rPr>
          <w:i w:val="0"/>
        </w:rPr>
        <w:t>organisations</w:t>
      </w:r>
      <w:r w:rsidR="00EB3389" w:rsidRPr="00671AF7">
        <w:rPr>
          <w:i w:val="0"/>
        </w:rPr>
        <w:t xml:space="preserve"> </w:t>
      </w:r>
      <w:r w:rsidRPr="00671AF7">
        <w:rPr>
          <w:i w:val="0"/>
        </w:rPr>
        <w:t xml:space="preserve">where certain conditions are met. The </w:t>
      </w:r>
      <w:r w:rsidR="005043EF">
        <w:rPr>
          <w:i w:val="0"/>
        </w:rPr>
        <w:t>Scheme</w:t>
      </w:r>
      <w:r w:rsidRPr="00671AF7">
        <w:rPr>
          <w:i w:val="0"/>
        </w:rPr>
        <w:t xml:space="preserve">, including the terms and conditions to which </w:t>
      </w:r>
      <w:r w:rsidR="005043EF">
        <w:rPr>
          <w:i w:val="0"/>
        </w:rPr>
        <w:t>it is</w:t>
      </w:r>
      <w:r w:rsidRPr="00671AF7">
        <w:rPr>
          <w:i w:val="0"/>
        </w:rPr>
        <w:t xml:space="preserve"> subject, </w:t>
      </w:r>
      <w:r w:rsidR="005043EF">
        <w:rPr>
          <w:i w:val="0"/>
        </w:rPr>
        <w:t>is</w:t>
      </w:r>
      <w:r w:rsidR="005043EF" w:rsidRPr="00671AF7">
        <w:rPr>
          <w:i w:val="0"/>
        </w:rPr>
        <w:t xml:space="preserve"> </w:t>
      </w:r>
      <w:r w:rsidRPr="00671AF7">
        <w:rPr>
          <w:i w:val="0"/>
        </w:rPr>
        <w:t xml:space="preserve">included at </w:t>
      </w:r>
      <w:r w:rsidRPr="001A5166">
        <w:rPr>
          <w:b/>
          <w:i w:val="0"/>
        </w:rPr>
        <w:t>Attachment A</w:t>
      </w:r>
      <w:r w:rsidRPr="00671AF7">
        <w:rPr>
          <w:i w:val="0"/>
        </w:rPr>
        <w:t>.</w:t>
      </w:r>
    </w:p>
    <w:p w14:paraId="3099CD55" w14:textId="77777777" w:rsidR="00671AF7" w:rsidRPr="00671AF7" w:rsidRDefault="00671AF7" w:rsidP="00671AF7">
      <w:pPr>
        <w:pStyle w:val="BodyText2"/>
        <w:rPr>
          <w:i w:val="0"/>
        </w:rPr>
      </w:pPr>
    </w:p>
    <w:p w14:paraId="176705C1" w14:textId="540237C2" w:rsidR="00671AF7" w:rsidRPr="00671AF7" w:rsidRDefault="00671AF7" w:rsidP="00671AF7">
      <w:pPr>
        <w:pStyle w:val="BodyText2"/>
        <w:rPr>
          <w:i w:val="0"/>
        </w:rPr>
      </w:pPr>
      <w:r w:rsidRPr="00671AF7">
        <w:rPr>
          <w:i w:val="0"/>
        </w:rPr>
        <w:t xml:space="preserve">It is expected that all PSMA entities will implement the </w:t>
      </w:r>
      <w:r w:rsidR="005043EF">
        <w:rPr>
          <w:i w:val="0"/>
        </w:rPr>
        <w:t>Scheme</w:t>
      </w:r>
      <w:r w:rsidRPr="00671AF7">
        <w:rPr>
          <w:i w:val="0"/>
        </w:rPr>
        <w:t xml:space="preserve"> notwithstanding any existing contractual entitlement they may have to the payment of rent.</w:t>
      </w:r>
    </w:p>
    <w:p w14:paraId="665488B7" w14:textId="77777777" w:rsidR="00671AF7" w:rsidRPr="00671AF7" w:rsidRDefault="00671AF7" w:rsidP="00671AF7">
      <w:pPr>
        <w:pStyle w:val="BodyText2"/>
        <w:rPr>
          <w:i w:val="0"/>
        </w:rPr>
      </w:pPr>
    </w:p>
    <w:p w14:paraId="540DB8E2" w14:textId="742201C3" w:rsidR="006C4DB3" w:rsidRDefault="00671AF7" w:rsidP="00671AF7">
      <w:pPr>
        <w:pStyle w:val="BodyText2"/>
        <w:rPr>
          <w:i w:val="0"/>
        </w:rPr>
      </w:pPr>
      <w:r w:rsidRPr="00671AF7">
        <w:rPr>
          <w:i w:val="0"/>
        </w:rPr>
        <w:t xml:space="preserve">It is intended that the policy intent of this Circular will </w:t>
      </w:r>
      <w:r w:rsidR="00EB3389">
        <w:rPr>
          <w:i w:val="0"/>
        </w:rPr>
        <w:t xml:space="preserve">also </w:t>
      </w:r>
      <w:r w:rsidRPr="00671AF7">
        <w:rPr>
          <w:i w:val="0"/>
        </w:rPr>
        <w:t>extend to certain Government Trading Enterprises</w:t>
      </w:r>
      <w:r w:rsidR="00EB3389">
        <w:rPr>
          <w:i w:val="0"/>
        </w:rPr>
        <w:t xml:space="preserve"> (GTEs)</w:t>
      </w:r>
      <w:r w:rsidRPr="00671AF7">
        <w:rPr>
          <w:i w:val="0"/>
        </w:rPr>
        <w:t xml:space="preserve">. The implementation approach for GTEs will be managed separately and where necessary, the implementation of the </w:t>
      </w:r>
      <w:r w:rsidR="005043EF">
        <w:rPr>
          <w:i w:val="0"/>
        </w:rPr>
        <w:t>Scheme</w:t>
      </w:r>
      <w:r w:rsidRPr="00671AF7">
        <w:rPr>
          <w:i w:val="0"/>
        </w:rPr>
        <w:t xml:space="preserve"> will be supported by Ministerial direction.</w:t>
      </w:r>
    </w:p>
    <w:p w14:paraId="2D7A9F3A" w14:textId="77777777" w:rsidR="00671AF7" w:rsidRPr="00671AF7" w:rsidRDefault="00671AF7" w:rsidP="00671AF7">
      <w:pPr>
        <w:pStyle w:val="BodyText2"/>
        <w:rPr>
          <w:i w:val="0"/>
        </w:rPr>
      </w:pPr>
    </w:p>
    <w:p w14:paraId="32D789C9" w14:textId="77777777" w:rsidR="008C173A" w:rsidRDefault="008C173A">
      <w:pPr>
        <w:jc w:val="left"/>
        <w:rPr>
          <w:rFonts w:ascii="Arial" w:hAnsi="Arial"/>
        </w:rPr>
      </w:pPr>
      <w:r>
        <w:rPr>
          <w:i/>
        </w:rPr>
        <w:br w:type="page"/>
      </w:r>
    </w:p>
    <w:p w14:paraId="543B47D7" w14:textId="191AC3D5" w:rsidR="00671AF7" w:rsidRPr="00671AF7" w:rsidRDefault="00671AF7" w:rsidP="00671AF7">
      <w:pPr>
        <w:pStyle w:val="BodyText2"/>
        <w:rPr>
          <w:i w:val="0"/>
        </w:rPr>
      </w:pPr>
      <w:r w:rsidRPr="00671AF7">
        <w:rPr>
          <w:i w:val="0"/>
        </w:rPr>
        <w:lastRenderedPageBreak/>
        <w:t xml:space="preserve">Implementing agencies can seek supplementary funding later in the 2021-22 financial year for the cost of providing rental assistance under this initiative. Agencies should ensure that they comply with any obligations under the </w:t>
      </w:r>
      <w:r w:rsidRPr="002C2A10">
        <w:t>Financial Management Act 2006</w:t>
      </w:r>
      <w:r w:rsidRPr="00671AF7">
        <w:rPr>
          <w:i w:val="0"/>
        </w:rPr>
        <w:t xml:space="preserve"> in implementing these measures.</w:t>
      </w:r>
    </w:p>
    <w:p w14:paraId="013FDFCC" w14:textId="77777777" w:rsidR="00671AF7" w:rsidRPr="00671AF7" w:rsidRDefault="00671AF7" w:rsidP="00671AF7">
      <w:pPr>
        <w:pStyle w:val="BodyText2"/>
        <w:rPr>
          <w:i w:val="0"/>
        </w:rPr>
      </w:pPr>
    </w:p>
    <w:p w14:paraId="0A793CAD" w14:textId="77777777" w:rsidR="00671AF7" w:rsidRPr="00671AF7" w:rsidRDefault="00671AF7" w:rsidP="00671AF7">
      <w:pPr>
        <w:pStyle w:val="BodyText2"/>
        <w:rPr>
          <w:i w:val="0"/>
        </w:rPr>
      </w:pPr>
      <w:r w:rsidRPr="00671AF7">
        <w:rPr>
          <w:i w:val="0"/>
        </w:rPr>
        <w:t>PSMA entities are required to liaise with the Small Business Development Corporation (SBDC) regarding the delivery and the assessment of tenant applications. SBDC will assist PSMA entities by undertaking assessments.</w:t>
      </w:r>
    </w:p>
    <w:p w14:paraId="681968BA" w14:textId="77777777" w:rsidR="008F3B21" w:rsidRDefault="008F3B21">
      <w:pPr>
        <w:pStyle w:val="BodyText2"/>
        <w:rPr>
          <w:i w:val="0"/>
        </w:rPr>
      </w:pPr>
    </w:p>
    <w:p w14:paraId="31D38F89" w14:textId="77777777" w:rsidR="00671AF7" w:rsidRDefault="00671AF7">
      <w:pPr>
        <w:pStyle w:val="BodyText2"/>
        <w:rPr>
          <w:i w:val="0"/>
        </w:rPr>
      </w:pPr>
    </w:p>
    <w:p w14:paraId="1C364267" w14:textId="77777777" w:rsidR="008F3B21" w:rsidRDefault="008F3B21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BACKGROUND</w:t>
      </w:r>
    </w:p>
    <w:p w14:paraId="689E35C5" w14:textId="77777777" w:rsidR="008F3B21" w:rsidRDefault="008F3B2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1881A3EE" w14:textId="77777777" w:rsidR="001A5166" w:rsidRPr="001A5166" w:rsidRDefault="001A5166" w:rsidP="001A5166">
      <w:pPr>
        <w:rPr>
          <w:rFonts w:ascii="Arial" w:hAnsi="Arial"/>
        </w:rPr>
      </w:pPr>
      <w:r w:rsidRPr="001A5166">
        <w:rPr>
          <w:rFonts w:ascii="Arial" w:hAnsi="Arial"/>
        </w:rPr>
        <w:t>On 11 March 2020, the World Health Organi</w:t>
      </w:r>
      <w:r>
        <w:rPr>
          <w:rFonts w:ascii="Arial" w:hAnsi="Arial"/>
        </w:rPr>
        <w:t>s</w:t>
      </w:r>
      <w:r w:rsidRPr="001A5166">
        <w:rPr>
          <w:rFonts w:ascii="Arial" w:hAnsi="Arial"/>
        </w:rPr>
        <w:t>ation declared the human coronavirus disease, known as COVID-19, a pandemic.</w:t>
      </w:r>
    </w:p>
    <w:p w14:paraId="407AA160" w14:textId="77777777" w:rsidR="001A5166" w:rsidRPr="001A5166" w:rsidRDefault="001A5166" w:rsidP="001A5166">
      <w:pPr>
        <w:rPr>
          <w:rFonts w:ascii="Arial" w:hAnsi="Arial"/>
        </w:rPr>
      </w:pPr>
    </w:p>
    <w:p w14:paraId="3B8DB764" w14:textId="77777777" w:rsidR="001A5166" w:rsidRPr="001A5166" w:rsidRDefault="001A5166" w:rsidP="001A5166">
      <w:pPr>
        <w:rPr>
          <w:rFonts w:ascii="Arial" w:hAnsi="Arial"/>
        </w:rPr>
      </w:pPr>
      <w:r w:rsidRPr="001A5166">
        <w:rPr>
          <w:rFonts w:ascii="Arial" w:hAnsi="Arial"/>
        </w:rPr>
        <w:t>Each of the Federal, State and Territory Governments of Australia have declared states of emergency in respect of the pandemic. Western Australia has declared both a state of emergency and a public health state of emergency.</w:t>
      </w:r>
    </w:p>
    <w:p w14:paraId="46C15729" w14:textId="77777777" w:rsidR="001A5166" w:rsidRPr="001A5166" w:rsidRDefault="001A5166" w:rsidP="001A5166">
      <w:pPr>
        <w:rPr>
          <w:rFonts w:ascii="Arial" w:hAnsi="Arial"/>
        </w:rPr>
      </w:pPr>
    </w:p>
    <w:p w14:paraId="0239A5F3" w14:textId="77777777" w:rsidR="006C4DB3" w:rsidRDefault="001A5166" w:rsidP="001A5166">
      <w:pPr>
        <w:rPr>
          <w:rFonts w:ascii="Arial" w:hAnsi="Arial"/>
        </w:rPr>
      </w:pPr>
      <w:r w:rsidRPr="001A5166">
        <w:rPr>
          <w:rFonts w:ascii="Arial" w:hAnsi="Arial"/>
        </w:rPr>
        <w:t>In response to the states of emergency in effect across Australia, all Australian Governments have taken measures to minimise the spread of the disease. Governments have also announced a range of measures to provide relief to families and small businesses and help support the State's economy to respond to COVID- 19.</w:t>
      </w:r>
    </w:p>
    <w:p w14:paraId="78A01DE3" w14:textId="77777777" w:rsidR="001A5166" w:rsidRPr="001A5166" w:rsidRDefault="001A5166" w:rsidP="001A5166">
      <w:pPr>
        <w:rPr>
          <w:rFonts w:ascii="Arial" w:hAnsi="Arial"/>
        </w:rPr>
      </w:pPr>
    </w:p>
    <w:p w14:paraId="31A779AA" w14:textId="06673D0D" w:rsidR="008F3B21" w:rsidRDefault="001A5166" w:rsidP="001A5166">
      <w:pPr>
        <w:rPr>
          <w:rFonts w:ascii="Arial" w:hAnsi="Arial"/>
        </w:rPr>
      </w:pPr>
      <w:r w:rsidRPr="001A5166">
        <w:rPr>
          <w:rFonts w:ascii="Arial" w:hAnsi="Arial"/>
        </w:rPr>
        <w:t xml:space="preserve">The </w:t>
      </w:r>
      <w:r w:rsidR="005043EF">
        <w:rPr>
          <w:rFonts w:ascii="Arial" w:hAnsi="Arial"/>
        </w:rPr>
        <w:t>Scheme is</w:t>
      </w:r>
      <w:r w:rsidRPr="001A5166">
        <w:rPr>
          <w:rFonts w:ascii="Arial" w:hAnsi="Arial"/>
        </w:rPr>
        <w:t xml:space="preserve"> being implemented as one aspect of</w:t>
      </w:r>
      <w:r w:rsidR="00AB286E">
        <w:rPr>
          <w:rFonts w:ascii="Arial" w:hAnsi="Arial"/>
        </w:rPr>
        <w:t xml:space="preserve"> the Level 1 COVID</w:t>
      </w:r>
      <w:r w:rsidR="00AB286E">
        <w:rPr>
          <w:rFonts w:ascii="Arial" w:hAnsi="Arial"/>
        </w:rPr>
        <w:noBreakHyphen/>
        <w:t>19 Business Assistance P</w:t>
      </w:r>
      <w:r w:rsidRPr="001A5166">
        <w:rPr>
          <w:rFonts w:ascii="Arial" w:hAnsi="Arial"/>
        </w:rPr>
        <w:t xml:space="preserve">ackage announced in February 2022 to further help manage the </w:t>
      </w:r>
      <w:r w:rsidR="00AB286E">
        <w:rPr>
          <w:rFonts w:ascii="Arial" w:hAnsi="Arial"/>
        </w:rPr>
        <w:t>impact</w:t>
      </w:r>
      <w:r w:rsidR="00AB286E" w:rsidRPr="001A5166">
        <w:rPr>
          <w:rFonts w:ascii="Arial" w:hAnsi="Arial"/>
        </w:rPr>
        <w:t xml:space="preserve"> </w:t>
      </w:r>
      <w:r w:rsidRPr="001A5166">
        <w:rPr>
          <w:rFonts w:ascii="Arial" w:hAnsi="Arial"/>
        </w:rPr>
        <w:t xml:space="preserve">of the COVID-19 pandemic </w:t>
      </w:r>
      <w:r w:rsidR="00AB286E">
        <w:rPr>
          <w:rFonts w:ascii="Arial" w:hAnsi="Arial"/>
        </w:rPr>
        <w:t xml:space="preserve">and associated public health and social measures </w:t>
      </w:r>
      <w:r w:rsidRPr="001A5166">
        <w:rPr>
          <w:rFonts w:ascii="Arial" w:hAnsi="Arial"/>
        </w:rPr>
        <w:t>on the Western Australian community.</w:t>
      </w:r>
    </w:p>
    <w:p w14:paraId="00F34468" w14:textId="77777777" w:rsidR="008F3B21" w:rsidRDefault="008F3B21">
      <w:pPr>
        <w:rPr>
          <w:rFonts w:ascii="Arial" w:hAnsi="Arial"/>
        </w:rPr>
      </w:pPr>
    </w:p>
    <w:p w14:paraId="0F93EE80" w14:textId="77777777" w:rsidR="008F3B21" w:rsidRDefault="008F3B21">
      <w:pPr>
        <w:rPr>
          <w:rFonts w:ascii="Arial" w:hAnsi="Arial"/>
        </w:rPr>
      </w:pPr>
    </w:p>
    <w:p w14:paraId="39315821" w14:textId="77777777" w:rsidR="001A5166" w:rsidRDefault="001A5166">
      <w:pPr>
        <w:rPr>
          <w:rFonts w:ascii="Arial" w:hAnsi="Arial"/>
        </w:rPr>
      </w:pPr>
    </w:p>
    <w:p w14:paraId="350EAEBC" w14:textId="77777777" w:rsidR="001A5166" w:rsidRDefault="001A5166">
      <w:pPr>
        <w:rPr>
          <w:rFonts w:ascii="Arial" w:hAnsi="Arial"/>
        </w:rPr>
      </w:pPr>
    </w:p>
    <w:p w14:paraId="0F52420F" w14:textId="77777777" w:rsidR="00A93A6E" w:rsidRDefault="00A93A6E">
      <w:pPr>
        <w:rPr>
          <w:rFonts w:ascii="Arial" w:hAnsi="Arial"/>
        </w:rPr>
      </w:pPr>
    </w:p>
    <w:p w14:paraId="61BCF22B" w14:textId="77777777" w:rsidR="00A93A6E" w:rsidRDefault="00A93A6E">
      <w:pPr>
        <w:rPr>
          <w:rFonts w:ascii="Arial" w:hAnsi="Arial"/>
        </w:rPr>
      </w:pPr>
    </w:p>
    <w:p w14:paraId="28A348B8" w14:textId="77777777" w:rsidR="008F3B21" w:rsidRDefault="008F3B21">
      <w:pPr>
        <w:rPr>
          <w:rFonts w:ascii="Arial" w:hAnsi="Arial"/>
        </w:rPr>
      </w:pPr>
    </w:p>
    <w:p w14:paraId="1B29804E" w14:textId="77777777" w:rsidR="008F3B21" w:rsidRDefault="008F3B21">
      <w:pPr>
        <w:rPr>
          <w:rFonts w:ascii="Arial" w:hAnsi="Arial"/>
        </w:rPr>
      </w:pPr>
    </w:p>
    <w:p w14:paraId="222BF26D" w14:textId="77777777" w:rsidR="008F3B21" w:rsidRDefault="00813517">
      <w:pPr>
        <w:pStyle w:val="Heading3"/>
        <w:rPr>
          <w:b w:val="0"/>
        </w:rPr>
      </w:pPr>
      <w:r>
        <w:rPr>
          <w:b w:val="0"/>
        </w:rPr>
        <w:t>Mark McGowan</w:t>
      </w:r>
      <w:r w:rsidR="008F3B21">
        <w:rPr>
          <w:b w:val="0"/>
        </w:rPr>
        <w:t xml:space="preserve"> MLA</w:t>
      </w:r>
    </w:p>
    <w:p w14:paraId="0AFFFB05" w14:textId="77777777" w:rsidR="008F3B21" w:rsidRDefault="008F3B21">
      <w:pPr>
        <w:pStyle w:val="Heading3"/>
      </w:pPr>
      <w:r>
        <w:t>PREMIER</w:t>
      </w:r>
    </w:p>
    <w:p w14:paraId="194DA3DE" w14:textId="77777777" w:rsidR="008F3B21" w:rsidRDefault="008F3B21">
      <w:pPr>
        <w:rPr>
          <w:rFonts w:ascii="Arial" w:hAnsi="Arial"/>
        </w:rPr>
      </w:pPr>
    </w:p>
    <w:p w14:paraId="52944634" w14:textId="77777777" w:rsidR="008F3B21" w:rsidRDefault="008F3B2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8F3B21" w14:paraId="17C7C57A" w14:textId="77777777">
        <w:trPr>
          <w:cantSplit/>
          <w:trHeight w:val="280"/>
        </w:trPr>
        <w:tc>
          <w:tcPr>
            <w:tcW w:w="8931" w:type="dxa"/>
          </w:tcPr>
          <w:p w14:paraId="1D560878" w14:textId="77777777" w:rsidR="008F3B21" w:rsidRDefault="008F3B21" w:rsidP="002C2A10">
            <w:pPr>
              <w:tabs>
                <w:tab w:val="left" w:pos="3686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 enquiries contact:</w:t>
            </w:r>
            <w:r>
              <w:rPr>
                <w:rFonts w:ascii="Arial" w:hAnsi="Arial"/>
                <w:sz w:val="20"/>
              </w:rPr>
              <w:tab/>
            </w:r>
            <w:r w:rsidR="001A5166">
              <w:rPr>
                <w:rFonts w:ascii="Arial" w:hAnsi="Arial"/>
                <w:sz w:val="20"/>
              </w:rPr>
              <w:t>Andrew Dolling</w:t>
            </w:r>
            <w:r w:rsidR="00C4204D">
              <w:rPr>
                <w:rFonts w:ascii="Arial" w:hAnsi="Arial"/>
                <w:sz w:val="20"/>
              </w:rPr>
              <w:t xml:space="preserve"> </w:t>
            </w:r>
            <w:r w:rsidR="008967DC">
              <w:rPr>
                <w:rFonts w:ascii="Arial" w:hAnsi="Arial"/>
                <w:sz w:val="20"/>
              </w:rPr>
              <w:t>655</w:t>
            </w:r>
            <w:r w:rsidR="001A5166">
              <w:rPr>
                <w:rFonts w:ascii="Arial" w:hAnsi="Arial"/>
                <w:sz w:val="20"/>
              </w:rPr>
              <w:t>1 4689</w:t>
            </w:r>
          </w:p>
          <w:p w14:paraId="088F9354" w14:textId="77777777" w:rsidR="008F3B21" w:rsidRDefault="001A5166" w:rsidP="002C2A10">
            <w:pPr>
              <w:ind w:left="3686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Director Economic Policy</w:t>
            </w:r>
          </w:p>
          <w:p w14:paraId="0713A5AE" w14:textId="77777777" w:rsidR="008F3B21" w:rsidRDefault="008F3B21" w:rsidP="002C2A10">
            <w:pPr>
              <w:ind w:left="368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Department of </w:t>
            </w:r>
            <w:r w:rsidR="001A5166">
              <w:rPr>
                <w:rFonts w:ascii="Arial" w:hAnsi="Arial"/>
                <w:sz w:val="20"/>
              </w:rPr>
              <w:t>Treasury</w:t>
            </w:r>
          </w:p>
        </w:tc>
      </w:tr>
      <w:tr w:rsidR="008F3B21" w14:paraId="332CD1F2" w14:textId="77777777">
        <w:trPr>
          <w:cantSplit/>
          <w:trHeight w:val="280"/>
        </w:trPr>
        <w:tc>
          <w:tcPr>
            <w:tcW w:w="8931" w:type="dxa"/>
          </w:tcPr>
          <w:p w14:paraId="65EF94D0" w14:textId="77777777" w:rsidR="008F3B21" w:rsidRDefault="008F3B21" w:rsidP="002C2A10">
            <w:pPr>
              <w:pStyle w:val="Header"/>
              <w:tabs>
                <w:tab w:val="clear" w:pos="4153"/>
                <w:tab w:val="clear" w:pos="8306"/>
                <w:tab w:val="left" w:pos="368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relevant Circulars:</w:t>
            </w:r>
            <w:r>
              <w:rPr>
                <w:rFonts w:ascii="Arial" w:hAnsi="Arial"/>
                <w:sz w:val="20"/>
              </w:rPr>
              <w:tab/>
            </w:r>
            <w:r w:rsidR="001A5166">
              <w:rPr>
                <w:rFonts w:ascii="Arial" w:hAnsi="Arial"/>
                <w:sz w:val="20"/>
              </w:rPr>
              <w:t>N/A</w:t>
            </w:r>
          </w:p>
        </w:tc>
      </w:tr>
      <w:tr w:rsidR="008F3B21" w14:paraId="76E3E147" w14:textId="77777777">
        <w:trPr>
          <w:cantSplit/>
          <w:trHeight w:val="280"/>
        </w:trPr>
        <w:tc>
          <w:tcPr>
            <w:tcW w:w="8931" w:type="dxa"/>
          </w:tcPr>
          <w:p w14:paraId="597EF758" w14:textId="77777777" w:rsidR="008F3B21" w:rsidRDefault="008F3B21" w:rsidP="002C2A10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Circular/s replaced by this Circular:</w:t>
            </w:r>
            <w:r>
              <w:rPr>
                <w:rFonts w:ascii="Arial" w:hAnsi="Arial"/>
                <w:sz w:val="20"/>
              </w:rPr>
              <w:tab/>
            </w:r>
            <w:r w:rsidR="001A5166">
              <w:rPr>
                <w:rFonts w:ascii="Arial" w:hAnsi="Arial"/>
                <w:sz w:val="20"/>
              </w:rPr>
              <w:t>N/A</w:t>
            </w:r>
          </w:p>
        </w:tc>
      </w:tr>
    </w:tbl>
    <w:p w14:paraId="1F4659BB" w14:textId="77777777" w:rsidR="008F3B21" w:rsidRDefault="008F3B2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68ED1500" w14:textId="77777777" w:rsidR="00EB3389" w:rsidRDefault="00EB3389">
      <w:pPr>
        <w:jc w:val="left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6A4B986F" w14:textId="77777777" w:rsidR="00EB3389" w:rsidRPr="00EB3389" w:rsidRDefault="00EB3389" w:rsidP="00EB3389">
      <w:pPr>
        <w:pStyle w:val="Header"/>
        <w:rPr>
          <w:rFonts w:ascii="Arial" w:hAnsi="Arial"/>
          <w:b/>
        </w:rPr>
      </w:pPr>
      <w:r w:rsidRPr="00EB3389">
        <w:rPr>
          <w:rFonts w:ascii="Arial" w:hAnsi="Arial"/>
          <w:b/>
        </w:rPr>
        <w:lastRenderedPageBreak/>
        <w:t>ATTACHMENT A</w:t>
      </w:r>
    </w:p>
    <w:p w14:paraId="7123C8B1" w14:textId="77777777" w:rsidR="00EB3389" w:rsidRPr="00EB3389" w:rsidRDefault="00EB3389" w:rsidP="00EB3389">
      <w:pPr>
        <w:pStyle w:val="Header"/>
        <w:rPr>
          <w:rFonts w:ascii="Arial" w:hAnsi="Arial"/>
        </w:rPr>
      </w:pPr>
    </w:p>
    <w:p w14:paraId="04D71D80" w14:textId="419DDAD0" w:rsidR="00EB3389" w:rsidRPr="00EB3389" w:rsidRDefault="00AB286E" w:rsidP="00EB3389">
      <w:pPr>
        <w:pStyle w:val="Header"/>
        <w:rPr>
          <w:rFonts w:ascii="Arial" w:hAnsi="Arial"/>
        </w:rPr>
      </w:pPr>
      <w:r>
        <w:rPr>
          <w:rFonts w:ascii="Arial" w:hAnsi="Arial"/>
        </w:rPr>
        <w:t>TENANT RENTAL CREDIT SCHEME FOR SMALL BUSINESS AND NOT</w:t>
      </w:r>
      <w:r>
        <w:rPr>
          <w:rFonts w:ascii="Arial" w:hAnsi="Arial"/>
        </w:rPr>
        <w:noBreakHyphen/>
        <w:t>FOR</w:t>
      </w:r>
      <w:r>
        <w:rPr>
          <w:rFonts w:ascii="Arial" w:hAnsi="Arial"/>
        </w:rPr>
        <w:noBreakHyphen/>
        <w:t>PROFIT TENANTS OF GOVERNMENT-OWNED BUILDINGS</w:t>
      </w:r>
    </w:p>
    <w:p w14:paraId="4B9359E4" w14:textId="77777777" w:rsidR="00EB3389" w:rsidRPr="00EB3389" w:rsidRDefault="00EB3389" w:rsidP="00EB3389">
      <w:pPr>
        <w:pStyle w:val="Header"/>
        <w:rPr>
          <w:rFonts w:ascii="Arial" w:hAnsi="Arial"/>
        </w:rPr>
      </w:pPr>
    </w:p>
    <w:p w14:paraId="6EEC67FA" w14:textId="77777777" w:rsidR="00EB3389" w:rsidRPr="00EB3389" w:rsidRDefault="00EB3389" w:rsidP="00EB3389">
      <w:pPr>
        <w:pStyle w:val="Header"/>
        <w:rPr>
          <w:rFonts w:ascii="Arial" w:hAnsi="Arial"/>
          <w:b/>
        </w:rPr>
      </w:pPr>
      <w:r w:rsidRPr="00EB3389">
        <w:rPr>
          <w:rFonts w:ascii="Arial" w:hAnsi="Arial"/>
          <w:b/>
        </w:rPr>
        <w:t>Purpose and Scope</w:t>
      </w:r>
    </w:p>
    <w:p w14:paraId="7E5DCE17" w14:textId="77777777" w:rsidR="00EB3389" w:rsidRPr="00EB3389" w:rsidRDefault="00EB3389" w:rsidP="00EB3389">
      <w:pPr>
        <w:pStyle w:val="Header"/>
        <w:rPr>
          <w:rFonts w:ascii="Arial" w:hAnsi="Arial"/>
        </w:rPr>
      </w:pPr>
    </w:p>
    <w:p w14:paraId="6FB83453" w14:textId="1BA50C3F" w:rsidR="00EB3389" w:rsidRPr="00EB3389" w:rsidRDefault="00EB3389" w:rsidP="00A93A6E">
      <w:pPr>
        <w:pStyle w:val="Header"/>
        <w:numPr>
          <w:ilvl w:val="0"/>
          <w:numId w:val="14"/>
        </w:numPr>
        <w:spacing w:after="180"/>
        <w:rPr>
          <w:rFonts w:ascii="Arial" w:hAnsi="Arial"/>
        </w:rPr>
      </w:pPr>
      <w:r w:rsidRPr="00EB3389">
        <w:rPr>
          <w:rFonts w:ascii="Arial" w:hAnsi="Arial"/>
        </w:rPr>
        <w:t xml:space="preserve">This document sets out the </w:t>
      </w:r>
      <w:r w:rsidR="005043EF">
        <w:rPr>
          <w:rFonts w:ascii="Arial" w:hAnsi="Arial"/>
        </w:rPr>
        <w:t xml:space="preserve">Tenant Rental Credit Scheme for </w:t>
      </w:r>
      <w:r w:rsidR="009E162F">
        <w:rPr>
          <w:rFonts w:ascii="Arial" w:hAnsi="Arial"/>
        </w:rPr>
        <w:t>S</w:t>
      </w:r>
      <w:r w:rsidR="005043EF">
        <w:rPr>
          <w:rFonts w:ascii="Arial" w:hAnsi="Arial"/>
        </w:rPr>
        <w:t xml:space="preserve">mall </w:t>
      </w:r>
      <w:r w:rsidR="009E162F">
        <w:rPr>
          <w:rFonts w:ascii="Arial" w:hAnsi="Arial"/>
        </w:rPr>
        <w:t>B</w:t>
      </w:r>
      <w:r w:rsidR="005043EF">
        <w:rPr>
          <w:rFonts w:ascii="Arial" w:hAnsi="Arial"/>
        </w:rPr>
        <w:t xml:space="preserve">usiness and </w:t>
      </w:r>
      <w:r w:rsidR="009E162F">
        <w:rPr>
          <w:rFonts w:ascii="Arial" w:hAnsi="Arial"/>
        </w:rPr>
        <w:t>N</w:t>
      </w:r>
      <w:r w:rsidR="005043EF">
        <w:rPr>
          <w:rFonts w:ascii="Arial" w:hAnsi="Arial"/>
        </w:rPr>
        <w:t>ot</w:t>
      </w:r>
      <w:r w:rsidR="005043EF">
        <w:rPr>
          <w:rFonts w:ascii="Arial" w:hAnsi="Arial"/>
        </w:rPr>
        <w:noBreakHyphen/>
        <w:t>for</w:t>
      </w:r>
      <w:r w:rsidR="005043EF">
        <w:rPr>
          <w:rFonts w:ascii="Arial" w:hAnsi="Arial"/>
        </w:rPr>
        <w:noBreakHyphen/>
        <w:t xml:space="preserve">profit </w:t>
      </w:r>
      <w:r w:rsidR="009E162F">
        <w:rPr>
          <w:rFonts w:ascii="Arial" w:hAnsi="Arial"/>
        </w:rPr>
        <w:t>T</w:t>
      </w:r>
      <w:r w:rsidR="005043EF">
        <w:rPr>
          <w:rFonts w:ascii="Arial" w:hAnsi="Arial"/>
        </w:rPr>
        <w:t xml:space="preserve">enants of </w:t>
      </w:r>
      <w:r w:rsidR="009E162F">
        <w:rPr>
          <w:rFonts w:ascii="Arial" w:hAnsi="Arial"/>
        </w:rPr>
        <w:t>G</w:t>
      </w:r>
      <w:r w:rsidR="005043EF">
        <w:rPr>
          <w:rFonts w:ascii="Arial" w:hAnsi="Arial"/>
        </w:rPr>
        <w:t>overnment</w:t>
      </w:r>
      <w:r w:rsidR="005043EF">
        <w:rPr>
          <w:rFonts w:ascii="Arial" w:hAnsi="Arial"/>
        </w:rPr>
        <w:noBreakHyphen/>
        <w:t xml:space="preserve">owned </w:t>
      </w:r>
      <w:r w:rsidR="009E162F">
        <w:rPr>
          <w:rFonts w:ascii="Arial" w:hAnsi="Arial"/>
        </w:rPr>
        <w:t>B</w:t>
      </w:r>
      <w:r w:rsidR="005043EF">
        <w:rPr>
          <w:rFonts w:ascii="Arial" w:hAnsi="Arial"/>
        </w:rPr>
        <w:t>uildings</w:t>
      </w:r>
      <w:r w:rsidRPr="00EB3389">
        <w:rPr>
          <w:rFonts w:ascii="Arial" w:hAnsi="Arial"/>
        </w:rPr>
        <w:t xml:space="preserve"> (</w:t>
      </w:r>
      <w:r w:rsidR="005043EF">
        <w:rPr>
          <w:rFonts w:ascii="Arial" w:hAnsi="Arial"/>
          <w:b/>
        </w:rPr>
        <w:t>Scheme</w:t>
      </w:r>
      <w:r w:rsidRPr="00EB3389">
        <w:rPr>
          <w:rFonts w:ascii="Arial" w:hAnsi="Arial"/>
        </w:rPr>
        <w:t>).</w:t>
      </w:r>
    </w:p>
    <w:p w14:paraId="08BC4A9E" w14:textId="3ABA9DCE" w:rsidR="00EB3389" w:rsidRDefault="00EB3389" w:rsidP="00A93A6E">
      <w:pPr>
        <w:pStyle w:val="Header"/>
        <w:spacing w:after="180"/>
        <w:ind w:left="720"/>
        <w:rPr>
          <w:rFonts w:ascii="Arial" w:hAnsi="Arial"/>
        </w:rPr>
      </w:pPr>
      <w:r w:rsidRPr="00EB3389">
        <w:rPr>
          <w:rFonts w:ascii="Arial" w:hAnsi="Arial"/>
        </w:rPr>
        <w:t xml:space="preserve">The </w:t>
      </w:r>
      <w:r w:rsidR="005043EF">
        <w:rPr>
          <w:rFonts w:ascii="Arial" w:hAnsi="Arial"/>
        </w:rPr>
        <w:t>Scheme is</w:t>
      </w:r>
      <w:r w:rsidRPr="00EB3389">
        <w:rPr>
          <w:rFonts w:ascii="Arial" w:hAnsi="Arial"/>
        </w:rPr>
        <w:t xml:space="preserve"> part of </w:t>
      </w:r>
      <w:r w:rsidR="005043EF">
        <w:rPr>
          <w:rFonts w:ascii="Arial" w:hAnsi="Arial"/>
        </w:rPr>
        <w:t>the Level 1 COVID</w:t>
      </w:r>
      <w:r w:rsidR="005043EF">
        <w:rPr>
          <w:rFonts w:ascii="Arial" w:hAnsi="Arial"/>
        </w:rPr>
        <w:noBreakHyphen/>
        <w:t>19 Business Assistance P</w:t>
      </w:r>
      <w:r w:rsidRPr="00EB3389">
        <w:rPr>
          <w:rFonts w:ascii="Arial" w:hAnsi="Arial"/>
        </w:rPr>
        <w:t xml:space="preserve">ackage </w:t>
      </w:r>
      <w:r w:rsidR="005043EF">
        <w:rPr>
          <w:rFonts w:ascii="Arial" w:hAnsi="Arial"/>
        </w:rPr>
        <w:t>being</w:t>
      </w:r>
      <w:r w:rsidRPr="00EB3389">
        <w:rPr>
          <w:rFonts w:ascii="Arial" w:hAnsi="Arial"/>
        </w:rPr>
        <w:t xml:space="preserve"> implemented to assist small businesses and not-for-profit tenants of </w:t>
      </w:r>
      <w:r w:rsidR="005043EF">
        <w:rPr>
          <w:rFonts w:ascii="Arial" w:hAnsi="Arial"/>
        </w:rPr>
        <w:t>government</w:t>
      </w:r>
      <w:r w:rsidR="005043EF">
        <w:rPr>
          <w:rFonts w:ascii="Arial" w:hAnsi="Arial"/>
        </w:rPr>
        <w:noBreakHyphen/>
        <w:t>owned buildings</w:t>
      </w:r>
      <w:r w:rsidRPr="00EB3389">
        <w:rPr>
          <w:rFonts w:ascii="Arial" w:hAnsi="Arial"/>
        </w:rPr>
        <w:t xml:space="preserve"> to manage the</w:t>
      </w:r>
      <w:r w:rsidR="00A93A6E">
        <w:rPr>
          <w:rFonts w:ascii="Arial" w:hAnsi="Arial"/>
        </w:rPr>
        <w:t xml:space="preserve"> financial impacts of COVID-19.</w:t>
      </w:r>
    </w:p>
    <w:p w14:paraId="3A87499E" w14:textId="7CF4D972" w:rsidR="00EB3389" w:rsidRPr="00EB3389" w:rsidRDefault="005043EF" w:rsidP="00A93A6E">
      <w:pPr>
        <w:pStyle w:val="Header"/>
        <w:numPr>
          <w:ilvl w:val="0"/>
          <w:numId w:val="14"/>
        </w:numPr>
        <w:spacing w:after="180"/>
        <w:rPr>
          <w:rFonts w:ascii="Arial" w:hAnsi="Arial"/>
        </w:rPr>
      </w:pPr>
      <w:r>
        <w:rPr>
          <w:rFonts w:ascii="Arial" w:hAnsi="Arial"/>
        </w:rPr>
        <w:t>This document</w:t>
      </w:r>
      <w:r w:rsidR="00EB3389" w:rsidRPr="00EB3389">
        <w:rPr>
          <w:rFonts w:ascii="Arial" w:hAnsi="Arial"/>
        </w:rPr>
        <w:t xml:space="preserve"> must be read subject to any written or other law that operates to confer a right on a tenant of a landlord in the circumstances set out herein, or which otherwise affects the implementation of the </w:t>
      </w:r>
      <w:r>
        <w:rPr>
          <w:rFonts w:ascii="Arial" w:hAnsi="Arial"/>
        </w:rPr>
        <w:t>Scheme</w:t>
      </w:r>
      <w:r w:rsidR="00EB3389" w:rsidRPr="00EB3389">
        <w:rPr>
          <w:rFonts w:ascii="Arial" w:hAnsi="Arial"/>
        </w:rPr>
        <w:t>.</w:t>
      </w:r>
    </w:p>
    <w:p w14:paraId="73201168" w14:textId="77777777" w:rsidR="00EB3389" w:rsidRPr="00A93A6E" w:rsidRDefault="00EB3389" w:rsidP="00A93A6E">
      <w:pPr>
        <w:pStyle w:val="Header"/>
        <w:spacing w:after="180"/>
        <w:rPr>
          <w:rFonts w:ascii="Arial" w:hAnsi="Arial"/>
          <w:b/>
        </w:rPr>
      </w:pPr>
      <w:r w:rsidRPr="00A93A6E">
        <w:rPr>
          <w:rFonts w:ascii="Arial" w:hAnsi="Arial"/>
          <w:b/>
        </w:rPr>
        <w:t>Definitions</w:t>
      </w:r>
    </w:p>
    <w:p w14:paraId="3048A8E9" w14:textId="5846F4F5" w:rsidR="00EB3389" w:rsidRPr="00EB3389" w:rsidRDefault="00EB3389" w:rsidP="00A93A6E">
      <w:pPr>
        <w:pStyle w:val="Header"/>
        <w:numPr>
          <w:ilvl w:val="0"/>
          <w:numId w:val="14"/>
        </w:numPr>
        <w:spacing w:after="180"/>
        <w:rPr>
          <w:rFonts w:ascii="Arial" w:hAnsi="Arial"/>
        </w:rPr>
      </w:pPr>
      <w:r w:rsidRPr="00EB3389">
        <w:rPr>
          <w:rFonts w:ascii="Arial" w:hAnsi="Arial"/>
        </w:rPr>
        <w:t xml:space="preserve">For the purposes of the </w:t>
      </w:r>
      <w:r w:rsidR="005043EF">
        <w:rPr>
          <w:rFonts w:ascii="Arial" w:hAnsi="Arial"/>
        </w:rPr>
        <w:t>Scheme</w:t>
      </w:r>
      <w:r w:rsidRPr="00EB3389">
        <w:rPr>
          <w:rFonts w:ascii="Arial" w:hAnsi="Arial"/>
        </w:rPr>
        <w:t>, the following definitions apply:</w:t>
      </w:r>
    </w:p>
    <w:p w14:paraId="6E84BC4C" w14:textId="77777777" w:rsidR="00EB3389" w:rsidRPr="00EB3389" w:rsidRDefault="00EB3389" w:rsidP="00FC6C5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A93A6E">
        <w:rPr>
          <w:rFonts w:ascii="Arial" w:hAnsi="Arial"/>
          <w:b/>
        </w:rPr>
        <w:t>affected lease</w:t>
      </w:r>
      <w:r w:rsidRPr="00EB3389">
        <w:rPr>
          <w:rFonts w:ascii="Arial" w:hAnsi="Arial"/>
        </w:rPr>
        <w:t xml:space="preserve"> means:</w:t>
      </w:r>
    </w:p>
    <w:p w14:paraId="75389EA6" w14:textId="77777777" w:rsidR="00EB3389" w:rsidRPr="00EB3389" w:rsidRDefault="00EB3389" w:rsidP="00A93A6E">
      <w:pPr>
        <w:pStyle w:val="Header"/>
        <w:numPr>
          <w:ilvl w:val="2"/>
          <w:numId w:val="15"/>
        </w:numPr>
        <w:tabs>
          <w:tab w:val="clear" w:pos="4153"/>
          <w:tab w:val="left" w:pos="2127"/>
        </w:tabs>
        <w:spacing w:after="180"/>
        <w:ind w:left="2127" w:hanging="567"/>
        <w:rPr>
          <w:rFonts w:ascii="Arial" w:hAnsi="Arial"/>
        </w:rPr>
      </w:pPr>
      <w:r w:rsidRPr="00EB3389">
        <w:rPr>
          <w:rFonts w:ascii="Arial" w:hAnsi="Arial"/>
        </w:rPr>
        <w:t>a lease from a landlord where the tenant or secondary tenant owns and operate</w:t>
      </w:r>
      <w:r w:rsidR="000D2242">
        <w:rPr>
          <w:rFonts w:ascii="Arial" w:hAnsi="Arial"/>
        </w:rPr>
        <w:t>s</w:t>
      </w:r>
      <w:r w:rsidRPr="00EB3389">
        <w:rPr>
          <w:rFonts w:ascii="Arial" w:hAnsi="Arial"/>
        </w:rPr>
        <w:t xml:space="preserve"> a small business and uses the premises that are the subject of the lease for the purposes of carrying on that business; or</w:t>
      </w:r>
    </w:p>
    <w:p w14:paraId="182B4E01" w14:textId="77777777" w:rsidR="00EB3389" w:rsidRPr="00EB3389" w:rsidRDefault="00EB3389" w:rsidP="00A93A6E">
      <w:pPr>
        <w:pStyle w:val="Header"/>
        <w:numPr>
          <w:ilvl w:val="2"/>
          <w:numId w:val="15"/>
        </w:numPr>
        <w:tabs>
          <w:tab w:val="clear" w:pos="4153"/>
          <w:tab w:val="left" w:pos="2127"/>
        </w:tabs>
        <w:spacing w:after="180"/>
        <w:ind w:left="2127" w:hanging="567"/>
        <w:rPr>
          <w:rFonts w:ascii="Arial" w:hAnsi="Arial"/>
        </w:rPr>
      </w:pPr>
      <w:r w:rsidRPr="00EB3389">
        <w:rPr>
          <w:rFonts w:ascii="Arial" w:hAnsi="Arial"/>
        </w:rPr>
        <w:t>a lease from a landlord where the tenant or secondary tenant is a not-for-profit and uses the premises for carrying on the business of that not-for-profit.</w:t>
      </w:r>
    </w:p>
    <w:p w14:paraId="505C2E0A" w14:textId="77777777" w:rsidR="00FD60A1" w:rsidRPr="00FD60A1" w:rsidRDefault="00FD60A1" w:rsidP="00FC6C5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FD60A1">
        <w:rPr>
          <w:rFonts w:ascii="Arial" w:hAnsi="Arial"/>
          <w:b/>
        </w:rPr>
        <w:t>effective date</w:t>
      </w:r>
      <w:r w:rsidRPr="00FD60A1">
        <w:rPr>
          <w:rFonts w:ascii="Arial" w:hAnsi="Arial"/>
        </w:rPr>
        <w:t xml:space="preserve"> means 24 February 2022.</w:t>
      </w:r>
    </w:p>
    <w:p w14:paraId="7B5F1FE1" w14:textId="77777777" w:rsidR="00FD60A1" w:rsidRPr="00FD60A1" w:rsidRDefault="00FD60A1" w:rsidP="00FC6C5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FD60A1">
        <w:rPr>
          <w:rFonts w:ascii="Arial" w:hAnsi="Arial"/>
          <w:b/>
        </w:rPr>
        <w:t>Government Organisation</w:t>
      </w:r>
      <w:r w:rsidRPr="00FD60A1">
        <w:rPr>
          <w:rFonts w:ascii="Arial" w:hAnsi="Arial"/>
        </w:rPr>
        <w:t xml:space="preserve"> means a department or agency as defined in the Public Sector Management Act 1994.</w:t>
      </w:r>
    </w:p>
    <w:p w14:paraId="0B56EA4F" w14:textId="77777777" w:rsidR="00FD60A1" w:rsidRPr="00FD60A1" w:rsidRDefault="00FD60A1" w:rsidP="00FC6C5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FD60A1">
        <w:rPr>
          <w:rFonts w:ascii="Arial" w:hAnsi="Arial"/>
          <w:b/>
        </w:rPr>
        <w:t>landlord</w:t>
      </w:r>
      <w:r w:rsidRPr="00FD60A1">
        <w:rPr>
          <w:rFonts w:ascii="Arial" w:hAnsi="Arial"/>
        </w:rPr>
        <w:t xml:space="preserve"> means the person who, under a lease, grants the tenant the right to occupy the premises or the land that are the subject of the lease and who is also a Government Organisation.</w:t>
      </w:r>
    </w:p>
    <w:p w14:paraId="20679E03" w14:textId="77777777" w:rsidR="00FD60A1" w:rsidRPr="00FD60A1" w:rsidRDefault="00FD60A1" w:rsidP="00FC6C5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FD60A1">
        <w:rPr>
          <w:rFonts w:ascii="Arial" w:hAnsi="Arial"/>
          <w:b/>
        </w:rPr>
        <w:t xml:space="preserve">lease </w:t>
      </w:r>
      <w:r w:rsidRPr="00FD60A1">
        <w:rPr>
          <w:rFonts w:ascii="Arial" w:hAnsi="Arial"/>
        </w:rPr>
        <w:t>means any lease, sublease, licence or other agreement under which a person grants a right to another person to occupy premises whether or not that right is a right of exclusive occupation and whether or not the lease, sublease, licence or other agreement is in writing.</w:t>
      </w:r>
    </w:p>
    <w:p w14:paraId="42258D3D" w14:textId="77777777" w:rsidR="00FD60A1" w:rsidRPr="00FD60A1" w:rsidRDefault="00FD60A1" w:rsidP="00FC6C5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FD60A1">
        <w:rPr>
          <w:rFonts w:ascii="Arial" w:hAnsi="Arial"/>
          <w:b/>
        </w:rPr>
        <w:t>not-for-profit</w:t>
      </w:r>
      <w:r w:rsidRPr="00FD60A1">
        <w:rPr>
          <w:rFonts w:ascii="Arial" w:hAnsi="Arial"/>
        </w:rPr>
        <w:t xml:space="preserve"> means an entity operated for a purpose other than for profit and incorporated under the </w:t>
      </w:r>
      <w:r w:rsidRPr="00FD60A1">
        <w:rPr>
          <w:rFonts w:ascii="Arial" w:hAnsi="Arial"/>
          <w:i/>
        </w:rPr>
        <w:t>Associations Incorporation Act 2015</w:t>
      </w:r>
      <w:r>
        <w:rPr>
          <w:rFonts w:ascii="Arial" w:hAnsi="Arial"/>
        </w:rPr>
        <w:t xml:space="preserve"> (WA).</w:t>
      </w:r>
    </w:p>
    <w:p w14:paraId="35A8472F" w14:textId="77777777" w:rsidR="00FD60A1" w:rsidRPr="00FD60A1" w:rsidRDefault="00FD60A1" w:rsidP="00FC6C5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FD60A1">
        <w:rPr>
          <w:rFonts w:ascii="Arial" w:hAnsi="Arial"/>
          <w:b/>
        </w:rPr>
        <w:t xml:space="preserve">rent </w:t>
      </w:r>
      <w:r w:rsidRPr="00FD60A1">
        <w:rPr>
          <w:rFonts w:ascii="Arial" w:hAnsi="Arial"/>
        </w:rPr>
        <w:t>means a payment characterised as fee that is payable in connection with th</w:t>
      </w:r>
      <w:r>
        <w:rPr>
          <w:rFonts w:ascii="Arial" w:hAnsi="Arial"/>
        </w:rPr>
        <w:t>e use or occupation or premises.</w:t>
      </w:r>
    </w:p>
    <w:p w14:paraId="13BFB0BE" w14:textId="77777777" w:rsidR="00FD60A1" w:rsidRPr="00FD60A1" w:rsidRDefault="00FD60A1" w:rsidP="00FC6C5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FD60A1">
        <w:rPr>
          <w:rFonts w:ascii="Arial" w:hAnsi="Arial"/>
          <w:b/>
        </w:rPr>
        <w:lastRenderedPageBreak/>
        <w:t>secondary tenant</w:t>
      </w:r>
      <w:r w:rsidRPr="00FD60A1">
        <w:rPr>
          <w:rFonts w:ascii="Arial" w:hAnsi="Arial"/>
        </w:rPr>
        <w:t xml:space="preserve"> means a tenant to whom the tenant under an affected lease has granted a lease over the whole or any part of the premises th</w:t>
      </w:r>
      <w:r>
        <w:rPr>
          <w:rFonts w:ascii="Arial" w:hAnsi="Arial"/>
        </w:rPr>
        <w:t>e subject of the affected lease.</w:t>
      </w:r>
    </w:p>
    <w:p w14:paraId="3BEC1442" w14:textId="77777777" w:rsidR="00FD60A1" w:rsidRPr="00FD60A1" w:rsidRDefault="00FD60A1" w:rsidP="00FC6C5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FD60A1">
        <w:rPr>
          <w:rFonts w:ascii="Arial" w:hAnsi="Arial"/>
          <w:b/>
        </w:rPr>
        <w:t>small business</w:t>
      </w:r>
      <w:r w:rsidRPr="00FD60A1">
        <w:rPr>
          <w:rFonts w:ascii="Arial" w:hAnsi="Arial"/>
        </w:rPr>
        <w:t xml:space="preserve"> has the meaning given to that term in section 3 of the </w:t>
      </w:r>
      <w:r w:rsidRPr="00FD60A1">
        <w:rPr>
          <w:rFonts w:ascii="Arial" w:hAnsi="Arial"/>
          <w:i/>
        </w:rPr>
        <w:t>Small Business Development Corporation Act 1983</w:t>
      </w:r>
      <w:r w:rsidRPr="00FD60A1">
        <w:rPr>
          <w:rFonts w:ascii="Arial" w:hAnsi="Arial"/>
        </w:rPr>
        <w:t xml:space="preserve"> (WA) with eligibility for this program requiring businesses to have an annual revenue of more than $50,000 and equal to or less than $4 million annual payroll.</w:t>
      </w:r>
    </w:p>
    <w:p w14:paraId="6AD1FA65" w14:textId="77777777" w:rsidR="00FD60A1" w:rsidRPr="00FD60A1" w:rsidRDefault="00FD60A1" w:rsidP="00FC6C5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FD60A1">
        <w:rPr>
          <w:rFonts w:ascii="Arial" w:hAnsi="Arial"/>
          <w:b/>
        </w:rPr>
        <w:t xml:space="preserve">tenant </w:t>
      </w:r>
      <w:r w:rsidRPr="00FD60A1">
        <w:rPr>
          <w:rFonts w:ascii="Arial" w:hAnsi="Arial"/>
        </w:rPr>
        <w:t>means a small business or not-for-profit that is also the person who, under a lease, is entitled to occupy the land or premises that are the subject of the lease or sub-lease; and</w:t>
      </w:r>
    </w:p>
    <w:p w14:paraId="147FED67" w14:textId="77777777" w:rsidR="00FD60A1" w:rsidRPr="00FD60A1" w:rsidRDefault="00FD60A1" w:rsidP="00FC6C5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FD60A1">
        <w:rPr>
          <w:rFonts w:ascii="Arial" w:hAnsi="Arial"/>
          <w:b/>
        </w:rPr>
        <w:t>eligible assistance period</w:t>
      </w:r>
      <w:r w:rsidRPr="00FD60A1">
        <w:rPr>
          <w:rFonts w:ascii="Arial" w:hAnsi="Arial"/>
        </w:rPr>
        <w:t xml:space="preserve"> relates to the 1 January to the 30 April 2022 or such other longer or shorter period as determined by the Premier.</w:t>
      </w:r>
    </w:p>
    <w:p w14:paraId="0AC353E0" w14:textId="45D97972" w:rsidR="00EB3389" w:rsidRPr="003F1931" w:rsidRDefault="00EB3389" w:rsidP="00A93A6E">
      <w:pPr>
        <w:pStyle w:val="Header"/>
        <w:spacing w:after="180"/>
        <w:rPr>
          <w:rFonts w:ascii="Arial" w:hAnsi="Arial"/>
          <w:b/>
        </w:rPr>
      </w:pPr>
      <w:r w:rsidRPr="003F1931">
        <w:rPr>
          <w:rFonts w:ascii="Arial" w:hAnsi="Arial"/>
          <w:b/>
        </w:rPr>
        <w:t xml:space="preserve">Measures to be Implemented in Relation </w:t>
      </w:r>
      <w:r w:rsidR="005043EF">
        <w:rPr>
          <w:rFonts w:ascii="Arial" w:hAnsi="Arial"/>
          <w:b/>
        </w:rPr>
        <w:t xml:space="preserve">to </w:t>
      </w:r>
      <w:r w:rsidRPr="003F1931">
        <w:rPr>
          <w:rFonts w:ascii="Arial" w:hAnsi="Arial"/>
          <w:b/>
        </w:rPr>
        <w:t>Affected Leases</w:t>
      </w:r>
    </w:p>
    <w:p w14:paraId="0275687C" w14:textId="77777777" w:rsidR="00EB3389" w:rsidRPr="00EB3389" w:rsidRDefault="00EB3389" w:rsidP="006C4DB3">
      <w:pPr>
        <w:pStyle w:val="Header"/>
        <w:numPr>
          <w:ilvl w:val="0"/>
          <w:numId w:val="14"/>
        </w:numPr>
        <w:spacing w:after="180"/>
        <w:rPr>
          <w:rFonts w:ascii="Arial" w:hAnsi="Arial"/>
        </w:rPr>
      </w:pPr>
      <w:r w:rsidRPr="00EB3389">
        <w:rPr>
          <w:rFonts w:ascii="Arial" w:hAnsi="Arial"/>
        </w:rPr>
        <w:t>Subject to paragraphs 5 and 6 a landlord must implement, and do all things necessary to implement, the following measures in relation to a tenant under an affected lease, notwithstanding any enforceable contractual entitlement to the payment of rent:</w:t>
      </w:r>
    </w:p>
    <w:p w14:paraId="6D3601AF" w14:textId="5CC181B2" w:rsidR="00E21E5D" w:rsidRDefault="00EB3389" w:rsidP="00FC6C5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6C4DB3">
        <w:rPr>
          <w:rFonts w:ascii="Arial" w:hAnsi="Arial"/>
        </w:rPr>
        <w:t xml:space="preserve">a landlord must provide rent relief under the lease or provide a refund in the case of a sub-lease of $6,000 for tenants which are small businesses, as defined above, who have experienced a reduction in turnover of at least 30% for any </w:t>
      </w:r>
      <w:r w:rsidR="00E21E5D">
        <w:rPr>
          <w:rFonts w:ascii="Arial" w:hAnsi="Arial"/>
        </w:rPr>
        <w:t>four</w:t>
      </w:r>
      <w:r w:rsidRPr="006C4DB3">
        <w:rPr>
          <w:rFonts w:ascii="Arial" w:hAnsi="Arial"/>
        </w:rPr>
        <w:t>-week consecutive time-frame between 1 January 2022 to 30 April 2022, compared to the equivalent period in 2021</w:t>
      </w:r>
      <w:r w:rsidR="00E21E5D">
        <w:rPr>
          <w:rFonts w:ascii="Arial" w:hAnsi="Arial"/>
        </w:rPr>
        <w:t>, or an alternative period if:</w:t>
      </w:r>
    </w:p>
    <w:p w14:paraId="4BEB8FF6" w14:textId="7A8BA282" w:rsidR="00E21E5D" w:rsidRDefault="00E21E5D" w:rsidP="00E21E5D">
      <w:pPr>
        <w:pStyle w:val="Header"/>
        <w:numPr>
          <w:ilvl w:val="2"/>
          <w:numId w:val="14"/>
        </w:numPr>
        <w:tabs>
          <w:tab w:val="clear" w:pos="4153"/>
          <w:tab w:val="clear" w:pos="8306"/>
          <w:tab w:val="left" w:pos="2126"/>
        </w:tabs>
        <w:spacing w:after="180"/>
        <w:ind w:left="2126" w:hanging="567"/>
        <w:rPr>
          <w:rFonts w:ascii="Arial" w:hAnsi="Arial"/>
        </w:rPr>
      </w:pPr>
      <w:r>
        <w:rPr>
          <w:rFonts w:ascii="Arial" w:hAnsi="Arial"/>
        </w:rPr>
        <w:t xml:space="preserve">the businesses did not operate in that </w:t>
      </w:r>
      <w:r w:rsidR="0091762C">
        <w:rPr>
          <w:rFonts w:ascii="Arial" w:hAnsi="Arial"/>
        </w:rPr>
        <w:t>period in 2021</w:t>
      </w:r>
      <w:r>
        <w:rPr>
          <w:rFonts w:ascii="Arial" w:hAnsi="Arial"/>
        </w:rPr>
        <w:t>, or</w:t>
      </w:r>
    </w:p>
    <w:p w14:paraId="26FEA4D0" w14:textId="77777777" w:rsidR="00EB3389" w:rsidRPr="006C4DB3" w:rsidRDefault="00E21E5D" w:rsidP="00E21E5D">
      <w:pPr>
        <w:pStyle w:val="Header"/>
        <w:numPr>
          <w:ilvl w:val="2"/>
          <w:numId w:val="14"/>
        </w:numPr>
        <w:tabs>
          <w:tab w:val="clear" w:pos="4153"/>
          <w:tab w:val="clear" w:pos="8306"/>
          <w:tab w:val="left" w:pos="2126"/>
        </w:tabs>
        <w:spacing w:after="180"/>
        <w:ind w:left="2126" w:hanging="567"/>
        <w:rPr>
          <w:rFonts w:ascii="Arial" w:hAnsi="Arial"/>
        </w:rPr>
      </w:pPr>
      <w:r>
        <w:rPr>
          <w:rFonts w:ascii="Arial" w:hAnsi="Arial"/>
        </w:rPr>
        <w:t>it provides an inaccurate presentation of a business</w:t>
      </w:r>
      <w:r w:rsidR="00EB3389" w:rsidRPr="006C4DB3">
        <w:rPr>
          <w:rFonts w:ascii="Arial" w:hAnsi="Arial"/>
        </w:rPr>
        <w:t>.</w:t>
      </w:r>
    </w:p>
    <w:p w14:paraId="12058E3E" w14:textId="77777777" w:rsidR="00EB3389" w:rsidRPr="00EB3389" w:rsidRDefault="00EB3389" w:rsidP="00FC6C5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EB3389">
        <w:rPr>
          <w:rFonts w:ascii="Arial" w:hAnsi="Arial"/>
        </w:rPr>
        <w:t>where the eligible tenant has paid rent in advance, the landlord must still affect the assistance of</w:t>
      </w:r>
      <w:r w:rsidR="00FC6C5C">
        <w:rPr>
          <w:rFonts w:ascii="Arial" w:hAnsi="Arial"/>
        </w:rPr>
        <w:t xml:space="preserve"> rent referred to in paragraph </w:t>
      </w:r>
      <w:r w:rsidR="009A5627">
        <w:rPr>
          <w:rFonts w:ascii="Arial" w:hAnsi="Arial"/>
        </w:rPr>
        <w:t>(</w:t>
      </w:r>
      <w:r w:rsidRPr="00EB3389">
        <w:rPr>
          <w:rFonts w:ascii="Arial" w:hAnsi="Arial"/>
        </w:rPr>
        <w:t>a) and may do so by:</w:t>
      </w:r>
    </w:p>
    <w:p w14:paraId="7A2E895B" w14:textId="77777777" w:rsidR="00EB3389" w:rsidRPr="00EB3389" w:rsidRDefault="00EB3389" w:rsidP="006C4DB3">
      <w:pPr>
        <w:pStyle w:val="Header"/>
        <w:numPr>
          <w:ilvl w:val="0"/>
          <w:numId w:val="16"/>
        </w:numPr>
        <w:tabs>
          <w:tab w:val="clear" w:pos="4153"/>
          <w:tab w:val="left" w:pos="2127"/>
        </w:tabs>
        <w:spacing w:after="180"/>
        <w:ind w:hanging="600"/>
        <w:rPr>
          <w:rFonts w:ascii="Arial" w:hAnsi="Arial"/>
        </w:rPr>
      </w:pPr>
      <w:r w:rsidRPr="00EB3389">
        <w:rPr>
          <w:rFonts w:ascii="Arial" w:hAnsi="Arial"/>
        </w:rPr>
        <w:t>deferring the assistance</w:t>
      </w:r>
      <w:r w:rsidR="00C4204D">
        <w:rPr>
          <w:rFonts w:ascii="Arial" w:hAnsi="Arial"/>
        </w:rPr>
        <w:t xml:space="preserve"> </w:t>
      </w:r>
      <w:r w:rsidRPr="00EB3389">
        <w:rPr>
          <w:rFonts w:ascii="Arial" w:hAnsi="Arial"/>
        </w:rPr>
        <w:t>period to take effect as if the effective date was the last date until which the rent has been paid in advance; or</w:t>
      </w:r>
    </w:p>
    <w:p w14:paraId="66586809" w14:textId="77777777" w:rsidR="00EB3389" w:rsidRPr="00EB3389" w:rsidRDefault="00EB3389" w:rsidP="006C4DB3">
      <w:pPr>
        <w:pStyle w:val="Header"/>
        <w:numPr>
          <w:ilvl w:val="0"/>
          <w:numId w:val="16"/>
        </w:numPr>
        <w:tabs>
          <w:tab w:val="clear" w:pos="4153"/>
          <w:tab w:val="left" w:pos="2127"/>
        </w:tabs>
        <w:spacing w:after="180"/>
        <w:ind w:hanging="600"/>
        <w:rPr>
          <w:rFonts w:ascii="Arial" w:hAnsi="Arial"/>
        </w:rPr>
      </w:pPr>
      <w:r w:rsidRPr="00EB3389">
        <w:rPr>
          <w:rFonts w:ascii="Arial" w:hAnsi="Arial"/>
        </w:rPr>
        <w:t>through a reduction in some other amount payable during the assistance</w:t>
      </w:r>
      <w:r w:rsidR="00C4204D">
        <w:rPr>
          <w:rFonts w:ascii="Arial" w:hAnsi="Arial"/>
        </w:rPr>
        <w:t xml:space="preserve"> </w:t>
      </w:r>
      <w:r w:rsidRPr="00EB3389">
        <w:rPr>
          <w:rFonts w:ascii="Arial" w:hAnsi="Arial"/>
        </w:rPr>
        <w:t>period under the lease up to the value of any rent that has been paid for that same period;</w:t>
      </w:r>
    </w:p>
    <w:p w14:paraId="689C0466" w14:textId="77777777" w:rsidR="00EB3389" w:rsidRPr="00EB3389" w:rsidRDefault="00EB3389" w:rsidP="006C4DB3">
      <w:pPr>
        <w:pStyle w:val="Header"/>
        <w:numPr>
          <w:ilvl w:val="0"/>
          <w:numId w:val="16"/>
        </w:numPr>
        <w:tabs>
          <w:tab w:val="clear" w:pos="4153"/>
          <w:tab w:val="left" w:pos="2127"/>
        </w:tabs>
        <w:spacing w:after="180"/>
        <w:ind w:hanging="600"/>
        <w:rPr>
          <w:rFonts w:ascii="Arial" w:hAnsi="Arial"/>
        </w:rPr>
      </w:pPr>
      <w:r w:rsidRPr="00EB3389">
        <w:rPr>
          <w:rFonts w:ascii="Arial" w:hAnsi="Arial"/>
        </w:rPr>
        <w:t>by some other means agreed between the landlord and the tenant; and</w:t>
      </w:r>
    </w:p>
    <w:p w14:paraId="4461A2CF" w14:textId="77777777" w:rsidR="00EB3389" w:rsidRPr="00EB3389" w:rsidRDefault="00EB3389" w:rsidP="00FC6C5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EB3389">
        <w:rPr>
          <w:rFonts w:ascii="Arial" w:hAnsi="Arial"/>
        </w:rPr>
        <w:t>A landlord must contact lessees regarding the rent relief program and, where sub-leasing occurs, require the tenant to inform their sub-lessees of the ability to apply for assistance to be funded by the landlord.</w:t>
      </w:r>
    </w:p>
    <w:p w14:paraId="70AFAC4C" w14:textId="77777777" w:rsidR="00E21E5D" w:rsidRPr="00E21E5D" w:rsidRDefault="00E21E5D">
      <w:pPr>
        <w:jc w:val="left"/>
      </w:pPr>
      <w:r w:rsidRPr="00E21E5D">
        <w:br w:type="page"/>
      </w:r>
    </w:p>
    <w:p w14:paraId="1E71DC4B" w14:textId="77777777" w:rsidR="00EB3389" w:rsidRPr="002E070C" w:rsidRDefault="00EB3389" w:rsidP="00A93A6E">
      <w:pPr>
        <w:pStyle w:val="Header"/>
        <w:spacing w:after="180"/>
        <w:rPr>
          <w:rFonts w:ascii="Arial" w:hAnsi="Arial"/>
          <w:b/>
        </w:rPr>
      </w:pPr>
      <w:r w:rsidRPr="002E070C">
        <w:rPr>
          <w:rFonts w:ascii="Arial" w:hAnsi="Arial"/>
          <w:b/>
        </w:rPr>
        <w:lastRenderedPageBreak/>
        <w:t>Conditions to be Satisfied</w:t>
      </w:r>
    </w:p>
    <w:p w14:paraId="111CE651" w14:textId="77777777" w:rsidR="00EB3389" w:rsidRPr="00EB3389" w:rsidRDefault="00EB3389" w:rsidP="002E070C">
      <w:pPr>
        <w:pStyle w:val="Header"/>
        <w:numPr>
          <w:ilvl w:val="0"/>
          <w:numId w:val="14"/>
        </w:numPr>
        <w:spacing w:after="180"/>
        <w:rPr>
          <w:rFonts w:ascii="Arial" w:hAnsi="Arial"/>
        </w:rPr>
      </w:pPr>
      <w:r w:rsidRPr="00EB3389">
        <w:rPr>
          <w:rFonts w:ascii="Arial" w:hAnsi="Arial"/>
        </w:rPr>
        <w:t xml:space="preserve">A landlord is only required to implement the measures set out in paragraph </w:t>
      </w:r>
      <w:r w:rsidR="002E070C">
        <w:rPr>
          <w:rFonts w:ascii="Arial" w:hAnsi="Arial"/>
        </w:rPr>
        <w:t>4</w:t>
      </w:r>
      <w:r w:rsidR="002E070C" w:rsidRPr="00EB3389">
        <w:rPr>
          <w:rFonts w:ascii="Arial" w:hAnsi="Arial"/>
        </w:rPr>
        <w:t xml:space="preserve"> </w:t>
      </w:r>
      <w:r w:rsidRPr="00EB3389">
        <w:rPr>
          <w:rFonts w:ascii="Arial" w:hAnsi="Arial"/>
        </w:rPr>
        <w:t xml:space="preserve">where the tenant of the affected lease is </w:t>
      </w:r>
      <w:r w:rsidR="002E070C" w:rsidRPr="00EB3389">
        <w:rPr>
          <w:rFonts w:ascii="Arial" w:hAnsi="Arial"/>
        </w:rPr>
        <w:t>complian</w:t>
      </w:r>
      <w:r w:rsidR="002E070C">
        <w:rPr>
          <w:rFonts w:ascii="Arial" w:hAnsi="Arial"/>
        </w:rPr>
        <w:t>t</w:t>
      </w:r>
      <w:r w:rsidR="002E070C" w:rsidRPr="00EB3389">
        <w:rPr>
          <w:rFonts w:ascii="Arial" w:hAnsi="Arial"/>
        </w:rPr>
        <w:t xml:space="preserve"> </w:t>
      </w:r>
      <w:r w:rsidRPr="00EB3389">
        <w:rPr>
          <w:rFonts w:ascii="Arial" w:hAnsi="Arial"/>
        </w:rPr>
        <w:t xml:space="preserve">with the lease and continues to be </w:t>
      </w:r>
      <w:r w:rsidR="002E070C">
        <w:rPr>
          <w:rFonts w:ascii="Arial" w:hAnsi="Arial"/>
        </w:rPr>
        <w:t>compliant</w:t>
      </w:r>
      <w:r w:rsidRPr="00EB3389">
        <w:rPr>
          <w:rFonts w:ascii="Arial" w:hAnsi="Arial"/>
        </w:rPr>
        <w:t xml:space="preserve"> during the assistance period or during any period referred to in paragraph </w:t>
      </w:r>
      <w:r w:rsidR="002E070C">
        <w:rPr>
          <w:rFonts w:ascii="Arial" w:hAnsi="Arial"/>
        </w:rPr>
        <w:t>4(b)(i)</w:t>
      </w:r>
      <w:r w:rsidRPr="00EB3389">
        <w:rPr>
          <w:rFonts w:ascii="Arial" w:hAnsi="Arial"/>
        </w:rPr>
        <w:t xml:space="preserve"> (where applicable).</w:t>
      </w:r>
    </w:p>
    <w:p w14:paraId="1CBC6654" w14:textId="77777777" w:rsidR="00EB3389" w:rsidRPr="00EB3389" w:rsidRDefault="00EB3389" w:rsidP="002E070C">
      <w:pPr>
        <w:pStyle w:val="Header"/>
        <w:numPr>
          <w:ilvl w:val="0"/>
          <w:numId w:val="14"/>
        </w:numPr>
        <w:spacing w:after="180"/>
        <w:rPr>
          <w:rFonts w:ascii="Arial" w:hAnsi="Arial"/>
        </w:rPr>
      </w:pPr>
      <w:r w:rsidRPr="00EB3389">
        <w:rPr>
          <w:rFonts w:ascii="Arial" w:hAnsi="Arial"/>
        </w:rPr>
        <w:t xml:space="preserve">Notwithstanding paragraph </w:t>
      </w:r>
      <w:r w:rsidR="002E070C">
        <w:rPr>
          <w:rFonts w:ascii="Arial" w:hAnsi="Arial"/>
        </w:rPr>
        <w:t>5</w:t>
      </w:r>
      <w:r w:rsidRPr="00EB3389">
        <w:rPr>
          <w:rFonts w:ascii="Arial" w:hAnsi="Arial"/>
        </w:rPr>
        <w:t>, where the landlord is satisfied that:</w:t>
      </w:r>
    </w:p>
    <w:p w14:paraId="02AE6123" w14:textId="77777777" w:rsidR="00EB3389" w:rsidRPr="00EB3389" w:rsidRDefault="00EB3389" w:rsidP="00EE7B2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EB3389">
        <w:rPr>
          <w:rFonts w:ascii="Arial" w:hAnsi="Arial"/>
        </w:rPr>
        <w:t>any non-compliance with an affected lease is of a trivial and not material nature; or</w:t>
      </w:r>
    </w:p>
    <w:p w14:paraId="76D12D2A" w14:textId="77777777" w:rsidR="00EB3389" w:rsidRPr="00EB3389" w:rsidRDefault="00EB3389" w:rsidP="00EE7B2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EB3389">
        <w:rPr>
          <w:rFonts w:ascii="Arial" w:hAnsi="Arial"/>
        </w:rPr>
        <w:t>any non-compliance with an affected lease is the direct result of COVID-19; or</w:t>
      </w:r>
    </w:p>
    <w:p w14:paraId="51BE9FF7" w14:textId="35302F4D" w:rsidR="00EB3389" w:rsidRPr="00EB3389" w:rsidRDefault="00EB3389" w:rsidP="00EE7B2C">
      <w:pPr>
        <w:pStyle w:val="Header"/>
        <w:numPr>
          <w:ilvl w:val="1"/>
          <w:numId w:val="14"/>
        </w:numPr>
        <w:spacing w:after="180"/>
        <w:ind w:left="1418" w:hanging="454"/>
        <w:rPr>
          <w:rFonts w:ascii="Arial" w:hAnsi="Arial"/>
        </w:rPr>
      </w:pPr>
      <w:r w:rsidRPr="00EB3389">
        <w:rPr>
          <w:rFonts w:ascii="Arial" w:hAnsi="Arial"/>
        </w:rPr>
        <w:t xml:space="preserve">a failure to extend the </w:t>
      </w:r>
      <w:r w:rsidR="005043EF">
        <w:rPr>
          <w:rFonts w:ascii="Arial" w:hAnsi="Arial"/>
        </w:rPr>
        <w:t>Scheme</w:t>
      </w:r>
      <w:r w:rsidRPr="00EB3389">
        <w:rPr>
          <w:rFonts w:ascii="Arial" w:hAnsi="Arial"/>
        </w:rPr>
        <w:t xml:space="preserve"> will result in undue economic hardship to the tenant under the affected lease,</w:t>
      </w:r>
    </w:p>
    <w:p w14:paraId="190BB34E" w14:textId="14935DB7" w:rsidR="00EB3389" w:rsidRPr="00EB3389" w:rsidRDefault="00EB3389" w:rsidP="000D2242">
      <w:pPr>
        <w:pStyle w:val="Header"/>
        <w:spacing w:after="180"/>
        <w:ind w:left="720"/>
        <w:rPr>
          <w:rFonts w:ascii="Arial" w:hAnsi="Arial"/>
        </w:rPr>
      </w:pPr>
      <w:r w:rsidRPr="00EB3389">
        <w:rPr>
          <w:rFonts w:ascii="Arial" w:hAnsi="Arial"/>
        </w:rPr>
        <w:t xml:space="preserve">the landlord may extend the </w:t>
      </w:r>
      <w:r w:rsidR="005043EF">
        <w:rPr>
          <w:rFonts w:ascii="Arial" w:hAnsi="Arial"/>
        </w:rPr>
        <w:t>Scheme</w:t>
      </w:r>
      <w:r w:rsidRPr="00EB3389">
        <w:rPr>
          <w:rFonts w:ascii="Arial" w:hAnsi="Arial"/>
        </w:rPr>
        <w:t xml:space="preserve"> to the particular tenant under the affected lease.</w:t>
      </w:r>
    </w:p>
    <w:sectPr w:rsidR="00EB3389" w:rsidRPr="00EB3389">
      <w:headerReference w:type="even" r:id="rId11"/>
      <w:headerReference w:type="first" r:id="rId12"/>
      <w:type w:val="continuous"/>
      <w:pgSz w:w="11906" w:h="16838"/>
      <w:pgMar w:top="1304" w:right="147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885C4" w14:textId="77777777" w:rsidR="00F6380E" w:rsidRDefault="00F6380E">
      <w:r>
        <w:separator/>
      </w:r>
    </w:p>
  </w:endnote>
  <w:endnote w:type="continuationSeparator" w:id="0">
    <w:p w14:paraId="6CA715FD" w14:textId="77777777" w:rsidR="00F6380E" w:rsidRDefault="00F6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CB2DD" w14:textId="77777777" w:rsidR="00F6380E" w:rsidRDefault="00F6380E">
      <w:r>
        <w:separator/>
      </w:r>
    </w:p>
  </w:footnote>
  <w:footnote w:type="continuationSeparator" w:id="0">
    <w:p w14:paraId="4DA77635" w14:textId="77777777" w:rsidR="00F6380E" w:rsidRDefault="00F6380E">
      <w:r>
        <w:continuationSeparator/>
      </w:r>
    </w:p>
  </w:footnote>
  <w:footnote w:id="1">
    <w:p w14:paraId="6D89709E" w14:textId="77777777" w:rsidR="001A5166" w:rsidRDefault="001A51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5166">
        <w:t xml:space="preserve">A PSMA entity means any entity to </w:t>
      </w:r>
      <w:r>
        <w:t>which</w:t>
      </w:r>
      <w:r w:rsidRPr="001A5166">
        <w:t xml:space="preserve"> the </w:t>
      </w:r>
      <w:r w:rsidRPr="002C2A10">
        <w:rPr>
          <w:i/>
        </w:rPr>
        <w:t>Public Sector Management Act 1994</w:t>
      </w:r>
      <w:r w:rsidRPr="001A5166">
        <w:t xml:space="preserve"> applies other than a Schedule 1 entity.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67A4" w14:textId="77777777" w:rsidR="008F3B21" w:rsidRDefault="008F3B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5EDAED" w14:textId="77777777" w:rsidR="008F3B21" w:rsidRDefault="008F3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0C32A" w14:textId="77777777" w:rsidR="00EB0F77" w:rsidRDefault="00DA4841" w:rsidP="00EB0F77">
    <w:pPr>
      <w:pStyle w:val="Header"/>
      <w:tabs>
        <w:tab w:val="clear" w:pos="4153"/>
        <w:tab w:val="clear" w:pos="8306"/>
        <w:tab w:val="right" w:pos="8844"/>
      </w:tabs>
    </w:pPr>
    <w:r>
      <w:rPr>
        <w:noProof/>
        <w:szCs w:val="24"/>
        <w:lang w:eastAsia="en-AU"/>
      </w:rPr>
      <w:drawing>
        <wp:inline distT="0" distB="0" distL="0" distR="0" wp14:anchorId="7C85281D" wp14:editId="1B60D99F">
          <wp:extent cx="666750" cy="666750"/>
          <wp:effectExtent l="0" t="0" r="0" b="0"/>
          <wp:docPr id="1" name="Picture 1" descr="govOfWA+TextBlack_130x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OfWA+TextBlack_130x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6EE0"/>
    <w:multiLevelType w:val="hybridMultilevel"/>
    <w:tmpl w:val="D35ACF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60850C6">
      <w:start w:val="1"/>
      <w:numFmt w:val="lowerLetter"/>
      <w:lvlText w:val="(%2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AU" w:eastAsia="en-US" w:bidi="ar-SA"/>
      </w:rPr>
    </w:lvl>
    <w:lvl w:ilvl="2" w:tplc="02CCBCA2">
      <w:start w:val="1"/>
      <w:numFmt w:val="lowerRoman"/>
      <w:lvlText w:val="(%3)"/>
      <w:lvlJc w:val="left"/>
      <w:pPr>
        <w:ind w:left="2160" w:hanging="18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3DF6"/>
    <w:multiLevelType w:val="hybridMultilevel"/>
    <w:tmpl w:val="AFC0E304"/>
    <w:lvl w:ilvl="0" w:tplc="02CCBCA2">
      <w:start w:val="1"/>
      <w:numFmt w:val="lowerRoman"/>
      <w:lvlText w:val="(%1)"/>
      <w:lvlJc w:val="left"/>
      <w:pPr>
        <w:ind w:left="2160" w:hanging="18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37C4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3" w15:restartNumberingAfterBreak="0">
    <w:nsid w:val="2A2A42AC"/>
    <w:multiLevelType w:val="hybridMultilevel"/>
    <w:tmpl w:val="09DCC0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97803"/>
    <w:multiLevelType w:val="hybridMultilevel"/>
    <w:tmpl w:val="DAEAC8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2CCBCA2">
      <w:start w:val="1"/>
      <w:numFmt w:val="lowerRoman"/>
      <w:lvlText w:val="(%3)"/>
      <w:lvlJc w:val="left"/>
      <w:pPr>
        <w:ind w:left="2160" w:hanging="18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307D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6" w15:restartNumberingAfterBreak="0">
    <w:nsid w:val="40F06F5F"/>
    <w:multiLevelType w:val="singleLevel"/>
    <w:tmpl w:val="47E2FDC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43A54076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8" w15:restartNumberingAfterBreak="0">
    <w:nsid w:val="50BC7ABC"/>
    <w:multiLevelType w:val="singleLevel"/>
    <w:tmpl w:val="11426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5178310E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0" w15:restartNumberingAfterBreak="0">
    <w:nsid w:val="598460A2"/>
    <w:multiLevelType w:val="singleLevel"/>
    <w:tmpl w:val="11426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5C207AA8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2" w15:restartNumberingAfterBreak="0">
    <w:nsid w:val="60C22F5B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3" w15:restartNumberingAfterBreak="0">
    <w:nsid w:val="62C01C0C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4" w15:restartNumberingAfterBreak="0">
    <w:nsid w:val="708B60FB"/>
    <w:multiLevelType w:val="singleLevel"/>
    <w:tmpl w:val="47E2FDC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5" w15:restartNumberingAfterBreak="0">
    <w:nsid w:val="71EC3198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0"/>
    <w:rsid w:val="000718E6"/>
    <w:rsid w:val="00082ABE"/>
    <w:rsid w:val="00091945"/>
    <w:rsid w:val="000D2242"/>
    <w:rsid w:val="000E7FDE"/>
    <w:rsid w:val="001A5166"/>
    <w:rsid w:val="00227BA9"/>
    <w:rsid w:val="002C2A10"/>
    <w:rsid w:val="002D6608"/>
    <w:rsid w:val="002E070C"/>
    <w:rsid w:val="002F256F"/>
    <w:rsid w:val="00330A71"/>
    <w:rsid w:val="00336AD6"/>
    <w:rsid w:val="00396129"/>
    <w:rsid w:val="003B3C85"/>
    <w:rsid w:val="003F1931"/>
    <w:rsid w:val="0043177C"/>
    <w:rsid w:val="00434D0F"/>
    <w:rsid w:val="004C321F"/>
    <w:rsid w:val="005043EF"/>
    <w:rsid w:val="0054619D"/>
    <w:rsid w:val="006562BB"/>
    <w:rsid w:val="00671AF7"/>
    <w:rsid w:val="006C203E"/>
    <w:rsid w:val="006C4DB3"/>
    <w:rsid w:val="00714819"/>
    <w:rsid w:val="00716780"/>
    <w:rsid w:val="007426C4"/>
    <w:rsid w:val="0078774A"/>
    <w:rsid w:val="00813517"/>
    <w:rsid w:val="00851D28"/>
    <w:rsid w:val="00855070"/>
    <w:rsid w:val="00870EE6"/>
    <w:rsid w:val="008967DC"/>
    <w:rsid w:val="008C173A"/>
    <w:rsid w:val="008F3B21"/>
    <w:rsid w:val="0091762C"/>
    <w:rsid w:val="009827D6"/>
    <w:rsid w:val="009A5627"/>
    <w:rsid w:val="009B1A26"/>
    <w:rsid w:val="009C4429"/>
    <w:rsid w:val="009E1612"/>
    <w:rsid w:val="009E162F"/>
    <w:rsid w:val="00A710BC"/>
    <w:rsid w:val="00A93A6E"/>
    <w:rsid w:val="00AA6BDF"/>
    <w:rsid w:val="00AB286E"/>
    <w:rsid w:val="00C2510D"/>
    <w:rsid w:val="00C41CF8"/>
    <w:rsid w:val="00C4204D"/>
    <w:rsid w:val="00CA2377"/>
    <w:rsid w:val="00D522FB"/>
    <w:rsid w:val="00D95E96"/>
    <w:rsid w:val="00DA4841"/>
    <w:rsid w:val="00E21B52"/>
    <w:rsid w:val="00E21E5D"/>
    <w:rsid w:val="00EB0F77"/>
    <w:rsid w:val="00EB3389"/>
    <w:rsid w:val="00ED4458"/>
    <w:rsid w:val="00EE7B2C"/>
    <w:rsid w:val="00F6380E"/>
    <w:rsid w:val="00FC6C5C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4DA7B0"/>
  <w15:chartTrackingRefBased/>
  <w15:docId w15:val="{84574235-D144-4907-BD13-8E10CCE4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rPr>
      <w:rFonts w:ascii="Arial" w:hAnsi="Arial"/>
      <w:i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567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5166"/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166"/>
    <w:rPr>
      <w:rFonts w:ascii="Arial" w:hAnsi="Arial"/>
      <w:sz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51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AE2606C6A6B45ACE323BE3FD48C26" ma:contentTypeVersion="1" ma:contentTypeDescription="Create a new document." ma:contentTypeScope="" ma:versionID="b9a5490435d3dc54ac0cc9650407e6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2868-08D1-4ED4-9261-92F0B461E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35973-547F-4710-AEFD-2E168BE7C6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DBABF0-110C-4B2F-9205-FC9D7B72D7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86F83-159E-4320-BB1D-4D0B3A14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Premier’s Policy Circular</vt:lpstr>
    </vt:vector>
  </TitlesOfParts>
  <Company>Ministry of Premier &amp; Cabinet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Premier’s Policy Circular</dc:title>
  <dc:subject/>
  <dc:creator>G. Mugliston</dc:creator>
  <cp:keywords/>
  <cp:lastModifiedBy>Wood, Keith</cp:lastModifiedBy>
  <cp:revision>3</cp:revision>
  <cp:lastPrinted>2022-03-08T01:17:00Z</cp:lastPrinted>
  <dcterms:created xsi:type="dcterms:W3CDTF">2022-03-11T01:30:00Z</dcterms:created>
  <dcterms:modified xsi:type="dcterms:W3CDTF">2022-03-14T01:01:00Z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1215168113</vt:i4>
  </property>
  <property fmtid="{D5CDD505-2E9C-101B-9397-08002B2CF9AE}" pid="3" name="_NewReviewCycle">
    <vt:lpwstr/>
  </property>
  <property fmtid="{D5CDD505-2E9C-101B-9397-08002B2CF9AE}" pid="4" name="_EmailSubject">
    <vt:lpwstr>Premier's Circular 2022/01</vt:lpwstr>
  </property>
  <property fmtid="{D5CDD505-2E9C-101B-9397-08002B2CF9AE}" pid="5" name="_AuthorEmailDisplayName">
    <vt:lpwstr>Yeats, Mike</vt:lpwstr>
  </property>
  <property fmtid="{D5CDD505-2E9C-101B-9397-08002B2CF9AE}" pid="6" name="_PreviousAdHocReviewCycleID">
    <vt:i4>138422720</vt:i4>
  </property>
  <property fmtid="{D5CDD505-2E9C-101B-9397-08002B2CF9AE}" pid="8" name="_AuthorEmail">
    <vt:lpwstr>Mike.Yeats@dpc.wa.gov.au</vt:lpwstr>
  </property>
</Properties>
</file>