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0369215" w:displacedByCustomXml="next"/>
    <w:sdt>
      <w:sdtPr>
        <w:rPr>
          <w:rFonts w:eastAsia="Arial" w:cs="Times New Roman"/>
          <w:sz w:val="22"/>
          <w:szCs w:val="22"/>
          <w:lang w:eastAsia="en-US"/>
        </w:rPr>
        <w:id w:val="-266698210"/>
        <w:docPartObj>
          <w:docPartGallery w:val="Cover Pages"/>
          <w:docPartUnique/>
        </w:docPartObj>
      </w:sdtPr>
      <w:sdtEndPr>
        <w:rPr>
          <w:sz w:val="28"/>
          <w:szCs w:val="28"/>
        </w:rPr>
      </w:sdtEndPr>
      <w:sdtContent>
        <w:p w14:paraId="5E9F4C2F" w14:textId="1F8BED9E" w:rsidR="00BA1037" w:rsidRPr="00BA1037" w:rsidRDefault="00BA1037" w:rsidP="00BA1037">
          <w:pPr>
            <w:spacing w:after="0" w:line="240" w:lineRule="auto"/>
            <w:textAlignment w:val="auto"/>
            <w:rPr>
              <w:rFonts w:eastAsia="Arial" w:cs="Times New Roman"/>
              <w:sz w:val="22"/>
              <w:szCs w:val="22"/>
              <w:lang w:eastAsia="en-US"/>
            </w:rPr>
          </w:pPr>
        </w:p>
        <w:p w14:paraId="203A808A" w14:textId="77777777" w:rsidR="00BA1037" w:rsidRPr="00BA1037" w:rsidRDefault="00BA1037" w:rsidP="00BA1037">
          <w:pPr>
            <w:spacing w:after="0" w:line="240" w:lineRule="auto"/>
            <w:textAlignment w:val="auto"/>
            <w:rPr>
              <w:rFonts w:eastAsia="Arial" w:cs="Times New Roman"/>
              <w:sz w:val="22"/>
              <w:szCs w:val="22"/>
              <w:lang w:eastAsia="en-US"/>
            </w:rPr>
          </w:pPr>
        </w:p>
        <w:p w14:paraId="7F620353" w14:textId="77777777" w:rsidR="00BA1037" w:rsidRPr="00BA1037" w:rsidRDefault="00BA1037" w:rsidP="00BA1037">
          <w:pPr>
            <w:spacing w:after="0" w:line="240" w:lineRule="auto"/>
            <w:textAlignment w:val="auto"/>
            <w:rPr>
              <w:rFonts w:eastAsia="Arial" w:cs="Times New Roman"/>
              <w:sz w:val="22"/>
              <w:szCs w:val="22"/>
              <w:lang w:eastAsia="en-US"/>
            </w:rPr>
          </w:pPr>
        </w:p>
        <w:p w14:paraId="6E267525" w14:textId="77777777" w:rsidR="00BA1037" w:rsidRPr="00BA1037" w:rsidRDefault="00BA1037" w:rsidP="00BA1037">
          <w:pPr>
            <w:spacing w:after="0" w:line="240" w:lineRule="auto"/>
            <w:textAlignment w:val="auto"/>
            <w:rPr>
              <w:rFonts w:eastAsia="Arial" w:cs="Times New Roman"/>
              <w:sz w:val="22"/>
              <w:szCs w:val="22"/>
              <w:lang w:eastAsia="en-US"/>
            </w:rPr>
          </w:pPr>
        </w:p>
        <w:p w14:paraId="5468FF28" w14:textId="77777777" w:rsidR="00BA1037" w:rsidRPr="00BA1037" w:rsidRDefault="00BA1037" w:rsidP="00BA1037">
          <w:pPr>
            <w:spacing w:after="0" w:line="240" w:lineRule="auto"/>
            <w:textAlignment w:val="auto"/>
            <w:rPr>
              <w:rFonts w:eastAsia="Arial" w:cs="Times New Roman"/>
              <w:sz w:val="22"/>
              <w:szCs w:val="22"/>
              <w:lang w:eastAsia="en-US"/>
            </w:rPr>
          </w:pPr>
        </w:p>
        <w:p w14:paraId="5B117EF7" w14:textId="77777777" w:rsidR="00BA1037" w:rsidRPr="00BA1037" w:rsidRDefault="00BA1037" w:rsidP="00BA1037">
          <w:pPr>
            <w:spacing w:after="0" w:line="240" w:lineRule="auto"/>
            <w:textAlignment w:val="auto"/>
            <w:rPr>
              <w:rFonts w:eastAsia="Arial" w:cs="Times New Roman"/>
              <w:sz w:val="22"/>
              <w:szCs w:val="22"/>
              <w:lang w:eastAsia="en-US"/>
            </w:rPr>
          </w:pPr>
        </w:p>
        <w:p w14:paraId="4940B6FA" w14:textId="77777777" w:rsidR="00BA1037" w:rsidRPr="00BA1037" w:rsidRDefault="00BA1037" w:rsidP="00BA1037">
          <w:pPr>
            <w:spacing w:after="0" w:line="240" w:lineRule="auto"/>
            <w:textAlignment w:val="auto"/>
            <w:rPr>
              <w:rFonts w:eastAsia="Arial" w:cs="Times New Roman"/>
              <w:sz w:val="22"/>
              <w:szCs w:val="22"/>
              <w:lang w:eastAsia="en-US"/>
            </w:rPr>
          </w:pPr>
        </w:p>
        <w:p w14:paraId="52B86837" w14:textId="77777777" w:rsidR="00BA1037" w:rsidRPr="00BA1037" w:rsidRDefault="00BA1037" w:rsidP="00BA1037">
          <w:pPr>
            <w:spacing w:after="0" w:line="240" w:lineRule="auto"/>
            <w:textAlignment w:val="auto"/>
            <w:rPr>
              <w:rFonts w:eastAsia="Arial" w:cs="Times New Roman"/>
              <w:sz w:val="22"/>
              <w:szCs w:val="22"/>
              <w:lang w:eastAsia="en-US"/>
            </w:rPr>
          </w:pPr>
        </w:p>
        <w:p w14:paraId="0782E631" w14:textId="77777777" w:rsidR="00BA1037" w:rsidRPr="00BA1037" w:rsidRDefault="00BA1037" w:rsidP="00BA1037">
          <w:pPr>
            <w:spacing w:after="0" w:line="240" w:lineRule="auto"/>
            <w:textAlignment w:val="auto"/>
            <w:rPr>
              <w:rFonts w:eastAsia="Arial" w:cs="Times New Roman"/>
              <w:sz w:val="22"/>
              <w:szCs w:val="22"/>
              <w:lang w:eastAsia="en-US"/>
            </w:rPr>
          </w:pPr>
        </w:p>
        <w:p w14:paraId="43C5A1F8" w14:textId="77777777" w:rsidR="00BA1037" w:rsidRPr="00BA1037" w:rsidRDefault="00BA1037" w:rsidP="00BA1037">
          <w:pPr>
            <w:spacing w:after="0" w:line="240" w:lineRule="auto"/>
            <w:textAlignment w:val="auto"/>
            <w:rPr>
              <w:rFonts w:eastAsia="Arial" w:cs="Times New Roman"/>
              <w:sz w:val="22"/>
              <w:szCs w:val="22"/>
              <w:lang w:eastAsia="en-US"/>
            </w:rPr>
          </w:pPr>
        </w:p>
        <w:p w14:paraId="0FE37B77" w14:textId="77777777" w:rsidR="00BA1037" w:rsidRPr="00BA1037" w:rsidRDefault="00BA1037" w:rsidP="00BA1037">
          <w:pPr>
            <w:spacing w:after="0" w:line="240" w:lineRule="auto"/>
            <w:textAlignment w:val="auto"/>
            <w:rPr>
              <w:rFonts w:eastAsia="Arial" w:cs="Times New Roman"/>
              <w:sz w:val="22"/>
              <w:szCs w:val="22"/>
              <w:lang w:eastAsia="en-US"/>
            </w:rPr>
          </w:pPr>
        </w:p>
        <w:p w14:paraId="25044BF0" w14:textId="77777777" w:rsidR="00BA1037" w:rsidRPr="00BA1037" w:rsidRDefault="00BA1037" w:rsidP="00BA1037">
          <w:pPr>
            <w:spacing w:after="0" w:line="240" w:lineRule="auto"/>
            <w:textAlignment w:val="auto"/>
            <w:rPr>
              <w:rFonts w:eastAsia="Arial" w:cs="Times New Roman"/>
              <w:sz w:val="22"/>
              <w:szCs w:val="22"/>
              <w:lang w:eastAsia="en-US"/>
            </w:rPr>
          </w:pPr>
        </w:p>
        <w:p w14:paraId="30E20982" w14:textId="77777777" w:rsidR="00BA1037" w:rsidRPr="00BA1037" w:rsidRDefault="00BA1037" w:rsidP="00BA1037">
          <w:pPr>
            <w:spacing w:after="0" w:line="240" w:lineRule="auto"/>
            <w:textAlignment w:val="auto"/>
            <w:rPr>
              <w:rFonts w:eastAsia="Arial" w:cs="Times New Roman"/>
              <w:sz w:val="22"/>
              <w:szCs w:val="22"/>
              <w:lang w:eastAsia="en-US"/>
            </w:rPr>
          </w:pPr>
        </w:p>
        <w:p w14:paraId="6A939977" w14:textId="77777777" w:rsidR="00BA1037" w:rsidRPr="00BA1037" w:rsidRDefault="00BA1037" w:rsidP="00BA1037">
          <w:pPr>
            <w:spacing w:after="0" w:line="240" w:lineRule="auto"/>
            <w:textAlignment w:val="auto"/>
            <w:rPr>
              <w:rFonts w:eastAsia="Arial" w:cs="Times New Roman"/>
              <w:sz w:val="22"/>
              <w:szCs w:val="22"/>
              <w:lang w:eastAsia="en-US"/>
            </w:rPr>
          </w:pPr>
        </w:p>
        <w:p w14:paraId="3B7350E2" w14:textId="77777777" w:rsidR="00BA1037" w:rsidRPr="00BA1037" w:rsidRDefault="00BA1037" w:rsidP="00BA1037">
          <w:pPr>
            <w:suppressAutoHyphens/>
            <w:spacing w:after="0" w:line="720" w:lineRule="exact"/>
            <w:textAlignment w:val="auto"/>
            <w:rPr>
              <w:color w:val="041049"/>
              <w:sz w:val="72"/>
              <w:szCs w:val="72"/>
            </w:rPr>
          </w:pPr>
          <w:r w:rsidRPr="00BA1037">
            <w:rPr>
              <w:color w:val="041049"/>
              <w:sz w:val="72"/>
              <w:szCs w:val="72"/>
            </w:rPr>
            <w:t>Western Australian Government Intellectual Property Policy Review</w:t>
          </w:r>
        </w:p>
        <w:p w14:paraId="29AFCB73" w14:textId="77777777" w:rsidR="00F66202" w:rsidRDefault="00667C16" w:rsidP="00BA1037">
          <w:pPr>
            <w:suppressAutoHyphens/>
            <w:spacing w:after="0" w:line="720" w:lineRule="exact"/>
            <w:textAlignment w:val="auto"/>
            <w:rPr>
              <w:color w:val="9E4A9C"/>
              <w:sz w:val="48"/>
              <w:szCs w:val="48"/>
            </w:rPr>
          </w:pPr>
          <w:r>
            <w:rPr>
              <w:color w:val="9E4A9C"/>
              <w:sz w:val="48"/>
              <w:szCs w:val="48"/>
            </w:rPr>
            <w:t>Discussion Paper</w:t>
          </w:r>
          <w:r w:rsidR="00BA1037" w:rsidRPr="00BA1037">
            <w:rPr>
              <w:color w:val="9E4A9C"/>
              <w:sz w:val="48"/>
              <w:szCs w:val="48"/>
            </w:rPr>
            <w:t xml:space="preserve"> </w:t>
          </w:r>
        </w:p>
        <w:p w14:paraId="51F2C218" w14:textId="4A729AF7" w:rsidR="00BA1037" w:rsidRPr="00D37BEA" w:rsidRDefault="00F66202" w:rsidP="00BA1037">
          <w:pPr>
            <w:suppressAutoHyphens/>
            <w:spacing w:after="0" w:line="720" w:lineRule="exact"/>
            <w:textAlignment w:val="auto"/>
            <w:rPr>
              <w:color w:val="9E4A9C"/>
              <w:sz w:val="36"/>
              <w:szCs w:val="40"/>
            </w:rPr>
          </w:pPr>
          <w:r w:rsidRPr="00D37BEA">
            <w:rPr>
              <w:color w:val="9E4A9C"/>
              <w:sz w:val="36"/>
              <w:szCs w:val="40"/>
            </w:rPr>
            <w:t>October</w:t>
          </w:r>
          <w:r w:rsidR="00F37947" w:rsidRPr="00D37BEA">
            <w:rPr>
              <w:color w:val="9E4A9C"/>
              <w:sz w:val="36"/>
              <w:szCs w:val="40"/>
            </w:rPr>
            <w:t xml:space="preserve"> </w:t>
          </w:r>
          <w:r w:rsidR="00BA1037" w:rsidRPr="00D37BEA">
            <w:rPr>
              <w:color w:val="9E4A9C"/>
              <w:sz w:val="36"/>
              <w:szCs w:val="40"/>
            </w:rPr>
            <w:t>2022</w:t>
          </w:r>
        </w:p>
        <w:p w14:paraId="110522B6" w14:textId="0D1167FA" w:rsidR="006F5D94" w:rsidRDefault="006F5D94" w:rsidP="00BA1037">
          <w:pPr>
            <w:suppressAutoHyphens/>
            <w:spacing w:after="0" w:line="720" w:lineRule="exact"/>
            <w:textAlignment w:val="auto"/>
            <w:rPr>
              <w:color w:val="9E4A9C"/>
              <w:sz w:val="48"/>
              <w:szCs w:val="48"/>
            </w:rPr>
          </w:pPr>
        </w:p>
        <w:p w14:paraId="690D044F" w14:textId="06A215C4" w:rsidR="00BA1037" w:rsidRPr="006F5D94" w:rsidRDefault="00BA1037" w:rsidP="00BA1037">
          <w:pPr>
            <w:spacing w:after="160" w:line="259" w:lineRule="auto"/>
            <w:textAlignment w:val="auto"/>
            <w:rPr>
              <w:rFonts w:eastAsia="SimHei" w:cs="Times New Roman"/>
              <w:b/>
              <w:color w:val="C00000"/>
              <w:sz w:val="56"/>
              <w:szCs w:val="56"/>
              <w:lang w:eastAsia="en-US"/>
            </w:rPr>
          </w:pPr>
          <w:r w:rsidRPr="006F5D94">
            <w:rPr>
              <w:rFonts w:eastAsia="Arial" w:cs="Times New Roman"/>
              <w:sz w:val="28"/>
              <w:szCs w:val="28"/>
              <w:lang w:eastAsia="en-US"/>
            </w:rPr>
            <w:br w:type="page"/>
          </w:r>
        </w:p>
      </w:sdtContent>
    </w:sdt>
    <w:bookmarkEnd w:id="1" w:displacedByCustomXml="next"/>
    <w:bookmarkStart w:id="2" w:name="_Toc97903437" w:displacedByCustomXml="next"/>
    <w:bookmarkStart w:id="3" w:name="_Toc97801747" w:displacedByCustomXml="next"/>
    <w:bookmarkStart w:id="4" w:name="_Toc97301098" w:displacedByCustomXml="next"/>
    <w:bookmarkStart w:id="5" w:name="_Toc32224999" w:displacedByCustomXml="next"/>
    <w:sdt>
      <w:sdtPr>
        <w:rPr>
          <w:rFonts w:eastAsia="Arial" w:cs="Times New Roman"/>
          <w:sz w:val="22"/>
          <w:szCs w:val="22"/>
          <w:lang w:eastAsia="en-US"/>
        </w:rPr>
        <w:id w:val="-1449456886"/>
        <w:docPartObj>
          <w:docPartGallery w:val="Table of Contents"/>
          <w:docPartUnique/>
        </w:docPartObj>
      </w:sdtPr>
      <w:sdtEndPr>
        <w:rPr>
          <w:bCs/>
          <w:noProof/>
        </w:rPr>
      </w:sdtEndPr>
      <w:sdtContent>
        <w:p w14:paraId="0A4F5FE0" w14:textId="77777777" w:rsidR="00F439EE" w:rsidRPr="00F439EE" w:rsidRDefault="00F439EE" w:rsidP="00F439EE">
          <w:pPr>
            <w:keepNext/>
            <w:keepLines/>
            <w:spacing w:before="480" w:after="0" w:line="240" w:lineRule="auto"/>
            <w:textAlignment w:val="auto"/>
            <w:rPr>
              <w:rFonts w:eastAsia="SimHei" w:cs="Times New Roman"/>
              <w:b/>
              <w:color w:val="041049"/>
              <w:sz w:val="48"/>
              <w:szCs w:val="48"/>
              <w:lang w:eastAsia="en-US"/>
            </w:rPr>
          </w:pPr>
          <w:r w:rsidRPr="00F439EE">
            <w:rPr>
              <w:rFonts w:eastAsia="SimHei" w:cs="Times New Roman"/>
              <w:b/>
              <w:color w:val="041049"/>
              <w:sz w:val="48"/>
              <w:szCs w:val="48"/>
              <w:lang w:eastAsia="en-US"/>
            </w:rPr>
            <w:t>Contents</w:t>
          </w:r>
        </w:p>
        <w:p w14:paraId="5105AFB3" w14:textId="77777777" w:rsidR="008E0394" w:rsidRDefault="008E0394">
          <w:pPr>
            <w:pStyle w:val="TOC1"/>
            <w:rPr>
              <w:rFonts w:eastAsia="Arial" w:cs="Times New Roman"/>
              <w:sz w:val="28"/>
              <w:szCs w:val="28"/>
              <w:lang w:eastAsia="en-US"/>
            </w:rPr>
          </w:pPr>
        </w:p>
        <w:p w14:paraId="035A4705" w14:textId="79D9E239" w:rsidR="00443B73" w:rsidRDefault="00235E77">
          <w:pPr>
            <w:pStyle w:val="TOC1"/>
            <w:rPr>
              <w:rFonts w:asciiTheme="minorHAnsi" w:eastAsiaTheme="minorEastAsia" w:hAnsiTheme="minorHAnsi" w:cstheme="minorBidi"/>
              <w:b w:val="0"/>
              <w:bCs w:val="0"/>
              <w:sz w:val="22"/>
              <w:szCs w:val="22"/>
            </w:rPr>
          </w:pPr>
          <w:r>
            <w:rPr>
              <w:rFonts w:eastAsia="Arial" w:cs="Times New Roman"/>
              <w:sz w:val="28"/>
              <w:szCs w:val="28"/>
              <w:lang w:eastAsia="en-US"/>
            </w:rPr>
            <w:fldChar w:fldCharType="begin"/>
          </w:r>
          <w:r>
            <w:rPr>
              <w:rFonts w:eastAsia="Arial" w:cs="Times New Roman"/>
              <w:sz w:val="28"/>
              <w:szCs w:val="28"/>
              <w:lang w:eastAsia="en-US"/>
            </w:rPr>
            <w:instrText xml:space="preserve"> TOC \o "1-2" \h \z \u </w:instrText>
          </w:r>
          <w:r>
            <w:rPr>
              <w:rFonts w:eastAsia="Arial" w:cs="Times New Roman"/>
              <w:sz w:val="28"/>
              <w:szCs w:val="28"/>
              <w:lang w:eastAsia="en-US"/>
            </w:rPr>
            <w:fldChar w:fldCharType="separate"/>
          </w:r>
          <w:hyperlink w:anchor="_Toc114829886" w:history="1">
            <w:r w:rsidR="00443B73" w:rsidRPr="003A42A2">
              <w:rPr>
                <w:rStyle w:val="Hyperlink"/>
              </w:rPr>
              <w:t>Executive Summary</w:t>
            </w:r>
            <w:r w:rsidR="00443B73">
              <w:rPr>
                <w:webHidden/>
              </w:rPr>
              <w:tab/>
            </w:r>
            <w:r w:rsidR="00443B73">
              <w:rPr>
                <w:webHidden/>
              </w:rPr>
              <w:fldChar w:fldCharType="begin"/>
            </w:r>
            <w:r w:rsidR="00443B73">
              <w:rPr>
                <w:webHidden/>
              </w:rPr>
              <w:instrText xml:space="preserve"> PAGEREF _Toc114829886 \h </w:instrText>
            </w:r>
            <w:r w:rsidR="00443B73">
              <w:rPr>
                <w:webHidden/>
              </w:rPr>
            </w:r>
            <w:r w:rsidR="00443B73">
              <w:rPr>
                <w:webHidden/>
              </w:rPr>
              <w:fldChar w:fldCharType="separate"/>
            </w:r>
            <w:r w:rsidR="0031604A">
              <w:rPr>
                <w:webHidden/>
              </w:rPr>
              <w:t>3</w:t>
            </w:r>
            <w:r w:rsidR="00443B73">
              <w:rPr>
                <w:webHidden/>
              </w:rPr>
              <w:fldChar w:fldCharType="end"/>
            </w:r>
          </w:hyperlink>
        </w:p>
        <w:p w14:paraId="3963305B" w14:textId="48C7A346" w:rsidR="00443B73" w:rsidRDefault="008C343B">
          <w:pPr>
            <w:pStyle w:val="TOC2"/>
            <w:rPr>
              <w:rFonts w:asciiTheme="minorHAnsi" w:eastAsiaTheme="minorEastAsia" w:hAnsiTheme="minorHAnsi" w:cstheme="minorBidi"/>
              <w:noProof/>
              <w:sz w:val="22"/>
              <w:szCs w:val="22"/>
            </w:rPr>
          </w:pPr>
          <w:hyperlink w:anchor="_Toc114829887" w:history="1">
            <w:r w:rsidR="00443B73" w:rsidRPr="003A42A2">
              <w:rPr>
                <w:rStyle w:val="Hyperlink"/>
                <w:noProof/>
              </w:rPr>
              <w:t>About this Discussion Paper</w:t>
            </w:r>
            <w:r w:rsidR="00443B73">
              <w:rPr>
                <w:noProof/>
                <w:webHidden/>
              </w:rPr>
              <w:tab/>
            </w:r>
            <w:r w:rsidR="00443B73">
              <w:rPr>
                <w:noProof/>
                <w:webHidden/>
              </w:rPr>
              <w:fldChar w:fldCharType="begin"/>
            </w:r>
            <w:r w:rsidR="00443B73">
              <w:rPr>
                <w:noProof/>
                <w:webHidden/>
              </w:rPr>
              <w:instrText xml:space="preserve"> PAGEREF _Toc114829887 \h </w:instrText>
            </w:r>
            <w:r w:rsidR="00443B73">
              <w:rPr>
                <w:noProof/>
                <w:webHidden/>
              </w:rPr>
            </w:r>
            <w:r w:rsidR="00443B73">
              <w:rPr>
                <w:noProof/>
                <w:webHidden/>
              </w:rPr>
              <w:fldChar w:fldCharType="separate"/>
            </w:r>
            <w:r w:rsidR="0031604A">
              <w:rPr>
                <w:noProof/>
                <w:webHidden/>
              </w:rPr>
              <w:t>4</w:t>
            </w:r>
            <w:r w:rsidR="00443B73">
              <w:rPr>
                <w:noProof/>
                <w:webHidden/>
              </w:rPr>
              <w:fldChar w:fldCharType="end"/>
            </w:r>
          </w:hyperlink>
        </w:p>
        <w:p w14:paraId="2D42ECF9" w14:textId="0DBA2871" w:rsidR="00443B73" w:rsidRDefault="008C343B">
          <w:pPr>
            <w:pStyle w:val="TOC2"/>
            <w:rPr>
              <w:rFonts w:asciiTheme="minorHAnsi" w:eastAsiaTheme="minorEastAsia" w:hAnsiTheme="minorHAnsi" w:cstheme="minorBidi"/>
              <w:noProof/>
              <w:sz w:val="22"/>
              <w:szCs w:val="22"/>
            </w:rPr>
          </w:pPr>
          <w:hyperlink w:anchor="_Toc114829888" w:history="1">
            <w:r w:rsidR="00443B73" w:rsidRPr="003A42A2">
              <w:rPr>
                <w:rStyle w:val="Hyperlink"/>
                <w:noProof/>
              </w:rPr>
              <w:t>Summary of proposals</w:t>
            </w:r>
            <w:r w:rsidR="00443B73">
              <w:rPr>
                <w:noProof/>
                <w:webHidden/>
              </w:rPr>
              <w:tab/>
            </w:r>
            <w:r w:rsidR="00443B73">
              <w:rPr>
                <w:noProof/>
                <w:webHidden/>
              </w:rPr>
              <w:fldChar w:fldCharType="begin"/>
            </w:r>
            <w:r w:rsidR="00443B73">
              <w:rPr>
                <w:noProof/>
                <w:webHidden/>
              </w:rPr>
              <w:instrText xml:space="preserve"> PAGEREF _Toc114829888 \h </w:instrText>
            </w:r>
            <w:r w:rsidR="00443B73">
              <w:rPr>
                <w:noProof/>
                <w:webHidden/>
              </w:rPr>
            </w:r>
            <w:r w:rsidR="00443B73">
              <w:rPr>
                <w:noProof/>
                <w:webHidden/>
              </w:rPr>
              <w:fldChar w:fldCharType="separate"/>
            </w:r>
            <w:r w:rsidR="0031604A">
              <w:rPr>
                <w:noProof/>
                <w:webHidden/>
              </w:rPr>
              <w:t>5</w:t>
            </w:r>
            <w:r w:rsidR="00443B73">
              <w:rPr>
                <w:noProof/>
                <w:webHidden/>
              </w:rPr>
              <w:fldChar w:fldCharType="end"/>
            </w:r>
          </w:hyperlink>
        </w:p>
        <w:p w14:paraId="7B89E518" w14:textId="69E46BBD" w:rsidR="00443B73" w:rsidRDefault="008C343B">
          <w:pPr>
            <w:pStyle w:val="TOC2"/>
            <w:rPr>
              <w:rFonts w:asciiTheme="minorHAnsi" w:eastAsiaTheme="minorEastAsia" w:hAnsiTheme="minorHAnsi" w:cstheme="minorBidi"/>
              <w:noProof/>
              <w:sz w:val="22"/>
              <w:szCs w:val="22"/>
            </w:rPr>
          </w:pPr>
          <w:hyperlink w:anchor="_Toc114829889" w:history="1">
            <w:r w:rsidR="00443B73" w:rsidRPr="003A42A2">
              <w:rPr>
                <w:rStyle w:val="Hyperlink"/>
                <w:noProof/>
              </w:rPr>
              <w:t>Proposed policy positions</w:t>
            </w:r>
            <w:r w:rsidR="00443B73">
              <w:rPr>
                <w:noProof/>
                <w:webHidden/>
              </w:rPr>
              <w:tab/>
            </w:r>
            <w:r w:rsidR="00443B73">
              <w:rPr>
                <w:noProof/>
                <w:webHidden/>
              </w:rPr>
              <w:fldChar w:fldCharType="begin"/>
            </w:r>
            <w:r w:rsidR="00443B73">
              <w:rPr>
                <w:noProof/>
                <w:webHidden/>
              </w:rPr>
              <w:instrText xml:space="preserve"> PAGEREF _Toc114829889 \h </w:instrText>
            </w:r>
            <w:r w:rsidR="00443B73">
              <w:rPr>
                <w:noProof/>
                <w:webHidden/>
              </w:rPr>
            </w:r>
            <w:r w:rsidR="00443B73">
              <w:rPr>
                <w:noProof/>
                <w:webHidden/>
              </w:rPr>
              <w:fldChar w:fldCharType="separate"/>
            </w:r>
            <w:r w:rsidR="0031604A">
              <w:rPr>
                <w:noProof/>
                <w:webHidden/>
              </w:rPr>
              <w:t>5</w:t>
            </w:r>
            <w:r w:rsidR="00443B73">
              <w:rPr>
                <w:noProof/>
                <w:webHidden/>
              </w:rPr>
              <w:fldChar w:fldCharType="end"/>
            </w:r>
          </w:hyperlink>
        </w:p>
        <w:p w14:paraId="7426C559" w14:textId="34EDBCE7" w:rsidR="00443B73" w:rsidRDefault="008C343B">
          <w:pPr>
            <w:pStyle w:val="TOC2"/>
            <w:rPr>
              <w:rFonts w:asciiTheme="minorHAnsi" w:eastAsiaTheme="minorEastAsia" w:hAnsiTheme="minorHAnsi" w:cstheme="minorBidi"/>
              <w:noProof/>
              <w:sz w:val="22"/>
              <w:szCs w:val="22"/>
            </w:rPr>
          </w:pPr>
          <w:hyperlink w:anchor="_Toc114829890" w:history="1">
            <w:r w:rsidR="00443B73" w:rsidRPr="003A42A2">
              <w:rPr>
                <w:rStyle w:val="Hyperlink"/>
                <w:noProof/>
              </w:rPr>
              <w:t>Proposed implementation measures</w:t>
            </w:r>
            <w:r w:rsidR="00443B73">
              <w:rPr>
                <w:noProof/>
                <w:webHidden/>
              </w:rPr>
              <w:tab/>
            </w:r>
            <w:r w:rsidR="00443B73">
              <w:rPr>
                <w:noProof/>
                <w:webHidden/>
              </w:rPr>
              <w:fldChar w:fldCharType="begin"/>
            </w:r>
            <w:r w:rsidR="00443B73">
              <w:rPr>
                <w:noProof/>
                <w:webHidden/>
              </w:rPr>
              <w:instrText xml:space="preserve"> PAGEREF _Toc114829890 \h </w:instrText>
            </w:r>
            <w:r w:rsidR="00443B73">
              <w:rPr>
                <w:noProof/>
                <w:webHidden/>
              </w:rPr>
            </w:r>
            <w:r w:rsidR="00443B73">
              <w:rPr>
                <w:noProof/>
                <w:webHidden/>
              </w:rPr>
              <w:fldChar w:fldCharType="separate"/>
            </w:r>
            <w:r w:rsidR="0031604A">
              <w:rPr>
                <w:noProof/>
                <w:webHidden/>
              </w:rPr>
              <w:t>6</w:t>
            </w:r>
            <w:r w:rsidR="00443B73">
              <w:rPr>
                <w:noProof/>
                <w:webHidden/>
              </w:rPr>
              <w:fldChar w:fldCharType="end"/>
            </w:r>
          </w:hyperlink>
        </w:p>
        <w:p w14:paraId="0E6DDC73" w14:textId="5AC95AB4" w:rsidR="00443B73" w:rsidRDefault="008C343B">
          <w:pPr>
            <w:pStyle w:val="TOC1"/>
            <w:rPr>
              <w:rFonts w:asciiTheme="minorHAnsi" w:eastAsiaTheme="minorEastAsia" w:hAnsiTheme="minorHAnsi" w:cstheme="minorBidi"/>
              <w:b w:val="0"/>
              <w:bCs w:val="0"/>
              <w:sz w:val="22"/>
              <w:szCs w:val="22"/>
            </w:rPr>
          </w:pPr>
          <w:hyperlink w:anchor="_Toc114829891" w:history="1">
            <w:r w:rsidR="00443B73" w:rsidRPr="003A42A2">
              <w:rPr>
                <w:rStyle w:val="Hyperlink"/>
              </w:rPr>
              <w:t>1.</w:t>
            </w:r>
            <w:r w:rsidR="00443B73">
              <w:rPr>
                <w:rFonts w:asciiTheme="minorHAnsi" w:eastAsiaTheme="minorEastAsia" w:hAnsiTheme="minorHAnsi" w:cstheme="minorBidi"/>
                <w:b w:val="0"/>
                <w:bCs w:val="0"/>
                <w:sz w:val="22"/>
                <w:szCs w:val="22"/>
              </w:rPr>
              <w:tab/>
            </w:r>
            <w:r w:rsidR="00443B73" w:rsidRPr="003A42A2">
              <w:rPr>
                <w:rStyle w:val="Hyperlink"/>
              </w:rPr>
              <w:t>Introduction to WA Government IP</w:t>
            </w:r>
            <w:r w:rsidR="00443B73">
              <w:rPr>
                <w:webHidden/>
              </w:rPr>
              <w:tab/>
            </w:r>
            <w:r w:rsidR="00443B73">
              <w:rPr>
                <w:webHidden/>
              </w:rPr>
              <w:fldChar w:fldCharType="begin"/>
            </w:r>
            <w:r w:rsidR="00443B73">
              <w:rPr>
                <w:webHidden/>
              </w:rPr>
              <w:instrText xml:space="preserve"> PAGEREF _Toc114829891 \h </w:instrText>
            </w:r>
            <w:r w:rsidR="00443B73">
              <w:rPr>
                <w:webHidden/>
              </w:rPr>
            </w:r>
            <w:r w:rsidR="00443B73">
              <w:rPr>
                <w:webHidden/>
              </w:rPr>
              <w:fldChar w:fldCharType="separate"/>
            </w:r>
            <w:r w:rsidR="0031604A">
              <w:rPr>
                <w:webHidden/>
              </w:rPr>
              <w:t>8</w:t>
            </w:r>
            <w:r w:rsidR="00443B73">
              <w:rPr>
                <w:webHidden/>
              </w:rPr>
              <w:fldChar w:fldCharType="end"/>
            </w:r>
          </w:hyperlink>
        </w:p>
        <w:p w14:paraId="27AED7A9" w14:textId="788E2CE9" w:rsidR="00443B73" w:rsidRDefault="008C343B">
          <w:pPr>
            <w:pStyle w:val="TOC2"/>
            <w:rPr>
              <w:rFonts w:asciiTheme="minorHAnsi" w:eastAsiaTheme="minorEastAsia" w:hAnsiTheme="minorHAnsi" w:cstheme="minorBidi"/>
              <w:noProof/>
              <w:sz w:val="22"/>
              <w:szCs w:val="22"/>
            </w:rPr>
          </w:pPr>
          <w:hyperlink w:anchor="_Toc114829892" w:history="1">
            <w:r w:rsidR="00443B73" w:rsidRPr="003A42A2">
              <w:rPr>
                <w:rStyle w:val="Hyperlink"/>
                <w:noProof/>
              </w:rPr>
              <w:t>1.1</w:t>
            </w:r>
            <w:r w:rsidR="00443B73">
              <w:rPr>
                <w:rFonts w:asciiTheme="minorHAnsi" w:eastAsiaTheme="minorEastAsia" w:hAnsiTheme="minorHAnsi" w:cstheme="minorBidi"/>
                <w:noProof/>
                <w:sz w:val="22"/>
                <w:szCs w:val="22"/>
              </w:rPr>
              <w:tab/>
            </w:r>
            <w:r w:rsidR="00443B73" w:rsidRPr="003A42A2">
              <w:rPr>
                <w:rStyle w:val="Hyperlink"/>
                <w:noProof/>
              </w:rPr>
              <w:t>Western Australian Intellectual Property Framework</w:t>
            </w:r>
            <w:r w:rsidR="00443B73">
              <w:rPr>
                <w:noProof/>
                <w:webHidden/>
              </w:rPr>
              <w:tab/>
            </w:r>
            <w:r w:rsidR="00443B73">
              <w:rPr>
                <w:noProof/>
                <w:webHidden/>
              </w:rPr>
              <w:fldChar w:fldCharType="begin"/>
            </w:r>
            <w:r w:rsidR="00443B73">
              <w:rPr>
                <w:noProof/>
                <w:webHidden/>
              </w:rPr>
              <w:instrText xml:space="preserve"> PAGEREF _Toc114829892 \h </w:instrText>
            </w:r>
            <w:r w:rsidR="00443B73">
              <w:rPr>
                <w:noProof/>
                <w:webHidden/>
              </w:rPr>
            </w:r>
            <w:r w:rsidR="00443B73">
              <w:rPr>
                <w:noProof/>
                <w:webHidden/>
              </w:rPr>
              <w:fldChar w:fldCharType="separate"/>
            </w:r>
            <w:r w:rsidR="0031604A">
              <w:rPr>
                <w:noProof/>
                <w:webHidden/>
              </w:rPr>
              <w:t>8</w:t>
            </w:r>
            <w:r w:rsidR="00443B73">
              <w:rPr>
                <w:noProof/>
                <w:webHidden/>
              </w:rPr>
              <w:fldChar w:fldCharType="end"/>
            </w:r>
          </w:hyperlink>
        </w:p>
        <w:p w14:paraId="7994247D" w14:textId="0A9BE283" w:rsidR="00443B73" w:rsidRDefault="008C343B">
          <w:pPr>
            <w:pStyle w:val="TOC1"/>
            <w:rPr>
              <w:rFonts w:asciiTheme="minorHAnsi" w:eastAsiaTheme="minorEastAsia" w:hAnsiTheme="minorHAnsi" w:cstheme="minorBidi"/>
              <w:b w:val="0"/>
              <w:bCs w:val="0"/>
              <w:sz w:val="22"/>
              <w:szCs w:val="22"/>
            </w:rPr>
          </w:pPr>
          <w:hyperlink w:anchor="_Toc114829893" w:history="1">
            <w:r w:rsidR="00443B73" w:rsidRPr="003A42A2">
              <w:rPr>
                <w:rStyle w:val="Hyperlink"/>
              </w:rPr>
              <w:t>2.</w:t>
            </w:r>
            <w:r w:rsidR="00443B73">
              <w:rPr>
                <w:rFonts w:asciiTheme="minorHAnsi" w:eastAsiaTheme="minorEastAsia" w:hAnsiTheme="minorHAnsi" w:cstheme="minorBidi"/>
                <w:b w:val="0"/>
                <w:bCs w:val="0"/>
                <w:sz w:val="22"/>
                <w:szCs w:val="22"/>
              </w:rPr>
              <w:tab/>
            </w:r>
            <w:r w:rsidR="00443B73" w:rsidRPr="003A42A2">
              <w:rPr>
                <w:rStyle w:val="Hyperlink"/>
              </w:rPr>
              <w:t>Key issues under review</w:t>
            </w:r>
            <w:r w:rsidR="00443B73">
              <w:rPr>
                <w:webHidden/>
              </w:rPr>
              <w:tab/>
            </w:r>
            <w:r w:rsidR="00443B73">
              <w:rPr>
                <w:webHidden/>
              </w:rPr>
              <w:fldChar w:fldCharType="begin"/>
            </w:r>
            <w:r w:rsidR="00443B73">
              <w:rPr>
                <w:webHidden/>
              </w:rPr>
              <w:instrText xml:space="preserve"> PAGEREF _Toc114829893 \h </w:instrText>
            </w:r>
            <w:r w:rsidR="00443B73">
              <w:rPr>
                <w:webHidden/>
              </w:rPr>
            </w:r>
            <w:r w:rsidR="00443B73">
              <w:rPr>
                <w:webHidden/>
              </w:rPr>
              <w:fldChar w:fldCharType="separate"/>
            </w:r>
            <w:r w:rsidR="0031604A">
              <w:rPr>
                <w:webHidden/>
              </w:rPr>
              <w:t>9</w:t>
            </w:r>
            <w:r w:rsidR="00443B73">
              <w:rPr>
                <w:webHidden/>
              </w:rPr>
              <w:fldChar w:fldCharType="end"/>
            </w:r>
          </w:hyperlink>
        </w:p>
        <w:p w14:paraId="4348D528" w14:textId="4D42BE79" w:rsidR="00443B73" w:rsidRDefault="008C343B">
          <w:pPr>
            <w:pStyle w:val="TOC2"/>
            <w:rPr>
              <w:rFonts w:asciiTheme="minorHAnsi" w:eastAsiaTheme="minorEastAsia" w:hAnsiTheme="minorHAnsi" w:cstheme="minorBidi"/>
              <w:noProof/>
              <w:sz w:val="22"/>
              <w:szCs w:val="22"/>
            </w:rPr>
          </w:pPr>
          <w:hyperlink w:anchor="_Toc114829894" w:history="1">
            <w:r w:rsidR="00443B73" w:rsidRPr="003A42A2">
              <w:rPr>
                <w:rStyle w:val="Hyperlink"/>
                <w:noProof/>
              </w:rPr>
              <w:t>2.1</w:t>
            </w:r>
            <w:r w:rsidR="00443B73">
              <w:rPr>
                <w:rFonts w:asciiTheme="minorHAnsi" w:eastAsiaTheme="minorEastAsia" w:hAnsiTheme="minorHAnsi" w:cstheme="minorBidi"/>
                <w:noProof/>
                <w:sz w:val="22"/>
                <w:szCs w:val="22"/>
              </w:rPr>
              <w:tab/>
            </w:r>
            <w:r w:rsidR="00443B73" w:rsidRPr="003A42A2">
              <w:rPr>
                <w:rStyle w:val="Hyperlink"/>
                <w:noProof/>
              </w:rPr>
              <w:t>Opportunities</w:t>
            </w:r>
            <w:r w:rsidR="00443B73">
              <w:rPr>
                <w:noProof/>
                <w:webHidden/>
              </w:rPr>
              <w:tab/>
            </w:r>
            <w:r w:rsidR="00443B73">
              <w:rPr>
                <w:noProof/>
                <w:webHidden/>
              </w:rPr>
              <w:fldChar w:fldCharType="begin"/>
            </w:r>
            <w:r w:rsidR="00443B73">
              <w:rPr>
                <w:noProof/>
                <w:webHidden/>
              </w:rPr>
              <w:instrText xml:space="preserve"> PAGEREF _Toc114829894 \h </w:instrText>
            </w:r>
            <w:r w:rsidR="00443B73">
              <w:rPr>
                <w:noProof/>
                <w:webHidden/>
              </w:rPr>
            </w:r>
            <w:r w:rsidR="00443B73">
              <w:rPr>
                <w:noProof/>
                <w:webHidden/>
              </w:rPr>
              <w:fldChar w:fldCharType="separate"/>
            </w:r>
            <w:r w:rsidR="0031604A">
              <w:rPr>
                <w:noProof/>
                <w:webHidden/>
              </w:rPr>
              <w:t>9</w:t>
            </w:r>
            <w:r w:rsidR="00443B73">
              <w:rPr>
                <w:noProof/>
                <w:webHidden/>
              </w:rPr>
              <w:fldChar w:fldCharType="end"/>
            </w:r>
          </w:hyperlink>
        </w:p>
        <w:p w14:paraId="5C264236" w14:textId="438D8BF3" w:rsidR="00443B73" w:rsidRDefault="008C343B">
          <w:pPr>
            <w:pStyle w:val="TOC2"/>
            <w:rPr>
              <w:rFonts w:asciiTheme="minorHAnsi" w:eastAsiaTheme="minorEastAsia" w:hAnsiTheme="minorHAnsi" w:cstheme="minorBidi"/>
              <w:noProof/>
              <w:sz w:val="22"/>
              <w:szCs w:val="22"/>
            </w:rPr>
          </w:pPr>
          <w:hyperlink w:anchor="_Toc114829895" w:history="1">
            <w:r w:rsidR="00443B73" w:rsidRPr="003A42A2">
              <w:rPr>
                <w:rStyle w:val="Hyperlink"/>
                <w:noProof/>
              </w:rPr>
              <w:t>2.2</w:t>
            </w:r>
            <w:r w:rsidR="00443B73">
              <w:rPr>
                <w:rFonts w:asciiTheme="minorHAnsi" w:eastAsiaTheme="minorEastAsia" w:hAnsiTheme="minorHAnsi" w:cstheme="minorBidi"/>
                <w:noProof/>
                <w:sz w:val="22"/>
                <w:szCs w:val="22"/>
              </w:rPr>
              <w:tab/>
            </w:r>
            <w:r w:rsidR="00443B73" w:rsidRPr="003A42A2">
              <w:rPr>
                <w:rStyle w:val="Hyperlink"/>
                <w:noProof/>
              </w:rPr>
              <w:t>Learnings</w:t>
            </w:r>
            <w:r w:rsidR="00443B73">
              <w:rPr>
                <w:noProof/>
                <w:webHidden/>
              </w:rPr>
              <w:tab/>
            </w:r>
            <w:r w:rsidR="00443B73">
              <w:rPr>
                <w:noProof/>
                <w:webHidden/>
              </w:rPr>
              <w:fldChar w:fldCharType="begin"/>
            </w:r>
            <w:r w:rsidR="00443B73">
              <w:rPr>
                <w:noProof/>
                <w:webHidden/>
              </w:rPr>
              <w:instrText xml:space="preserve"> PAGEREF _Toc114829895 \h </w:instrText>
            </w:r>
            <w:r w:rsidR="00443B73">
              <w:rPr>
                <w:noProof/>
                <w:webHidden/>
              </w:rPr>
            </w:r>
            <w:r w:rsidR="00443B73">
              <w:rPr>
                <w:noProof/>
                <w:webHidden/>
              </w:rPr>
              <w:fldChar w:fldCharType="separate"/>
            </w:r>
            <w:r w:rsidR="0031604A">
              <w:rPr>
                <w:noProof/>
                <w:webHidden/>
              </w:rPr>
              <w:t>10</w:t>
            </w:r>
            <w:r w:rsidR="00443B73">
              <w:rPr>
                <w:noProof/>
                <w:webHidden/>
              </w:rPr>
              <w:fldChar w:fldCharType="end"/>
            </w:r>
          </w:hyperlink>
        </w:p>
        <w:p w14:paraId="42C6F3EC" w14:textId="0CBE9154" w:rsidR="00443B73" w:rsidRDefault="008C343B">
          <w:pPr>
            <w:pStyle w:val="TOC2"/>
            <w:rPr>
              <w:rFonts w:asciiTheme="minorHAnsi" w:eastAsiaTheme="minorEastAsia" w:hAnsiTheme="minorHAnsi" w:cstheme="minorBidi"/>
              <w:noProof/>
              <w:sz w:val="22"/>
              <w:szCs w:val="22"/>
            </w:rPr>
          </w:pPr>
          <w:hyperlink w:anchor="_Toc114829896" w:history="1">
            <w:r w:rsidR="00443B73" w:rsidRPr="003A42A2">
              <w:rPr>
                <w:rStyle w:val="Hyperlink"/>
                <w:noProof/>
              </w:rPr>
              <w:t>2.3</w:t>
            </w:r>
            <w:r w:rsidR="00443B73">
              <w:rPr>
                <w:rFonts w:asciiTheme="minorHAnsi" w:eastAsiaTheme="minorEastAsia" w:hAnsiTheme="minorHAnsi" w:cstheme="minorBidi"/>
                <w:noProof/>
                <w:sz w:val="22"/>
                <w:szCs w:val="22"/>
              </w:rPr>
              <w:tab/>
            </w:r>
            <w:r w:rsidR="00443B73" w:rsidRPr="003A42A2">
              <w:rPr>
                <w:rStyle w:val="Hyperlink"/>
                <w:noProof/>
              </w:rPr>
              <w:t>Barriers</w:t>
            </w:r>
            <w:r w:rsidR="00443B73">
              <w:rPr>
                <w:noProof/>
                <w:webHidden/>
              </w:rPr>
              <w:tab/>
            </w:r>
            <w:r w:rsidR="00443B73">
              <w:rPr>
                <w:noProof/>
                <w:webHidden/>
              </w:rPr>
              <w:fldChar w:fldCharType="begin"/>
            </w:r>
            <w:r w:rsidR="00443B73">
              <w:rPr>
                <w:noProof/>
                <w:webHidden/>
              </w:rPr>
              <w:instrText xml:space="preserve"> PAGEREF _Toc114829896 \h </w:instrText>
            </w:r>
            <w:r w:rsidR="00443B73">
              <w:rPr>
                <w:noProof/>
                <w:webHidden/>
              </w:rPr>
            </w:r>
            <w:r w:rsidR="00443B73">
              <w:rPr>
                <w:noProof/>
                <w:webHidden/>
              </w:rPr>
              <w:fldChar w:fldCharType="separate"/>
            </w:r>
            <w:r w:rsidR="0031604A">
              <w:rPr>
                <w:noProof/>
                <w:webHidden/>
              </w:rPr>
              <w:t>11</w:t>
            </w:r>
            <w:r w:rsidR="00443B73">
              <w:rPr>
                <w:noProof/>
                <w:webHidden/>
              </w:rPr>
              <w:fldChar w:fldCharType="end"/>
            </w:r>
          </w:hyperlink>
        </w:p>
        <w:p w14:paraId="65888A8F" w14:textId="18D65E11" w:rsidR="00443B73" w:rsidRDefault="008C343B">
          <w:pPr>
            <w:pStyle w:val="TOC1"/>
            <w:rPr>
              <w:rFonts w:asciiTheme="minorHAnsi" w:eastAsiaTheme="minorEastAsia" w:hAnsiTheme="minorHAnsi" w:cstheme="minorBidi"/>
              <w:b w:val="0"/>
              <w:bCs w:val="0"/>
              <w:sz w:val="22"/>
              <w:szCs w:val="22"/>
            </w:rPr>
          </w:pPr>
          <w:hyperlink w:anchor="_Toc114829897" w:history="1">
            <w:r w:rsidR="00443B73" w:rsidRPr="003A42A2">
              <w:rPr>
                <w:rStyle w:val="Hyperlink"/>
              </w:rPr>
              <w:t>3.</w:t>
            </w:r>
            <w:r w:rsidR="00443B73">
              <w:rPr>
                <w:rFonts w:asciiTheme="minorHAnsi" w:eastAsiaTheme="minorEastAsia" w:hAnsiTheme="minorHAnsi" w:cstheme="minorBidi"/>
                <w:b w:val="0"/>
                <w:bCs w:val="0"/>
                <w:sz w:val="22"/>
                <w:szCs w:val="22"/>
              </w:rPr>
              <w:tab/>
            </w:r>
            <w:r w:rsidR="00443B73" w:rsidRPr="003A42A2">
              <w:rPr>
                <w:rStyle w:val="Hyperlink"/>
              </w:rPr>
              <w:t>Australian Governments and IP</w:t>
            </w:r>
            <w:r w:rsidR="00443B73">
              <w:rPr>
                <w:webHidden/>
              </w:rPr>
              <w:tab/>
            </w:r>
            <w:r w:rsidR="00443B73">
              <w:rPr>
                <w:webHidden/>
              </w:rPr>
              <w:fldChar w:fldCharType="begin"/>
            </w:r>
            <w:r w:rsidR="00443B73">
              <w:rPr>
                <w:webHidden/>
              </w:rPr>
              <w:instrText xml:space="preserve"> PAGEREF _Toc114829897 \h </w:instrText>
            </w:r>
            <w:r w:rsidR="00443B73">
              <w:rPr>
                <w:webHidden/>
              </w:rPr>
            </w:r>
            <w:r w:rsidR="00443B73">
              <w:rPr>
                <w:webHidden/>
              </w:rPr>
              <w:fldChar w:fldCharType="separate"/>
            </w:r>
            <w:r w:rsidR="0031604A">
              <w:rPr>
                <w:webHidden/>
              </w:rPr>
              <w:t>12</w:t>
            </w:r>
            <w:r w:rsidR="00443B73">
              <w:rPr>
                <w:webHidden/>
              </w:rPr>
              <w:fldChar w:fldCharType="end"/>
            </w:r>
          </w:hyperlink>
        </w:p>
        <w:p w14:paraId="42388A62" w14:textId="17D993B0" w:rsidR="00443B73" w:rsidRDefault="008C343B">
          <w:pPr>
            <w:pStyle w:val="TOC1"/>
            <w:rPr>
              <w:rFonts w:asciiTheme="minorHAnsi" w:eastAsiaTheme="minorEastAsia" w:hAnsiTheme="minorHAnsi" w:cstheme="minorBidi"/>
              <w:b w:val="0"/>
              <w:bCs w:val="0"/>
              <w:sz w:val="22"/>
              <w:szCs w:val="22"/>
            </w:rPr>
          </w:pPr>
          <w:hyperlink w:anchor="_Toc114829898" w:history="1">
            <w:r w:rsidR="00443B73" w:rsidRPr="003A42A2">
              <w:rPr>
                <w:rStyle w:val="Hyperlink"/>
              </w:rPr>
              <w:t>4.</w:t>
            </w:r>
            <w:r w:rsidR="00443B73">
              <w:rPr>
                <w:rFonts w:asciiTheme="minorHAnsi" w:eastAsiaTheme="minorEastAsia" w:hAnsiTheme="minorHAnsi" w:cstheme="minorBidi"/>
                <w:b w:val="0"/>
                <w:bCs w:val="0"/>
                <w:sz w:val="22"/>
                <w:szCs w:val="22"/>
              </w:rPr>
              <w:tab/>
            </w:r>
            <w:r w:rsidR="00443B73" w:rsidRPr="003A42A2">
              <w:rPr>
                <w:rStyle w:val="Hyperlink"/>
              </w:rPr>
              <w:t>Proposed policy options</w:t>
            </w:r>
            <w:r w:rsidR="00443B73">
              <w:rPr>
                <w:webHidden/>
              </w:rPr>
              <w:tab/>
            </w:r>
            <w:r w:rsidR="00443B73">
              <w:rPr>
                <w:webHidden/>
              </w:rPr>
              <w:fldChar w:fldCharType="begin"/>
            </w:r>
            <w:r w:rsidR="00443B73">
              <w:rPr>
                <w:webHidden/>
              </w:rPr>
              <w:instrText xml:space="preserve"> PAGEREF _Toc114829898 \h </w:instrText>
            </w:r>
            <w:r w:rsidR="00443B73">
              <w:rPr>
                <w:webHidden/>
              </w:rPr>
            </w:r>
            <w:r w:rsidR="00443B73">
              <w:rPr>
                <w:webHidden/>
              </w:rPr>
              <w:fldChar w:fldCharType="separate"/>
            </w:r>
            <w:r w:rsidR="0031604A">
              <w:rPr>
                <w:webHidden/>
              </w:rPr>
              <w:t>13</w:t>
            </w:r>
            <w:r w:rsidR="00443B73">
              <w:rPr>
                <w:webHidden/>
              </w:rPr>
              <w:fldChar w:fldCharType="end"/>
            </w:r>
          </w:hyperlink>
        </w:p>
        <w:p w14:paraId="0E21A3CD" w14:textId="50DA5F62" w:rsidR="00443B73" w:rsidRDefault="008C343B">
          <w:pPr>
            <w:pStyle w:val="TOC2"/>
            <w:rPr>
              <w:rFonts w:asciiTheme="minorHAnsi" w:eastAsiaTheme="minorEastAsia" w:hAnsiTheme="minorHAnsi" w:cstheme="minorBidi"/>
              <w:noProof/>
              <w:sz w:val="22"/>
              <w:szCs w:val="22"/>
            </w:rPr>
          </w:pPr>
          <w:hyperlink w:anchor="_Toc114829899" w:history="1">
            <w:r w:rsidR="00443B73" w:rsidRPr="003A42A2">
              <w:rPr>
                <w:rStyle w:val="Hyperlink"/>
                <w:noProof/>
              </w:rPr>
              <w:t>4.1</w:t>
            </w:r>
            <w:r w:rsidR="00443B73">
              <w:rPr>
                <w:rFonts w:asciiTheme="minorHAnsi" w:eastAsiaTheme="minorEastAsia" w:hAnsiTheme="minorHAnsi" w:cstheme="minorBidi"/>
                <w:noProof/>
                <w:sz w:val="22"/>
                <w:szCs w:val="22"/>
              </w:rPr>
              <w:tab/>
            </w:r>
            <w:r w:rsidR="00443B73" w:rsidRPr="003A42A2">
              <w:rPr>
                <w:rStyle w:val="Hyperlink"/>
                <w:rFonts w:eastAsia="Arial"/>
                <w:noProof/>
              </w:rPr>
              <w:t>A</w:t>
            </w:r>
            <w:r w:rsidR="00443B73" w:rsidRPr="003A42A2">
              <w:rPr>
                <w:rStyle w:val="Hyperlink"/>
                <w:noProof/>
              </w:rPr>
              <w:t>gency responsibilities</w:t>
            </w:r>
            <w:r w:rsidR="00443B73">
              <w:rPr>
                <w:noProof/>
                <w:webHidden/>
              </w:rPr>
              <w:tab/>
            </w:r>
            <w:r w:rsidR="00443B73">
              <w:rPr>
                <w:noProof/>
                <w:webHidden/>
              </w:rPr>
              <w:fldChar w:fldCharType="begin"/>
            </w:r>
            <w:r w:rsidR="00443B73">
              <w:rPr>
                <w:noProof/>
                <w:webHidden/>
              </w:rPr>
              <w:instrText xml:space="preserve"> PAGEREF _Toc114829899 \h </w:instrText>
            </w:r>
            <w:r w:rsidR="00443B73">
              <w:rPr>
                <w:noProof/>
                <w:webHidden/>
              </w:rPr>
            </w:r>
            <w:r w:rsidR="00443B73">
              <w:rPr>
                <w:noProof/>
                <w:webHidden/>
              </w:rPr>
              <w:fldChar w:fldCharType="separate"/>
            </w:r>
            <w:r w:rsidR="0031604A">
              <w:rPr>
                <w:noProof/>
                <w:webHidden/>
              </w:rPr>
              <w:t>13</w:t>
            </w:r>
            <w:r w:rsidR="00443B73">
              <w:rPr>
                <w:noProof/>
                <w:webHidden/>
              </w:rPr>
              <w:fldChar w:fldCharType="end"/>
            </w:r>
          </w:hyperlink>
        </w:p>
        <w:p w14:paraId="3B95ACEA" w14:textId="1DAD6C81" w:rsidR="00443B73" w:rsidRDefault="008C343B">
          <w:pPr>
            <w:pStyle w:val="TOC2"/>
            <w:rPr>
              <w:rFonts w:asciiTheme="minorHAnsi" w:eastAsiaTheme="minorEastAsia" w:hAnsiTheme="minorHAnsi" w:cstheme="minorBidi"/>
              <w:noProof/>
              <w:sz w:val="22"/>
              <w:szCs w:val="22"/>
            </w:rPr>
          </w:pPr>
          <w:hyperlink w:anchor="_Toc114829900" w:history="1">
            <w:r w:rsidR="00443B73" w:rsidRPr="003A42A2">
              <w:rPr>
                <w:rStyle w:val="Hyperlink"/>
                <w:noProof/>
              </w:rPr>
              <w:t>4.2</w:t>
            </w:r>
            <w:r w:rsidR="00443B73">
              <w:rPr>
                <w:rFonts w:asciiTheme="minorHAnsi" w:eastAsiaTheme="minorEastAsia" w:hAnsiTheme="minorHAnsi" w:cstheme="minorBidi"/>
                <w:noProof/>
                <w:sz w:val="22"/>
                <w:szCs w:val="22"/>
              </w:rPr>
              <w:tab/>
            </w:r>
            <w:r w:rsidR="00443B73" w:rsidRPr="003A42A2">
              <w:rPr>
                <w:rStyle w:val="Hyperlink"/>
                <w:noProof/>
              </w:rPr>
              <w:t>Ownership of IP</w:t>
            </w:r>
            <w:r w:rsidR="00443B73">
              <w:rPr>
                <w:noProof/>
                <w:webHidden/>
              </w:rPr>
              <w:tab/>
            </w:r>
            <w:r w:rsidR="00443B73">
              <w:rPr>
                <w:noProof/>
                <w:webHidden/>
              </w:rPr>
              <w:fldChar w:fldCharType="begin"/>
            </w:r>
            <w:r w:rsidR="00443B73">
              <w:rPr>
                <w:noProof/>
                <w:webHidden/>
              </w:rPr>
              <w:instrText xml:space="preserve"> PAGEREF _Toc114829900 \h </w:instrText>
            </w:r>
            <w:r w:rsidR="00443B73">
              <w:rPr>
                <w:noProof/>
                <w:webHidden/>
              </w:rPr>
            </w:r>
            <w:r w:rsidR="00443B73">
              <w:rPr>
                <w:noProof/>
                <w:webHidden/>
              </w:rPr>
              <w:fldChar w:fldCharType="separate"/>
            </w:r>
            <w:r w:rsidR="0031604A">
              <w:rPr>
                <w:noProof/>
                <w:webHidden/>
              </w:rPr>
              <w:t>14</w:t>
            </w:r>
            <w:r w:rsidR="00443B73">
              <w:rPr>
                <w:noProof/>
                <w:webHidden/>
              </w:rPr>
              <w:fldChar w:fldCharType="end"/>
            </w:r>
          </w:hyperlink>
        </w:p>
        <w:p w14:paraId="781764BF" w14:textId="215C8912" w:rsidR="00443B73" w:rsidRDefault="008C343B">
          <w:pPr>
            <w:pStyle w:val="TOC2"/>
            <w:rPr>
              <w:rFonts w:asciiTheme="minorHAnsi" w:eastAsiaTheme="minorEastAsia" w:hAnsiTheme="minorHAnsi" w:cstheme="minorBidi"/>
              <w:noProof/>
              <w:sz w:val="22"/>
              <w:szCs w:val="22"/>
            </w:rPr>
          </w:pPr>
          <w:hyperlink w:anchor="_Toc114829901" w:history="1">
            <w:r w:rsidR="00443B73" w:rsidRPr="003A42A2">
              <w:rPr>
                <w:rStyle w:val="Hyperlink"/>
                <w:noProof/>
              </w:rPr>
              <w:t>4.3</w:t>
            </w:r>
            <w:r w:rsidR="00443B73">
              <w:rPr>
                <w:rFonts w:asciiTheme="minorHAnsi" w:eastAsiaTheme="minorEastAsia" w:hAnsiTheme="minorHAnsi" w:cstheme="minorBidi"/>
                <w:noProof/>
                <w:sz w:val="22"/>
                <w:szCs w:val="22"/>
              </w:rPr>
              <w:tab/>
            </w:r>
            <w:r w:rsidR="00443B73" w:rsidRPr="003A42A2">
              <w:rPr>
                <w:rStyle w:val="Hyperlink"/>
                <w:noProof/>
              </w:rPr>
              <w:t>Commercialisation pathways</w:t>
            </w:r>
            <w:r w:rsidR="00443B73">
              <w:rPr>
                <w:noProof/>
                <w:webHidden/>
              </w:rPr>
              <w:tab/>
            </w:r>
            <w:r w:rsidR="00443B73">
              <w:rPr>
                <w:noProof/>
                <w:webHidden/>
              </w:rPr>
              <w:fldChar w:fldCharType="begin"/>
            </w:r>
            <w:r w:rsidR="00443B73">
              <w:rPr>
                <w:noProof/>
                <w:webHidden/>
              </w:rPr>
              <w:instrText xml:space="preserve"> PAGEREF _Toc114829901 \h </w:instrText>
            </w:r>
            <w:r w:rsidR="00443B73">
              <w:rPr>
                <w:noProof/>
                <w:webHidden/>
              </w:rPr>
            </w:r>
            <w:r w:rsidR="00443B73">
              <w:rPr>
                <w:noProof/>
                <w:webHidden/>
              </w:rPr>
              <w:fldChar w:fldCharType="separate"/>
            </w:r>
            <w:r w:rsidR="0031604A">
              <w:rPr>
                <w:noProof/>
                <w:webHidden/>
              </w:rPr>
              <w:t>16</w:t>
            </w:r>
            <w:r w:rsidR="00443B73">
              <w:rPr>
                <w:noProof/>
                <w:webHidden/>
              </w:rPr>
              <w:fldChar w:fldCharType="end"/>
            </w:r>
          </w:hyperlink>
        </w:p>
        <w:p w14:paraId="3480E820" w14:textId="775E9307" w:rsidR="00443B73" w:rsidRDefault="008C343B">
          <w:pPr>
            <w:pStyle w:val="TOC2"/>
            <w:rPr>
              <w:rFonts w:asciiTheme="minorHAnsi" w:eastAsiaTheme="minorEastAsia" w:hAnsiTheme="minorHAnsi" w:cstheme="minorBidi"/>
              <w:noProof/>
              <w:sz w:val="22"/>
              <w:szCs w:val="22"/>
            </w:rPr>
          </w:pPr>
          <w:hyperlink w:anchor="_Toc114829902" w:history="1">
            <w:r w:rsidR="00443B73" w:rsidRPr="003A42A2">
              <w:rPr>
                <w:rStyle w:val="Hyperlink"/>
                <w:noProof/>
              </w:rPr>
              <w:t>4.4</w:t>
            </w:r>
            <w:r w:rsidR="00443B73">
              <w:rPr>
                <w:rFonts w:asciiTheme="minorHAnsi" w:eastAsiaTheme="minorEastAsia" w:hAnsiTheme="minorHAnsi" w:cstheme="minorBidi"/>
                <w:noProof/>
                <w:sz w:val="22"/>
                <w:szCs w:val="22"/>
              </w:rPr>
              <w:tab/>
            </w:r>
            <w:r w:rsidR="00443B73" w:rsidRPr="003A42A2">
              <w:rPr>
                <w:rStyle w:val="Hyperlink"/>
                <w:noProof/>
              </w:rPr>
              <w:t>Benefit sharing arrangements</w:t>
            </w:r>
            <w:r w:rsidR="00443B73">
              <w:rPr>
                <w:noProof/>
                <w:webHidden/>
              </w:rPr>
              <w:tab/>
            </w:r>
            <w:r w:rsidR="00443B73">
              <w:rPr>
                <w:noProof/>
                <w:webHidden/>
              </w:rPr>
              <w:fldChar w:fldCharType="begin"/>
            </w:r>
            <w:r w:rsidR="00443B73">
              <w:rPr>
                <w:noProof/>
                <w:webHidden/>
              </w:rPr>
              <w:instrText xml:space="preserve"> PAGEREF _Toc114829902 \h </w:instrText>
            </w:r>
            <w:r w:rsidR="00443B73">
              <w:rPr>
                <w:noProof/>
                <w:webHidden/>
              </w:rPr>
            </w:r>
            <w:r w:rsidR="00443B73">
              <w:rPr>
                <w:noProof/>
                <w:webHidden/>
              </w:rPr>
              <w:fldChar w:fldCharType="separate"/>
            </w:r>
            <w:r w:rsidR="0031604A">
              <w:rPr>
                <w:noProof/>
                <w:webHidden/>
              </w:rPr>
              <w:t>21</w:t>
            </w:r>
            <w:r w:rsidR="00443B73">
              <w:rPr>
                <w:noProof/>
                <w:webHidden/>
              </w:rPr>
              <w:fldChar w:fldCharType="end"/>
            </w:r>
          </w:hyperlink>
        </w:p>
        <w:p w14:paraId="5055ED77" w14:textId="3F21A922" w:rsidR="00443B73" w:rsidRDefault="008C343B">
          <w:pPr>
            <w:pStyle w:val="TOC2"/>
            <w:rPr>
              <w:rFonts w:asciiTheme="minorHAnsi" w:eastAsiaTheme="minorEastAsia" w:hAnsiTheme="minorHAnsi" w:cstheme="minorBidi"/>
              <w:noProof/>
              <w:sz w:val="22"/>
              <w:szCs w:val="22"/>
            </w:rPr>
          </w:pPr>
          <w:hyperlink w:anchor="_Toc114829903" w:history="1">
            <w:r w:rsidR="00443B73" w:rsidRPr="003A42A2">
              <w:rPr>
                <w:rStyle w:val="Hyperlink"/>
                <w:noProof/>
              </w:rPr>
              <w:t>4.5</w:t>
            </w:r>
            <w:r w:rsidR="00443B73">
              <w:rPr>
                <w:rFonts w:asciiTheme="minorHAnsi" w:eastAsiaTheme="minorEastAsia" w:hAnsiTheme="minorHAnsi" w:cstheme="minorBidi"/>
                <w:noProof/>
                <w:sz w:val="22"/>
                <w:szCs w:val="22"/>
              </w:rPr>
              <w:tab/>
            </w:r>
            <w:r w:rsidR="00443B73" w:rsidRPr="003A42A2">
              <w:rPr>
                <w:rStyle w:val="Hyperlink"/>
                <w:noProof/>
              </w:rPr>
              <w:t>Rewards and incentives</w:t>
            </w:r>
            <w:r w:rsidR="00443B73">
              <w:rPr>
                <w:noProof/>
                <w:webHidden/>
              </w:rPr>
              <w:tab/>
            </w:r>
            <w:r w:rsidR="00443B73">
              <w:rPr>
                <w:noProof/>
                <w:webHidden/>
              </w:rPr>
              <w:fldChar w:fldCharType="begin"/>
            </w:r>
            <w:r w:rsidR="00443B73">
              <w:rPr>
                <w:noProof/>
                <w:webHidden/>
              </w:rPr>
              <w:instrText xml:space="preserve"> PAGEREF _Toc114829903 \h </w:instrText>
            </w:r>
            <w:r w:rsidR="00443B73">
              <w:rPr>
                <w:noProof/>
                <w:webHidden/>
              </w:rPr>
            </w:r>
            <w:r w:rsidR="00443B73">
              <w:rPr>
                <w:noProof/>
                <w:webHidden/>
              </w:rPr>
              <w:fldChar w:fldCharType="separate"/>
            </w:r>
            <w:r w:rsidR="0031604A">
              <w:rPr>
                <w:noProof/>
                <w:webHidden/>
              </w:rPr>
              <w:t>24</w:t>
            </w:r>
            <w:r w:rsidR="00443B73">
              <w:rPr>
                <w:noProof/>
                <w:webHidden/>
              </w:rPr>
              <w:fldChar w:fldCharType="end"/>
            </w:r>
          </w:hyperlink>
        </w:p>
        <w:p w14:paraId="0B83BFE8" w14:textId="1B0B8EBF" w:rsidR="00443B73" w:rsidRDefault="008C343B">
          <w:pPr>
            <w:pStyle w:val="TOC2"/>
            <w:rPr>
              <w:rFonts w:asciiTheme="minorHAnsi" w:eastAsiaTheme="minorEastAsia" w:hAnsiTheme="minorHAnsi" w:cstheme="minorBidi"/>
              <w:noProof/>
              <w:sz w:val="22"/>
              <w:szCs w:val="22"/>
            </w:rPr>
          </w:pPr>
          <w:hyperlink w:anchor="_Toc114829904" w:history="1">
            <w:r w:rsidR="00443B73" w:rsidRPr="003A42A2">
              <w:rPr>
                <w:rStyle w:val="Hyperlink"/>
                <w:noProof/>
              </w:rPr>
              <w:t>4.6</w:t>
            </w:r>
            <w:r w:rsidR="00443B73">
              <w:rPr>
                <w:rFonts w:asciiTheme="minorHAnsi" w:eastAsiaTheme="minorEastAsia" w:hAnsiTheme="minorHAnsi" w:cstheme="minorBidi"/>
                <w:noProof/>
                <w:sz w:val="22"/>
                <w:szCs w:val="22"/>
              </w:rPr>
              <w:tab/>
            </w:r>
            <w:r w:rsidR="00443B73" w:rsidRPr="003A42A2">
              <w:rPr>
                <w:rStyle w:val="Hyperlink"/>
                <w:noProof/>
              </w:rPr>
              <w:t>Scope and application of the WA Government IP Policy</w:t>
            </w:r>
            <w:r w:rsidR="00443B73">
              <w:rPr>
                <w:noProof/>
                <w:webHidden/>
              </w:rPr>
              <w:tab/>
            </w:r>
            <w:r w:rsidR="00443B73">
              <w:rPr>
                <w:noProof/>
                <w:webHidden/>
              </w:rPr>
              <w:fldChar w:fldCharType="begin"/>
            </w:r>
            <w:r w:rsidR="00443B73">
              <w:rPr>
                <w:noProof/>
                <w:webHidden/>
              </w:rPr>
              <w:instrText xml:space="preserve"> PAGEREF _Toc114829904 \h </w:instrText>
            </w:r>
            <w:r w:rsidR="00443B73">
              <w:rPr>
                <w:noProof/>
                <w:webHidden/>
              </w:rPr>
            </w:r>
            <w:r w:rsidR="00443B73">
              <w:rPr>
                <w:noProof/>
                <w:webHidden/>
              </w:rPr>
              <w:fldChar w:fldCharType="separate"/>
            </w:r>
            <w:r w:rsidR="0031604A">
              <w:rPr>
                <w:noProof/>
                <w:webHidden/>
              </w:rPr>
              <w:t>31</w:t>
            </w:r>
            <w:r w:rsidR="00443B73">
              <w:rPr>
                <w:noProof/>
                <w:webHidden/>
              </w:rPr>
              <w:fldChar w:fldCharType="end"/>
            </w:r>
          </w:hyperlink>
        </w:p>
        <w:p w14:paraId="5865DA4E" w14:textId="55A085C7" w:rsidR="00443B73" w:rsidRDefault="008C343B">
          <w:pPr>
            <w:pStyle w:val="TOC1"/>
            <w:rPr>
              <w:rFonts w:asciiTheme="minorHAnsi" w:eastAsiaTheme="minorEastAsia" w:hAnsiTheme="minorHAnsi" w:cstheme="minorBidi"/>
              <w:b w:val="0"/>
              <w:bCs w:val="0"/>
              <w:sz w:val="22"/>
              <w:szCs w:val="22"/>
            </w:rPr>
          </w:pPr>
          <w:hyperlink w:anchor="_Toc114829905" w:history="1">
            <w:r w:rsidR="00443B73" w:rsidRPr="003A42A2">
              <w:rPr>
                <w:rStyle w:val="Hyperlink"/>
              </w:rPr>
              <w:t>5.</w:t>
            </w:r>
            <w:r w:rsidR="00443B73">
              <w:rPr>
                <w:rFonts w:asciiTheme="minorHAnsi" w:eastAsiaTheme="minorEastAsia" w:hAnsiTheme="minorHAnsi" w:cstheme="minorBidi"/>
                <w:b w:val="0"/>
                <w:bCs w:val="0"/>
                <w:sz w:val="22"/>
                <w:szCs w:val="22"/>
              </w:rPr>
              <w:tab/>
            </w:r>
            <w:r w:rsidR="00443B73" w:rsidRPr="003A42A2">
              <w:rPr>
                <w:rStyle w:val="Hyperlink"/>
              </w:rPr>
              <w:t>Proposed implementation measures</w:t>
            </w:r>
            <w:r w:rsidR="00443B73">
              <w:rPr>
                <w:webHidden/>
              </w:rPr>
              <w:tab/>
            </w:r>
            <w:r w:rsidR="00443B73">
              <w:rPr>
                <w:webHidden/>
              </w:rPr>
              <w:fldChar w:fldCharType="begin"/>
            </w:r>
            <w:r w:rsidR="00443B73">
              <w:rPr>
                <w:webHidden/>
              </w:rPr>
              <w:instrText xml:space="preserve"> PAGEREF _Toc114829905 \h </w:instrText>
            </w:r>
            <w:r w:rsidR="00443B73">
              <w:rPr>
                <w:webHidden/>
              </w:rPr>
            </w:r>
            <w:r w:rsidR="00443B73">
              <w:rPr>
                <w:webHidden/>
              </w:rPr>
              <w:fldChar w:fldCharType="separate"/>
            </w:r>
            <w:r w:rsidR="0031604A">
              <w:rPr>
                <w:webHidden/>
              </w:rPr>
              <w:t>32</w:t>
            </w:r>
            <w:r w:rsidR="00443B73">
              <w:rPr>
                <w:webHidden/>
              </w:rPr>
              <w:fldChar w:fldCharType="end"/>
            </w:r>
          </w:hyperlink>
        </w:p>
        <w:p w14:paraId="5674D6EC" w14:textId="4919FE97" w:rsidR="00443B73" w:rsidRDefault="008C343B">
          <w:pPr>
            <w:pStyle w:val="TOC2"/>
            <w:rPr>
              <w:rFonts w:asciiTheme="minorHAnsi" w:eastAsiaTheme="minorEastAsia" w:hAnsiTheme="minorHAnsi" w:cstheme="minorBidi"/>
              <w:noProof/>
              <w:sz w:val="22"/>
              <w:szCs w:val="22"/>
            </w:rPr>
          </w:pPr>
          <w:hyperlink w:anchor="_Toc114829906" w:history="1">
            <w:r w:rsidR="00443B73" w:rsidRPr="003A42A2">
              <w:rPr>
                <w:rStyle w:val="Hyperlink"/>
                <w:rFonts w:eastAsia="SimHei"/>
                <w:noProof/>
              </w:rPr>
              <w:t>5.1</w:t>
            </w:r>
            <w:r w:rsidR="00443B73">
              <w:rPr>
                <w:rFonts w:asciiTheme="minorHAnsi" w:eastAsiaTheme="minorEastAsia" w:hAnsiTheme="minorHAnsi" w:cstheme="minorBidi"/>
                <w:noProof/>
                <w:sz w:val="22"/>
                <w:szCs w:val="22"/>
              </w:rPr>
              <w:tab/>
            </w:r>
            <w:r w:rsidR="00443B73" w:rsidRPr="003A42A2">
              <w:rPr>
                <w:rStyle w:val="Hyperlink"/>
                <w:rFonts w:eastAsia="Calibri"/>
                <w:noProof/>
              </w:rPr>
              <w:t>Proposals for ongoing support of WA Government agencies</w:t>
            </w:r>
            <w:r w:rsidR="00443B73">
              <w:rPr>
                <w:noProof/>
                <w:webHidden/>
              </w:rPr>
              <w:tab/>
            </w:r>
            <w:r w:rsidR="00443B73">
              <w:rPr>
                <w:noProof/>
                <w:webHidden/>
              </w:rPr>
              <w:fldChar w:fldCharType="begin"/>
            </w:r>
            <w:r w:rsidR="00443B73">
              <w:rPr>
                <w:noProof/>
                <w:webHidden/>
              </w:rPr>
              <w:instrText xml:space="preserve"> PAGEREF _Toc114829906 \h </w:instrText>
            </w:r>
            <w:r w:rsidR="00443B73">
              <w:rPr>
                <w:noProof/>
                <w:webHidden/>
              </w:rPr>
            </w:r>
            <w:r w:rsidR="00443B73">
              <w:rPr>
                <w:noProof/>
                <w:webHidden/>
              </w:rPr>
              <w:fldChar w:fldCharType="separate"/>
            </w:r>
            <w:r w:rsidR="0031604A">
              <w:rPr>
                <w:noProof/>
                <w:webHidden/>
              </w:rPr>
              <w:t>32</w:t>
            </w:r>
            <w:r w:rsidR="00443B73">
              <w:rPr>
                <w:noProof/>
                <w:webHidden/>
              </w:rPr>
              <w:fldChar w:fldCharType="end"/>
            </w:r>
          </w:hyperlink>
        </w:p>
        <w:p w14:paraId="5B660DD9" w14:textId="532C3D4D" w:rsidR="00443B73" w:rsidRDefault="008C343B">
          <w:pPr>
            <w:pStyle w:val="TOC1"/>
            <w:rPr>
              <w:rFonts w:asciiTheme="minorHAnsi" w:eastAsiaTheme="minorEastAsia" w:hAnsiTheme="minorHAnsi" w:cstheme="minorBidi"/>
              <w:b w:val="0"/>
              <w:bCs w:val="0"/>
              <w:sz w:val="22"/>
              <w:szCs w:val="22"/>
            </w:rPr>
          </w:pPr>
          <w:hyperlink w:anchor="_Toc114829907" w:history="1">
            <w:r w:rsidR="00443B73" w:rsidRPr="003A42A2">
              <w:rPr>
                <w:rStyle w:val="Hyperlink"/>
              </w:rPr>
              <w:t>6.</w:t>
            </w:r>
            <w:r w:rsidR="00443B73">
              <w:rPr>
                <w:rFonts w:asciiTheme="minorHAnsi" w:eastAsiaTheme="minorEastAsia" w:hAnsiTheme="minorHAnsi" w:cstheme="minorBidi"/>
                <w:b w:val="0"/>
                <w:bCs w:val="0"/>
                <w:sz w:val="22"/>
                <w:szCs w:val="22"/>
              </w:rPr>
              <w:tab/>
            </w:r>
            <w:r w:rsidR="00443B73" w:rsidRPr="003A42A2">
              <w:rPr>
                <w:rStyle w:val="Hyperlink"/>
              </w:rPr>
              <w:t>Summary of Discussion Questions</w:t>
            </w:r>
            <w:r w:rsidR="00443B73">
              <w:rPr>
                <w:webHidden/>
              </w:rPr>
              <w:tab/>
            </w:r>
            <w:r w:rsidR="00443B73">
              <w:rPr>
                <w:webHidden/>
              </w:rPr>
              <w:fldChar w:fldCharType="begin"/>
            </w:r>
            <w:r w:rsidR="00443B73">
              <w:rPr>
                <w:webHidden/>
              </w:rPr>
              <w:instrText xml:space="preserve"> PAGEREF _Toc114829907 \h </w:instrText>
            </w:r>
            <w:r w:rsidR="00443B73">
              <w:rPr>
                <w:webHidden/>
              </w:rPr>
            </w:r>
            <w:r w:rsidR="00443B73">
              <w:rPr>
                <w:webHidden/>
              </w:rPr>
              <w:fldChar w:fldCharType="separate"/>
            </w:r>
            <w:r w:rsidR="0031604A">
              <w:rPr>
                <w:webHidden/>
              </w:rPr>
              <w:t>37</w:t>
            </w:r>
            <w:r w:rsidR="00443B73">
              <w:rPr>
                <w:webHidden/>
              </w:rPr>
              <w:fldChar w:fldCharType="end"/>
            </w:r>
          </w:hyperlink>
        </w:p>
        <w:p w14:paraId="752E302B" w14:textId="0C3C90B4" w:rsidR="00443B73" w:rsidRDefault="008C343B">
          <w:pPr>
            <w:pStyle w:val="TOC2"/>
            <w:rPr>
              <w:rFonts w:asciiTheme="minorHAnsi" w:eastAsiaTheme="minorEastAsia" w:hAnsiTheme="minorHAnsi" w:cstheme="minorBidi"/>
              <w:noProof/>
              <w:sz w:val="22"/>
              <w:szCs w:val="22"/>
            </w:rPr>
          </w:pPr>
          <w:hyperlink w:anchor="_Toc114829908" w:history="1">
            <w:r w:rsidR="00443B73" w:rsidRPr="003A42A2">
              <w:rPr>
                <w:rStyle w:val="Hyperlink"/>
                <w:noProof/>
              </w:rPr>
              <w:t>6.1</w:t>
            </w:r>
            <w:r w:rsidR="00443B73">
              <w:rPr>
                <w:rFonts w:asciiTheme="minorHAnsi" w:eastAsiaTheme="minorEastAsia" w:hAnsiTheme="minorHAnsi" w:cstheme="minorBidi"/>
                <w:noProof/>
                <w:sz w:val="22"/>
                <w:szCs w:val="22"/>
              </w:rPr>
              <w:tab/>
            </w:r>
            <w:r w:rsidR="00443B73" w:rsidRPr="003A42A2">
              <w:rPr>
                <w:rStyle w:val="Hyperlink"/>
                <w:noProof/>
              </w:rPr>
              <w:t>Agency responsibilities</w:t>
            </w:r>
            <w:r w:rsidR="00443B73">
              <w:rPr>
                <w:noProof/>
                <w:webHidden/>
              </w:rPr>
              <w:tab/>
            </w:r>
            <w:r w:rsidR="00443B73">
              <w:rPr>
                <w:noProof/>
                <w:webHidden/>
              </w:rPr>
              <w:fldChar w:fldCharType="begin"/>
            </w:r>
            <w:r w:rsidR="00443B73">
              <w:rPr>
                <w:noProof/>
                <w:webHidden/>
              </w:rPr>
              <w:instrText xml:space="preserve"> PAGEREF _Toc114829908 \h </w:instrText>
            </w:r>
            <w:r w:rsidR="00443B73">
              <w:rPr>
                <w:noProof/>
                <w:webHidden/>
              </w:rPr>
            </w:r>
            <w:r w:rsidR="00443B73">
              <w:rPr>
                <w:noProof/>
                <w:webHidden/>
              </w:rPr>
              <w:fldChar w:fldCharType="separate"/>
            </w:r>
            <w:r w:rsidR="0031604A">
              <w:rPr>
                <w:noProof/>
                <w:webHidden/>
              </w:rPr>
              <w:t>37</w:t>
            </w:r>
            <w:r w:rsidR="00443B73">
              <w:rPr>
                <w:noProof/>
                <w:webHidden/>
              </w:rPr>
              <w:fldChar w:fldCharType="end"/>
            </w:r>
          </w:hyperlink>
        </w:p>
        <w:p w14:paraId="07FAE8DF" w14:textId="1D67290C" w:rsidR="00443B73" w:rsidRDefault="008C343B">
          <w:pPr>
            <w:pStyle w:val="TOC2"/>
            <w:rPr>
              <w:rFonts w:asciiTheme="minorHAnsi" w:eastAsiaTheme="minorEastAsia" w:hAnsiTheme="minorHAnsi" w:cstheme="minorBidi"/>
              <w:noProof/>
              <w:sz w:val="22"/>
              <w:szCs w:val="22"/>
            </w:rPr>
          </w:pPr>
          <w:hyperlink w:anchor="_Toc114829909" w:history="1">
            <w:r w:rsidR="00443B73" w:rsidRPr="003A42A2">
              <w:rPr>
                <w:rStyle w:val="Hyperlink"/>
                <w:noProof/>
              </w:rPr>
              <w:t>6.2</w:t>
            </w:r>
            <w:r w:rsidR="00443B73">
              <w:rPr>
                <w:rFonts w:asciiTheme="minorHAnsi" w:eastAsiaTheme="minorEastAsia" w:hAnsiTheme="minorHAnsi" w:cstheme="minorBidi"/>
                <w:noProof/>
                <w:sz w:val="22"/>
                <w:szCs w:val="22"/>
              </w:rPr>
              <w:tab/>
            </w:r>
            <w:r w:rsidR="00443B73" w:rsidRPr="003A42A2">
              <w:rPr>
                <w:rStyle w:val="Hyperlink"/>
                <w:noProof/>
              </w:rPr>
              <w:t>Ownership of IP</w:t>
            </w:r>
            <w:r w:rsidR="00443B73">
              <w:rPr>
                <w:noProof/>
                <w:webHidden/>
              </w:rPr>
              <w:tab/>
            </w:r>
            <w:r w:rsidR="00443B73">
              <w:rPr>
                <w:noProof/>
                <w:webHidden/>
              </w:rPr>
              <w:fldChar w:fldCharType="begin"/>
            </w:r>
            <w:r w:rsidR="00443B73">
              <w:rPr>
                <w:noProof/>
                <w:webHidden/>
              </w:rPr>
              <w:instrText xml:space="preserve"> PAGEREF _Toc114829909 \h </w:instrText>
            </w:r>
            <w:r w:rsidR="00443B73">
              <w:rPr>
                <w:noProof/>
                <w:webHidden/>
              </w:rPr>
            </w:r>
            <w:r w:rsidR="00443B73">
              <w:rPr>
                <w:noProof/>
                <w:webHidden/>
              </w:rPr>
              <w:fldChar w:fldCharType="separate"/>
            </w:r>
            <w:r w:rsidR="0031604A">
              <w:rPr>
                <w:noProof/>
                <w:webHidden/>
              </w:rPr>
              <w:t>37</w:t>
            </w:r>
            <w:r w:rsidR="00443B73">
              <w:rPr>
                <w:noProof/>
                <w:webHidden/>
              </w:rPr>
              <w:fldChar w:fldCharType="end"/>
            </w:r>
          </w:hyperlink>
        </w:p>
        <w:p w14:paraId="3FC4613E" w14:textId="6FDC5164" w:rsidR="00443B73" w:rsidRDefault="008C343B">
          <w:pPr>
            <w:pStyle w:val="TOC2"/>
            <w:rPr>
              <w:rFonts w:asciiTheme="minorHAnsi" w:eastAsiaTheme="minorEastAsia" w:hAnsiTheme="minorHAnsi" w:cstheme="minorBidi"/>
              <w:noProof/>
              <w:sz w:val="22"/>
              <w:szCs w:val="22"/>
            </w:rPr>
          </w:pPr>
          <w:hyperlink w:anchor="_Toc114829910" w:history="1">
            <w:r w:rsidR="00443B73" w:rsidRPr="003A42A2">
              <w:rPr>
                <w:rStyle w:val="Hyperlink"/>
                <w:noProof/>
              </w:rPr>
              <w:t>6.3</w:t>
            </w:r>
            <w:r w:rsidR="00443B73">
              <w:rPr>
                <w:rFonts w:asciiTheme="minorHAnsi" w:eastAsiaTheme="minorEastAsia" w:hAnsiTheme="minorHAnsi" w:cstheme="minorBidi"/>
                <w:noProof/>
                <w:sz w:val="22"/>
                <w:szCs w:val="22"/>
              </w:rPr>
              <w:tab/>
            </w:r>
            <w:r w:rsidR="00443B73" w:rsidRPr="003A42A2">
              <w:rPr>
                <w:rStyle w:val="Hyperlink"/>
                <w:noProof/>
              </w:rPr>
              <w:t>Commercialisation pathways</w:t>
            </w:r>
            <w:r w:rsidR="00443B73">
              <w:rPr>
                <w:noProof/>
                <w:webHidden/>
              </w:rPr>
              <w:tab/>
            </w:r>
            <w:r w:rsidR="00443B73">
              <w:rPr>
                <w:noProof/>
                <w:webHidden/>
              </w:rPr>
              <w:fldChar w:fldCharType="begin"/>
            </w:r>
            <w:r w:rsidR="00443B73">
              <w:rPr>
                <w:noProof/>
                <w:webHidden/>
              </w:rPr>
              <w:instrText xml:space="preserve"> PAGEREF _Toc114829910 \h </w:instrText>
            </w:r>
            <w:r w:rsidR="00443B73">
              <w:rPr>
                <w:noProof/>
                <w:webHidden/>
              </w:rPr>
            </w:r>
            <w:r w:rsidR="00443B73">
              <w:rPr>
                <w:noProof/>
                <w:webHidden/>
              </w:rPr>
              <w:fldChar w:fldCharType="separate"/>
            </w:r>
            <w:r w:rsidR="0031604A">
              <w:rPr>
                <w:noProof/>
                <w:webHidden/>
              </w:rPr>
              <w:t>37</w:t>
            </w:r>
            <w:r w:rsidR="00443B73">
              <w:rPr>
                <w:noProof/>
                <w:webHidden/>
              </w:rPr>
              <w:fldChar w:fldCharType="end"/>
            </w:r>
          </w:hyperlink>
        </w:p>
        <w:p w14:paraId="6BD36422" w14:textId="03127F79" w:rsidR="00443B73" w:rsidRDefault="008C343B">
          <w:pPr>
            <w:pStyle w:val="TOC2"/>
            <w:rPr>
              <w:rFonts w:asciiTheme="minorHAnsi" w:eastAsiaTheme="minorEastAsia" w:hAnsiTheme="minorHAnsi" w:cstheme="minorBidi"/>
              <w:noProof/>
              <w:sz w:val="22"/>
              <w:szCs w:val="22"/>
            </w:rPr>
          </w:pPr>
          <w:hyperlink w:anchor="_Toc114829911" w:history="1">
            <w:r w:rsidR="00443B73" w:rsidRPr="003A42A2">
              <w:rPr>
                <w:rStyle w:val="Hyperlink"/>
                <w:noProof/>
              </w:rPr>
              <w:t>6.4</w:t>
            </w:r>
            <w:r w:rsidR="00443B73">
              <w:rPr>
                <w:rFonts w:asciiTheme="minorHAnsi" w:eastAsiaTheme="minorEastAsia" w:hAnsiTheme="minorHAnsi" w:cstheme="minorBidi"/>
                <w:noProof/>
                <w:sz w:val="22"/>
                <w:szCs w:val="22"/>
              </w:rPr>
              <w:tab/>
            </w:r>
            <w:r w:rsidR="00443B73" w:rsidRPr="003A42A2">
              <w:rPr>
                <w:rStyle w:val="Hyperlink"/>
                <w:noProof/>
              </w:rPr>
              <w:t>Benefit sharing arrangements</w:t>
            </w:r>
            <w:r w:rsidR="00443B73">
              <w:rPr>
                <w:noProof/>
                <w:webHidden/>
              </w:rPr>
              <w:tab/>
            </w:r>
            <w:r w:rsidR="00443B73">
              <w:rPr>
                <w:noProof/>
                <w:webHidden/>
              </w:rPr>
              <w:fldChar w:fldCharType="begin"/>
            </w:r>
            <w:r w:rsidR="00443B73">
              <w:rPr>
                <w:noProof/>
                <w:webHidden/>
              </w:rPr>
              <w:instrText xml:space="preserve"> PAGEREF _Toc114829911 \h </w:instrText>
            </w:r>
            <w:r w:rsidR="00443B73">
              <w:rPr>
                <w:noProof/>
                <w:webHidden/>
              </w:rPr>
            </w:r>
            <w:r w:rsidR="00443B73">
              <w:rPr>
                <w:noProof/>
                <w:webHidden/>
              </w:rPr>
              <w:fldChar w:fldCharType="separate"/>
            </w:r>
            <w:r w:rsidR="0031604A">
              <w:rPr>
                <w:noProof/>
                <w:webHidden/>
              </w:rPr>
              <w:t>37</w:t>
            </w:r>
            <w:r w:rsidR="00443B73">
              <w:rPr>
                <w:noProof/>
                <w:webHidden/>
              </w:rPr>
              <w:fldChar w:fldCharType="end"/>
            </w:r>
          </w:hyperlink>
        </w:p>
        <w:p w14:paraId="27B559AC" w14:textId="5A3A9761" w:rsidR="00443B73" w:rsidRDefault="008C343B">
          <w:pPr>
            <w:pStyle w:val="TOC2"/>
            <w:rPr>
              <w:rFonts w:asciiTheme="minorHAnsi" w:eastAsiaTheme="minorEastAsia" w:hAnsiTheme="minorHAnsi" w:cstheme="minorBidi"/>
              <w:noProof/>
              <w:sz w:val="22"/>
              <w:szCs w:val="22"/>
            </w:rPr>
          </w:pPr>
          <w:hyperlink w:anchor="_Toc114829912" w:history="1">
            <w:r w:rsidR="00443B73" w:rsidRPr="003A42A2">
              <w:rPr>
                <w:rStyle w:val="Hyperlink"/>
                <w:noProof/>
              </w:rPr>
              <w:t>6.5</w:t>
            </w:r>
            <w:r w:rsidR="00443B73">
              <w:rPr>
                <w:rFonts w:asciiTheme="minorHAnsi" w:eastAsiaTheme="minorEastAsia" w:hAnsiTheme="minorHAnsi" w:cstheme="minorBidi"/>
                <w:noProof/>
                <w:sz w:val="22"/>
                <w:szCs w:val="22"/>
              </w:rPr>
              <w:tab/>
            </w:r>
            <w:r w:rsidR="00443B73" w:rsidRPr="003A42A2">
              <w:rPr>
                <w:rStyle w:val="Hyperlink"/>
                <w:noProof/>
              </w:rPr>
              <w:t>Rewards and incentives</w:t>
            </w:r>
            <w:r w:rsidR="00443B73">
              <w:rPr>
                <w:noProof/>
                <w:webHidden/>
              </w:rPr>
              <w:tab/>
            </w:r>
            <w:r w:rsidR="00443B73">
              <w:rPr>
                <w:noProof/>
                <w:webHidden/>
              </w:rPr>
              <w:fldChar w:fldCharType="begin"/>
            </w:r>
            <w:r w:rsidR="00443B73">
              <w:rPr>
                <w:noProof/>
                <w:webHidden/>
              </w:rPr>
              <w:instrText xml:space="preserve"> PAGEREF _Toc114829912 \h </w:instrText>
            </w:r>
            <w:r w:rsidR="00443B73">
              <w:rPr>
                <w:noProof/>
                <w:webHidden/>
              </w:rPr>
            </w:r>
            <w:r w:rsidR="00443B73">
              <w:rPr>
                <w:noProof/>
                <w:webHidden/>
              </w:rPr>
              <w:fldChar w:fldCharType="separate"/>
            </w:r>
            <w:r w:rsidR="0031604A">
              <w:rPr>
                <w:noProof/>
                <w:webHidden/>
              </w:rPr>
              <w:t>38</w:t>
            </w:r>
            <w:r w:rsidR="00443B73">
              <w:rPr>
                <w:noProof/>
                <w:webHidden/>
              </w:rPr>
              <w:fldChar w:fldCharType="end"/>
            </w:r>
          </w:hyperlink>
        </w:p>
        <w:p w14:paraId="733DF5EC" w14:textId="476F9418" w:rsidR="00443B73" w:rsidRDefault="008C343B">
          <w:pPr>
            <w:pStyle w:val="TOC2"/>
            <w:rPr>
              <w:rFonts w:asciiTheme="minorHAnsi" w:eastAsiaTheme="minorEastAsia" w:hAnsiTheme="minorHAnsi" w:cstheme="minorBidi"/>
              <w:noProof/>
              <w:sz w:val="22"/>
              <w:szCs w:val="22"/>
            </w:rPr>
          </w:pPr>
          <w:hyperlink w:anchor="_Toc114829913" w:history="1">
            <w:r w:rsidR="00443B73" w:rsidRPr="003A42A2">
              <w:rPr>
                <w:rStyle w:val="Hyperlink"/>
                <w:noProof/>
              </w:rPr>
              <w:t>6.6</w:t>
            </w:r>
            <w:r w:rsidR="00443B73">
              <w:rPr>
                <w:rFonts w:asciiTheme="minorHAnsi" w:eastAsiaTheme="minorEastAsia" w:hAnsiTheme="minorHAnsi" w:cstheme="minorBidi"/>
                <w:noProof/>
                <w:sz w:val="22"/>
                <w:szCs w:val="22"/>
              </w:rPr>
              <w:tab/>
            </w:r>
            <w:r w:rsidR="00443B73" w:rsidRPr="003A42A2">
              <w:rPr>
                <w:rStyle w:val="Hyperlink"/>
                <w:noProof/>
              </w:rPr>
              <w:t>Scope and application of the IP Policy</w:t>
            </w:r>
            <w:r w:rsidR="00443B73">
              <w:rPr>
                <w:noProof/>
                <w:webHidden/>
              </w:rPr>
              <w:tab/>
            </w:r>
            <w:r w:rsidR="00443B73">
              <w:rPr>
                <w:noProof/>
                <w:webHidden/>
              </w:rPr>
              <w:fldChar w:fldCharType="begin"/>
            </w:r>
            <w:r w:rsidR="00443B73">
              <w:rPr>
                <w:noProof/>
                <w:webHidden/>
              </w:rPr>
              <w:instrText xml:space="preserve"> PAGEREF _Toc114829913 \h </w:instrText>
            </w:r>
            <w:r w:rsidR="00443B73">
              <w:rPr>
                <w:noProof/>
                <w:webHidden/>
              </w:rPr>
            </w:r>
            <w:r w:rsidR="00443B73">
              <w:rPr>
                <w:noProof/>
                <w:webHidden/>
              </w:rPr>
              <w:fldChar w:fldCharType="separate"/>
            </w:r>
            <w:r w:rsidR="0031604A">
              <w:rPr>
                <w:noProof/>
                <w:webHidden/>
              </w:rPr>
              <w:t>38</w:t>
            </w:r>
            <w:r w:rsidR="00443B73">
              <w:rPr>
                <w:noProof/>
                <w:webHidden/>
              </w:rPr>
              <w:fldChar w:fldCharType="end"/>
            </w:r>
          </w:hyperlink>
        </w:p>
        <w:p w14:paraId="2B1041CB" w14:textId="41BEF674" w:rsidR="00443B73" w:rsidRDefault="008C343B">
          <w:pPr>
            <w:pStyle w:val="TOC2"/>
            <w:rPr>
              <w:rFonts w:asciiTheme="minorHAnsi" w:eastAsiaTheme="minorEastAsia" w:hAnsiTheme="minorHAnsi" w:cstheme="minorBidi"/>
              <w:noProof/>
              <w:sz w:val="22"/>
              <w:szCs w:val="22"/>
            </w:rPr>
          </w:pPr>
          <w:hyperlink w:anchor="_Toc114829914" w:history="1">
            <w:r w:rsidR="00443B73" w:rsidRPr="003A42A2">
              <w:rPr>
                <w:rStyle w:val="Hyperlink"/>
                <w:noProof/>
              </w:rPr>
              <w:t>6.7</w:t>
            </w:r>
            <w:r w:rsidR="00443B73">
              <w:rPr>
                <w:rFonts w:asciiTheme="minorHAnsi" w:eastAsiaTheme="minorEastAsia" w:hAnsiTheme="minorHAnsi" w:cstheme="minorBidi"/>
                <w:noProof/>
                <w:sz w:val="22"/>
                <w:szCs w:val="22"/>
              </w:rPr>
              <w:tab/>
            </w:r>
            <w:r w:rsidR="00443B73" w:rsidRPr="003A42A2">
              <w:rPr>
                <w:rStyle w:val="Hyperlink"/>
                <w:noProof/>
              </w:rPr>
              <w:t>Proposed implementation measures</w:t>
            </w:r>
            <w:r w:rsidR="00443B73">
              <w:rPr>
                <w:noProof/>
                <w:webHidden/>
              </w:rPr>
              <w:tab/>
            </w:r>
            <w:r w:rsidR="00443B73">
              <w:rPr>
                <w:noProof/>
                <w:webHidden/>
              </w:rPr>
              <w:fldChar w:fldCharType="begin"/>
            </w:r>
            <w:r w:rsidR="00443B73">
              <w:rPr>
                <w:noProof/>
                <w:webHidden/>
              </w:rPr>
              <w:instrText xml:space="preserve"> PAGEREF _Toc114829914 \h </w:instrText>
            </w:r>
            <w:r w:rsidR="00443B73">
              <w:rPr>
                <w:noProof/>
                <w:webHidden/>
              </w:rPr>
            </w:r>
            <w:r w:rsidR="00443B73">
              <w:rPr>
                <w:noProof/>
                <w:webHidden/>
              </w:rPr>
              <w:fldChar w:fldCharType="separate"/>
            </w:r>
            <w:r w:rsidR="0031604A">
              <w:rPr>
                <w:noProof/>
                <w:webHidden/>
              </w:rPr>
              <w:t>38</w:t>
            </w:r>
            <w:r w:rsidR="00443B73">
              <w:rPr>
                <w:noProof/>
                <w:webHidden/>
              </w:rPr>
              <w:fldChar w:fldCharType="end"/>
            </w:r>
          </w:hyperlink>
        </w:p>
        <w:p w14:paraId="74C1B3D5" w14:textId="7E1EEC40" w:rsidR="00F439EE" w:rsidRPr="00F439EE" w:rsidRDefault="00235E77" w:rsidP="00F439EE">
          <w:pPr>
            <w:spacing w:after="0" w:line="240" w:lineRule="auto"/>
            <w:textAlignment w:val="auto"/>
            <w:rPr>
              <w:rFonts w:eastAsia="Arial" w:cs="Times New Roman"/>
              <w:bCs/>
              <w:noProof/>
              <w:sz w:val="22"/>
              <w:szCs w:val="22"/>
              <w:lang w:eastAsia="en-US"/>
            </w:rPr>
          </w:pPr>
          <w:r>
            <w:rPr>
              <w:rFonts w:eastAsia="Arial" w:cs="Times New Roman"/>
              <w:noProof/>
              <w:sz w:val="28"/>
              <w:szCs w:val="28"/>
              <w:lang w:eastAsia="en-US"/>
            </w:rPr>
            <w:fldChar w:fldCharType="end"/>
          </w:r>
        </w:p>
      </w:sdtContent>
    </w:sdt>
    <w:p w14:paraId="4191C667" w14:textId="2493D427" w:rsidR="00EF2E99" w:rsidRDefault="00EF2E99" w:rsidP="005A6302">
      <w:pPr>
        <w:pStyle w:val="Heading1"/>
        <w:numPr>
          <w:ilvl w:val="0"/>
          <w:numId w:val="0"/>
        </w:numPr>
        <w:ind w:left="360" w:hanging="360"/>
      </w:pPr>
      <w:bookmarkStart w:id="6" w:name="_Toc114829886"/>
      <w:bookmarkStart w:id="7" w:name="_Toc101971621"/>
      <w:bookmarkStart w:id="8" w:name="_Toc104976274"/>
      <w:r>
        <w:lastRenderedPageBreak/>
        <w:t>Executive Summary</w:t>
      </w:r>
      <w:bookmarkEnd w:id="6"/>
      <w:r>
        <w:t xml:space="preserve"> </w:t>
      </w:r>
    </w:p>
    <w:p w14:paraId="1AE4336D" w14:textId="5F8FA8F4" w:rsidR="001021D6" w:rsidRDefault="004C7A79" w:rsidP="00A92446">
      <w:pPr>
        <w:pStyle w:val="BodyText"/>
      </w:pPr>
      <w:r w:rsidRPr="00A04364">
        <w:t>Intellectual property (IP) developed or owned by Western Australian</w:t>
      </w:r>
      <w:r w:rsidR="00B55710">
        <w:t xml:space="preserve"> </w:t>
      </w:r>
      <w:r w:rsidRPr="00A04364">
        <w:t>Government agencies is a valuable asset with potential economic, social and environmental benefits for the community.</w:t>
      </w:r>
      <w:r>
        <w:t xml:space="preserve"> </w:t>
      </w:r>
    </w:p>
    <w:p w14:paraId="563EB0FC" w14:textId="63CCB1A5" w:rsidR="00BE5A89" w:rsidRPr="00F90914" w:rsidRDefault="004B3EB9" w:rsidP="00F90914">
      <w:pPr>
        <w:jc w:val="both"/>
        <w:rPr>
          <w:color w:val="272727" w:themeColor="accent1" w:themeShade="80"/>
        </w:rPr>
      </w:pPr>
      <w:r>
        <w:t xml:space="preserve">The core functions of Australian </w:t>
      </w:r>
      <w:r w:rsidR="00B55710">
        <w:t>G</w:t>
      </w:r>
      <w:r>
        <w:t xml:space="preserve">overnment agencies often result in the creation of IP, which </w:t>
      </w:r>
      <w:r w:rsidR="004C7A79">
        <w:t xml:space="preserve">can include copyright protected publications, advertising material, artwork and photographs, training materials, software, computer programs and databases, inventions, plant </w:t>
      </w:r>
      <w:r>
        <w:t>breeder’s</w:t>
      </w:r>
      <w:r w:rsidR="004C7A79">
        <w:t xml:space="preserve"> rights, trademarks and designs. </w:t>
      </w:r>
      <w:r w:rsidR="00614771">
        <w:t>Between 2000 and 2020 i</w:t>
      </w:r>
      <w:r w:rsidR="00F90914">
        <w:t xml:space="preserve">t is estimated that </w:t>
      </w:r>
      <w:r w:rsidR="00F90914" w:rsidRPr="0012671F">
        <w:rPr>
          <w:color w:val="272727" w:themeColor="accent1" w:themeShade="80"/>
        </w:rPr>
        <w:t>W</w:t>
      </w:r>
      <w:r w:rsidR="00B55710">
        <w:rPr>
          <w:color w:val="272727" w:themeColor="accent1" w:themeShade="80"/>
        </w:rPr>
        <w:t>A</w:t>
      </w:r>
      <w:r w:rsidR="00F90914" w:rsidRPr="0012671F">
        <w:rPr>
          <w:color w:val="272727" w:themeColor="accent1" w:themeShade="80"/>
        </w:rPr>
        <w:t xml:space="preserve"> Government account</w:t>
      </w:r>
      <w:r w:rsidR="00E11144">
        <w:rPr>
          <w:color w:val="272727" w:themeColor="accent1" w:themeShade="80"/>
        </w:rPr>
        <w:t>ed</w:t>
      </w:r>
      <w:r w:rsidR="00F90914" w:rsidRPr="0012671F">
        <w:rPr>
          <w:color w:val="272727" w:themeColor="accent1" w:themeShade="80"/>
        </w:rPr>
        <w:t xml:space="preserve"> for approximately 0.</w:t>
      </w:r>
      <w:r w:rsidR="00F90914">
        <w:rPr>
          <w:color w:val="272727" w:themeColor="accent1" w:themeShade="80"/>
        </w:rPr>
        <w:t>14</w:t>
      </w:r>
      <w:r w:rsidR="00B55710">
        <w:rPr>
          <w:color w:val="272727" w:themeColor="accent1" w:themeShade="80"/>
        </w:rPr>
        <w:t xml:space="preserve"> per cent</w:t>
      </w:r>
      <w:r w:rsidR="00F90914" w:rsidRPr="0012671F">
        <w:rPr>
          <w:color w:val="272727" w:themeColor="accent1" w:themeShade="80"/>
        </w:rPr>
        <w:t xml:space="preserve"> of the total</w:t>
      </w:r>
      <w:r w:rsidR="00F90914">
        <w:rPr>
          <w:color w:val="272727" w:themeColor="accent1" w:themeShade="80"/>
        </w:rPr>
        <w:t xml:space="preserve"> patents, trademarks and plant breeders’ rights</w:t>
      </w:r>
      <w:r w:rsidR="00F90914" w:rsidRPr="0012671F">
        <w:rPr>
          <w:color w:val="272727" w:themeColor="accent1" w:themeShade="80"/>
        </w:rPr>
        <w:t xml:space="preserve"> granted nation-wide </w:t>
      </w:r>
      <w:r w:rsidR="00F90914">
        <w:rPr>
          <w:color w:val="272727" w:themeColor="accent1" w:themeShade="80"/>
        </w:rPr>
        <w:t>and approximately 12</w:t>
      </w:r>
      <w:r w:rsidR="00B55710">
        <w:rPr>
          <w:color w:val="272727" w:themeColor="accent1" w:themeShade="80"/>
        </w:rPr>
        <w:t xml:space="preserve"> per cent</w:t>
      </w:r>
      <w:r w:rsidR="00F90914">
        <w:rPr>
          <w:color w:val="272727" w:themeColor="accent1" w:themeShade="80"/>
        </w:rPr>
        <w:t xml:space="preserve"> of the total registrations attributed to Australian </w:t>
      </w:r>
      <w:r w:rsidR="00B55710">
        <w:rPr>
          <w:color w:val="272727" w:themeColor="accent1" w:themeShade="80"/>
        </w:rPr>
        <w:t>G</w:t>
      </w:r>
      <w:r w:rsidR="00F90914">
        <w:rPr>
          <w:color w:val="272727" w:themeColor="accent1" w:themeShade="80"/>
        </w:rPr>
        <w:t>overnment agencies</w:t>
      </w:r>
      <w:r w:rsidR="00614771" w:rsidRPr="00614771">
        <w:rPr>
          <w:color w:val="272727" w:themeColor="accent1" w:themeShade="80"/>
        </w:rPr>
        <w:t xml:space="preserve"> </w:t>
      </w:r>
      <w:r w:rsidR="00614771" w:rsidRPr="0012671F">
        <w:rPr>
          <w:color w:val="272727" w:themeColor="accent1" w:themeShade="80"/>
        </w:rPr>
        <w:t>for this period</w:t>
      </w:r>
      <w:r w:rsidR="00F90914">
        <w:rPr>
          <w:color w:val="272727" w:themeColor="accent1" w:themeShade="80"/>
        </w:rPr>
        <w:t xml:space="preserve">.    </w:t>
      </w:r>
    </w:p>
    <w:p w14:paraId="04B36EF7" w14:textId="7A1A91FD" w:rsidR="00E1420D" w:rsidRPr="00B55710" w:rsidRDefault="00B55710" w:rsidP="00E1420D">
      <w:pPr>
        <w:pStyle w:val="BodyText"/>
        <w:rPr>
          <w:color w:val="auto"/>
          <w:sz w:val="22"/>
          <w:szCs w:val="22"/>
        </w:rPr>
      </w:pPr>
      <w:r>
        <w:t>In 2015, t</w:t>
      </w:r>
      <w:r w:rsidR="00886917">
        <w:t xml:space="preserve">he current </w:t>
      </w:r>
      <w:r w:rsidR="00886917" w:rsidRPr="00B55710">
        <w:rPr>
          <w:i/>
        </w:rPr>
        <w:t>Western Australian Government I</w:t>
      </w:r>
      <w:r w:rsidR="00C94AA6" w:rsidRPr="00B55710">
        <w:rPr>
          <w:i/>
        </w:rPr>
        <w:t xml:space="preserve">ntellectual </w:t>
      </w:r>
      <w:r w:rsidR="00886917" w:rsidRPr="00B55710">
        <w:rPr>
          <w:i/>
        </w:rPr>
        <w:t>P</w:t>
      </w:r>
      <w:r w:rsidR="00C94AA6" w:rsidRPr="00B55710">
        <w:rPr>
          <w:i/>
        </w:rPr>
        <w:t>roperty</w:t>
      </w:r>
      <w:r w:rsidR="00886917" w:rsidRPr="00B55710">
        <w:rPr>
          <w:i/>
        </w:rPr>
        <w:t xml:space="preserve"> Policy</w:t>
      </w:r>
      <w:r w:rsidR="00886917">
        <w:t xml:space="preserve"> (the WA Government IP Policy) was released following a review</w:t>
      </w:r>
      <w:r w:rsidR="00C11242">
        <w:t xml:space="preserve"> of the policy</w:t>
      </w:r>
      <w:r w:rsidR="00886917">
        <w:t xml:space="preserve"> in 2012</w:t>
      </w:r>
      <w:r w:rsidR="00B10F40">
        <w:t xml:space="preserve"> undertaken by the then Department of Commerce</w:t>
      </w:r>
      <w:r w:rsidR="00886917">
        <w:t xml:space="preserve">. </w:t>
      </w:r>
      <w:r w:rsidR="00E1420D" w:rsidRPr="00553012">
        <w:rPr>
          <w:color w:val="auto"/>
        </w:rPr>
        <w:t>The Department of Jobs, Tourism, Science and Innovation (</w:t>
      </w:r>
      <w:r w:rsidR="006F5622">
        <w:rPr>
          <w:color w:val="auto"/>
        </w:rPr>
        <w:t>the D</w:t>
      </w:r>
      <w:r>
        <w:rPr>
          <w:color w:val="auto"/>
        </w:rPr>
        <w:t>epartment</w:t>
      </w:r>
      <w:r w:rsidR="00E1420D" w:rsidRPr="00553012">
        <w:rPr>
          <w:color w:val="auto"/>
        </w:rPr>
        <w:t>) is undertaking a review of</w:t>
      </w:r>
      <w:r w:rsidR="00E1420D">
        <w:rPr>
          <w:color w:val="auto"/>
        </w:rPr>
        <w:t xml:space="preserve"> </w:t>
      </w:r>
      <w:r w:rsidR="00E1420D" w:rsidRPr="004C2ECC">
        <w:rPr>
          <w:color w:val="auto"/>
        </w:rPr>
        <w:t xml:space="preserve">the WA Government IP Policy </w:t>
      </w:r>
      <w:r w:rsidR="00E1420D" w:rsidRPr="00553012">
        <w:rPr>
          <w:color w:val="auto"/>
        </w:rPr>
        <w:t xml:space="preserve">on behalf of the State and at the request of the Minister for State Development, Jobs and Trade. Under section 6(g) of the </w:t>
      </w:r>
      <w:r w:rsidR="00E1420D" w:rsidRPr="00A04364">
        <w:rPr>
          <w:i/>
          <w:iCs/>
          <w:color w:val="auto"/>
        </w:rPr>
        <w:t>Industry and Technology Development Act 1998</w:t>
      </w:r>
      <w:r w:rsidR="00E1420D" w:rsidRPr="00A04364">
        <w:rPr>
          <w:color w:val="auto"/>
        </w:rPr>
        <w:t xml:space="preserve"> (WA) (the ITD</w:t>
      </w:r>
      <w:r w:rsidR="00E1420D">
        <w:rPr>
          <w:color w:val="auto"/>
        </w:rPr>
        <w:t xml:space="preserve"> </w:t>
      </w:r>
      <w:r w:rsidR="00E1420D" w:rsidRPr="00A04364">
        <w:rPr>
          <w:color w:val="auto"/>
        </w:rPr>
        <w:t>A</w:t>
      </w:r>
      <w:r w:rsidR="00E1420D">
        <w:rPr>
          <w:color w:val="auto"/>
        </w:rPr>
        <w:t>ct</w:t>
      </w:r>
      <w:r w:rsidR="00E1420D" w:rsidRPr="00A04364">
        <w:rPr>
          <w:color w:val="auto"/>
        </w:rPr>
        <w:t>)</w:t>
      </w:r>
      <w:r w:rsidR="00E1420D" w:rsidRPr="00553012">
        <w:rPr>
          <w:color w:val="auto"/>
        </w:rPr>
        <w:t>, the Minister is</w:t>
      </w:r>
      <w:r>
        <w:rPr>
          <w:color w:val="auto"/>
        </w:rPr>
        <w:t xml:space="preserve"> ‘</w:t>
      </w:r>
      <w:r w:rsidR="00E1420D" w:rsidRPr="00B55710">
        <w:rPr>
          <w:color w:val="auto"/>
        </w:rPr>
        <w:t>to encourage and facilitate the commerciali</w:t>
      </w:r>
      <w:r>
        <w:rPr>
          <w:color w:val="auto"/>
        </w:rPr>
        <w:t>z</w:t>
      </w:r>
      <w:r w:rsidR="00E1420D" w:rsidRPr="00B55710">
        <w:rPr>
          <w:color w:val="auto"/>
        </w:rPr>
        <w:t>ation of the intellectual property and other resources of departments of the Public Service or of State agencies or instrumentalities</w:t>
      </w:r>
      <w:r>
        <w:rPr>
          <w:color w:val="auto"/>
        </w:rPr>
        <w:t>’</w:t>
      </w:r>
      <w:r w:rsidR="00E1420D" w:rsidRPr="00B55710">
        <w:rPr>
          <w:color w:val="auto"/>
        </w:rPr>
        <w:t>.</w:t>
      </w:r>
      <w:r w:rsidR="00E1420D" w:rsidRPr="00B55710">
        <w:rPr>
          <w:color w:val="auto"/>
          <w:sz w:val="22"/>
          <w:szCs w:val="22"/>
        </w:rPr>
        <w:t xml:space="preserve">   </w:t>
      </w:r>
    </w:p>
    <w:p w14:paraId="72B4A902" w14:textId="77777777" w:rsidR="00E1420D" w:rsidRPr="00A04364" w:rsidRDefault="00E1420D" w:rsidP="00E1420D">
      <w:pPr>
        <w:pStyle w:val="BodyText"/>
        <w:rPr>
          <w:color w:val="auto"/>
        </w:rPr>
      </w:pPr>
      <w:r w:rsidRPr="00A04364">
        <w:rPr>
          <w:color w:val="auto"/>
        </w:rPr>
        <w:t>The objectives of the review are to:</w:t>
      </w:r>
    </w:p>
    <w:p w14:paraId="17C4A32C" w14:textId="54710DF9" w:rsidR="00E1420D" w:rsidRPr="00A04364" w:rsidRDefault="00E1420D" w:rsidP="006F5622">
      <w:pPr>
        <w:pStyle w:val="Bullet"/>
        <w:ind w:left="397" w:hanging="397"/>
        <w:rPr>
          <w:color w:val="auto"/>
        </w:rPr>
      </w:pPr>
      <w:r w:rsidRPr="00A04364">
        <w:rPr>
          <w:color w:val="auto"/>
        </w:rPr>
        <w:t xml:space="preserve">Develop an updated </w:t>
      </w:r>
      <w:r>
        <w:rPr>
          <w:color w:val="auto"/>
        </w:rPr>
        <w:t>WA Government IP Policy</w:t>
      </w:r>
      <w:r w:rsidRPr="00A04364">
        <w:rPr>
          <w:color w:val="auto"/>
        </w:rPr>
        <w:t xml:space="preserve"> that reflects contemporary prac</w:t>
      </w:r>
      <w:r w:rsidR="00984FA1">
        <w:rPr>
          <w:color w:val="auto"/>
        </w:rPr>
        <w:t>tice and encourages innovation;</w:t>
      </w:r>
    </w:p>
    <w:p w14:paraId="6DB482C2" w14:textId="485B4C37" w:rsidR="00E1420D" w:rsidRPr="00A04364" w:rsidRDefault="00E1420D" w:rsidP="006F5622">
      <w:pPr>
        <w:pStyle w:val="Bullet"/>
        <w:ind w:left="397" w:hanging="397"/>
        <w:rPr>
          <w:color w:val="auto"/>
        </w:rPr>
      </w:pPr>
      <w:r w:rsidRPr="00A04364">
        <w:rPr>
          <w:color w:val="auto"/>
        </w:rPr>
        <w:t>Provide guidance to public sector agencies on the use, development and management of IP, including throu</w:t>
      </w:r>
      <w:r w:rsidR="00984FA1">
        <w:rPr>
          <w:color w:val="auto"/>
        </w:rPr>
        <w:t>gh tools and resources; and</w:t>
      </w:r>
    </w:p>
    <w:p w14:paraId="5033D4E0" w14:textId="736B9831" w:rsidR="00E1420D" w:rsidRPr="001177DD" w:rsidRDefault="00E1420D" w:rsidP="006F5622">
      <w:pPr>
        <w:pStyle w:val="Bullet"/>
        <w:ind w:left="397" w:hanging="397"/>
      </w:pPr>
      <w:r w:rsidRPr="1D2F3123">
        <w:rPr>
          <w:color w:val="auto"/>
        </w:rPr>
        <w:t>Address overarching issues in the existing W</w:t>
      </w:r>
      <w:r w:rsidR="00B55710">
        <w:rPr>
          <w:color w:val="auto"/>
        </w:rPr>
        <w:t>estern Australia</w:t>
      </w:r>
      <w:r w:rsidRPr="1D2F3123">
        <w:rPr>
          <w:color w:val="auto"/>
        </w:rPr>
        <w:t xml:space="preserve"> operating environment including to prevent ‘opportunity loss’ for the State</w:t>
      </w:r>
      <w:r w:rsidR="00B55710">
        <w:rPr>
          <w:color w:val="auto"/>
        </w:rPr>
        <w:t>;</w:t>
      </w:r>
      <w:r w:rsidRPr="1D2F3123">
        <w:rPr>
          <w:color w:val="auto"/>
        </w:rPr>
        <w:t xml:space="preserve"> increase the capacity to benefit from IP commercialisation revenue</w:t>
      </w:r>
      <w:r w:rsidR="00B55710">
        <w:rPr>
          <w:color w:val="auto"/>
        </w:rPr>
        <w:t>;</w:t>
      </w:r>
      <w:r w:rsidRPr="1D2F3123">
        <w:rPr>
          <w:color w:val="auto"/>
        </w:rPr>
        <w:t xml:space="preserve"> attract and retain talent across the public sector</w:t>
      </w:r>
      <w:r w:rsidR="00B55710">
        <w:rPr>
          <w:color w:val="auto"/>
        </w:rPr>
        <w:t>;</w:t>
      </w:r>
      <w:r w:rsidRPr="1D2F3123">
        <w:rPr>
          <w:color w:val="auto"/>
        </w:rPr>
        <w:t xml:space="preserve"> and promote </w:t>
      </w:r>
      <w:r w:rsidR="00B55710">
        <w:rPr>
          <w:color w:val="auto"/>
        </w:rPr>
        <w:t xml:space="preserve">the State </w:t>
      </w:r>
      <w:r w:rsidRPr="1D2F3123">
        <w:rPr>
          <w:color w:val="auto"/>
        </w:rPr>
        <w:t>industry.</w:t>
      </w:r>
    </w:p>
    <w:p w14:paraId="400A45D1" w14:textId="552DF16F" w:rsidR="00C45EF2" w:rsidRDefault="00A92446" w:rsidP="00D37BEA">
      <w:pPr>
        <w:pStyle w:val="Bullet"/>
        <w:numPr>
          <w:ilvl w:val="0"/>
          <w:numId w:val="0"/>
        </w:numPr>
      </w:pPr>
      <w:r w:rsidRPr="1D2F3123">
        <w:t xml:space="preserve">Broadly, the purpose of </w:t>
      </w:r>
      <w:r w:rsidR="00886917">
        <w:t xml:space="preserve">the </w:t>
      </w:r>
      <w:r w:rsidRPr="1D2F3123">
        <w:t>WA Government IP Policy</w:t>
      </w:r>
      <w:r w:rsidR="00C11242">
        <w:t xml:space="preserve"> </w:t>
      </w:r>
      <w:r w:rsidRPr="1D2F3123">
        <w:t>is to guide WA Government agencies in the development, protection, management and use of IP and IP rights.</w:t>
      </w:r>
      <w:r w:rsidR="00C7091A">
        <w:br w:type="textWrapping" w:clear="all"/>
      </w:r>
      <w:r w:rsidR="000240BC" w:rsidRPr="1D2F3123">
        <w:t>The WA Government IP Policy is a whole</w:t>
      </w:r>
      <w:r w:rsidR="006F5622">
        <w:t>-</w:t>
      </w:r>
      <w:r w:rsidR="000240BC" w:rsidRPr="1D2F3123">
        <w:t>of</w:t>
      </w:r>
      <w:r w:rsidR="006F5622">
        <w:t>-g</w:t>
      </w:r>
      <w:r w:rsidR="000240BC" w:rsidRPr="1D2F3123">
        <w:t xml:space="preserve">overnment policy that applies to the public sector as defined under the </w:t>
      </w:r>
      <w:r w:rsidR="000240BC" w:rsidRPr="1D2F3123">
        <w:rPr>
          <w:i/>
          <w:iCs/>
        </w:rPr>
        <w:t>Public Sector Management Act 1994</w:t>
      </w:r>
      <w:r w:rsidR="000240BC" w:rsidRPr="1D2F3123">
        <w:t xml:space="preserve"> (WA)</w:t>
      </w:r>
      <w:r w:rsidR="00614771">
        <w:t xml:space="preserve"> </w:t>
      </w:r>
      <w:r w:rsidR="00144B13">
        <w:t>(</w:t>
      </w:r>
      <w:r w:rsidR="00521380">
        <w:t xml:space="preserve">the </w:t>
      </w:r>
      <w:r w:rsidR="00942E97">
        <w:t>PSM Act)</w:t>
      </w:r>
      <w:r w:rsidR="00E54284" w:rsidRPr="1D2F3123">
        <w:t>, except for those entities listed under Schedule 1 of the PSM Act</w:t>
      </w:r>
      <w:r w:rsidR="000240BC" w:rsidRPr="1D2F3123">
        <w:t>.</w:t>
      </w:r>
      <w:r w:rsidR="00A92957" w:rsidRPr="1D2F3123">
        <w:t xml:space="preserve"> </w:t>
      </w:r>
      <w:r w:rsidR="00D969DD">
        <w:t xml:space="preserve">It is envisaged that an updated WA </w:t>
      </w:r>
      <w:r>
        <w:t xml:space="preserve">Government </w:t>
      </w:r>
      <w:r w:rsidR="00D969DD">
        <w:t>IP Policy</w:t>
      </w:r>
      <w:r w:rsidR="008131EE">
        <w:t xml:space="preserve"> and supporting guidance tools</w:t>
      </w:r>
      <w:r w:rsidR="00D969DD">
        <w:t xml:space="preserve"> </w:t>
      </w:r>
      <w:r w:rsidR="00DC571D">
        <w:t>will</w:t>
      </w:r>
      <w:r w:rsidR="00C45EF2">
        <w:t>:</w:t>
      </w:r>
    </w:p>
    <w:p w14:paraId="467FCE3C" w14:textId="2C0A0284" w:rsidR="00C45EF2" w:rsidRDefault="00C45EF2" w:rsidP="006F5622">
      <w:pPr>
        <w:pStyle w:val="Bullet"/>
        <w:ind w:left="397" w:hanging="397"/>
      </w:pPr>
      <w:r>
        <w:t>A</w:t>
      </w:r>
      <w:r w:rsidR="00D24583">
        <w:t>ssist in facilitating</w:t>
      </w:r>
      <w:r w:rsidR="00D969DD">
        <w:t xml:space="preserve"> positive economic</w:t>
      </w:r>
      <w:r w:rsidR="00F73584">
        <w:t xml:space="preserve"> </w:t>
      </w:r>
      <w:r w:rsidR="00D969DD">
        <w:t>outcomes and support the delivery of the</w:t>
      </w:r>
      <w:r w:rsidR="00C7091A">
        <w:br w:type="textWrapping" w:clear="all"/>
      </w:r>
      <w:r w:rsidR="00924426">
        <w:t>WA</w:t>
      </w:r>
      <w:r w:rsidR="00D969DD">
        <w:t xml:space="preserve"> Government’s vision for a strong and diversified economy</w:t>
      </w:r>
      <w:r>
        <w:t xml:space="preserve">, including through </w:t>
      </w:r>
      <w:r w:rsidRPr="003C7D92">
        <w:rPr>
          <w:i/>
        </w:rPr>
        <w:t>Diversify WA</w:t>
      </w:r>
      <w:r>
        <w:t>;</w:t>
      </w:r>
    </w:p>
    <w:p w14:paraId="1A155F64" w14:textId="40226978" w:rsidR="00111CFB" w:rsidRDefault="007037F0" w:rsidP="006F5622">
      <w:pPr>
        <w:pStyle w:val="Bullet"/>
        <w:ind w:left="397" w:hanging="397"/>
      </w:pPr>
      <w:r>
        <w:lastRenderedPageBreak/>
        <w:t xml:space="preserve">Support the development and growth of the State’s priority sectors, facilitate jobs creation, </w:t>
      </w:r>
      <w:r w:rsidR="00C65ED1">
        <w:t xml:space="preserve">attract investment to the State, </w:t>
      </w:r>
      <w:r w:rsidR="00111CFB">
        <w:t>and assist</w:t>
      </w:r>
      <w:r w:rsidR="00C65ED1">
        <w:t xml:space="preserve"> in building the State’s reputation for innovation and entrepreneurial activity and </w:t>
      </w:r>
      <w:r w:rsidR="00111CFB">
        <w:t>establishing new revenue streams</w:t>
      </w:r>
      <w:r w:rsidR="002D717E">
        <w:t>;</w:t>
      </w:r>
    </w:p>
    <w:p w14:paraId="7A1A26C1" w14:textId="3653D536" w:rsidR="00A10E31" w:rsidRDefault="00A10E31" w:rsidP="006F5622">
      <w:pPr>
        <w:pStyle w:val="Bullet"/>
        <w:ind w:left="397" w:hanging="397"/>
      </w:pPr>
      <w:r>
        <w:t>Promote innovation across the W</w:t>
      </w:r>
      <w:r w:rsidR="006F5622">
        <w:t>estern Australia</w:t>
      </w:r>
      <w:r w:rsidR="005B55AA">
        <w:t>n</w:t>
      </w:r>
      <w:r>
        <w:t xml:space="preserve"> public sector and enable agencies to capitalise on opportunities to commercialise IP where they arise</w:t>
      </w:r>
      <w:r w:rsidR="002D717E">
        <w:t>; and</w:t>
      </w:r>
    </w:p>
    <w:p w14:paraId="5DD136DA" w14:textId="3D1F3A13" w:rsidR="007037F0" w:rsidRDefault="00503CCC" w:rsidP="006F5622">
      <w:pPr>
        <w:pStyle w:val="Bullet"/>
        <w:ind w:left="397" w:hanging="397"/>
      </w:pPr>
      <w:r>
        <w:t>Incentivise, attract and retain talent across the W</w:t>
      </w:r>
      <w:r w:rsidR="006F5622">
        <w:t>estern Australia</w:t>
      </w:r>
      <w:r w:rsidR="005B55AA">
        <w:t>n</w:t>
      </w:r>
      <w:r>
        <w:t xml:space="preserve"> public sector.</w:t>
      </w:r>
    </w:p>
    <w:p w14:paraId="57E184A5" w14:textId="12C4E7C1" w:rsidR="004C2ECC" w:rsidRPr="00BA1037" w:rsidRDefault="004C2ECC" w:rsidP="005A6302">
      <w:pPr>
        <w:pStyle w:val="Heading2"/>
        <w:numPr>
          <w:ilvl w:val="0"/>
          <w:numId w:val="0"/>
        </w:numPr>
        <w:ind w:left="576" w:hanging="576"/>
      </w:pPr>
      <w:bookmarkStart w:id="9" w:name="_Toc114829887"/>
      <w:r w:rsidRPr="00BA1037">
        <w:t xml:space="preserve">About this </w:t>
      </w:r>
      <w:r w:rsidR="00667C16">
        <w:t>Discussion Paper</w:t>
      </w:r>
      <w:bookmarkEnd w:id="9"/>
    </w:p>
    <w:p w14:paraId="01AA865C" w14:textId="645FD7AF" w:rsidR="004C2ECC" w:rsidRPr="00A04364" w:rsidRDefault="004C2ECC" w:rsidP="004C2ECC">
      <w:pPr>
        <w:pStyle w:val="BodyText"/>
        <w:rPr>
          <w:color w:val="auto"/>
        </w:rPr>
      </w:pPr>
      <w:r w:rsidRPr="1D2F3123">
        <w:rPr>
          <w:color w:val="auto"/>
        </w:rPr>
        <w:t xml:space="preserve">The purpose of this </w:t>
      </w:r>
      <w:r w:rsidR="00667C16">
        <w:rPr>
          <w:color w:val="auto"/>
        </w:rPr>
        <w:t>Discussion Paper</w:t>
      </w:r>
      <w:r w:rsidRPr="1D2F3123">
        <w:rPr>
          <w:color w:val="auto"/>
        </w:rPr>
        <w:t xml:space="preserve"> is to seek stakeholder feedback on proposed policy options for an updated WA Government IP Policy and seek to address identified barriers to innovation and IP development. The proposed policy options outlined in this paper have been developed in consultation with WA Government agencies with core functions that include research, innovation and the development of IP. </w:t>
      </w:r>
    </w:p>
    <w:p w14:paraId="46563376" w14:textId="5188AB05" w:rsidR="0086044F" w:rsidRDefault="0086044F" w:rsidP="1D2F3123">
      <w:pPr>
        <w:pStyle w:val="BodyText"/>
        <w:rPr>
          <w:rFonts w:ascii="Arial" w:hAnsi="Arial" w:cs="Arial"/>
          <w:color w:val="auto"/>
        </w:rPr>
      </w:pPr>
      <w:r>
        <w:rPr>
          <w:rFonts w:ascii="Arial" w:hAnsi="Arial" w:cs="Arial"/>
          <w:color w:val="auto"/>
        </w:rPr>
        <w:t xml:space="preserve">This </w:t>
      </w:r>
      <w:r w:rsidR="00667C16">
        <w:rPr>
          <w:rFonts w:ascii="Arial" w:hAnsi="Arial" w:cs="Arial"/>
          <w:color w:val="auto"/>
        </w:rPr>
        <w:t>Discussion Paper</w:t>
      </w:r>
      <w:r>
        <w:rPr>
          <w:rFonts w:ascii="Arial" w:hAnsi="Arial" w:cs="Arial"/>
          <w:color w:val="auto"/>
        </w:rPr>
        <w:t xml:space="preserve"> provides an outline of the following key issues and reform options:</w:t>
      </w:r>
    </w:p>
    <w:p w14:paraId="0C496626" w14:textId="2E5C341E" w:rsidR="0011524A" w:rsidRPr="005160F0" w:rsidRDefault="005B4988" w:rsidP="006F5622">
      <w:pPr>
        <w:pStyle w:val="BodyText"/>
        <w:numPr>
          <w:ilvl w:val="0"/>
          <w:numId w:val="32"/>
        </w:numPr>
        <w:spacing w:after="120"/>
        <w:ind w:left="397" w:hanging="397"/>
        <w:rPr>
          <w:rFonts w:ascii="Arial" w:hAnsi="Arial" w:cs="Arial"/>
          <w:b/>
          <w:color w:val="auto"/>
        </w:rPr>
      </w:pPr>
      <w:r>
        <w:rPr>
          <w:rFonts w:ascii="Arial" w:hAnsi="Arial" w:cs="Arial"/>
          <w:b/>
          <w:color w:val="auto"/>
        </w:rPr>
        <w:t xml:space="preserve">Section 4: </w:t>
      </w:r>
      <w:r w:rsidR="0011524A" w:rsidRPr="0011524A">
        <w:rPr>
          <w:rFonts w:ascii="Arial" w:hAnsi="Arial" w:cs="Arial"/>
          <w:b/>
          <w:color w:val="auto"/>
        </w:rPr>
        <w:t>Proposed p</w:t>
      </w:r>
      <w:r w:rsidR="0011524A" w:rsidRPr="005160F0">
        <w:rPr>
          <w:rFonts w:ascii="Arial" w:hAnsi="Arial" w:cs="Arial"/>
          <w:b/>
          <w:color w:val="auto"/>
        </w:rPr>
        <w:t>olicy options</w:t>
      </w:r>
    </w:p>
    <w:p w14:paraId="3C11395B" w14:textId="748C918D" w:rsidR="1D2F3123" w:rsidRPr="00D37BEA" w:rsidRDefault="008C343B" w:rsidP="006F5622">
      <w:pPr>
        <w:pStyle w:val="BodyText"/>
        <w:numPr>
          <w:ilvl w:val="1"/>
          <w:numId w:val="32"/>
        </w:numPr>
        <w:spacing w:after="120"/>
        <w:ind w:left="794" w:hanging="397"/>
        <w:rPr>
          <w:rFonts w:ascii="Arial" w:hAnsi="Arial" w:cs="Arial"/>
          <w:color w:val="auto"/>
        </w:rPr>
      </w:pPr>
      <w:hyperlink w:anchor="_Agency_responsibilities" w:history="1">
        <w:r w:rsidR="005B4988" w:rsidRPr="00D37BEA">
          <w:rPr>
            <w:rStyle w:val="Hyperlink"/>
            <w:rFonts w:ascii="Arial" w:hAnsi="Arial" w:cs="Arial"/>
            <w:color w:val="auto"/>
            <w:u w:val="none"/>
          </w:rPr>
          <w:t>Agency responsibilities</w:t>
        </w:r>
      </w:hyperlink>
      <w:r w:rsidR="0086044F" w:rsidRPr="00D37BEA">
        <w:rPr>
          <w:rFonts w:ascii="Arial" w:hAnsi="Arial" w:cs="Arial"/>
          <w:color w:val="auto"/>
        </w:rPr>
        <w:t xml:space="preserve"> </w:t>
      </w:r>
    </w:p>
    <w:p w14:paraId="55A35E3B" w14:textId="16415998" w:rsidR="0086044F" w:rsidRPr="00D37BEA" w:rsidRDefault="008C343B" w:rsidP="006F5622">
      <w:pPr>
        <w:pStyle w:val="BodyText"/>
        <w:numPr>
          <w:ilvl w:val="1"/>
          <w:numId w:val="32"/>
        </w:numPr>
        <w:spacing w:after="120"/>
        <w:ind w:left="794" w:hanging="397"/>
        <w:rPr>
          <w:rFonts w:ascii="Arial" w:hAnsi="Arial" w:cs="Arial"/>
          <w:color w:val="auto"/>
        </w:rPr>
      </w:pPr>
      <w:hyperlink w:anchor="_Ownership_of_IP" w:history="1">
        <w:r w:rsidR="005B4988" w:rsidRPr="00D37BEA">
          <w:rPr>
            <w:rStyle w:val="Hyperlink"/>
            <w:rFonts w:ascii="Arial" w:hAnsi="Arial" w:cs="Arial"/>
            <w:color w:val="auto"/>
            <w:u w:val="none"/>
          </w:rPr>
          <w:t>Ownership of IP</w:t>
        </w:r>
      </w:hyperlink>
    </w:p>
    <w:p w14:paraId="399D87CE" w14:textId="70545127" w:rsidR="0086044F" w:rsidRPr="00D37BEA" w:rsidRDefault="008C343B" w:rsidP="006F5622">
      <w:pPr>
        <w:pStyle w:val="BodyText"/>
        <w:numPr>
          <w:ilvl w:val="1"/>
          <w:numId w:val="32"/>
        </w:numPr>
        <w:spacing w:after="120"/>
        <w:ind w:left="794" w:hanging="397"/>
        <w:rPr>
          <w:rFonts w:ascii="Arial" w:hAnsi="Arial" w:cs="Arial"/>
          <w:color w:val="auto"/>
        </w:rPr>
      </w:pPr>
      <w:hyperlink w:anchor="_Commercialisation_pathways" w:history="1">
        <w:r w:rsidR="005B4988" w:rsidRPr="00D37BEA">
          <w:rPr>
            <w:rStyle w:val="Hyperlink"/>
            <w:rFonts w:ascii="Arial" w:hAnsi="Arial" w:cs="Arial"/>
            <w:color w:val="auto"/>
            <w:u w:val="none"/>
          </w:rPr>
          <w:t>Commercialisation pathways</w:t>
        </w:r>
      </w:hyperlink>
    </w:p>
    <w:p w14:paraId="1A907F9B" w14:textId="5C334208" w:rsidR="0086044F" w:rsidRPr="00D37BEA" w:rsidRDefault="008C343B" w:rsidP="006F5622">
      <w:pPr>
        <w:pStyle w:val="BodyText"/>
        <w:numPr>
          <w:ilvl w:val="1"/>
          <w:numId w:val="32"/>
        </w:numPr>
        <w:spacing w:after="120"/>
        <w:ind w:left="794" w:hanging="397"/>
        <w:rPr>
          <w:rFonts w:ascii="Arial" w:hAnsi="Arial" w:cs="Arial"/>
          <w:color w:val="auto"/>
        </w:rPr>
      </w:pPr>
      <w:hyperlink w:anchor="_Benefit_sharing_arrangements" w:history="1">
        <w:r w:rsidR="0086044F" w:rsidRPr="00D37BEA">
          <w:rPr>
            <w:rStyle w:val="Hyperlink"/>
            <w:rFonts w:ascii="Arial" w:hAnsi="Arial" w:cs="Arial"/>
            <w:color w:val="auto"/>
            <w:u w:val="none"/>
          </w:rPr>
          <w:t>Benefit sharing arrangements</w:t>
        </w:r>
      </w:hyperlink>
    </w:p>
    <w:p w14:paraId="11704C41" w14:textId="67BD66F6" w:rsidR="0086044F" w:rsidRPr="00D37BEA" w:rsidRDefault="008C343B" w:rsidP="006F5622">
      <w:pPr>
        <w:pStyle w:val="BodyText"/>
        <w:numPr>
          <w:ilvl w:val="1"/>
          <w:numId w:val="32"/>
        </w:numPr>
        <w:spacing w:after="120"/>
        <w:ind w:left="794" w:hanging="397"/>
        <w:rPr>
          <w:rFonts w:ascii="Arial" w:hAnsi="Arial" w:cs="Arial"/>
          <w:color w:val="auto"/>
        </w:rPr>
      </w:pPr>
      <w:hyperlink w:anchor="_Rewards_and_incentives" w:history="1">
        <w:r w:rsidR="0086044F" w:rsidRPr="00D37BEA">
          <w:rPr>
            <w:rStyle w:val="Hyperlink"/>
            <w:rFonts w:ascii="Arial" w:hAnsi="Arial" w:cs="Arial"/>
            <w:color w:val="auto"/>
            <w:u w:val="none"/>
          </w:rPr>
          <w:t>Rewards and incentives</w:t>
        </w:r>
      </w:hyperlink>
    </w:p>
    <w:p w14:paraId="242166CC" w14:textId="27D8FBBA" w:rsidR="0086044F" w:rsidRPr="00D37BEA" w:rsidRDefault="008C343B" w:rsidP="006F5622">
      <w:pPr>
        <w:pStyle w:val="BodyText"/>
        <w:numPr>
          <w:ilvl w:val="1"/>
          <w:numId w:val="32"/>
        </w:numPr>
        <w:spacing w:after="120"/>
        <w:ind w:left="794" w:hanging="397"/>
        <w:rPr>
          <w:rFonts w:ascii="Arial" w:hAnsi="Arial" w:cs="Arial"/>
          <w:color w:val="auto"/>
        </w:rPr>
      </w:pPr>
      <w:hyperlink w:anchor="_Scope_and_application" w:history="1">
        <w:r w:rsidR="0011524A" w:rsidRPr="00D37BEA">
          <w:rPr>
            <w:rStyle w:val="Hyperlink"/>
            <w:rFonts w:ascii="Arial" w:hAnsi="Arial" w:cs="Arial"/>
            <w:color w:val="auto"/>
            <w:u w:val="none"/>
          </w:rPr>
          <w:t>Scope and application of the WA Government IP Policy</w:t>
        </w:r>
      </w:hyperlink>
      <w:r w:rsidR="0011524A" w:rsidRPr="00D37BEA">
        <w:rPr>
          <w:rFonts w:ascii="Arial" w:hAnsi="Arial" w:cs="Arial"/>
          <w:color w:val="auto"/>
        </w:rPr>
        <w:t xml:space="preserve"> </w:t>
      </w:r>
    </w:p>
    <w:p w14:paraId="152F0E15" w14:textId="623FA597" w:rsidR="0011524A" w:rsidRDefault="005B4988" w:rsidP="00443B73">
      <w:pPr>
        <w:pStyle w:val="BodyText"/>
        <w:numPr>
          <w:ilvl w:val="0"/>
          <w:numId w:val="32"/>
        </w:numPr>
        <w:ind w:left="397" w:hanging="397"/>
        <w:rPr>
          <w:rFonts w:ascii="Arial" w:hAnsi="Arial" w:cs="Arial"/>
          <w:b/>
          <w:color w:val="auto"/>
        </w:rPr>
      </w:pPr>
      <w:r>
        <w:rPr>
          <w:rFonts w:ascii="Arial" w:hAnsi="Arial" w:cs="Arial"/>
          <w:b/>
          <w:color w:val="auto"/>
        </w:rPr>
        <w:t>Section 5:</w:t>
      </w:r>
      <w:r w:rsidR="0011524A">
        <w:rPr>
          <w:rFonts w:ascii="Arial" w:hAnsi="Arial" w:cs="Arial"/>
          <w:b/>
          <w:color w:val="auto"/>
        </w:rPr>
        <w:t xml:space="preserve"> Implementation options</w:t>
      </w:r>
    </w:p>
    <w:p w14:paraId="337483D1" w14:textId="1BA2BF01" w:rsidR="0011524A" w:rsidRPr="00D37BEA" w:rsidRDefault="008C343B" w:rsidP="00443B73">
      <w:pPr>
        <w:pStyle w:val="BodyText"/>
        <w:numPr>
          <w:ilvl w:val="1"/>
          <w:numId w:val="32"/>
        </w:numPr>
        <w:ind w:left="794" w:hanging="397"/>
        <w:rPr>
          <w:rFonts w:ascii="Arial" w:hAnsi="Arial" w:cs="Arial"/>
          <w:color w:val="auto"/>
        </w:rPr>
      </w:pPr>
      <w:hyperlink w:anchor="_Proposal:_Online_training" w:history="1">
        <w:r w:rsidR="0011524A" w:rsidRPr="00D37BEA">
          <w:rPr>
            <w:rStyle w:val="Hyperlink"/>
            <w:rFonts w:ascii="Arial" w:hAnsi="Arial" w:cs="Arial"/>
            <w:color w:val="auto"/>
            <w:u w:val="none"/>
          </w:rPr>
          <w:t>Online training and resource hub</w:t>
        </w:r>
      </w:hyperlink>
    </w:p>
    <w:p w14:paraId="134A3EA1" w14:textId="35BAFB7D" w:rsidR="0011524A" w:rsidRPr="00D37BEA" w:rsidRDefault="008C343B" w:rsidP="00443B73">
      <w:pPr>
        <w:pStyle w:val="BodyText"/>
        <w:numPr>
          <w:ilvl w:val="1"/>
          <w:numId w:val="32"/>
        </w:numPr>
        <w:ind w:left="794" w:hanging="397"/>
        <w:rPr>
          <w:rFonts w:ascii="Arial" w:hAnsi="Arial" w:cs="Arial"/>
          <w:color w:val="auto"/>
        </w:rPr>
      </w:pPr>
      <w:hyperlink w:anchor="_Proposal:_Establish_IP" w:history="1">
        <w:r w:rsidR="0011524A" w:rsidRPr="00D37BEA">
          <w:rPr>
            <w:rStyle w:val="Hyperlink"/>
            <w:rFonts w:ascii="Arial" w:hAnsi="Arial" w:cs="Arial"/>
            <w:color w:val="auto"/>
            <w:u w:val="none"/>
          </w:rPr>
          <w:t>Establish Community of Practice</w:t>
        </w:r>
      </w:hyperlink>
    </w:p>
    <w:p w14:paraId="0AB64476" w14:textId="26926DC4" w:rsidR="0011524A" w:rsidRPr="00D37BEA" w:rsidRDefault="008C343B" w:rsidP="00443B73">
      <w:pPr>
        <w:pStyle w:val="BodyText"/>
        <w:numPr>
          <w:ilvl w:val="1"/>
          <w:numId w:val="32"/>
        </w:numPr>
        <w:ind w:left="794" w:hanging="397"/>
        <w:rPr>
          <w:rFonts w:ascii="Arial" w:hAnsi="Arial" w:cs="Arial"/>
          <w:b/>
          <w:color w:val="auto"/>
        </w:rPr>
      </w:pPr>
      <w:hyperlink w:anchor="_Proposal:_Facilitate_greater" w:history="1">
        <w:r w:rsidR="0011524A" w:rsidRPr="00D37BEA">
          <w:rPr>
            <w:rStyle w:val="Hyperlink"/>
            <w:rFonts w:ascii="Arial" w:hAnsi="Arial" w:cs="Arial"/>
            <w:color w:val="auto"/>
            <w:u w:val="none"/>
          </w:rPr>
          <w:t>Facilitate greater access to IP expertise</w:t>
        </w:r>
      </w:hyperlink>
      <w:r w:rsidR="0011524A" w:rsidRPr="00D37BEA">
        <w:rPr>
          <w:rFonts w:ascii="Arial" w:hAnsi="Arial" w:cs="Arial"/>
          <w:b/>
          <w:color w:val="auto"/>
        </w:rPr>
        <w:t xml:space="preserve"> </w:t>
      </w:r>
    </w:p>
    <w:p w14:paraId="6F9B7BFF" w14:textId="376EBB1F" w:rsidR="0011524A" w:rsidRPr="00D37BEA" w:rsidRDefault="008C343B" w:rsidP="00443B73">
      <w:pPr>
        <w:pStyle w:val="BodyText"/>
        <w:numPr>
          <w:ilvl w:val="1"/>
          <w:numId w:val="32"/>
        </w:numPr>
        <w:ind w:left="794" w:hanging="397"/>
        <w:rPr>
          <w:rFonts w:ascii="Arial" w:hAnsi="Arial" w:cs="Arial"/>
          <w:b/>
          <w:color w:val="auto"/>
        </w:rPr>
      </w:pPr>
      <w:hyperlink w:anchor="_Proposal:_Establish_central" w:history="1">
        <w:r w:rsidR="0011524A" w:rsidRPr="00D37BEA">
          <w:rPr>
            <w:rStyle w:val="Hyperlink"/>
            <w:rFonts w:ascii="Arial" w:hAnsi="Arial" w:cs="Arial"/>
            <w:color w:val="auto"/>
            <w:u w:val="none"/>
          </w:rPr>
          <w:t>Establish central IP and commercialisation management office</w:t>
        </w:r>
      </w:hyperlink>
    </w:p>
    <w:p w14:paraId="05F137CA" w14:textId="49B69D86" w:rsidR="00BE5A89" w:rsidRDefault="004C2ECC" w:rsidP="00443B73">
      <w:pPr>
        <w:pStyle w:val="BodyText"/>
        <w:rPr>
          <w:color w:val="auto"/>
        </w:rPr>
      </w:pPr>
      <w:r w:rsidRPr="00A04364">
        <w:rPr>
          <w:color w:val="auto"/>
        </w:rPr>
        <w:t xml:space="preserve">The </w:t>
      </w:r>
      <w:r>
        <w:rPr>
          <w:color w:val="auto"/>
        </w:rPr>
        <w:t>D</w:t>
      </w:r>
      <w:r w:rsidRPr="00A04364">
        <w:rPr>
          <w:color w:val="auto"/>
        </w:rPr>
        <w:t>epartment invites Government and Non-Government stakeholders with an interest in the development of a</w:t>
      </w:r>
      <w:r>
        <w:rPr>
          <w:color w:val="auto"/>
        </w:rPr>
        <w:t>n updated</w:t>
      </w:r>
      <w:r w:rsidRPr="00A04364">
        <w:rPr>
          <w:color w:val="auto"/>
        </w:rPr>
        <w:t xml:space="preserve"> </w:t>
      </w:r>
      <w:r>
        <w:rPr>
          <w:color w:val="auto"/>
        </w:rPr>
        <w:t>WA Government IP Policy</w:t>
      </w:r>
      <w:r w:rsidRPr="00A04364">
        <w:rPr>
          <w:color w:val="auto"/>
        </w:rPr>
        <w:t xml:space="preserve"> to provide feedback on the </w:t>
      </w:r>
      <w:r>
        <w:rPr>
          <w:color w:val="auto"/>
        </w:rPr>
        <w:t xml:space="preserve">policy </w:t>
      </w:r>
      <w:r w:rsidR="004013F1">
        <w:rPr>
          <w:color w:val="auto"/>
        </w:rPr>
        <w:t xml:space="preserve">and implementation </w:t>
      </w:r>
      <w:r>
        <w:rPr>
          <w:color w:val="auto"/>
        </w:rPr>
        <w:t>options</w:t>
      </w:r>
      <w:r w:rsidRPr="00A04364">
        <w:rPr>
          <w:color w:val="auto"/>
        </w:rPr>
        <w:t xml:space="preserve"> outlined in this paper. This feedback will </w:t>
      </w:r>
      <w:r>
        <w:rPr>
          <w:color w:val="auto"/>
        </w:rPr>
        <w:t xml:space="preserve">be considered as part of </w:t>
      </w:r>
      <w:r w:rsidRPr="00A04364">
        <w:rPr>
          <w:color w:val="auto"/>
        </w:rPr>
        <w:t>the development of a</w:t>
      </w:r>
      <w:r>
        <w:rPr>
          <w:color w:val="auto"/>
        </w:rPr>
        <w:t>n updated</w:t>
      </w:r>
      <w:r w:rsidRPr="00A04364">
        <w:rPr>
          <w:color w:val="auto"/>
        </w:rPr>
        <w:t xml:space="preserve"> </w:t>
      </w:r>
      <w:r>
        <w:rPr>
          <w:color w:val="auto"/>
        </w:rPr>
        <w:t>WA Government IP Policy</w:t>
      </w:r>
      <w:r w:rsidRPr="00A04364">
        <w:rPr>
          <w:color w:val="auto"/>
        </w:rPr>
        <w:t xml:space="preserve"> and assist in facilitating positive outcomes for the State.  </w:t>
      </w:r>
      <w:r w:rsidR="001C5E68">
        <w:rPr>
          <w:color w:val="auto"/>
        </w:rPr>
        <w:t xml:space="preserve"> </w:t>
      </w:r>
    </w:p>
    <w:p w14:paraId="7DC5E7DB" w14:textId="432A5E82" w:rsidR="006F5622" w:rsidRDefault="006F5622">
      <w:pPr>
        <w:spacing w:after="160" w:line="259" w:lineRule="auto"/>
        <w:textAlignment w:val="auto"/>
        <w:rPr>
          <w:rFonts w:asciiTheme="minorHAnsi" w:hAnsiTheme="minorHAnsi" w:cstheme="minorBidi"/>
          <w:lang w:eastAsia="en-US"/>
        </w:rPr>
      </w:pPr>
      <w:r>
        <w:br w:type="page"/>
      </w:r>
    </w:p>
    <w:p w14:paraId="3E64845F" w14:textId="5798D0F7" w:rsidR="007951FD" w:rsidRDefault="00132BBB" w:rsidP="00C33F9E">
      <w:pPr>
        <w:pStyle w:val="Heading2"/>
        <w:numPr>
          <w:ilvl w:val="0"/>
          <w:numId w:val="0"/>
        </w:numPr>
      </w:pPr>
      <w:bookmarkStart w:id="10" w:name="_Toc114829888"/>
      <w:r>
        <w:lastRenderedPageBreak/>
        <w:t>Summary of</w:t>
      </w:r>
      <w:r w:rsidR="00D96147">
        <w:t xml:space="preserve"> </w:t>
      </w:r>
      <w:r>
        <w:t>proposals</w:t>
      </w:r>
      <w:bookmarkEnd w:id="7"/>
      <w:bookmarkEnd w:id="8"/>
      <w:bookmarkEnd w:id="10"/>
    </w:p>
    <w:p w14:paraId="7E3B541A" w14:textId="5E9CC560" w:rsidR="003E20C8" w:rsidRDefault="00911AD5" w:rsidP="00AD0043">
      <w:pPr>
        <w:pStyle w:val="BodyText"/>
        <w:rPr>
          <w:rFonts w:ascii="Arial" w:hAnsi="Arial" w:cs="Arial"/>
        </w:rPr>
      </w:pPr>
      <w:r>
        <w:t xml:space="preserve">This </w:t>
      </w:r>
      <w:r w:rsidR="00667C16">
        <w:t>Discussion Paper</w:t>
      </w:r>
      <w:r>
        <w:t xml:space="preserve"> outlines a series of potential policy and implementation options for </w:t>
      </w:r>
      <w:r w:rsidR="00D24583">
        <w:t xml:space="preserve">stakeholder feedback. </w:t>
      </w:r>
      <w:r>
        <w:t xml:space="preserve">A summary of these proposals is outlined below: </w:t>
      </w:r>
    </w:p>
    <w:p w14:paraId="33A2614B" w14:textId="3C138B21" w:rsidR="00974678" w:rsidRDefault="00974678" w:rsidP="00AD0043">
      <w:pPr>
        <w:pStyle w:val="Heading2B"/>
        <w:ind w:left="0" w:firstLine="0"/>
        <w:jc w:val="both"/>
      </w:pPr>
      <w:bookmarkStart w:id="11" w:name="_Toc101971622"/>
      <w:bookmarkStart w:id="12" w:name="_Toc104976275"/>
      <w:bookmarkStart w:id="13" w:name="_Toc114829889"/>
      <w:r>
        <w:t>Proposed policy positions</w:t>
      </w:r>
      <w:bookmarkEnd w:id="11"/>
      <w:bookmarkEnd w:id="12"/>
      <w:bookmarkEnd w:id="13"/>
    </w:p>
    <w:p w14:paraId="245B72BE" w14:textId="51C7CC8A" w:rsidR="00310A29" w:rsidRPr="00924890" w:rsidRDefault="00310A29" w:rsidP="00A84FDD">
      <w:pPr>
        <w:pStyle w:val="Heading3B"/>
      </w:pPr>
      <w:r w:rsidRPr="00924890">
        <w:t>Agency responsibilities</w:t>
      </w:r>
    </w:p>
    <w:p w14:paraId="3760D599" w14:textId="29A150BF" w:rsidR="00DF4A0F" w:rsidRPr="00310A29" w:rsidRDefault="3DE1AA50" w:rsidP="006F5622">
      <w:pPr>
        <w:pStyle w:val="BodyText"/>
        <w:numPr>
          <w:ilvl w:val="0"/>
          <w:numId w:val="16"/>
        </w:numPr>
        <w:ind w:left="397" w:hanging="397"/>
        <w:rPr>
          <w:rFonts w:eastAsiaTheme="minorEastAsia"/>
        </w:rPr>
      </w:pPr>
      <w:r>
        <w:t>Agency responsibilities</w:t>
      </w:r>
      <w:r w:rsidR="2F04723E">
        <w:t xml:space="preserve"> </w:t>
      </w:r>
      <w:r w:rsidR="30B14BA0">
        <w:t xml:space="preserve">under an updated </w:t>
      </w:r>
      <w:r w:rsidR="009A07F4">
        <w:t>WA Government IP Policy</w:t>
      </w:r>
      <w:r w:rsidR="30B14BA0">
        <w:t xml:space="preserve"> </w:t>
      </w:r>
      <w:r w:rsidR="7D21A2F7">
        <w:t xml:space="preserve">to remain broadly consistent </w:t>
      </w:r>
      <w:r w:rsidR="2D771A2D">
        <w:t>with current requirements</w:t>
      </w:r>
      <w:r w:rsidR="459FA5EA">
        <w:t>.</w:t>
      </w:r>
      <w:r w:rsidR="18FA8183">
        <w:t xml:space="preserve"> </w:t>
      </w:r>
    </w:p>
    <w:p w14:paraId="201183FA" w14:textId="274802CF" w:rsidR="64979452" w:rsidRPr="002D717E" w:rsidRDefault="64979452" w:rsidP="006F5622">
      <w:pPr>
        <w:pStyle w:val="BodyText"/>
        <w:numPr>
          <w:ilvl w:val="0"/>
          <w:numId w:val="16"/>
        </w:numPr>
        <w:ind w:left="397" w:hanging="397"/>
        <w:rPr>
          <w:rFonts w:ascii="Arial" w:hAnsi="Arial"/>
        </w:rPr>
      </w:pPr>
      <w:r w:rsidRPr="64979452">
        <w:rPr>
          <w:rFonts w:ascii="Arial" w:hAnsi="Arial"/>
        </w:rPr>
        <w:t xml:space="preserve">Under the </w:t>
      </w:r>
      <w:r w:rsidR="58E41C2A" w:rsidRPr="58E41C2A">
        <w:rPr>
          <w:rFonts w:ascii="Arial" w:hAnsi="Arial"/>
        </w:rPr>
        <w:t>proposed</w:t>
      </w:r>
      <w:r w:rsidRPr="64979452">
        <w:rPr>
          <w:rFonts w:ascii="Arial" w:hAnsi="Arial"/>
        </w:rPr>
        <w:t xml:space="preserve"> policy position</w:t>
      </w:r>
      <w:r w:rsidR="58E41C2A" w:rsidRPr="58E41C2A">
        <w:rPr>
          <w:rFonts w:ascii="Arial" w:hAnsi="Arial"/>
        </w:rPr>
        <w:t xml:space="preserve">, agencies will be </w:t>
      </w:r>
      <w:r w:rsidR="3783D674" w:rsidRPr="3783D674">
        <w:rPr>
          <w:rFonts w:ascii="Arial" w:hAnsi="Arial"/>
        </w:rPr>
        <w:t xml:space="preserve">encouraged </w:t>
      </w:r>
      <w:r w:rsidR="217A188A" w:rsidRPr="217A188A">
        <w:rPr>
          <w:rFonts w:ascii="Arial" w:hAnsi="Arial"/>
        </w:rPr>
        <w:t xml:space="preserve">to develop agency </w:t>
      </w:r>
      <w:r w:rsidR="0094059D">
        <w:rPr>
          <w:rFonts w:ascii="Arial" w:hAnsi="Arial"/>
        </w:rPr>
        <w:t>specific</w:t>
      </w:r>
      <w:r w:rsidR="0094059D" w:rsidRPr="217A188A">
        <w:rPr>
          <w:rFonts w:ascii="Arial" w:hAnsi="Arial"/>
        </w:rPr>
        <w:t xml:space="preserve"> </w:t>
      </w:r>
      <w:r w:rsidR="197853F6" w:rsidRPr="197853F6">
        <w:rPr>
          <w:rFonts w:ascii="Arial" w:hAnsi="Arial"/>
        </w:rPr>
        <w:t>IP policies</w:t>
      </w:r>
      <w:r w:rsidR="6B1056F3" w:rsidRPr="6B1056F3">
        <w:rPr>
          <w:rFonts w:ascii="Arial" w:hAnsi="Arial"/>
        </w:rPr>
        <w:t xml:space="preserve">, maintain a </w:t>
      </w:r>
      <w:r w:rsidR="55069909" w:rsidRPr="55069909">
        <w:rPr>
          <w:rFonts w:ascii="Arial" w:hAnsi="Arial"/>
        </w:rPr>
        <w:t>register of IP assets and ensure</w:t>
      </w:r>
      <w:r w:rsidR="662C7447" w:rsidRPr="662C7447">
        <w:rPr>
          <w:rFonts w:ascii="Arial" w:hAnsi="Arial"/>
        </w:rPr>
        <w:t xml:space="preserve"> that</w:t>
      </w:r>
      <w:r w:rsidR="5DF4FC58" w:rsidRPr="5DF4FC58">
        <w:rPr>
          <w:rFonts w:ascii="Arial" w:hAnsi="Arial"/>
        </w:rPr>
        <w:t xml:space="preserve"> internal policies, </w:t>
      </w:r>
      <w:r w:rsidR="005D73EE">
        <w:rPr>
          <w:rFonts w:ascii="Arial" w:hAnsi="Arial"/>
        </w:rPr>
        <w:t xml:space="preserve">specific </w:t>
      </w:r>
      <w:r w:rsidR="5DF4FC58" w:rsidRPr="5DF4FC58">
        <w:rPr>
          <w:rFonts w:ascii="Arial" w:hAnsi="Arial"/>
        </w:rPr>
        <w:t xml:space="preserve">guidelines and </w:t>
      </w:r>
      <w:r w:rsidR="1D3785B1" w:rsidRPr="1D3785B1">
        <w:rPr>
          <w:rFonts w:ascii="Arial" w:hAnsi="Arial"/>
        </w:rPr>
        <w:t xml:space="preserve">procedures meet </w:t>
      </w:r>
      <w:r w:rsidR="03AF36DD" w:rsidRPr="03AF36DD">
        <w:rPr>
          <w:rFonts w:ascii="Arial" w:hAnsi="Arial"/>
        </w:rPr>
        <w:t>responsibilities and obligations under the</w:t>
      </w:r>
      <w:r w:rsidR="00C7091A">
        <w:rPr>
          <w:rFonts w:ascii="Arial" w:hAnsi="Arial"/>
        </w:rPr>
        <w:br w:type="textWrapping" w:clear="all"/>
      </w:r>
      <w:r w:rsidR="009A07F4">
        <w:rPr>
          <w:rFonts w:ascii="Arial" w:hAnsi="Arial"/>
        </w:rPr>
        <w:t>WA Government IP Policy</w:t>
      </w:r>
      <w:r w:rsidR="70AF84BA" w:rsidRPr="70AF84BA">
        <w:rPr>
          <w:rFonts w:ascii="Arial" w:hAnsi="Arial"/>
        </w:rPr>
        <w:t>.</w:t>
      </w:r>
      <w:r w:rsidR="41EEED7A" w:rsidRPr="41EEED7A">
        <w:rPr>
          <w:rFonts w:ascii="Arial" w:hAnsi="Arial"/>
        </w:rPr>
        <w:t xml:space="preserve"> </w:t>
      </w:r>
      <w:r w:rsidR="005D73EE">
        <w:rPr>
          <w:rFonts w:ascii="Arial" w:hAnsi="Arial"/>
        </w:rPr>
        <w:t xml:space="preserve">Agency level IP </w:t>
      </w:r>
      <w:r w:rsidR="00924426">
        <w:rPr>
          <w:rFonts w:ascii="Arial" w:hAnsi="Arial"/>
        </w:rPr>
        <w:t>p</w:t>
      </w:r>
      <w:r w:rsidR="005D73EE">
        <w:rPr>
          <w:rFonts w:ascii="Arial" w:hAnsi="Arial"/>
        </w:rPr>
        <w:t>olicies must be consistent with the intent of the WA Government IP Policy.</w:t>
      </w:r>
    </w:p>
    <w:p w14:paraId="0ABA5A82" w14:textId="6505C6F8" w:rsidR="005B5846" w:rsidRPr="00310A29" w:rsidRDefault="005B5846" w:rsidP="00A84FDD">
      <w:pPr>
        <w:pStyle w:val="Heading3B"/>
      </w:pPr>
      <w:r w:rsidRPr="005B5846">
        <w:t>Clear IP ownership statement and guiding principles</w:t>
      </w:r>
      <w:r w:rsidRPr="005B5846" w:rsidDel="005B5846">
        <w:t xml:space="preserve"> </w:t>
      </w:r>
    </w:p>
    <w:p w14:paraId="2F6B8092" w14:textId="16FCDCF4" w:rsidR="00974678" w:rsidRDefault="00377FB7" w:rsidP="006F5622">
      <w:pPr>
        <w:pStyle w:val="BodyText"/>
        <w:numPr>
          <w:ilvl w:val="0"/>
          <w:numId w:val="14"/>
        </w:numPr>
        <w:ind w:left="397" w:hanging="397"/>
        <w:rPr>
          <w:rFonts w:eastAsiaTheme="minorEastAsia"/>
        </w:rPr>
      </w:pPr>
      <w:r>
        <w:t xml:space="preserve">The updated </w:t>
      </w:r>
      <w:r w:rsidR="009A07F4">
        <w:t>WA Government IP Policy</w:t>
      </w:r>
      <w:r>
        <w:t xml:space="preserve"> to provide a clear statement on IP ownership and guiding principles to assist agencies to determine whether ongoing ownership is appropriate in the given circumstances.  </w:t>
      </w:r>
    </w:p>
    <w:p w14:paraId="30AFB173" w14:textId="6771BB0B" w:rsidR="00974678" w:rsidRDefault="00377FB7" w:rsidP="006F5622">
      <w:pPr>
        <w:pStyle w:val="BodyText"/>
        <w:numPr>
          <w:ilvl w:val="0"/>
          <w:numId w:val="14"/>
        </w:numPr>
        <w:ind w:left="397" w:hanging="397"/>
      </w:pPr>
      <w:r>
        <w:t xml:space="preserve">Although the updated </w:t>
      </w:r>
      <w:r w:rsidR="009A07F4">
        <w:t>WA Government IP Policy</w:t>
      </w:r>
      <w:r>
        <w:t xml:space="preserve"> will provide guidance on IP </w:t>
      </w:r>
      <w:r w:rsidR="37D1B60D">
        <w:t xml:space="preserve">ownership, the </w:t>
      </w:r>
      <w:r w:rsidR="23A1CF07">
        <w:t xml:space="preserve">general principle </w:t>
      </w:r>
      <w:r w:rsidR="002462BA">
        <w:t>of</w:t>
      </w:r>
      <w:r w:rsidR="30EA2724">
        <w:t xml:space="preserve"> ownership continues to </w:t>
      </w:r>
      <w:r w:rsidR="423CCD13">
        <w:t xml:space="preserve">apply. </w:t>
      </w:r>
      <w:r w:rsidR="00A98133">
        <w:t xml:space="preserve">The updated </w:t>
      </w:r>
      <w:r w:rsidR="009A07F4">
        <w:t>WA Government IP Policy</w:t>
      </w:r>
      <w:r w:rsidR="00A98133">
        <w:t xml:space="preserve"> to specifically encourage agencies to</w:t>
      </w:r>
      <w:r w:rsidR="698787D1">
        <w:t xml:space="preserve"> </w:t>
      </w:r>
      <w:r w:rsidR="6798ACD8">
        <w:t xml:space="preserve">clearly </w:t>
      </w:r>
      <w:r w:rsidR="2882898A">
        <w:t xml:space="preserve">address IP ownership </w:t>
      </w:r>
      <w:r w:rsidR="147F6D35">
        <w:t xml:space="preserve">and </w:t>
      </w:r>
      <w:r w:rsidR="6798ACD8">
        <w:t xml:space="preserve">rights in agreements and </w:t>
      </w:r>
      <w:r w:rsidR="0341988A">
        <w:t xml:space="preserve">other commercial arrangements.  </w:t>
      </w:r>
    </w:p>
    <w:p w14:paraId="4D5E093B" w14:textId="4792BA20" w:rsidR="005B5846" w:rsidRPr="00310A29" w:rsidRDefault="005B5846" w:rsidP="00A84FDD">
      <w:pPr>
        <w:pStyle w:val="Heading3B"/>
      </w:pPr>
      <w:r>
        <w:t>Clear</w:t>
      </w:r>
      <w:r w:rsidRPr="00F504AF">
        <w:t xml:space="preserve"> commercialisation framework and supporting guidance</w:t>
      </w:r>
      <w:r w:rsidRPr="00310A29" w:rsidDel="005B5846">
        <w:t xml:space="preserve"> </w:t>
      </w:r>
    </w:p>
    <w:p w14:paraId="5AC24BC3" w14:textId="67853E8C" w:rsidR="1C929E76" w:rsidRDefault="00594DDF" w:rsidP="006F5622">
      <w:pPr>
        <w:pStyle w:val="BodyText"/>
        <w:numPr>
          <w:ilvl w:val="0"/>
          <w:numId w:val="15"/>
        </w:numPr>
        <w:spacing w:after="120"/>
        <w:ind w:left="397" w:hanging="397"/>
        <w:rPr>
          <w:rFonts w:eastAsiaTheme="minorEastAsia"/>
          <w:lang w:val="en-GB"/>
        </w:rPr>
      </w:pPr>
      <w:r w:rsidRPr="46353EF9">
        <w:rPr>
          <w:lang w:val="en-GB"/>
        </w:rPr>
        <w:t xml:space="preserve">The updated </w:t>
      </w:r>
      <w:r w:rsidR="00011B22">
        <w:t xml:space="preserve">WA Government IP Policy </w:t>
      </w:r>
      <w:r w:rsidRPr="46353EF9">
        <w:rPr>
          <w:lang w:val="en-GB"/>
        </w:rPr>
        <w:t xml:space="preserve">to provide a clear commercialisation framework and supporting </w:t>
      </w:r>
      <w:r w:rsidRPr="6B612BE4">
        <w:rPr>
          <w:lang w:val="en-GB"/>
        </w:rPr>
        <w:t>guidance to assist agencies determine</w:t>
      </w:r>
      <w:r w:rsidR="0094059D">
        <w:rPr>
          <w:lang w:val="en-GB"/>
        </w:rPr>
        <w:t xml:space="preserve"> </w:t>
      </w:r>
      <w:r w:rsidR="00887851">
        <w:rPr>
          <w:lang w:val="en-GB"/>
        </w:rPr>
        <w:t>whether commercialisation is</w:t>
      </w:r>
      <w:r w:rsidRPr="6B612BE4">
        <w:rPr>
          <w:lang w:val="en-GB"/>
        </w:rPr>
        <w:t xml:space="preserve"> </w:t>
      </w:r>
      <w:r w:rsidRPr="66AA13E9">
        <w:rPr>
          <w:lang w:val="en-GB"/>
        </w:rPr>
        <w:t xml:space="preserve">appropriate </w:t>
      </w:r>
      <w:r w:rsidR="00887851">
        <w:rPr>
          <w:lang w:val="en-GB"/>
        </w:rPr>
        <w:t>and financially viable, and</w:t>
      </w:r>
      <w:r w:rsidR="0094059D">
        <w:rPr>
          <w:lang w:val="en-GB"/>
        </w:rPr>
        <w:t xml:space="preserve"> </w:t>
      </w:r>
      <w:r w:rsidRPr="66AA13E9">
        <w:rPr>
          <w:lang w:val="en-GB"/>
        </w:rPr>
        <w:t xml:space="preserve">pathways to </w:t>
      </w:r>
      <w:r w:rsidRPr="2F2816DC">
        <w:rPr>
          <w:lang w:val="en-GB"/>
        </w:rPr>
        <w:t xml:space="preserve">commercialise </w:t>
      </w:r>
      <w:r w:rsidR="00924426">
        <w:rPr>
          <w:lang w:val="en-GB"/>
        </w:rPr>
        <w:t xml:space="preserve">WA </w:t>
      </w:r>
      <w:r w:rsidRPr="2F2816DC">
        <w:rPr>
          <w:lang w:val="en-GB"/>
        </w:rPr>
        <w:t>Government IP.</w:t>
      </w:r>
      <w:r w:rsidR="006C7E92">
        <w:rPr>
          <w:lang w:val="en-GB"/>
        </w:rPr>
        <w:t xml:space="preserve"> </w:t>
      </w:r>
      <w:r w:rsidR="00725919">
        <w:rPr>
          <w:lang w:val="en-GB"/>
        </w:rPr>
        <w:t xml:space="preserve">The </w:t>
      </w:r>
      <w:r w:rsidR="008E4036">
        <w:rPr>
          <w:lang w:val="en-GB"/>
        </w:rPr>
        <w:t xml:space="preserve">consideration, </w:t>
      </w:r>
      <w:r w:rsidR="00725919">
        <w:rPr>
          <w:lang w:val="en-GB"/>
        </w:rPr>
        <w:t xml:space="preserve">assessment </w:t>
      </w:r>
      <w:r w:rsidR="008E4036">
        <w:rPr>
          <w:lang w:val="en-GB"/>
        </w:rPr>
        <w:t xml:space="preserve">and management </w:t>
      </w:r>
      <w:r w:rsidR="00725919">
        <w:rPr>
          <w:lang w:val="en-GB"/>
        </w:rPr>
        <w:t xml:space="preserve">of </w:t>
      </w:r>
      <w:r w:rsidR="008E4036">
        <w:rPr>
          <w:lang w:val="en-GB"/>
        </w:rPr>
        <w:t xml:space="preserve">a comprehensive spectrum of </w:t>
      </w:r>
      <w:r w:rsidR="00725919">
        <w:rPr>
          <w:lang w:val="en-GB"/>
        </w:rPr>
        <w:t xml:space="preserve">risks </w:t>
      </w:r>
      <w:r w:rsidR="008E4036">
        <w:rPr>
          <w:lang w:val="en-GB"/>
        </w:rPr>
        <w:t>and benefits to</w:t>
      </w:r>
      <w:r w:rsidR="00725919">
        <w:rPr>
          <w:lang w:val="en-GB"/>
        </w:rPr>
        <w:t xml:space="preserve"> determin</w:t>
      </w:r>
      <w:r w:rsidR="008E4036">
        <w:rPr>
          <w:lang w:val="en-GB"/>
        </w:rPr>
        <w:t xml:space="preserve">e </w:t>
      </w:r>
      <w:r w:rsidR="00725919">
        <w:rPr>
          <w:lang w:val="en-GB"/>
        </w:rPr>
        <w:t>whether commercialisation is appropriate</w:t>
      </w:r>
      <w:r w:rsidR="008E4036">
        <w:rPr>
          <w:lang w:val="en-GB"/>
        </w:rPr>
        <w:t xml:space="preserve"> </w:t>
      </w:r>
      <w:r w:rsidR="00725919">
        <w:rPr>
          <w:lang w:val="en-GB"/>
        </w:rPr>
        <w:t xml:space="preserve">will </w:t>
      </w:r>
      <w:r w:rsidR="000C6B7C">
        <w:rPr>
          <w:lang w:val="en-GB"/>
        </w:rPr>
        <w:t xml:space="preserve">also </w:t>
      </w:r>
      <w:r w:rsidR="00725919">
        <w:rPr>
          <w:lang w:val="en-GB"/>
        </w:rPr>
        <w:t xml:space="preserve">be addressed in the updated WA Government IP Policy. </w:t>
      </w:r>
      <w:r w:rsidR="2D3F94D7" w:rsidRPr="62F08C25">
        <w:rPr>
          <w:lang w:val="en-GB"/>
        </w:rPr>
        <w:t>This will include the provision of</w:t>
      </w:r>
      <w:r w:rsidR="450BC7B0" w:rsidRPr="450BC7B0">
        <w:rPr>
          <w:lang w:val="en-GB"/>
        </w:rPr>
        <w:t xml:space="preserve"> guidance tools housed in a ‘best practice toolkit’</w:t>
      </w:r>
      <w:r w:rsidR="1C929E76" w:rsidRPr="1C929E76">
        <w:rPr>
          <w:lang w:val="en-GB"/>
        </w:rPr>
        <w:t>.</w:t>
      </w:r>
    </w:p>
    <w:p w14:paraId="6ED51EBD" w14:textId="5F38F67C" w:rsidR="006F5622" w:rsidRPr="006F5622" w:rsidRDefault="2C6CE7C7" w:rsidP="00F66202">
      <w:pPr>
        <w:pStyle w:val="BodyText"/>
        <w:numPr>
          <w:ilvl w:val="0"/>
          <w:numId w:val="15"/>
        </w:numPr>
        <w:spacing w:after="160" w:line="259" w:lineRule="auto"/>
        <w:ind w:left="397" w:hanging="397"/>
        <w:rPr>
          <w:b/>
          <w:bCs/>
          <w:sz w:val="28"/>
          <w:szCs w:val="28"/>
          <w:lang w:val="en-GB"/>
        </w:rPr>
      </w:pPr>
      <w:r w:rsidRPr="006F5622">
        <w:rPr>
          <w:rFonts w:ascii="Arial" w:hAnsi="Arial" w:cs="Arial"/>
          <w:lang w:val="en-GB"/>
        </w:rPr>
        <w:t>Benefit sharing arrangements to be clearly ad</w:t>
      </w:r>
      <w:r w:rsidR="2D9C8533" w:rsidRPr="006F5622">
        <w:rPr>
          <w:rFonts w:ascii="Arial" w:hAnsi="Arial" w:cs="Arial"/>
          <w:lang w:val="en-GB"/>
        </w:rPr>
        <w:t>dressed in the updated</w:t>
      </w:r>
      <w:r w:rsidR="2D9C8533" w:rsidRPr="00614771">
        <w:rPr>
          <w:rFonts w:ascii="Arial" w:hAnsi="Arial" w:cs="Arial"/>
          <w:lang w:val="en-GB"/>
        </w:rPr>
        <w:t xml:space="preserve"> </w:t>
      </w:r>
      <w:r w:rsidR="00011B22" w:rsidRPr="00614771">
        <w:rPr>
          <w:rFonts w:ascii="Arial" w:hAnsi="Arial" w:cs="Arial"/>
        </w:rPr>
        <w:t>WA Government IP Polic</w:t>
      </w:r>
      <w:r w:rsidR="00011B22" w:rsidRPr="006F5622">
        <w:rPr>
          <w:rFonts w:ascii="Arial" w:hAnsi="Arial" w:cs="Arial"/>
          <w:lang w:val="en-GB"/>
        </w:rPr>
        <w:t>y</w:t>
      </w:r>
      <w:r w:rsidR="2D9C8533" w:rsidRPr="006F5622">
        <w:rPr>
          <w:rFonts w:ascii="Arial" w:hAnsi="Arial" w:cs="Arial"/>
          <w:lang w:val="en-GB"/>
        </w:rPr>
        <w:t xml:space="preserve"> consistent with best practice. </w:t>
      </w:r>
      <w:r w:rsidR="005D1D92" w:rsidRPr="006F5622">
        <w:rPr>
          <w:rFonts w:ascii="Arial" w:hAnsi="Arial" w:cs="Arial"/>
          <w:lang w:val="en-GB"/>
        </w:rPr>
        <w:t>Benefit sharing is a form of rewards</w:t>
      </w:r>
      <w:r w:rsidR="00AB28DE" w:rsidRPr="006F5622">
        <w:rPr>
          <w:rFonts w:ascii="Arial" w:hAnsi="Arial" w:cs="Arial"/>
          <w:lang w:val="en-GB"/>
        </w:rPr>
        <w:t xml:space="preserve"> which enables the sharing of net revenue from the successful commercialisation of IP distributed to relevant parties. The Department is seeking feedback on appropriate benefit sharing arrangements, drawing on experience from the Government and non</w:t>
      </w:r>
      <w:r w:rsidR="006F5622" w:rsidRPr="006F5622">
        <w:rPr>
          <w:rFonts w:ascii="Arial" w:hAnsi="Arial" w:cs="Arial"/>
          <w:lang w:val="en-GB"/>
        </w:rPr>
        <w:noBreakHyphen/>
      </w:r>
      <w:r w:rsidR="00AB28DE" w:rsidRPr="006F5622">
        <w:rPr>
          <w:rFonts w:ascii="Arial" w:hAnsi="Arial" w:cs="Arial"/>
          <w:lang w:val="en-GB"/>
        </w:rPr>
        <w:t xml:space="preserve">Government sector. </w:t>
      </w:r>
      <w:r w:rsidR="2D9C8533" w:rsidRPr="006F5622">
        <w:rPr>
          <w:rFonts w:ascii="Arial" w:hAnsi="Arial" w:cs="Arial"/>
          <w:lang w:val="en-GB"/>
        </w:rPr>
        <w:t>The benefit sharing arrangement will stipulate conditions required to be met by partie</w:t>
      </w:r>
      <w:r w:rsidR="006F5622" w:rsidRPr="006F5622">
        <w:rPr>
          <w:rFonts w:ascii="Arial" w:hAnsi="Arial" w:cs="Arial"/>
          <w:lang w:val="en-GB"/>
        </w:rPr>
        <w:t>s</w:t>
      </w:r>
      <w:r w:rsidR="006F5622">
        <w:rPr>
          <w:rFonts w:ascii="Arial" w:hAnsi="Arial" w:cs="Arial"/>
          <w:lang w:val="en-GB"/>
        </w:rPr>
        <w:t>.</w:t>
      </w:r>
      <w:r w:rsidR="006F5622">
        <w:br w:type="page"/>
      </w:r>
    </w:p>
    <w:p w14:paraId="4C2C5DFF" w14:textId="6FAA2EDF" w:rsidR="00310A29" w:rsidRPr="00596FCC" w:rsidRDefault="00310A29" w:rsidP="00A84FDD">
      <w:pPr>
        <w:pStyle w:val="Heading3B"/>
      </w:pPr>
      <w:r w:rsidRPr="00596FCC">
        <w:lastRenderedPageBreak/>
        <w:t>Employee rewards and incentives</w:t>
      </w:r>
      <w:r w:rsidR="005B5846" w:rsidRPr="23B995A3">
        <w:rPr>
          <w:rStyle w:val="normaltextrun"/>
        </w:rPr>
        <w:t xml:space="preserve"> included at high level</w:t>
      </w:r>
    </w:p>
    <w:p w14:paraId="71261D57" w14:textId="2960CB8F" w:rsidR="00377FB7" w:rsidRDefault="3791BA33" w:rsidP="008E0394">
      <w:pPr>
        <w:pStyle w:val="BodyText"/>
        <w:numPr>
          <w:ilvl w:val="0"/>
          <w:numId w:val="13"/>
        </w:numPr>
        <w:spacing w:after="120"/>
        <w:ind w:left="357" w:hanging="357"/>
        <w:rPr>
          <w:rFonts w:asciiTheme="minorEastAsia" w:eastAsiaTheme="minorEastAsia" w:hAnsiTheme="minorEastAsia" w:cstheme="minorEastAsia"/>
        </w:rPr>
      </w:pPr>
      <w:r w:rsidRPr="63321260">
        <w:rPr>
          <w:rFonts w:eastAsiaTheme="minorEastAsia"/>
        </w:rPr>
        <w:t xml:space="preserve">The policy document </w:t>
      </w:r>
      <w:r w:rsidR="009618E0" w:rsidRPr="63321260">
        <w:rPr>
          <w:i/>
          <w:iCs/>
        </w:rPr>
        <w:t>Encouraging Innovation by Government Employees: procedures for the payment of monetary rewards to innovative Government employees</w:t>
      </w:r>
      <w:r w:rsidRPr="63321260">
        <w:rPr>
          <w:rFonts w:eastAsiaTheme="minorEastAsia"/>
        </w:rPr>
        <w:t xml:space="preserve"> to be rescinded and the matters of employee rewards to be included at a high level in the updated </w:t>
      </w:r>
      <w:r w:rsidR="009A07F4">
        <w:rPr>
          <w:rFonts w:eastAsiaTheme="minorEastAsia"/>
        </w:rPr>
        <w:t>WA Government IP Policy</w:t>
      </w:r>
      <w:r w:rsidRPr="63321260">
        <w:rPr>
          <w:rFonts w:eastAsiaTheme="minorEastAsia"/>
        </w:rPr>
        <w:t xml:space="preserve">. </w:t>
      </w:r>
    </w:p>
    <w:p w14:paraId="1CA246EB" w14:textId="04325F12" w:rsidR="63321260" w:rsidRDefault="63321260" w:rsidP="000E6B02">
      <w:pPr>
        <w:pStyle w:val="BodyText"/>
        <w:numPr>
          <w:ilvl w:val="0"/>
          <w:numId w:val="13"/>
        </w:numPr>
      </w:pPr>
      <w:r w:rsidRPr="63321260">
        <w:rPr>
          <w:rFonts w:ascii="Arial" w:eastAsiaTheme="minorEastAsia" w:hAnsi="Arial" w:cs="Arial"/>
        </w:rPr>
        <w:t>Agencies to retain flexibility for non-financial rewards and incentives for employees.</w:t>
      </w:r>
    </w:p>
    <w:p w14:paraId="720348DD" w14:textId="20A19036" w:rsidR="00310A29" w:rsidRDefault="00310A29" w:rsidP="00A84FDD">
      <w:pPr>
        <w:pStyle w:val="Heading3B"/>
      </w:pPr>
      <w:r w:rsidRPr="00596FCC">
        <w:t>Scope and application of the IP Policy</w:t>
      </w:r>
    </w:p>
    <w:p w14:paraId="49C72392" w14:textId="73317F24" w:rsidR="006376B7" w:rsidRPr="006376B7" w:rsidRDefault="63321260" w:rsidP="008E0394">
      <w:pPr>
        <w:pStyle w:val="BodyText"/>
        <w:numPr>
          <w:ilvl w:val="0"/>
          <w:numId w:val="17"/>
        </w:numPr>
        <w:spacing w:after="120"/>
        <w:ind w:left="357" w:hanging="357"/>
        <w:rPr>
          <w:rFonts w:eastAsiaTheme="minorEastAsia"/>
        </w:rPr>
      </w:pPr>
      <w:r w:rsidRPr="006376B7">
        <w:rPr>
          <w:rFonts w:eastAsiaTheme="minorEastAsia"/>
        </w:rPr>
        <w:t xml:space="preserve">The scope and application of the updated </w:t>
      </w:r>
      <w:r w:rsidR="009A07F4" w:rsidRPr="006376B7">
        <w:rPr>
          <w:rFonts w:eastAsiaTheme="minorEastAsia"/>
        </w:rPr>
        <w:t>WA Government IP Policy</w:t>
      </w:r>
      <w:r w:rsidRPr="006376B7">
        <w:rPr>
          <w:rFonts w:eastAsiaTheme="minorEastAsia"/>
        </w:rPr>
        <w:t xml:space="preserve"> to remain consistent with the current approach. The </w:t>
      </w:r>
      <w:r w:rsidR="009A07F4" w:rsidRPr="006376B7">
        <w:rPr>
          <w:rFonts w:eastAsiaTheme="minorEastAsia"/>
        </w:rPr>
        <w:t>WA Government IP Policy</w:t>
      </w:r>
      <w:r w:rsidRPr="006376B7">
        <w:rPr>
          <w:rFonts w:eastAsiaTheme="minorEastAsia"/>
        </w:rPr>
        <w:t xml:space="preserve"> to continue to apply to agencies captured under the definition of public sector as per the </w:t>
      </w:r>
      <w:r w:rsidR="00984FA1" w:rsidRPr="003B5EB5">
        <w:rPr>
          <w:i/>
        </w:rPr>
        <w:t>Public Sector Management Act 1994</w:t>
      </w:r>
      <w:r w:rsidR="00984FA1" w:rsidRPr="003B5EB5">
        <w:t xml:space="preserve"> </w:t>
      </w:r>
      <w:r w:rsidR="00984FA1">
        <w:t>(WA) (</w:t>
      </w:r>
      <w:r w:rsidRPr="006376B7">
        <w:rPr>
          <w:rFonts w:eastAsiaTheme="minorEastAsia"/>
        </w:rPr>
        <w:t>PSM Act</w:t>
      </w:r>
      <w:r w:rsidR="00984FA1">
        <w:rPr>
          <w:rFonts w:eastAsiaTheme="minorEastAsia"/>
        </w:rPr>
        <w:t>)</w:t>
      </w:r>
      <w:r w:rsidRPr="006376B7">
        <w:rPr>
          <w:rFonts w:eastAsiaTheme="minorEastAsia"/>
        </w:rPr>
        <w:t xml:space="preserve"> and current</w:t>
      </w:r>
      <w:r w:rsidR="001C26CC" w:rsidRPr="006376B7">
        <w:rPr>
          <w:rFonts w:eastAsiaTheme="minorEastAsia"/>
        </w:rPr>
        <w:t>ly</w:t>
      </w:r>
      <w:r w:rsidRPr="006376B7">
        <w:rPr>
          <w:rFonts w:eastAsiaTheme="minorEastAsia"/>
        </w:rPr>
        <w:t xml:space="preserve"> covered activities utilising Government resources, grants and contractual arrangements unless otherwise </w:t>
      </w:r>
      <w:r w:rsidR="006376B7" w:rsidRPr="006376B7">
        <w:rPr>
          <w:rFonts w:eastAsiaTheme="minorEastAsia"/>
        </w:rPr>
        <w:t xml:space="preserve">specified. </w:t>
      </w:r>
    </w:p>
    <w:p w14:paraId="081A8805" w14:textId="4394DB6A" w:rsidR="63321260" w:rsidRDefault="63321260" w:rsidP="008E0394">
      <w:pPr>
        <w:pStyle w:val="BodyText"/>
        <w:numPr>
          <w:ilvl w:val="0"/>
          <w:numId w:val="17"/>
        </w:numPr>
        <w:spacing w:after="120"/>
        <w:ind w:left="357" w:hanging="357"/>
      </w:pPr>
      <w:r w:rsidRPr="006376B7">
        <w:rPr>
          <w:rFonts w:ascii="Arial" w:hAnsi="Arial" w:cs="Arial"/>
        </w:rPr>
        <w:t xml:space="preserve">The updated </w:t>
      </w:r>
      <w:r w:rsidR="009A07F4" w:rsidRPr="006376B7">
        <w:rPr>
          <w:rFonts w:ascii="Arial" w:hAnsi="Arial" w:cs="Arial"/>
        </w:rPr>
        <w:t>WA Government IP Policy</w:t>
      </w:r>
      <w:r w:rsidRPr="006376B7">
        <w:rPr>
          <w:rFonts w:ascii="Arial" w:hAnsi="Arial" w:cs="Arial"/>
        </w:rPr>
        <w:t xml:space="preserve"> to specifically encourage WA Government entities not captured by the PSM Act to consider the </w:t>
      </w:r>
      <w:r w:rsidR="00667C16" w:rsidRPr="006376B7">
        <w:rPr>
          <w:rFonts w:ascii="Arial" w:hAnsi="Arial" w:cs="Arial"/>
        </w:rPr>
        <w:t xml:space="preserve">WA Government IP </w:t>
      </w:r>
      <w:r w:rsidRPr="006376B7">
        <w:rPr>
          <w:rFonts w:ascii="Arial" w:hAnsi="Arial" w:cs="Arial"/>
        </w:rPr>
        <w:t>Policy in their use, development and management of IP.</w:t>
      </w:r>
    </w:p>
    <w:p w14:paraId="46AE3E8D" w14:textId="1555CF53" w:rsidR="004A6060" w:rsidRDefault="004A6060" w:rsidP="00AD0043">
      <w:pPr>
        <w:pStyle w:val="Heading2B"/>
        <w:jc w:val="both"/>
      </w:pPr>
      <w:bookmarkStart w:id="14" w:name="_Toc101971623"/>
      <w:bookmarkStart w:id="15" w:name="_Toc104976276"/>
      <w:bookmarkStart w:id="16" w:name="_Toc114829890"/>
      <w:r>
        <w:t>Proposed</w:t>
      </w:r>
      <w:r w:rsidRPr="004A6060">
        <w:t xml:space="preserve"> </w:t>
      </w:r>
      <w:r w:rsidR="64C70E5C">
        <w:t>implementation measures</w:t>
      </w:r>
      <w:bookmarkEnd w:id="14"/>
      <w:bookmarkEnd w:id="15"/>
      <w:bookmarkEnd w:id="16"/>
    </w:p>
    <w:p w14:paraId="11FA207F" w14:textId="0F1E1DE3" w:rsidR="003349F7" w:rsidRDefault="003349F7" w:rsidP="00A84FDD">
      <w:pPr>
        <w:pStyle w:val="Heading3B"/>
        <w:rPr>
          <w:rFonts w:eastAsia="Arial"/>
        </w:rPr>
      </w:pPr>
      <w:r w:rsidRPr="00BA1037">
        <w:rPr>
          <w:rFonts w:eastAsia="Arial"/>
        </w:rPr>
        <w:t>Online training and resource hub</w:t>
      </w:r>
    </w:p>
    <w:p w14:paraId="0AC919C2" w14:textId="1F49B7A7" w:rsidR="000610B3" w:rsidRPr="00E41BCA" w:rsidRDefault="00943A30" w:rsidP="008E0394">
      <w:pPr>
        <w:pStyle w:val="BodyText"/>
        <w:numPr>
          <w:ilvl w:val="0"/>
          <w:numId w:val="17"/>
        </w:numPr>
        <w:spacing w:after="120"/>
        <w:ind w:left="357" w:hanging="357"/>
        <w:rPr>
          <w:rFonts w:eastAsiaTheme="minorEastAsia"/>
        </w:rPr>
      </w:pPr>
      <w:r w:rsidRPr="00E41BCA">
        <w:rPr>
          <w:rFonts w:eastAsiaTheme="minorEastAsia"/>
        </w:rPr>
        <w:t xml:space="preserve">Develop a web-based ‘best practice toolkit’ </w:t>
      </w:r>
      <w:r w:rsidR="0042762A" w:rsidRPr="00E41BCA">
        <w:rPr>
          <w:rFonts w:eastAsiaTheme="minorEastAsia"/>
        </w:rPr>
        <w:t>to</w:t>
      </w:r>
      <w:r w:rsidRPr="00E41BCA">
        <w:rPr>
          <w:rFonts w:eastAsiaTheme="minorEastAsia"/>
        </w:rPr>
        <w:t xml:space="preserve"> provide clarity to </w:t>
      </w:r>
      <w:r w:rsidR="00924426">
        <w:rPr>
          <w:rFonts w:eastAsiaTheme="minorEastAsia"/>
        </w:rPr>
        <w:t xml:space="preserve">WA </w:t>
      </w:r>
      <w:r w:rsidRPr="00E41BCA">
        <w:rPr>
          <w:rFonts w:eastAsiaTheme="minorEastAsia"/>
        </w:rPr>
        <w:t xml:space="preserve">Government agencies on key processes including where seeking to commercialise IP and assist in implementing any agency level requirements under the updated </w:t>
      </w:r>
      <w:r w:rsidR="009A07F4" w:rsidRPr="00E41BCA">
        <w:rPr>
          <w:rFonts w:eastAsiaTheme="minorEastAsia"/>
        </w:rPr>
        <w:t>WA Government IP Policy</w:t>
      </w:r>
      <w:r w:rsidRPr="00E41BCA">
        <w:rPr>
          <w:rFonts w:eastAsiaTheme="minorEastAsia"/>
        </w:rPr>
        <w:t xml:space="preserve">. </w:t>
      </w:r>
    </w:p>
    <w:p w14:paraId="35D83DE4" w14:textId="77777777" w:rsidR="004C7A79" w:rsidRPr="004C7A79" w:rsidRDefault="0042762A" w:rsidP="008E0394">
      <w:pPr>
        <w:pStyle w:val="BodyText"/>
        <w:numPr>
          <w:ilvl w:val="0"/>
          <w:numId w:val="17"/>
        </w:numPr>
        <w:spacing w:after="120"/>
        <w:ind w:left="357" w:hanging="357"/>
        <w:rPr>
          <w:rFonts w:eastAsiaTheme="minorEastAsia"/>
        </w:rPr>
      </w:pPr>
      <w:r w:rsidRPr="00E41BCA">
        <w:rPr>
          <w:rFonts w:eastAsiaTheme="minorEastAsia"/>
        </w:rPr>
        <w:t xml:space="preserve">Establish a dedicated online IP training and resource hub. </w:t>
      </w:r>
    </w:p>
    <w:p w14:paraId="667D7CE0" w14:textId="5554EB6B" w:rsidR="0058538D" w:rsidRPr="004C7A79" w:rsidRDefault="0058538D" w:rsidP="004C7A79">
      <w:pPr>
        <w:pStyle w:val="Heading3B"/>
        <w:rPr>
          <w:rFonts w:eastAsiaTheme="minorEastAsia"/>
        </w:rPr>
      </w:pPr>
      <w:r w:rsidRPr="004C7A79">
        <w:rPr>
          <w:rFonts w:eastAsia="Arial"/>
        </w:rPr>
        <w:t>Establish IP Community of Practice</w:t>
      </w:r>
    </w:p>
    <w:p w14:paraId="2878E19F" w14:textId="5FABD350" w:rsidR="004C2ECC" w:rsidRPr="00B82C75" w:rsidRDefault="00B061E2" w:rsidP="00B82C75">
      <w:pPr>
        <w:pStyle w:val="Bullet"/>
        <w:spacing w:after="160" w:line="259" w:lineRule="auto"/>
      </w:pPr>
      <w:r w:rsidRPr="005A6302">
        <w:rPr>
          <w:rFonts w:eastAsia="Arial"/>
        </w:rPr>
        <w:t>B</w:t>
      </w:r>
      <w:r w:rsidR="00A02710" w:rsidRPr="005A6302">
        <w:rPr>
          <w:rFonts w:eastAsia="Arial"/>
        </w:rPr>
        <w:t>uild knowledge and expertise across the W</w:t>
      </w:r>
      <w:r w:rsidR="00C7091A">
        <w:rPr>
          <w:rFonts w:eastAsia="Arial"/>
        </w:rPr>
        <w:t>estern Australia</w:t>
      </w:r>
      <w:r w:rsidR="00155B50">
        <w:rPr>
          <w:rFonts w:eastAsia="Arial"/>
        </w:rPr>
        <w:t>n</w:t>
      </w:r>
      <w:r w:rsidR="00A02710" w:rsidRPr="005A6302">
        <w:rPr>
          <w:rFonts w:eastAsia="Arial"/>
        </w:rPr>
        <w:t xml:space="preserve"> public sector</w:t>
      </w:r>
      <w:r w:rsidRPr="005A6302">
        <w:rPr>
          <w:rFonts w:eastAsia="Arial"/>
        </w:rPr>
        <w:t xml:space="preserve"> by establishing </w:t>
      </w:r>
      <w:r w:rsidR="00A02710" w:rsidRPr="005A6302">
        <w:rPr>
          <w:rFonts w:eastAsia="Arial"/>
        </w:rPr>
        <w:t xml:space="preserve">a community of practice comprised of </w:t>
      </w:r>
      <w:r w:rsidR="00924426">
        <w:rPr>
          <w:rFonts w:eastAsia="Arial"/>
        </w:rPr>
        <w:t xml:space="preserve">WA </w:t>
      </w:r>
      <w:r w:rsidR="00A02710" w:rsidRPr="005A6302">
        <w:rPr>
          <w:rFonts w:eastAsia="Arial"/>
        </w:rPr>
        <w:t xml:space="preserve">Government agencies involved in research, innovation, </w:t>
      </w:r>
      <w:r w:rsidR="000E6B02" w:rsidRPr="005A6302">
        <w:rPr>
          <w:rFonts w:eastAsia="Arial"/>
        </w:rPr>
        <w:t xml:space="preserve">invention </w:t>
      </w:r>
      <w:r w:rsidR="00A02710" w:rsidRPr="005A6302">
        <w:rPr>
          <w:rFonts w:eastAsia="Arial"/>
        </w:rPr>
        <w:t>and the development of IP.</w:t>
      </w:r>
    </w:p>
    <w:p w14:paraId="516A0F9B" w14:textId="6E1A68E4" w:rsidR="000610B3" w:rsidRDefault="0058538D" w:rsidP="00A84FDD">
      <w:pPr>
        <w:pStyle w:val="Heading3B"/>
        <w:rPr>
          <w:rFonts w:eastAsia="Arial"/>
        </w:rPr>
      </w:pPr>
      <w:r w:rsidRPr="00BA1037">
        <w:t>Facilitate greater a</w:t>
      </w:r>
      <w:r w:rsidRPr="00BA1037">
        <w:rPr>
          <w:rFonts w:eastAsia="Arial"/>
        </w:rPr>
        <w:t xml:space="preserve">ccess to </w:t>
      </w:r>
      <w:r w:rsidRPr="00BA1037">
        <w:t xml:space="preserve">IP </w:t>
      </w:r>
      <w:r w:rsidRPr="00BA1037">
        <w:rPr>
          <w:rFonts w:eastAsia="Arial"/>
        </w:rPr>
        <w:t>expertise</w:t>
      </w:r>
    </w:p>
    <w:p w14:paraId="0B552943" w14:textId="73B89E99" w:rsidR="0058538D" w:rsidRPr="00E41BCA" w:rsidRDefault="00EC2051" w:rsidP="008E0394">
      <w:pPr>
        <w:pStyle w:val="BodyText"/>
        <w:numPr>
          <w:ilvl w:val="0"/>
          <w:numId w:val="17"/>
        </w:numPr>
        <w:spacing w:after="120"/>
        <w:ind w:left="357" w:hanging="357"/>
        <w:rPr>
          <w:rFonts w:eastAsiaTheme="minorEastAsia"/>
        </w:rPr>
      </w:pPr>
      <w:r w:rsidRPr="00E41BCA">
        <w:rPr>
          <w:rFonts w:eastAsiaTheme="minorEastAsia"/>
        </w:rPr>
        <w:t>Introduc</w:t>
      </w:r>
      <w:r w:rsidR="00A241F6" w:rsidRPr="00E41BCA">
        <w:rPr>
          <w:rFonts w:eastAsiaTheme="minorEastAsia"/>
        </w:rPr>
        <w:t>e</w:t>
      </w:r>
      <w:r w:rsidRPr="00E41BCA">
        <w:rPr>
          <w:rFonts w:eastAsiaTheme="minorEastAsia"/>
        </w:rPr>
        <w:t xml:space="preserve"> more pathways for agencies to obtain appropriate advice </w:t>
      </w:r>
      <w:r w:rsidR="009A6228" w:rsidRPr="00E41BCA">
        <w:rPr>
          <w:rFonts w:eastAsiaTheme="minorEastAsia"/>
        </w:rPr>
        <w:t xml:space="preserve">by establishing </w:t>
      </w:r>
      <w:r w:rsidR="006F060C">
        <w:rPr>
          <w:rFonts w:eastAsiaTheme="minorEastAsia"/>
        </w:rPr>
        <w:t xml:space="preserve">a panel contract of </w:t>
      </w:r>
      <w:r w:rsidR="000E6B02">
        <w:rPr>
          <w:rFonts w:eastAsiaTheme="minorEastAsia"/>
        </w:rPr>
        <w:t>IP specialist</w:t>
      </w:r>
      <w:r w:rsidR="00506CCB">
        <w:rPr>
          <w:rFonts w:eastAsiaTheme="minorEastAsia"/>
        </w:rPr>
        <w:t>s</w:t>
      </w:r>
      <w:r w:rsidR="000E6B02">
        <w:rPr>
          <w:rFonts w:eastAsiaTheme="minorEastAsia"/>
        </w:rPr>
        <w:t xml:space="preserve"> including patent and trade mark attorneys </w:t>
      </w:r>
      <w:r w:rsidRPr="00E41BCA">
        <w:rPr>
          <w:rFonts w:eastAsiaTheme="minorEastAsia"/>
        </w:rPr>
        <w:t xml:space="preserve">and commercialisation experts for use by </w:t>
      </w:r>
      <w:r w:rsidR="00924426">
        <w:rPr>
          <w:rFonts w:eastAsiaTheme="minorEastAsia"/>
        </w:rPr>
        <w:t>WA</w:t>
      </w:r>
      <w:r w:rsidR="00924426" w:rsidRPr="00E41BCA">
        <w:rPr>
          <w:rFonts w:eastAsiaTheme="minorEastAsia"/>
        </w:rPr>
        <w:t xml:space="preserve"> </w:t>
      </w:r>
      <w:r w:rsidRPr="00E41BCA">
        <w:rPr>
          <w:rFonts w:eastAsiaTheme="minorEastAsia"/>
        </w:rPr>
        <w:t>Government agencies</w:t>
      </w:r>
      <w:r w:rsidR="00F36CAB" w:rsidRPr="00E41BCA">
        <w:rPr>
          <w:rFonts w:eastAsiaTheme="minorEastAsia"/>
        </w:rPr>
        <w:t>.</w:t>
      </w:r>
    </w:p>
    <w:p w14:paraId="7BE5A0EA" w14:textId="4E6811FC" w:rsidR="3D821CA9" w:rsidRPr="00E41BCA" w:rsidRDefault="3D821CA9" w:rsidP="008E0394">
      <w:pPr>
        <w:pStyle w:val="BodyText"/>
        <w:numPr>
          <w:ilvl w:val="0"/>
          <w:numId w:val="17"/>
        </w:numPr>
        <w:spacing w:after="120"/>
        <w:ind w:left="357" w:hanging="357"/>
        <w:rPr>
          <w:rFonts w:eastAsiaTheme="minorEastAsia"/>
        </w:rPr>
      </w:pPr>
      <w:r w:rsidRPr="00E41BCA">
        <w:rPr>
          <w:rFonts w:eastAsiaTheme="minorEastAsia"/>
        </w:rPr>
        <w:t xml:space="preserve">Explore opportunities for increasing access of </w:t>
      </w:r>
      <w:r w:rsidR="00924426">
        <w:rPr>
          <w:rFonts w:eastAsiaTheme="minorEastAsia"/>
        </w:rPr>
        <w:t>WA</w:t>
      </w:r>
      <w:r w:rsidR="00924426" w:rsidRPr="00E41BCA">
        <w:rPr>
          <w:rFonts w:eastAsiaTheme="minorEastAsia"/>
        </w:rPr>
        <w:t xml:space="preserve"> </w:t>
      </w:r>
      <w:r w:rsidRPr="00E41BCA">
        <w:rPr>
          <w:rFonts w:eastAsiaTheme="minorEastAsia"/>
        </w:rPr>
        <w:t>Government agencies to IP advisory services or expertise.</w:t>
      </w:r>
    </w:p>
    <w:p w14:paraId="731B8DA9" w14:textId="77777777" w:rsidR="00C33F9E" w:rsidRPr="00BA1037" w:rsidRDefault="00C33F9E" w:rsidP="00446DEC">
      <w:pPr>
        <w:pStyle w:val="Heading3"/>
        <w:numPr>
          <w:ilvl w:val="0"/>
          <w:numId w:val="0"/>
        </w:numPr>
        <w:pBdr>
          <w:top w:val="single" w:sz="12" w:space="1" w:color="auto"/>
          <w:left w:val="single" w:sz="12" w:space="4" w:color="auto"/>
          <w:bottom w:val="single" w:sz="12" w:space="1" w:color="auto"/>
          <w:right w:val="single" w:sz="12" w:space="4" w:color="auto"/>
        </w:pBdr>
        <w:shd w:val="clear" w:color="auto" w:fill="EDD9EC" w:themeFill="accent3" w:themeFillTint="33"/>
        <w:ind w:left="720" w:hanging="720"/>
      </w:pPr>
      <w:r w:rsidRPr="00BA1037">
        <w:lastRenderedPageBreak/>
        <w:t>How to make a submission</w:t>
      </w:r>
    </w:p>
    <w:p w14:paraId="031675D3" w14:textId="77777777" w:rsidR="00C33F9E" w:rsidRDefault="00C33F9E" w:rsidP="00446DEC">
      <w:pPr>
        <w:pStyle w:val="BodyText"/>
        <w:pBdr>
          <w:top w:val="single" w:sz="12" w:space="1" w:color="auto"/>
          <w:left w:val="single" w:sz="12" w:space="4" w:color="auto"/>
          <w:bottom w:val="single" w:sz="12" w:space="1" w:color="auto"/>
          <w:right w:val="single" w:sz="12" w:space="4" w:color="auto"/>
        </w:pBdr>
        <w:shd w:val="clear" w:color="auto" w:fill="EDD9EC" w:themeFill="accent3" w:themeFillTint="33"/>
        <w:rPr>
          <w:lang w:eastAsia="en-AU"/>
        </w:rPr>
      </w:pPr>
      <w:r>
        <w:rPr>
          <w:lang w:eastAsia="en-AU"/>
        </w:rPr>
        <w:t xml:space="preserve">You are invited to make a submission to this review. There is no specified format for submissions and you may: </w:t>
      </w:r>
    </w:p>
    <w:p w14:paraId="0FB2C2A6" w14:textId="77777777" w:rsidR="00C33F9E" w:rsidRDefault="00C33F9E" w:rsidP="006F5622">
      <w:pPr>
        <w:pStyle w:val="Bullet"/>
        <w:pBdr>
          <w:top w:val="single" w:sz="12" w:space="1" w:color="auto"/>
          <w:left w:val="single" w:sz="12" w:space="4" w:color="auto"/>
          <w:bottom w:val="single" w:sz="12" w:space="1" w:color="auto"/>
          <w:right w:val="single" w:sz="12" w:space="4" w:color="auto"/>
        </w:pBdr>
        <w:shd w:val="clear" w:color="auto" w:fill="EDD9EC" w:themeFill="accent3" w:themeFillTint="33"/>
        <w:ind w:left="397" w:hanging="397"/>
      </w:pPr>
      <w:r>
        <w:t xml:space="preserve">Respond to questions included in this paper (a complete set of questions can be found in the </w:t>
      </w:r>
      <w:hyperlink w:anchor="_Summary_of_Discussion">
        <w:r w:rsidRPr="1D2F3123">
          <w:rPr>
            <w:rStyle w:val="Hyperlink"/>
          </w:rPr>
          <w:t>Summary of discussion questions</w:t>
        </w:r>
      </w:hyperlink>
      <w:r>
        <w:t>); or</w:t>
      </w:r>
    </w:p>
    <w:p w14:paraId="1FC71F69" w14:textId="03BE9C3B" w:rsidR="006F5622" w:rsidRDefault="00C33F9E" w:rsidP="00446DEC">
      <w:pPr>
        <w:pStyle w:val="Bullet"/>
        <w:pBdr>
          <w:top w:val="single" w:sz="12" w:space="1" w:color="auto"/>
          <w:left w:val="single" w:sz="12" w:space="4" w:color="auto"/>
          <w:bottom w:val="single" w:sz="12" w:space="1" w:color="auto"/>
          <w:right w:val="single" w:sz="12" w:space="4" w:color="auto"/>
        </w:pBdr>
        <w:shd w:val="clear" w:color="auto" w:fill="EDD9EC" w:themeFill="accent3" w:themeFillTint="33"/>
        <w:ind w:left="397" w:hanging="397"/>
      </w:pPr>
      <w:r>
        <w:t xml:space="preserve">Send an email or write a letter outlining your views. </w:t>
      </w:r>
    </w:p>
    <w:p w14:paraId="1537C5D8" w14:textId="5DEE7338" w:rsidR="00C33F9E" w:rsidRDefault="00924426" w:rsidP="00446DEC">
      <w:pPr>
        <w:pStyle w:val="BodyText"/>
        <w:pBdr>
          <w:top w:val="single" w:sz="12" w:space="1" w:color="auto"/>
          <w:left w:val="single" w:sz="12" w:space="4" w:color="auto"/>
          <w:bottom w:val="single" w:sz="12" w:space="1" w:color="auto"/>
          <w:right w:val="single" w:sz="12" w:space="4" w:color="auto"/>
        </w:pBdr>
        <w:shd w:val="clear" w:color="auto" w:fill="EDD9EC" w:themeFill="accent3" w:themeFillTint="33"/>
        <w:rPr>
          <w:lang w:eastAsia="en-AU"/>
        </w:rPr>
      </w:pPr>
      <w:r>
        <w:rPr>
          <w:lang w:eastAsia="en-AU"/>
        </w:rPr>
        <w:t xml:space="preserve">You do not need to respond to every question. </w:t>
      </w:r>
      <w:r w:rsidR="00C33F9E">
        <w:rPr>
          <w:lang w:eastAsia="en-AU"/>
        </w:rPr>
        <w:t xml:space="preserve">Where possible, please provide evidence to support your views such as relevant data, case studies or examples. </w:t>
      </w:r>
    </w:p>
    <w:p w14:paraId="17ADAEF0" w14:textId="4C7F7AD5" w:rsidR="00C33F9E" w:rsidRDefault="00C33F9E" w:rsidP="00446DEC">
      <w:pPr>
        <w:pStyle w:val="BodyText"/>
        <w:pBdr>
          <w:top w:val="single" w:sz="12" w:space="1" w:color="auto"/>
          <w:left w:val="single" w:sz="12" w:space="4" w:color="auto"/>
          <w:bottom w:val="single" w:sz="12" w:space="1" w:color="auto"/>
          <w:right w:val="single" w:sz="12" w:space="4" w:color="auto"/>
        </w:pBdr>
        <w:shd w:val="clear" w:color="auto" w:fill="EDD9EC" w:themeFill="accent3" w:themeFillTint="33"/>
        <w:rPr>
          <w:lang w:eastAsia="en-AU"/>
        </w:rPr>
      </w:pPr>
      <w:r>
        <w:rPr>
          <w:lang w:eastAsia="en-AU"/>
        </w:rPr>
        <w:t xml:space="preserve">The closing date for submissions is </w:t>
      </w:r>
      <w:r w:rsidR="00F66202">
        <w:rPr>
          <w:b/>
          <w:lang w:eastAsia="en-AU"/>
        </w:rPr>
        <w:t>5pm, Friday 11 November 2022</w:t>
      </w:r>
      <w:r w:rsidR="00F66202" w:rsidRPr="00F66202">
        <w:rPr>
          <w:lang w:eastAsia="en-AU"/>
        </w:rPr>
        <w:t>.</w:t>
      </w:r>
    </w:p>
    <w:p w14:paraId="7D1CDAE4" w14:textId="48FB2A18" w:rsidR="00C33F9E" w:rsidRDefault="00C33F9E" w:rsidP="00D37BEA">
      <w:pPr>
        <w:pStyle w:val="BodyText"/>
        <w:pBdr>
          <w:top w:val="single" w:sz="12" w:space="1" w:color="auto"/>
          <w:left w:val="single" w:sz="12" w:space="4" w:color="auto"/>
          <w:bottom w:val="single" w:sz="12" w:space="1" w:color="auto"/>
          <w:right w:val="single" w:sz="12" w:space="4" w:color="auto"/>
        </w:pBdr>
        <w:shd w:val="clear" w:color="auto" w:fill="EDD9EC" w:themeFill="accent3" w:themeFillTint="33"/>
        <w:spacing w:after="0"/>
        <w:rPr>
          <w:lang w:eastAsia="en-AU"/>
        </w:rPr>
      </w:pPr>
      <w:r>
        <w:rPr>
          <w:lang w:eastAsia="en-AU"/>
        </w:rPr>
        <w:t xml:space="preserve">Submissions can be sent to </w:t>
      </w:r>
      <w:hyperlink r:id="rId8" w:history="1">
        <w:r w:rsidR="008B4C55" w:rsidRPr="00F66202">
          <w:rPr>
            <w:rStyle w:val="Hyperlink"/>
            <w:b/>
            <w:lang w:eastAsia="en-AU"/>
          </w:rPr>
          <w:t>WAGovIPPolicy@jtsi.wa.gov.au</w:t>
        </w:r>
      </w:hyperlink>
      <w:r w:rsidR="00D37BEA" w:rsidRPr="00F66202">
        <w:rPr>
          <w:lang w:eastAsia="en-AU"/>
        </w:rPr>
        <w:t>.</w:t>
      </w:r>
    </w:p>
    <w:p w14:paraId="668AA4E5" w14:textId="77777777" w:rsidR="00F61FFF" w:rsidRPr="00D37BEA" w:rsidRDefault="00F61FFF" w:rsidP="00F61FFF">
      <w:pPr>
        <w:pStyle w:val="BodyText"/>
        <w:pBdr>
          <w:top w:val="single" w:sz="12" w:space="1" w:color="auto"/>
          <w:left w:val="single" w:sz="12" w:space="4" w:color="auto"/>
          <w:bottom w:val="single" w:sz="12" w:space="1" w:color="auto"/>
          <w:right w:val="single" w:sz="12" w:space="4" w:color="auto"/>
        </w:pBdr>
        <w:shd w:val="clear" w:color="auto" w:fill="EDD9EC" w:themeFill="accent3" w:themeFillTint="33"/>
        <w:spacing w:after="0" w:line="240" w:lineRule="auto"/>
        <w:rPr>
          <w:b/>
          <w:color w:val="041049" w:themeColor="hyperlink"/>
          <w:u w:val="single"/>
          <w:lang w:eastAsia="en-AU"/>
        </w:rPr>
      </w:pPr>
    </w:p>
    <w:p w14:paraId="00161C02" w14:textId="313E2F3A" w:rsidR="00C33F9E" w:rsidRDefault="00C33F9E" w:rsidP="00AD0043">
      <w:pPr>
        <w:jc w:val="both"/>
        <w:rPr>
          <w:b/>
        </w:rPr>
      </w:pPr>
    </w:p>
    <w:p w14:paraId="39A68F99" w14:textId="77777777" w:rsidR="00D37BEA" w:rsidRDefault="00D37BEA" w:rsidP="00AD0043">
      <w:pPr>
        <w:jc w:val="both"/>
        <w:rPr>
          <w:b/>
        </w:rPr>
        <w:sectPr w:rsidR="00D37BEA" w:rsidSect="006F5622">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567" w:left="1134" w:header="567" w:footer="567" w:gutter="0"/>
          <w:cols w:space="708"/>
          <w:titlePg/>
          <w:docGrid w:linePitch="360"/>
        </w:sectPr>
      </w:pPr>
    </w:p>
    <w:p w14:paraId="0A76F4AF" w14:textId="1E4C8E10" w:rsidR="00BA1037" w:rsidRDefault="6B8D909C" w:rsidP="00984FA1">
      <w:pPr>
        <w:pStyle w:val="Heading1"/>
        <w:spacing w:before="120"/>
        <w:ind w:left="567" w:hanging="567"/>
        <w:jc w:val="both"/>
      </w:pPr>
      <w:bookmarkStart w:id="17" w:name="_Toc98835339"/>
      <w:bookmarkStart w:id="18" w:name="_Toc98835453"/>
      <w:bookmarkStart w:id="19" w:name="_Toc101971624"/>
      <w:bookmarkStart w:id="20" w:name="_Toc104976278"/>
      <w:bookmarkStart w:id="21" w:name="_Toc114829891"/>
      <w:bookmarkEnd w:id="17"/>
      <w:bookmarkEnd w:id="18"/>
      <w:r>
        <w:lastRenderedPageBreak/>
        <w:t>Introduction</w:t>
      </w:r>
      <w:bookmarkEnd w:id="19"/>
      <w:bookmarkEnd w:id="20"/>
      <w:bookmarkEnd w:id="4"/>
      <w:bookmarkEnd w:id="3"/>
      <w:bookmarkEnd w:id="2"/>
      <w:r w:rsidR="348BF8CE">
        <w:t xml:space="preserve"> to WA Government </w:t>
      </w:r>
      <w:r w:rsidR="06920B50">
        <w:t>IP</w:t>
      </w:r>
      <w:bookmarkEnd w:id="21"/>
    </w:p>
    <w:p w14:paraId="1B0C9472" w14:textId="565203F4" w:rsidR="00924426" w:rsidRPr="00944359" w:rsidRDefault="00425A71" w:rsidP="00944359">
      <w:pPr>
        <w:pStyle w:val="BodyText"/>
        <w:rPr>
          <w:lang w:val="en-GB"/>
        </w:rPr>
      </w:pPr>
      <w:r w:rsidRPr="00A04364">
        <w:t xml:space="preserve">Intellectual property (IP) developed </w:t>
      </w:r>
      <w:r w:rsidR="00924426">
        <w:t>or owned by Western Australian</w:t>
      </w:r>
      <w:r w:rsidRPr="00A04364">
        <w:t xml:space="preserve"> Government agencies is a valuable asset with potential economic, social and environmental benefits for the community.</w:t>
      </w:r>
      <w:r>
        <w:t xml:space="preserve"> </w:t>
      </w:r>
      <w:r w:rsidR="00924426">
        <w:t>WA</w:t>
      </w:r>
      <w:r w:rsidR="00D3120E">
        <w:t xml:space="preserve"> Government IP</w:t>
      </w:r>
      <w:r>
        <w:t xml:space="preserve"> can include copyright protected publications, </w:t>
      </w:r>
      <w:r w:rsidR="00ED11BC">
        <w:t>advertising material, artwork and photographs,</w:t>
      </w:r>
      <w:r>
        <w:t xml:space="preserve"> training </w:t>
      </w:r>
      <w:r w:rsidR="00ED11BC">
        <w:t>materials</w:t>
      </w:r>
      <w:r>
        <w:t xml:space="preserve">, </w:t>
      </w:r>
      <w:r w:rsidR="00ED11BC">
        <w:t xml:space="preserve">software, </w:t>
      </w:r>
      <w:r>
        <w:t xml:space="preserve">computer programs and databases, inventions, plant </w:t>
      </w:r>
      <w:r w:rsidR="00E11144">
        <w:t>breeders’</w:t>
      </w:r>
      <w:r>
        <w:t xml:space="preserve"> rights, trademarks and designs. </w:t>
      </w:r>
    </w:p>
    <w:p w14:paraId="10959DB7" w14:textId="77777777" w:rsidR="00BA1037" w:rsidRPr="00BA1037" w:rsidRDefault="00BA1037" w:rsidP="00944359">
      <w:pPr>
        <w:pStyle w:val="Heading2"/>
      </w:pPr>
      <w:bookmarkStart w:id="22" w:name="_Toc97301099"/>
      <w:bookmarkStart w:id="23" w:name="_Toc97801748"/>
      <w:bookmarkStart w:id="24" w:name="_Toc97903438"/>
      <w:bookmarkStart w:id="25" w:name="_Toc101971625"/>
      <w:bookmarkStart w:id="26" w:name="_Toc104976279"/>
      <w:bookmarkStart w:id="27" w:name="_Toc114829892"/>
      <w:r w:rsidRPr="00BA1037">
        <w:t>Western Australian Intellectual Property Framework</w:t>
      </w:r>
      <w:bookmarkEnd w:id="22"/>
      <w:bookmarkEnd w:id="23"/>
      <w:bookmarkEnd w:id="24"/>
      <w:bookmarkEnd w:id="25"/>
      <w:bookmarkEnd w:id="26"/>
      <w:bookmarkEnd w:id="27"/>
    </w:p>
    <w:p w14:paraId="073319AF" w14:textId="3F8EFBE4" w:rsidR="0046571B" w:rsidRPr="00A04364" w:rsidRDefault="0046571B" w:rsidP="00AD0043">
      <w:pPr>
        <w:pStyle w:val="BodyText"/>
      </w:pPr>
      <w:r w:rsidRPr="00A04364">
        <w:t>WA Government owned IP is managed through a loose framework of provisions across different pieces of legislation. For example:</w:t>
      </w:r>
    </w:p>
    <w:p w14:paraId="4E6CF397" w14:textId="71AA2BF6" w:rsidR="0046571B" w:rsidRPr="00A04364" w:rsidRDefault="0046571B" w:rsidP="00AD0043">
      <w:pPr>
        <w:pStyle w:val="Bullet"/>
        <w:rPr>
          <w:color w:val="auto"/>
        </w:rPr>
      </w:pPr>
      <w:r w:rsidRPr="1D2F3123">
        <w:rPr>
          <w:color w:val="auto"/>
        </w:rPr>
        <w:t xml:space="preserve">the </w:t>
      </w:r>
      <w:r w:rsidRPr="1D2F3123">
        <w:rPr>
          <w:i/>
          <w:iCs/>
          <w:color w:val="auto"/>
        </w:rPr>
        <w:t>Industry and Technology Development Act 1998</w:t>
      </w:r>
      <w:r w:rsidRPr="1D2F3123">
        <w:rPr>
          <w:color w:val="auto"/>
        </w:rPr>
        <w:t xml:space="preserve"> (WA) (the ITD</w:t>
      </w:r>
      <w:r w:rsidR="00CB5954" w:rsidRPr="1D2F3123">
        <w:rPr>
          <w:color w:val="auto"/>
        </w:rPr>
        <w:t xml:space="preserve"> </w:t>
      </w:r>
      <w:r w:rsidRPr="1D2F3123">
        <w:rPr>
          <w:color w:val="auto"/>
        </w:rPr>
        <w:t>A</w:t>
      </w:r>
      <w:r w:rsidR="00CB5954" w:rsidRPr="1D2F3123">
        <w:rPr>
          <w:color w:val="auto"/>
        </w:rPr>
        <w:t>ct</w:t>
      </w:r>
      <w:r w:rsidRPr="1D2F3123">
        <w:rPr>
          <w:color w:val="auto"/>
        </w:rPr>
        <w:t>) encourages and facilitates the commercialisation of State Government IP;</w:t>
      </w:r>
    </w:p>
    <w:p w14:paraId="44C9B75B" w14:textId="582658E6" w:rsidR="0046571B" w:rsidRPr="00A04364" w:rsidRDefault="0046571B" w:rsidP="00AD0043">
      <w:pPr>
        <w:pStyle w:val="Bullet"/>
        <w:rPr>
          <w:color w:val="auto"/>
        </w:rPr>
      </w:pPr>
      <w:r w:rsidRPr="1D2F3123">
        <w:rPr>
          <w:color w:val="auto"/>
        </w:rPr>
        <w:t xml:space="preserve">the </w:t>
      </w:r>
      <w:r w:rsidRPr="1D2F3123">
        <w:rPr>
          <w:i/>
          <w:iCs/>
          <w:color w:val="auto"/>
        </w:rPr>
        <w:t>State Trading Concerns Act 1916</w:t>
      </w:r>
      <w:r w:rsidRPr="1D2F3123">
        <w:rPr>
          <w:color w:val="auto"/>
        </w:rPr>
        <w:t xml:space="preserve"> (WA) and supporting regulations prescribe the IP related activities specific </w:t>
      </w:r>
      <w:r w:rsidR="00924426">
        <w:rPr>
          <w:color w:val="auto"/>
        </w:rPr>
        <w:t>WA</w:t>
      </w:r>
      <w:r w:rsidR="00924426" w:rsidRPr="1D2F3123">
        <w:rPr>
          <w:color w:val="auto"/>
        </w:rPr>
        <w:t xml:space="preserve"> </w:t>
      </w:r>
      <w:r w:rsidRPr="1D2F3123">
        <w:rPr>
          <w:color w:val="auto"/>
        </w:rPr>
        <w:t>Government agencies may undertake; and</w:t>
      </w:r>
    </w:p>
    <w:p w14:paraId="48BC9C9E" w14:textId="4FF70223" w:rsidR="00BA1037" w:rsidRPr="00A04364" w:rsidRDefault="0046571B" w:rsidP="00AD0043">
      <w:pPr>
        <w:pStyle w:val="Bullet"/>
        <w:rPr>
          <w:color w:val="auto"/>
        </w:rPr>
      </w:pPr>
      <w:r w:rsidRPr="1D2F3123">
        <w:rPr>
          <w:color w:val="auto"/>
        </w:rPr>
        <w:t xml:space="preserve">the enabling legislation </w:t>
      </w:r>
      <w:r w:rsidR="00A04364" w:rsidRPr="1D2F3123">
        <w:rPr>
          <w:color w:val="auto"/>
        </w:rPr>
        <w:t>of</w:t>
      </w:r>
      <w:r w:rsidRPr="1D2F3123">
        <w:rPr>
          <w:color w:val="auto"/>
        </w:rPr>
        <w:t xml:space="preserve"> </w:t>
      </w:r>
      <w:r w:rsidR="00A04364" w:rsidRPr="1D2F3123">
        <w:rPr>
          <w:color w:val="auto"/>
        </w:rPr>
        <w:t>certain</w:t>
      </w:r>
      <w:r w:rsidRPr="1D2F3123">
        <w:rPr>
          <w:color w:val="auto"/>
        </w:rPr>
        <w:t xml:space="preserve"> </w:t>
      </w:r>
      <w:r w:rsidR="00924426">
        <w:rPr>
          <w:color w:val="auto"/>
        </w:rPr>
        <w:t>WA</w:t>
      </w:r>
      <w:r w:rsidR="00924426" w:rsidRPr="1D2F3123">
        <w:rPr>
          <w:color w:val="auto"/>
        </w:rPr>
        <w:t xml:space="preserve"> </w:t>
      </w:r>
      <w:r w:rsidRPr="1D2F3123">
        <w:rPr>
          <w:color w:val="auto"/>
        </w:rPr>
        <w:t>Government agencies deal with the development and commercialisation of IP.</w:t>
      </w:r>
    </w:p>
    <w:bookmarkEnd w:id="5"/>
    <w:p w14:paraId="4D0C79BE" w14:textId="5241463C" w:rsidR="000441F3" w:rsidRPr="00A84FDD" w:rsidRDefault="00BA1037" w:rsidP="00944359">
      <w:pPr>
        <w:pStyle w:val="Heading3"/>
      </w:pPr>
      <w:r w:rsidRPr="00A84FDD">
        <w:t>WA Government Intellectual Property Policy</w:t>
      </w:r>
    </w:p>
    <w:p w14:paraId="7172BC9C" w14:textId="75E4574E" w:rsidR="000441F3" w:rsidRDefault="000441F3" w:rsidP="00AD0043">
      <w:pPr>
        <w:pStyle w:val="BodyText"/>
      </w:pPr>
      <w:r>
        <w:t xml:space="preserve">Broadly, the purpose of </w:t>
      </w:r>
      <w:r w:rsidR="00612899">
        <w:t xml:space="preserve">the </w:t>
      </w:r>
      <w:r w:rsidR="009A07F4">
        <w:t>WA Government IP Policy</w:t>
      </w:r>
      <w:r>
        <w:t xml:space="preserve"> is to guide WA Government agencies in the development, </w:t>
      </w:r>
      <w:r w:rsidR="00324E04">
        <w:t xml:space="preserve">protection, </w:t>
      </w:r>
      <w:r>
        <w:t>management and use of IP and IP rights.</w:t>
      </w:r>
    </w:p>
    <w:p w14:paraId="59BA95F2" w14:textId="0F07C849" w:rsidR="000441F3" w:rsidRDefault="000441F3" w:rsidP="00AD0043">
      <w:pPr>
        <w:pStyle w:val="BodyText"/>
      </w:pPr>
      <w:r w:rsidRPr="003B5EB5">
        <w:t xml:space="preserve">The </w:t>
      </w:r>
      <w:r w:rsidR="009A07F4">
        <w:t>WA Government IP Policy</w:t>
      </w:r>
      <w:r w:rsidRPr="003B5EB5">
        <w:t xml:space="preserve"> applies to the public sector as defined under the </w:t>
      </w:r>
      <w:r w:rsidRPr="003B5EB5">
        <w:rPr>
          <w:i/>
        </w:rPr>
        <w:t>Public Sector Management Act 1994</w:t>
      </w:r>
      <w:r w:rsidRPr="003B5EB5">
        <w:t xml:space="preserve"> (WA) (the PSM Act), except for those entities listed under </w:t>
      </w:r>
      <w:r w:rsidR="0013327C">
        <w:br/>
      </w:r>
      <w:r w:rsidRPr="003B5EB5">
        <w:t xml:space="preserve">Schedule 1 of the PSM Act. </w:t>
      </w:r>
      <w:r w:rsidR="00324E04">
        <w:t xml:space="preserve">Entities such as </w:t>
      </w:r>
      <w:r w:rsidR="00E423BE">
        <w:t xml:space="preserve">the </w:t>
      </w:r>
      <w:r>
        <w:t xml:space="preserve">Water Corporation are excluded from the current </w:t>
      </w:r>
      <w:r w:rsidR="009A07F4">
        <w:t>WA Government IP Policy</w:t>
      </w:r>
      <w:r>
        <w:t xml:space="preserve"> but may have express statutory functions for the use and development of IP. </w:t>
      </w:r>
    </w:p>
    <w:p w14:paraId="6E48E234" w14:textId="77777777" w:rsidR="00BA1037" w:rsidRPr="005A5B1D" w:rsidRDefault="00BA1037" w:rsidP="00944359">
      <w:pPr>
        <w:pStyle w:val="Heading3"/>
      </w:pPr>
      <w:r w:rsidRPr="005A5B1D">
        <w:t>Incentives and rewards for innovative employees</w:t>
      </w:r>
    </w:p>
    <w:p w14:paraId="0A16C3DC" w14:textId="3A6B8B0A" w:rsidR="009618E0" w:rsidRPr="0047127C" w:rsidRDefault="009618E0" w:rsidP="00AD0043">
      <w:pPr>
        <w:pStyle w:val="BodyText"/>
      </w:pPr>
      <w:bookmarkStart w:id="28" w:name="_Toc97301100"/>
      <w:bookmarkStart w:id="29" w:name="_Toc97801749"/>
      <w:r w:rsidRPr="0047127C">
        <w:t xml:space="preserve">Currently, financial rewards for innovative public sector employees are provided for under a separate policy, the </w:t>
      </w:r>
      <w:r w:rsidRPr="000B7D3F">
        <w:t>2003</w:t>
      </w:r>
      <w:r w:rsidRPr="000B7D3F">
        <w:rPr>
          <w:i/>
          <w:iCs/>
        </w:rPr>
        <w:t xml:space="preserve"> Encouraging Innovation by Government Employees: procedures for the payment of monetary rewards to innovative Government employees</w:t>
      </w:r>
      <w:r w:rsidRPr="0047127C">
        <w:t xml:space="preserve"> (the </w:t>
      </w:r>
      <w:r w:rsidR="00FE3E61">
        <w:t xml:space="preserve">2003 </w:t>
      </w:r>
      <w:r w:rsidRPr="0047127C">
        <w:t xml:space="preserve">Rewards Policy). </w:t>
      </w:r>
    </w:p>
    <w:p w14:paraId="0E83E824" w14:textId="38D45B8B" w:rsidR="003B4193" w:rsidRPr="0047127C" w:rsidRDefault="00E452FF" w:rsidP="00AD0043">
      <w:pPr>
        <w:pStyle w:val="BodyText"/>
      </w:pPr>
      <w:r w:rsidRPr="0047127C">
        <w:t xml:space="preserve">The </w:t>
      </w:r>
      <w:r w:rsidR="00FE3E61">
        <w:t xml:space="preserve">2003 </w:t>
      </w:r>
      <w:r w:rsidRPr="0047127C">
        <w:t xml:space="preserve">Rewards Policy </w:t>
      </w:r>
      <w:r w:rsidR="00E726D5" w:rsidRPr="0047127C">
        <w:t>supports</w:t>
      </w:r>
      <w:r w:rsidRPr="0047127C">
        <w:t xml:space="preserve"> the payment of </w:t>
      </w:r>
      <w:r w:rsidR="00827E86" w:rsidRPr="0047127C">
        <w:t>monetary</w:t>
      </w:r>
      <w:r w:rsidRPr="0047127C">
        <w:t xml:space="preserve"> rewards to</w:t>
      </w:r>
      <w:r w:rsidR="00316568" w:rsidRPr="0047127C">
        <w:t xml:space="preserve"> innovative</w:t>
      </w:r>
      <w:r w:rsidR="00C7091A">
        <w:br w:type="textWrapping" w:clear="all"/>
      </w:r>
      <w:r w:rsidR="00924426">
        <w:t xml:space="preserve">WA </w:t>
      </w:r>
      <w:r w:rsidR="00F17734" w:rsidRPr="0047127C">
        <w:t xml:space="preserve">Government employees who make </w:t>
      </w:r>
      <w:r w:rsidR="006E5465" w:rsidRPr="0047127C">
        <w:t xml:space="preserve">significant direct contributions </w:t>
      </w:r>
      <w:r w:rsidR="00FA4585" w:rsidRPr="0047127C">
        <w:t xml:space="preserve">to the creation or further development of IP. </w:t>
      </w:r>
      <w:r w:rsidR="00D95508" w:rsidRPr="0047127C">
        <w:t>Financial rewards may only be awarded once an agency has received revenue from the commercialisation of the IP and may take the form of a fixed lump sum payment or a percentage of revenue or royalties.</w:t>
      </w:r>
      <w:r w:rsidR="00515B0C" w:rsidRPr="0047127C">
        <w:t xml:space="preserve"> </w:t>
      </w:r>
      <w:r w:rsidR="0047127C" w:rsidRPr="0047127C">
        <w:t xml:space="preserve">All rewards are paid via Act of Grace </w:t>
      </w:r>
      <w:r w:rsidR="0047127C" w:rsidRPr="0047127C">
        <w:lastRenderedPageBreak/>
        <w:t>payment</w:t>
      </w:r>
      <w:r w:rsidR="00900241">
        <w:t xml:space="preserve"> provisions</w:t>
      </w:r>
      <w:r w:rsidR="0047127C" w:rsidRPr="0047127C">
        <w:t xml:space="preserve"> under the </w:t>
      </w:r>
      <w:r w:rsidR="0047127C" w:rsidRPr="0047127C">
        <w:rPr>
          <w:i/>
          <w:iCs/>
        </w:rPr>
        <w:t xml:space="preserve">Financial Management Act 2006 </w:t>
      </w:r>
      <w:r w:rsidR="0047127C" w:rsidRPr="0047127C">
        <w:t xml:space="preserve">(the FM Act) and require </w:t>
      </w:r>
      <w:r w:rsidR="00F16289">
        <w:t xml:space="preserve">the </w:t>
      </w:r>
      <w:r w:rsidR="0047127C" w:rsidRPr="0047127C">
        <w:t xml:space="preserve">approval of the Treasurer. </w:t>
      </w:r>
    </w:p>
    <w:p w14:paraId="2B623C6C" w14:textId="5C53CCBD" w:rsidR="00F25742" w:rsidRPr="00C7091A" w:rsidRDefault="00915C7F" w:rsidP="00AD0043">
      <w:pPr>
        <w:pStyle w:val="BodyText"/>
      </w:pPr>
      <w:r w:rsidRPr="00C7091A">
        <w:t xml:space="preserve">The </w:t>
      </w:r>
      <w:r w:rsidR="00FE3E61" w:rsidRPr="00C7091A">
        <w:t xml:space="preserve">2003 </w:t>
      </w:r>
      <w:r w:rsidRPr="00C7091A">
        <w:t xml:space="preserve">Rewards Policy also </w:t>
      </w:r>
      <w:r w:rsidR="0097193A" w:rsidRPr="00C7091A">
        <w:t>allows</w:t>
      </w:r>
      <w:r w:rsidRPr="00C7091A">
        <w:t xml:space="preserve"> a</w:t>
      </w:r>
      <w:r w:rsidR="009618E0" w:rsidRPr="00C7091A">
        <w:t>gencies</w:t>
      </w:r>
      <w:r w:rsidRPr="00C7091A">
        <w:t xml:space="preserve"> to</w:t>
      </w:r>
      <w:r w:rsidR="009618E0" w:rsidRPr="00C7091A">
        <w:t xml:space="preserve"> </w:t>
      </w:r>
      <w:r w:rsidR="0097193A" w:rsidRPr="00C7091A">
        <w:t xml:space="preserve">implement </w:t>
      </w:r>
      <w:r w:rsidR="009618E0" w:rsidRPr="00C7091A">
        <w:t>non-monetary reward</w:t>
      </w:r>
      <w:r w:rsidR="0097193A" w:rsidRPr="00C7091A">
        <w:t xml:space="preserve"> systems</w:t>
      </w:r>
      <w:r w:rsidR="009618E0" w:rsidRPr="00C7091A">
        <w:t xml:space="preserve"> to encourage innovation by public sector employees. For example</w:t>
      </w:r>
      <w:r w:rsidR="00A04364" w:rsidRPr="00C7091A">
        <w:t>,</w:t>
      </w:r>
      <w:r w:rsidR="009618E0" w:rsidRPr="00C7091A">
        <w:t xml:space="preserve"> public acknowledgement, recognition and promotion.  </w:t>
      </w:r>
    </w:p>
    <w:p w14:paraId="04A8F4D2" w14:textId="4C39E0C8" w:rsidR="00BA1037" w:rsidRPr="00BA1037" w:rsidRDefault="6B8D909C" w:rsidP="00984FA1">
      <w:pPr>
        <w:pStyle w:val="Heading1"/>
        <w:spacing w:before="120"/>
        <w:ind w:left="357" w:hanging="357"/>
        <w:jc w:val="both"/>
      </w:pPr>
      <w:bookmarkStart w:id="30" w:name="_Toc105595914"/>
      <w:bookmarkStart w:id="31" w:name="_Toc105595915"/>
      <w:bookmarkStart w:id="32" w:name="_Toc106960845"/>
      <w:bookmarkStart w:id="33" w:name="_Toc106961395"/>
      <w:bookmarkStart w:id="34" w:name="_Toc106967985"/>
      <w:bookmarkStart w:id="35" w:name="_Toc106971800"/>
      <w:bookmarkStart w:id="36" w:name="_Toc105595916"/>
      <w:bookmarkStart w:id="37" w:name="_Toc106960846"/>
      <w:bookmarkStart w:id="38" w:name="_Toc106961396"/>
      <w:bookmarkStart w:id="39" w:name="_Toc106967986"/>
      <w:bookmarkStart w:id="40" w:name="_Toc106971801"/>
      <w:bookmarkStart w:id="41" w:name="_Toc105595917"/>
      <w:bookmarkStart w:id="42" w:name="_Toc106960847"/>
      <w:bookmarkStart w:id="43" w:name="_Toc106961397"/>
      <w:bookmarkStart w:id="44" w:name="_Toc106967987"/>
      <w:bookmarkStart w:id="45" w:name="_Toc106971802"/>
      <w:bookmarkStart w:id="46" w:name="_Toc105595918"/>
      <w:bookmarkStart w:id="47" w:name="_Toc106960848"/>
      <w:bookmarkStart w:id="48" w:name="_Toc106961398"/>
      <w:bookmarkStart w:id="49" w:name="_Toc106967988"/>
      <w:bookmarkStart w:id="50" w:name="_Toc106971803"/>
      <w:bookmarkStart w:id="51" w:name="_Toc105595919"/>
      <w:bookmarkStart w:id="52" w:name="_Toc106960849"/>
      <w:bookmarkStart w:id="53" w:name="_Toc106961399"/>
      <w:bookmarkStart w:id="54" w:name="_Toc106967989"/>
      <w:bookmarkStart w:id="55" w:name="_Toc106971804"/>
      <w:bookmarkStart w:id="56" w:name="_Toc105595921"/>
      <w:bookmarkStart w:id="57" w:name="_Toc106961400"/>
      <w:bookmarkStart w:id="58" w:name="_Toc106967990"/>
      <w:bookmarkStart w:id="59" w:name="_Toc106971805"/>
      <w:bookmarkStart w:id="60" w:name="_Toc105595922"/>
      <w:bookmarkStart w:id="61" w:name="_Toc106960852"/>
      <w:bookmarkStart w:id="62" w:name="_Toc106961401"/>
      <w:bookmarkStart w:id="63" w:name="_Toc106967991"/>
      <w:bookmarkStart w:id="64" w:name="_Toc106971806"/>
      <w:bookmarkStart w:id="65" w:name="_Toc105595923"/>
      <w:bookmarkStart w:id="66" w:name="_Toc106960853"/>
      <w:bookmarkStart w:id="67" w:name="_Toc106961402"/>
      <w:bookmarkStart w:id="68" w:name="_Toc106967992"/>
      <w:bookmarkStart w:id="69" w:name="_Toc106971807"/>
      <w:bookmarkStart w:id="70" w:name="_Toc105595924"/>
      <w:bookmarkStart w:id="71" w:name="_Toc106960854"/>
      <w:bookmarkStart w:id="72" w:name="_Toc106961403"/>
      <w:bookmarkStart w:id="73" w:name="_Toc106967993"/>
      <w:bookmarkStart w:id="74" w:name="_Toc106971808"/>
      <w:bookmarkStart w:id="75" w:name="_Toc105595925"/>
      <w:bookmarkStart w:id="76" w:name="_Toc106960855"/>
      <w:bookmarkStart w:id="77" w:name="_Toc106961404"/>
      <w:bookmarkStart w:id="78" w:name="_Toc106967994"/>
      <w:bookmarkStart w:id="79" w:name="_Toc106971809"/>
      <w:bookmarkStart w:id="80" w:name="_Toc105595926"/>
      <w:bookmarkStart w:id="81" w:name="_Toc106960856"/>
      <w:bookmarkStart w:id="82" w:name="_Toc106961405"/>
      <w:bookmarkStart w:id="83" w:name="_Toc106967995"/>
      <w:bookmarkStart w:id="84" w:name="_Toc106971810"/>
      <w:bookmarkStart w:id="85" w:name="_Toc105595927"/>
      <w:bookmarkStart w:id="86" w:name="_Toc106960857"/>
      <w:bookmarkStart w:id="87" w:name="_Toc106961406"/>
      <w:bookmarkStart w:id="88" w:name="_Toc106967996"/>
      <w:bookmarkStart w:id="89" w:name="_Toc106971811"/>
      <w:bookmarkStart w:id="90" w:name="_Toc105595928"/>
      <w:bookmarkStart w:id="91" w:name="_Toc106960858"/>
      <w:bookmarkStart w:id="92" w:name="_Toc106961407"/>
      <w:bookmarkStart w:id="93" w:name="_Toc106967997"/>
      <w:bookmarkStart w:id="94" w:name="_Toc106971812"/>
      <w:bookmarkStart w:id="95" w:name="_Toc105595929"/>
      <w:bookmarkStart w:id="96" w:name="_Toc106960859"/>
      <w:bookmarkStart w:id="97" w:name="_Toc106961408"/>
      <w:bookmarkStart w:id="98" w:name="_Toc106967998"/>
      <w:bookmarkStart w:id="99" w:name="_Toc106971813"/>
      <w:bookmarkStart w:id="100" w:name="_Toc97301101"/>
      <w:bookmarkStart w:id="101" w:name="_Toc97801750"/>
      <w:bookmarkStart w:id="102" w:name="_Toc97903440"/>
      <w:bookmarkStart w:id="103" w:name="_Toc101971627"/>
      <w:bookmarkStart w:id="104" w:name="_Toc104976281"/>
      <w:bookmarkStart w:id="105" w:name="_Toc11482989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Key issues under review</w:t>
      </w:r>
      <w:bookmarkEnd w:id="100"/>
      <w:bookmarkEnd w:id="101"/>
      <w:bookmarkEnd w:id="102"/>
      <w:bookmarkEnd w:id="103"/>
      <w:bookmarkEnd w:id="104"/>
      <w:bookmarkEnd w:id="105"/>
    </w:p>
    <w:p w14:paraId="03E7FEAF" w14:textId="4488C6B5" w:rsidR="003E69F9" w:rsidRDefault="0249C1DB" w:rsidP="00AD0043">
      <w:pPr>
        <w:pStyle w:val="Heading2"/>
        <w:jc w:val="both"/>
      </w:pPr>
      <w:bookmarkStart w:id="106" w:name="_Toc101968361"/>
      <w:bookmarkStart w:id="107" w:name="_Toc101971628"/>
      <w:bookmarkStart w:id="108" w:name="_Toc102058415"/>
      <w:bookmarkStart w:id="109" w:name="_Toc101968362"/>
      <w:bookmarkStart w:id="110" w:name="_Toc101971629"/>
      <w:bookmarkStart w:id="111" w:name="_Toc102058416"/>
      <w:bookmarkStart w:id="112" w:name="_Toc102657765"/>
      <w:bookmarkStart w:id="113" w:name="_Toc101968363"/>
      <w:bookmarkStart w:id="114" w:name="_Toc101971630"/>
      <w:bookmarkStart w:id="115" w:name="_Toc102058417"/>
      <w:bookmarkStart w:id="116" w:name="_Toc102657766"/>
      <w:bookmarkStart w:id="117" w:name="_Toc101968364"/>
      <w:bookmarkStart w:id="118" w:name="_Toc101971631"/>
      <w:bookmarkStart w:id="119" w:name="_Toc102058418"/>
      <w:bookmarkStart w:id="120" w:name="_Toc102657767"/>
      <w:bookmarkStart w:id="121" w:name="_Toc101968365"/>
      <w:bookmarkStart w:id="122" w:name="_Toc101971632"/>
      <w:bookmarkStart w:id="123" w:name="_Toc102058419"/>
      <w:bookmarkStart w:id="124" w:name="_Toc102657768"/>
      <w:bookmarkStart w:id="125" w:name="_Toc101968366"/>
      <w:bookmarkStart w:id="126" w:name="_Toc101971633"/>
      <w:bookmarkStart w:id="127" w:name="_Toc102058420"/>
      <w:bookmarkStart w:id="128" w:name="_Toc102657769"/>
      <w:bookmarkStart w:id="129" w:name="_Toc101968367"/>
      <w:bookmarkStart w:id="130" w:name="_Toc101971634"/>
      <w:bookmarkStart w:id="131" w:name="_Toc102058421"/>
      <w:bookmarkStart w:id="132" w:name="_Toc102657770"/>
      <w:bookmarkStart w:id="133" w:name="_Toc101968368"/>
      <w:bookmarkStart w:id="134" w:name="_Toc101971635"/>
      <w:bookmarkStart w:id="135" w:name="_Toc102058422"/>
      <w:bookmarkStart w:id="136" w:name="_Toc102657771"/>
      <w:bookmarkStart w:id="137" w:name="_Toc101968369"/>
      <w:bookmarkStart w:id="138" w:name="_Toc101971636"/>
      <w:bookmarkStart w:id="139" w:name="_Toc102058423"/>
      <w:bookmarkStart w:id="140" w:name="_Toc102657772"/>
      <w:bookmarkStart w:id="141" w:name="_Toc102058424"/>
      <w:bookmarkStart w:id="142" w:name="_Toc102657773"/>
      <w:bookmarkStart w:id="143" w:name="_Toc97301103"/>
      <w:bookmarkStart w:id="144" w:name="_Toc97801752"/>
      <w:bookmarkStart w:id="145" w:name="_Toc97903442"/>
      <w:bookmarkStart w:id="146" w:name="_Toc101971638"/>
      <w:bookmarkStart w:id="147" w:name="_Toc104976282"/>
      <w:bookmarkStart w:id="148" w:name="_Toc11482989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Opportunities</w:t>
      </w:r>
      <w:bookmarkEnd w:id="143"/>
      <w:bookmarkEnd w:id="144"/>
      <w:bookmarkEnd w:id="145"/>
      <w:bookmarkEnd w:id="146"/>
      <w:bookmarkEnd w:id="147"/>
      <w:bookmarkEnd w:id="148"/>
    </w:p>
    <w:p w14:paraId="76223C6A" w14:textId="0DD67EC5" w:rsidR="003E69F9" w:rsidRPr="00A04364" w:rsidRDefault="003E69F9" w:rsidP="00D37BEA">
      <w:pPr>
        <w:pStyle w:val="Bullet"/>
        <w:spacing w:after="160"/>
        <w:ind w:left="397" w:hanging="397"/>
      </w:pPr>
      <w:r>
        <w:t xml:space="preserve">Through </w:t>
      </w:r>
      <w:r w:rsidR="00D3120E">
        <w:t xml:space="preserve">the </w:t>
      </w:r>
      <w:r>
        <w:t xml:space="preserve">development of an updated </w:t>
      </w:r>
      <w:r w:rsidR="009A07F4">
        <w:t>WA Government IP Policy</w:t>
      </w:r>
      <w:r w:rsidR="00D3120E">
        <w:t>,</w:t>
      </w:r>
      <w:r>
        <w:t xml:space="preserve"> and supporting resources for public sector agencies</w:t>
      </w:r>
      <w:r w:rsidR="00D3120E">
        <w:t>,</w:t>
      </w:r>
      <w:r>
        <w:t xml:space="preserve"> the State seeks to facilitate beneficial outcomes through </w:t>
      </w:r>
      <w:r w:rsidR="00D3120E">
        <w:t xml:space="preserve">agency led </w:t>
      </w:r>
      <w:r>
        <w:t>innovation and commercialisation</w:t>
      </w:r>
      <w:r w:rsidR="001A3560">
        <w:t xml:space="preserve"> where appropriate and financially viable</w:t>
      </w:r>
      <w:r>
        <w:t xml:space="preserve">. The intent of the review is to develop a contemporary IP Policy Framework that aligns with best practice, facilitates positive outcomes and prevents ‘opportunity loss’, </w:t>
      </w:r>
      <w:r w:rsidR="00CA2A79">
        <w:t>by</w:t>
      </w:r>
      <w:r>
        <w:t xml:space="preserve"> providing:</w:t>
      </w:r>
    </w:p>
    <w:p w14:paraId="3A01A369" w14:textId="5BEE686F" w:rsidR="00D3120E" w:rsidRDefault="00D3120E" w:rsidP="00D37BEA">
      <w:pPr>
        <w:pStyle w:val="Bullet"/>
        <w:numPr>
          <w:ilvl w:val="1"/>
          <w:numId w:val="5"/>
        </w:numPr>
        <w:spacing w:after="160"/>
        <w:ind w:left="794" w:hanging="397"/>
        <w:rPr>
          <w:rFonts w:asciiTheme="minorHAnsi" w:eastAsiaTheme="minorEastAsia" w:hAnsiTheme="minorHAnsi" w:cstheme="minorBidi"/>
        </w:rPr>
      </w:pPr>
      <w:r>
        <w:t xml:space="preserve">Appropriate support and guidance tools for public sector agencies to further promote innovation and ensure the effective management of IP assets within </w:t>
      </w:r>
      <w:r w:rsidR="00924426">
        <w:t>the</w:t>
      </w:r>
      <w:r w:rsidR="00984FA1">
        <w:br w:type="textWrapping" w:clear="all"/>
      </w:r>
      <w:r w:rsidR="00924426">
        <w:t xml:space="preserve">WA </w:t>
      </w:r>
      <w:r w:rsidR="00984FA1">
        <w:t>Government;</w:t>
      </w:r>
    </w:p>
    <w:p w14:paraId="1A749B3B" w14:textId="7F22A79E" w:rsidR="003E69F9" w:rsidRPr="003C67DC" w:rsidRDefault="003E69F9" w:rsidP="00D37BEA">
      <w:pPr>
        <w:pStyle w:val="Bullet"/>
        <w:numPr>
          <w:ilvl w:val="1"/>
          <w:numId w:val="5"/>
        </w:numPr>
        <w:spacing w:after="160"/>
        <w:ind w:left="794" w:hanging="397"/>
      </w:pPr>
      <w:r>
        <w:t>Greater guidance to agencies on IP management while giving flexibility to develop ag</w:t>
      </w:r>
      <w:r w:rsidR="00984FA1">
        <w:t>ency specific internal policies;</w:t>
      </w:r>
    </w:p>
    <w:p w14:paraId="0673EF7E" w14:textId="5B6678E4" w:rsidR="003E69F9" w:rsidRPr="003C67DC" w:rsidRDefault="003E69F9" w:rsidP="00D37BEA">
      <w:pPr>
        <w:pStyle w:val="Bullet"/>
        <w:numPr>
          <w:ilvl w:val="1"/>
          <w:numId w:val="5"/>
        </w:numPr>
        <w:spacing w:after="160"/>
        <w:ind w:left="794" w:hanging="397"/>
      </w:pPr>
      <w:r>
        <w:t>Clear pathways for commercialisation that enable agencies to capitalise on opportunities to co</w:t>
      </w:r>
      <w:r w:rsidR="00984FA1">
        <w:t>mmercialise IP where they arise;</w:t>
      </w:r>
    </w:p>
    <w:p w14:paraId="28B76C13" w14:textId="006F13F2" w:rsidR="003E69F9" w:rsidRDefault="003E69F9" w:rsidP="00D37BEA">
      <w:pPr>
        <w:pStyle w:val="Bullet"/>
        <w:numPr>
          <w:ilvl w:val="1"/>
          <w:numId w:val="5"/>
        </w:numPr>
        <w:spacing w:after="160"/>
        <w:ind w:left="794" w:hanging="397"/>
      </w:pPr>
      <w:r w:rsidRPr="003C67DC">
        <w:t xml:space="preserve">Greater </w:t>
      </w:r>
      <w:r w:rsidR="001A3560">
        <w:t xml:space="preserve">information regarding </w:t>
      </w:r>
      <w:r w:rsidRPr="003C67DC">
        <w:t xml:space="preserve">rewards to assist in attracting and </w:t>
      </w:r>
      <w:r w:rsidR="00984FA1">
        <w:t>retaining public sector talent; and</w:t>
      </w:r>
    </w:p>
    <w:p w14:paraId="107AF3AB" w14:textId="19F39E4D" w:rsidR="00D3120E" w:rsidRPr="003C67DC" w:rsidRDefault="00D3120E" w:rsidP="00984FA1">
      <w:pPr>
        <w:pStyle w:val="Bullet"/>
        <w:numPr>
          <w:ilvl w:val="1"/>
          <w:numId w:val="5"/>
        </w:numPr>
        <w:ind w:left="794" w:hanging="397"/>
      </w:pPr>
      <w:r>
        <w:t xml:space="preserve">Guidance on how to better evaluate and communicate the success and value of Government IP. </w:t>
      </w:r>
    </w:p>
    <w:p w14:paraId="5FB77733" w14:textId="50BCB83A" w:rsidR="00A3169E" w:rsidRPr="00944359" w:rsidRDefault="00A3169E" w:rsidP="00D37BEA">
      <w:pPr>
        <w:pStyle w:val="Bullet"/>
        <w:spacing w:after="160"/>
        <w:ind w:left="397" w:hanging="397"/>
        <w:rPr>
          <w:rFonts w:ascii="Times New Roman" w:eastAsia="Arial" w:hAnsi="Times New Roman"/>
        </w:rPr>
      </w:pPr>
      <w:r>
        <w:t xml:space="preserve">A contemporary and outcomes focused IP </w:t>
      </w:r>
      <w:r w:rsidR="006376B7" w:rsidRPr="006376B7">
        <w:t xml:space="preserve">Policy may facilitate </w:t>
      </w:r>
      <w:r>
        <w:t>positive economic outcomes</w:t>
      </w:r>
      <w:r w:rsidR="009F458C">
        <w:t xml:space="preserve">, </w:t>
      </w:r>
      <w:r w:rsidR="00A53693">
        <w:t xml:space="preserve">strengthen local supply chains </w:t>
      </w:r>
      <w:r>
        <w:t>and support the delivery of the</w:t>
      </w:r>
      <w:r w:rsidR="00984FA1">
        <w:br w:type="textWrapping" w:clear="all"/>
      </w:r>
      <w:r>
        <w:t>WA Government’s vision for a strong and diversified economy, as outlined in the State’s economic development framework,</w:t>
      </w:r>
      <w:r w:rsidRPr="1D2F3123">
        <w:rPr>
          <w:i/>
          <w:iCs/>
        </w:rPr>
        <w:t xml:space="preserve"> Diversify WA</w:t>
      </w:r>
      <w:r>
        <w:t xml:space="preserve">. </w:t>
      </w:r>
      <w:r w:rsidR="00A53693">
        <w:t>Effective IP management and</w:t>
      </w:r>
      <w:r>
        <w:t xml:space="preserve"> the commercialisation of IP</w:t>
      </w:r>
      <w:r w:rsidR="002419F7">
        <w:t xml:space="preserve"> </w:t>
      </w:r>
      <w:r w:rsidR="00A53693">
        <w:t>where appropriate and viable,</w:t>
      </w:r>
      <w:r w:rsidR="00BD42A6">
        <w:t xml:space="preserve"> </w:t>
      </w:r>
      <w:r>
        <w:t>can:</w:t>
      </w:r>
    </w:p>
    <w:p w14:paraId="1C64B8B2" w14:textId="2CF18D67" w:rsidR="00A3169E" w:rsidRPr="000A2DF3" w:rsidRDefault="00A3169E" w:rsidP="00D37BEA">
      <w:pPr>
        <w:pStyle w:val="Bullet"/>
        <w:numPr>
          <w:ilvl w:val="1"/>
          <w:numId w:val="5"/>
        </w:numPr>
        <w:spacing w:after="160"/>
        <w:ind w:left="794" w:hanging="397"/>
        <w:rPr>
          <w:rFonts w:eastAsiaTheme="majorEastAsia" w:cstheme="majorBidi"/>
        </w:rPr>
      </w:pPr>
      <w:r>
        <w:t xml:space="preserve">support the development and growth of </w:t>
      </w:r>
      <w:r w:rsidR="00924426">
        <w:t>W</w:t>
      </w:r>
      <w:r w:rsidR="00984FA1">
        <w:t>estern Australia</w:t>
      </w:r>
      <w:r>
        <w:t>’s priority sectors</w:t>
      </w:r>
      <w:r w:rsidR="00924426">
        <w:t xml:space="preserve"> as described in </w:t>
      </w:r>
      <w:r w:rsidR="00924426">
        <w:rPr>
          <w:i/>
        </w:rPr>
        <w:t>Diversify WA</w:t>
      </w:r>
      <w:r>
        <w:t>;</w:t>
      </w:r>
    </w:p>
    <w:p w14:paraId="5F0E3DFC" w14:textId="77777777" w:rsidR="00A3169E" w:rsidRPr="000A2DF3" w:rsidRDefault="00A3169E" w:rsidP="00D37BEA">
      <w:pPr>
        <w:pStyle w:val="Bullet"/>
        <w:numPr>
          <w:ilvl w:val="1"/>
          <w:numId w:val="5"/>
        </w:numPr>
        <w:spacing w:after="160"/>
        <w:ind w:left="794" w:hanging="397"/>
        <w:rPr>
          <w:rFonts w:eastAsiaTheme="majorEastAsia" w:cstheme="majorBidi"/>
        </w:rPr>
      </w:pPr>
      <w:r>
        <w:t>facilitate job creation;</w:t>
      </w:r>
    </w:p>
    <w:p w14:paraId="406CC4AA" w14:textId="77777777" w:rsidR="00A3169E" w:rsidRPr="000A2DF3" w:rsidRDefault="00A3169E" w:rsidP="00D37BEA">
      <w:pPr>
        <w:pStyle w:val="Bullet"/>
        <w:numPr>
          <w:ilvl w:val="1"/>
          <w:numId w:val="5"/>
        </w:numPr>
        <w:spacing w:after="160"/>
        <w:ind w:left="794" w:hanging="397"/>
        <w:rPr>
          <w:rFonts w:eastAsiaTheme="majorEastAsia" w:cstheme="majorBidi"/>
        </w:rPr>
      </w:pPr>
      <w:r>
        <w:t>attract investment to the State;</w:t>
      </w:r>
    </w:p>
    <w:p w14:paraId="27C1789D" w14:textId="77777777" w:rsidR="00A3169E" w:rsidRPr="003F7B48" w:rsidRDefault="00A3169E" w:rsidP="00D37BEA">
      <w:pPr>
        <w:pStyle w:val="Bullet"/>
        <w:numPr>
          <w:ilvl w:val="1"/>
          <w:numId w:val="5"/>
        </w:numPr>
        <w:spacing w:after="160"/>
        <w:ind w:left="794" w:hanging="397"/>
        <w:rPr>
          <w:rFonts w:eastAsiaTheme="majorEastAsia" w:cstheme="majorBidi"/>
        </w:rPr>
      </w:pPr>
      <w:r>
        <w:t xml:space="preserve">assist to build the State’s reputation for innovation and entrepreneurial activity; and </w:t>
      </w:r>
    </w:p>
    <w:p w14:paraId="443CE41E" w14:textId="77777777" w:rsidR="00A3169E" w:rsidRPr="000A2DF3" w:rsidRDefault="00A3169E" w:rsidP="00984FA1">
      <w:pPr>
        <w:pStyle w:val="Bullet"/>
        <w:numPr>
          <w:ilvl w:val="1"/>
          <w:numId w:val="5"/>
        </w:numPr>
        <w:ind w:left="794" w:hanging="397"/>
        <w:rPr>
          <w:rFonts w:eastAsiaTheme="majorEastAsia" w:cstheme="majorBidi"/>
        </w:rPr>
      </w:pPr>
      <w:r>
        <w:t xml:space="preserve">establish new revenue streams. </w:t>
      </w:r>
    </w:p>
    <w:p w14:paraId="752D1951" w14:textId="5F3F2DD2" w:rsidR="003E69F9" w:rsidRPr="00ED1871" w:rsidRDefault="00A3169E" w:rsidP="00A3169E">
      <w:pPr>
        <w:pStyle w:val="Bullet"/>
        <w:rPr>
          <w:rFonts w:eastAsiaTheme="majorEastAsia" w:cstheme="majorBidi"/>
        </w:rPr>
      </w:pPr>
      <w:r>
        <w:lastRenderedPageBreak/>
        <w:t xml:space="preserve">Implementation of measures to support an updated </w:t>
      </w:r>
      <w:r w:rsidR="009A07F4">
        <w:t>WA Government IP Policy</w:t>
      </w:r>
      <w:r>
        <w:t xml:space="preserve">, including guidance resources for </w:t>
      </w:r>
      <w:r w:rsidR="00924426">
        <w:t xml:space="preserve">WA </w:t>
      </w:r>
      <w:r>
        <w:t>Government agencies, may also assist in facilitating opportunities for collaboration across the public sector and with industry to benefit the broader WA economy and community.</w:t>
      </w:r>
      <w:r w:rsidR="1B8F19DE">
        <w:t xml:space="preserve"> </w:t>
      </w:r>
    </w:p>
    <w:p w14:paraId="7189905A" w14:textId="4104505D" w:rsidR="00293CF7" w:rsidRPr="00293CF7" w:rsidRDefault="00293CF7" w:rsidP="00D37BEA">
      <w:pPr>
        <w:pStyle w:val="paragraph"/>
        <w:pBdr>
          <w:top w:val="single" w:sz="12" w:space="1" w:color="041049" w:themeColor="text2"/>
          <w:left w:val="single" w:sz="12" w:space="4" w:color="041049" w:themeColor="text2"/>
          <w:bottom w:val="single" w:sz="12" w:space="1" w:color="041049" w:themeColor="text2"/>
          <w:right w:val="single" w:sz="12" w:space="4" w:color="041049" w:themeColor="text2"/>
        </w:pBdr>
        <w:spacing w:before="0" w:beforeAutospacing="0" w:after="200" w:afterAutospacing="0" w:line="276" w:lineRule="auto"/>
        <w:jc w:val="both"/>
        <w:rPr>
          <w:rStyle w:val="eop"/>
          <w:rFonts w:ascii="Arial" w:hAnsi="Arial" w:cs="Arial"/>
          <w:b/>
          <w:i/>
          <w:color w:val="272727"/>
        </w:rPr>
      </w:pPr>
      <w:r w:rsidRPr="00293CF7">
        <w:rPr>
          <w:rStyle w:val="eop"/>
          <w:rFonts w:ascii="Arial" w:hAnsi="Arial" w:cs="Arial"/>
          <w:b/>
          <w:i/>
          <w:color w:val="272727"/>
        </w:rPr>
        <w:t>Case study</w:t>
      </w:r>
      <w:r>
        <w:rPr>
          <w:rStyle w:val="eop"/>
          <w:rFonts w:ascii="Arial" w:hAnsi="Arial" w:cs="Arial"/>
          <w:b/>
          <w:i/>
          <w:color w:val="272727"/>
        </w:rPr>
        <w:t>: Anigozanthos (Kangaroo Paw) breeding at Kings Park and Botanic Garden</w:t>
      </w:r>
      <w:r w:rsidR="009F43BE">
        <w:rPr>
          <w:rStyle w:val="FootnoteReference"/>
          <w:rFonts w:ascii="Arial" w:hAnsi="Arial" w:cs="Arial"/>
          <w:b/>
          <w:i/>
          <w:color w:val="272727"/>
        </w:rPr>
        <w:footnoteReference w:id="2"/>
      </w:r>
    </w:p>
    <w:p w14:paraId="4232A1E8" w14:textId="31AEF151" w:rsidR="00161670" w:rsidRPr="00AD5818" w:rsidRDefault="00293CF7" w:rsidP="00D37BEA">
      <w:pPr>
        <w:pStyle w:val="paragraph"/>
        <w:pBdr>
          <w:top w:val="single" w:sz="12" w:space="1" w:color="041049" w:themeColor="text2"/>
          <w:left w:val="single" w:sz="12" w:space="4" w:color="041049" w:themeColor="text2"/>
          <w:bottom w:val="single" w:sz="12" w:space="1" w:color="041049" w:themeColor="text2"/>
          <w:right w:val="single" w:sz="12" w:space="4" w:color="041049" w:themeColor="text2"/>
        </w:pBdr>
        <w:spacing w:before="0" w:beforeAutospacing="0" w:after="200" w:afterAutospacing="0" w:line="276" w:lineRule="auto"/>
        <w:jc w:val="both"/>
        <w:rPr>
          <w:rStyle w:val="eop"/>
          <w:rFonts w:asciiTheme="minorHAnsi" w:hAnsiTheme="minorHAnsi" w:cstheme="minorHAnsi"/>
          <w:color w:val="272727"/>
        </w:rPr>
      </w:pPr>
      <w:r w:rsidRPr="00293CF7">
        <w:rPr>
          <w:rStyle w:val="eop"/>
          <w:rFonts w:ascii="Arial" w:hAnsi="Arial" w:cs="Arial"/>
          <w:color w:val="272727"/>
        </w:rPr>
        <w:t xml:space="preserve">The Kings Park Plant Development program has developed significant </w:t>
      </w:r>
      <w:r w:rsidR="0013001E">
        <w:rPr>
          <w:rStyle w:val="eop"/>
          <w:rFonts w:ascii="Arial" w:hAnsi="Arial" w:cs="Arial"/>
          <w:color w:val="272727"/>
        </w:rPr>
        <w:t>IP</w:t>
      </w:r>
      <w:r w:rsidRPr="00293CF7">
        <w:rPr>
          <w:rStyle w:val="eop"/>
          <w:rFonts w:ascii="Arial" w:hAnsi="Arial" w:cs="Arial"/>
          <w:color w:val="272727"/>
        </w:rPr>
        <w:t xml:space="preserve"> through </w:t>
      </w:r>
      <w:r w:rsidR="00F32F5D">
        <w:rPr>
          <w:rStyle w:val="eop"/>
          <w:rFonts w:ascii="Arial" w:hAnsi="Arial" w:cs="Arial"/>
          <w:color w:val="272727"/>
        </w:rPr>
        <w:t>its ownership of</w:t>
      </w:r>
      <w:r w:rsidRPr="00293CF7">
        <w:rPr>
          <w:rStyle w:val="eop"/>
          <w:rFonts w:ascii="Arial" w:hAnsi="Arial" w:cs="Arial"/>
          <w:color w:val="272727"/>
        </w:rPr>
        <w:t xml:space="preserve"> elite ornamental plant varieties</w:t>
      </w:r>
      <w:r w:rsidR="00C90021">
        <w:rPr>
          <w:rStyle w:val="eop"/>
          <w:rFonts w:ascii="Arial" w:hAnsi="Arial" w:cs="Arial"/>
          <w:color w:val="272727"/>
        </w:rPr>
        <w:t xml:space="preserve">, knowledge of </w:t>
      </w:r>
      <w:r w:rsidRPr="00293CF7">
        <w:rPr>
          <w:rStyle w:val="eop"/>
          <w:rFonts w:ascii="Arial" w:hAnsi="Arial" w:cs="Arial"/>
          <w:color w:val="272727"/>
        </w:rPr>
        <w:t xml:space="preserve">complex breeding systems and </w:t>
      </w:r>
      <w:r w:rsidRPr="00AD5818">
        <w:rPr>
          <w:rStyle w:val="eop"/>
          <w:rFonts w:asciiTheme="minorHAnsi" w:hAnsiTheme="minorHAnsi" w:cstheme="minorHAnsi"/>
          <w:color w:val="272727"/>
        </w:rPr>
        <w:t xml:space="preserve">the development of sophisticated plant propagation systems. </w:t>
      </w:r>
      <w:r w:rsidR="00161670" w:rsidRPr="00AD5818">
        <w:rPr>
          <w:rStyle w:val="eop"/>
          <w:rFonts w:asciiTheme="minorHAnsi" w:hAnsiTheme="minorHAnsi" w:cstheme="minorHAnsi"/>
          <w:color w:val="272727"/>
        </w:rPr>
        <w:t xml:space="preserve">Recognising </w:t>
      </w:r>
      <w:r w:rsidR="001E77C5" w:rsidRPr="00AD5818">
        <w:rPr>
          <w:rStyle w:val="eop"/>
          <w:rFonts w:asciiTheme="minorHAnsi" w:hAnsiTheme="minorHAnsi" w:cstheme="minorHAnsi"/>
          <w:color w:val="272727"/>
        </w:rPr>
        <w:t>opportunities to</w:t>
      </w:r>
      <w:r w:rsidR="00A96E91" w:rsidRPr="00AD5818">
        <w:rPr>
          <w:rStyle w:val="eop"/>
          <w:rFonts w:asciiTheme="minorHAnsi" w:hAnsiTheme="minorHAnsi" w:cstheme="minorHAnsi"/>
          <w:color w:val="272727"/>
        </w:rPr>
        <w:t xml:space="preserve"> commercialise this </w:t>
      </w:r>
      <w:r w:rsidR="00562416" w:rsidRPr="00AD5818">
        <w:rPr>
          <w:rStyle w:val="eop"/>
          <w:rFonts w:asciiTheme="minorHAnsi" w:hAnsiTheme="minorHAnsi" w:cstheme="minorHAnsi"/>
          <w:color w:val="272727"/>
        </w:rPr>
        <w:t xml:space="preserve">IP </w:t>
      </w:r>
      <w:r w:rsidR="000B0759" w:rsidRPr="00AD5818">
        <w:rPr>
          <w:rStyle w:val="eop"/>
          <w:rFonts w:asciiTheme="minorHAnsi" w:hAnsiTheme="minorHAnsi" w:cstheme="minorHAnsi"/>
          <w:color w:val="272727"/>
        </w:rPr>
        <w:t xml:space="preserve">enables the State </w:t>
      </w:r>
      <w:r w:rsidR="00BB7854" w:rsidRPr="00AD5818">
        <w:rPr>
          <w:rStyle w:val="eop"/>
          <w:rFonts w:asciiTheme="minorHAnsi" w:hAnsiTheme="minorHAnsi" w:cstheme="minorHAnsi"/>
          <w:color w:val="272727"/>
        </w:rPr>
        <w:t xml:space="preserve">to capitalise on attributes of </w:t>
      </w:r>
      <w:r w:rsidR="000437C4" w:rsidRPr="00AD5818">
        <w:rPr>
          <w:rStyle w:val="eop"/>
          <w:rFonts w:asciiTheme="minorHAnsi" w:hAnsiTheme="minorHAnsi" w:cstheme="minorHAnsi"/>
          <w:color w:val="272727"/>
        </w:rPr>
        <w:t>W</w:t>
      </w:r>
      <w:r w:rsidR="00984FA1">
        <w:rPr>
          <w:rStyle w:val="eop"/>
          <w:rFonts w:asciiTheme="minorHAnsi" w:hAnsiTheme="minorHAnsi" w:cstheme="minorHAnsi"/>
          <w:color w:val="272727"/>
        </w:rPr>
        <w:t>estern Australia</w:t>
      </w:r>
      <w:r w:rsidR="000437C4" w:rsidRPr="00AD5818">
        <w:rPr>
          <w:rStyle w:val="eop"/>
          <w:rFonts w:asciiTheme="minorHAnsi" w:hAnsiTheme="minorHAnsi" w:cstheme="minorHAnsi"/>
          <w:color w:val="272727"/>
        </w:rPr>
        <w:t>’s</w:t>
      </w:r>
      <w:r w:rsidR="00BB7854" w:rsidRPr="00AD5818">
        <w:rPr>
          <w:rStyle w:val="eop"/>
          <w:rFonts w:asciiTheme="minorHAnsi" w:hAnsiTheme="minorHAnsi" w:cstheme="minorHAnsi"/>
          <w:color w:val="272727"/>
        </w:rPr>
        <w:t xml:space="preserve"> unique flora </w:t>
      </w:r>
      <w:r w:rsidR="000437C4" w:rsidRPr="00AD5818">
        <w:rPr>
          <w:rStyle w:val="eop"/>
          <w:rFonts w:asciiTheme="minorHAnsi" w:hAnsiTheme="minorHAnsi" w:cstheme="minorHAnsi"/>
          <w:color w:val="272727"/>
        </w:rPr>
        <w:t>including</w:t>
      </w:r>
      <w:r w:rsidR="00BB7854" w:rsidRPr="00AD5818">
        <w:rPr>
          <w:rStyle w:val="eop"/>
          <w:rFonts w:asciiTheme="minorHAnsi" w:hAnsiTheme="minorHAnsi" w:cstheme="minorHAnsi"/>
          <w:color w:val="272727"/>
        </w:rPr>
        <w:t xml:space="preserve"> ornamental crops, essential oils and pharmaceuticals.</w:t>
      </w:r>
    </w:p>
    <w:p w14:paraId="5982D2A5" w14:textId="655E65D2" w:rsidR="005D3168" w:rsidRPr="00AD5818" w:rsidRDefault="005D3168" w:rsidP="00D37BEA">
      <w:pPr>
        <w:pStyle w:val="paragraph"/>
        <w:pBdr>
          <w:top w:val="single" w:sz="12" w:space="1" w:color="041049" w:themeColor="text2"/>
          <w:left w:val="single" w:sz="12" w:space="4" w:color="041049" w:themeColor="text2"/>
          <w:bottom w:val="single" w:sz="12" w:space="1" w:color="041049" w:themeColor="text2"/>
          <w:right w:val="single" w:sz="12" w:space="4" w:color="041049" w:themeColor="text2"/>
        </w:pBdr>
        <w:spacing w:before="0" w:beforeAutospacing="0" w:after="200" w:afterAutospacing="0" w:line="276" w:lineRule="auto"/>
        <w:jc w:val="both"/>
        <w:rPr>
          <w:rStyle w:val="eop"/>
          <w:rFonts w:asciiTheme="minorHAnsi" w:hAnsiTheme="minorHAnsi" w:cstheme="minorHAnsi"/>
          <w:color w:val="272727"/>
        </w:rPr>
      </w:pPr>
      <w:r w:rsidRPr="00AD5818">
        <w:rPr>
          <w:rStyle w:val="eop"/>
          <w:rFonts w:asciiTheme="minorHAnsi" w:hAnsiTheme="minorHAnsi" w:cstheme="minorHAnsi"/>
          <w:color w:val="272727"/>
        </w:rPr>
        <w:t>The B</w:t>
      </w:r>
      <w:r w:rsidR="005179A2" w:rsidRPr="00AD5818">
        <w:rPr>
          <w:rStyle w:val="eop"/>
          <w:rFonts w:asciiTheme="minorHAnsi" w:hAnsiTheme="minorHAnsi" w:cstheme="minorHAnsi"/>
          <w:color w:val="272727"/>
        </w:rPr>
        <w:t xml:space="preserve">otanic </w:t>
      </w:r>
      <w:r w:rsidRPr="00AD5818">
        <w:rPr>
          <w:rStyle w:val="eop"/>
          <w:rFonts w:asciiTheme="minorHAnsi" w:hAnsiTheme="minorHAnsi" w:cstheme="minorHAnsi"/>
          <w:color w:val="272727"/>
        </w:rPr>
        <w:t>G</w:t>
      </w:r>
      <w:r w:rsidR="005179A2" w:rsidRPr="00AD5818">
        <w:rPr>
          <w:rStyle w:val="eop"/>
          <w:rFonts w:asciiTheme="minorHAnsi" w:hAnsiTheme="minorHAnsi" w:cstheme="minorHAnsi"/>
          <w:color w:val="272727"/>
        </w:rPr>
        <w:t xml:space="preserve">ardens </w:t>
      </w:r>
      <w:r w:rsidR="00DD2D96" w:rsidRPr="00AD5818">
        <w:rPr>
          <w:rStyle w:val="eop"/>
          <w:rFonts w:asciiTheme="minorHAnsi" w:hAnsiTheme="minorHAnsi" w:cstheme="minorHAnsi"/>
          <w:color w:val="272727"/>
        </w:rPr>
        <w:t xml:space="preserve">and </w:t>
      </w:r>
      <w:r w:rsidRPr="00AD5818">
        <w:rPr>
          <w:rStyle w:val="eop"/>
          <w:rFonts w:asciiTheme="minorHAnsi" w:hAnsiTheme="minorHAnsi" w:cstheme="minorHAnsi"/>
          <w:color w:val="272727"/>
        </w:rPr>
        <w:t>P</w:t>
      </w:r>
      <w:r w:rsidR="00DD2D96" w:rsidRPr="00AD5818">
        <w:rPr>
          <w:rStyle w:val="eop"/>
          <w:rFonts w:asciiTheme="minorHAnsi" w:hAnsiTheme="minorHAnsi" w:cstheme="minorHAnsi"/>
          <w:color w:val="272727"/>
        </w:rPr>
        <w:t>arks Authority</w:t>
      </w:r>
      <w:r w:rsidR="00984FA1">
        <w:rPr>
          <w:rStyle w:val="eop"/>
          <w:rFonts w:asciiTheme="minorHAnsi" w:hAnsiTheme="minorHAnsi" w:cstheme="minorHAnsi"/>
          <w:color w:val="272727"/>
        </w:rPr>
        <w:t xml:space="preserve"> (part of the Department of Biodiversity, Conservation and Attractions)</w:t>
      </w:r>
      <w:r w:rsidRPr="00AD5818">
        <w:rPr>
          <w:rStyle w:val="eop"/>
          <w:rFonts w:asciiTheme="minorHAnsi" w:hAnsiTheme="minorHAnsi" w:cstheme="minorHAnsi"/>
          <w:color w:val="272727"/>
        </w:rPr>
        <w:t xml:space="preserve"> </w:t>
      </w:r>
      <w:r w:rsidR="00C95123" w:rsidRPr="00AD5818">
        <w:rPr>
          <w:rStyle w:val="eop"/>
          <w:rFonts w:asciiTheme="minorHAnsi" w:hAnsiTheme="minorHAnsi" w:cstheme="minorHAnsi"/>
          <w:color w:val="272727"/>
        </w:rPr>
        <w:t>supports</w:t>
      </w:r>
      <w:r w:rsidRPr="00AD5818">
        <w:rPr>
          <w:rStyle w:val="eop"/>
          <w:rFonts w:asciiTheme="minorHAnsi" w:hAnsiTheme="minorHAnsi" w:cstheme="minorHAnsi"/>
          <w:color w:val="272727"/>
        </w:rPr>
        <w:t xml:space="preserve"> the </w:t>
      </w:r>
      <w:r w:rsidR="00B0677F" w:rsidRPr="00AD5818">
        <w:rPr>
          <w:rStyle w:val="eop"/>
          <w:rFonts w:asciiTheme="minorHAnsi" w:hAnsiTheme="minorHAnsi" w:cstheme="minorHAnsi"/>
          <w:color w:val="272727"/>
        </w:rPr>
        <w:t xml:space="preserve">Kings Park </w:t>
      </w:r>
      <w:r w:rsidRPr="00AA49F2">
        <w:rPr>
          <w:rStyle w:val="eop"/>
          <w:rFonts w:asciiTheme="minorHAnsi" w:hAnsiTheme="minorHAnsi" w:cstheme="minorHAnsi"/>
          <w:i/>
          <w:iCs/>
          <w:color w:val="272727"/>
        </w:rPr>
        <w:t>Anigozanthos</w:t>
      </w:r>
      <w:r w:rsidRPr="00AD5818">
        <w:rPr>
          <w:rStyle w:val="eop"/>
          <w:rFonts w:asciiTheme="minorHAnsi" w:hAnsiTheme="minorHAnsi" w:cstheme="minorHAnsi"/>
          <w:color w:val="272727"/>
        </w:rPr>
        <w:t xml:space="preserve"> breeding program </w:t>
      </w:r>
      <w:r w:rsidR="0043479E" w:rsidRPr="00AD5818">
        <w:rPr>
          <w:rStyle w:val="eop"/>
          <w:rFonts w:asciiTheme="minorHAnsi" w:hAnsiTheme="minorHAnsi" w:cstheme="minorHAnsi"/>
          <w:color w:val="272727"/>
        </w:rPr>
        <w:t>by engaging with commercial partners</w:t>
      </w:r>
      <w:r w:rsidR="00AB75A0" w:rsidRPr="00AD5818">
        <w:rPr>
          <w:rStyle w:val="eop"/>
          <w:rFonts w:asciiTheme="minorHAnsi" w:hAnsiTheme="minorHAnsi" w:cstheme="minorHAnsi"/>
          <w:color w:val="272727"/>
        </w:rPr>
        <w:t xml:space="preserve"> </w:t>
      </w:r>
      <w:r w:rsidR="0030261A" w:rsidRPr="00AD5818">
        <w:rPr>
          <w:rStyle w:val="eop"/>
          <w:rFonts w:asciiTheme="minorHAnsi" w:hAnsiTheme="minorHAnsi" w:cstheme="minorHAnsi"/>
          <w:color w:val="272727"/>
        </w:rPr>
        <w:t xml:space="preserve">who </w:t>
      </w:r>
      <w:r w:rsidR="006A7D00">
        <w:rPr>
          <w:rStyle w:val="eop"/>
          <w:rFonts w:asciiTheme="minorHAnsi" w:hAnsiTheme="minorHAnsi" w:cstheme="minorHAnsi"/>
          <w:color w:val="272727"/>
        </w:rPr>
        <w:t>contribute</w:t>
      </w:r>
      <w:r w:rsidR="0030261A" w:rsidRPr="00AD5818">
        <w:rPr>
          <w:rStyle w:val="eop"/>
          <w:rFonts w:asciiTheme="minorHAnsi" w:hAnsiTheme="minorHAnsi" w:cstheme="minorHAnsi"/>
          <w:color w:val="272727"/>
        </w:rPr>
        <w:t xml:space="preserve"> funding in exchange for a first right of refusal to commercialise </w:t>
      </w:r>
      <w:r w:rsidR="00DD519E" w:rsidRPr="00AD5818">
        <w:rPr>
          <w:rStyle w:val="eop"/>
          <w:rFonts w:asciiTheme="minorHAnsi" w:hAnsiTheme="minorHAnsi" w:cstheme="minorHAnsi"/>
          <w:color w:val="272727"/>
        </w:rPr>
        <w:t xml:space="preserve">any </w:t>
      </w:r>
      <w:r w:rsidR="004F3450" w:rsidRPr="00AD5818">
        <w:rPr>
          <w:rStyle w:val="eop"/>
          <w:rFonts w:asciiTheme="minorHAnsi" w:hAnsiTheme="minorHAnsi" w:cstheme="minorHAnsi"/>
          <w:color w:val="272727"/>
        </w:rPr>
        <w:t xml:space="preserve">varieties produced. </w:t>
      </w:r>
      <w:r w:rsidR="0042285C" w:rsidRPr="00AD5818">
        <w:rPr>
          <w:rStyle w:val="eop"/>
          <w:rFonts w:asciiTheme="minorHAnsi" w:hAnsiTheme="minorHAnsi" w:cstheme="minorHAnsi"/>
          <w:color w:val="272727"/>
        </w:rPr>
        <w:t xml:space="preserve">This business model </w:t>
      </w:r>
      <w:r w:rsidR="00FB471D" w:rsidRPr="00AD5818">
        <w:rPr>
          <w:rStyle w:val="eop"/>
          <w:rFonts w:asciiTheme="minorHAnsi" w:hAnsiTheme="minorHAnsi" w:cstheme="minorHAnsi"/>
          <w:color w:val="272727"/>
        </w:rPr>
        <w:t>provides a path to mar</w:t>
      </w:r>
      <w:r w:rsidR="00E675FC" w:rsidRPr="00AD5818">
        <w:rPr>
          <w:rStyle w:val="eop"/>
          <w:rFonts w:asciiTheme="minorHAnsi" w:hAnsiTheme="minorHAnsi" w:cstheme="minorHAnsi"/>
          <w:color w:val="272727"/>
        </w:rPr>
        <w:t>ket</w:t>
      </w:r>
      <w:r w:rsidRPr="00AD5818">
        <w:rPr>
          <w:rStyle w:val="eop"/>
          <w:rFonts w:asciiTheme="minorHAnsi" w:hAnsiTheme="minorHAnsi" w:cstheme="minorHAnsi"/>
          <w:color w:val="272727"/>
        </w:rPr>
        <w:t xml:space="preserve"> that could not be achieved using solely </w:t>
      </w:r>
      <w:r w:rsidR="008D5155" w:rsidRPr="00AD5818">
        <w:rPr>
          <w:rStyle w:val="eop"/>
          <w:rFonts w:asciiTheme="minorHAnsi" w:hAnsiTheme="minorHAnsi" w:cstheme="minorHAnsi"/>
          <w:color w:val="272727"/>
        </w:rPr>
        <w:t xml:space="preserve">the </w:t>
      </w:r>
      <w:r w:rsidR="00924426">
        <w:rPr>
          <w:rStyle w:val="eop"/>
          <w:rFonts w:asciiTheme="minorHAnsi" w:hAnsiTheme="minorHAnsi" w:cstheme="minorHAnsi"/>
          <w:color w:val="272727"/>
        </w:rPr>
        <w:t xml:space="preserve">Botanic Gardens and Parks </w:t>
      </w:r>
      <w:r w:rsidR="008D5155" w:rsidRPr="00AD5818">
        <w:rPr>
          <w:rStyle w:val="eop"/>
          <w:rFonts w:asciiTheme="minorHAnsi" w:hAnsiTheme="minorHAnsi" w:cstheme="minorHAnsi"/>
          <w:color w:val="272727"/>
        </w:rPr>
        <w:t>Authority’s</w:t>
      </w:r>
      <w:r w:rsidRPr="00AD5818">
        <w:rPr>
          <w:rStyle w:val="eop"/>
          <w:rFonts w:asciiTheme="minorHAnsi" w:hAnsiTheme="minorHAnsi" w:cstheme="minorHAnsi"/>
          <w:color w:val="272727"/>
        </w:rPr>
        <w:t xml:space="preserve"> own resources</w:t>
      </w:r>
      <w:r w:rsidR="004E54B2">
        <w:rPr>
          <w:rStyle w:val="eop"/>
          <w:rFonts w:asciiTheme="minorHAnsi" w:hAnsiTheme="minorHAnsi" w:cstheme="minorHAnsi"/>
          <w:color w:val="272727"/>
        </w:rPr>
        <w:t>.</w:t>
      </w:r>
    </w:p>
    <w:p w14:paraId="3B54BA61" w14:textId="1EB697DE" w:rsidR="00293CF7" w:rsidRPr="004D554E" w:rsidRDefault="005E1F9D" w:rsidP="00D37BEA">
      <w:pPr>
        <w:pStyle w:val="paragraph"/>
        <w:pBdr>
          <w:top w:val="single" w:sz="12" w:space="1" w:color="041049" w:themeColor="text2"/>
          <w:left w:val="single" w:sz="12" w:space="4" w:color="041049" w:themeColor="text2"/>
          <w:bottom w:val="single" w:sz="12" w:space="1" w:color="041049" w:themeColor="text2"/>
          <w:right w:val="single" w:sz="12" w:space="4" w:color="041049" w:themeColor="text2"/>
        </w:pBdr>
        <w:spacing w:before="0" w:beforeAutospacing="0" w:after="200" w:afterAutospacing="0" w:line="276" w:lineRule="auto"/>
        <w:jc w:val="both"/>
        <w:rPr>
          <w:rStyle w:val="eop"/>
          <w:rFonts w:asciiTheme="minorHAnsi" w:hAnsiTheme="minorHAnsi" w:cstheme="minorHAnsi"/>
          <w:color w:val="272727"/>
        </w:rPr>
      </w:pPr>
      <w:r w:rsidRPr="00AD5818">
        <w:rPr>
          <w:rStyle w:val="eop"/>
          <w:rFonts w:asciiTheme="minorHAnsi" w:hAnsiTheme="minorHAnsi" w:cstheme="minorHAnsi"/>
          <w:color w:val="272727"/>
        </w:rPr>
        <w:t>Since 2007</w:t>
      </w:r>
      <w:r w:rsidR="00E93370" w:rsidRPr="00AD5818">
        <w:rPr>
          <w:rStyle w:val="eop"/>
          <w:rFonts w:asciiTheme="minorHAnsi" w:hAnsiTheme="minorHAnsi" w:cstheme="minorHAnsi"/>
          <w:color w:val="272727"/>
        </w:rPr>
        <w:t xml:space="preserve">, </w:t>
      </w:r>
      <w:r w:rsidR="00E93370" w:rsidRPr="004D554E">
        <w:rPr>
          <w:rStyle w:val="eop"/>
          <w:rFonts w:asciiTheme="minorHAnsi" w:hAnsiTheme="minorHAnsi" w:cstheme="minorHAnsi"/>
          <w:color w:val="272727"/>
        </w:rPr>
        <w:t>t</w:t>
      </w:r>
      <w:r w:rsidR="00293CF7" w:rsidRPr="004D554E">
        <w:rPr>
          <w:rStyle w:val="eop"/>
          <w:rFonts w:asciiTheme="minorHAnsi" w:hAnsiTheme="minorHAnsi" w:cstheme="minorHAnsi"/>
          <w:color w:val="272727"/>
        </w:rPr>
        <w:t xml:space="preserve">he </w:t>
      </w:r>
      <w:r w:rsidR="00293CF7" w:rsidRPr="00AA49F2">
        <w:rPr>
          <w:rStyle w:val="eop"/>
          <w:rFonts w:asciiTheme="minorHAnsi" w:hAnsiTheme="minorHAnsi" w:cstheme="minorHAnsi"/>
          <w:i/>
          <w:iCs/>
          <w:color w:val="272727"/>
        </w:rPr>
        <w:t>Anigozanthos</w:t>
      </w:r>
      <w:r w:rsidR="00293CF7" w:rsidRPr="00AD5818">
        <w:rPr>
          <w:rStyle w:val="eop"/>
          <w:rFonts w:asciiTheme="minorHAnsi" w:hAnsiTheme="minorHAnsi" w:cstheme="minorHAnsi"/>
          <w:color w:val="272727"/>
        </w:rPr>
        <w:t xml:space="preserve"> program has released </w:t>
      </w:r>
      <w:r w:rsidR="00984FA1">
        <w:rPr>
          <w:rStyle w:val="eop"/>
          <w:rFonts w:asciiTheme="minorHAnsi" w:hAnsiTheme="minorHAnsi" w:cstheme="minorHAnsi"/>
          <w:color w:val="272727"/>
        </w:rPr>
        <w:t>seven</w:t>
      </w:r>
      <w:r w:rsidR="00293CF7" w:rsidRPr="00AD5818">
        <w:rPr>
          <w:rStyle w:val="eop"/>
          <w:rFonts w:asciiTheme="minorHAnsi" w:hAnsiTheme="minorHAnsi" w:cstheme="minorHAnsi"/>
          <w:color w:val="272727"/>
        </w:rPr>
        <w:t xml:space="preserve"> cultivars </w:t>
      </w:r>
      <w:r w:rsidR="00F83F38" w:rsidRPr="00AD5818">
        <w:rPr>
          <w:rStyle w:val="eop"/>
          <w:rFonts w:asciiTheme="minorHAnsi" w:hAnsiTheme="minorHAnsi" w:cstheme="minorHAnsi"/>
          <w:color w:val="272727"/>
        </w:rPr>
        <w:t>for public sale</w:t>
      </w:r>
      <w:r w:rsidR="00293CF7" w:rsidRPr="00AD5818">
        <w:rPr>
          <w:rStyle w:val="eop"/>
          <w:rFonts w:asciiTheme="minorHAnsi" w:hAnsiTheme="minorHAnsi" w:cstheme="minorHAnsi"/>
          <w:color w:val="272727"/>
        </w:rPr>
        <w:t>, with many more in various stages of commercial development.</w:t>
      </w:r>
      <w:r w:rsidR="005D3168" w:rsidRPr="00AD5818">
        <w:rPr>
          <w:rStyle w:val="eop"/>
          <w:rFonts w:asciiTheme="minorHAnsi" w:hAnsiTheme="minorHAnsi" w:cstheme="minorHAnsi"/>
          <w:color w:val="272727"/>
        </w:rPr>
        <w:t xml:space="preserve"> The program is well placed to capitalise on the growing global interest in W</w:t>
      </w:r>
      <w:r w:rsidR="00984FA1">
        <w:rPr>
          <w:rStyle w:val="eop"/>
          <w:rFonts w:asciiTheme="minorHAnsi" w:hAnsiTheme="minorHAnsi" w:cstheme="minorHAnsi"/>
          <w:color w:val="272727"/>
        </w:rPr>
        <w:t>estern Austrlaia</w:t>
      </w:r>
      <w:r w:rsidR="005D3168" w:rsidRPr="00AD5818">
        <w:rPr>
          <w:rStyle w:val="eop"/>
          <w:rFonts w:asciiTheme="minorHAnsi" w:hAnsiTheme="minorHAnsi" w:cstheme="minorHAnsi"/>
          <w:color w:val="272727"/>
        </w:rPr>
        <w:t xml:space="preserve"> flora and expand its market</w:t>
      </w:r>
      <w:r w:rsidR="003875F0">
        <w:rPr>
          <w:rStyle w:val="eop"/>
          <w:rFonts w:asciiTheme="minorHAnsi" w:hAnsiTheme="minorHAnsi" w:cstheme="minorHAnsi"/>
          <w:color w:val="272727"/>
        </w:rPr>
        <w:t>s</w:t>
      </w:r>
      <w:r w:rsidR="005D3168" w:rsidRPr="00AD5818">
        <w:rPr>
          <w:rStyle w:val="eop"/>
          <w:rFonts w:asciiTheme="minorHAnsi" w:hAnsiTheme="minorHAnsi" w:cstheme="minorHAnsi"/>
          <w:color w:val="272727"/>
        </w:rPr>
        <w:t xml:space="preserve"> locally, nationally and internationally.</w:t>
      </w:r>
      <w:r w:rsidR="00293CF7" w:rsidRPr="00AD5818">
        <w:rPr>
          <w:rStyle w:val="eop"/>
          <w:rFonts w:asciiTheme="minorHAnsi" w:hAnsiTheme="minorHAnsi" w:cstheme="minorHAnsi"/>
          <w:color w:val="272727"/>
        </w:rPr>
        <w:t xml:space="preserve">  </w:t>
      </w:r>
    </w:p>
    <w:p w14:paraId="7E604D15" w14:textId="156F0721" w:rsidR="396F6EA8" w:rsidRDefault="396F6EA8" w:rsidP="396F6EA8">
      <w:pPr>
        <w:pStyle w:val="Heading2"/>
        <w:jc w:val="both"/>
      </w:pPr>
      <w:bookmarkStart w:id="149" w:name="_Toc104976283"/>
      <w:bookmarkStart w:id="150" w:name="_Toc104976284"/>
      <w:bookmarkStart w:id="151" w:name="_Toc101971639"/>
      <w:bookmarkStart w:id="152" w:name="_Toc104976285"/>
      <w:bookmarkStart w:id="153" w:name="_Toc114829895"/>
      <w:bookmarkEnd w:id="149"/>
      <w:bookmarkEnd w:id="150"/>
      <w:r>
        <w:t>Learnings</w:t>
      </w:r>
      <w:bookmarkEnd w:id="151"/>
      <w:bookmarkEnd w:id="152"/>
      <w:bookmarkEnd w:id="153"/>
      <w:r>
        <w:t xml:space="preserve"> </w:t>
      </w:r>
    </w:p>
    <w:p w14:paraId="11568444" w14:textId="434A9E99" w:rsidR="53F3630D" w:rsidRDefault="4843F2B1" w:rsidP="000E6B02">
      <w:pPr>
        <w:pStyle w:val="ListParagraph"/>
        <w:numPr>
          <w:ilvl w:val="0"/>
          <w:numId w:val="1"/>
        </w:numPr>
        <w:rPr>
          <w:rFonts w:eastAsiaTheme="minorEastAsia"/>
        </w:rPr>
      </w:pPr>
      <w:r w:rsidRPr="69D5626B">
        <w:rPr>
          <w:rFonts w:eastAsiaTheme="minorEastAsia"/>
        </w:rPr>
        <w:t xml:space="preserve">In developing an updated </w:t>
      </w:r>
      <w:r w:rsidR="009A07F4">
        <w:rPr>
          <w:rFonts w:eastAsiaTheme="minorEastAsia"/>
        </w:rPr>
        <w:t>WA Government IP Policy</w:t>
      </w:r>
      <w:r w:rsidRPr="69D5626B">
        <w:rPr>
          <w:rFonts w:eastAsiaTheme="minorEastAsia"/>
        </w:rPr>
        <w:t xml:space="preserve">, the </w:t>
      </w:r>
      <w:r w:rsidR="00E06B2D">
        <w:rPr>
          <w:rFonts w:eastAsiaTheme="minorEastAsia"/>
        </w:rPr>
        <w:t xml:space="preserve">Department </w:t>
      </w:r>
      <w:r w:rsidRPr="69D5626B">
        <w:rPr>
          <w:rFonts w:eastAsiaTheme="minorEastAsia"/>
        </w:rPr>
        <w:t xml:space="preserve">is considering learnings from other jurisdictions and sectors to ensure future policy development aligns with a contemporary approach to the use, development and management of IP. </w:t>
      </w:r>
    </w:p>
    <w:p w14:paraId="640661D0" w14:textId="7F6D81A7" w:rsidR="004F6627" w:rsidRPr="00117A48" w:rsidRDefault="004F6627" w:rsidP="000E6B02">
      <w:pPr>
        <w:pStyle w:val="ListParagraph"/>
        <w:numPr>
          <w:ilvl w:val="0"/>
          <w:numId w:val="1"/>
        </w:numPr>
        <w:rPr>
          <w:u w:val="single"/>
        </w:rPr>
      </w:pPr>
      <w:r w:rsidRPr="69D5626B">
        <w:rPr>
          <w:rFonts w:asciiTheme="minorHAnsi" w:eastAsiaTheme="minorEastAsia" w:hAnsiTheme="minorHAnsi" w:cstheme="minorBidi"/>
        </w:rPr>
        <w:t xml:space="preserve">Stakeholder feedback to the Review to date, </w:t>
      </w:r>
      <w:r w:rsidRPr="00DC5701">
        <w:t>has highlighted that the current</w:t>
      </w:r>
      <w:r w:rsidR="00C7091A">
        <w:br w:type="textWrapping" w:clear="all"/>
      </w:r>
      <w:r w:rsidR="009A07F4">
        <w:t>WA Government IP Policy</w:t>
      </w:r>
      <w:r w:rsidRPr="00DC5701">
        <w:t xml:space="preserve"> does not provide sufficient guidance to WA </w:t>
      </w:r>
      <w:r w:rsidR="00924426">
        <w:t xml:space="preserve">Government </w:t>
      </w:r>
      <w:r w:rsidRPr="00DC5701">
        <w:t xml:space="preserve">agencies to effectively facilitate positive benefits from IP, including lack of clarity around pathways to commercialisation, </w:t>
      </w:r>
      <w:r w:rsidR="00E06B2D" w:rsidRPr="00DC5701">
        <w:t xml:space="preserve">which may lead to </w:t>
      </w:r>
      <w:r w:rsidRPr="00DC5701">
        <w:t>opportunity loss for the State.</w:t>
      </w:r>
      <w:r w:rsidRPr="00DC5701">
        <w:rPr>
          <w:u w:val="single"/>
        </w:rPr>
        <w:t xml:space="preserve"> </w:t>
      </w:r>
    </w:p>
    <w:p w14:paraId="44D1C672" w14:textId="184D51A4" w:rsidR="000B190F" w:rsidRPr="000B190F" w:rsidRDefault="009840EF" w:rsidP="000B190F">
      <w:pPr>
        <w:pStyle w:val="ListParagraph"/>
        <w:numPr>
          <w:ilvl w:val="0"/>
          <w:numId w:val="1"/>
        </w:numPr>
        <w:rPr>
          <w:rFonts w:asciiTheme="minorHAnsi" w:eastAsiaTheme="minorEastAsia" w:hAnsiTheme="minorHAnsi" w:cstheme="minorBidi"/>
        </w:rPr>
      </w:pPr>
      <w:r>
        <w:t xml:space="preserve">IP created within </w:t>
      </w:r>
      <w:r w:rsidR="00924426">
        <w:t xml:space="preserve">the WA </w:t>
      </w:r>
      <w:r>
        <w:t xml:space="preserve">Government potentially has a broad range of applications and wider benefits across the community, however the absence of clear policy guidance may lead to ‘opportunity loss’ for the State. </w:t>
      </w:r>
      <w:r w:rsidRPr="000B190F">
        <w:rPr>
          <w:rFonts w:eastAsiaTheme="minorEastAsia"/>
        </w:rPr>
        <w:t xml:space="preserve">It is anticipated that an updated WA Government IP Policy that </w:t>
      </w:r>
      <w:r>
        <w:rPr>
          <w:rFonts w:eastAsiaTheme="minorEastAsia"/>
        </w:rPr>
        <w:t>provides clarity and guidance on best practice may contribute to</w:t>
      </w:r>
      <w:r w:rsidR="00924426">
        <w:rPr>
          <w:rFonts w:eastAsiaTheme="minorEastAsia"/>
        </w:rPr>
        <w:t xml:space="preserve"> </w:t>
      </w:r>
      <w:r w:rsidRPr="000B190F">
        <w:rPr>
          <w:rFonts w:eastAsiaTheme="minorEastAsia"/>
        </w:rPr>
        <w:t xml:space="preserve">a </w:t>
      </w:r>
      <w:r w:rsidR="00924426">
        <w:rPr>
          <w:rFonts w:eastAsiaTheme="minorEastAsia"/>
        </w:rPr>
        <w:t xml:space="preserve">more </w:t>
      </w:r>
      <w:r w:rsidRPr="000B190F">
        <w:rPr>
          <w:rFonts w:eastAsiaTheme="minorEastAsia"/>
        </w:rPr>
        <w:t xml:space="preserve">positive operating environment for IP development in </w:t>
      </w:r>
      <w:r>
        <w:rPr>
          <w:rFonts w:eastAsiaTheme="minorEastAsia"/>
        </w:rPr>
        <w:t>W</w:t>
      </w:r>
      <w:r w:rsidR="00C7091A">
        <w:rPr>
          <w:rFonts w:eastAsiaTheme="minorEastAsia"/>
        </w:rPr>
        <w:t>estern Australia</w:t>
      </w:r>
      <w:r w:rsidR="00E14EFA" w:rsidRPr="002A1594">
        <w:t>.</w:t>
      </w:r>
    </w:p>
    <w:p w14:paraId="3F6CDD71" w14:textId="77777777" w:rsidR="00CA2A79" w:rsidRPr="009840EF" w:rsidRDefault="00B6667B" w:rsidP="00124C21">
      <w:pPr>
        <w:pStyle w:val="ListParagraph"/>
        <w:numPr>
          <w:ilvl w:val="0"/>
          <w:numId w:val="1"/>
        </w:numPr>
        <w:rPr>
          <w:rFonts w:asciiTheme="minorHAnsi" w:eastAsiaTheme="minorEastAsia" w:hAnsiTheme="minorHAnsi" w:cstheme="minorBidi"/>
        </w:rPr>
      </w:pPr>
      <w:r w:rsidRPr="009840EF">
        <w:rPr>
          <w:rFonts w:eastAsiaTheme="minorEastAsia"/>
        </w:rPr>
        <w:lastRenderedPageBreak/>
        <w:t>The following learnings provide example</w:t>
      </w:r>
      <w:r w:rsidR="00D62E69" w:rsidRPr="009840EF">
        <w:rPr>
          <w:rFonts w:eastAsiaTheme="minorEastAsia"/>
        </w:rPr>
        <w:t>s</w:t>
      </w:r>
      <w:r w:rsidRPr="009840EF">
        <w:rPr>
          <w:rFonts w:eastAsiaTheme="minorEastAsia"/>
        </w:rPr>
        <w:t xml:space="preserve"> where the State experienced opportunity loss in IP and the learnings that can be drawn to provide an updated IP Policy that assists in facilitating beneficial outcomes for the State</w:t>
      </w:r>
      <w:r w:rsidR="00594B09" w:rsidRPr="009840EF">
        <w:rPr>
          <w:rFonts w:eastAsiaTheme="minorEastAsia"/>
        </w:rPr>
        <w:t>.</w:t>
      </w:r>
    </w:p>
    <w:p w14:paraId="51F787A0" w14:textId="5B4637E0" w:rsidR="004F6627" w:rsidRDefault="004F6627" w:rsidP="00D37BEA">
      <w:pPr>
        <w:pStyle w:val="Bullet"/>
        <w:numPr>
          <w:ilvl w:val="0"/>
          <w:numId w:val="0"/>
        </w:numPr>
        <w:pBdr>
          <w:top w:val="single" w:sz="12" w:space="1" w:color="041049" w:themeColor="text2"/>
          <w:left w:val="single" w:sz="12" w:space="1" w:color="041049" w:themeColor="text2"/>
          <w:bottom w:val="single" w:sz="12" w:space="1" w:color="041049" w:themeColor="text2"/>
          <w:right w:val="single" w:sz="12" w:space="4" w:color="041049" w:themeColor="text2"/>
        </w:pBdr>
        <w:rPr>
          <w:rStyle w:val="eop"/>
          <w:b/>
          <w:bCs/>
          <w:i/>
          <w:iCs/>
        </w:rPr>
      </w:pPr>
      <w:r w:rsidRPr="69D5626B">
        <w:rPr>
          <w:rStyle w:val="eop"/>
          <w:b/>
          <w:bCs/>
          <w:i/>
          <w:iCs/>
        </w:rPr>
        <w:t>Case study</w:t>
      </w:r>
      <w:r w:rsidR="006276BB">
        <w:rPr>
          <w:rStyle w:val="eop"/>
          <w:b/>
          <w:bCs/>
          <w:i/>
          <w:iCs/>
        </w:rPr>
        <w:t xml:space="preserve">: </w:t>
      </w:r>
      <w:r w:rsidR="006276BB" w:rsidRPr="006276BB">
        <w:rPr>
          <w:rFonts w:asciiTheme="minorHAnsi" w:hAnsiTheme="minorHAnsi" w:cstheme="minorHAnsi"/>
          <w:b/>
          <w:bCs/>
          <w:i/>
          <w:iCs/>
        </w:rPr>
        <w:t>Pink Lady</w:t>
      </w:r>
      <w:r w:rsidR="006276BB" w:rsidRPr="006276BB">
        <w:rPr>
          <w:rFonts w:asciiTheme="minorHAnsi" w:hAnsiTheme="minorHAnsi" w:cstheme="minorHAnsi"/>
          <w:b/>
          <w:bCs/>
          <w:i/>
          <w:iCs/>
          <w:vertAlign w:val="superscript"/>
        </w:rPr>
        <w:t>®</w:t>
      </w:r>
      <w:r w:rsidR="006276BB" w:rsidRPr="006276BB">
        <w:rPr>
          <w:rFonts w:asciiTheme="minorHAnsi" w:hAnsiTheme="minorHAnsi" w:cstheme="minorHAnsi"/>
          <w:b/>
          <w:bCs/>
          <w:i/>
          <w:iCs/>
        </w:rPr>
        <w:t xml:space="preserve"> Apple</w:t>
      </w:r>
    </w:p>
    <w:p w14:paraId="515570DF" w14:textId="4F124430" w:rsidR="004F6627" w:rsidRPr="004F6627" w:rsidRDefault="004F6627" w:rsidP="00D37BEA">
      <w:pPr>
        <w:pStyle w:val="paragraph"/>
        <w:pBdr>
          <w:top w:val="single" w:sz="12" w:space="1" w:color="041049" w:themeColor="text2"/>
          <w:left w:val="single" w:sz="12" w:space="1" w:color="041049" w:themeColor="text2"/>
          <w:bottom w:val="single" w:sz="12" w:space="1" w:color="041049" w:themeColor="text2"/>
          <w:right w:val="single" w:sz="12" w:space="4" w:color="041049" w:themeColor="text2"/>
        </w:pBdr>
        <w:spacing w:before="0" w:beforeAutospacing="0" w:after="200" w:afterAutospacing="0" w:line="276" w:lineRule="auto"/>
        <w:jc w:val="both"/>
        <w:rPr>
          <w:rStyle w:val="eop"/>
          <w:rFonts w:asciiTheme="minorHAnsi" w:hAnsiTheme="minorHAnsi" w:cstheme="minorHAnsi"/>
          <w:b/>
          <w:bCs/>
          <w:i/>
          <w:iCs/>
          <w:color w:val="272727" w:themeColor="accent1" w:themeShade="80"/>
        </w:rPr>
      </w:pPr>
      <w:r w:rsidRPr="00D14CE0">
        <w:rPr>
          <w:rFonts w:asciiTheme="minorHAnsi" w:hAnsiTheme="minorHAnsi" w:cstheme="minorHAnsi"/>
        </w:rPr>
        <w:t>At the time of the development of the Pink Lady</w:t>
      </w:r>
      <w:r w:rsidR="00D14CE0" w:rsidRPr="002A1594">
        <w:rPr>
          <w:rFonts w:asciiTheme="minorHAnsi" w:hAnsiTheme="minorHAnsi" w:cstheme="minorHAnsi"/>
          <w:vertAlign w:val="superscript"/>
        </w:rPr>
        <w:t>®</w:t>
      </w:r>
      <w:r w:rsidR="00D14CE0">
        <w:rPr>
          <w:rFonts w:asciiTheme="minorHAnsi" w:hAnsiTheme="minorHAnsi" w:cstheme="minorHAnsi"/>
        </w:rPr>
        <w:t xml:space="preserve"> </w:t>
      </w:r>
      <w:r w:rsidRPr="00D14CE0">
        <w:rPr>
          <w:rFonts w:asciiTheme="minorHAnsi" w:hAnsiTheme="minorHAnsi" w:cstheme="minorHAnsi"/>
        </w:rPr>
        <w:t>Apple in W</w:t>
      </w:r>
      <w:r w:rsidR="00984FA1">
        <w:rPr>
          <w:rFonts w:asciiTheme="minorHAnsi" w:hAnsiTheme="minorHAnsi" w:cstheme="minorHAnsi"/>
        </w:rPr>
        <w:t>estern Australia</w:t>
      </w:r>
      <w:r w:rsidRPr="00D14CE0">
        <w:rPr>
          <w:rFonts w:asciiTheme="minorHAnsi" w:hAnsiTheme="minorHAnsi" w:cstheme="minorHAnsi"/>
        </w:rPr>
        <w:t>, the then responsible agency Agriculture Western Australia (AGWEST) did not seek any protection for the IP. As a result, AGWEST did not</w:t>
      </w:r>
      <w:r w:rsidR="00B82575">
        <w:rPr>
          <w:rFonts w:asciiTheme="minorHAnsi" w:hAnsiTheme="minorHAnsi" w:cstheme="minorHAnsi"/>
        </w:rPr>
        <w:t xml:space="preserve"> initially</w:t>
      </w:r>
      <w:r w:rsidRPr="00D14CE0">
        <w:rPr>
          <w:rFonts w:asciiTheme="minorHAnsi" w:hAnsiTheme="minorHAnsi" w:cstheme="minorHAnsi"/>
        </w:rPr>
        <w:t xml:space="preserve"> receive any income or royalties from the international use of the Pink Lady</w:t>
      </w:r>
      <w:r w:rsidR="00D14CE0" w:rsidRPr="00241C3C">
        <w:rPr>
          <w:rFonts w:asciiTheme="minorHAnsi" w:hAnsiTheme="minorHAnsi" w:cstheme="minorHAnsi"/>
          <w:vertAlign w:val="superscript"/>
        </w:rPr>
        <w:t>®</w:t>
      </w:r>
      <w:r w:rsidRPr="00D14CE0">
        <w:rPr>
          <w:rFonts w:asciiTheme="minorHAnsi" w:hAnsiTheme="minorHAnsi" w:cstheme="minorHAnsi"/>
        </w:rPr>
        <w:t xml:space="preserve"> trademark or from the propagation or the sale of Pink Lady</w:t>
      </w:r>
      <w:r w:rsidR="00D14CE0" w:rsidRPr="00241C3C">
        <w:rPr>
          <w:rFonts w:asciiTheme="minorHAnsi" w:hAnsiTheme="minorHAnsi" w:cstheme="minorHAnsi"/>
          <w:vertAlign w:val="superscript"/>
        </w:rPr>
        <w:t>®</w:t>
      </w:r>
      <w:r w:rsidRPr="00D14CE0">
        <w:rPr>
          <w:rFonts w:asciiTheme="minorHAnsi" w:hAnsiTheme="minorHAnsi" w:cstheme="minorHAnsi"/>
        </w:rPr>
        <w:t xml:space="preserve"> apples in Australia.</w:t>
      </w:r>
      <w:r w:rsidRPr="00D14CE0">
        <w:rPr>
          <w:rStyle w:val="FootnoteReference"/>
          <w:rFonts w:asciiTheme="minorHAnsi" w:hAnsiTheme="minorHAnsi" w:cstheme="minorHAnsi"/>
        </w:rPr>
        <w:footnoteReference w:id="3"/>
      </w:r>
      <w:r w:rsidRPr="00D14CE0">
        <w:rPr>
          <w:rFonts w:asciiTheme="minorHAnsi" w:hAnsiTheme="minorHAnsi" w:cstheme="minorHAnsi"/>
        </w:rPr>
        <w:t xml:space="preserve"> </w:t>
      </w:r>
    </w:p>
    <w:p w14:paraId="42352FB3" w14:textId="56B0089D" w:rsidR="00415EFB" w:rsidRDefault="00553E11" w:rsidP="00D37BEA">
      <w:pPr>
        <w:pStyle w:val="paragraph"/>
        <w:pBdr>
          <w:top w:val="single" w:sz="12" w:space="1" w:color="041049" w:themeColor="text2"/>
          <w:left w:val="single" w:sz="12" w:space="1" w:color="041049" w:themeColor="text2"/>
          <w:bottom w:val="single" w:sz="12" w:space="1" w:color="041049" w:themeColor="text2"/>
          <w:right w:val="single" w:sz="12" w:space="1" w:color="041049" w:themeColor="text2"/>
        </w:pBdr>
        <w:spacing w:before="0" w:beforeAutospacing="0" w:after="200" w:afterAutospacing="0" w:line="276" w:lineRule="auto"/>
        <w:jc w:val="both"/>
        <w:rPr>
          <w:rStyle w:val="eop"/>
          <w:rFonts w:ascii="Arial" w:hAnsi="Arial" w:cs="Arial"/>
          <w:b/>
          <w:bCs/>
          <w:i/>
          <w:iCs/>
          <w:color w:val="272727" w:themeColor="accent1" w:themeShade="80"/>
        </w:rPr>
      </w:pPr>
      <w:r w:rsidRPr="69D5626B">
        <w:rPr>
          <w:rStyle w:val="eop"/>
          <w:rFonts w:ascii="Arial" w:hAnsi="Arial" w:cs="Arial"/>
          <w:b/>
          <w:bCs/>
          <w:i/>
          <w:iCs/>
          <w:color w:val="272727" w:themeColor="accent1" w:themeShade="80"/>
        </w:rPr>
        <w:t>Case study</w:t>
      </w:r>
      <w:r w:rsidR="006276BB">
        <w:rPr>
          <w:rStyle w:val="eop"/>
          <w:rFonts w:ascii="Arial" w:hAnsi="Arial" w:cs="Arial"/>
          <w:b/>
          <w:bCs/>
          <w:i/>
          <w:iCs/>
          <w:color w:val="272727" w:themeColor="accent1" w:themeShade="80"/>
        </w:rPr>
        <w:t xml:space="preserve">: </w:t>
      </w:r>
      <w:r w:rsidR="003D170C">
        <w:rPr>
          <w:rStyle w:val="eop"/>
          <w:rFonts w:ascii="Arial" w:hAnsi="Arial" w:cs="Arial"/>
          <w:b/>
          <w:bCs/>
          <w:i/>
          <w:iCs/>
          <w:color w:val="272727" w:themeColor="accent1" w:themeShade="80"/>
        </w:rPr>
        <w:t>Zenith Endograft</w:t>
      </w:r>
      <w:r w:rsidR="00CB1F34">
        <w:rPr>
          <w:rStyle w:val="FootnoteReference"/>
          <w:rFonts w:ascii="Arial" w:hAnsi="Arial" w:cs="Arial"/>
          <w:b/>
          <w:bCs/>
          <w:i/>
          <w:iCs/>
          <w:color w:val="272727" w:themeColor="accent1" w:themeShade="80"/>
        </w:rPr>
        <w:footnoteReference w:id="4"/>
      </w:r>
    </w:p>
    <w:p w14:paraId="730F8CD8" w14:textId="37648079" w:rsidR="004F14A4" w:rsidRPr="00F66202" w:rsidRDefault="00173A4F" w:rsidP="00D37BEA">
      <w:pPr>
        <w:pStyle w:val="BodyText"/>
        <w:pBdr>
          <w:top w:val="single" w:sz="12" w:space="1" w:color="041049" w:themeColor="text2"/>
          <w:left w:val="single" w:sz="12" w:space="1" w:color="041049" w:themeColor="text2"/>
          <w:bottom w:val="single" w:sz="12" w:space="1" w:color="041049" w:themeColor="text2"/>
          <w:right w:val="single" w:sz="12" w:space="1" w:color="041049" w:themeColor="text2"/>
        </w:pBdr>
        <w:rPr>
          <w:rFonts w:cstheme="minorHAnsi"/>
          <w:color w:val="auto"/>
          <w:lang w:eastAsia="en-AU"/>
        </w:rPr>
      </w:pPr>
      <w:r w:rsidRPr="00F66202">
        <w:rPr>
          <w:rFonts w:cstheme="minorHAnsi"/>
          <w:color w:val="auto"/>
          <w:lang w:eastAsia="en-AU"/>
        </w:rPr>
        <w:t xml:space="preserve">An invention from Western Australia has saved thousands of patients’ lives. </w:t>
      </w:r>
      <w:r w:rsidR="00415EFB" w:rsidRPr="00F66202">
        <w:rPr>
          <w:rFonts w:cstheme="minorHAnsi"/>
          <w:color w:val="auto"/>
          <w:lang w:eastAsia="en-AU"/>
        </w:rPr>
        <w:t>The Zenith Endograft</w:t>
      </w:r>
      <w:r w:rsidR="00111B09" w:rsidRPr="00F66202">
        <w:rPr>
          <w:rFonts w:cstheme="minorHAnsi"/>
          <w:color w:val="auto"/>
          <w:lang w:eastAsia="en-AU"/>
        </w:rPr>
        <w:t xml:space="preserve"> </w:t>
      </w:r>
      <w:r w:rsidR="00AD6F0C" w:rsidRPr="00F66202">
        <w:rPr>
          <w:rFonts w:cstheme="minorHAnsi"/>
          <w:color w:val="auto"/>
          <w:lang w:eastAsia="en-AU"/>
        </w:rPr>
        <w:t>technology</w:t>
      </w:r>
      <w:r w:rsidRPr="00F66202">
        <w:rPr>
          <w:rFonts w:cstheme="minorHAnsi"/>
          <w:color w:val="auto"/>
          <w:lang w:eastAsia="en-AU"/>
        </w:rPr>
        <w:t xml:space="preserve">, invented by Professors Michael Lawrence Brown and David Hartley, </w:t>
      </w:r>
      <w:r w:rsidR="00415EFB" w:rsidRPr="00F66202">
        <w:rPr>
          <w:rFonts w:cstheme="minorHAnsi"/>
          <w:color w:val="auto"/>
          <w:lang w:eastAsia="en-AU"/>
        </w:rPr>
        <w:t>repairs abdominal aortic aneurysms</w:t>
      </w:r>
      <w:r w:rsidRPr="00F66202">
        <w:rPr>
          <w:rFonts w:cstheme="minorHAnsi"/>
          <w:color w:val="auto"/>
          <w:lang w:eastAsia="en-AU"/>
        </w:rPr>
        <w:t>. The technology has since been licensed to an</w:t>
      </w:r>
      <w:r w:rsidR="00415EFB" w:rsidRPr="00F66202">
        <w:rPr>
          <w:rFonts w:cstheme="minorHAnsi"/>
          <w:color w:val="auto"/>
          <w:lang w:eastAsia="en-AU"/>
        </w:rPr>
        <w:t xml:space="preserve"> out of State company which manufactures and exports stents to global clients</w:t>
      </w:r>
      <w:r w:rsidRPr="00F66202">
        <w:rPr>
          <w:rFonts w:cstheme="minorHAnsi"/>
          <w:color w:val="auto"/>
          <w:lang w:eastAsia="en-AU"/>
        </w:rPr>
        <w:t>, which highlights</w:t>
      </w:r>
      <w:r w:rsidR="0023734A" w:rsidRPr="00F66202">
        <w:rPr>
          <w:rFonts w:cstheme="minorHAnsi"/>
          <w:color w:val="auto"/>
          <w:lang w:eastAsia="en-AU"/>
        </w:rPr>
        <w:t xml:space="preserve"> the risk of lost IP, talent, jobs</w:t>
      </w:r>
      <w:r w:rsidR="003D536A" w:rsidRPr="00F66202">
        <w:rPr>
          <w:rFonts w:cstheme="minorHAnsi"/>
          <w:color w:val="auto"/>
          <w:lang w:eastAsia="en-AU"/>
        </w:rPr>
        <w:t>, industry and economic</w:t>
      </w:r>
      <w:r w:rsidR="0023734A" w:rsidRPr="00F66202">
        <w:rPr>
          <w:rFonts w:cstheme="minorHAnsi"/>
          <w:color w:val="auto"/>
          <w:lang w:eastAsia="en-AU"/>
        </w:rPr>
        <w:t xml:space="preserve"> growth for the State.</w:t>
      </w:r>
    </w:p>
    <w:p w14:paraId="6D11361A" w14:textId="6A026095" w:rsidR="007408CF" w:rsidRDefault="007408CF" w:rsidP="00984FA1">
      <w:pPr>
        <w:pStyle w:val="Heading2"/>
        <w:spacing w:before="60" w:beforeAutospacing="0" w:after="60" w:afterAutospacing="0"/>
        <w:ind w:left="567" w:hanging="578"/>
        <w:jc w:val="both"/>
      </w:pPr>
      <w:bookmarkStart w:id="154" w:name="_Toc106961412"/>
      <w:bookmarkStart w:id="155" w:name="_Toc106968002"/>
      <w:bookmarkStart w:id="156" w:name="_Toc106971817"/>
      <w:bookmarkStart w:id="157" w:name="_Toc102657777"/>
      <w:bookmarkStart w:id="158" w:name="_Toc102657778"/>
      <w:bookmarkStart w:id="159" w:name="_Toc101971640"/>
      <w:bookmarkStart w:id="160" w:name="_Toc104976286"/>
      <w:bookmarkStart w:id="161" w:name="_Toc114829896"/>
      <w:bookmarkEnd w:id="154"/>
      <w:bookmarkEnd w:id="155"/>
      <w:bookmarkEnd w:id="156"/>
      <w:bookmarkEnd w:id="157"/>
      <w:bookmarkEnd w:id="158"/>
      <w:r>
        <w:t>Barriers</w:t>
      </w:r>
      <w:bookmarkEnd w:id="159"/>
      <w:bookmarkEnd w:id="160"/>
      <w:bookmarkEnd w:id="161"/>
      <w:r w:rsidR="38DBCDD7">
        <w:t xml:space="preserve"> </w:t>
      </w:r>
    </w:p>
    <w:p w14:paraId="11C2D84C" w14:textId="3CDDB4DB" w:rsidR="002A1594" w:rsidRPr="00146F84" w:rsidRDefault="00924426" w:rsidP="00984FA1">
      <w:pPr>
        <w:pStyle w:val="Bullet"/>
        <w:spacing w:after="160" w:line="259" w:lineRule="auto"/>
        <w:ind w:left="397" w:hanging="397"/>
      </w:pPr>
      <w:r>
        <w:t>Some stakeholders within the W</w:t>
      </w:r>
      <w:r w:rsidR="00984FA1">
        <w:t>estern Australia</w:t>
      </w:r>
      <w:r w:rsidR="005B55AA">
        <w:t>n</w:t>
      </w:r>
      <w:r>
        <w:t xml:space="preserve"> public sector have identified t</w:t>
      </w:r>
      <w:r w:rsidR="007408CF">
        <w:t xml:space="preserve">he current </w:t>
      </w:r>
      <w:r w:rsidR="009A07F4">
        <w:t>WA Government IP Policy</w:t>
      </w:r>
      <w:r w:rsidR="007408CF">
        <w:t xml:space="preserve"> Framework as a barrier to innovation. Feedback has asserted that it does not encourage the commercialisation of IP generated by public sector employees. As a consequence, the State is not receiving maximum potential benefits from the ideas and inventions of public sector employees, or capitalising on linkages to broader reform agendas. </w:t>
      </w:r>
    </w:p>
    <w:p w14:paraId="01CE86EB" w14:textId="316AF63F" w:rsidR="00E41BCA" w:rsidRDefault="007408CF" w:rsidP="00984FA1">
      <w:pPr>
        <w:pStyle w:val="Bullet"/>
        <w:ind w:left="397" w:hanging="397"/>
      </w:pPr>
      <w:r>
        <w:t xml:space="preserve">Previous stakeholder feedback has identified that the current </w:t>
      </w:r>
      <w:r w:rsidR="009A07F4">
        <w:t>WA Government IP Policy</w:t>
      </w:r>
      <w:r>
        <w:t xml:space="preserve">: </w:t>
      </w:r>
    </w:p>
    <w:p w14:paraId="49B79864" w14:textId="2920961A" w:rsidR="00A60192" w:rsidRDefault="00924426" w:rsidP="00984FA1">
      <w:pPr>
        <w:pStyle w:val="ListParagraph"/>
        <w:ind w:left="794" w:hanging="397"/>
      </w:pPr>
      <w:r>
        <w:t xml:space="preserve">does </w:t>
      </w:r>
      <w:r w:rsidR="00A60192">
        <w:t xml:space="preserve">not provide sufficient </w:t>
      </w:r>
      <w:r w:rsidR="00C1527D">
        <w:t xml:space="preserve">information </w:t>
      </w:r>
      <w:r w:rsidR="00A60192">
        <w:t xml:space="preserve">on IP </w:t>
      </w:r>
      <w:r w:rsidR="003D170C">
        <w:t>ownership;</w:t>
      </w:r>
    </w:p>
    <w:p w14:paraId="77F69AF4" w14:textId="622B3A36" w:rsidR="00A60192" w:rsidRDefault="00924426" w:rsidP="00984FA1">
      <w:pPr>
        <w:pStyle w:val="ListParagraph"/>
        <w:ind w:left="794" w:hanging="397"/>
      </w:pPr>
      <w:r>
        <w:t xml:space="preserve">provides </w:t>
      </w:r>
      <w:r w:rsidR="00A60192">
        <w:t xml:space="preserve">limited guidance for agencies with respect to the development, </w:t>
      </w:r>
      <w:r w:rsidR="003D170C">
        <w:t>ownership,</w:t>
      </w:r>
      <w:r w:rsidR="00A60192">
        <w:t xml:space="preserve"> and use of IP; and</w:t>
      </w:r>
    </w:p>
    <w:p w14:paraId="6B57FB33" w14:textId="2F65107F" w:rsidR="007408CF" w:rsidRDefault="00924426" w:rsidP="00984FA1">
      <w:pPr>
        <w:pStyle w:val="ListParagraph"/>
        <w:ind w:left="794" w:hanging="397"/>
      </w:pPr>
      <w:r>
        <w:t xml:space="preserve">lacks </w:t>
      </w:r>
      <w:r w:rsidR="00C1527D">
        <w:t>guidance regarding commercialisation pathways.</w:t>
      </w:r>
      <w:r w:rsidR="007408CF">
        <w:t xml:space="preserve"> </w:t>
      </w:r>
    </w:p>
    <w:p w14:paraId="6BA19383" w14:textId="6504C872" w:rsidR="007408CF" w:rsidRDefault="007408CF" w:rsidP="00984FA1">
      <w:pPr>
        <w:pStyle w:val="Bullet"/>
        <w:ind w:left="397" w:hanging="397"/>
      </w:pPr>
      <w:r>
        <w:t>From stakeholder feedback there appears to be limited awareness or use of the current mechanism for financial</w:t>
      </w:r>
      <w:r w:rsidR="38DBCDD7">
        <w:t xml:space="preserve"> </w:t>
      </w:r>
      <w:r>
        <w:t xml:space="preserve">rewards for innovative public sector employees under the 2003 Rewards Policy. </w:t>
      </w:r>
      <w:r w:rsidR="003D170C">
        <w:t>Previous</w:t>
      </w:r>
      <w:r>
        <w:t xml:space="preserve"> stakeholder feedback has noted that the employee rewards system does not provide the flexibility suited to the IP environment.</w:t>
      </w:r>
    </w:p>
    <w:p w14:paraId="513103EA" w14:textId="4B0E17DD" w:rsidR="007408CF" w:rsidRDefault="007408CF" w:rsidP="00984FA1">
      <w:pPr>
        <w:pStyle w:val="Bullet"/>
        <w:ind w:left="397" w:hanging="397"/>
      </w:pPr>
      <w:r>
        <w:lastRenderedPageBreak/>
        <w:t>Anecdotal evidence obtained during previous W</w:t>
      </w:r>
      <w:r w:rsidR="00984FA1">
        <w:t>estern Australia</w:t>
      </w:r>
      <w:r>
        <w:t xml:space="preserve"> reviews of the IP Policy also suggests that agencies seeking to commercialise IP have encountered difficulties due to:</w:t>
      </w:r>
    </w:p>
    <w:p w14:paraId="0CEDD2B1" w14:textId="77777777" w:rsidR="007408CF" w:rsidRDefault="007408CF" w:rsidP="00984FA1">
      <w:pPr>
        <w:pStyle w:val="ListParagraph"/>
        <w:ind w:left="794" w:hanging="397"/>
      </w:pPr>
      <w:r>
        <w:t>limited access to expertise and legal advice to assist with the commercialisation process; and</w:t>
      </w:r>
    </w:p>
    <w:p w14:paraId="2BC0393E" w14:textId="20CC141F" w:rsidR="4A07DACB" w:rsidRDefault="4A07DACB" w:rsidP="53F3630D">
      <w:pPr>
        <w:pStyle w:val="ListParagraph"/>
        <w:rPr>
          <w:rFonts w:asciiTheme="minorHAnsi" w:eastAsiaTheme="minorEastAsia" w:hAnsiTheme="minorHAnsi" w:cstheme="minorBidi"/>
          <w:b/>
          <w:bCs/>
        </w:rPr>
      </w:pPr>
      <w:r>
        <w:t xml:space="preserve">costs associated with commercialisation including lodging protective instruments and budgetary impacts offsetting the revenue received. </w:t>
      </w:r>
    </w:p>
    <w:p w14:paraId="0B331D44" w14:textId="6516BA72" w:rsidR="000B5F8C" w:rsidRDefault="006D7A8A" w:rsidP="00F43DFE">
      <w:pPr>
        <w:pStyle w:val="Heading1"/>
      </w:pPr>
      <w:bookmarkStart w:id="162" w:name="_Toc101971641"/>
      <w:bookmarkStart w:id="163" w:name="_Toc104976287"/>
      <w:bookmarkStart w:id="164" w:name="_Toc114829897"/>
      <w:bookmarkStart w:id="165" w:name="_Toc97301105"/>
      <w:bookmarkStart w:id="166" w:name="_Toc97903443"/>
      <w:r>
        <w:t xml:space="preserve">Australian </w:t>
      </w:r>
      <w:r w:rsidR="00823EA6">
        <w:t>Government</w:t>
      </w:r>
      <w:r w:rsidR="00924426">
        <w:t>s</w:t>
      </w:r>
      <w:r w:rsidR="00823EA6">
        <w:t xml:space="preserve"> </w:t>
      </w:r>
      <w:r>
        <w:t>and IP</w:t>
      </w:r>
      <w:bookmarkEnd w:id="162"/>
      <w:bookmarkEnd w:id="163"/>
      <w:bookmarkEnd w:id="164"/>
    </w:p>
    <w:p w14:paraId="00BCC432" w14:textId="618A3E09" w:rsidR="00F91632" w:rsidRPr="0012671F" w:rsidRDefault="00F91632" w:rsidP="00E71FE4">
      <w:pPr>
        <w:jc w:val="both"/>
        <w:rPr>
          <w:color w:val="272727" w:themeColor="accent1" w:themeShade="80"/>
        </w:rPr>
      </w:pPr>
      <w:r w:rsidRPr="0012671F">
        <w:rPr>
          <w:color w:val="272727" w:themeColor="accent1" w:themeShade="80"/>
        </w:rPr>
        <w:t>Between 2000 and 2020 170,993 patents</w:t>
      </w:r>
      <w:r w:rsidR="00022890">
        <w:rPr>
          <w:color w:val="272727" w:themeColor="accent1" w:themeShade="80"/>
        </w:rPr>
        <w:t>,</w:t>
      </w:r>
      <w:r w:rsidRPr="0012671F">
        <w:rPr>
          <w:color w:val="272727" w:themeColor="accent1" w:themeShade="80"/>
        </w:rPr>
        <w:t xml:space="preserve"> </w:t>
      </w:r>
      <w:r w:rsidR="006D7A8A" w:rsidRPr="0012671F">
        <w:rPr>
          <w:color w:val="272727" w:themeColor="accent1" w:themeShade="80"/>
        </w:rPr>
        <w:t>3,356</w:t>
      </w:r>
      <w:r w:rsidRPr="0012671F">
        <w:rPr>
          <w:color w:val="272727" w:themeColor="accent1" w:themeShade="80"/>
        </w:rPr>
        <w:t xml:space="preserve"> plant breeders</w:t>
      </w:r>
      <w:r w:rsidR="0055542F">
        <w:rPr>
          <w:color w:val="272727" w:themeColor="accent1" w:themeShade="80"/>
        </w:rPr>
        <w:t>’</w:t>
      </w:r>
      <w:r w:rsidRPr="0012671F">
        <w:rPr>
          <w:color w:val="272727" w:themeColor="accent1" w:themeShade="80"/>
        </w:rPr>
        <w:t xml:space="preserve"> rights </w:t>
      </w:r>
      <w:r w:rsidR="00022890">
        <w:rPr>
          <w:color w:val="272727" w:themeColor="accent1" w:themeShade="80"/>
        </w:rPr>
        <w:t xml:space="preserve">and 1,141,988 trademarks </w:t>
      </w:r>
      <w:r w:rsidRPr="0012671F">
        <w:rPr>
          <w:color w:val="272727" w:themeColor="accent1" w:themeShade="80"/>
        </w:rPr>
        <w:t>were granted in Australia</w:t>
      </w:r>
      <w:r w:rsidR="006D7A8A" w:rsidRPr="0012671F">
        <w:rPr>
          <w:color w:val="272727" w:themeColor="accent1" w:themeShade="80"/>
        </w:rPr>
        <w:t xml:space="preserve">, with applications originating from </w:t>
      </w:r>
      <w:r w:rsidR="00FB5F0C" w:rsidRPr="0012671F">
        <w:rPr>
          <w:color w:val="272727" w:themeColor="accent1" w:themeShade="80"/>
        </w:rPr>
        <w:t>1</w:t>
      </w:r>
      <w:r w:rsidR="00FB5F0C">
        <w:rPr>
          <w:color w:val="272727" w:themeColor="accent1" w:themeShade="80"/>
        </w:rPr>
        <w:t>53</w:t>
      </w:r>
      <w:r w:rsidR="00FB5F0C" w:rsidRPr="0012671F">
        <w:rPr>
          <w:color w:val="272727" w:themeColor="accent1" w:themeShade="80"/>
        </w:rPr>
        <w:t xml:space="preserve"> </w:t>
      </w:r>
      <w:r w:rsidRPr="0012671F">
        <w:rPr>
          <w:color w:val="272727" w:themeColor="accent1" w:themeShade="80"/>
        </w:rPr>
        <w:t>countries</w:t>
      </w:r>
      <w:r w:rsidR="000055CA" w:rsidRPr="0012671F">
        <w:rPr>
          <w:rStyle w:val="FootnoteReference"/>
          <w:color w:val="272727" w:themeColor="accent1" w:themeShade="80"/>
        </w:rPr>
        <w:footnoteReference w:id="5"/>
      </w:r>
      <w:r w:rsidR="00C30958" w:rsidRPr="0012671F">
        <w:rPr>
          <w:color w:val="272727" w:themeColor="accent1" w:themeShade="80"/>
        </w:rPr>
        <w:t xml:space="preserve">. Australian organisations </w:t>
      </w:r>
      <w:r w:rsidRPr="0012671F">
        <w:rPr>
          <w:color w:val="272727" w:themeColor="accent1" w:themeShade="80"/>
        </w:rPr>
        <w:t xml:space="preserve">accounted for </w:t>
      </w:r>
      <w:r w:rsidR="00742F0D">
        <w:rPr>
          <w:color w:val="272727" w:themeColor="accent1" w:themeShade="80"/>
        </w:rPr>
        <w:t>50</w:t>
      </w:r>
      <w:r w:rsidR="00E9264A">
        <w:rPr>
          <w:color w:val="272727" w:themeColor="accent1" w:themeShade="80"/>
        </w:rPr>
        <w:t xml:space="preserve"> percent</w:t>
      </w:r>
      <w:r w:rsidRPr="0012671F">
        <w:rPr>
          <w:color w:val="272727" w:themeColor="accent1" w:themeShade="80"/>
        </w:rPr>
        <w:t xml:space="preserve"> of the</w:t>
      </w:r>
      <w:r w:rsidR="006D7A8A" w:rsidRPr="0012671F">
        <w:rPr>
          <w:color w:val="272727" w:themeColor="accent1" w:themeShade="80"/>
        </w:rPr>
        <w:t xml:space="preserve"> IP </w:t>
      </w:r>
      <w:r w:rsidR="006B7559" w:rsidRPr="0012671F">
        <w:rPr>
          <w:color w:val="272727" w:themeColor="accent1" w:themeShade="80"/>
        </w:rPr>
        <w:t>protections</w:t>
      </w:r>
      <w:r w:rsidR="006D7A8A" w:rsidRPr="0012671F">
        <w:rPr>
          <w:color w:val="272727" w:themeColor="accent1" w:themeShade="80"/>
        </w:rPr>
        <w:t xml:space="preserve"> registered during this period (8</w:t>
      </w:r>
      <w:r w:rsidR="00E9264A">
        <w:rPr>
          <w:color w:val="272727" w:themeColor="accent1" w:themeShade="80"/>
        </w:rPr>
        <w:t xml:space="preserve"> per cent</w:t>
      </w:r>
      <w:r w:rsidR="006D7A8A" w:rsidRPr="0012671F">
        <w:rPr>
          <w:color w:val="272727" w:themeColor="accent1" w:themeShade="80"/>
        </w:rPr>
        <w:t xml:space="preserve"> of patents</w:t>
      </w:r>
      <w:r w:rsidR="002C086D">
        <w:rPr>
          <w:color w:val="272727" w:themeColor="accent1" w:themeShade="80"/>
        </w:rPr>
        <w:t xml:space="preserve">, </w:t>
      </w:r>
      <w:r w:rsidR="006D7A8A" w:rsidRPr="0012671F">
        <w:rPr>
          <w:color w:val="272727" w:themeColor="accent1" w:themeShade="80"/>
        </w:rPr>
        <w:t>43</w:t>
      </w:r>
      <w:r w:rsidR="00E9264A">
        <w:rPr>
          <w:color w:val="272727" w:themeColor="accent1" w:themeShade="80"/>
        </w:rPr>
        <w:t xml:space="preserve"> per cent</w:t>
      </w:r>
      <w:r w:rsidR="006D7A8A" w:rsidRPr="0012671F">
        <w:rPr>
          <w:color w:val="272727" w:themeColor="accent1" w:themeShade="80"/>
        </w:rPr>
        <w:t xml:space="preserve"> of plant breeders</w:t>
      </w:r>
      <w:r w:rsidR="00D75B24">
        <w:rPr>
          <w:color w:val="272727" w:themeColor="accent1" w:themeShade="80"/>
        </w:rPr>
        <w:t>’</w:t>
      </w:r>
      <w:r w:rsidR="006D7A8A" w:rsidRPr="0012671F">
        <w:rPr>
          <w:color w:val="272727" w:themeColor="accent1" w:themeShade="80"/>
        </w:rPr>
        <w:t xml:space="preserve"> rights </w:t>
      </w:r>
      <w:r w:rsidR="002C086D">
        <w:rPr>
          <w:color w:val="272727" w:themeColor="accent1" w:themeShade="80"/>
        </w:rPr>
        <w:t xml:space="preserve">and </w:t>
      </w:r>
      <w:r w:rsidR="00245C77">
        <w:rPr>
          <w:color w:val="272727" w:themeColor="accent1" w:themeShade="80"/>
        </w:rPr>
        <w:t>56</w:t>
      </w:r>
      <w:r w:rsidR="00E9264A">
        <w:rPr>
          <w:color w:val="272727" w:themeColor="accent1" w:themeShade="80"/>
        </w:rPr>
        <w:t xml:space="preserve"> per cent</w:t>
      </w:r>
      <w:r w:rsidR="00245C77">
        <w:rPr>
          <w:color w:val="272727" w:themeColor="accent1" w:themeShade="80"/>
        </w:rPr>
        <w:t xml:space="preserve"> of trademarks </w:t>
      </w:r>
      <w:r w:rsidR="006D7A8A" w:rsidRPr="0012671F">
        <w:rPr>
          <w:color w:val="272727" w:themeColor="accent1" w:themeShade="80"/>
        </w:rPr>
        <w:t>granted)</w:t>
      </w:r>
      <w:r w:rsidR="000055CA" w:rsidRPr="0012671F">
        <w:rPr>
          <w:color w:val="272727" w:themeColor="accent1" w:themeShade="80"/>
        </w:rPr>
        <w:t>.</w:t>
      </w:r>
      <w:r w:rsidR="007F71E5">
        <w:rPr>
          <w:rStyle w:val="FootnoteReference"/>
          <w:color w:val="272727" w:themeColor="accent1" w:themeShade="80"/>
        </w:rPr>
        <w:footnoteReference w:id="6"/>
      </w:r>
    </w:p>
    <w:p w14:paraId="1C4BC744" w14:textId="7250359A" w:rsidR="00382968" w:rsidRDefault="00765755" w:rsidP="00E71FE4">
      <w:pPr>
        <w:jc w:val="both"/>
        <w:rPr>
          <w:color w:val="272727" w:themeColor="accent1" w:themeShade="80"/>
        </w:rPr>
      </w:pPr>
      <w:r w:rsidRPr="0012671F">
        <w:rPr>
          <w:color w:val="272727" w:themeColor="accent1" w:themeShade="80"/>
        </w:rPr>
        <w:t xml:space="preserve">The </w:t>
      </w:r>
      <w:r w:rsidR="000B5F8C" w:rsidRPr="0012671F">
        <w:rPr>
          <w:color w:val="272727" w:themeColor="accent1" w:themeShade="80"/>
        </w:rPr>
        <w:t xml:space="preserve">core functions and activities of </w:t>
      </w:r>
      <w:r w:rsidR="00924426">
        <w:rPr>
          <w:color w:val="272727" w:themeColor="accent1" w:themeShade="80"/>
        </w:rPr>
        <w:t xml:space="preserve">all </w:t>
      </w:r>
      <w:r w:rsidR="000B5F8C" w:rsidRPr="0012671F">
        <w:rPr>
          <w:color w:val="272727" w:themeColor="accent1" w:themeShade="80"/>
        </w:rPr>
        <w:t xml:space="preserve">Australian </w:t>
      </w:r>
      <w:r w:rsidR="00E9264A">
        <w:rPr>
          <w:color w:val="272727" w:themeColor="accent1" w:themeShade="80"/>
        </w:rPr>
        <w:t>G</w:t>
      </w:r>
      <w:r w:rsidR="00924426" w:rsidRPr="0012671F">
        <w:rPr>
          <w:color w:val="272727" w:themeColor="accent1" w:themeShade="80"/>
        </w:rPr>
        <w:t>overnment</w:t>
      </w:r>
      <w:r w:rsidR="00924426">
        <w:rPr>
          <w:color w:val="272727" w:themeColor="accent1" w:themeShade="80"/>
        </w:rPr>
        <w:t>s and their</w:t>
      </w:r>
      <w:r w:rsidR="00924426" w:rsidRPr="0012671F">
        <w:rPr>
          <w:color w:val="272727" w:themeColor="accent1" w:themeShade="80"/>
        </w:rPr>
        <w:t xml:space="preserve"> </w:t>
      </w:r>
      <w:r w:rsidR="000B5F8C" w:rsidRPr="0012671F">
        <w:rPr>
          <w:color w:val="272727" w:themeColor="accent1" w:themeShade="80"/>
        </w:rPr>
        <w:t xml:space="preserve">agencies </w:t>
      </w:r>
      <w:r w:rsidRPr="0012671F">
        <w:rPr>
          <w:color w:val="272727" w:themeColor="accent1" w:themeShade="80"/>
        </w:rPr>
        <w:t>often result in the creation of IP</w:t>
      </w:r>
      <w:r w:rsidR="00F91632" w:rsidRPr="0012671F">
        <w:rPr>
          <w:color w:val="272727" w:themeColor="accent1" w:themeShade="80"/>
        </w:rPr>
        <w:t xml:space="preserve"> and</w:t>
      </w:r>
      <w:r w:rsidR="000055CA" w:rsidRPr="0012671F">
        <w:rPr>
          <w:color w:val="272727" w:themeColor="accent1" w:themeShade="80"/>
        </w:rPr>
        <w:t xml:space="preserve"> it is estimated that</w:t>
      </w:r>
      <w:r w:rsidR="00F91632" w:rsidRPr="0012671F">
        <w:rPr>
          <w:color w:val="272727" w:themeColor="accent1" w:themeShade="80"/>
        </w:rPr>
        <w:t xml:space="preserve"> at least 4</w:t>
      </w:r>
      <w:r w:rsidR="00E9264A">
        <w:rPr>
          <w:color w:val="272727" w:themeColor="accent1" w:themeShade="80"/>
        </w:rPr>
        <w:t xml:space="preserve"> per cent</w:t>
      </w:r>
      <w:r w:rsidR="00F91632" w:rsidRPr="0012671F">
        <w:rPr>
          <w:color w:val="272727" w:themeColor="accent1" w:themeShade="80"/>
        </w:rPr>
        <w:t xml:space="preserve"> of the patents and plant breeders rights granted from Australia </w:t>
      </w:r>
      <w:r w:rsidR="000055CA" w:rsidRPr="0012671F">
        <w:rPr>
          <w:color w:val="272727" w:themeColor="accent1" w:themeShade="80"/>
        </w:rPr>
        <w:t xml:space="preserve">between 2000-2020 </w:t>
      </w:r>
      <w:r w:rsidR="00F91632" w:rsidRPr="0012671F">
        <w:rPr>
          <w:color w:val="272727" w:themeColor="accent1" w:themeShade="80"/>
        </w:rPr>
        <w:t>were filed by government agencies</w:t>
      </w:r>
      <w:r w:rsidR="00997E88" w:rsidRPr="0012671F">
        <w:rPr>
          <w:rStyle w:val="FootnoteReference"/>
          <w:color w:val="272727" w:themeColor="accent1" w:themeShade="80"/>
        </w:rPr>
        <w:footnoteReference w:id="7"/>
      </w:r>
      <w:r w:rsidR="0095670F" w:rsidRPr="0012671F">
        <w:rPr>
          <w:color w:val="272727" w:themeColor="accent1" w:themeShade="80"/>
        </w:rPr>
        <w:t>.</w:t>
      </w:r>
      <w:r w:rsidR="00B27477">
        <w:rPr>
          <w:color w:val="272727" w:themeColor="accent1" w:themeShade="80"/>
        </w:rPr>
        <w:t xml:space="preserve"> </w:t>
      </w:r>
      <w:r w:rsidR="00B27477">
        <w:t xml:space="preserve">It is estimated that at </w:t>
      </w:r>
      <w:r w:rsidR="00B27477" w:rsidRPr="003067B9">
        <w:t>least 1.11</w:t>
      </w:r>
      <w:r w:rsidR="00E9264A">
        <w:t xml:space="preserve"> per cent</w:t>
      </w:r>
      <w:r w:rsidR="00B27477">
        <w:t xml:space="preserve"> of the patents, PBRs</w:t>
      </w:r>
      <w:r w:rsidR="002C7E2A">
        <w:t xml:space="preserve"> (Plant breeder’s rights)</w:t>
      </w:r>
      <w:r w:rsidR="00B27477">
        <w:t xml:space="preserve"> </w:t>
      </w:r>
      <w:r w:rsidR="00B27477" w:rsidRPr="00B27477">
        <w:t xml:space="preserve">and trademarks </w:t>
      </w:r>
      <w:r w:rsidR="00B27477">
        <w:t xml:space="preserve">granted from Australia between 2000-2020 were filed by government agencies. </w:t>
      </w:r>
    </w:p>
    <w:p w14:paraId="07D4E7ED" w14:textId="5F7F85D0" w:rsidR="00B316FF" w:rsidRPr="0012671F" w:rsidRDefault="00C82FE7" w:rsidP="00E71FE4">
      <w:pPr>
        <w:jc w:val="both"/>
        <w:rPr>
          <w:color w:val="272727" w:themeColor="accent1" w:themeShade="80"/>
        </w:rPr>
      </w:pPr>
      <w:r w:rsidRPr="0012671F">
        <w:rPr>
          <w:color w:val="272727" w:themeColor="accent1" w:themeShade="80"/>
        </w:rPr>
        <w:t xml:space="preserve">WA Government accounts for </w:t>
      </w:r>
      <w:r w:rsidR="00D5556D" w:rsidRPr="0012671F">
        <w:rPr>
          <w:color w:val="272727" w:themeColor="accent1" w:themeShade="80"/>
        </w:rPr>
        <w:t xml:space="preserve">approximately </w:t>
      </w:r>
      <w:r w:rsidRPr="0012671F">
        <w:rPr>
          <w:color w:val="272727" w:themeColor="accent1" w:themeShade="80"/>
        </w:rPr>
        <w:t>0.</w:t>
      </w:r>
      <w:r w:rsidR="003756C8">
        <w:rPr>
          <w:color w:val="272727" w:themeColor="accent1" w:themeShade="80"/>
        </w:rPr>
        <w:t>14</w:t>
      </w:r>
      <w:r w:rsidR="002C7E2A">
        <w:rPr>
          <w:color w:val="272727" w:themeColor="accent1" w:themeShade="80"/>
        </w:rPr>
        <w:t xml:space="preserve"> per cent</w:t>
      </w:r>
      <w:r w:rsidR="009F5549" w:rsidRPr="0012671F">
        <w:rPr>
          <w:color w:val="272727" w:themeColor="accent1" w:themeShade="80"/>
        </w:rPr>
        <w:t xml:space="preserve"> of the</w:t>
      </w:r>
      <w:r w:rsidRPr="0012671F">
        <w:rPr>
          <w:color w:val="272727" w:themeColor="accent1" w:themeShade="80"/>
        </w:rPr>
        <w:t xml:space="preserve"> total</w:t>
      </w:r>
      <w:r w:rsidR="00323D10">
        <w:rPr>
          <w:color w:val="272727" w:themeColor="accent1" w:themeShade="80"/>
        </w:rPr>
        <w:t xml:space="preserve"> patents, trademarks and </w:t>
      </w:r>
      <w:r w:rsidR="002C7E2A">
        <w:rPr>
          <w:color w:val="272727" w:themeColor="accent1" w:themeShade="80"/>
        </w:rPr>
        <w:t>PBRs</w:t>
      </w:r>
      <w:r w:rsidRPr="0012671F">
        <w:rPr>
          <w:color w:val="272727" w:themeColor="accent1" w:themeShade="80"/>
        </w:rPr>
        <w:t xml:space="preserve"> </w:t>
      </w:r>
      <w:r w:rsidR="00605E81" w:rsidRPr="0012671F">
        <w:rPr>
          <w:color w:val="272727" w:themeColor="accent1" w:themeShade="80"/>
        </w:rPr>
        <w:t>granted</w:t>
      </w:r>
      <w:r w:rsidRPr="0012671F">
        <w:rPr>
          <w:color w:val="272727" w:themeColor="accent1" w:themeShade="80"/>
        </w:rPr>
        <w:t xml:space="preserve"> nation-wide</w:t>
      </w:r>
      <w:r w:rsidR="009F5549" w:rsidRPr="0012671F">
        <w:rPr>
          <w:color w:val="272727" w:themeColor="accent1" w:themeShade="80"/>
        </w:rPr>
        <w:t xml:space="preserve"> for this period</w:t>
      </w:r>
      <w:r w:rsidR="00B51DB9">
        <w:rPr>
          <w:color w:val="272727" w:themeColor="accent1" w:themeShade="80"/>
        </w:rPr>
        <w:t xml:space="preserve"> </w:t>
      </w:r>
      <w:r w:rsidR="00323D10">
        <w:rPr>
          <w:color w:val="272727" w:themeColor="accent1" w:themeShade="80"/>
        </w:rPr>
        <w:t>and approximately 12</w:t>
      </w:r>
      <w:r w:rsidR="002C7E2A">
        <w:rPr>
          <w:color w:val="272727" w:themeColor="accent1" w:themeShade="80"/>
        </w:rPr>
        <w:t xml:space="preserve"> per cent</w:t>
      </w:r>
      <w:r w:rsidR="00323D10">
        <w:rPr>
          <w:color w:val="272727" w:themeColor="accent1" w:themeShade="80"/>
        </w:rPr>
        <w:t xml:space="preserve"> of the total registrations attributed to Australian </w:t>
      </w:r>
      <w:r w:rsidR="00924426">
        <w:rPr>
          <w:color w:val="272727" w:themeColor="accent1" w:themeShade="80"/>
        </w:rPr>
        <w:t>g</w:t>
      </w:r>
      <w:r w:rsidR="00323D10">
        <w:rPr>
          <w:color w:val="272727" w:themeColor="accent1" w:themeShade="80"/>
        </w:rPr>
        <w:t>overnment agencies.</w:t>
      </w:r>
      <w:r w:rsidR="007F71E5">
        <w:rPr>
          <w:rStyle w:val="FootnoteReference"/>
          <w:color w:val="272727" w:themeColor="accent1" w:themeShade="80"/>
        </w:rPr>
        <w:footnoteReference w:id="8"/>
      </w:r>
      <w:r w:rsidR="00323D10">
        <w:rPr>
          <w:color w:val="272727" w:themeColor="accent1" w:themeShade="80"/>
        </w:rPr>
        <w:t xml:space="preserve">  </w:t>
      </w:r>
      <w:r w:rsidR="007D022E">
        <w:rPr>
          <w:color w:val="272727" w:themeColor="accent1" w:themeShade="80"/>
        </w:rPr>
        <w:t xml:space="preserve"> </w:t>
      </w:r>
    </w:p>
    <w:p w14:paraId="3FCB98CD" w14:textId="089A9355" w:rsidR="00AB467E" w:rsidRDefault="00924426" w:rsidP="00323060">
      <w:pPr>
        <w:spacing w:after="0"/>
        <w:jc w:val="both"/>
        <w:rPr>
          <w:rStyle w:val="normaltextrun"/>
          <w:rFonts w:asciiTheme="minorHAnsi" w:eastAsiaTheme="minorEastAsia" w:hAnsiTheme="minorHAnsi" w:cstheme="minorBidi"/>
          <w:color w:val="272727" w:themeColor="accent1" w:themeShade="80"/>
        </w:rPr>
      </w:pPr>
      <w:r>
        <w:rPr>
          <w:color w:val="272727" w:themeColor="accent1" w:themeShade="80"/>
        </w:rPr>
        <w:t>At the national level, Australian</w:t>
      </w:r>
      <w:r w:rsidRPr="0012671F">
        <w:rPr>
          <w:color w:val="272727" w:themeColor="accent1" w:themeShade="80"/>
        </w:rPr>
        <w:t xml:space="preserve"> </w:t>
      </w:r>
      <w:r w:rsidR="00CB1AC0" w:rsidRPr="0012671F">
        <w:rPr>
          <w:color w:val="272727" w:themeColor="accent1" w:themeShade="80"/>
        </w:rPr>
        <w:t xml:space="preserve">Government </w:t>
      </w:r>
      <w:r w:rsidR="00B316FF" w:rsidRPr="0012671F">
        <w:rPr>
          <w:color w:val="272727" w:themeColor="accent1" w:themeShade="80"/>
        </w:rPr>
        <w:t xml:space="preserve">agencies </w:t>
      </w:r>
      <w:r w:rsidR="0074024A" w:rsidRPr="0012671F">
        <w:rPr>
          <w:color w:val="272727" w:themeColor="accent1" w:themeShade="80"/>
        </w:rPr>
        <w:t>have the highest number of IP protections granted during this period</w:t>
      </w:r>
      <w:r w:rsidR="00FC0209" w:rsidRPr="0012671F">
        <w:rPr>
          <w:color w:val="272727" w:themeColor="accent1" w:themeShade="80"/>
        </w:rPr>
        <w:t xml:space="preserve">, with the CSIRO accounting </w:t>
      </w:r>
      <w:r w:rsidR="00FC0209" w:rsidRPr="0012671F">
        <w:t xml:space="preserve">for </w:t>
      </w:r>
      <w:r w:rsidR="000C0530" w:rsidRPr="0012671F">
        <w:t>90</w:t>
      </w:r>
      <w:r w:rsidR="002C7E2A">
        <w:t xml:space="preserve"> per cent</w:t>
      </w:r>
      <w:r w:rsidR="000C0530" w:rsidRPr="0012671F">
        <w:t xml:space="preserve"> of all patents granted to Government agencies</w:t>
      </w:r>
      <w:r w:rsidR="00B316FF" w:rsidRPr="0012671F">
        <w:t xml:space="preserve"> between 2000 and 2020</w:t>
      </w:r>
      <w:r w:rsidR="000C0530" w:rsidRPr="0012671F">
        <w:t>.</w:t>
      </w:r>
      <w:r w:rsidR="00994EC6">
        <w:rPr>
          <w:rStyle w:val="FootnoteReference"/>
        </w:rPr>
        <w:footnoteReference w:id="9"/>
      </w:r>
      <w:r w:rsidR="00FC0209" w:rsidRPr="0012671F">
        <w:t xml:space="preserve"> </w:t>
      </w:r>
      <w:r w:rsidR="00B316FF" w:rsidRPr="0012671F">
        <w:t xml:space="preserve">As Australia’s primary scientific research agency, the </w:t>
      </w:r>
      <w:r w:rsidR="00CB1AC0" w:rsidRPr="123F490D">
        <w:rPr>
          <w:rStyle w:val="normaltextrun"/>
          <w:rFonts w:asciiTheme="minorHAnsi" w:eastAsiaTheme="minorEastAsia" w:hAnsiTheme="minorHAnsi" w:cstheme="minorBidi"/>
          <w:color w:val="272727" w:themeColor="accent1" w:themeShade="80"/>
        </w:rPr>
        <w:t>CSIRO is one of the largest patent holders nationally</w:t>
      </w:r>
      <w:r w:rsidR="00B316FF">
        <w:rPr>
          <w:rStyle w:val="normaltextrun"/>
          <w:rFonts w:asciiTheme="minorHAnsi" w:eastAsiaTheme="minorEastAsia" w:hAnsiTheme="minorHAnsi" w:cstheme="minorBidi"/>
          <w:color w:val="272727" w:themeColor="accent1" w:themeShade="80"/>
        </w:rPr>
        <w:t xml:space="preserve">. </w:t>
      </w:r>
      <w:r w:rsidR="00CB1AC0">
        <w:rPr>
          <w:rStyle w:val="normaltextrun"/>
          <w:rFonts w:asciiTheme="minorHAnsi" w:eastAsiaTheme="minorEastAsia" w:hAnsiTheme="minorHAnsi" w:cstheme="minorBidi"/>
          <w:color w:val="272727" w:themeColor="accent1" w:themeShade="80"/>
        </w:rPr>
        <w:t xml:space="preserve">The CSIRO provides support for research and commercialisation including providing strategic advice, funding programs for researchers and start-up companies, promotion of licensing opportunities and linkages to identify investment and partnership opportunities. </w:t>
      </w:r>
      <w:r w:rsidR="00CB1AC0" w:rsidRPr="123F490D">
        <w:rPr>
          <w:rStyle w:val="normaltextrun"/>
          <w:rFonts w:asciiTheme="minorHAnsi" w:eastAsiaTheme="minorEastAsia" w:hAnsiTheme="minorHAnsi" w:cstheme="minorBidi"/>
          <w:color w:val="272727" w:themeColor="accent1" w:themeShade="80"/>
        </w:rPr>
        <w:t xml:space="preserve">In 2021, the CSIRO provided more than $35 million into the research and development of </w:t>
      </w:r>
      <w:r>
        <w:rPr>
          <w:rStyle w:val="normaltextrun"/>
          <w:rFonts w:asciiTheme="minorHAnsi" w:eastAsiaTheme="minorEastAsia" w:hAnsiTheme="minorHAnsi" w:cstheme="minorBidi"/>
          <w:color w:val="272727" w:themeColor="accent1" w:themeShade="80"/>
        </w:rPr>
        <w:t>small to medium enterprise</w:t>
      </w:r>
      <w:r w:rsidRPr="123F490D">
        <w:rPr>
          <w:rStyle w:val="normaltextrun"/>
          <w:rFonts w:asciiTheme="minorHAnsi" w:eastAsiaTheme="minorEastAsia" w:hAnsiTheme="minorHAnsi" w:cstheme="minorBidi"/>
          <w:color w:val="272727" w:themeColor="accent1" w:themeShade="80"/>
        </w:rPr>
        <w:t xml:space="preserve"> </w:t>
      </w:r>
      <w:r w:rsidR="00CB1AC0" w:rsidRPr="123F490D">
        <w:rPr>
          <w:rStyle w:val="normaltextrun"/>
          <w:rFonts w:asciiTheme="minorHAnsi" w:eastAsiaTheme="minorEastAsia" w:hAnsiTheme="minorHAnsi" w:cstheme="minorBidi"/>
          <w:color w:val="272727" w:themeColor="accent1" w:themeShade="80"/>
        </w:rPr>
        <w:t>projects</w:t>
      </w:r>
      <w:r w:rsidR="00CB1AC0">
        <w:rPr>
          <w:rStyle w:val="normaltextrun"/>
          <w:rFonts w:asciiTheme="minorHAnsi" w:eastAsiaTheme="minorEastAsia" w:hAnsiTheme="minorHAnsi" w:cstheme="minorBidi"/>
          <w:color w:val="272727" w:themeColor="accent1" w:themeShade="80"/>
        </w:rPr>
        <w:t xml:space="preserve"> and raised $265 million through a second CSIRO Innovation Fund to commercialise science.</w:t>
      </w:r>
      <w:r w:rsidR="00A231C3">
        <w:rPr>
          <w:rStyle w:val="FootnoteReference"/>
          <w:rFonts w:asciiTheme="minorHAnsi" w:eastAsiaTheme="minorEastAsia" w:hAnsiTheme="minorHAnsi" w:cstheme="minorBidi"/>
          <w:color w:val="272727" w:themeColor="accent1" w:themeShade="80"/>
        </w:rPr>
        <w:footnoteReference w:id="10"/>
      </w:r>
      <w:r w:rsidR="00CB1AC0">
        <w:rPr>
          <w:rStyle w:val="normaltextrun"/>
          <w:rFonts w:asciiTheme="minorHAnsi" w:eastAsiaTheme="minorEastAsia" w:hAnsiTheme="minorHAnsi" w:cstheme="minorBidi"/>
          <w:color w:val="272727" w:themeColor="accent1" w:themeShade="80"/>
        </w:rPr>
        <w:t xml:space="preserve"> </w:t>
      </w:r>
    </w:p>
    <w:p w14:paraId="7FA52ABC" w14:textId="2A57F0FE" w:rsidR="00782D34" w:rsidRPr="00D336D6" w:rsidRDefault="00BA1037" w:rsidP="00AD0043">
      <w:pPr>
        <w:pStyle w:val="Heading1"/>
        <w:jc w:val="both"/>
      </w:pPr>
      <w:bookmarkStart w:id="167" w:name="_Toc102058429"/>
      <w:bookmarkStart w:id="168" w:name="_Toc101971642"/>
      <w:bookmarkStart w:id="169" w:name="_Toc104976288"/>
      <w:bookmarkStart w:id="170" w:name="_Toc114829898"/>
      <w:bookmarkEnd w:id="167"/>
      <w:r>
        <w:lastRenderedPageBreak/>
        <w:t>Proposed policy options</w:t>
      </w:r>
      <w:bookmarkStart w:id="171" w:name="_Toc97801754"/>
      <w:bookmarkEnd w:id="165"/>
      <w:bookmarkEnd w:id="166"/>
      <w:bookmarkEnd w:id="168"/>
      <w:bookmarkEnd w:id="169"/>
      <w:bookmarkEnd w:id="170"/>
      <w:r>
        <w:t xml:space="preserve"> </w:t>
      </w:r>
      <w:bookmarkEnd w:id="171"/>
    </w:p>
    <w:p w14:paraId="10831529" w14:textId="5470A4E8" w:rsidR="00217854" w:rsidRDefault="00782D34" w:rsidP="00AD0043">
      <w:pPr>
        <w:pStyle w:val="BodyText"/>
      </w:pPr>
      <w:bookmarkStart w:id="172" w:name="_Hlk98936411"/>
      <w:r w:rsidRPr="003C67DC">
        <w:t xml:space="preserve">The following provides a broad overview of potential policy options for key elements of a new </w:t>
      </w:r>
      <w:r w:rsidR="00387881">
        <w:t>WA</w:t>
      </w:r>
      <w:r w:rsidRPr="003C67DC">
        <w:t xml:space="preserve"> Government IP Policy. </w:t>
      </w:r>
    </w:p>
    <w:p w14:paraId="11B44F7F" w14:textId="77777777" w:rsidR="00217854" w:rsidRPr="0012671F" w:rsidRDefault="00217854" w:rsidP="009B5D5F">
      <w:pPr>
        <w:jc w:val="both"/>
        <w:rPr>
          <w:color w:val="272727" w:themeColor="accent1" w:themeShade="80"/>
        </w:rPr>
      </w:pPr>
      <w:r w:rsidRPr="0012671F">
        <w:rPr>
          <w:color w:val="272727" w:themeColor="accent1" w:themeShade="80"/>
        </w:rPr>
        <w:t xml:space="preserve">The majority of Australian states and territories have implemented IP policy frameworks to support the management, development and commercialisation of IP across the Australian public sector. </w:t>
      </w:r>
    </w:p>
    <w:p w14:paraId="65441D7F" w14:textId="18301E82" w:rsidR="00782D34" w:rsidRDefault="00217854" w:rsidP="008E5AD0">
      <w:pPr>
        <w:jc w:val="both"/>
      </w:pPr>
      <w:r w:rsidRPr="0012671F">
        <w:rPr>
          <w:color w:val="272727" w:themeColor="accent1" w:themeShade="80"/>
        </w:rPr>
        <w:t xml:space="preserve">The Department has considered the approaches taken by these jurisdictions with respect to </w:t>
      </w:r>
      <w:r w:rsidR="00323D10">
        <w:rPr>
          <w:color w:val="272727" w:themeColor="accent1" w:themeShade="80"/>
        </w:rPr>
        <w:t>the reward of innovative employees and</w:t>
      </w:r>
      <w:r w:rsidR="009B548F">
        <w:rPr>
          <w:color w:val="272727" w:themeColor="accent1" w:themeShade="80"/>
        </w:rPr>
        <w:t xml:space="preserve"> </w:t>
      </w:r>
      <w:r w:rsidRPr="0012671F">
        <w:rPr>
          <w:color w:val="272727" w:themeColor="accent1" w:themeShade="80"/>
        </w:rPr>
        <w:t xml:space="preserve">the development, use and management of government owned IP when developing the proposed policy options outlined in this </w:t>
      </w:r>
      <w:r w:rsidR="00667C16">
        <w:rPr>
          <w:color w:val="272727" w:themeColor="accent1" w:themeShade="80"/>
        </w:rPr>
        <w:t>Discussion Paper</w:t>
      </w:r>
      <w:r w:rsidRPr="0012671F">
        <w:rPr>
          <w:color w:val="272727" w:themeColor="accent1" w:themeShade="80"/>
        </w:rPr>
        <w:t xml:space="preserve">. </w:t>
      </w:r>
      <w:r w:rsidR="00782D34" w:rsidRPr="003C67DC">
        <w:t>Stakeholder feedback is</w:t>
      </w:r>
      <w:r w:rsidR="00E41BCA">
        <w:t xml:space="preserve"> </w:t>
      </w:r>
      <w:r w:rsidR="00782D34" w:rsidRPr="003C67DC">
        <w:t>sought on the options proposed and the specific discussion questions for each proposal.</w:t>
      </w:r>
      <w:r w:rsidR="00AB467E">
        <w:t xml:space="preserve"> </w:t>
      </w:r>
    </w:p>
    <w:p w14:paraId="14DF6E9C" w14:textId="31AC2995" w:rsidR="00AB467E" w:rsidRDefault="00AB467E" w:rsidP="00AB467E">
      <w:r>
        <w:t xml:space="preserve">In addition, the </w:t>
      </w:r>
      <w:r w:rsidR="00AE5E48">
        <w:t>WA</w:t>
      </w:r>
      <w:r w:rsidRPr="00245982">
        <w:t xml:space="preserve"> Government IP Policy</w:t>
      </w:r>
      <w:r>
        <w:rPr>
          <w:b/>
        </w:rPr>
        <w:t xml:space="preserve"> </w:t>
      </w:r>
      <w:r w:rsidRPr="009F31EA">
        <w:t>will provide practical guidance</w:t>
      </w:r>
      <w:r>
        <w:t xml:space="preserve"> to agencies regarding:</w:t>
      </w:r>
    </w:p>
    <w:p w14:paraId="5AA30CEB" w14:textId="77777777" w:rsidR="00AB467E" w:rsidRDefault="00AB467E" w:rsidP="002C7E2A">
      <w:pPr>
        <w:pStyle w:val="Bullet"/>
        <w:numPr>
          <w:ilvl w:val="1"/>
          <w:numId w:val="35"/>
        </w:numPr>
        <w:ind w:left="397" w:hanging="397"/>
      </w:pPr>
      <w:r>
        <w:t>identification, protection and management of State owned IP;</w:t>
      </w:r>
    </w:p>
    <w:p w14:paraId="3C3380B1" w14:textId="77777777" w:rsidR="00AB467E" w:rsidRDefault="00AB467E" w:rsidP="002C7E2A">
      <w:pPr>
        <w:pStyle w:val="Bullet"/>
        <w:numPr>
          <w:ilvl w:val="1"/>
          <w:numId w:val="35"/>
        </w:numPr>
        <w:ind w:left="397" w:hanging="397"/>
      </w:pPr>
      <w:r>
        <w:t>procurement of goods and services which may result in IP being created and the issue of IP ownership;</w:t>
      </w:r>
    </w:p>
    <w:p w14:paraId="1EDCE0AB" w14:textId="77777777" w:rsidR="00AB467E" w:rsidRDefault="00AB467E" w:rsidP="002C7E2A">
      <w:pPr>
        <w:pStyle w:val="Bullet"/>
        <w:numPr>
          <w:ilvl w:val="1"/>
          <w:numId w:val="35"/>
        </w:numPr>
        <w:ind w:left="397" w:hanging="397"/>
      </w:pPr>
      <w:r>
        <w:t>use of third party IP;</w:t>
      </w:r>
    </w:p>
    <w:p w14:paraId="1AA3B5D9" w14:textId="634BE0FE" w:rsidR="00AB467E" w:rsidRDefault="00AB467E" w:rsidP="002C7E2A">
      <w:pPr>
        <w:pStyle w:val="Bullet"/>
        <w:numPr>
          <w:ilvl w:val="1"/>
          <w:numId w:val="35"/>
        </w:numPr>
        <w:ind w:left="397" w:hanging="397"/>
      </w:pPr>
      <w:r>
        <w:t xml:space="preserve">statutory licence under the </w:t>
      </w:r>
      <w:r w:rsidRPr="001264CB">
        <w:rPr>
          <w:i/>
        </w:rPr>
        <w:t>Copyright Act</w:t>
      </w:r>
      <w:r>
        <w:t xml:space="preserve"> </w:t>
      </w:r>
      <w:r w:rsidRPr="001264CB">
        <w:rPr>
          <w:i/>
        </w:rPr>
        <w:t>1968</w:t>
      </w:r>
      <w:r>
        <w:rPr>
          <w:iCs/>
        </w:rPr>
        <w:t xml:space="preserve"> (C</w:t>
      </w:r>
      <w:r w:rsidR="002C7E2A">
        <w:rPr>
          <w:iCs/>
        </w:rPr>
        <w:t>wl</w:t>
      </w:r>
      <w:r>
        <w:rPr>
          <w:iCs/>
        </w:rPr>
        <w:t>th)</w:t>
      </w:r>
      <w:r>
        <w:rPr>
          <w:i/>
        </w:rPr>
        <w:t>;</w:t>
      </w:r>
      <w:r>
        <w:t xml:space="preserve"> </w:t>
      </w:r>
    </w:p>
    <w:p w14:paraId="15840261" w14:textId="77777777" w:rsidR="00AB467E" w:rsidRDefault="00AB467E" w:rsidP="002C7E2A">
      <w:pPr>
        <w:pStyle w:val="Bullet"/>
        <w:numPr>
          <w:ilvl w:val="1"/>
          <w:numId w:val="35"/>
        </w:numPr>
        <w:ind w:left="397" w:hanging="397"/>
      </w:pPr>
      <w:r>
        <w:t>grants or funding of IP development; and</w:t>
      </w:r>
    </w:p>
    <w:p w14:paraId="6697EBF9" w14:textId="61E38220" w:rsidR="00AB467E" w:rsidRPr="003C67DC" w:rsidRDefault="00AB467E" w:rsidP="002C7E2A">
      <w:pPr>
        <w:pStyle w:val="Bullet"/>
        <w:numPr>
          <w:ilvl w:val="1"/>
          <w:numId w:val="35"/>
        </w:numPr>
        <w:ind w:left="397" w:hanging="397"/>
      </w:pPr>
      <w:r>
        <w:t xml:space="preserve">addressing IP in employment contracts. </w:t>
      </w:r>
    </w:p>
    <w:p w14:paraId="11271994" w14:textId="6D8AD9FC" w:rsidR="00BA1037" w:rsidRDefault="00D73F73" w:rsidP="00AD0043">
      <w:pPr>
        <w:pStyle w:val="Heading2"/>
        <w:jc w:val="both"/>
      </w:pPr>
      <w:bookmarkStart w:id="173" w:name="_Agency_responsibilities"/>
      <w:bookmarkStart w:id="174" w:name="_Toc101971643"/>
      <w:bookmarkStart w:id="175" w:name="_Toc104976289"/>
      <w:bookmarkStart w:id="176" w:name="_Toc114829899"/>
      <w:bookmarkEnd w:id="172"/>
      <w:bookmarkEnd w:id="173"/>
      <w:r w:rsidRPr="53F3630D">
        <w:rPr>
          <w:rFonts w:eastAsia="Arial"/>
        </w:rPr>
        <w:t>A</w:t>
      </w:r>
      <w:r w:rsidR="000679BC">
        <w:t>gency responsibilities</w:t>
      </w:r>
      <w:bookmarkEnd w:id="174"/>
      <w:bookmarkEnd w:id="175"/>
      <w:bookmarkEnd w:id="176"/>
    </w:p>
    <w:p w14:paraId="2C7A09ED" w14:textId="42900DC5" w:rsidR="00782D34" w:rsidRPr="00C600DC" w:rsidRDefault="00782D34" w:rsidP="002C7E2A">
      <w:pPr>
        <w:pStyle w:val="Bullet"/>
        <w:ind w:left="397" w:hanging="397"/>
        <w:rPr>
          <w:b/>
          <w:bCs/>
        </w:rPr>
      </w:pPr>
      <w:r>
        <w:t xml:space="preserve">It is recommended that agency responsibilities remain broadly consistent with current requirements under the </w:t>
      </w:r>
      <w:r w:rsidR="00CB5A88">
        <w:t>current</w:t>
      </w:r>
      <w:r>
        <w:t xml:space="preserve"> </w:t>
      </w:r>
      <w:r w:rsidR="009A07F4">
        <w:t>WA Government IP Policy</w:t>
      </w:r>
      <w:r>
        <w:t xml:space="preserve">. </w:t>
      </w:r>
    </w:p>
    <w:p w14:paraId="60DBA256" w14:textId="6FB78BF1" w:rsidR="00782D34" w:rsidRPr="0049205E" w:rsidRDefault="00782D34" w:rsidP="00CA5722">
      <w:pPr>
        <w:pStyle w:val="Bullet"/>
        <w:spacing w:after="120"/>
        <w:ind w:left="397" w:hanging="397"/>
        <w:rPr>
          <w:b/>
          <w:bCs/>
        </w:rPr>
      </w:pPr>
      <w:r w:rsidRPr="0049205E">
        <w:t xml:space="preserve">Under the proposed approach, </w:t>
      </w:r>
      <w:r w:rsidR="00CB5A88">
        <w:t>an</w:t>
      </w:r>
      <w:r>
        <w:t xml:space="preserve"> </w:t>
      </w:r>
      <w:r w:rsidR="00CB5A88">
        <w:t>updated</w:t>
      </w:r>
      <w:r>
        <w:t xml:space="preserve"> </w:t>
      </w:r>
      <w:r w:rsidR="009A07F4">
        <w:t>WA Government IP Policy</w:t>
      </w:r>
      <w:r w:rsidRPr="0049205E">
        <w:t xml:space="preserve"> w</w:t>
      </w:r>
      <w:r w:rsidR="00CB5A88">
        <w:t>ould</w:t>
      </w:r>
      <w:r w:rsidRPr="0049205E">
        <w:t xml:space="preserve"> prescribe that </w:t>
      </w:r>
      <w:r w:rsidR="006C67A4">
        <w:t xml:space="preserve">those </w:t>
      </w:r>
      <w:r w:rsidRPr="0049205E">
        <w:t xml:space="preserve">agencies captured under the PSM Act are required to ensure that internal policies, guidelines and procedures are in place to meet </w:t>
      </w:r>
      <w:r w:rsidR="005A7872">
        <w:t xml:space="preserve">the intent, </w:t>
      </w:r>
      <w:r w:rsidRPr="0049205E">
        <w:t xml:space="preserve">responsibilities and obligations under the </w:t>
      </w:r>
      <w:r w:rsidR="009A07F4">
        <w:t>WA Government IP Policy</w:t>
      </w:r>
      <w:r w:rsidRPr="0049205E">
        <w:t>.</w:t>
      </w:r>
      <w:r>
        <w:t xml:space="preserve"> This w</w:t>
      </w:r>
      <w:r w:rsidR="00CB5A88">
        <w:t>ould</w:t>
      </w:r>
      <w:r>
        <w:t xml:space="preserve"> include agencies being required to</w:t>
      </w:r>
      <w:r w:rsidR="00BD42A6">
        <w:rPr>
          <w:rStyle w:val="FootnoteReference"/>
        </w:rPr>
        <w:footnoteReference w:id="11"/>
      </w:r>
      <w:r>
        <w:t>:</w:t>
      </w:r>
    </w:p>
    <w:p w14:paraId="64EFA3E4" w14:textId="711A47C6" w:rsidR="00782D34" w:rsidRPr="0049205E" w:rsidRDefault="00782D34" w:rsidP="00CA5722">
      <w:pPr>
        <w:pStyle w:val="ListParagraph"/>
        <w:spacing w:after="120"/>
        <w:ind w:left="794" w:hanging="397"/>
      </w:pPr>
      <w:r>
        <w:t xml:space="preserve">Adopt procedures to identify and </w:t>
      </w:r>
      <w:r w:rsidR="00730122">
        <w:t>address issues including IP</w:t>
      </w:r>
      <w:r w:rsidR="002C7E2A">
        <w:t xml:space="preserve"> protection and confidentiality;</w:t>
      </w:r>
    </w:p>
    <w:p w14:paraId="586F5C2F" w14:textId="5B8EB13C" w:rsidR="00782D34" w:rsidRPr="0049205E" w:rsidRDefault="00782D34" w:rsidP="00CA5722">
      <w:pPr>
        <w:pStyle w:val="ListParagraph"/>
        <w:spacing w:after="120"/>
        <w:ind w:left="794" w:hanging="397"/>
      </w:pPr>
      <w:r>
        <w:t>Adopt procedures t</w:t>
      </w:r>
      <w:r w:rsidR="00AE3532">
        <w:t>o</w:t>
      </w:r>
      <w:r>
        <w:t xml:space="preserve"> identify I</w:t>
      </w:r>
      <w:r w:rsidR="002C7E2A">
        <w:t>P rights within physical works;</w:t>
      </w:r>
    </w:p>
    <w:p w14:paraId="433068AA" w14:textId="3E657A9F" w:rsidR="00782D34" w:rsidRPr="0049205E" w:rsidRDefault="00782D34" w:rsidP="002C7E2A">
      <w:pPr>
        <w:pStyle w:val="ListParagraph"/>
        <w:ind w:left="794" w:hanging="397"/>
      </w:pPr>
      <w:r>
        <w:t>Maintain a register of</w:t>
      </w:r>
      <w:r w:rsidR="002C7E2A">
        <w:t xml:space="preserve"> IP assets’</w:t>
      </w:r>
    </w:p>
    <w:p w14:paraId="332C29AF" w14:textId="6791C876" w:rsidR="00782D34" w:rsidRPr="0049205E" w:rsidRDefault="00782D34" w:rsidP="002C7E2A">
      <w:pPr>
        <w:pStyle w:val="ListParagraph"/>
        <w:ind w:left="794" w:hanging="397"/>
      </w:pPr>
      <w:r>
        <w:lastRenderedPageBreak/>
        <w:t xml:space="preserve">Ensure officers are aware of and </w:t>
      </w:r>
      <w:r w:rsidR="002C7E2A">
        <w:t>trained in relevant procedures;</w:t>
      </w:r>
    </w:p>
    <w:p w14:paraId="4047F5F1" w14:textId="77777777" w:rsidR="00782D34" w:rsidRDefault="00782D34" w:rsidP="002C7E2A">
      <w:pPr>
        <w:pStyle w:val="ListParagraph"/>
        <w:ind w:left="794" w:hanging="397"/>
      </w:pPr>
      <w:r>
        <w:t>S</w:t>
      </w:r>
      <w:r w:rsidRPr="0049205E">
        <w:t>eek and document appropriate legal, commercial and technical advice in relation to their policies, procedures and practices and significant decisions relating to IP.</w:t>
      </w:r>
    </w:p>
    <w:p w14:paraId="51087CEC" w14:textId="71E548E7" w:rsidR="002103FF" w:rsidRPr="002103FF" w:rsidRDefault="002103FF" w:rsidP="002C7E2A">
      <w:pPr>
        <w:pStyle w:val="ListParagraph"/>
        <w:numPr>
          <w:ilvl w:val="0"/>
          <w:numId w:val="31"/>
        </w:numPr>
        <w:ind w:left="397" w:hanging="397"/>
      </w:pPr>
      <w:r>
        <w:t>The updated WA Government IP Policy and guidance tools will also encourage agencies to consid</w:t>
      </w:r>
      <w:r w:rsidR="00A77D60">
        <w:t xml:space="preserve">er the management of IP </w:t>
      </w:r>
      <w:r>
        <w:t>in a broader context when developing strategic and project plans</w:t>
      </w:r>
      <w:r w:rsidR="00A77D60">
        <w:t xml:space="preserve"> to ensure that </w:t>
      </w:r>
      <w:r>
        <w:t xml:space="preserve">potential opportunities </w:t>
      </w:r>
      <w:r w:rsidR="00A77D60">
        <w:t xml:space="preserve">are identified and appropriately evaluated. </w:t>
      </w:r>
    </w:p>
    <w:p w14:paraId="23B2F073" w14:textId="50C0FBC2" w:rsidR="00782D34" w:rsidRPr="0049205E" w:rsidRDefault="00782D34" w:rsidP="002C7E2A">
      <w:pPr>
        <w:pStyle w:val="Bullet"/>
        <w:ind w:left="397" w:hanging="397"/>
      </w:pPr>
      <w:r>
        <w:t xml:space="preserve">Agencies will continue to be encouraged to develop agency level IP policies in alignment with the </w:t>
      </w:r>
      <w:r w:rsidR="009A07F4">
        <w:t>WA Government IP Policy</w:t>
      </w:r>
      <w:r>
        <w:t>.</w:t>
      </w:r>
    </w:p>
    <w:p w14:paraId="11421810" w14:textId="4CCB13E7" w:rsidR="000C41C3" w:rsidRPr="00944359" w:rsidRDefault="00782D34" w:rsidP="002C7E2A">
      <w:pPr>
        <w:pStyle w:val="Bullet"/>
        <w:spacing w:after="160" w:line="259" w:lineRule="auto"/>
        <w:ind w:left="397" w:hanging="397"/>
        <w:rPr>
          <w:lang w:val="en-AU"/>
        </w:rPr>
      </w:pPr>
      <w:r>
        <w:t xml:space="preserve">It is envisaged that this will assist with consistent reporting of IP across the public </w:t>
      </w:r>
      <w:r w:rsidR="00F031CE">
        <w:t>sector and</w:t>
      </w:r>
      <w:r>
        <w:t xml:space="preserve"> build on existing mechanisms employed by agencies involved in the use and development of IP, including the use of IP registers</w:t>
      </w:r>
      <w:r w:rsidR="005A7872">
        <w:t xml:space="preserve"> </w:t>
      </w:r>
      <w:r w:rsidR="00631F5E">
        <w:t xml:space="preserve">and reward mechanisms. </w:t>
      </w:r>
      <w:r w:rsidR="00104C3C">
        <w:t>It is not proposed that</w:t>
      </w:r>
      <w:r>
        <w:t xml:space="preserve"> agencies will be required to report </w:t>
      </w:r>
      <w:r w:rsidR="0024729E">
        <w:t>their compliance with the</w:t>
      </w:r>
      <w:r>
        <w:t xml:space="preserve"> responsibilities and obligations under the </w:t>
      </w:r>
      <w:r w:rsidR="009C6BD2">
        <w:t xml:space="preserve">updated </w:t>
      </w:r>
      <w:r w:rsidR="009A07F4">
        <w:t xml:space="preserve">WA Government IP </w:t>
      </w:r>
      <w:r w:rsidR="00924426" w:rsidRPr="00924426">
        <w:rPr>
          <w:lang w:val="en-AU"/>
        </w:rPr>
        <w:t>Policy</w:t>
      </w:r>
      <w:r>
        <w:t>.</w:t>
      </w:r>
    </w:p>
    <w:p w14:paraId="1C2F8EFB" w14:textId="3DF8EE38" w:rsidR="00782D34" w:rsidRDefault="00782D34" w:rsidP="00CA5722">
      <w:pPr>
        <w:pStyle w:val="paragraph"/>
        <w:pBdr>
          <w:top w:val="single" w:sz="4" w:space="1" w:color="auto"/>
          <w:left w:val="single" w:sz="4" w:space="4" w:color="auto"/>
          <w:bottom w:val="single" w:sz="4" w:space="1" w:color="auto"/>
          <w:right w:val="single" w:sz="4" w:space="4" w:color="auto"/>
        </w:pBdr>
        <w:shd w:val="clear" w:color="auto" w:fill="EDD9EC" w:themeFill="accent3" w:themeFillTint="33"/>
        <w:spacing w:before="0" w:beforeAutospacing="0" w:after="200" w:afterAutospacing="0" w:line="276" w:lineRule="auto"/>
        <w:jc w:val="both"/>
        <w:rPr>
          <w:rStyle w:val="eop"/>
          <w:rFonts w:ascii="Arial" w:hAnsi="Arial" w:cs="Arial"/>
          <w:i/>
          <w:color w:val="272727"/>
        </w:rPr>
      </w:pPr>
      <w:r w:rsidRPr="00603F9D">
        <w:rPr>
          <w:rStyle w:val="normaltextrun"/>
          <w:rFonts w:ascii="Arial" w:hAnsi="Arial" w:cs="Arial"/>
          <w:b/>
          <w:bCs/>
          <w:i/>
          <w:color w:val="272727"/>
        </w:rPr>
        <w:t>Discussion questions</w:t>
      </w:r>
      <w:r w:rsidRPr="00603F9D">
        <w:rPr>
          <w:rStyle w:val="eop"/>
          <w:rFonts w:ascii="Arial" w:hAnsi="Arial" w:cs="Arial"/>
          <w:i/>
          <w:color w:val="272727"/>
        </w:rPr>
        <w:t> </w:t>
      </w:r>
    </w:p>
    <w:p w14:paraId="678D000F" w14:textId="52C29C4D" w:rsidR="00782D34" w:rsidRDefault="00782D34" w:rsidP="00CA5722">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Pr>
          <w:rStyle w:val="eop"/>
          <w:rFonts w:ascii="Arial" w:hAnsi="Arial" w:cs="Arial"/>
          <w:color w:val="272727"/>
        </w:rPr>
        <w:t xml:space="preserve">Are there any concerns or potential unintended impacts from the approach to agency responsibilities </w:t>
      </w:r>
      <w:r w:rsidR="009C6BD2">
        <w:rPr>
          <w:rStyle w:val="eop"/>
          <w:rFonts w:ascii="Arial" w:hAnsi="Arial" w:cs="Arial"/>
          <w:color w:val="272727"/>
        </w:rPr>
        <w:t>proposed for</w:t>
      </w:r>
      <w:r>
        <w:rPr>
          <w:rStyle w:val="eop"/>
          <w:rFonts w:ascii="Arial" w:hAnsi="Arial" w:cs="Arial"/>
          <w:color w:val="272727"/>
        </w:rPr>
        <w:t xml:space="preserve"> the </w:t>
      </w:r>
      <w:r w:rsidR="009C6BD2">
        <w:rPr>
          <w:rStyle w:val="eop"/>
          <w:rFonts w:ascii="Arial" w:hAnsi="Arial" w:cs="Arial"/>
          <w:color w:val="272727"/>
        </w:rPr>
        <w:t>updated</w:t>
      </w:r>
      <w:r>
        <w:rPr>
          <w:rStyle w:val="eop"/>
          <w:rFonts w:ascii="Arial" w:hAnsi="Arial" w:cs="Arial"/>
          <w:color w:val="272727"/>
        </w:rPr>
        <w:t xml:space="preserve"> </w:t>
      </w:r>
      <w:r w:rsidR="009A07F4">
        <w:rPr>
          <w:rStyle w:val="eop"/>
          <w:rFonts w:ascii="Arial" w:hAnsi="Arial" w:cs="Arial"/>
          <w:color w:val="272727"/>
        </w:rPr>
        <w:t>WA Government IP Policy</w:t>
      </w:r>
      <w:r>
        <w:rPr>
          <w:rStyle w:val="eop"/>
          <w:rFonts w:ascii="Arial" w:hAnsi="Arial" w:cs="Arial"/>
          <w:color w:val="272727"/>
        </w:rPr>
        <w:t xml:space="preserve">? </w:t>
      </w:r>
    </w:p>
    <w:p w14:paraId="3FC3DF22" w14:textId="13B68275" w:rsidR="00D73F73" w:rsidRPr="003B5EB5" w:rsidRDefault="00782D34" w:rsidP="00CA5722">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Pr>
          <w:rStyle w:val="eop"/>
          <w:rFonts w:ascii="Arial" w:hAnsi="Arial" w:cs="Arial"/>
          <w:color w:val="272727"/>
        </w:rPr>
        <w:t xml:space="preserve">If an alternative approach is preferred, </w:t>
      </w:r>
      <w:r w:rsidR="009C6BD2">
        <w:rPr>
          <w:rStyle w:val="eop"/>
          <w:rFonts w:ascii="Arial" w:hAnsi="Arial" w:cs="Arial"/>
          <w:color w:val="272727"/>
        </w:rPr>
        <w:t xml:space="preserve">please </w:t>
      </w:r>
      <w:r>
        <w:rPr>
          <w:rStyle w:val="eop"/>
          <w:rFonts w:ascii="Arial" w:hAnsi="Arial" w:cs="Arial"/>
          <w:color w:val="272727"/>
        </w:rPr>
        <w:t>outline what this includes and the rationale.</w:t>
      </w:r>
    </w:p>
    <w:p w14:paraId="240CEAD1" w14:textId="725FDD3E" w:rsidR="00BA1037" w:rsidRPr="00BA1037" w:rsidRDefault="00BA1037" w:rsidP="00AD0043">
      <w:pPr>
        <w:pStyle w:val="Heading2"/>
        <w:jc w:val="both"/>
      </w:pPr>
      <w:bookmarkStart w:id="177" w:name="_Ownership_of_IP"/>
      <w:bookmarkStart w:id="178" w:name="_Toc97301107"/>
      <w:bookmarkStart w:id="179" w:name="_Toc97801756"/>
      <w:bookmarkStart w:id="180" w:name="_Toc97903445"/>
      <w:bookmarkStart w:id="181" w:name="_Toc101971644"/>
      <w:bookmarkStart w:id="182" w:name="_Toc104976290"/>
      <w:bookmarkStart w:id="183" w:name="_Toc114829900"/>
      <w:bookmarkEnd w:id="177"/>
      <w:r>
        <w:t>Ownership of IP</w:t>
      </w:r>
      <w:bookmarkEnd w:id="178"/>
      <w:bookmarkEnd w:id="179"/>
      <w:bookmarkEnd w:id="180"/>
      <w:bookmarkEnd w:id="181"/>
      <w:bookmarkEnd w:id="182"/>
      <w:bookmarkEnd w:id="183"/>
    </w:p>
    <w:p w14:paraId="329828B2" w14:textId="4E9D7559" w:rsidR="00A84FDD" w:rsidRPr="00631F5E" w:rsidRDefault="00782D34" w:rsidP="002C7E2A">
      <w:pPr>
        <w:pStyle w:val="BodyText"/>
        <w:numPr>
          <w:ilvl w:val="0"/>
          <w:numId w:val="7"/>
        </w:numPr>
        <w:spacing w:before="120" w:after="120"/>
        <w:ind w:left="397" w:hanging="397"/>
        <w:rPr>
          <w:rStyle w:val="BulletChar"/>
          <w:rFonts w:asciiTheme="minorHAnsi" w:hAnsiTheme="minorHAnsi" w:cstheme="minorBidi"/>
          <w:lang w:eastAsia="en-US"/>
        </w:rPr>
      </w:pPr>
      <w:r w:rsidRPr="00187669">
        <w:t xml:space="preserve">The </w:t>
      </w:r>
      <w:r w:rsidRPr="003C67DC">
        <w:rPr>
          <w:rStyle w:val="BulletChar"/>
        </w:rPr>
        <w:t xml:space="preserve">current </w:t>
      </w:r>
      <w:r w:rsidR="009A07F4">
        <w:rPr>
          <w:rStyle w:val="BulletChar"/>
        </w:rPr>
        <w:t>WA Government IP Policy</w:t>
      </w:r>
      <w:r w:rsidRPr="003C67DC">
        <w:rPr>
          <w:rStyle w:val="BulletChar"/>
        </w:rPr>
        <w:t xml:space="preserve"> </w:t>
      </w:r>
      <w:r w:rsidR="00631F5E">
        <w:rPr>
          <w:rStyle w:val="BulletChar"/>
        </w:rPr>
        <w:t xml:space="preserve">recognises that 'Government IP is a State asset'. However, it </w:t>
      </w:r>
      <w:r w:rsidRPr="003C67DC">
        <w:rPr>
          <w:rStyle w:val="BulletChar"/>
        </w:rPr>
        <w:t xml:space="preserve">does not </w:t>
      </w:r>
      <w:r w:rsidR="00631F5E">
        <w:rPr>
          <w:rStyle w:val="BulletChar"/>
        </w:rPr>
        <w:t xml:space="preserve">address </w:t>
      </w:r>
      <w:r w:rsidRPr="003C67DC">
        <w:rPr>
          <w:rStyle w:val="BulletChar"/>
        </w:rPr>
        <w:t xml:space="preserve">ownership of IP </w:t>
      </w:r>
      <w:r w:rsidR="00631F5E">
        <w:rPr>
          <w:rStyle w:val="BulletChar"/>
        </w:rPr>
        <w:t xml:space="preserve">in any detail </w:t>
      </w:r>
      <w:r w:rsidRPr="003C67DC">
        <w:rPr>
          <w:rStyle w:val="BulletChar"/>
        </w:rPr>
        <w:t>and does not address situation</w:t>
      </w:r>
      <w:r w:rsidR="009C6BD2" w:rsidRPr="003C67DC">
        <w:rPr>
          <w:rStyle w:val="BulletChar"/>
        </w:rPr>
        <w:t>s</w:t>
      </w:r>
      <w:r w:rsidRPr="003C67DC">
        <w:rPr>
          <w:rStyle w:val="BulletChar"/>
        </w:rPr>
        <w:t xml:space="preserve"> where multiple parties are involved in the creation or development of IP. </w:t>
      </w:r>
    </w:p>
    <w:p w14:paraId="0F5F0D3E" w14:textId="4ED5FD9C" w:rsidR="00631F5E" w:rsidRPr="004373A2" w:rsidRDefault="00631F5E" w:rsidP="002C7E2A">
      <w:pPr>
        <w:pStyle w:val="BodyText"/>
        <w:numPr>
          <w:ilvl w:val="0"/>
          <w:numId w:val="7"/>
        </w:numPr>
        <w:spacing w:before="120" w:after="120"/>
        <w:ind w:left="397" w:hanging="397"/>
      </w:pPr>
      <w:r>
        <w:rPr>
          <w:rFonts w:cstheme="minorHAnsi"/>
        </w:rPr>
        <w:t>Other</w:t>
      </w:r>
      <w:r w:rsidRPr="0055657C">
        <w:rPr>
          <w:rFonts w:cstheme="minorHAnsi"/>
        </w:rPr>
        <w:t xml:space="preserve"> Australian s</w:t>
      </w:r>
      <w:r w:rsidRPr="00B9101C">
        <w:rPr>
          <w:rFonts w:cstheme="minorHAnsi"/>
        </w:rPr>
        <w:t>tate</w:t>
      </w:r>
      <w:r w:rsidRPr="0055657C">
        <w:rPr>
          <w:rFonts w:cstheme="minorHAnsi"/>
        </w:rPr>
        <w:t xml:space="preserve"> and ter</w:t>
      </w:r>
      <w:r>
        <w:rPr>
          <w:rFonts w:cstheme="minorHAnsi"/>
        </w:rPr>
        <w:t>ritory IP policy frameworks</w:t>
      </w:r>
      <w:r w:rsidRPr="0055657C">
        <w:rPr>
          <w:rFonts w:cstheme="minorHAnsi"/>
        </w:rPr>
        <w:t xml:space="preserve"> provide </w:t>
      </w:r>
      <w:r w:rsidRPr="0055657C">
        <w:rPr>
          <w:rFonts w:cstheme="minorHAnsi"/>
          <w:color w:val="000000"/>
        </w:rPr>
        <w:t xml:space="preserve">that IP created by </w:t>
      </w:r>
      <w:r w:rsidR="00924426">
        <w:rPr>
          <w:rFonts w:cstheme="minorHAnsi"/>
          <w:color w:val="000000"/>
        </w:rPr>
        <w:t>g</w:t>
      </w:r>
      <w:r w:rsidRPr="0055657C">
        <w:rPr>
          <w:rFonts w:cstheme="minorHAnsi"/>
          <w:color w:val="000000"/>
        </w:rPr>
        <w:t xml:space="preserve">overnment employees in the course of </w:t>
      </w:r>
      <w:r w:rsidRPr="00B9101C">
        <w:rPr>
          <w:rFonts w:cstheme="minorHAnsi"/>
          <w:color w:val="000000"/>
        </w:rPr>
        <w:t>employment is owned by agencies</w:t>
      </w:r>
      <w:r>
        <w:rPr>
          <w:rFonts w:cstheme="minorHAnsi"/>
          <w:color w:val="000000"/>
        </w:rPr>
        <w:t xml:space="preserve"> and the </w:t>
      </w:r>
      <w:r w:rsidRPr="0055657C">
        <w:rPr>
          <w:rFonts w:cstheme="minorHAnsi"/>
          <w:color w:val="000000"/>
        </w:rPr>
        <w:t>State</w:t>
      </w:r>
      <w:r>
        <w:rPr>
          <w:rFonts w:cstheme="minorHAnsi"/>
          <w:color w:val="000000"/>
        </w:rPr>
        <w:t xml:space="preserve">, and in addition: </w:t>
      </w:r>
    </w:p>
    <w:p w14:paraId="4C8BCE4D" w14:textId="026F3306" w:rsidR="00631F5E" w:rsidRDefault="00631F5E" w:rsidP="002C7E2A">
      <w:pPr>
        <w:pStyle w:val="ListParagraph"/>
        <w:ind w:left="794" w:hanging="397"/>
      </w:pPr>
      <w:r>
        <w:rPr>
          <w:rFonts w:cstheme="minorHAnsi"/>
          <w:color w:val="000000"/>
        </w:rPr>
        <w:t xml:space="preserve">New South Wales, Queensland and the </w:t>
      </w:r>
      <w:r w:rsidR="00924426">
        <w:rPr>
          <w:rFonts w:cstheme="minorHAnsi"/>
          <w:color w:val="000000"/>
        </w:rPr>
        <w:t>Australian Government</w:t>
      </w:r>
      <w:r>
        <w:rPr>
          <w:rFonts w:cstheme="minorHAnsi"/>
          <w:color w:val="000000"/>
        </w:rPr>
        <w:t xml:space="preserve"> specifically provide </w:t>
      </w:r>
      <w:r>
        <w:t xml:space="preserve">that ownership rights must be addressed in agreements and commercial arrangements. </w:t>
      </w:r>
    </w:p>
    <w:p w14:paraId="382D2B22" w14:textId="03D62852" w:rsidR="00631F5E" w:rsidRPr="00631F5E" w:rsidRDefault="00631F5E" w:rsidP="002C7E2A">
      <w:pPr>
        <w:pStyle w:val="ListParagraph"/>
        <w:ind w:left="794" w:hanging="397"/>
      </w:pPr>
      <w:r>
        <w:t xml:space="preserve">To facilitate collaboration with third parties, South Australia also permits the negotiation of joint ownership rights in some circumstances. </w:t>
      </w:r>
    </w:p>
    <w:p w14:paraId="1F842778" w14:textId="592A0E5B" w:rsidR="00C46B69" w:rsidRDefault="00782D34" w:rsidP="002C7E2A">
      <w:pPr>
        <w:pStyle w:val="BodyText"/>
        <w:numPr>
          <w:ilvl w:val="0"/>
          <w:numId w:val="7"/>
        </w:numPr>
        <w:spacing w:before="120" w:after="120"/>
        <w:ind w:left="397" w:hanging="397"/>
      </w:pPr>
      <w:r w:rsidRPr="1D2F3123">
        <w:rPr>
          <w:rStyle w:val="BulletChar"/>
        </w:rPr>
        <w:t>Previous stakeholder feedback has identified that W</w:t>
      </w:r>
      <w:r w:rsidR="002C7E2A">
        <w:rPr>
          <w:rStyle w:val="BulletChar"/>
        </w:rPr>
        <w:t xml:space="preserve">A Government </w:t>
      </w:r>
      <w:r w:rsidRPr="1D2F3123">
        <w:rPr>
          <w:rStyle w:val="BulletChar"/>
        </w:rPr>
        <w:t>agencies require further guidance on IP ownership in a</w:t>
      </w:r>
      <w:r w:rsidR="009C6BD2" w:rsidRPr="1D2F3123">
        <w:rPr>
          <w:rStyle w:val="BulletChar"/>
        </w:rPr>
        <w:t>n</w:t>
      </w:r>
      <w:r w:rsidRPr="1D2F3123">
        <w:rPr>
          <w:rStyle w:val="BulletChar"/>
        </w:rPr>
        <w:t xml:space="preserve"> </w:t>
      </w:r>
      <w:r w:rsidR="009C6BD2" w:rsidRPr="1D2F3123">
        <w:rPr>
          <w:rStyle w:val="BulletChar"/>
        </w:rPr>
        <w:t>updated</w:t>
      </w:r>
      <w:r w:rsidRPr="1D2F3123">
        <w:rPr>
          <w:rStyle w:val="BulletChar"/>
        </w:rPr>
        <w:t xml:space="preserve"> </w:t>
      </w:r>
      <w:r w:rsidR="009A07F4" w:rsidRPr="1D2F3123">
        <w:rPr>
          <w:rStyle w:val="BulletChar"/>
        </w:rPr>
        <w:t>WA Government IP Policy</w:t>
      </w:r>
      <w:r w:rsidRPr="1D2F3123">
        <w:rPr>
          <w:rStyle w:val="BulletChar"/>
        </w:rPr>
        <w:t xml:space="preserve">. The proposed policy is seeking to address this lack of </w:t>
      </w:r>
      <w:r w:rsidR="00631F5E" w:rsidRPr="1D2F3123">
        <w:rPr>
          <w:rStyle w:val="BulletChar"/>
        </w:rPr>
        <w:t xml:space="preserve">detail </w:t>
      </w:r>
      <w:r w:rsidRPr="1D2F3123">
        <w:rPr>
          <w:rStyle w:val="BulletChar"/>
        </w:rPr>
        <w:t>in relation to ownership of IP and IP rights, particularly in employment situations where multiple parties may be involved</w:t>
      </w:r>
      <w:r>
        <w:t xml:space="preserve">. </w:t>
      </w:r>
    </w:p>
    <w:p w14:paraId="274C1AD4" w14:textId="17BA8CE4" w:rsidR="001C5D45" w:rsidRPr="00576203" w:rsidRDefault="00782D34" w:rsidP="002C7E2A">
      <w:pPr>
        <w:pStyle w:val="Bullet"/>
        <w:ind w:left="397" w:hanging="397"/>
        <w:rPr>
          <w:b/>
          <w:bCs/>
          <w:sz w:val="28"/>
          <w:szCs w:val="28"/>
        </w:rPr>
      </w:pPr>
      <w:r>
        <w:lastRenderedPageBreak/>
        <w:t xml:space="preserve">It should be noted that although the </w:t>
      </w:r>
      <w:r w:rsidR="009C6BD2">
        <w:t xml:space="preserve">updated </w:t>
      </w:r>
      <w:r w:rsidR="009A07F4">
        <w:t>WA Government IP Policy</w:t>
      </w:r>
      <w:r>
        <w:t xml:space="preserve"> can provide further clarity</w:t>
      </w:r>
      <w:r w:rsidR="00924426">
        <w:t xml:space="preserve"> </w:t>
      </w:r>
      <w:r w:rsidR="008510BF">
        <w:t xml:space="preserve">regarding </w:t>
      </w:r>
      <w:r>
        <w:t xml:space="preserve">IP ownership, the general principle in the employment context continues to apply. Under common law, generally the person who created the </w:t>
      </w:r>
      <w:r w:rsidR="008510BF">
        <w:t xml:space="preserve">work </w:t>
      </w:r>
      <w:r>
        <w:t xml:space="preserve">is the owner of the IP. The exception to this is where the IP </w:t>
      </w:r>
      <w:r w:rsidR="009C7A60">
        <w:t>was created</w:t>
      </w:r>
      <w:r>
        <w:t xml:space="preserve"> under a contract of service, including employment. Where IP is </w:t>
      </w:r>
      <w:r w:rsidR="009C7A60">
        <w:t>developed</w:t>
      </w:r>
      <w:r>
        <w:t xml:space="preserve"> in the course of employment, it is owned by the employer unless agreed to the contrary. To avoid confusion over IP ownership, it is recommended that ownership be specifically addressed in employment </w:t>
      </w:r>
      <w:r w:rsidR="009C7A60">
        <w:t xml:space="preserve">contracts </w:t>
      </w:r>
      <w:r>
        <w:t xml:space="preserve">where IP is likely to be </w:t>
      </w:r>
      <w:r w:rsidR="009C7A60">
        <w:t>developed</w:t>
      </w:r>
      <w:r w:rsidR="003C0518">
        <w:t xml:space="preserve">, </w:t>
      </w:r>
      <w:r w:rsidR="001210AC">
        <w:t>for example</w:t>
      </w:r>
      <w:r w:rsidR="001210AC" w:rsidRPr="1D2F3123">
        <w:rPr>
          <w:rFonts w:ascii="Segoe UI" w:hAnsi="Segoe UI" w:cs="Segoe UI"/>
          <w:color w:val="auto"/>
          <w:sz w:val="18"/>
          <w:szCs w:val="18"/>
          <w:lang w:val="en-AU"/>
        </w:rPr>
        <w:t xml:space="preserve"> </w:t>
      </w:r>
      <w:r w:rsidR="001210AC" w:rsidRPr="1D2F3123">
        <w:rPr>
          <w:lang w:val="en-AU"/>
        </w:rPr>
        <w:t>contractors, consultants, seconded public employees</w:t>
      </w:r>
      <w:r w:rsidR="001210AC">
        <w:t xml:space="preserve">. </w:t>
      </w:r>
    </w:p>
    <w:p w14:paraId="06E5F52F" w14:textId="3662F747" w:rsidR="00782D34" w:rsidRDefault="00782D34" w:rsidP="00A52C5B">
      <w:pPr>
        <w:pStyle w:val="Heading3B"/>
        <w:spacing w:after="120" w:afterAutospacing="0"/>
      </w:pPr>
      <w:r w:rsidRPr="00AA1528">
        <w:t>Proposal:</w:t>
      </w:r>
      <w:r>
        <w:t xml:space="preserve"> </w:t>
      </w:r>
      <w:r w:rsidR="00F504AF">
        <w:t>Clear IP ownership statement and guiding principles</w:t>
      </w:r>
    </w:p>
    <w:p w14:paraId="3EFBCB8A" w14:textId="1BEAE546" w:rsidR="00782D34" w:rsidRDefault="00782D34" w:rsidP="002C7E2A">
      <w:pPr>
        <w:pStyle w:val="Bullet"/>
        <w:ind w:left="397" w:hanging="397"/>
      </w:pPr>
      <w:r>
        <w:t xml:space="preserve">Under the </w:t>
      </w:r>
      <w:r w:rsidR="009C6BD2">
        <w:t>propos</w:t>
      </w:r>
      <w:r>
        <w:t xml:space="preserve">ed approach, it is </w:t>
      </w:r>
      <w:r w:rsidR="009C6BD2">
        <w:t>suggest</w:t>
      </w:r>
      <w:r>
        <w:t xml:space="preserve">ed that the </w:t>
      </w:r>
      <w:r w:rsidR="009C6BD2">
        <w:t>updated</w:t>
      </w:r>
      <w:r>
        <w:t xml:space="preserve"> </w:t>
      </w:r>
      <w:r w:rsidR="009A07F4">
        <w:t>WA Government IP Policy</w:t>
      </w:r>
      <w:r>
        <w:t xml:space="preserve"> addresses ownership of IP and IP rights</w:t>
      </w:r>
      <w:r w:rsidR="00121B49">
        <w:t xml:space="preserve"> </w:t>
      </w:r>
      <w:r w:rsidR="00576203">
        <w:t>in greater detail</w:t>
      </w:r>
      <w:r>
        <w:t>, as follows:</w:t>
      </w:r>
    </w:p>
    <w:p w14:paraId="5CBC4133" w14:textId="4C39E0C8" w:rsidR="00782D34" w:rsidRDefault="0913ADA5" w:rsidP="002C7E2A">
      <w:pPr>
        <w:pStyle w:val="ListParagraph"/>
        <w:ind w:left="794" w:hanging="397"/>
      </w:pPr>
      <w:r>
        <w:t xml:space="preserve">Clear statement on ownership of IP and IP rights is included at a high level in the </w:t>
      </w:r>
      <w:r w:rsidR="7D32B31C">
        <w:t>updated</w:t>
      </w:r>
      <w:r>
        <w:t xml:space="preserve"> </w:t>
      </w:r>
      <w:r w:rsidR="22444EA2">
        <w:t>WA Government IP Policy</w:t>
      </w:r>
      <w:r>
        <w:t>. The ownership statement will be consistent with the approach taken in other Australian jurisdictions and reflect general principles of IP ownership based in case law.</w:t>
      </w:r>
    </w:p>
    <w:p w14:paraId="3D1E3A16" w14:textId="0A1CD680" w:rsidR="00782D34" w:rsidRDefault="00782D34" w:rsidP="002C7E2A">
      <w:pPr>
        <w:pStyle w:val="ListParagraph"/>
        <w:ind w:left="794" w:hanging="397"/>
      </w:pPr>
      <w:r>
        <w:t xml:space="preserve">Key guiding principles </w:t>
      </w:r>
      <w:r w:rsidR="007D5C9B">
        <w:t xml:space="preserve">are provided </w:t>
      </w:r>
      <w:r>
        <w:t xml:space="preserve">to specifically address IP ownership, including through the following guiding statements: </w:t>
      </w:r>
    </w:p>
    <w:p w14:paraId="0C9B83EB" w14:textId="00AA465A" w:rsidR="00782D34" w:rsidRPr="00A52C5B" w:rsidRDefault="00782D34" w:rsidP="002C7E2A">
      <w:pPr>
        <w:pStyle w:val="BulletIndent3"/>
        <w:numPr>
          <w:ilvl w:val="0"/>
          <w:numId w:val="19"/>
        </w:numPr>
        <w:ind w:left="1191" w:hanging="397"/>
        <w:rPr>
          <w:i/>
        </w:rPr>
      </w:pPr>
      <w:r w:rsidRPr="00EC275D">
        <w:t>Agencies should consider whether their ongoing ownership of IP on behalf of the State, maximis</w:t>
      </w:r>
      <w:r w:rsidR="007D5C9B">
        <w:t>es</w:t>
      </w:r>
      <w:r w:rsidRPr="00EC275D">
        <w:t xml:space="preserve"> benefits to the State</w:t>
      </w:r>
      <w:r w:rsidR="00A52C5B">
        <w:t>;</w:t>
      </w:r>
    </w:p>
    <w:p w14:paraId="6A9406D9" w14:textId="1A29ADA0" w:rsidR="00782D34" w:rsidRPr="00EC275D" w:rsidRDefault="00782D34" w:rsidP="002C7E2A">
      <w:pPr>
        <w:pStyle w:val="BulletIndent3"/>
        <w:numPr>
          <w:ilvl w:val="0"/>
          <w:numId w:val="19"/>
        </w:numPr>
        <w:ind w:left="1191" w:hanging="397"/>
      </w:pPr>
      <w:r w:rsidRPr="00EC275D">
        <w:t>Where the agency does not own the IP, access and reuse of that IP should seek to maximise public value</w:t>
      </w:r>
      <w:r w:rsidR="00014B58">
        <w:t>, subject to any agreement or statutory requirements</w:t>
      </w:r>
      <w:r w:rsidR="00A52C5B">
        <w:t>;</w:t>
      </w:r>
    </w:p>
    <w:p w14:paraId="77A10BB6" w14:textId="6B20F715" w:rsidR="00924426" w:rsidRDefault="00121B49" w:rsidP="002C7E2A">
      <w:pPr>
        <w:pStyle w:val="BulletIndent3"/>
        <w:numPr>
          <w:ilvl w:val="0"/>
          <w:numId w:val="19"/>
        </w:numPr>
        <w:ind w:left="1191" w:hanging="397"/>
      </w:pPr>
      <w:r>
        <w:t>N</w:t>
      </w:r>
      <w:r w:rsidR="00782D34" w:rsidRPr="00EC275D">
        <w:t xml:space="preserve">egotiated rights to access or use </w:t>
      </w:r>
      <w:r w:rsidR="007D5C9B">
        <w:t>IP</w:t>
      </w:r>
      <w:r w:rsidR="00782D34" w:rsidRPr="00EC275D">
        <w:t xml:space="preserve"> may be considered to facilitate collaboration with third parties</w:t>
      </w:r>
      <w:r w:rsidR="00A52C5B">
        <w:t>;</w:t>
      </w:r>
    </w:p>
    <w:p w14:paraId="2B4465BB" w14:textId="4D56FD1D" w:rsidR="00782D34" w:rsidRPr="00AD2744" w:rsidRDefault="0FEC52CB" w:rsidP="002C7E2A">
      <w:pPr>
        <w:pStyle w:val="BulletIndent3"/>
        <w:numPr>
          <w:ilvl w:val="0"/>
          <w:numId w:val="19"/>
        </w:numPr>
        <w:ind w:left="1191" w:hanging="397"/>
      </w:pPr>
      <w:r>
        <w:t xml:space="preserve">To provide greater clarity, </w:t>
      </w:r>
      <w:r w:rsidR="171B12C4">
        <w:t>e</w:t>
      </w:r>
      <w:r>
        <w:t>mployment</w:t>
      </w:r>
      <w:r w:rsidR="00782D34" w:rsidRPr="00AD2744">
        <w:t xml:space="preserve"> agreements should clearly state </w:t>
      </w:r>
      <w:r w:rsidR="00782D34" w:rsidRPr="00AD2744">
        <w:rPr>
          <w:rStyle w:val="normaltextrun"/>
        </w:rPr>
        <w:t xml:space="preserve">duties of employees and assign all IP rights created during the normal course of employment to the </w:t>
      </w:r>
      <w:r w:rsidR="00924426" w:rsidRPr="00924426">
        <w:t>employer</w:t>
      </w:r>
      <w:r w:rsidR="00A52C5B">
        <w:t>; and</w:t>
      </w:r>
    </w:p>
    <w:p w14:paraId="776E374D" w14:textId="52E3B736" w:rsidR="008E5AD0" w:rsidRPr="00260ED0" w:rsidRDefault="00782D34" w:rsidP="002C7E2A">
      <w:pPr>
        <w:pStyle w:val="BulletIndent3"/>
        <w:numPr>
          <w:ilvl w:val="0"/>
          <w:numId w:val="19"/>
        </w:numPr>
        <w:ind w:left="1191" w:hanging="397"/>
      </w:pPr>
      <w:r>
        <w:rPr>
          <w:noProof/>
          <w:lang w:val="en-AU"/>
        </w:rPr>
        <w:drawing>
          <wp:anchor distT="0" distB="0" distL="114300" distR="114300" simplePos="0" relativeHeight="251658241" behindDoc="0" locked="0" layoutInCell="1" allowOverlap="1" wp14:anchorId="4046320F" wp14:editId="7FCFF894">
            <wp:simplePos x="0" y="0"/>
            <wp:positionH relativeFrom="column">
              <wp:posOffset>332500</wp:posOffset>
            </wp:positionH>
            <wp:positionV relativeFrom="paragraph">
              <wp:posOffset>582584</wp:posOffset>
            </wp:positionV>
            <wp:extent cx="360" cy="360"/>
            <wp:effectExtent l="57150" t="38100" r="38100" b="57150"/>
            <wp:wrapNone/>
            <wp:docPr id="743654440"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5"/>
                    <a:stretch>
                      <a:fillRect/>
                    </a:stretch>
                  </pic:blipFill>
                  <pic:spPr>
                    <a:xfrm>
                      <a:off x="0" y="0"/>
                      <a:ext cx="36000" cy="216000"/>
                    </a:xfrm>
                    <a:prstGeom prst="rect">
                      <a:avLst/>
                    </a:prstGeom>
                  </pic:spPr>
                </pic:pic>
              </a:graphicData>
            </a:graphic>
          </wp:anchor>
        </w:drawing>
      </w:r>
      <w:r>
        <w:rPr>
          <w:noProof/>
          <w:lang w:val="en-AU"/>
        </w:rPr>
        <w:drawing>
          <wp:anchor distT="0" distB="0" distL="114300" distR="114300" simplePos="0" relativeHeight="251658240" behindDoc="0" locked="0" layoutInCell="1" allowOverlap="1" wp14:anchorId="42E2EB18" wp14:editId="6880370E">
            <wp:simplePos x="0" y="0"/>
            <wp:positionH relativeFrom="column">
              <wp:posOffset>-60980</wp:posOffset>
            </wp:positionH>
            <wp:positionV relativeFrom="paragraph">
              <wp:posOffset>157424</wp:posOffset>
            </wp:positionV>
            <wp:extent cx="360" cy="360"/>
            <wp:effectExtent l="57150" t="38100" r="38100" b="57150"/>
            <wp:wrapNone/>
            <wp:docPr id="1230083518"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15"/>
                    <a:stretch>
                      <a:fillRect/>
                    </a:stretch>
                  </pic:blipFill>
                  <pic:spPr>
                    <a:xfrm>
                      <a:off x="0" y="0"/>
                      <a:ext cx="36000" cy="216000"/>
                    </a:xfrm>
                    <a:prstGeom prst="rect">
                      <a:avLst/>
                    </a:prstGeom>
                  </pic:spPr>
                </pic:pic>
              </a:graphicData>
            </a:graphic>
          </wp:anchor>
        </w:drawing>
      </w:r>
      <w:r>
        <w:t>Where multiple parties are involved in a project, a</w:t>
      </w:r>
      <w:r w:rsidRPr="00AD2744">
        <w:t>gencies should ensure that IP ownership and rights are clearly addressed where relevant in their agreements and other commercial arrangements.</w:t>
      </w:r>
      <w:r>
        <w:t xml:space="preserve"> </w:t>
      </w:r>
    </w:p>
    <w:p w14:paraId="0DB6F50F" w14:textId="4C39E0C8" w:rsidR="00782D34" w:rsidRPr="00A06C12" w:rsidRDefault="6126336B" w:rsidP="002C7E2A">
      <w:pPr>
        <w:pStyle w:val="Bullet"/>
        <w:ind w:left="397" w:hanging="397"/>
      </w:pPr>
      <w:r>
        <w:t xml:space="preserve">The updated </w:t>
      </w:r>
      <w:r w:rsidR="530C1642">
        <w:t xml:space="preserve">WA Government </w:t>
      </w:r>
      <w:r>
        <w:t>IP Policy will provide an outline of factors to</w:t>
      </w:r>
      <w:r w:rsidR="28AF1508">
        <w:t xml:space="preserve"> </w:t>
      </w:r>
      <w:r w:rsidR="18A72052">
        <w:t>assist</w:t>
      </w:r>
      <w:r w:rsidR="28AF1508">
        <w:t xml:space="preserve"> agencies </w:t>
      </w:r>
      <w:r>
        <w:t>to determine</w:t>
      </w:r>
      <w:r w:rsidR="28AF1508">
        <w:t xml:space="preserve"> whether ongoing </w:t>
      </w:r>
      <w:r w:rsidR="722E43B9">
        <w:t>ownership of IP is appropriate</w:t>
      </w:r>
      <w:r w:rsidR="18A72052">
        <w:t xml:space="preserve"> in the circumstances, including:  </w:t>
      </w:r>
    </w:p>
    <w:p w14:paraId="6B5A0D0B" w14:textId="1D351AAF" w:rsidR="06876320" w:rsidRDefault="06876320" w:rsidP="002C7E2A">
      <w:pPr>
        <w:pStyle w:val="Bullet"/>
        <w:numPr>
          <w:ilvl w:val="1"/>
          <w:numId w:val="5"/>
        </w:numPr>
        <w:ind w:left="794" w:hanging="397"/>
      </w:pPr>
      <w:r w:rsidRPr="06876320">
        <w:rPr>
          <w:rFonts w:ascii="Arial" w:hAnsi="Arial"/>
        </w:rPr>
        <w:t xml:space="preserve">Whether the IP is strategically </w:t>
      </w:r>
      <w:r w:rsidR="44AF2050" w:rsidRPr="44AF2050">
        <w:rPr>
          <w:rFonts w:ascii="Arial" w:hAnsi="Arial"/>
        </w:rPr>
        <w:t xml:space="preserve">valuable </w:t>
      </w:r>
      <w:r w:rsidRPr="06876320">
        <w:rPr>
          <w:rFonts w:ascii="Arial" w:hAnsi="Arial"/>
        </w:rPr>
        <w:t>or business critical for the agency or Government in general;</w:t>
      </w:r>
    </w:p>
    <w:p w14:paraId="2F5334D2" w14:textId="323D6746" w:rsidR="06876320" w:rsidRDefault="08BB0237" w:rsidP="002C7E2A">
      <w:pPr>
        <w:pStyle w:val="Bullet"/>
        <w:numPr>
          <w:ilvl w:val="1"/>
          <w:numId w:val="5"/>
        </w:numPr>
        <w:ind w:left="794" w:hanging="397"/>
      </w:pPr>
      <w:r w:rsidRPr="7D4C80FD">
        <w:rPr>
          <w:rFonts w:ascii="Arial" w:hAnsi="Arial"/>
        </w:rPr>
        <w:lastRenderedPageBreak/>
        <w:t xml:space="preserve">Whether </w:t>
      </w:r>
      <w:r w:rsidRPr="6033F824">
        <w:rPr>
          <w:rFonts w:ascii="Arial" w:hAnsi="Arial"/>
        </w:rPr>
        <w:t xml:space="preserve">the </w:t>
      </w:r>
      <w:r w:rsidRPr="7D4C80FD">
        <w:rPr>
          <w:rFonts w:ascii="Arial" w:hAnsi="Arial"/>
        </w:rPr>
        <w:t xml:space="preserve">IP lends itself to being </w:t>
      </w:r>
      <w:r w:rsidRPr="6033F824">
        <w:rPr>
          <w:rFonts w:ascii="Arial" w:hAnsi="Arial"/>
        </w:rPr>
        <w:t>disseminated more widely</w:t>
      </w:r>
      <w:r w:rsidRPr="27E3164A">
        <w:rPr>
          <w:rFonts w:ascii="Arial" w:hAnsi="Arial"/>
        </w:rPr>
        <w:t xml:space="preserve"> or where the agency is </w:t>
      </w:r>
      <w:r w:rsidRPr="00E07AA4">
        <w:rPr>
          <w:rFonts w:ascii="Arial" w:hAnsi="Arial"/>
        </w:rPr>
        <w:t>seeking</w:t>
      </w:r>
      <w:r w:rsidRPr="27E3164A">
        <w:rPr>
          <w:rFonts w:ascii="Arial" w:hAnsi="Arial"/>
        </w:rPr>
        <w:t xml:space="preserve"> to encourage </w:t>
      </w:r>
      <w:r w:rsidRPr="00E07AA4">
        <w:rPr>
          <w:rFonts w:ascii="Arial" w:hAnsi="Arial"/>
        </w:rPr>
        <w:t>widespread use</w:t>
      </w:r>
      <w:r w:rsidRPr="6033F824">
        <w:rPr>
          <w:rFonts w:ascii="Arial" w:hAnsi="Arial"/>
        </w:rPr>
        <w:t>, including being</w:t>
      </w:r>
      <w:r w:rsidR="7D4C80FD" w:rsidRPr="7D4C80FD">
        <w:rPr>
          <w:rFonts w:ascii="Arial" w:hAnsi="Arial"/>
        </w:rPr>
        <w:t xml:space="preserve"> </w:t>
      </w:r>
      <w:r w:rsidRPr="7D4C80FD">
        <w:rPr>
          <w:rFonts w:ascii="Arial" w:hAnsi="Arial"/>
        </w:rPr>
        <w:t xml:space="preserve">published under Creative </w:t>
      </w:r>
      <w:r w:rsidRPr="7DBE429D">
        <w:rPr>
          <w:rFonts w:ascii="Arial" w:hAnsi="Arial"/>
        </w:rPr>
        <w:t>Commons</w:t>
      </w:r>
      <w:r w:rsidRPr="7D4C80FD">
        <w:rPr>
          <w:rFonts w:ascii="Arial" w:hAnsi="Arial"/>
        </w:rPr>
        <w:t xml:space="preserve"> </w:t>
      </w:r>
      <w:r w:rsidR="0033156F">
        <w:rPr>
          <w:rFonts w:ascii="Arial" w:hAnsi="Arial"/>
        </w:rPr>
        <w:t xml:space="preserve">licensing </w:t>
      </w:r>
      <w:r w:rsidRPr="7D4C80FD">
        <w:rPr>
          <w:rFonts w:ascii="Arial" w:hAnsi="Arial"/>
        </w:rPr>
        <w:t>or similar</w:t>
      </w:r>
      <w:r w:rsidR="0040565F">
        <w:rPr>
          <w:rFonts w:ascii="Arial" w:hAnsi="Arial"/>
        </w:rPr>
        <w:t xml:space="preserve"> open source lice</w:t>
      </w:r>
      <w:r w:rsidR="003D5BFB">
        <w:rPr>
          <w:rFonts w:ascii="Arial" w:hAnsi="Arial"/>
        </w:rPr>
        <w:t>nsing</w:t>
      </w:r>
      <w:r w:rsidR="00A52C5B">
        <w:rPr>
          <w:rFonts w:ascii="Arial" w:hAnsi="Arial"/>
        </w:rPr>
        <w:t>;</w:t>
      </w:r>
    </w:p>
    <w:p w14:paraId="63C58238" w14:textId="207F7257" w:rsidR="6B1BB3A8" w:rsidRDefault="1FE8A7C4" w:rsidP="002C7E2A">
      <w:pPr>
        <w:pStyle w:val="Bullet"/>
        <w:numPr>
          <w:ilvl w:val="1"/>
          <w:numId w:val="5"/>
        </w:numPr>
        <w:ind w:left="794" w:hanging="397"/>
      </w:pPr>
      <w:r>
        <w:t xml:space="preserve">Where the agency is seeking </w:t>
      </w:r>
      <w:r w:rsidR="4D7BFF78">
        <w:t xml:space="preserve">to </w:t>
      </w:r>
      <w:r w:rsidR="48C4E77D">
        <w:t>exclude</w:t>
      </w:r>
      <w:r>
        <w:t xml:space="preserve"> use of the IP </w:t>
      </w:r>
      <w:r w:rsidR="10FE2652">
        <w:t xml:space="preserve">or to control or limit </w:t>
      </w:r>
      <w:r w:rsidR="00E51AF1">
        <w:t xml:space="preserve">by way of </w:t>
      </w:r>
      <w:r w:rsidR="00A52C5B">
        <w:t>licensing; and</w:t>
      </w:r>
    </w:p>
    <w:p w14:paraId="0756BAE0" w14:textId="17EE4405" w:rsidR="1C179BDC" w:rsidRDefault="64D5899F" w:rsidP="002C7E2A">
      <w:pPr>
        <w:pStyle w:val="Bullet"/>
        <w:numPr>
          <w:ilvl w:val="1"/>
          <w:numId w:val="5"/>
        </w:numPr>
        <w:ind w:left="794" w:hanging="397"/>
      </w:pPr>
      <w:r>
        <w:t xml:space="preserve">Whether the ongoing </w:t>
      </w:r>
      <w:r w:rsidR="00E51AF1">
        <w:t xml:space="preserve">cost of protection </w:t>
      </w:r>
      <w:r>
        <w:t xml:space="preserve">of IP may be prohibitive, </w:t>
      </w:r>
      <w:r w:rsidR="00E51AF1">
        <w:t xml:space="preserve">and not </w:t>
      </w:r>
      <w:r w:rsidR="0BA09480" w:rsidRPr="00D24A95">
        <w:t xml:space="preserve">justified in the </w:t>
      </w:r>
      <w:r w:rsidR="34D9F766" w:rsidRPr="00D24A95">
        <w:t>circumstances</w:t>
      </w:r>
      <w:r w:rsidR="00E51AF1">
        <w:t>.</w:t>
      </w:r>
    </w:p>
    <w:p w14:paraId="19B834B7" w14:textId="5DB5CA02" w:rsidR="00782D34" w:rsidRPr="00C46DF4" w:rsidRDefault="00782D34" w:rsidP="002C7E2A">
      <w:pPr>
        <w:pStyle w:val="Bullet"/>
        <w:ind w:left="397" w:hanging="397"/>
        <w:rPr>
          <w:rFonts w:eastAsiaTheme="majorEastAsia" w:cstheme="majorBidi"/>
        </w:rPr>
      </w:pPr>
      <w:r>
        <w:t>It is intended that the use of key guiding principles addressing IP ownership will retain flexibility for agencies within the current parameters of the legislative framework</w:t>
      </w:r>
      <w:r w:rsidR="00C46DF4">
        <w:t xml:space="preserve">.   </w:t>
      </w:r>
    </w:p>
    <w:p w14:paraId="1BF560AB" w14:textId="78583109" w:rsidR="00782D34" w:rsidRPr="00BF2FD6" w:rsidRDefault="00782D34" w:rsidP="002C7E2A">
      <w:pPr>
        <w:pStyle w:val="Bullet"/>
        <w:ind w:left="397" w:hanging="397"/>
        <w:rPr>
          <w:rFonts w:eastAsiaTheme="majorEastAsia" w:cstheme="majorBidi"/>
        </w:rPr>
      </w:pPr>
      <w:r>
        <w:t xml:space="preserve">The </w:t>
      </w:r>
      <w:r w:rsidR="007D5C9B">
        <w:t xml:space="preserve">updated </w:t>
      </w:r>
      <w:r w:rsidR="009A07F4">
        <w:t>WA Government IP Policy</w:t>
      </w:r>
      <w:r>
        <w:t xml:space="preserve"> will also include specific reference to employment situations where IP is created by a consultant or other third party, with agencies encouraged to clearly address IP ownership in any contractual agreements.</w:t>
      </w:r>
    </w:p>
    <w:p w14:paraId="693EDE82" w14:textId="3F5F0A51" w:rsidR="4602C7FC" w:rsidRDefault="4602C7FC" w:rsidP="002C7E2A">
      <w:pPr>
        <w:pStyle w:val="Bullet"/>
        <w:ind w:left="397" w:hanging="397"/>
        <w:rPr>
          <w:rFonts w:eastAsiaTheme="majorEastAsia" w:cstheme="majorBidi"/>
        </w:rPr>
      </w:pPr>
      <w:r w:rsidRPr="1D2F3123">
        <w:rPr>
          <w:rFonts w:ascii="Arial" w:hAnsi="Arial"/>
        </w:rPr>
        <w:t xml:space="preserve">Agencies will be encouraged to seek legal advice in relation to IP ownership. </w:t>
      </w:r>
      <w:r>
        <w:br/>
      </w:r>
      <w:r w:rsidRPr="1D2F3123">
        <w:rPr>
          <w:rFonts w:ascii="Arial" w:hAnsi="Arial"/>
        </w:rPr>
        <w:t>Potential implementation measures recommending access to expert advice</w:t>
      </w:r>
      <w:r w:rsidR="00B13C4B" w:rsidRPr="1D2F3123">
        <w:rPr>
          <w:rFonts w:ascii="Arial" w:hAnsi="Arial"/>
        </w:rPr>
        <w:t xml:space="preserve"> </w:t>
      </w:r>
      <w:r w:rsidR="00BD42A6" w:rsidRPr="1D2F3123">
        <w:rPr>
          <w:rFonts w:ascii="Arial" w:hAnsi="Arial"/>
        </w:rPr>
        <w:t>are</w:t>
      </w:r>
      <w:r w:rsidRPr="1D2F3123">
        <w:rPr>
          <w:rFonts w:ascii="Arial" w:hAnsi="Arial"/>
        </w:rPr>
        <w:t xml:space="preserve"> considered further under </w:t>
      </w:r>
      <w:r w:rsidRPr="1D2F3123">
        <w:rPr>
          <w:rFonts w:ascii="Arial" w:hAnsi="Arial"/>
          <w:b/>
          <w:bCs/>
        </w:rPr>
        <w:t xml:space="preserve">Section </w:t>
      </w:r>
      <w:r w:rsidR="009A07F4" w:rsidRPr="1D2F3123">
        <w:rPr>
          <w:rFonts w:ascii="Arial" w:hAnsi="Arial"/>
          <w:b/>
          <w:bCs/>
        </w:rPr>
        <w:t>5</w:t>
      </w:r>
      <w:r w:rsidRPr="1D2F3123">
        <w:rPr>
          <w:rFonts w:ascii="Arial" w:hAnsi="Arial"/>
        </w:rPr>
        <w:t xml:space="preserve">. </w:t>
      </w:r>
    </w:p>
    <w:p w14:paraId="2F8A3386" w14:textId="2CFD8C5A" w:rsidR="00782D34" w:rsidRPr="00603F9D" w:rsidRDefault="00782D34" w:rsidP="00CA5722">
      <w:pPr>
        <w:pStyle w:val="Bullet"/>
        <w:numPr>
          <w:ilvl w:val="0"/>
          <w:numId w:val="0"/>
        </w:numPr>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i/>
          <w:color w:val="272727"/>
        </w:rPr>
      </w:pPr>
      <w:r w:rsidRPr="63321260">
        <w:rPr>
          <w:rStyle w:val="normaltextrun"/>
          <w:rFonts w:ascii="Arial" w:hAnsi="Arial" w:cs="Arial"/>
          <w:b/>
          <w:i/>
        </w:rPr>
        <w:t xml:space="preserve">Discussion </w:t>
      </w:r>
      <w:r w:rsidRPr="00603F9D">
        <w:rPr>
          <w:rStyle w:val="normaltextrun"/>
          <w:rFonts w:ascii="Arial" w:hAnsi="Arial" w:cs="Arial"/>
          <w:b/>
          <w:bCs/>
          <w:i/>
          <w:color w:val="272727"/>
        </w:rPr>
        <w:t>questions</w:t>
      </w:r>
      <w:r w:rsidRPr="00603F9D">
        <w:rPr>
          <w:rStyle w:val="eop"/>
          <w:rFonts w:ascii="Arial" w:hAnsi="Arial" w:cs="Arial"/>
          <w:i/>
          <w:color w:val="272727"/>
        </w:rPr>
        <w:t> </w:t>
      </w:r>
    </w:p>
    <w:p w14:paraId="3F4F9B1D" w14:textId="6E349B38" w:rsidR="00782D34" w:rsidRDefault="00782D34" w:rsidP="00CA5722">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Pr>
          <w:rStyle w:val="eop"/>
          <w:rFonts w:ascii="Arial" w:hAnsi="Arial" w:cs="Arial"/>
          <w:color w:val="272727"/>
        </w:rPr>
        <w:t xml:space="preserve">Does the proposed policy approach </w:t>
      </w:r>
      <w:r w:rsidR="007D5C9B">
        <w:rPr>
          <w:rStyle w:val="eop"/>
          <w:rFonts w:ascii="Arial" w:hAnsi="Arial" w:cs="Arial"/>
          <w:color w:val="272727"/>
        </w:rPr>
        <w:t xml:space="preserve">for an updated </w:t>
      </w:r>
      <w:r w:rsidR="009A07F4">
        <w:rPr>
          <w:rStyle w:val="eop"/>
          <w:rFonts w:ascii="Arial" w:hAnsi="Arial" w:cs="Arial"/>
          <w:color w:val="272727"/>
        </w:rPr>
        <w:t>WA Government IP Policy</w:t>
      </w:r>
      <w:r w:rsidR="007D5C9B">
        <w:rPr>
          <w:rStyle w:val="eop"/>
          <w:rFonts w:ascii="Arial" w:hAnsi="Arial" w:cs="Arial"/>
          <w:color w:val="272727"/>
        </w:rPr>
        <w:t xml:space="preserve"> </w:t>
      </w:r>
      <w:r>
        <w:rPr>
          <w:rStyle w:val="eop"/>
          <w:rFonts w:ascii="Arial" w:hAnsi="Arial" w:cs="Arial"/>
          <w:color w:val="272727"/>
        </w:rPr>
        <w:t xml:space="preserve">provide sufficient guidance for WA </w:t>
      </w:r>
      <w:r w:rsidR="00C7091A">
        <w:rPr>
          <w:rStyle w:val="eop"/>
          <w:rFonts w:ascii="Arial" w:hAnsi="Arial" w:cs="Arial"/>
          <w:color w:val="272727"/>
        </w:rPr>
        <w:t xml:space="preserve">Government </w:t>
      </w:r>
      <w:r>
        <w:rPr>
          <w:rStyle w:val="eop"/>
          <w:rFonts w:ascii="Arial" w:hAnsi="Arial" w:cs="Arial"/>
          <w:color w:val="272727"/>
        </w:rPr>
        <w:t xml:space="preserve">agencies </w:t>
      </w:r>
      <w:r w:rsidR="00B9101C">
        <w:rPr>
          <w:rStyle w:val="eop"/>
          <w:rFonts w:ascii="Arial" w:hAnsi="Arial" w:cs="Arial"/>
          <w:color w:val="272727"/>
        </w:rPr>
        <w:t>regarding</w:t>
      </w:r>
      <w:r>
        <w:rPr>
          <w:rStyle w:val="eop"/>
          <w:rFonts w:ascii="Arial" w:hAnsi="Arial" w:cs="Arial"/>
          <w:color w:val="272727"/>
        </w:rPr>
        <w:t xml:space="preserve"> IP ownership?</w:t>
      </w:r>
    </w:p>
    <w:p w14:paraId="1BEA263E" w14:textId="37E6274A" w:rsidR="00782D34" w:rsidRDefault="00782D34" w:rsidP="00CA5722">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Pr>
          <w:rStyle w:val="eop"/>
          <w:rFonts w:ascii="Arial" w:hAnsi="Arial" w:cs="Arial"/>
          <w:color w:val="272727"/>
        </w:rPr>
        <w:t xml:space="preserve">Are there any concerns or potential unintended impacts from the proposed approach? </w:t>
      </w:r>
    </w:p>
    <w:p w14:paraId="1E991DEB" w14:textId="6A942743" w:rsidR="00BA1037" w:rsidRPr="003B5EB5" w:rsidRDefault="00782D34" w:rsidP="00CA5722">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Pr>
          <w:rStyle w:val="eop"/>
          <w:rFonts w:ascii="Arial" w:hAnsi="Arial" w:cs="Arial"/>
          <w:color w:val="272727"/>
        </w:rPr>
        <w:t xml:space="preserve">If an alternative approach is preferred, </w:t>
      </w:r>
      <w:r w:rsidR="007D5C9B">
        <w:rPr>
          <w:rStyle w:val="eop"/>
          <w:rFonts w:ascii="Arial" w:hAnsi="Arial" w:cs="Arial"/>
          <w:color w:val="272727"/>
        </w:rPr>
        <w:t xml:space="preserve">please </w:t>
      </w:r>
      <w:r>
        <w:rPr>
          <w:rStyle w:val="eop"/>
          <w:rFonts w:ascii="Arial" w:hAnsi="Arial" w:cs="Arial"/>
          <w:color w:val="272727"/>
        </w:rPr>
        <w:t xml:space="preserve">outline what this includes and the rationale. </w:t>
      </w:r>
    </w:p>
    <w:p w14:paraId="731D9539" w14:textId="6C5DAF2D" w:rsidR="00BA1037" w:rsidRPr="00BA1037" w:rsidRDefault="00BA1037" w:rsidP="00AD0043">
      <w:pPr>
        <w:pStyle w:val="Heading2"/>
        <w:jc w:val="both"/>
      </w:pPr>
      <w:bookmarkStart w:id="184" w:name="_Commercialisation_pathways"/>
      <w:bookmarkStart w:id="185" w:name="_Toc97301108"/>
      <w:bookmarkStart w:id="186" w:name="_Toc97801757"/>
      <w:bookmarkStart w:id="187" w:name="_Toc97903446"/>
      <w:bookmarkStart w:id="188" w:name="_Toc101971645"/>
      <w:bookmarkStart w:id="189" w:name="_Toc104976291"/>
      <w:bookmarkStart w:id="190" w:name="_Toc114829901"/>
      <w:bookmarkEnd w:id="184"/>
      <w:r>
        <w:t>Commercialisation pathways</w:t>
      </w:r>
      <w:bookmarkEnd w:id="185"/>
      <w:bookmarkEnd w:id="186"/>
      <w:bookmarkEnd w:id="187"/>
      <w:bookmarkEnd w:id="188"/>
      <w:bookmarkEnd w:id="189"/>
      <w:bookmarkEnd w:id="190"/>
    </w:p>
    <w:p w14:paraId="38C9B690" w14:textId="4AB9F4CA" w:rsidR="00690124" w:rsidRDefault="7D32B31C" w:rsidP="00A52C5B">
      <w:pPr>
        <w:pStyle w:val="Bullet"/>
        <w:ind w:left="397" w:hanging="397"/>
      </w:pPr>
      <w:r>
        <w:t>T</w:t>
      </w:r>
      <w:r w:rsidR="40889536">
        <w:t xml:space="preserve">he </w:t>
      </w:r>
      <w:r>
        <w:t xml:space="preserve">current </w:t>
      </w:r>
      <w:r w:rsidR="22444EA2">
        <w:t>WA Government IP Policy</w:t>
      </w:r>
      <w:r w:rsidR="40889536">
        <w:t xml:space="preserve"> does not provide clear guidance for</w:t>
      </w:r>
      <w:r w:rsidR="00230B32">
        <w:br w:type="textWrapping" w:clear="all"/>
      </w:r>
      <w:r w:rsidR="40889536">
        <w:t xml:space="preserve">WA </w:t>
      </w:r>
      <w:r w:rsidR="25274A4A">
        <w:t xml:space="preserve">Government </w:t>
      </w:r>
      <w:r w:rsidR="40889536">
        <w:t xml:space="preserve">agencies on </w:t>
      </w:r>
      <w:r w:rsidR="138DEF72">
        <w:t xml:space="preserve">assessing whether commercialisation is appropriate, financially viable and the </w:t>
      </w:r>
      <w:r w:rsidR="40889536">
        <w:t xml:space="preserve">pathways and processes for the commercialisation of IP. Previous stakeholder feedback has identified </w:t>
      </w:r>
      <w:r w:rsidR="3FB624F0">
        <w:t>this</w:t>
      </w:r>
      <w:r w:rsidR="40889536">
        <w:t xml:space="preserve"> lack of guidance on commercialisation as a key issue and barrier to positive IP outcomes.</w:t>
      </w:r>
      <w:r w:rsidR="5810E055">
        <w:t xml:space="preserve"> </w:t>
      </w:r>
      <w:r w:rsidR="66FEDE5F">
        <w:t>In particular, i</w:t>
      </w:r>
      <w:r w:rsidR="64BBA8C8">
        <w:t>t</w:t>
      </w:r>
      <w:r w:rsidR="5810E055">
        <w:t xml:space="preserve"> </w:t>
      </w:r>
      <w:r w:rsidR="26F8F2A7">
        <w:t>appears</w:t>
      </w:r>
      <w:r w:rsidR="00230B32">
        <w:br w:type="textWrapping" w:clear="all"/>
      </w:r>
      <w:r w:rsidR="25274A4A">
        <w:t xml:space="preserve">WA </w:t>
      </w:r>
      <w:r w:rsidR="5810E055">
        <w:t>Go</w:t>
      </w:r>
      <w:r w:rsidR="26F8F2A7">
        <w:t>vernment agencies would benefit from clearer guidance regarding:</w:t>
      </w:r>
    </w:p>
    <w:p w14:paraId="4D22D0EB" w14:textId="4C39E0C8" w:rsidR="00DE0828" w:rsidRDefault="001A1BEA" w:rsidP="00A52C5B">
      <w:pPr>
        <w:pStyle w:val="Bullet"/>
        <w:numPr>
          <w:ilvl w:val="1"/>
          <w:numId w:val="5"/>
        </w:numPr>
        <w:ind w:left="794" w:hanging="397"/>
      </w:pPr>
      <w:r>
        <w:t>w</w:t>
      </w:r>
      <w:r w:rsidR="00DE0828">
        <w:t>hen the commercialisation of IP should be considered</w:t>
      </w:r>
      <w:r w:rsidR="007E5113">
        <w:t xml:space="preserve"> and </w:t>
      </w:r>
      <w:r>
        <w:t xml:space="preserve">the </w:t>
      </w:r>
      <w:r w:rsidR="00CF4A08">
        <w:t>factors that may be</w:t>
      </w:r>
      <w:r w:rsidR="00D637B7">
        <w:t xml:space="preserve"> </w:t>
      </w:r>
      <w:r w:rsidR="00B56C61">
        <w:t xml:space="preserve">assessed </w:t>
      </w:r>
      <w:r w:rsidR="007E5113">
        <w:t xml:space="preserve">as part of the </w:t>
      </w:r>
      <w:r w:rsidR="00202F9B">
        <w:t>decision-making</w:t>
      </w:r>
      <w:r w:rsidR="007E5113">
        <w:t xml:space="preserve"> process</w:t>
      </w:r>
      <w:r w:rsidR="006376B7">
        <w:t>;</w:t>
      </w:r>
    </w:p>
    <w:p w14:paraId="2007C1E2" w14:textId="0321EE71" w:rsidR="00EC294C" w:rsidRDefault="001066F8" w:rsidP="00A52C5B">
      <w:pPr>
        <w:pStyle w:val="Bullet"/>
        <w:numPr>
          <w:ilvl w:val="1"/>
          <w:numId w:val="5"/>
        </w:numPr>
        <w:ind w:left="794" w:hanging="397"/>
      </w:pPr>
      <w:r>
        <w:t xml:space="preserve">the </w:t>
      </w:r>
      <w:r w:rsidR="00A95BBA">
        <w:t xml:space="preserve">available or preferred </w:t>
      </w:r>
      <w:r w:rsidR="00794697">
        <w:t>commercialisation pathways</w:t>
      </w:r>
      <w:r>
        <w:t xml:space="preserve"> for </w:t>
      </w:r>
      <w:r w:rsidR="006376B7">
        <w:t xml:space="preserve">WA </w:t>
      </w:r>
      <w:r>
        <w:t>Government agencies</w:t>
      </w:r>
      <w:r w:rsidR="006376B7">
        <w:t>; and</w:t>
      </w:r>
    </w:p>
    <w:p w14:paraId="6F5EED00" w14:textId="7487BE7F" w:rsidR="00794697" w:rsidRPr="00856DF8" w:rsidRDefault="005C060D" w:rsidP="00A52C5B">
      <w:pPr>
        <w:pStyle w:val="Bullet"/>
        <w:numPr>
          <w:ilvl w:val="1"/>
          <w:numId w:val="5"/>
        </w:numPr>
        <w:ind w:left="794" w:hanging="397"/>
      </w:pPr>
      <w:r>
        <w:t xml:space="preserve">the </w:t>
      </w:r>
      <w:r w:rsidR="00730C8E">
        <w:t xml:space="preserve">development of </w:t>
      </w:r>
      <w:r w:rsidR="00944F1E">
        <w:t>commercialisation proposals</w:t>
      </w:r>
      <w:r w:rsidR="00A92C5D">
        <w:t xml:space="preserve"> and management of related pro</w:t>
      </w:r>
      <w:r w:rsidR="00183A74">
        <w:t>ces</w:t>
      </w:r>
      <w:r w:rsidR="00B050D5">
        <w:t>ses</w:t>
      </w:r>
      <w:r w:rsidR="00A92C5D">
        <w:t xml:space="preserve"> such as </w:t>
      </w:r>
      <w:r w:rsidR="001F0EA4">
        <w:t>due diligence assessments, implementation plan</w:t>
      </w:r>
      <w:r w:rsidR="00B050D5">
        <w:t>s</w:t>
      </w:r>
      <w:r w:rsidR="001F0EA4">
        <w:t xml:space="preserve"> and licen</w:t>
      </w:r>
      <w:r w:rsidR="00B050D5">
        <w:t xml:space="preserve">sing negotiations. </w:t>
      </w:r>
    </w:p>
    <w:p w14:paraId="19312D34" w14:textId="4C39E0C8" w:rsidR="00FA42D3" w:rsidRDefault="40889536" w:rsidP="0035327F">
      <w:pPr>
        <w:pStyle w:val="Bullet"/>
        <w:spacing w:after="120"/>
        <w:ind w:left="397" w:hanging="397"/>
      </w:pPr>
      <w:r>
        <w:lastRenderedPageBreak/>
        <w:t>A key objective of th</w:t>
      </w:r>
      <w:r w:rsidR="7D32B31C">
        <w:t>is</w:t>
      </w:r>
      <w:r>
        <w:t xml:space="preserve"> review is to develop an updated policy that facilitates the commercialisation of IP</w:t>
      </w:r>
      <w:r w:rsidR="36C15D3E">
        <w:t xml:space="preserve"> by </w:t>
      </w:r>
      <w:r w:rsidR="25274A4A">
        <w:t xml:space="preserve">WA Government </w:t>
      </w:r>
      <w:r w:rsidR="36C15D3E">
        <w:t>agencies</w:t>
      </w:r>
      <w:r w:rsidR="194CF5E1">
        <w:t xml:space="preserve">, </w:t>
      </w:r>
      <w:r w:rsidR="72A7EC96">
        <w:t xml:space="preserve">where appropriate and financially viable, </w:t>
      </w:r>
      <w:r w:rsidR="7D32B31C">
        <w:t>by</w:t>
      </w:r>
      <w:r>
        <w:t xml:space="preserve"> providing clear guidance </w:t>
      </w:r>
      <w:r w:rsidR="7D32B31C">
        <w:t>and accompanying</w:t>
      </w:r>
      <w:r>
        <w:t xml:space="preserve"> tools and resources. This will address a clear gap in the current </w:t>
      </w:r>
      <w:r w:rsidR="22444EA2">
        <w:t>WA Government IP Policy</w:t>
      </w:r>
      <w:r>
        <w:t xml:space="preserve">, assist with facilitating positive opportunities for the State and align with the </w:t>
      </w:r>
      <w:r w:rsidR="25274A4A">
        <w:t xml:space="preserve">WA </w:t>
      </w:r>
      <w:r>
        <w:t>Government</w:t>
      </w:r>
      <w:r w:rsidR="0C8FB553">
        <w:t>’s</w:t>
      </w:r>
      <w:r>
        <w:t xml:space="preserve"> </w:t>
      </w:r>
      <w:r w:rsidR="0C8FB553">
        <w:t xml:space="preserve">economic diversification and jobs </w:t>
      </w:r>
      <w:r>
        <w:t>agenda to</w:t>
      </w:r>
      <w:r w:rsidR="01DB271C">
        <w:t>:</w:t>
      </w:r>
    </w:p>
    <w:p w14:paraId="2D6D77C6" w14:textId="77749F43" w:rsidR="00690124" w:rsidRDefault="00690124" w:rsidP="0035327F">
      <w:pPr>
        <w:pStyle w:val="Bullet"/>
        <w:numPr>
          <w:ilvl w:val="1"/>
          <w:numId w:val="5"/>
        </w:numPr>
        <w:spacing w:after="120"/>
        <w:ind w:left="794" w:hanging="397"/>
      </w:pPr>
      <w:r w:rsidRPr="00596FCC">
        <w:t xml:space="preserve">explore and develop </w:t>
      </w:r>
      <w:r w:rsidR="007B23FE" w:rsidRPr="00596FCC">
        <w:t xml:space="preserve">new </w:t>
      </w:r>
      <w:r w:rsidRPr="00596FCC">
        <w:t>revenue streams</w:t>
      </w:r>
      <w:r w:rsidR="00723241">
        <w:t>.</w:t>
      </w:r>
    </w:p>
    <w:p w14:paraId="302B7F04" w14:textId="3C1B8EEE" w:rsidR="009D1B57" w:rsidRDefault="00FA42D3" w:rsidP="0035327F">
      <w:pPr>
        <w:pStyle w:val="Bullet"/>
        <w:numPr>
          <w:ilvl w:val="1"/>
          <w:numId w:val="5"/>
        </w:numPr>
        <w:spacing w:after="120"/>
        <w:ind w:left="794" w:hanging="397"/>
      </w:pPr>
      <w:r w:rsidRPr="00FA42D3">
        <w:t xml:space="preserve">reform </w:t>
      </w:r>
      <w:r w:rsidR="006F2802">
        <w:t>existing</w:t>
      </w:r>
      <w:r w:rsidRPr="00FA42D3">
        <w:t xml:space="preserve"> frameworks to support the commercialisation of local </w:t>
      </w:r>
      <w:r w:rsidR="000F0F86">
        <w:t xml:space="preserve">inventions </w:t>
      </w:r>
      <w:r w:rsidR="00084316">
        <w:t>that can facilitate the development and growth of the State’s priority sectors, including the health and medical life sciences industry</w:t>
      </w:r>
      <w:r>
        <w:t>.</w:t>
      </w:r>
    </w:p>
    <w:p w14:paraId="39D2931F" w14:textId="665BE1F8" w:rsidR="00936B17" w:rsidRPr="009A07F4" w:rsidRDefault="00CB63C7" w:rsidP="00A52C5B">
      <w:pPr>
        <w:pStyle w:val="Bullet"/>
        <w:numPr>
          <w:ilvl w:val="1"/>
          <w:numId w:val="5"/>
        </w:numPr>
        <w:ind w:left="794" w:hanging="397"/>
        <w:rPr>
          <w:b/>
          <w:bCs/>
          <w:sz w:val="28"/>
          <w:szCs w:val="28"/>
        </w:rPr>
      </w:pPr>
      <w:r>
        <w:t>i</w:t>
      </w:r>
      <w:r w:rsidR="00873485">
        <w:t xml:space="preserve">ncrease </w:t>
      </w:r>
      <w:r w:rsidR="0010614B" w:rsidRPr="0010614B">
        <w:t>collaboration between government, industry and the community</w:t>
      </w:r>
      <w:r w:rsidR="00D24131">
        <w:t xml:space="preserve"> to </w:t>
      </w:r>
      <w:r w:rsidR="0010614B" w:rsidRPr="0010614B">
        <w:t>creat</w:t>
      </w:r>
      <w:r w:rsidR="00D24131">
        <w:t>e</w:t>
      </w:r>
      <w:r w:rsidR="0010614B" w:rsidRPr="0010614B">
        <w:t xml:space="preserve"> jobs, diversify the economy and attract investment</w:t>
      </w:r>
      <w:r w:rsidR="008F3CF5">
        <w:t>.</w:t>
      </w:r>
      <w:r w:rsidR="0010614B" w:rsidRPr="0010614B">
        <w:t> </w:t>
      </w:r>
    </w:p>
    <w:p w14:paraId="008176B0" w14:textId="06C67112" w:rsidR="00936B17" w:rsidRPr="007556E3" w:rsidRDefault="00936B17" w:rsidP="00A84FDD">
      <w:pPr>
        <w:pStyle w:val="Heading3B"/>
      </w:pPr>
      <w:r w:rsidRPr="007556E3">
        <w:t xml:space="preserve">Approaches to commercialisation in other jurisdictions </w:t>
      </w:r>
    </w:p>
    <w:p w14:paraId="32A44506" w14:textId="7B5567B3" w:rsidR="00C27D64" w:rsidRDefault="28AD3720" w:rsidP="00A52C5B">
      <w:pPr>
        <w:pStyle w:val="Bullet"/>
        <w:ind w:left="397" w:hanging="397"/>
      </w:pPr>
      <w:r>
        <w:t xml:space="preserve">The majority of Australian states and territories </w:t>
      </w:r>
      <w:r w:rsidR="58ADF4D7">
        <w:t xml:space="preserve">encourage </w:t>
      </w:r>
      <w:r w:rsidR="1991E410">
        <w:t>t</w:t>
      </w:r>
      <w:r>
        <w:t>he c</w:t>
      </w:r>
      <w:r w:rsidR="2A985952">
        <w:t xml:space="preserve">ommercialisation of </w:t>
      </w:r>
      <w:r w:rsidR="25274A4A">
        <w:t xml:space="preserve">government </w:t>
      </w:r>
      <w:r w:rsidR="2A985952">
        <w:t>owned IP</w:t>
      </w:r>
      <w:r w:rsidR="5C558D6A">
        <w:t xml:space="preserve">. </w:t>
      </w:r>
      <w:r w:rsidR="75957A10">
        <w:t xml:space="preserve">Each state has a different </w:t>
      </w:r>
      <w:r w:rsidR="2A996186">
        <w:t xml:space="preserve">threshold </w:t>
      </w:r>
      <w:r w:rsidR="15BF3C2C">
        <w:t>test</w:t>
      </w:r>
      <w:r w:rsidR="75957A10">
        <w:t xml:space="preserve"> for determining when</w:t>
      </w:r>
      <w:r w:rsidR="15BF3C2C">
        <w:t xml:space="preserve"> the</w:t>
      </w:r>
      <w:r w:rsidR="00A52C5B">
        <w:t xml:space="preserve"> </w:t>
      </w:r>
      <w:r w:rsidR="75957A10">
        <w:t xml:space="preserve">commercialisation </w:t>
      </w:r>
      <w:r w:rsidR="15BF3C2C">
        <w:t>of Government IP may be appropriate</w:t>
      </w:r>
      <w:r w:rsidR="5E493097">
        <w:t>, as follows</w:t>
      </w:r>
      <w:r w:rsidR="75957A10">
        <w:t>:</w:t>
      </w:r>
    </w:p>
    <w:p w14:paraId="61D7CED9" w14:textId="513F6FB3" w:rsidR="00C27D64" w:rsidRDefault="00866C01" w:rsidP="00A52C5B">
      <w:pPr>
        <w:pStyle w:val="Bullet"/>
        <w:numPr>
          <w:ilvl w:val="1"/>
          <w:numId w:val="5"/>
        </w:numPr>
        <w:ind w:left="794" w:hanging="397"/>
      </w:pPr>
      <w:r>
        <w:t>New South Wales</w:t>
      </w:r>
      <w:r w:rsidR="001317EB">
        <w:rPr>
          <w:rStyle w:val="FootnoteReference"/>
        </w:rPr>
        <w:footnoteReference w:id="12"/>
      </w:r>
      <w:r>
        <w:t xml:space="preserve"> and</w:t>
      </w:r>
      <w:r w:rsidR="00C27D64">
        <w:t xml:space="preserve"> South Australia</w:t>
      </w:r>
      <w:r w:rsidR="001317EB">
        <w:rPr>
          <w:rStyle w:val="FootnoteReference"/>
        </w:rPr>
        <w:footnoteReference w:id="13"/>
      </w:r>
      <w:r w:rsidR="006376B7">
        <w:t xml:space="preserve"> both</w:t>
      </w:r>
      <w:r>
        <w:t xml:space="preserve"> provide that</w:t>
      </w:r>
      <w:r w:rsidR="00C27D64">
        <w:t xml:space="preserve"> commercialisation may be considered where the benefits of commercialisation outweigh the benefits to the public of open access. </w:t>
      </w:r>
      <w:r w:rsidR="00E1103A">
        <w:t>Agencies must consider strategic priorities,</w:t>
      </w:r>
      <w:r>
        <w:t xml:space="preserve"> powers,</w:t>
      </w:r>
      <w:r w:rsidR="00E1103A">
        <w:t xml:space="preserve"> policies and procedures as part of this assessment</w:t>
      </w:r>
      <w:r w:rsidR="00A52C5B">
        <w:t>;</w:t>
      </w:r>
      <w:r w:rsidR="00E1103A">
        <w:t xml:space="preserve"> </w:t>
      </w:r>
    </w:p>
    <w:p w14:paraId="3754D5F6" w14:textId="01562D00" w:rsidR="00C27D64" w:rsidRDefault="00C27D64" w:rsidP="00A52C5B">
      <w:pPr>
        <w:pStyle w:val="Bullet"/>
        <w:numPr>
          <w:ilvl w:val="1"/>
          <w:numId w:val="5"/>
        </w:numPr>
        <w:ind w:left="794" w:hanging="397"/>
      </w:pPr>
      <w:r>
        <w:t>In Queensland, an agency must be satisfied that the State is obtaining the maximum benefit from the commercialisation of IP</w:t>
      </w:r>
      <w:r w:rsidR="00A52C5B">
        <w:t>;</w:t>
      </w:r>
      <w:r w:rsidR="000F6F5E">
        <w:rPr>
          <w:rStyle w:val="FootnoteReference"/>
        </w:rPr>
        <w:footnoteReference w:id="14"/>
      </w:r>
      <w:r w:rsidR="00A52C5B">
        <w:t xml:space="preserve"> and</w:t>
      </w:r>
    </w:p>
    <w:p w14:paraId="683369B3" w14:textId="3492C9D6" w:rsidR="007556E3" w:rsidRDefault="00342B82" w:rsidP="00A52C5B">
      <w:pPr>
        <w:pStyle w:val="Bullet"/>
        <w:numPr>
          <w:ilvl w:val="1"/>
          <w:numId w:val="5"/>
        </w:numPr>
        <w:ind w:left="794" w:hanging="397"/>
      </w:pPr>
      <w:r>
        <w:t xml:space="preserve">The </w:t>
      </w:r>
      <w:r w:rsidR="006376B7">
        <w:t xml:space="preserve">Australian Government </w:t>
      </w:r>
      <w:r>
        <w:t>encourage</w:t>
      </w:r>
      <w:r w:rsidR="00866C01">
        <w:t>s</w:t>
      </w:r>
      <w:r>
        <w:t xml:space="preserve"> agencies to be responsive to opportunities for commercial use and exploitation of IP, considering potential benefits that may be realised through the transfer </w:t>
      </w:r>
      <w:r w:rsidR="00585250">
        <w:t xml:space="preserve">of </w:t>
      </w:r>
      <w:r>
        <w:t>IP such as cost saving</w:t>
      </w:r>
      <w:r w:rsidR="00585250">
        <w:t>s</w:t>
      </w:r>
      <w:r>
        <w:t xml:space="preserve"> and the continued development of products and services by the private sector.</w:t>
      </w:r>
      <w:r w:rsidR="00866C01">
        <w:rPr>
          <w:rStyle w:val="FootnoteReference"/>
        </w:rPr>
        <w:footnoteReference w:id="15"/>
      </w:r>
      <w:r>
        <w:t xml:space="preserve"> </w:t>
      </w:r>
    </w:p>
    <w:p w14:paraId="54974D85" w14:textId="62B5DAEE" w:rsidR="007556E3" w:rsidRDefault="007556E3" w:rsidP="0035327F">
      <w:pPr>
        <w:pStyle w:val="Bullet"/>
        <w:spacing w:after="160"/>
        <w:ind w:left="397" w:hanging="397"/>
      </w:pPr>
      <w:r>
        <w:t xml:space="preserve">Victoria’s model is the exception, </w:t>
      </w:r>
      <w:r w:rsidR="00663163">
        <w:t xml:space="preserve">where commercialisation </w:t>
      </w:r>
      <w:r w:rsidR="00701A57">
        <w:t xml:space="preserve">to generate </w:t>
      </w:r>
      <w:r w:rsidR="000110EC">
        <w:t xml:space="preserve">a </w:t>
      </w:r>
      <w:r w:rsidR="00701A57">
        <w:t xml:space="preserve">financial return is </w:t>
      </w:r>
      <w:r w:rsidR="0000759A">
        <w:t xml:space="preserve">generally </w:t>
      </w:r>
      <w:r w:rsidR="00701A57">
        <w:t>discouraged</w:t>
      </w:r>
      <w:r>
        <w:t xml:space="preserve"> unless the agency can demonstrate:</w:t>
      </w:r>
    </w:p>
    <w:p w14:paraId="0829515D" w14:textId="5BAF0534" w:rsidR="007556E3" w:rsidRDefault="007556E3" w:rsidP="0035327F">
      <w:pPr>
        <w:pStyle w:val="Bullet"/>
        <w:numPr>
          <w:ilvl w:val="1"/>
          <w:numId w:val="5"/>
        </w:numPr>
        <w:spacing w:after="120"/>
        <w:ind w:left="794" w:hanging="397"/>
      </w:pPr>
      <w:r>
        <w:t>an explicit statutory function to do so; or</w:t>
      </w:r>
      <w:r w:rsidR="0035327F">
        <w:t xml:space="preserve"> </w:t>
      </w:r>
    </w:p>
    <w:p w14:paraId="2F556325" w14:textId="1AB77309" w:rsidR="007556E3" w:rsidRDefault="007556E3" w:rsidP="00A52C5B">
      <w:pPr>
        <w:pStyle w:val="Bullet"/>
        <w:numPr>
          <w:ilvl w:val="1"/>
          <w:numId w:val="5"/>
        </w:numPr>
        <w:ind w:left="794" w:hanging="397"/>
      </w:pPr>
      <w:r>
        <w:t>explicit authorisation</w:t>
      </w:r>
      <w:r w:rsidRPr="00A369BC">
        <w:t xml:space="preserve"> by the Treasurer because of a clear net benefit to the Victorian community.</w:t>
      </w:r>
      <w:r w:rsidR="000F6F5E">
        <w:rPr>
          <w:rStyle w:val="FootnoteReference"/>
        </w:rPr>
        <w:footnoteReference w:id="16"/>
      </w:r>
    </w:p>
    <w:p w14:paraId="434E1765" w14:textId="0BC99237" w:rsidR="0000759A" w:rsidRDefault="006376B7" w:rsidP="00A52C5B">
      <w:pPr>
        <w:pStyle w:val="Bullet"/>
        <w:ind w:left="397" w:hanging="397"/>
      </w:pPr>
      <w:r w:rsidRPr="006376B7">
        <w:lastRenderedPageBreak/>
        <w:t xml:space="preserve">Victoria’s </w:t>
      </w:r>
      <w:r w:rsidR="00231EDD">
        <w:t xml:space="preserve">IP policy framework aligns with </w:t>
      </w:r>
      <w:r w:rsidR="00BA601D">
        <w:t>its</w:t>
      </w:r>
      <w:r w:rsidR="00231EDD">
        <w:t xml:space="preserve"> broader</w:t>
      </w:r>
      <w:r w:rsidR="00701A57">
        <w:t xml:space="preserve"> </w:t>
      </w:r>
      <w:r w:rsidR="00231EDD">
        <w:t>initiative</w:t>
      </w:r>
      <w:r w:rsidR="000110EC">
        <w:t>s</w:t>
      </w:r>
      <w:r w:rsidR="00231EDD">
        <w:t xml:space="preserve"> to </w:t>
      </w:r>
      <w:r w:rsidR="00701A57">
        <w:t>adopt an ‘open by default’ approach to the management of all public sector information on the basis that open access fosters creative, innovative and entrepreneurial activities.</w:t>
      </w:r>
      <w:r w:rsidR="00BD5419">
        <w:rPr>
          <w:rStyle w:val="FootnoteReference"/>
        </w:rPr>
        <w:footnoteReference w:id="17"/>
      </w:r>
      <w:r w:rsidR="00701A57">
        <w:t xml:space="preserve"> </w:t>
      </w:r>
      <w:r w:rsidR="00BD5419">
        <w:t xml:space="preserve">Under the Victorian model, priority is given to the granting of rights to the </w:t>
      </w:r>
      <w:r>
        <w:t xml:space="preserve">Victorian Government’s </w:t>
      </w:r>
      <w:r w:rsidR="00BD5419">
        <w:t>IP to third parties or the public to maximise its impact, value, accessibility and benefit. These rights are usually granted via a licence.</w:t>
      </w:r>
      <w:r w:rsidR="00BD5419">
        <w:rPr>
          <w:rStyle w:val="FootnoteReference"/>
        </w:rPr>
        <w:footnoteReference w:id="18"/>
      </w:r>
    </w:p>
    <w:p w14:paraId="035A362F" w14:textId="0A0FB75A" w:rsidR="006A33D4" w:rsidRDefault="00F37050" w:rsidP="00A52C5B">
      <w:pPr>
        <w:pStyle w:val="Bullet"/>
        <w:ind w:left="397" w:hanging="397"/>
      </w:pPr>
      <w:r>
        <w:t xml:space="preserve">The South Australian model </w:t>
      </w:r>
      <w:r w:rsidR="005D7519">
        <w:t xml:space="preserve">encourages the assignment or licencing of government-owned IP to third parties </w:t>
      </w:r>
      <w:r w:rsidR="001227A1">
        <w:t xml:space="preserve">when better placed to develop and commercially exploit the IP </w:t>
      </w:r>
      <w:r w:rsidR="005D7519">
        <w:t>to optimise public value and foster innovation.</w:t>
      </w:r>
      <w:r w:rsidR="000F6F5E">
        <w:rPr>
          <w:rStyle w:val="FootnoteReference"/>
        </w:rPr>
        <w:footnoteReference w:id="19"/>
      </w:r>
      <w:r w:rsidR="005D7519">
        <w:t xml:space="preserve"> In some </w:t>
      </w:r>
      <w:r w:rsidR="009F082F">
        <w:t>instances,</w:t>
      </w:r>
      <w:r w:rsidR="005D7519">
        <w:t xml:space="preserve"> IP may also be assigned to current or former staff for commercial exploitation subject to government receiving at least 5 per cent of any net financial returns. </w:t>
      </w:r>
    </w:p>
    <w:p w14:paraId="4F4EB280" w14:textId="09E02FCD" w:rsidR="0056790F" w:rsidRDefault="1A7CF87E" w:rsidP="00F02171">
      <w:pPr>
        <w:pStyle w:val="Bullet"/>
      </w:pPr>
      <w:r>
        <w:t xml:space="preserve">The </w:t>
      </w:r>
      <w:r w:rsidR="52FFD79A">
        <w:t xml:space="preserve">Queensland and </w:t>
      </w:r>
      <w:r w:rsidR="25274A4A">
        <w:t xml:space="preserve">Australian </w:t>
      </w:r>
      <w:r w:rsidR="52FFD79A">
        <w:t xml:space="preserve">Government </w:t>
      </w:r>
      <w:r>
        <w:t xml:space="preserve">processes in relation </w:t>
      </w:r>
      <w:r w:rsidR="52FFD79A">
        <w:t xml:space="preserve">to commercialisation are mapped out below for reference. </w:t>
      </w:r>
      <w:r w:rsidR="1C647250">
        <w:t xml:space="preserve">The </w:t>
      </w:r>
      <w:r w:rsidR="13246DAD">
        <w:t>approaches</w:t>
      </w:r>
      <w:r w:rsidR="1C647250">
        <w:t xml:space="preserve"> of these jurisdictions may provide a </w:t>
      </w:r>
      <w:r w:rsidR="16268B4F">
        <w:t xml:space="preserve">guide </w:t>
      </w:r>
      <w:r w:rsidR="1C647250">
        <w:t xml:space="preserve">for an updated </w:t>
      </w:r>
      <w:r w:rsidR="22444EA2">
        <w:t>WA Government IP Policy</w:t>
      </w:r>
      <w:r w:rsidR="308FCA82">
        <w:t xml:space="preserve"> and supporting guidance resources for agencies</w:t>
      </w:r>
      <w:r w:rsidR="1C647250">
        <w:t>.</w:t>
      </w:r>
      <w:r w:rsidR="0056790F">
        <w:t xml:space="preserve"> </w:t>
      </w:r>
    </w:p>
    <w:p w14:paraId="14950D4A" w14:textId="585E70BC" w:rsidR="00D824DE" w:rsidRDefault="00D824DE" w:rsidP="00D824DE">
      <w:pPr>
        <w:pStyle w:val="Caption"/>
        <w:keepNext/>
      </w:pPr>
      <w:r>
        <w:t>Figure 1: Overview of Queensland State Government IP commercialisation process</w:t>
      </w:r>
    </w:p>
    <w:p w14:paraId="3A17CFD6" w14:textId="5E5983C3" w:rsidR="00600837" w:rsidRDefault="00600837" w:rsidP="00600837">
      <w:r w:rsidRPr="00600837">
        <w:rPr>
          <w:noProof/>
        </w:rPr>
        <w:drawing>
          <wp:inline distT="0" distB="0" distL="0" distR="0" wp14:anchorId="643909F2" wp14:editId="6EB2EC7D">
            <wp:extent cx="6480000" cy="3233087"/>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000" cy="3233087"/>
                    </a:xfrm>
                    <a:prstGeom prst="rect">
                      <a:avLst/>
                    </a:prstGeom>
                    <a:noFill/>
                    <a:ln>
                      <a:noFill/>
                    </a:ln>
                  </pic:spPr>
                </pic:pic>
              </a:graphicData>
            </a:graphic>
          </wp:inline>
        </w:drawing>
      </w:r>
    </w:p>
    <w:p w14:paraId="2B20ADE0" w14:textId="6D30AF20" w:rsidR="0035327F" w:rsidRDefault="0035327F" w:rsidP="00600837"/>
    <w:p w14:paraId="7FBB577C" w14:textId="21CF118D" w:rsidR="0035327F" w:rsidRDefault="0035327F" w:rsidP="00600837"/>
    <w:p w14:paraId="1FE1193A" w14:textId="77777777" w:rsidR="0035327F" w:rsidRPr="00600837" w:rsidRDefault="0035327F" w:rsidP="00600837"/>
    <w:p w14:paraId="66A64DF4" w14:textId="77777777" w:rsidR="00DA01CD" w:rsidRDefault="00A369BC">
      <w:pPr>
        <w:spacing w:after="160" w:line="259" w:lineRule="auto"/>
        <w:textAlignment w:val="auto"/>
        <w:rPr>
          <w:i/>
          <w:color w:val="041049" w:themeColor="text2"/>
          <w:sz w:val="18"/>
          <w:szCs w:val="18"/>
        </w:rPr>
      </w:pPr>
      <w:r w:rsidRPr="00D824DE">
        <w:rPr>
          <w:i/>
          <w:color w:val="041049" w:themeColor="text2"/>
          <w:sz w:val="18"/>
          <w:szCs w:val="18"/>
        </w:rPr>
        <w:lastRenderedPageBreak/>
        <w:t>Figure 2: Overview of Commonwealth Government</w:t>
      </w:r>
      <w:r w:rsidR="001944EF" w:rsidRPr="00D824DE">
        <w:rPr>
          <w:i/>
          <w:color w:val="041049" w:themeColor="text2"/>
          <w:sz w:val="18"/>
          <w:szCs w:val="18"/>
        </w:rPr>
        <w:t xml:space="preserve"> recommended</w:t>
      </w:r>
      <w:r w:rsidRPr="00D824DE">
        <w:rPr>
          <w:i/>
          <w:color w:val="041049" w:themeColor="text2"/>
          <w:sz w:val="18"/>
          <w:szCs w:val="18"/>
        </w:rPr>
        <w:t xml:space="preserve"> commercialisation process</w:t>
      </w:r>
    </w:p>
    <w:p w14:paraId="049CADD9" w14:textId="3868944C" w:rsidR="002D7784" w:rsidRDefault="00E73727">
      <w:pPr>
        <w:spacing w:after="160" w:line="259" w:lineRule="auto"/>
        <w:textAlignment w:val="auto"/>
        <w:rPr>
          <w:b/>
          <w:bCs/>
          <w:sz w:val="28"/>
          <w:szCs w:val="28"/>
          <w:lang w:val="en-GB"/>
        </w:rPr>
      </w:pPr>
      <w:r w:rsidRPr="00E73727">
        <w:rPr>
          <w:noProof/>
        </w:rPr>
        <w:drawing>
          <wp:inline distT="0" distB="0" distL="0" distR="0" wp14:anchorId="15C67355" wp14:editId="5178A6DA">
            <wp:extent cx="6480000" cy="28266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0000" cy="2826676"/>
                    </a:xfrm>
                    <a:prstGeom prst="rect">
                      <a:avLst/>
                    </a:prstGeom>
                    <a:noFill/>
                    <a:ln>
                      <a:noFill/>
                    </a:ln>
                  </pic:spPr>
                </pic:pic>
              </a:graphicData>
            </a:graphic>
          </wp:inline>
        </w:drawing>
      </w:r>
    </w:p>
    <w:p w14:paraId="0A98E03D" w14:textId="6EF51CD0" w:rsidR="00690124" w:rsidRPr="00F504AF" w:rsidRDefault="00690124" w:rsidP="00A84FDD">
      <w:pPr>
        <w:pStyle w:val="Heading3B"/>
      </w:pPr>
      <w:r w:rsidRPr="00F504AF">
        <w:t>Proposal: Clear commercialisation framework and supporting guidance</w:t>
      </w:r>
    </w:p>
    <w:p w14:paraId="25DF3936" w14:textId="02F6724A" w:rsidR="00690124" w:rsidRPr="00A4470C" w:rsidRDefault="00690124" w:rsidP="00A52C5B">
      <w:pPr>
        <w:pStyle w:val="Bullet"/>
        <w:ind w:left="397" w:hanging="397"/>
      </w:pPr>
      <w:r>
        <w:t xml:space="preserve">It is proposed that </w:t>
      </w:r>
      <w:r w:rsidR="007B23FE">
        <w:t xml:space="preserve">an updated </w:t>
      </w:r>
      <w:r w:rsidR="009A07F4">
        <w:t>WA Government IP Policy</w:t>
      </w:r>
      <w:r>
        <w:t xml:space="preserve"> address commercialisation through key guiding principles and specific guidance outlined in the Policy and supporting guidance tools to assist agencies in determining whether to commercialise IP. </w:t>
      </w:r>
    </w:p>
    <w:p w14:paraId="7FA2972B" w14:textId="01485875" w:rsidR="00690124" w:rsidRDefault="40889536" w:rsidP="00A52C5B">
      <w:pPr>
        <w:pStyle w:val="Bullet"/>
        <w:ind w:left="397" w:hanging="397"/>
      </w:pPr>
      <w:r>
        <w:t xml:space="preserve">The </w:t>
      </w:r>
      <w:r w:rsidR="3604F1A3">
        <w:t xml:space="preserve">updated </w:t>
      </w:r>
      <w:r w:rsidR="22444EA2">
        <w:t>WA Government IP Policy</w:t>
      </w:r>
      <w:r>
        <w:t xml:space="preserve"> w</w:t>
      </w:r>
      <w:r w:rsidR="3604F1A3">
        <w:t>ould</w:t>
      </w:r>
      <w:r>
        <w:t xml:space="preserve"> outline pathways to commercialisation and </w:t>
      </w:r>
      <w:r w:rsidRPr="00E11144">
        <w:t>guidance</w:t>
      </w:r>
      <w:r>
        <w:t xml:space="preserve"> for agencies in determining the appropriate pathway for the IP in question. It is intended that the </w:t>
      </w:r>
      <w:r w:rsidR="3604F1A3">
        <w:t xml:space="preserve">updated </w:t>
      </w:r>
      <w:r w:rsidR="22444EA2">
        <w:t>WA Government IP Policy</w:t>
      </w:r>
      <w:r>
        <w:t xml:space="preserve"> specifically outline different commercialisation pathways for agencies to consider depending on the type of IP</w:t>
      </w:r>
      <w:r w:rsidR="0D66DE2C">
        <w:t>,</w:t>
      </w:r>
      <w:r w:rsidR="00A52C5B">
        <w:br w:type="textWrapping" w:clear="all"/>
      </w:r>
      <w:r w:rsidR="030E5479">
        <w:t xml:space="preserve">including </w:t>
      </w:r>
      <w:r>
        <w:t>the formation of joint venture arrangements or spin-off companies where certain conditions can be met.</w:t>
      </w:r>
      <w:r w:rsidR="08CB9AFF">
        <w:t xml:space="preserve"> Any consideration of the formation of spin-off companies or joint venture arrangements will </w:t>
      </w:r>
      <w:r w:rsidR="0083064D">
        <w:t>only occur after consultation with and advice from the State Solicitor’s Office and other legal and commercialisation experts.</w:t>
      </w:r>
      <w:r w:rsidR="3408FE9B">
        <w:t xml:space="preserve"> </w:t>
      </w:r>
    </w:p>
    <w:p w14:paraId="17EE16C7" w14:textId="3D552F6A" w:rsidR="009F3545" w:rsidRDefault="002F500B" w:rsidP="00A52C5B">
      <w:pPr>
        <w:pStyle w:val="Bullet"/>
        <w:ind w:left="397" w:hanging="397"/>
      </w:pPr>
      <w:r>
        <w:t xml:space="preserve">The </w:t>
      </w:r>
      <w:r w:rsidR="00623BC6">
        <w:t xml:space="preserve">approach to commercialisation of IP under the updated WA Government IP Policy will </w:t>
      </w:r>
      <w:r w:rsidR="000F74A3">
        <w:t>require</w:t>
      </w:r>
      <w:r w:rsidR="00E909C3">
        <w:t xml:space="preserve"> WA Government agencies to exercise due diligence in the</w:t>
      </w:r>
      <w:r w:rsidR="00623BC6">
        <w:t xml:space="preserve"> assessment of risks.</w:t>
      </w:r>
      <w:r>
        <w:t xml:space="preserve"> </w:t>
      </w:r>
      <w:r w:rsidR="00EF10E3">
        <w:t>This will include the consideration of risks in determing</w:t>
      </w:r>
      <w:r w:rsidR="00EA70B8">
        <w:t xml:space="preserve"> whether</w:t>
      </w:r>
      <w:r w:rsidR="00EF10E3">
        <w:t xml:space="preserve"> it is appropriate to commercialise and the management of risks if commercialisation proceeds.</w:t>
      </w:r>
    </w:p>
    <w:p w14:paraId="00AD3C2D" w14:textId="206307DC" w:rsidR="002F500B" w:rsidRDefault="009F3545" w:rsidP="00A52C5B">
      <w:pPr>
        <w:pStyle w:val="Bullet"/>
        <w:ind w:left="397" w:hanging="397"/>
      </w:pPr>
      <w:r>
        <w:t xml:space="preserve">As an example, the </w:t>
      </w:r>
      <w:r w:rsidR="000F74A3">
        <w:t>Australian</w:t>
      </w:r>
      <w:r>
        <w:t xml:space="preserve"> Government approach to commercialisation recommends</w:t>
      </w:r>
      <w:r w:rsidR="00FF4F8B">
        <w:t xml:space="preserve"> e</w:t>
      </w:r>
      <w:r w:rsidR="004B0B4E">
        <w:t>ntities consider whether exposure to commercial risk is consistent with corporate purposes</w:t>
      </w:r>
      <w:r w:rsidR="00FF4F8B">
        <w:t>.</w:t>
      </w:r>
      <w:r w:rsidR="00562B52">
        <w:rPr>
          <w:rStyle w:val="FootnoteReference"/>
        </w:rPr>
        <w:footnoteReference w:id="20"/>
      </w:r>
      <w:r w:rsidR="00FF4F8B">
        <w:t xml:space="preserve"> In addition, </w:t>
      </w:r>
      <w:r>
        <w:t>agencies</w:t>
      </w:r>
      <w:r w:rsidR="00FF4F8B">
        <w:t xml:space="preserve"> should </w:t>
      </w:r>
      <w:r>
        <w:t xml:space="preserve">adopt appropriate risk management </w:t>
      </w:r>
      <w:r>
        <w:lastRenderedPageBreak/>
        <w:t>mechanisms to ensure government is only exposed to an acceptable and managed level of risk throughout the commercialisation.</w:t>
      </w:r>
      <w:r>
        <w:rPr>
          <w:rStyle w:val="FootnoteReference"/>
        </w:rPr>
        <w:footnoteReference w:id="21"/>
      </w:r>
    </w:p>
    <w:p w14:paraId="1B8E4290" w14:textId="69723482" w:rsidR="00690124" w:rsidRPr="002D16E0" w:rsidRDefault="40889536" w:rsidP="00A52C5B">
      <w:pPr>
        <w:pStyle w:val="Bullet"/>
        <w:ind w:left="397" w:hanging="397"/>
      </w:pPr>
      <w:r>
        <w:t xml:space="preserve">Guidance will be based on models of best practice, including drawing across practices from other Australian states and territories. The </w:t>
      </w:r>
      <w:r w:rsidR="3604F1A3">
        <w:t xml:space="preserve">updated </w:t>
      </w:r>
      <w:r w:rsidR="22444EA2">
        <w:t>WA Government IP Policy</w:t>
      </w:r>
      <w:r>
        <w:t xml:space="preserve"> and supporting guidance tools will include appropriate processes and factors to </w:t>
      </w:r>
      <w:r w:rsidR="7CA47BF5">
        <w:t xml:space="preserve">be </w:t>
      </w:r>
      <w:r>
        <w:t>consider</w:t>
      </w:r>
      <w:r w:rsidR="7CA47BF5">
        <w:t>ed</w:t>
      </w:r>
      <w:r>
        <w:t xml:space="preserve"> by WA </w:t>
      </w:r>
      <w:r w:rsidR="25274A4A">
        <w:t xml:space="preserve">Government </w:t>
      </w:r>
      <w:r>
        <w:t>agencies in commercialising IP</w:t>
      </w:r>
      <w:r w:rsidR="000A5371">
        <w:t xml:space="preserve">, including </w:t>
      </w:r>
      <w:r w:rsidR="00E909C3">
        <w:t xml:space="preserve">an </w:t>
      </w:r>
      <w:r w:rsidR="000A5371">
        <w:t>assessment of risks</w:t>
      </w:r>
      <w:r>
        <w:t xml:space="preserve">. </w:t>
      </w:r>
    </w:p>
    <w:p w14:paraId="3B9C3E31" w14:textId="7FFC6428" w:rsidR="00690124" w:rsidRPr="00D3299A" w:rsidRDefault="00690124" w:rsidP="00F61FFF">
      <w:pPr>
        <w:pStyle w:val="Bullet"/>
        <w:spacing w:after="160"/>
        <w:ind w:left="397" w:hanging="397"/>
      </w:pPr>
      <w:r>
        <w:t xml:space="preserve">Under the proposed approach, the </w:t>
      </w:r>
      <w:r w:rsidR="007B23FE">
        <w:t xml:space="preserve">updated </w:t>
      </w:r>
      <w:r w:rsidR="009A07F4">
        <w:t>WA Government IP Policy</w:t>
      </w:r>
      <w:r>
        <w:t xml:space="preserve"> w</w:t>
      </w:r>
      <w:r w:rsidR="007B23FE">
        <w:t>ould</w:t>
      </w:r>
      <w:r>
        <w:t xml:space="preserve"> provide specific guidance to</w:t>
      </w:r>
      <w:r w:rsidR="006376B7">
        <w:t xml:space="preserve"> W</w:t>
      </w:r>
      <w:r w:rsidR="00A52C5B">
        <w:t>estern Australia</w:t>
      </w:r>
      <w:r w:rsidR="005B55AA">
        <w:t>n</w:t>
      </w:r>
      <w:r>
        <w:t xml:space="preserve"> public sector agencies in determining whether to commercialise </w:t>
      </w:r>
      <w:r w:rsidR="006376B7">
        <w:t xml:space="preserve">WA </w:t>
      </w:r>
      <w:r>
        <w:t>Government IP. This w</w:t>
      </w:r>
      <w:r w:rsidR="007B23FE">
        <w:t>ould</w:t>
      </w:r>
      <w:r>
        <w:t xml:space="preserve"> be based on best practice models of IP development and management and include the following resources to assist agencies:</w:t>
      </w:r>
    </w:p>
    <w:p w14:paraId="38F4A628" w14:textId="67CA199A" w:rsidR="00285B06" w:rsidRPr="00A52C5B" w:rsidRDefault="00690124" w:rsidP="00F61FFF">
      <w:pPr>
        <w:pStyle w:val="ListParagraph"/>
        <w:ind w:left="794" w:hanging="397"/>
        <w:rPr>
          <w:bCs/>
        </w:rPr>
      </w:pPr>
      <w:r w:rsidRPr="00A52C5B">
        <w:t xml:space="preserve">How to conduct a </w:t>
      </w:r>
      <w:r w:rsidR="00A52C5B" w:rsidRPr="00A52C5B">
        <w:t>commercialisation pre-assessment;</w:t>
      </w:r>
    </w:p>
    <w:p w14:paraId="5A987BB9" w14:textId="1FF5EF93" w:rsidR="00690124" w:rsidRPr="00A52C5B" w:rsidRDefault="00690124" w:rsidP="00F61FFF">
      <w:pPr>
        <w:pStyle w:val="ListParagraph"/>
        <w:ind w:left="794" w:hanging="397"/>
        <w:rPr>
          <w:bCs/>
        </w:rPr>
      </w:pPr>
      <w:r w:rsidRPr="00A52C5B">
        <w:t>Guidance on undertaking a cost benefit analysis including consideration of the following factors in determining whether to commercialise:</w:t>
      </w:r>
    </w:p>
    <w:p w14:paraId="26CF4AE4" w14:textId="54221B40" w:rsidR="00690124" w:rsidRPr="00A52C5B" w:rsidRDefault="00690124" w:rsidP="00F61FFF">
      <w:pPr>
        <w:pStyle w:val="BulletIndent3"/>
        <w:numPr>
          <w:ilvl w:val="0"/>
          <w:numId w:val="18"/>
        </w:numPr>
        <w:ind w:left="1191" w:hanging="397"/>
      </w:pPr>
      <w:r w:rsidRPr="00A52C5B">
        <w:t>Public health &amp; safety</w:t>
      </w:r>
      <w:r w:rsidR="00F66202">
        <w:t>;</w:t>
      </w:r>
    </w:p>
    <w:p w14:paraId="5441BA1B" w14:textId="51C46B7F" w:rsidR="009A00DF" w:rsidRPr="00A52C5B" w:rsidRDefault="00690124" w:rsidP="00F61FFF">
      <w:pPr>
        <w:pStyle w:val="BulletIndent3"/>
        <w:numPr>
          <w:ilvl w:val="0"/>
          <w:numId w:val="18"/>
        </w:numPr>
        <w:ind w:left="1191" w:hanging="397"/>
      </w:pPr>
      <w:r w:rsidRPr="00A52C5B">
        <w:t>Economic impact</w:t>
      </w:r>
      <w:r w:rsidR="00F66202">
        <w:t>;</w:t>
      </w:r>
    </w:p>
    <w:p w14:paraId="69F14161" w14:textId="3C3E4BD8" w:rsidR="00B87327" w:rsidRPr="00A52C5B" w:rsidRDefault="00B87327" w:rsidP="00F61FFF">
      <w:pPr>
        <w:pStyle w:val="BulletIndent3"/>
        <w:numPr>
          <w:ilvl w:val="0"/>
          <w:numId w:val="18"/>
        </w:numPr>
        <w:ind w:left="1191" w:hanging="397"/>
      </w:pPr>
      <w:r w:rsidRPr="00A52C5B">
        <w:t xml:space="preserve">Risks </w:t>
      </w:r>
      <w:r w:rsidR="009F2DA4" w:rsidRPr="00A52C5B">
        <w:t>associated with</w:t>
      </w:r>
      <w:r w:rsidRPr="00A52C5B">
        <w:t xml:space="preserve"> commercialisation</w:t>
      </w:r>
      <w:r w:rsidR="00F66202">
        <w:t>;</w:t>
      </w:r>
    </w:p>
    <w:p w14:paraId="0A1360F5" w14:textId="0A326040" w:rsidR="005E548B" w:rsidRPr="00A52C5B" w:rsidRDefault="009A00DF" w:rsidP="00F61FFF">
      <w:pPr>
        <w:pStyle w:val="BulletIndent3"/>
        <w:numPr>
          <w:ilvl w:val="0"/>
          <w:numId w:val="18"/>
        </w:numPr>
        <w:ind w:left="1191" w:hanging="397"/>
      </w:pPr>
      <w:r w:rsidRPr="00A52C5B">
        <w:t>Any impact on the State’s innovation or technology ecosystem</w:t>
      </w:r>
      <w:r w:rsidR="00F66202">
        <w:t>;</w:t>
      </w:r>
    </w:p>
    <w:p w14:paraId="29BB1365" w14:textId="21F10565" w:rsidR="00690124" w:rsidRPr="00A52C5B" w:rsidRDefault="00690124" w:rsidP="00F61FFF">
      <w:pPr>
        <w:pStyle w:val="BulletIndent3"/>
        <w:numPr>
          <w:ilvl w:val="0"/>
          <w:numId w:val="18"/>
        </w:numPr>
        <w:ind w:left="1191" w:hanging="397"/>
      </w:pPr>
      <w:r w:rsidRPr="00A52C5B">
        <w:t>Social &amp; community impact</w:t>
      </w:r>
      <w:r w:rsidR="00F66202">
        <w:t>;</w:t>
      </w:r>
    </w:p>
    <w:p w14:paraId="08E3DDD7" w14:textId="76914C7B" w:rsidR="00690124" w:rsidRPr="00A52C5B" w:rsidRDefault="00690124" w:rsidP="00F61FFF">
      <w:pPr>
        <w:pStyle w:val="BulletIndent3"/>
        <w:numPr>
          <w:ilvl w:val="0"/>
          <w:numId w:val="18"/>
        </w:numPr>
        <w:ind w:left="1191" w:hanging="397"/>
      </w:pPr>
      <w:r w:rsidRPr="00A52C5B">
        <w:t>Environmental impact</w:t>
      </w:r>
      <w:r w:rsidR="00F66202">
        <w:t>;</w:t>
      </w:r>
    </w:p>
    <w:p w14:paraId="28C233E9" w14:textId="0229EE2A" w:rsidR="00690124" w:rsidRPr="00A52C5B" w:rsidRDefault="00690124" w:rsidP="00F61FFF">
      <w:pPr>
        <w:pStyle w:val="BulletIndent3"/>
        <w:numPr>
          <w:ilvl w:val="0"/>
          <w:numId w:val="18"/>
        </w:numPr>
        <w:ind w:left="1191" w:hanging="397"/>
      </w:pPr>
      <w:r w:rsidRPr="00A52C5B">
        <w:t>C</w:t>
      </w:r>
      <w:r w:rsidR="00F66202">
        <w:t>ommercial markets &amp; competition; and</w:t>
      </w:r>
    </w:p>
    <w:p w14:paraId="00FD4CF9" w14:textId="5FACDCCD" w:rsidR="009B6CF9" w:rsidRPr="00A52C5B" w:rsidRDefault="00690124" w:rsidP="00F61FFF">
      <w:pPr>
        <w:pStyle w:val="BulletIndent3"/>
        <w:numPr>
          <w:ilvl w:val="0"/>
          <w:numId w:val="18"/>
        </w:numPr>
        <w:ind w:left="1191" w:hanging="397"/>
      </w:pPr>
      <w:r w:rsidRPr="00A52C5B">
        <w:t>Availability of resources to support commercialisation</w:t>
      </w:r>
      <w:r w:rsidR="00F66202">
        <w:t>.</w:t>
      </w:r>
    </w:p>
    <w:p w14:paraId="7AD31DD8" w14:textId="69929FAE" w:rsidR="00690124" w:rsidRPr="00A52C5B" w:rsidRDefault="00690124" w:rsidP="00F61FFF">
      <w:pPr>
        <w:pStyle w:val="ListParagraph"/>
        <w:ind w:left="794" w:hanging="397"/>
        <w:rPr>
          <w:bCs/>
        </w:rPr>
      </w:pPr>
      <w:r w:rsidRPr="00A52C5B">
        <w:t xml:space="preserve">Establishing </w:t>
      </w:r>
      <w:r w:rsidR="007B23FE" w:rsidRPr="00A52C5B">
        <w:t xml:space="preserve">a </w:t>
      </w:r>
      <w:r w:rsidRPr="00A52C5B">
        <w:t xml:space="preserve">commercialisation team if proceeding (including technical </w:t>
      </w:r>
      <w:r w:rsidR="00995075" w:rsidRPr="00A52C5B">
        <w:t xml:space="preserve">and </w:t>
      </w:r>
      <w:r w:rsidR="006E5980">
        <w:t>legal expertise);</w:t>
      </w:r>
    </w:p>
    <w:p w14:paraId="102CD8B0" w14:textId="661F34B0" w:rsidR="00690124" w:rsidRPr="00A52C5B" w:rsidRDefault="00690124" w:rsidP="00F61FFF">
      <w:pPr>
        <w:pStyle w:val="ListParagraph"/>
        <w:ind w:left="794" w:hanging="397"/>
      </w:pPr>
      <w:r w:rsidRPr="00A52C5B">
        <w:t>Obtaining advice on commercial feasi</w:t>
      </w:r>
      <w:r w:rsidR="006E5980">
        <w:t>bility and options to manage IP;</w:t>
      </w:r>
    </w:p>
    <w:p w14:paraId="23819D19" w14:textId="1188C699" w:rsidR="00690124" w:rsidRPr="008523EE" w:rsidRDefault="00690124" w:rsidP="00F61FFF">
      <w:pPr>
        <w:pStyle w:val="ListParagraph"/>
        <w:ind w:left="794" w:hanging="397"/>
      </w:pPr>
      <w:r>
        <w:t xml:space="preserve">Preparing </w:t>
      </w:r>
      <w:r w:rsidR="007B23FE">
        <w:t xml:space="preserve">a </w:t>
      </w:r>
      <w:r>
        <w:t>commercia</w:t>
      </w:r>
      <w:r w:rsidR="006E5980">
        <w:t>lisation plan and business case;</w:t>
      </w:r>
    </w:p>
    <w:p w14:paraId="3E7494A9" w14:textId="735F3A5D" w:rsidR="00690124" w:rsidRPr="008523EE" w:rsidRDefault="00690124" w:rsidP="00F61FFF">
      <w:pPr>
        <w:pStyle w:val="ListParagraph"/>
        <w:ind w:left="794" w:hanging="397"/>
      </w:pPr>
      <w:r>
        <w:t xml:space="preserve">Establishing </w:t>
      </w:r>
      <w:r w:rsidR="007B23FE">
        <w:t xml:space="preserve">a </w:t>
      </w:r>
      <w:r w:rsidR="006E5980">
        <w:t>project team to implement; and</w:t>
      </w:r>
    </w:p>
    <w:p w14:paraId="1977E34D" w14:textId="1C2E1245" w:rsidR="00690124" w:rsidRDefault="00690124" w:rsidP="00F61FFF">
      <w:pPr>
        <w:pStyle w:val="ListParagraph"/>
        <w:ind w:left="794" w:hanging="397"/>
      </w:pPr>
      <w:r>
        <w:t xml:space="preserve">Obtaining advice on </w:t>
      </w:r>
      <w:r w:rsidR="007B23FE">
        <w:t xml:space="preserve">the </w:t>
      </w:r>
      <w:r>
        <w:t>appropriate approvals process.</w:t>
      </w:r>
    </w:p>
    <w:p w14:paraId="13FE7314" w14:textId="77777777" w:rsidR="00F61FFF" w:rsidRDefault="00F61FFF">
      <w:pPr>
        <w:spacing w:after="160" w:line="259" w:lineRule="auto"/>
        <w:textAlignment w:val="auto"/>
        <w:rPr>
          <w:rFonts w:asciiTheme="majorHAnsi" w:hAnsiTheme="majorHAnsi" w:cs="Times New Roman"/>
          <w:color w:val="272727" w:themeColor="accent1" w:themeShade="80"/>
          <w:lang w:val="en-GB"/>
        </w:rPr>
      </w:pPr>
      <w:r>
        <w:br w:type="page"/>
      </w:r>
    </w:p>
    <w:p w14:paraId="2757B486" w14:textId="233A7099" w:rsidR="00690124" w:rsidRDefault="00690124" w:rsidP="00A52C5B">
      <w:pPr>
        <w:pStyle w:val="Bullet"/>
        <w:ind w:left="397" w:hanging="397"/>
      </w:pPr>
      <w:r>
        <w:lastRenderedPageBreak/>
        <w:t xml:space="preserve">Previous stakeholder feedback has highlighted the importance of access to expertise on IP, including for commercialisation. Access to expert advice on commercialisation is further considered under proposed implementation measures </w:t>
      </w:r>
      <w:r w:rsidR="005A7C95">
        <w:t>in</w:t>
      </w:r>
      <w:r>
        <w:t xml:space="preserve"> </w:t>
      </w:r>
      <w:hyperlink w:anchor="_Proposed_implementation_measures" w:history="1">
        <w:r w:rsidRPr="00F66202">
          <w:rPr>
            <w:rStyle w:val="Hyperlink"/>
            <w:b/>
            <w:bCs/>
            <w:u w:val="none"/>
          </w:rPr>
          <w:t xml:space="preserve">Section </w:t>
        </w:r>
        <w:r w:rsidR="009A07F4" w:rsidRPr="00F66202">
          <w:rPr>
            <w:rStyle w:val="Hyperlink"/>
            <w:b/>
            <w:bCs/>
            <w:u w:val="none"/>
          </w:rPr>
          <w:t>5</w:t>
        </w:r>
      </w:hyperlink>
      <w:r w:rsidR="009A07F4">
        <w:t xml:space="preserve"> </w:t>
      </w:r>
      <w:r w:rsidR="003F4903">
        <w:t xml:space="preserve">of the </w:t>
      </w:r>
      <w:r w:rsidR="00667C16">
        <w:t>Discussion Paper</w:t>
      </w:r>
      <w:r>
        <w:t xml:space="preserve">. </w:t>
      </w:r>
    </w:p>
    <w:p w14:paraId="6AB55151" w14:textId="5CDCB1C9" w:rsidR="00690124" w:rsidRDefault="00690124" w:rsidP="0035327F">
      <w:pPr>
        <w:pStyle w:val="Bullet"/>
        <w:spacing w:after="120"/>
        <w:ind w:left="397" w:hanging="397"/>
      </w:pPr>
      <w:r>
        <w:t xml:space="preserve">The </w:t>
      </w:r>
      <w:r w:rsidR="007B23FE">
        <w:t xml:space="preserve">proposed </w:t>
      </w:r>
      <w:r>
        <w:t xml:space="preserve">approach to commercialisation of Government IP in the </w:t>
      </w:r>
      <w:r w:rsidR="007B23FE">
        <w:t>updated</w:t>
      </w:r>
      <w:r w:rsidR="006E5980">
        <w:br w:type="textWrapping" w:clear="all"/>
      </w:r>
      <w:r w:rsidR="009A07F4">
        <w:t>WA Government IP Policy</w:t>
      </w:r>
      <w:r>
        <w:t xml:space="preserve"> w</w:t>
      </w:r>
      <w:r w:rsidR="007B23FE">
        <w:t>ould</w:t>
      </w:r>
      <w:r>
        <w:t xml:space="preserve"> also address potential impacts and benefits in line with broader reform agendas, including the growth of industry, research, innovation and jobs for the State. This is anticipated to assist agencies determine whether it is appropriate to commercialise IP in certain circumstances. </w:t>
      </w:r>
    </w:p>
    <w:p w14:paraId="25BA1901" w14:textId="50B64C63" w:rsidR="0DE72D25" w:rsidRDefault="0DE72D25" w:rsidP="00A52C5B">
      <w:pPr>
        <w:pStyle w:val="Bullet"/>
        <w:ind w:left="397" w:hanging="397"/>
        <w:rPr>
          <w:rFonts w:eastAsiaTheme="majorEastAsia" w:cstheme="majorBidi"/>
        </w:rPr>
      </w:pPr>
      <w:r w:rsidRPr="1D2F3123">
        <w:rPr>
          <w:rFonts w:ascii="Arial" w:hAnsi="Arial"/>
        </w:rPr>
        <w:t xml:space="preserve">Other jurisdictions may provide a </w:t>
      </w:r>
      <w:r w:rsidR="00682471" w:rsidRPr="1D2F3123">
        <w:rPr>
          <w:rFonts w:ascii="Arial" w:hAnsi="Arial"/>
        </w:rPr>
        <w:t xml:space="preserve">guide </w:t>
      </w:r>
      <w:r w:rsidRPr="1D2F3123">
        <w:rPr>
          <w:rFonts w:ascii="Arial" w:hAnsi="Arial"/>
        </w:rPr>
        <w:t>for successful commercialisation frameworks that can be applied in W</w:t>
      </w:r>
      <w:r w:rsidR="00230B32">
        <w:rPr>
          <w:rFonts w:ascii="Arial" w:hAnsi="Arial"/>
        </w:rPr>
        <w:t xml:space="preserve">estern </w:t>
      </w:r>
      <w:r w:rsidRPr="1D2F3123">
        <w:rPr>
          <w:rFonts w:ascii="Arial" w:hAnsi="Arial"/>
        </w:rPr>
        <w:t>A</w:t>
      </w:r>
      <w:r w:rsidR="00230B32">
        <w:rPr>
          <w:rFonts w:ascii="Arial" w:hAnsi="Arial"/>
        </w:rPr>
        <w:t>ustralia</w:t>
      </w:r>
      <w:r w:rsidRPr="1D2F3123">
        <w:rPr>
          <w:rFonts w:ascii="Arial" w:hAnsi="Arial"/>
        </w:rPr>
        <w:t xml:space="preserve">. </w:t>
      </w:r>
      <w:r w:rsidR="00690124">
        <w:t>For example, under Ireland</w:t>
      </w:r>
      <w:r w:rsidR="00995075">
        <w:t xml:space="preserve">’s IP policy framework – known as the National IP Protocol - </w:t>
      </w:r>
      <w:r w:rsidR="00690124">
        <w:t>the primary objective of commercialisation is the creation of sustainable jobs, with the policy specifically taking an approach to maximise overall social and economic benefits rather than to the individual entity.</w:t>
      </w:r>
    </w:p>
    <w:p w14:paraId="1F09BCF5" w14:textId="10C278C6" w:rsidR="00690124" w:rsidRDefault="00690124" w:rsidP="0035327F">
      <w:pPr>
        <w:pStyle w:val="paragraph"/>
        <w:pBdr>
          <w:top w:val="single" w:sz="4" w:space="1" w:color="auto"/>
          <w:left w:val="single" w:sz="4" w:space="4" w:color="auto"/>
          <w:bottom w:val="single" w:sz="4" w:space="1" w:color="auto"/>
          <w:right w:val="single" w:sz="4" w:space="4" w:color="auto"/>
        </w:pBdr>
        <w:shd w:val="clear" w:color="auto" w:fill="EDD9EC"/>
        <w:spacing w:before="0" w:beforeAutospacing="0" w:after="200" w:afterAutospacing="0" w:line="276" w:lineRule="auto"/>
        <w:jc w:val="both"/>
        <w:rPr>
          <w:rStyle w:val="eop"/>
          <w:rFonts w:ascii="Arial" w:hAnsi="Arial" w:cs="Arial"/>
          <w:i/>
          <w:color w:val="272727"/>
        </w:rPr>
      </w:pPr>
      <w:r w:rsidRPr="00603F9D">
        <w:rPr>
          <w:rStyle w:val="normaltextrun"/>
          <w:rFonts w:ascii="Arial" w:hAnsi="Arial" w:cs="Arial"/>
          <w:b/>
          <w:bCs/>
          <w:i/>
          <w:color w:val="272727"/>
        </w:rPr>
        <w:t>Discussion questions</w:t>
      </w:r>
      <w:r w:rsidRPr="00603F9D">
        <w:rPr>
          <w:rStyle w:val="eop"/>
          <w:rFonts w:ascii="Arial" w:hAnsi="Arial" w:cs="Arial"/>
          <w:i/>
          <w:color w:val="272727"/>
        </w:rPr>
        <w:t> </w:t>
      </w:r>
    </w:p>
    <w:p w14:paraId="00A216DE" w14:textId="6D3ADF3E" w:rsidR="00DD7DDB" w:rsidRPr="006E5980" w:rsidRDefault="00DD7DDB"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sidRPr="006E5980">
        <w:rPr>
          <w:rStyle w:val="eop"/>
          <w:rFonts w:ascii="Arial" w:hAnsi="Arial" w:cs="Arial"/>
          <w:color w:val="272727"/>
        </w:rPr>
        <w:t xml:space="preserve">What </w:t>
      </w:r>
      <w:r w:rsidR="00C6064E" w:rsidRPr="006E5980">
        <w:rPr>
          <w:rStyle w:val="eop"/>
          <w:rFonts w:ascii="Arial" w:hAnsi="Arial" w:cs="Arial"/>
          <w:color w:val="272727"/>
        </w:rPr>
        <w:t xml:space="preserve">threshold </w:t>
      </w:r>
      <w:r w:rsidRPr="006E5980">
        <w:rPr>
          <w:rStyle w:val="eop"/>
          <w:rFonts w:ascii="Arial" w:hAnsi="Arial" w:cs="Arial"/>
          <w:color w:val="272727"/>
        </w:rPr>
        <w:t xml:space="preserve">test should WA </w:t>
      </w:r>
      <w:r w:rsidR="00995075" w:rsidRPr="006E5980">
        <w:rPr>
          <w:rStyle w:val="eop"/>
          <w:rFonts w:ascii="Arial" w:hAnsi="Arial" w:cs="Arial"/>
          <w:color w:val="272727"/>
        </w:rPr>
        <w:t xml:space="preserve">Government </w:t>
      </w:r>
      <w:r w:rsidRPr="006E5980">
        <w:rPr>
          <w:rStyle w:val="eop"/>
          <w:rFonts w:ascii="Arial" w:hAnsi="Arial" w:cs="Arial"/>
          <w:color w:val="272727"/>
        </w:rPr>
        <w:t xml:space="preserve">agencies apply when considering whether to commercialise </w:t>
      </w:r>
      <w:r w:rsidR="00995075" w:rsidRPr="006E5980">
        <w:rPr>
          <w:rStyle w:val="eop"/>
          <w:rFonts w:ascii="Arial" w:hAnsi="Arial" w:cs="Arial"/>
          <w:color w:val="272727"/>
        </w:rPr>
        <w:t xml:space="preserve">WA </w:t>
      </w:r>
      <w:r w:rsidRPr="006E5980">
        <w:rPr>
          <w:rStyle w:val="eop"/>
          <w:rFonts w:ascii="Arial" w:hAnsi="Arial" w:cs="Arial"/>
          <w:color w:val="272727"/>
        </w:rPr>
        <w:t>Government owned IP?</w:t>
      </w:r>
      <w:r w:rsidR="00BD64D2" w:rsidRPr="006E5980">
        <w:rPr>
          <w:rStyle w:val="eop"/>
          <w:rFonts w:ascii="Arial" w:hAnsi="Arial" w:cs="Arial"/>
          <w:color w:val="272727"/>
        </w:rPr>
        <w:t xml:space="preserve"> If an approach used in one of the above mentioned Australian jurisdictions is preferred, please outline why this model should be considered for W</w:t>
      </w:r>
      <w:r w:rsidR="00230B32">
        <w:rPr>
          <w:rStyle w:val="eop"/>
          <w:rFonts w:ascii="Arial" w:hAnsi="Arial" w:cs="Arial"/>
          <w:color w:val="272727"/>
        </w:rPr>
        <w:t xml:space="preserve">estern </w:t>
      </w:r>
      <w:r w:rsidR="00BD64D2" w:rsidRPr="006E5980">
        <w:rPr>
          <w:rStyle w:val="eop"/>
          <w:rFonts w:ascii="Arial" w:hAnsi="Arial" w:cs="Arial"/>
          <w:color w:val="272727"/>
        </w:rPr>
        <w:t>A</w:t>
      </w:r>
      <w:r w:rsidR="00230B32">
        <w:rPr>
          <w:rStyle w:val="eop"/>
          <w:rFonts w:ascii="Arial" w:hAnsi="Arial" w:cs="Arial"/>
          <w:color w:val="272727"/>
        </w:rPr>
        <w:t>ustralia</w:t>
      </w:r>
      <w:r w:rsidR="00BD64D2" w:rsidRPr="006E5980">
        <w:rPr>
          <w:rStyle w:val="eop"/>
          <w:rFonts w:ascii="Arial" w:hAnsi="Arial" w:cs="Arial"/>
          <w:color w:val="272727"/>
        </w:rPr>
        <w:t xml:space="preserve">. </w:t>
      </w:r>
    </w:p>
    <w:p w14:paraId="12EAE71F" w14:textId="0FECD7D7" w:rsidR="00505D0D" w:rsidRPr="006E5980" w:rsidRDefault="00690124"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sidRPr="006E5980">
        <w:rPr>
          <w:rStyle w:val="eop"/>
          <w:rFonts w:ascii="Arial" w:hAnsi="Arial" w:cs="Arial"/>
          <w:color w:val="272727"/>
        </w:rPr>
        <w:t xml:space="preserve">Are there any additional factors or processes that would assist WA </w:t>
      </w:r>
      <w:r w:rsidR="00995075" w:rsidRPr="006E5980">
        <w:rPr>
          <w:rStyle w:val="eop"/>
          <w:rFonts w:ascii="Arial" w:hAnsi="Arial" w:cs="Arial"/>
          <w:color w:val="272727"/>
        </w:rPr>
        <w:t xml:space="preserve">Government </w:t>
      </w:r>
      <w:r w:rsidRPr="006E5980">
        <w:rPr>
          <w:rStyle w:val="eop"/>
          <w:rFonts w:ascii="Arial" w:hAnsi="Arial" w:cs="Arial"/>
          <w:color w:val="272727"/>
        </w:rPr>
        <w:t xml:space="preserve">agencies in determining whether to commercialise that </w:t>
      </w:r>
      <w:r w:rsidR="00995075" w:rsidRPr="006E5980">
        <w:rPr>
          <w:rStyle w:val="eop"/>
          <w:rFonts w:ascii="Arial" w:hAnsi="Arial" w:cs="Arial"/>
          <w:color w:val="272727"/>
        </w:rPr>
        <w:t>are not</w:t>
      </w:r>
      <w:r w:rsidRPr="006E5980">
        <w:rPr>
          <w:rStyle w:val="eop"/>
          <w:rFonts w:ascii="Arial" w:hAnsi="Arial" w:cs="Arial"/>
          <w:color w:val="272727"/>
        </w:rPr>
        <w:t xml:space="preserve"> outlined above?</w:t>
      </w:r>
    </w:p>
    <w:p w14:paraId="665F87C8" w14:textId="1241228A" w:rsidR="00C71AC0" w:rsidRPr="006E5980" w:rsidRDefault="00B56E8D"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sidRPr="006E5980">
        <w:rPr>
          <w:rStyle w:val="eop"/>
          <w:rFonts w:ascii="Arial" w:hAnsi="Arial" w:cs="Arial"/>
          <w:color w:val="272727"/>
        </w:rPr>
        <w:t xml:space="preserve">How should the assessment of risk be balanced against the potential benefits of commercialisation? What type of guidance would benefit WA Government agencies in assessing and appropriately managing these risks? </w:t>
      </w:r>
    </w:p>
    <w:p w14:paraId="146124C4" w14:textId="632A1373" w:rsidR="00690124" w:rsidRPr="006E5980" w:rsidRDefault="00690124"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sidRPr="006E5980">
        <w:rPr>
          <w:rStyle w:val="eop"/>
          <w:rFonts w:ascii="Arial" w:hAnsi="Arial" w:cs="Arial"/>
          <w:color w:val="272727"/>
        </w:rPr>
        <w:t xml:space="preserve">Should </w:t>
      </w:r>
      <w:r w:rsidR="007B23FE" w:rsidRPr="006E5980">
        <w:rPr>
          <w:rStyle w:val="eop"/>
          <w:rFonts w:ascii="Arial" w:hAnsi="Arial" w:cs="Arial"/>
          <w:color w:val="272727"/>
        </w:rPr>
        <w:t>an</w:t>
      </w:r>
      <w:r w:rsidRPr="006E5980">
        <w:rPr>
          <w:rStyle w:val="eop"/>
          <w:rFonts w:ascii="Arial" w:hAnsi="Arial" w:cs="Arial"/>
          <w:color w:val="272727"/>
        </w:rPr>
        <w:t xml:space="preserve"> </w:t>
      </w:r>
      <w:r w:rsidR="007B23FE" w:rsidRPr="006E5980">
        <w:rPr>
          <w:rStyle w:val="eop"/>
          <w:rFonts w:ascii="Arial" w:hAnsi="Arial" w:cs="Arial"/>
          <w:color w:val="272727"/>
        </w:rPr>
        <w:t xml:space="preserve">updated </w:t>
      </w:r>
      <w:r w:rsidR="009A07F4" w:rsidRPr="006E5980">
        <w:rPr>
          <w:rStyle w:val="eop"/>
          <w:rFonts w:ascii="Arial" w:hAnsi="Arial" w:cs="Arial"/>
          <w:color w:val="272727"/>
        </w:rPr>
        <w:t>WA Government IP Policy</w:t>
      </w:r>
      <w:r w:rsidRPr="006E5980">
        <w:rPr>
          <w:rStyle w:val="eop"/>
          <w:rFonts w:ascii="Arial" w:hAnsi="Arial" w:cs="Arial"/>
          <w:color w:val="272727"/>
        </w:rPr>
        <w:t xml:space="preserve"> encourage the formation of spin off companies or joint venture arrangements? What factors</w:t>
      </w:r>
      <w:r w:rsidR="00505D0D" w:rsidRPr="006E5980">
        <w:rPr>
          <w:rStyle w:val="eop"/>
          <w:rFonts w:ascii="Arial" w:hAnsi="Arial" w:cs="Arial"/>
          <w:color w:val="272727"/>
        </w:rPr>
        <w:t xml:space="preserve"> or risk assessments</w:t>
      </w:r>
      <w:r w:rsidRPr="006E5980">
        <w:rPr>
          <w:rStyle w:val="eop"/>
          <w:rFonts w:ascii="Arial" w:hAnsi="Arial" w:cs="Arial"/>
          <w:color w:val="272727"/>
        </w:rPr>
        <w:t xml:space="preserve"> should be taken into consideration by agencies in determining whether this is appropriate?</w:t>
      </w:r>
      <w:r w:rsidR="00F66202">
        <w:rPr>
          <w:rStyle w:val="eop"/>
          <w:rFonts w:ascii="Arial" w:hAnsi="Arial" w:cs="Arial"/>
          <w:color w:val="272727"/>
        </w:rPr>
        <w:t xml:space="preserve"> </w:t>
      </w:r>
    </w:p>
    <w:p w14:paraId="52AF935B" w14:textId="1E7315D6" w:rsidR="003E117C" w:rsidRPr="006E5980" w:rsidRDefault="00690124"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sidRPr="006E5980">
        <w:rPr>
          <w:rStyle w:val="eop"/>
          <w:rFonts w:ascii="Arial" w:hAnsi="Arial" w:cs="Arial"/>
          <w:color w:val="272727"/>
        </w:rPr>
        <w:t xml:space="preserve">If an alternative approach is preferred to the proposed approach outlined above, </w:t>
      </w:r>
      <w:r w:rsidR="007B23FE" w:rsidRPr="006E5980">
        <w:rPr>
          <w:rStyle w:val="eop"/>
          <w:rFonts w:ascii="Arial" w:hAnsi="Arial" w:cs="Arial"/>
          <w:color w:val="272727"/>
        </w:rPr>
        <w:t xml:space="preserve">please </w:t>
      </w:r>
      <w:r w:rsidRPr="006E5980">
        <w:rPr>
          <w:rStyle w:val="eop"/>
          <w:rFonts w:ascii="Arial" w:hAnsi="Arial" w:cs="Arial"/>
          <w:color w:val="272727"/>
        </w:rPr>
        <w:t>outline what this includes and the rationale.</w:t>
      </w:r>
    </w:p>
    <w:p w14:paraId="09EBFD96" w14:textId="13B43D92" w:rsidR="00BA1037" w:rsidRPr="00BA1037" w:rsidRDefault="4A07DACB" w:rsidP="006F2A46">
      <w:pPr>
        <w:pStyle w:val="Heading2"/>
        <w:jc w:val="both"/>
      </w:pPr>
      <w:bookmarkStart w:id="191" w:name="_Toc102657785"/>
      <w:bookmarkStart w:id="192" w:name="_Benefit_sharing_arrangements"/>
      <w:bookmarkStart w:id="193" w:name="_Toc101971646"/>
      <w:bookmarkStart w:id="194" w:name="_Toc104976292"/>
      <w:bookmarkStart w:id="195" w:name="_Toc114829902"/>
      <w:bookmarkEnd w:id="191"/>
      <w:bookmarkEnd w:id="192"/>
      <w:r>
        <w:t>Benefit sharing arrangements</w:t>
      </w:r>
      <w:bookmarkEnd w:id="193"/>
      <w:bookmarkEnd w:id="194"/>
      <w:bookmarkEnd w:id="195"/>
      <w:r>
        <w:t xml:space="preserve"> </w:t>
      </w:r>
    </w:p>
    <w:p w14:paraId="0301D1AD" w14:textId="06341FBD" w:rsidR="00D04C3A" w:rsidRDefault="00DB6966" w:rsidP="0035327F">
      <w:pPr>
        <w:pStyle w:val="Bullet"/>
        <w:spacing w:after="120"/>
        <w:ind w:left="397" w:hanging="397"/>
      </w:pPr>
      <w:r>
        <w:t xml:space="preserve">Both the </w:t>
      </w:r>
      <w:r w:rsidR="00690124">
        <w:t xml:space="preserve">current </w:t>
      </w:r>
      <w:r w:rsidR="009A07F4">
        <w:t>WA Government IP Policy</w:t>
      </w:r>
      <w:r>
        <w:t xml:space="preserve"> and the 2003 Rewards Policy</w:t>
      </w:r>
      <w:r w:rsidR="00690124">
        <w:t xml:space="preserve"> do not address arrangements </w:t>
      </w:r>
      <w:r>
        <w:t xml:space="preserve">for the sharing of benefits of commercialisation between parties (inventors, </w:t>
      </w:r>
      <w:r w:rsidR="003F4903">
        <w:t xml:space="preserve">business </w:t>
      </w:r>
      <w:r>
        <w:t xml:space="preserve">units and the organisation). </w:t>
      </w:r>
      <w:r w:rsidR="00690124">
        <w:t xml:space="preserve">This </w:t>
      </w:r>
      <w:r w:rsidR="00667C16">
        <w:t>Discussion Paper</w:t>
      </w:r>
      <w:r w:rsidR="00690124">
        <w:t xml:space="preserve"> is seeking feedback on appropriate benefit sharing arrangements for the W</w:t>
      </w:r>
      <w:r w:rsidR="006E5980">
        <w:t>estern Australia</w:t>
      </w:r>
      <w:r w:rsidR="005B55AA">
        <w:t>n</w:t>
      </w:r>
      <w:r w:rsidR="00690124">
        <w:t xml:space="preserve"> public sector.  </w:t>
      </w:r>
    </w:p>
    <w:p w14:paraId="5CFCFA00" w14:textId="77777777" w:rsidR="00F61FFF" w:rsidRDefault="00F61FFF">
      <w:pPr>
        <w:spacing w:after="160" w:line="259" w:lineRule="auto"/>
        <w:textAlignment w:val="auto"/>
        <w:rPr>
          <w:rFonts w:asciiTheme="majorHAnsi" w:hAnsiTheme="majorHAnsi" w:cs="Times New Roman"/>
          <w:color w:val="272727" w:themeColor="accent1" w:themeShade="80"/>
          <w:lang w:val="en-GB"/>
        </w:rPr>
      </w:pPr>
      <w:r>
        <w:br w:type="page"/>
      </w:r>
    </w:p>
    <w:p w14:paraId="1FE4EEC3" w14:textId="65DFFD15" w:rsidR="00DA6E1D" w:rsidRDefault="009D3211" w:rsidP="0035327F">
      <w:pPr>
        <w:pStyle w:val="Bullet"/>
        <w:spacing w:after="120"/>
        <w:ind w:left="397" w:hanging="397"/>
      </w:pPr>
      <w:r>
        <w:lastRenderedPageBreak/>
        <w:t>Benefit sharing involves the allocation of shares of net revenue from the commercialisation of IP. Generally</w:t>
      </w:r>
      <w:r w:rsidR="00D04C3A">
        <w:t xml:space="preserve"> benefit sharing arrangements take the form of</w:t>
      </w:r>
      <w:r w:rsidR="00DA6E1D">
        <w:t>:</w:t>
      </w:r>
    </w:p>
    <w:p w14:paraId="4070569E" w14:textId="13298776" w:rsidR="00DA6E1D" w:rsidRDefault="00D04C3A" w:rsidP="0035327F">
      <w:pPr>
        <w:pStyle w:val="ListParagraph"/>
        <w:spacing w:after="120"/>
        <w:ind w:left="794" w:hanging="397"/>
      </w:pPr>
      <w:r>
        <w:t xml:space="preserve">shares in revenue from the successful commercialisation of IP as agreed by the relevant parties, </w:t>
      </w:r>
    </w:p>
    <w:p w14:paraId="2C0A7037" w14:textId="6B6522B7" w:rsidR="00DA6E1D" w:rsidRDefault="00D04C3A" w:rsidP="0035327F">
      <w:pPr>
        <w:pStyle w:val="ListParagraph"/>
        <w:spacing w:after="120"/>
        <w:ind w:left="794" w:hanging="397"/>
      </w:pPr>
      <w:r>
        <w:t>royalty arrangements where parties are entitled to a share of revenue from the licensing of the IP</w:t>
      </w:r>
      <w:r w:rsidR="005A0E6C">
        <w:t>,</w:t>
      </w:r>
      <w:r>
        <w:t xml:space="preserve"> or </w:t>
      </w:r>
    </w:p>
    <w:p w14:paraId="4935C0EB" w14:textId="52D88DD5" w:rsidR="00DA6E1D" w:rsidRDefault="00D04C3A" w:rsidP="0035327F">
      <w:pPr>
        <w:pStyle w:val="ListParagraph"/>
        <w:spacing w:after="120"/>
        <w:ind w:left="794" w:hanging="397"/>
      </w:pPr>
      <w:r>
        <w:t xml:space="preserve">the realisation of equity shares from spin-off companies. </w:t>
      </w:r>
    </w:p>
    <w:p w14:paraId="6FA4EDE6" w14:textId="304525CB" w:rsidR="009E5A8D" w:rsidRPr="009E5A8D" w:rsidRDefault="004A71FA" w:rsidP="0035327F">
      <w:pPr>
        <w:pStyle w:val="ListParagraph"/>
        <w:numPr>
          <w:ilvl w:val="0"/>
          <w:numId w:val="7"/>
        </w:numPr>
        <w:ind w:left="397" w:hanging="397"/>
      </w:pPr>
      <w:r>
        <w:t xml:space="preserve">Benefit sharing is also a form of reward or incentive for parties to develop significant IP. </w:t>
      </w:r>
      <w:r w:rsidR="009E5A8D">
        <w:t xml:space="preserve">A further discussion on potential models of benefit sharing as a form of reward is included under </w:t>
      </w:r>
      <w:r w:rsidR="009E5A8D" w:rsidRPr="1D2F3123">
        <w:rPr>
          <w:b/>
          <w:bCs/>
        </w:rPr>
        <w:t>Section 4.5</w:t>
      </w:r>
      <w:r w:rsidR="009E5A8D">
        <w:t>.</w:t>
      </w:r>
      <w:r>
        <w:t xml:space="preserve"> </w:t>
      </w:r>
    </w:p>
    <w:p w14:paraId="7A533780" w14:textId="67F9A7BD" w:rsidR="007F1532" w:rsidRPr="00FD6AE4" w:rsidRDefault="005A6892" w:rsidP="0035327F">
      <w:pPr>
        <w:pStyle w:val="Bullet"/>
        <w:ind w:left="397" w:hanging="397"/>
        <w:rPr>
          <w:rStyle w:val="normaltextrun"/>
          <w:rFonts w:eastAsiaTheme="majorEastAsia" w:cstheme="majorBidi"/>
          <w:color w:val="353332" w:themeColor="text1" w:themeShade="80"/>
        </w:rPr>
      </w:pPr>
      <w:r>
        <w:t>When determining an appropriate allocation of benefit shares, p</w:t>
      </w:r>
      <w:r w:rsidR="00690124">
        <w:t>revious stakeholder feedback has highlighted that the one third split between parties</w:t>
      </w:r>
      <w:r w:rsidR="008C23CD">
        <w:t xml:space="preserve"> (with </w:t>
      </w:r>
      <w:r w:rsidR="000E1627">
        <w:t>one third applied to the business area that developed the IP)</w:t>
      </w:r>
      <w:r w:rsidR="00690124">
        <w:t xml:space="preserve"> is understood and supported, particularly by those in the health, medical and research fields as a standard approach to benefit sharing.</w:t>
      </w:r>
      <w:r w:rsidR="00690124" w:rsidRPr="1D2F3123">
        <w:rPr>
          <w:rStyle w:val="normaltextrun"/>
          <w:rFonts w:ascii="Arial" w:hAnsi="Arial" w:cs="Arial"/>
          <w:color w:val="6B6764" w:themeColor="text1"/>
        </w:rPr>
        <w:t xml:space="preserve"> </w:t>
      </w:r>
    </w:p>
    <w:p w14:paraId="14A5E01D" w14:textId="77777777" w:rsidR="009D3211" w:rsidRPr="00FD6AE4" w:rsidRDefault="009D3211" w:rsidP="0035327F">
      <w:pPr>
        <w:pStyle w:val="Bullet"/>
        <w:ind w:left="397" w:hanging="397"/>
        <w:rPr>
          <w:rStyle w:val="normaltextrun"/>
          <w:rFonts w:eastAsiaTheme="majorEastAsia" w:cstheme="majorBidi"/>
          <w:color w:val="353332" w:themeColor="text1" w:themeShade="80"/>
        </w:rPr>
      </w:pPr>
      <w:r>
        <w:t>Where the inventor of the IP includes more than one party, generally the approach is that the share is distributed between all inventors by agreement. Where the IP is created through a collaborative research activity, joint venture or similar arrangement with a third party, agencies should ensure the agreed benefit sharing arrangement is specified in a written agreement.</w:t>
      </w:r>
    </w:p>
    <w:p w14:paraId="40D559A2" w14:textId="1CDB3DA4" w:rsidR="003146CE" w:rsidRPr="003146CE" w:rsidRDefault="003146CE" w:rsidP="0035327F">
      <w:pPr>
        <w:pStyle w:val="Bullet"/>
        <w:ind w:left="397" w:hanging="397"/>
        <w:rPr>
          <w:rStyle w:val="normaltextrun"/>
          <w:rFonts w:eastAsiaTheme="majorEastAsia" w:cstheme="majorBidi"/>
        </w:rPr>
      </w:pPr>
      <w:r>
        <w:t xml:space="preserve">Where a clear benefit sharing arrangement is provided for in the IP Policy frameworks of other Australian jurisdictions, conditions stipulate requirements to be met and the form of the benefits shared between the relevant parties.  In general, where this is stipulated, the approach of up to no more than one third of any net return for the employee has been preferred.  </w:t>
      </w:r>
    </w:p>
    <w:p w14:paraId="6476261A" w14:textId="3889A8B8" w:rsidR="00690124" w:rsidRPr="008F1A47" w:rsidRDefault="00690124" w:rsidP="0035327F">
      <w:pPr>
        <w:pStyle w:val="Bullet"/>
        <w:ind w:left="397" w:hanging="397"/>
      </w:pPr>
      <w:r>
        <w:t>The New South Wales Department of Health</w:t>
      </w:r>
      <w:r w:rsidR="00995075">
        <w:t xml:space="preserve">’s </w:t>
      </w:r>
      <w:r>
        <w:t xml:space="preserve">IP Policy </w:t>
      </w:r>
      <w:r w:rsidR="00995075">
        <w:t xml:space="preserve">provides </w:t>
      </w:r>
      <w:r>
        <w:t xml:space="preserve">that where revenue results from the commercialisation of IP, the net proceeds are distributed as one third to the creator of the IP, one third to the </w:t>
      </w:r>
      <w:r w:rsidR="00B9635E">
        <w:t>department or section of the public health organisation</w:t>
      </w:r>
      <w:r w:rsidR="00E23FAC">
        <w:t xml:space="preserve"> </w:t>
      </w:r>
      <w:r w:rsidR="00B9635E">
        <w:t>which originated the IP</w:t>
      </w:r>
      <w:r>
        <w:t xml:space="preserve"> and one third to the public health organisation.</w:t>
      </w:r>
      <w:r w:rsidR="007F71E5">
        <w:rPr>
          <w:rStyle w:val="FootnoteReference"/>
        </w:rPr>
        <w:footnoteReference w:id="22"/>
      </w:r>
      <w:r w:rsidR="004373A2">
        <w:t xml:space="preserve"> </w:t>
      </w:r>
      <w:r w:rsidR="004373A2" w:rsidRPr="1D2F3123">
        <w:rPr>
          <w:b/>
          <w:bCs/>
        </w:rPr>
        <w:t>Section 4.5</w:t>
      </w:r>
      <w:r w:rsidR="004373A2">
        <w:t xml:space="preserve"> includes a further discussion on this model as a form of reward.</w:t>
      </w:r>
    </w:p>
    <w:p w14:paraId="1C5476B0" w14:textId="7BC94100" w:rsidR="00A97D5C" w:rsidRDefault="00690124" w:rsidP="00F61FFF">
      <w:pPr>
        <w:pStyle w:val="Bullet"/>
        <w:ind w:left="397" w:hanging="397"/>
      </w:pPr>
      <w:r>
        <w:t>It has also been suggested in previous stakeholder feedback, that the approach of the university sector to benefit sharing may be a useful guide across the public sector.</w:t>
      </w:r>
      <w:r w:rsidR="004373A2">
        <w:t xml:space="preserve"> </w:t>
      </w:r>
      <w:r w:rsidR="00FD6AE4">
        <w:t>Noting the differences between the university sector and the public sector more generally, the review is seeking feedback on learnings from the university sector to inform potential benefit sharing models.</w:t>
      </w:r>
      <w:r w:rsidR="004373A2">
        <w:t xml:space="preserve"> </w:t>
      </w:r>
      <w:r>
        <w:t>Generally, Western Australia universities have implemented benefit sharing a</w:t>
      </w:r>
      <w:r w:rsidR="00621C58">
        <w:t>rrangements that provide for 50</w:t>
      </w:r>
      <w:r w:rsidR="006E5980">
        <w:t xml:space="preserve"> per cent</w:t>
      </w:r>
      <w:r>
        <w:t xml:space="preserve"> of any net return </w:t>
      </w:r>
      <w:r w:rsidR="004265A4">
        <w:t xml:space="preserve">from the successful commercialisation of IP </w:t>
      </w:r>
      <w:r>
        <w:t>to the creator of the IP and 50</w:t>
      </w:r>
      <w:r w:rsidR="006E5980">
        <w:t xml:space="preserve"> per cent</w:t>
      </w:r>
      <w:r w:rsidR="00621C58">
        <w:t xml:space="preserve"> </w:t>
      </w:r>
      <w:r>
        <w:t xml:space="preserve">to the </w:t>
      </w:r>
      <w:r>
        <w:lastRenderedPageBreak/>
        <w:t xml:space="preserve">university. </w:t>
      </w:r>
      <w:r w:rsidR="00DD4C84">
        <w:t>Where there is more than one creator, the 50</w:t>
      </w:r>
      <w:r w:rsidR="006E5980">
        <w:t xml:space="preserve"> per cent</w:t>
      </w:r>
      <w:r w:rsidR="00DD4C84">
        <w:t xml:space="preserve"> share is divided amongst these parties by agreement.</w:t>
      </w:r>
      <w:r w:rsidR="004265A4">
        <w:t xml:space="preserve"> The </w:t>
      </w:r>
      <w:r w:rsidR="004265A4" w:rsidRPr="00CF7628">
        <w:t xml:space="preserve">University of Western Australia </w:t>
      </w:r>
      <w:r w:rsidR="004265A4">
        <w:t>provi</w:t>
      </w:r>
      <w:r w:rsidR="00DD4C84">
        <w:t>des a differing a</w:t>
      </w:r>
      <w:r w:rsidR="00B246E7">
        <w:t xml:space="preserve">pproach </w:t>
      </w:r>
      <w:r w:rsidR="001C3D52">
        <w:t>with the</w:t>
      </w:r>
      <w:r w:rsidR="00927749">
        <w:t xml:space="preserve"> </w:t>
      </w:r>
      <w:r w:rsidR="004265A4">
        <w:t xml:space="preserve">share of revenue based on the </w:t>
      </w:r>
      <w:r w:rsidR="00927749">
        <w:t xml:space="preserve">net proceeds of commercialisation as follows: </w:t>
      </w:r>
    </w:p>
    <w:p w14:paraId="37EBB259" w14:textId="5DF9BA14" w:rsidR="00927749" w:rsidRDefault="00927749" w:rsidP="00F61FFF">
      <w:pPr>
        <w:pStyle w:val="Bullet"/>
        <w:numPr>
          <w:ilvl w:val="1"/>
          <w:numId w:val="5"/>
        </w:numPr>
        <w:ind w:left="794" w:hanging="397"/>
      </w:pPr>
      <w:r>
        <w:t>Net proceeds of up to $100,000 provides for a share of 85</w:t>
      </w:r>
      <w:r w:rsidR="006E5980">
        <w:t xml:space="preserve"> per cent</w:t>
      </w:r>
      <w:r>
        <w:t xml:space="preserve"> to the originators and 15</w:t>
      </w:r>
      <w:r w:rsidR="006E5980">
        <w:t xml:space="preserve"> per cent</w:t>
      </w:r>
      <w:r>
        <w:t xml:space="preserve"> to the university;</w:t>
      </w:r>
    </w:p>
    <w:p w14:paraId="1AC5B012" w14:textId="46D92267" w:rsidR="00927749" w:rsidRDefault="00927749" w:rsidP="00F61FFF">
      <w:pPr>
        <w:pStyle w:val="Bullet"/>
        <w:numPr>
          <w:ilvl w:val="1"/>
          <w:numId w:val="5"/>
        </w:numPr>
        <w:ind w:left="794" w:hanging="397"/>
      </w:pPr>
      <w:r>
        <w:t>Net proceeds over $100,000 provides for a share of 50</w:t>
      </w:r>
      <w:r w:rsidR="006E5980">
        <w:t xml:space="preserve"> per cent</w:t>
      </w:r>
      <w:r>
        <w:t xml:space="preserve"> to the originators and 50</w:t>
      </w:r>
      <w:r w:rsidR="006E5980">
        <w:t xml:space="preserve"> per cent</w:t>
      </w:r>
      <w:r>
        <w:t xml:space="preserve"> to the university.</w:t>
      </w:r>
      <w:r>
        <w:rPr>
          <w:rStyle w:val="FootnoteReference"/>
        </w:rPr>
        <w:footnoteReference w:id="23"/>
      </w:r>
      <w:r>
        <w:t xml:space="preserve"> </w:t>
      </w:r>
    </w:p>
    <w:p w14:paraId="5B67F573" w14:textId="6B43A082" w:rsidR="009528D0" w:rsidRDefault="00F04BD3" w:rsidP="0035327F">
      <w:pPr>
        <w:pStyle w:val="Bullet"/>
        <w:ind w:left="397" w:hanging="397"/>
      </w:pPr>
      <w:r>
        <w:t xml:space="preserve">The Department is considering </w:t>
      </w:r>
      <w:r w:rsidR="00121339">
        <w:t>all options for benefit sharing</w:t>
      </w:r>
      <w:r>
        <w:t xml:space="preserve"> arrangement</w:t>
      </w:r>
      <w:r w:rsidR="00121339">
        <w:t>s</w:t>
      </w:r>
      <w:r w:rsidR="003146CE">
        <w:t xml:space="preserve">, including revenue sharing, royalty </w:t>
      </w:r>
      <w:r w:rsidR="00A96BC5">
        <w:t xml:space="preserve">streams </w:t>
      </w:r>
      <w:r w:rsidR="003146CE">
        <w:t>and equity sharing,</w:t>
      </w:r>
      <w:r>
        <w:t xml:space="preserve"> </w:t>
      </w:r>
      <w:r w:rsidR="00121339">
        <w:t>to provide an appropriate and fair framework for the W</w:t>
      </w:r>
      <w:r w:rsidR="006E5980">
        <w:t xml:space="preserve">estern </w:t>
      </w:r>
      <w:r w:rsidR="00121339">
        <w:t>A</w:t>
      </w:r>
      <w:r w:rsidR="006E5980">
        <w:t>ustralia</w:t>
      </w:r>
      <w:r w:rsidR="005B55AA">
        <w:t>n</w:t>
      </w:r>
      <w:r w:rsidR="006E5980">
        <w:t xml:space="preserve"> </w:t>
      </w:r>
      <w:r w:rsidR="00121339">
        <w:t>public sector</w:t>
      </w:r>
      <w:r>
        <w:t xml:space="preserve">. </w:t>
      </w:r>
      <w:r w:rsidR="002A581F">
        <w:t xml:space="preserve">While an updated </w:t>
      </w:r>
      <w:r w:rsidR="009A07F4">
        <w:t>WA Government IP Policy</w:t>
      </w:r>
      <w:r w:rsidR="002A581F">
        <w:t xml:space="preserve"> can provide overall guidance and parameters on appropriate benefit sharing arrangements for the W</w:t>
      </w:r>
      <w:r w:rsidR="006E5980">
        <w:t>estern Australia</w:t>
      </w:r>
      <w:r w:rsidR="005B55AA">
        <w:t>n</w:t>
      </w:r>
      <w:r w:rsidR="002A581F">
        <w:t xml:space="preserve"> public sector, it </w:t>
      </w:r>
      <w:r w:rsidR="00E369E7">
        <w:t>may also be beneficial for</w:t>
      </w:r>
      <w:r w:rsidR="002A581F">
        <w:t xml:space="preserve"> agencies </w:t>
      </w:r>
      <w:r w:rsidR="00E369E7">
        <w:t xml:space="preserve">to implement </w:t>
      </w:r>
      <w:r w:rsidR="002A581F">
        <w:t xml:space="preserve">a revenue sharing policy that provides how any revenue from the successful commercialisation of IP is to be shared. </w:t>
      </w:r>
    </w:p>
    <w:p w14:paraId="04891420" w14:textId="77777777" w:rsidR="00443B73" w:rsidRPr="00443B73" w:rsidRDefault="002A581F" w:rsidP="00443B73">
      <w:pPr>
        <w:pStyle w:val="Bullet"/>
        <w:ind w:left="397" w:hanging="397"/>
      </w:pPr>
      <w:r w:rsidRPr="00443B73">
        <w:t xml:space="preserve">Where IP is successfully commercialised, an appropriate benefit sharing arrangement between all parties can also provide broader benefits. The following case studies illustrate examples of commercialisation models </w:t>
      </w:r>
      <w:r w:rsidR="009528D0" w:rsidRPr="00443B73">
        <w:t>and benefit</w:t>
      </w:r>
      <w:r w:rsidRPr="00443B73">
        <w:t xml:space="preserve"> sharing arrangements </w:t>
      </w:r>
      <w:r w:rsidR="009528D0" w:rsidRPr="00443B73">
        <w:t>that have resulted in positive outcomes for the State.</w:t>
      </w:r>
      <w:r w:rsidR="00443B73" w:rsidRPr="00443B73">
        <w:t xml:space="preserve"> </w:t>
      </w:r>
    </w:p>
    <w:p w14:paraId="5F60BE3E" w14:textId="2B58B0F3" w:rsidR="00443B73" w:rsidRPr="00E91AD6" w:rsidRDefault="00443B73" w:rsidP="00443B73">
      <w:pPr>
        <w:pBdr>
          <w:top w:val="single" w:sz="12" w:space="1" w:color="041049" w:themeColor="text2"/>
          <w:left w:val="single" w:sz="12" w:space="4" w:color="041049" w:themeColor="text2"/>
          <w:bottom w:val="single" w:sz="12" w:space="1" w:color="041049" w:themeColor="text2"/>
          <w:right w:val="single" w:sz="12" w:space="4" w:color="041049" w:themeColor="text2"/>
        </w:pBdr>
        <w:spacing w:after="200"/>
        <w:textAlignment w:val="auto"/>
      </w:pPr>
      <w:r w:rsidRPr="00024BDB">
        <w:rPr>
          <w:b/>
          <w:i/>
          <w:iCs/>
        </w:rPr>
        <w:t>Case study: Joint venture arrangements</w:t>
      </w:r>
      <w:r>
        <w:rPr>
          <w:b/>
          <w:i/>
          <w:iCs/>
        </w:rPr>
        <w:t xml:space="preserve"> to support IP development</w:t>
      </w:r>
      <w:r w:rsidRPr="00E91AD6">
        <w:rPr>
          <w:b/>
        </w:rPr>
        <w:t xml:space="preserve"> </w:t>
      </w:r>
    </w:p>
    <w:p w14:paraId="1D6F2798" w14:textId="77777777" w:rsidR="00443B73" w:rsidRDefault="00443B73" w:rsidP="00443B73">
      <w:pPr>
        <w:pStyle w:val="BodyText"/>
        <w:pBdr>
          <w:top w:val="single" w:sz="12" w:space="1" w:color="041049" w:themeColor="text2"/>
          <w:left w:val="single" w:sz="12" w:space="4" w:color="041049" w:themeColor="text2"/>
          <w:bottom w:val="single" w:sz="12" w:space="1" w:color="041049" w:themeColor="text2"/>
          <w:right w:val="single" w:sz="12" w:space="4" w:color="041049" w:themeColor="text2"/>
        </w:pBdr>
        <w:rPr>
          <w:rFonts w:ascii="Arial" w:hAnsi="Arial" w:cs="Arial"/>
        </w:rPr>
      </w:pPr>
      <w:r w:rsidRPr="00E91AD6">
        <w:t>The benefits of a collaborative approach to the development and commercialisation of IP in W</w:t>
      </w:r>
      <w:r>
        <w:t>estern Australia</w:t>
      </w:r>
      <w:r w:rsidRPr="00E91AD6">
        <w:t xml:space="preserve"> is demonstrated by the success of research company OncoRes Medical</w:t>
      </w:r>
      <w:r>
        <w:t xml:space="preserve"> Pty Ltd</w:t>
      </w:r>
      <w:r w:rsidRPr="00E91AD6">
        <w:t xml:space="preserve">. </w:t>
      </w:r>
      <w:r>
        <w:t>In 2017, t</w:t>
      </w:r>
      <w:r w:rsidRPr="00E91AD6">
        <w:t xml:space="preserve">he research company was established </w:t>
      </w:r>
      <w:r w:rsidRPr="00E91AD6">
        <w:rPr>
          <w:rFonts w:ascii="Arial" w:hAnsi="Arial" w:cs="Arial"/>
        </w:rPr>
        <w:t xml:space="preserve">to develop a hand-held imaging probe </w:t>
      </w:r>
      <w:r>
        <w:rPr>
          <w:rFonts w:ascii="Arial" w:hAnsi="Arial" w:cs="Arial"/>
        </w:rPr>
        <w:t xml:space="preserve">in collaboration with the researchers at the </w:t>
      </w:r>
      <w:r w:rsidRPr="00E91AD6">
        <w:t>University of Western Australia</w:t>
      </w:r>
      <w:r>
        <w:t xml:space="preserve"> (UWA)</w:t>
      </w:r>
      <w:r>
        <w:rPr>
          <w:rFonts w:ascii="Arial" w:hAnsi="Arial" w:cs="Arial"/>
        </w:rPr>
        <w:t>, the Harry Perkins Institute for Medical Research and surgeons in the Western Australia health system</w:t>
      </w:r>
      <w:r w:rsidRPr="00E91AD6">
        <w:rPr>
          <w:rFonts w:ascii="Arial" w:hAnsi="Arial" w:cs="Arial"/>
        </w:rPr>
        <w:t xml:space="preserve">. </w:t>
      </w:r>
    </w:p>
    <w:p w14:paraId="4C4EA83E" w14:textId="0A0D1923" w:rsidR="00443B73" w:rsidRDefault="00443B73" w:rsidP="00443B73">
      <w:pPr>
        <w:pStyle w:val="BodyText"/>
        <w:pBdr>
          <w:top w:val="single" w:sz="12" w:space="1" w:color="041049" w:themeColor="text2"/>
          <w:left w:val="single" w:sz="12" w:space="4" w:color="041049" w:themeColor="text2"/>
          <w:bottom w:val="single" w:sz="12" w:space="1" w:color="041049" w:themeColor="text2"/>
          <w:right w:val="single" w:sz="12" w:space="4" w:color="041049" w:themeColor="text2"/>
        </w:pBdr>
        <w:rPr>
          <w:rFonts w:ascii="Arial" w:hAnsi="Arial" w:cs="Arial"/>
        </w:rPr>
      </w:pPr>
      <w:r>
        <w:rPr>
          <w:rFonts w:ascii="Arial" w:hAnsi="Arial" w:cs="Arial"/>
        </w:rPr>
        <w:t>T</w:t>
      </w:r>
      <w:r w:rsidRPr="00C333FD">
        <w:rPr>
          <w:rFonts w:ascii="Arial" w:hAnsi="Arial" w:cs="Arial"/>
        </w:rPr>
        <w:t xml:space="preserve">o provide OncoRes with the required freedom to operate in the commercial space, the </w:t>
      </w:r>
      <w:r>
        <w:rPr>
          <w:rFonts w:ascii="Arial" w:hAnsi="Arial" w:cs="Arial"/>
        </w:rPr>
        <w:t>Department of Heath</w:t>
      </w:r>
      <w:r w:rsidRPr="00C333FD">
        <w:rPr>
          <w:rFonts w:ascii="Arial" w:hAnsi="Arial" w:cs="Arial"/>
        </w:rPr>
        <w:t xml:space="preserve"> </w:t>
      </w:r>
      <w:r>
        <w:rPr>
          <w:rFonts w:ascii="Arial" w:hAnsi="Arial" w:cs="Arial"/>
        </w:rPr>
        <w:t>established</w:t>
      </w:r>
      <w:r w:rsidRPr="00C333FD">
        <w:rPr>
          <w:rFonts w:ascii="Arial" w:hAnsi="Arial" w:cs="Arial"/>
        </w:rPr>
        <w:t xml:space="preserve"> agreements</w:t>
      </w:r>
      <w:r>
        <w:rPr>
          <w:rFonts w:ascii="Arial" w:hAnsi="Arial" w:cs="Arial"/>
        </w:rPr>
        <w:t xml:space="preserve"> with the parties involved to assign</w:t>
      </w:r>
      <w:r w:rsidRPr="00C333FD">
        <w:rPr>
          <w:rFonts w:ascii="Arial" w:hAnsi="Arial" w:cs="Arial"/>
        </w:rPr>
        <w:t xml:space="preserve"> any IP rights that the </w:t>
      </w:r>
      <w:r>
        <w:rPr>
          <w:rFonts w:ascii="Arial" w:hAnsi="Arial" w:cs="Arial"/>
        </w:rPr>
        <w:t>WA Government Health Service Providers (HSPs)</w:t>
      </w:r>
      <w:r w:rsidRPr="00C333FD">
        <w:rPr>
          <w:rFonts w:ascii="Arial" w:hAnsi="Arial" w:cs="Arial"/>
        </w:rPr>
        <w:t xml:space="preserve"> had in relation to the technology to the UWA.</w:t>
      </w:r>
      <w:r>
        <w:rPr>
          <w:rFonts w:ascii="Arial" w:hAnsi="Arial" w:cs="Arial"/>
        </w:rPr>
        <w:t xml:space="preserve"> </w:t>
      </w:r>
      <w:r w:rsidRPr="00C333FD">
        <w:rPr>
          <w:rFonts w:ascii="Arial" w:hAnsi="Arial" w:cs="Arial"/>
        </w:rPr>
        <w:t>In exchange for this</w:t>
      </w:r>
      <w:r>
        <w:rPr>
          <w:rFonts w:ascii="Arial" w:hAnsi="Arial" w:cs="Arial"/>
        </w:rPr>
        <w:t xml:space="preserve"> </w:t>
      </w:r>
      <w:r w:rsidRPr="00C333FD">
        <w:rPr>
          <w:rFonts w:ascii="Arial" w:hAnsi="Arial" w:cs="Arial"/>
        </w:rPr>
        <w:t>assignment of IP rights</w:t>
      </w:r>
      <w:r>
        <w:rPr>
          <w:rFonts w:ascii="Arial" w:hAnsi="Arial" w:cs="Arial"/>
        </w:rPr>
        <w:t>,</w:t>
      </w:r>
      <w:r w:rsidRPr="00C333FD">
        <w:rPr>
          <w:rFonts w:ascii="Arial" w:hAnsi="Arial" w:cs="Arial"/>
        </w:rPr>
        <w:t xml:space="preserve"> the HSPs will receive a share in any financial benefit that might result either from the on-selling of the technology, or from any revenue generated by its commercialisation</w:t>
      </w:r>
      <w:r>
        <w:rPr>
          <w:rStyle w:val="FootnoteReference"/>
          <w:rFonts w:ascii="Arial" w:hAnsi="Arial" w:cs="Arial"/>
        </w:rPr>
        <w:footnoteReference w:id="24"/>
      </w:r>
      <w:r w:rsidRPr="00C333FD">
        <w:rPr>
          <w:rFonts w:ascii="Arial" w:hAnsi="Arial" w:cs="Arial"/>
        </w:rPr>
        <w:t>.</w:t>
      </w:r>
      <w:r w:rsidRPr="00C333FD" w:rsidDel="00C333FD">
        <w:rPr>
          <w:rFonts w:ascii="Arial" w:hAnsi="Arial" w:cs="Arial"/>
        </w:rPr>
        <w:t xml:space="preserve"> </w:t>
      </w:r>
    </w:p>
    <w:p w14:paraId="607FA957" w14:textId="0A0D1923" w:rsidR="4309768A" w:rsidRPr="00A369BC" w:rsidRDefault="4309768A" w:rsidP="00443B73">
      <w:pPr>
        <w:pStyle w:val="Bullet"/>
        <w:numPr>
          <w:ilvl w:val="0"/>
          <w:numId w:val="0"/>
        </w:numPr>
        <w:rPr>
          <w:rFonts w:ascii="Arial" w:hAnsi="Arial"/>
        </w:rPr>
      </w:pPr>
    </w:p>
    <w:p w14:paraId="6BEEBDD9" w14:textId="6A7F1AC7" w:rsidR="009528D0" w:rsidRDefault="009528D0" w:rsidP="00E275B9">
      <w:pPr>
        <w:pStyle w:val="BodyText"/>
        <w:pBdr>
          <w:top w:val="single" w:sz="12" w:space="1" w:color="041049" w:themeColor="text2"/>
          <w:left w:val="single" w:sz="12" w:space="4" w:color="041049" w:themeColor="text2"/>
          <w:bottom w:val="single" w:sz="12" w:space="1" w:color="041049" w:themeColor="text2"/>
          <w:right w:val="single" w:sz="12" w:space="4" w:color="041049" w:themeColor="text2"/>
        </w:pBdr>
        <w:rPr>
          <w:b/>
        </w:rPr>
      </w:pPr>
      <w:r w:rsidRPr="00024BDB">
        <w:rPr>
          <w:b/>
          <w:i/>
          <w:iCs/>
        </w:rPr>
        <w:lastRenderedPageBreak/>
        <w:t xml:space="preserve">Case study: Benefits from </w:t>
      </w:r>
      <w:r w:rsidR="00024BDB">
        <w:rPr>
          <w:b/>
          <w:i/>
          <w:iCs/>
        </w:rPr>
        <w:t>royalty sharing agreement</w:t>
      </w:r>
      <w:r>
        <w:rPr>
          <w:b/>
        </w:rPr>
        <w:t xml:space="preserve"> </w:t>
      </w:r>
      <w:r>
        <w:rPr>
          <w:rStyle w:val="FootnoteReference"/>
          <w:b/>
        </w:rPr>
        <w:footnoteReference w:id="25"/>
      </w:r>
    </w:p>
    <w:p w14:paraId="189A92B1" w14:textId="4DFE827B" w:rsidR="009528D0" w:rsidRPr="0081454F" w:rsidRDefault="00E91AD6" w:rsidP="00E275B9">
      <w:pPr>
        <w:pStyle w:val="BodyText"/>
        <w:pBdr>
          <w:top w:val="single" w:sz="12" w:space="1" w:color="041049" w:themeColor="text2"/>
          <w:left w:val="single" w:sz="12" w:space="4" w:color="041049" w:themeColor="text2"/>
          <w:bottom w:val="single" w:sz="12" w:space="1" w:color="041049" w:themeColor="text2"/>
          <w:right w:val="single" w:sz="12" w:space="4" w:color="041049" w:themeColor="text2"/>
        </w:pBdr>
        <w:rPr>
          <w:color w:val="auto"/>
        </w:rPr>
      </w:pPr>
      <w:r w:rsidRPr="00E91AD6">
        <w:t>Professor Michael Lawrence Brown, a vascular surgeon</w:t>
      </w:r>
      <w:r w:rsidRPr="00133641">
        <w:t xml:space="preserve"> and Mr David Hartley, an imaging radiographer</w:t>
      </w:r>
      <w:r w:rsidR="00133641">
        <w:t xml:space="preserve"> </w:t>
      </w:r>
      <w:r w:rsidRPr="00133641">
        <w:t>developed the Endovascular Stentgraft</w:t>
      </w:r>
      <w:r w:rsidR="00133641">
        <w:t xml:space="preserve"> </w:t>
      </w:r>
      <w:r w:rsidR="00133641" w:rsidRPr="004C76E9">
        <w:t>in the 1990s while employed a</w:t>
      </w:r>
      <w:r w:rsidR="001C3D52">
        <w:t>t</w:t>
      </w:r>
      <w:r w:rsidRPr="00E91AD6">
        <w:t xml:space="preserve"> </w:t>
      </w:r>
      <w:r w:rsidR="001C3D52">
        <w:t xml:space="preserve">Royal </w:t>
      </w:r>
      <w:r w:rsidR="00133641" w:rsidRPr="004C76E9">
        <w:t>Perth Hospital</w:t>
      </w:r>
      <w:r w:rsidRPr="00133641">
        <w:t xml:space="preserve">. </w:t>
      </w:r>
      <w:r w:rsidRPr="0081454F">
        <w:rPr>
          <w:color w:val="auto"/>
        </w:rPr>
        <w:t xml:space="preserve">This invention was successfully commercialised in 1997 </w:t>
      </w:r>
      <w:r w:rsidR="0081454F" w:rsidRPr="0081454F">
        <w:rPr>
          <w:color w:val="auto"/>
        </w:rPr>
        <w:t xml:space="preserve">and manufactured for </w:t>
      </w:r>
      <w:r w:rsidRPr="0081454F">
        <w:rPr>
          <w:color w:val="auto"/>
        </w:rPr>
        <w:t>the global market.</w:t>
      </w:r>
      <w:r w:rsidR="0081454F">
        <w:rPr>
          <w:rStyle w:val="FootnoteReference"/>
          <w:color w:val="auto"/>
        </w:rPr>
        <w:footnoteReference w:id="26"/>
      </w:r>
      <w:r w:rsidRPr="0081454F">
        <w:rPr>
          <w:color w:val="auto"/>
        </w:rPr>
        <w:t xml:space="preserve">  </w:t>
      </w:r>
      <w:r w:rsidR="00133641" w:rsidRPr="0081454F">
        <w:rPr>
          <w:color w:val="auto"/>
        </w:rPr>
        <w:t xml:space="preserve"> </w:t>
      </w:r>
    </w:p>
    <w:p w14:paraId="4EB08B24" w14:textId="4AB96BE2" w:rsidR="009528D0" w:rsidRDefault="00E91AD6" w:rsidP="00E275B9">
      <w:pPr>
        <w:pStyle w:val="BodyText"/>
        <w:pBdr>
          <w:top w:val="single" w:sz="12" w:space="1" w:color="041049" w:themeColor="text2"/>
          <w:left w:val="single" w:sz="12" w:space="4" w:color="041049" w:themeColor="text2"/>
          <w:bottom w:val="single" w:sz="12" w:space="1" w:color="041049" w:themeColor="text2"/>
          <w:right w:val="single" w:sz="12" w:space="4" w:color="041049" w:themeColor="text2"/>
        </w:pBdr>
        <w:spacing w:after="0"/>
        <w:rPr>
          <w:rFonts w:ascii="Arial" w:hAnsi="Arial" w:cs="Arial"/>
        </w:rPr>
      </w:pPr>
      <w:r w:rsidRPr="00E91AD6">
        <w:rPr>
          <w:rFonts w:ascii="Arial" w:hAnsi="Arial" w:cs="Arial"/>
        </w:rPr>
        <w:t xml:space="preserve">The royalties from </w:t>
      </w:r>
      <w:r w:rsidR="0081454F">
        <w:rPr>
          <w:rFonts w:ascii="Arial" w:hAnsi="Arial" w:cs="Arial"/>
        </w:rPr>
        <w:t>this device</w:t>
      </w:r>
      <w:r w:rsidRPr="00E91AD6">
        <w:rPr>
          <w:rFonts w:ascii="Arial" w:hAnsi="Arial" w:cs="Arial"/>
        </w:rPr>
        <w:t xml:space="preserve"> received by the East Metropolitan Health Service provided a funding source to establish two Professorial Chairs of Vascular Surgery and Radiology in 2015 and create</w:t>
      </w:r>
      <w:r w:rsidR="003F4903">
        <w:rPr>
          <w:rFonts w:ascii="Arial" w:hAnsi="Arial" w:cs="Arial"/>
        </w:rPr>
        <w:t>d</w:t>
      </w:r>
      <w:r w:rsidRPr="00E91AD6">
        <w:rPr>
          <w:rFonts w:ascii="Arial" w:hAnsi="Arial" w:cs="Arial"/>
        </w:rPr>
        <w:t xml:space="preserve"> the RPH Imaging Researching Fund which provides research grants for radiology related research in </w:t>
      </w:r>
      <w:r w:rsidR="00AE5E48">
        <w:rPr>
          <w:rFonts w:ascii="Arial" w:hAnsi="Arial" w:cs="Arial"/>
        </w:rPr>
        <w:t>W</w:t>
      </w:r>
      <w:r w:rsidR="006E5980">
        <w:rPr>
          <w:rFonts w:ascii="Arial" w:hAnsi="Arial" w:cs="Arial"/>
        </w:rPr>
        <w:t>estern Australia</w:t>
      </w:r>
      <w:r w:rsidRPr="00E91AD6">
        <w:rPr>
          <w:rFonts w:ascii="Arial" w:hAnsi="Arial" w:cs="Arial"/>
        </w:rPr>
        <w:t xml:space="preserve">.   </w:t>
      </w:r>
    </w:p>
    <w:p w14:paraId="466C87E1" w14:textId="77777777" w:rsidR="00E275B9" w:rsidRPr="00E91AD6" w:rsidRDefault="00E275B9" w:rsidP="00EA1482">
      <w:pPr>
        <w:pStyle w:val="BodyText"/>
        <w:spacing w:after="0" w:line="240" w:lineRule="auto"/>
        <w:rPr>
          <w:b/>
        </w:rPr>
      </w:pPr>
    </w:p>
    <w:p w14:paraId="62DFE99A" w14:textId="7745E81F" w:rsidR="00690124" w:rsidRDefault="00690124" w:rsidP="0035327F">
      <w:pPr>
        <w:pStyle w:val="paragraph"/>
        <w:pBdr>
          <w:top w:val="single" w:sz="4" w:space="1" w:color="auto"/>
          <w:left w:val="single" w:sz="4" w:space="4" w:color="auto"/>
          <w:bottom w:val="single" w:sz="4" w:space="1" w:color="auto"/>
          <w:right w:val="single" w:sz="4" w:space="4" w:color="auto"/>
        </w:pBdr>
        <w:shd w:val="clear" w:color="auto" w:fill="EDD9EC"/>
        <w:spacing w:before="0" w:beforeAutospacing="0" w:after="200" w:afterAutospacing="0" w:line="276" w:lineRule="auto"/>
        <w:jc w:val="both"/>
        <w:rPr>
          <w:rStyle w:val="eop"/>
          <w:rFonts w:ascii="Arial" w:hAnsi="Arial" w:cs="Arial"/>
          <w:i/>
          <w:color w:val="272727"/>
        </w:rPr>
      </w:pPr>
      <w:r w:rsidRPr="00603F9D">
        <w:rPr>
          <w:rStyle w:val="normaltextrun"/>
          <w:rFonts w:ascii="Arial" w:hAnsi="Arial" w:cs="Arial"/>
          <w:b/>
          <w:bCs/>
          <w:i/>
          <w:color w:val="272727"/>
        </w:rPr>
        <w:t>Discussion questions</w:t>
      </w:r>
      <w:r w:rsidRPr="00603F9D">
        <w:rPr>
          <w:rStyle w:val="eop"/>
          <w:rFonts w:ascii="Arial" w:hAnsi="Arial" w:cs="Arial"/>
          <w:i/>
          <w:color w:val="272727"/>
        </w:rPr>
        <w:t> </w:t>
      </w:r>
    </w:p>
    <w:p w14:paraId="1666A19B" w14:textId="2DA612C2" w:rsidR="00690124" w:rsidRDefault="00690124"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iCs/>
          <w:color w:val="272727"/>
        </w:rPr>
      </w:pPr>
      <w:r>
        <w:rPr>
          <w:rStyle w:val="eop"/>
          <w:rFonts w:ascii="Arial" w:hAnsi="Arial" w:cs="Arial"/>
          <w:iCs/>
          <w:color w:val="272727"/>
        </w:rPr>
        <w:t>What is a fair and appropriate benefit sharing arrangement for the W</w:t>
      </w:r>
      <w:r w:rsidR="006E5980">
        <w:rPr>
          <w:rStyle w:val="eop"/>
          <w:rFonts w:ascii="Arial" w:hAnsi="Arial" w:cs="Arial"/>
          <w:iCs/>
          <w:color w:val="272727"/>
        </w:rPr>
        <w:t>estern Australia</w:t>
      </w:r>
      <w:r w:rsidR="005B55AA">
        <w:rPr>
          <w:rStyle w:val="eop"/>
          <w:rFonts w:ascii="Arial" w:hAnsi="Arial" w:cs="Arial"/>
          <w:iCs/>
          <w:color w:val="272727"/>
        </w:rPr>
        <w:t>n</w:t>
      </w:r>
      <w:r>
        <w:rPr>
          <w:rStyle w:val="eop"/>
          <w:rFonts w:ascii="Arial" w:hAnsi="Arial" w:cs="Arial"/>
          <w:iCs/>
          <w:color w:val="272727"/>
        </w:rPr>
        <w:t xml:space="preserve"> public sector? Please outline any suggestions and their rationale.</w:t>
      </w:r>
    </w:p>
    <w:p w14:paraId="06ED11BB" w14:textId="3EDD61CF" w:rsidR="00AC0711" w:rsidRDefault="00AC0711" w:rsidP="0035327F">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iCs/>
          <w:color w:val="272727"/>
        </w:rPr>
      </w:pPr>
      <w:r>
        <w:rPr>
          <w:rStyle w:val="eop"/>
          <w:rFonts w:ascii="Arial" w:hAnsi="Arial" w:cs="Arial"/>
          <w:iCs/>
          <w:color w:val="272727"/>
        </w:rPr>
        <w:t>Are there any factors or risks the IP Review should take into consideration in developing an appropriate benefit sharing arrangement?</w:t>
      </w:r>
    </w:p>
    <w:p w14:paraId="74A631B0" w14:textId="2F727587" w:rsidR="00BA1037" w:rsidRPr="00BA1037" w:rsidRDefault="00AB6AFE" w:rsidP="00AD0043">
      <w:pPr>
        <w:pStyle w:val="Heading2"/>
        <w:jc w:val="both"/>
      </w:pPr>
      <w:bookmarkStart w:id="196" w:name="_Rewards_and_incentives"/>
      <w:bookmarkStart w:id="197" w:name="_Toc97301109"/>
      <w:bookmarkStart w:id="198" w:name="_Toc97801758"/>
      <w:bookmarkStart w:id="199" w:name="_Toc97903447"/>
      <w:bookmarkStart w:id="200" w:name="_Toc101971647"/>
      <w:bookmarkStart w:id="201" w:name="_Toc104976293"/>
      <w:bookmarkStart w:id="202" w:name="_Toc114829903"/>
      <w:bookmarkEnd w:id="196"/>
      <w:r>
        <w:t>R</w:t>
      </w:r>
      <w:r w:rsidR="0249C1DB">
        <w:t>ewards and incentives</w:t>
      </w:r>
      <w:bookmarkEnd w:id="197"/>
      <w:bookmarkEnd w:id="198"/>
      <w:bookmarkEnd w:id="199"/>
      <w:bookmarkEnd w:id="200"/>
      <w:bookmarkEnd w:id="201"/>
      <w:bookmarkEnd w:id="202"/>
    </w:p>
    <w:p w14:paraId="7B58C866" w14:textId="5BAFEF6B" w:rsidR="004F5B70" w:rsidRDefault="00436717" w:rsidP="006E5980">
      <w:pPr>
        <w:pStyle w:val="Bullet"/>
        <w:ind w:left="397" w:hanging="397"/>
      </w:pPr>
      <w:r>
        <w:t xml:space="preserve">The current </w:t>
      </w:r>
      <w:r w:rsidR="009A07F4">
        <w:t>WA Government IP Policy</w:t>
      </w:r>
      <w:r>
        <w:t xml:space="preserve"> does not address the matter of employee rewards for innovative employees. </w:t>
      </w:r>
      <w:r w:rsidR="00553E11">
        <w:t xml:space="preserve">As noted </w:t>
      </w:r>
      <w:r w:rsidR="003F4903">
        <w:t>in</w:t>
      </w:r>
      <w:r w:rsidR="00553E11">
        <w:t xml:space="preserve"> </w:t>
      </w:r>
      <w:r w:rsidR="00553E11" w:rsidRPr="1D2F3123">
        <w:rPr>
          <w:b/>
          <w:bCs/>
        </w:rPr>
        <w:t>Section 1</w:t>
      </w:r>
      <w:r w:rsidR="003F4903" w:rsidRPr="1D2F3123">
        <w:rPr>
          <w:b/>
          <w:bCs/>
        </w:rPr>
        <w:t xml:space="preserve"> </w:t>
      </w:r>
      <w:r w:rsidR="003F4903">
        <w:t xml:space="preserve">of the </w:t>
      </w:r>
      <w:r w:rsidR="00667C16">
        <w:t>Discussion Paper</w:t>
      </w:r>
      <w:r w:rsidR="00553E11">
        <w:t xml:space="preserve">, currently the 2003 Rewards Policy stipulates the manner in which Government agencies can reward employees for developing or creating commercially valuable IP assets in the course of their work. </w:t>
      </w:r>
    </w:p>
    <w:p w14:paraId="18172B75" w14:textId="77777777" w:rsidR="004F5B70" w:rsidRDefault="004F5B70" w:rsidP="006E5980">
      <w:pPr>
        <w:pStyle w:val="Bullet"/>
        <w:ind w:left="397" w:hanging="397"/>
      </w:pPr>
      <w:r>
        <w:t xml:space="preserve">Rewards can take the form of employee rewards or incentives and in addition, arrangements that provide for the sharing of net revenue from the proceeds of commercialisation of IP between the relevant parties. See </w:t>
      </w:r>
      <w:r w:rsidRPr="00F1165F">
        <w:rPr>
          <w:b/>
        </w:rPr>
        <w:t>Section 4.4</w:t>
      </w:r>
      <w:r>
        <w:t xml:space="preserve"> for a broad discussion on benefit sharing arrangements. </w:t>
      </w:r>
    </w:p>
    <w:p w14:paraId="20FD090A" w14:textId="77777777" w:rsidR="00553E11" w:rsidRPr="007F15EC" w:rsidRDefault="00553E11" w:rsidP="00E275B9">
      <w:pPr>
        <w:pStyle w:val="Bullet"/>
        <w:ind w:left="397" w:hanging="397"/>
      </w:pPr>
      <w:r>
        <w:t>Key features of the current 2003 Rewards Policy include:</w:t>
      </w:r>
    </w:p>
    <w:p w14:paraId="265097CE" w14:textId="5D8E4757" w:rsidR="00553E11" w:rsidRPr="00894057" w:rsidRDefault="00553E11" w:rsidP="00E275B9">
      <w:pPr>
        <w:pStyle w:val="ListParagraph"/>
        <w:ind w:left="794" w:hanging="397"/>
      </w:pPr>
      <w:r>
        <w:t xml:space="preserve">Rewards are paid via Act of Grace payments as provided for under section 80 of </w:t>
      </w:r>
      <w:r w:rsidR="00FF6A4B">
        <w:t>the FM Act</w:t>
      </w:r>
      <w:r>
        <w:t xml:space="preserve"> and </w:t>
      </w:r>
      <w:r w:rsidRPr="1D2F3123">
        <w:rPr>
          <w:i/>
          <w:iCs/>
        </w:rPr>
        <w:t>Financial Management Regulations</w:t>
      </w:r>
      <w:r w:rsidR="00FF6A4B" w:rsidRPr="1D2F3123">
        <w:rPr>
          <w:i/>
          <w:iCs/>
        </w:rPr>
        <w:t xml:space="preserve"> 2007</w:t>
      </w:r>
      <w:r w:rsidR="00FF6A4B">
        <w:t xml:space="preserve"> (the FM Regulations)</w:t>
      </w:r>
      <w:r>
        <w:t>.</w:t>
      </w:r>
    </w:p>
    <w:p w14:paraId="7CDC8523" w14:textId="77777777" w:rsidR="00553E11" w:rsidRPr="00C42F4B" w:rsidRDefault="00553E11" w:rsidP="00E275B9">
      <w:pPr>
        <w:pStyle w:val="ListParagraph"/>
        <w:ind w:left="794" w:hanging="397"/>
      </w:pPr>
      <w:r>
        <w:t>Financial rewards for public sector employees may only be awarded once an agency has received revenue from the commercialisation of the IP.</w:t>
      </w:r>
    </w:p>
    <w:p w14:paraId="43A42294" w14:textId="77777777" w:rsidR="009F66E5" w:rsidRPr="006E5980" w:rsidRDefault="00553E11" w:rsidP="00E275B9">
      <w:pPr>
        <w:pStyle w:val="ListParagraph"/>
        <w:ind w:left="794" w:hanging="397"/>
        <w:rPr>
          <w:bCs/>
        </w:rPr>
      </w:pPr>
      <w:r w:rsidRPr="006E5980">
        <w:t>Decisions on payment of rewards to employees are made by the relevant Minister.</w:t>
      </w:r>
    </w:p>
    <w:p w14:paraId="50A666D4" w14:textId="77777777" w:rsidR="00E31CC1" w:rsidRDefault="00E31CC1">
      <w:pPr>
        <w:spacing w:after="160" w:line="259" w:lineRule="auto"/>
        <w:textAlignment w:val="auto"/>
        <w:rPr>
          <w:rFonts w:asciiTheme="majorHAnsi" w:hAnsiTheme="majorHAnsi" w:cs="Times New Roman"/>
          <w:color w:val="272727" w:themeColor="accent1" w:themeShade="80"/>
          <w:lang w:val="en-GB"/>
        </w:rPr>
      </w:pPr>
      <w:r>
        <w:br w:type="page"/>
      </w:r>
    </w:p>
    <w:p w14:paraId="73DB6D35" w14:textId="59DB645F" w:rsidR="00D56EAF" w:rsidRPr="006E5980" w:rsidRDefault="00501DB2" w:rsidP="00E275B9">
      <w:pPr>
        <w:pStyle w:val="ListParagraph"/>
        <w:ind w:left="794" w:hanging="397"/>
        <w:rPr>
          <w:bCs/>
        </w:rPr>
      </w:pPr>
      <w:r w:rsidRPr="006E5980">
        <w:lastRenderedPageBreak/>
        <w:t>Rewards may be considered where</w:t>
      </w:r>
      <w:r w:rsidR="00D56EAF" w:rsidRPr="006E5980">
        <w:t xml:space="preserve"> </w:t>
      </w:r>
      <w:r w:rsidR="006B5DF3" w:rsidRPr="006E5980">
        <w:t xml:space="preserve">the </w:t>
      </w:r>
      <w:r w:rsidR="00D56EAF" w:rsidRPr="006E5980">
        <w:t>proposed recipient:</w:t>
      </w:r>
    </w:p>
    <w:p w14:paraId="35C1F9EB" w14:textId="06A3B03C" w:rsidR="00553E11" w:rsidRPr="006E5980" w:rsidRDefault="006F222F" w:rsidP="00E275B9">
      <w:pPr>
        <w:pStyle w:val="ListParagraph"/>
        <w:numPr>
          <w:ilvl w:val="1"/>
          <w:numId w:val="6"/>
        </w:numPr>
        <w:ind w:left="1191" w:hanging="397"/>
        <w:rPr>
          <w:bCs/>
        </w:rPr>
      </w:pPr>
      <w:r w:rsidRPr="006E5980">
        <w:t>is a</w:t>
      </w:r>
      <w:r w:rsidR="00000905" w:rsidRPr="006E5980">
        <w:t xml:space="preserve"> permanent or fixed</w:t>
      </w:r>
      <w:r w:rsidR="006B5DF3" w:rsidRPr="006E5980">
        <w:t>-</w:t>
      </w:r>
      <w:r w:rsidR="00000905" w:rsidRPr="006E5980">
        <w:t xml:space="preserve">term Government </w:t>
      </w:r>
      <w:r w:rsidR="002C0B0F" w:rsidRPr="006E5980">
        <w:t xml:space="preserve">employee </w:t>
      </w:r>
      <w:r w:rsidR="00000905" w:rsidRPr="006E5980">
        <w:t>(</w:t>
      </w:r>
      <w:r w:rsidR="00CC2632" w:rsidRPr="006E5980">
        <w:t xml:space="preserve">external </w:t>
      </w:r>
      <w:r w:rsidR="003C271B" w:rsidRPr="006E5980">
        <w:t xml:space="preserve">contractors, </w:t>
      </w:r>
      <w:r w:rsidR="002A31C4" w:rsidRPr="006E5980">
        <w:t>con</w:t>
      </w:r>
      <w:r w:rsidR="00321628" w:rsidRPr="006E5980">
        <w:t>sultants, judicial officers and</w:t>
      </w:r>
      <w:r w:rsidR="00334B77" w:rsidRPr="006E5980">
        <w:t xml:space="preserve"> </w:t>
      </w:r>
      <w:r w:rsidR="00D74FAB" w:rsidRPr="006E5980">
        <w:t xml:space="preserve">persons on </w:t>
      </w:r>
      <w:r w:rsidR="00334B77" w:rsidRPr="006E5980">
        <w:t>board</w:t>
      </w:r>
      <w:r w:rsidR="00D74FAB" w:rsidRPr="006E5980">
        <w:t>s</w:t>
      </w:r>
      <w:r w:rsidR="00334B77" w:rsidRPr="006E5980">
        <w:t>, council</w:t>
      </w:r>
      <w:r w:rsidR="00D74FAB" w:rsidRPr="006E5980">
        <w:t>s</w:t>
      </w:r>
      <w:r w:rsidR="00334B77" w:rsidRPr="006E5980">
        <w:t xml:space="preserve"> or committee</w:t>
      </w:r>
      <w:r w:rsidR="00D74FAB" w:rsidRPr="006E5980">
        <w:t xml:space="preserve">s </w:t>
      </w:r>
      <w:r w:rsidR="00334B77" w:rsidRPr="006E5980">
        <w:t xml:space="preserve">are </w:t>
      </w:r>
      <w:r w:rsidR="004214E0" w:rsidRPr="006E5980">
        <w:t xml:space="preserve">ineligible under </w:t>
      </w:r>
      <w:r w:rsidR="00F33948" w:rsidRPr="006E5980">
        <w:t xml:space="preserve">the current </w:t>
      </w:r>
      <w:r w:rsidR="00087C6F" w:rsidRPr="006E5980">
        <w:t xml:space="preserve">2003 </w:t>
      </w:r>
      <w:r w:rsidR="004214E0" w:rsidRPr="006E5980">
        <w:t>Rewards Policy);</w:t>
      </w:r>
    </w:p>
    <w:p w14:paraId="0AACE3D6" w14:textId="0FDA4020" w:rsidR="00EB210E" w:rsidRPr="006E5980" w:rsidRDefault="002811D8" w:rsidP="00E275B9">
      <w:pPr>
        <w:pStyle w:val="ListParagraph"/>
        <w:numPr>
          <w:ilvl w:val="1"/>
          <w:numId w:val="6"/>
        </w:numPr>
        <w:ind w:left="1191" w:hanging="397"/>
        <w:rPr>
          <w:bCs/>
        </w:rPr>
      </w:pPr>
      <w:r w:rsidRPr="006E5980">
        <w:t>is an outstanding innovator</w:t>
      </w:r>
      <w:r w:rsidR="00EB210E" w:rsidRPr="006E5980">
        <w:t xml:space="preserve">; and </w:t>
      </w:r>
    </w:p>
    <w:p w14:paraId="790FE438" w14:textId="2BD7A868" w:rsidR="00E275B9" w:rsidRPr="00E275B9" w:rsidRDefault="00EB210E" w:rsidP="00E31CC1">
      <w:pPr>
        <w:pStyle w:val="ListParagraph"/>
        <w:numPr>
          <w:ilvl w:val="1"/>
          <w:numId w:val="6"/>
        </w:numPr>
        <w:spacing w:after="160" w:line="259" w:lineRule="auto"/>
        <w:ind w:left="1191" w:hanging="397"/>
      </w:pPr>
      <w:r w:rsidRPr="006E5980">
        <w:t>has made a</w:t>
      </w:r>
      <w:r w:rsidR="00F96376" w:rsidRPr="006E5980">
        <w:t xml:space="preserve"> </w:t>
      </w:r>
      <w:r w:rsidR="0009471B" w:rsidRPr="006E5980">
        <w:t xml:space="preserve">direct and </w:t>
      </w:r>
      <w:r w:rsidR="00F96376" w:rsidRPr="006E5980">
        <w:t xml:space="preserve">significant contribution to the </w:t>
      </w:r>
      <w:r w:rsidR="006C48A3" w:rsidRPr="006E5980">
        <w:t xml:space="preserve">creation or further </w:t>
      </w:r>
      <w:r w:rsidR="00F96376" w:rsidRPr="006E5980">
        <w:t xml:space="preserve">development of the </w:t>
      </w:r>
      <w:r w:rsidR="00D518F9" w:rsidRPr="006E5980">
        <w:t>IP asset</w:t>
      </w:r>
      <w:r w:rsidR="0054251B" w:rsidRPr="006E5980">
        <w:t>.</w:t>
      </w:r>
    </w:p>
    <w:p w14:paraId="1CAB6410" w14:textId="77C5C47D" w:rsidR="008E3014" w:rsidRPr="006E5980" w:rsidRDefault="008E3014" w:rsidP="00E275B9">
      <w:pPr>
        <w:pStyle w:val="ListParagraph"/>
        <w:spacing w:after="120"/>
        <w:ind w:left="794" w:hanging="397"/>
      </w:pPr>
      <w:r w:rsidRPr="006E5980">
        <w:t>Current reward options provided under the 2003 Rewards Policy include:</w:t>
      </w:r>
    </w:p>
    <w:p w14:paraId="762A8291" w14:textId="77777777" w:rsidR="008E3014" w:rsidRPr="006E5980" w:rsidRDefault="008E3014" w:rsidP="00E275B9">
      <w:pPr>
        <w:pStyle w:val="ListParagraph"/>
        <w:numPr>
          <w:ilvl w:val="1"/>
          <w:numId w:val="6"/>
        </w:numPr>
        <w:spacing w:after="120"/>
        <w:ind w:left="1191" w:hanging="397"/>
        <w:rPr>
          <w:bCs/>
        </w:rPr>
      </w:pPr>
      <w:r w:rsidRPr="006E5980">
        <w:t>Lump sum cash payment</w:t>
      </w:r>
    </w:p>
    <w:p w14:paraId="57DFDCD3" w14:textId="77777777" w:rsidR="008E3014" w:rsidRPr="006E5980" w:rsidRDefault="008E3014" w:rsidP="00E275B9">
      <w:pPr>
        <w:pStyle w:val="ListParagraph"/>
        <w:numPr>
          <w:ilvl w:val="1"/>
          <w:numId w:val="6"/>
        </w:numPr>
        <w:spacing w:after="120"/>
        <w:ind w:left="1191" w:hanging="397"/>
        <w:rPr>
          <w:bCs/>
        </w:rPr>
      </w:pPr>
      <w:r w:rsidRPr="006E5980">
        <w:t>Percentage of revenue or royalties</w:t>
      </w:r>
    </w:p>
    <w:p w14:paraId="42277713" w14:textId="77777777" w:rsidR="008E3014" w:rsidRPr="006E5980" w:rsidRDefault="008E3014" w:rsidP="00E275B9">
      <w:pPr>
        <w:pStyle w:val="ListParagraph"/>
        <w:numPr>
          <w:ilvl w:val="1"/>
          <w:numId w:val="6"/>
        </w:numPr>
        <w:spacing w:after="120"/>
        <w:ind w:left="1191" w:hanging="397"/>
        <w:rPr>
          <w:bCs/>
        </w:rPr>
      </w:pPr>
      <w:r w:rsidRPr="006E5980">
        <w:t>Periodic payment of fixed or variable amounts</w:t>
      </w:r>
    </w:p>
    <w:p w14:paraId="7F0FE75E" w14:textId="77777777" w:rsidR="008E3014" w:rsidRPr="006E5980" w:rsidRDefault="008E3014" w:rsidP="00E275B9">
      <w:pPr>
        <w:pStyle w:val="ListParagraph"/>
        <w:numPr>
          <w:ilvl w:val="1"/>
          <w:numId w:val="6"/>
        </w:numPr>
        <w:tabs>
          <w:tab w:val="left" w:pos="3969"/>
        </w:tabs>
        <w:spacing w:after="120"/>
        <w:ind w:left="1191" w:hanging="397"/>
        <w:rPr>
          <w:bCs/>
        </w:rPr>
      </w:pPr>
      <w:r w:rsidRPr="006E5980">
        <w:t>Payment which cease on termination of employment</w:t>
      </w:r>
    </w:p>
    <w:p w14:paraId="202C0EB1" w14:textId="77777777" w:rsidR="008E3014" w:rsidRPr="006E5980" w:rsidRDefault="008E3014" w:rsidP="00E275B9">
      <w:pPr>
        <w:pStyle w:val="ListParagraph"/>
        <w:numPr>
          <w:ilvl w:val="1"/>
          <w:numId w:val="6"/>
        </w:numPr>
        <w:ind w:left="1191" w:hanging="397"/>
        <w:rPr>
          <w:bCs/>
        </w:rPr>
      </w:pPr>
      <w:r w:rsidRPr="006E5980">
        <w:t>Combination of fixed and revenue based payments.</w:t>
      </w:r>
    </w:p>
    <w:p w14:paraId="6D9D7EA4" w14:textId="3BB54A99" w:rsidR="00553E11" w:rsidRPr="006E5980" w:rsidRDefault="00553E11" w:rsidP="00E275B9">
      <w:pPr>
        <w:pStyle w:val="ListParagraph"/>
        <w:ind w:left="794" w:hanging="397"/>
        <w:rPr>
          <w:rFonts w:asciiTheme="minorHAnsi" w:eastAsiaTheme="minorEastAsia" w:hAnsiTheme="minorHAnsi" w:cstheme="minorBidi"/>
          <w:bCs/>
        </w:rPr>
      </w:pPr>
      <w:r w:rsidRPr="006E5980">
        <w:t xml:space="preserve">Any employee reward will be by an Act of Grace payment through the Treasurer after approval by the Executive Council. This </w:t>
      </w:r>
      <w:r w:rsidR="003F4903" w:rsidRPr="006E5980">
        <w:t xml:space="preserve">was previously </w:t>
      </w:r>
      <w:r w:rsidRPr="006E5980">
        <w:t xml:space="preserve">capped at $250,000 unless approval of the Governor </w:t>
      </w:r>
      <w:r w:rsidR="003F4903" w:rsidRPr="006E5980">
        <w:t xml:space="preserve">was </w:t>
      </w:r>
      <w:r w:rsidRPr="006E5980">
        <w:t xml:space="preserve">obtained (recent amendments via the </w:t>
      </w:r>
      <w:r w:rsidRPr="006E5980">
        <w:rPr>
          <w:i/>
          <w:iCs/>
        </w:rPr>
        <w:t xml:space="preserve">Financial Legislation Amendment Act 2021 </w:t>
      </w:r>
      <w:r w:rsidRPr="006E5980">
        <w:t>(WA) will remove the $250,000</w:t>
      </w:r>
      <w:r w:rsidR="4EBD3481" w:rsidRPr="006E5980">
        <w:t xml:space="preserve"> </w:t>
      </w:r>
      <w:r w:rsidRPr="006E5980">
        <w:t>cap</w:t>
      </w:r>
      <w:r w:rsidR="000A0E03" w:rsidRPr="006E5980">
        <w:t xml:space="preserve"> and requirement for Governor approval</w:t>
      </w:r>
      <w:r w:rsidRPr="006E5980">
        <w:t>).</w:t>
      </w:r>
    </w:p>
    <w:p w14:paraId="4E10445A" w14:textId="77777777" w:rsidR="00553E11" w:rsidRPr="006E5980" w:rsidRDefault="00553E11" w:rsidP="00E275B9">
      <w:pPr>
        <w:pStyle w:val="ListParagraph"/>
        <w:ind w:left="794" w:hanging="397"/>
      </w:pPr>
      <w:r w:rsidRPr="006E5980">
        <w:t xml:space="preserve">Agencies can also put in place mechanisms for the provision of non-monetary rewards including recognition and public acknowledgement of employees. </w:t>
      </w:r>
    </w:p>
    <w:p w14:paraId="588DD2F5" w14:textId="1D3DA67E" w:rsidR="00553E11" w:rsidRPr="006E5980" w:rsidRDefault="6C2BAC9F" w:rsidP="00E275B9">
      <w:pPr>
        <w:pStyle w:val="Bullet"/>
        <w:ind w:left="397" w:hanging="397"/>
      </w:pPr>
      <w:r w:rsidRPr="006E5980">
        <w:t>From stakeholder feedback there appears to be little awareness or use of the current mechanism for financial rewards for innovative public sector employees under the 2003 Rewards Policy. In particular, previous stakeholder feedback has noted that the current employee rewards system may not provide the flexibility suited to the IP environment.</w:t>
      </w:r>
    </w:p>
    <w:p w14:paraId="48515568" w14:textId="26DDC3AB" w:rsidR="68E1D4E7" w:rsidRPr="006E5980" w:rsidRDefault="68E1D4E7" w:rsidP="00E275B9">
      <w:pPr>
        <w:pStyle w:val="Bullet"/>
        <w:ind w:left="397" w:hanging="397"/>
        <w:rPr>
          <w:rFonts w:asciiTheme="majorBidi" w:eastAsiaTheme="majorBidi" w:hAnsiTheme="majorBidi" w:cstheme="majorBidi"/>
        </w:rPr>
      </w:pPr>
      <w:r w:rsidRPr="006E5980">
        <w:rPr>
          <w:rStyle w:val="normaltextrun"/>
          <w:rFonts w:ascii="Arial" w:hAnsi="Arial" w:cs="Arial"/>
          <w:color w:val="000000"/>
        </w:rPr>
        <w:t xml:space="preserve">Where employee rewards are provided for in the IP policy frameworks of other Australian jurisdictions, conditions are prescribed for the payment of rewards. </w:t>
      </w:r>
      <w:r w:rsidR="04854F30" w:rsidRPr="006E5980">
        <w:t>For example, the Q</w:t>
      </w:r>
      <w:r w:rsidR="003F4903" w:rsidRPr="006E5980">
        <w:t xml:space="preserve">ueensland </w:t>
      </w:r>
      <w:r w:rsidR="04854F30" w:rsidRPr="006E5980">
        <w:t xml:space="preserve">Government </w:t>
      </w:r>
      <w:r w:rsidR="04854F30" w:rsidRPr="006E5980">
        <w:rPr>
          <w:i/>
          <w:iCs/>
        </w:rPr>
        <w:t xml:space="preserve">Rewards for Creating Commercially Valuable Intellectual Property 2007 </w:t>
      </w:r>
      <w:r w:rsidR="04854F30" w:rsidRPr="006E5980">
        <w:t xml:space="preserve">policy </w:t>
      </w:r>
      <w:r w:rsidR="008E0B2D" w:rsidRPr="006E5980">
        <w:t xml:space="preserve">allows </w:t>
      </w:r>
      <w:r w:rsidR="04854F30" w:rsidRPr="006E5980">
        <w:t>for the reward of public sector employees provided that:</w:t>
      </w:r>
      <w:r w:rsidR="00DB2F74" w:rsidRPr="006E5980">
        <w:rPr>
          <w:rStyle w:val="FootnoteReference"/>
        </w:rPr>
        <w:footnoteReference w:id="27"/>
      </w:r>
      <w:r w:rsidR="04854F30" w:rsidRPr="006E5980">
        <w:t xml:space="preserve"> </w:t>
      </w:r>
    </w:p>
    <w:p w14:paraId="1ACA9319" w14:textId="2E60E5E5" w:rsidR="3502C4C0" w:rsidRPr="006E5980" w:rsidRDefault="3502C4C0" w:rsidP="00E275B9">
      <w:pPr>
        <w:pStyle w:val="ListParagraph"/>
        <w:ind w:left="794" w:hanging="397"/>
        <w:rPr>
          <w:rFonts w:asciiTheme="majorBidi" w:eastAsiaTheme="majorBidi" w:hAnsiTheme="majorBidi" w:cstheme="majorBidi"/>
        </w:rPr>
      </w:pPr>
      <w:r w:rsidRPr="006E5980">
        <w:t xml:space="preserve">certain conditions have been met including the IP was created in the course of employment and the </w:t>
      </w:r>
      <w:r w:rsidR="083C3D73" w:rsidRPr="006E5980">
        <w:t>ongoing satisfactory performance of the employee</w:t>
      </w:r>
      <w:r w:rsidR="0F1CCD9A" w:rsidRPr="006E5980">
        <w:t>;</w:t>
      </w:r>
      <w:r w:rsidR="6411BE4C" w:rsidRPr="006E5980">
        <w:t xml:space="preserve"> and</w:t>
      </w:r>
      <w:r w:rsidR="5E375683" w:rsidRPr="006E5980">
        <w:t xml:space="preserve"> </w:t>
      </w:r>
      <w:r w:rsidR="65D907C5" w:rsidRPr="006E5980">
        <w:t xml:space="preserve"> </w:t>
      </w:r>
    </w:p>
    <w:p w14:paraId="4B8BAF28" w14:textId="24A8323E" w:rsidR="6E379511" w:rsidRPr="006E5980" w:rsidRDefault="00995075" w:rsidP="00E275B9">
      <w:pPr>
        <w:pStyle w:val="ListParagraph"/>
        <w:ind w:left="794" w:hanging="397"/>
        <w:rPr>
          <w:rFonts w:asciiTheme="majorBidi" w:eastAsiaTheme="majorBidi" w:hAnsiTheme="majorBidi" w:cstheme="majorBidi"/>
        </w:rPr>
      </w:pPr>
      <w:r w:rsidRPr="006E5980">
        <w:t xml:space="preserve">positive </w:t>
      </w:r>
      <w:r w:rsidR="6E379511" w:rsidRPr="006E5980">
        <w:t>revenue obtained from the IP asset; and</w:t>
      </w:r>
    </w:p>
    <w:p w14:paraId="241C2D10" w14:textId="0AAEDAA0" w:rsidR="1093D314" w:rsidRPr="006E5980" w:rsidRDefault="1093D314" w:rsidP="00E275B9">
      <w:pPr>
        <w:pStyle w:val="ListParagraph"/>
        <w:ind w:left="794" w:hanging="397"/>
        <w:rPr>
          <w:rFonts w:asciiTheme="majorBidi" w:eastAsiaTheme="majorBidi" w:hAnsiTheme="majorBidi" w:cstheme="majorBidi"/>
        </w:rPr>
      </w:pPr>
      <w:r w:rsidRPr="006E5980">
        <w:t>any cash payment is at the discretion of the relevant CEO; and</w:t>
      </w:r>
    </w:p>
    <w:p w14:paraId="37F80C31" w14:textId="64CF70C5" w:rsidR="00486652" w:rsidRPr="00230B32" w:rsidRDefault="5069B063" w:rsidP="00E275B9">
      <w:pPr>
        <w:pStyle w:val="ListParagraph"/>
        <w:ind w:left="794" w:hanging="397"/>
        <w:rPr>
          <w:rFonts w:asciiTheme="majorBidi" w:eastAsiaTheme="majorBidi" w:hAnsiTheme="majorBidi" w:cstheme="majorBidi"/>
        </w:rPr>
      </w:pPr>
      <w:r w:rsidRPr="006E5980">
        <w:lastRenderedPageBreak/>
        <w:t>the reward does not exceed certain limits (up to 33</w:t>
      </w:r>
      <w:r w:rsidR="00486652">
        <w:t xml:space="preserve"> per cent</w:t>
      </w:r>
      <w:r w:rsidRPr="006E5980">
        <w:t xml:space="preserve"> of the total positive return but</w:t>
      </w:r>
      <w:r w:rsidR="1093D314" w:rsidRPr="006E5980">
        <w:t xml:space="preserve"> </w:t>
      </w:r>
      <w:r w:rsidRPr="006E5980">
        <w:t>cannot exceed $20,000 per employee per year and $100,000 total per employee).</w:t>
      </w:r>
    </w:p>
    <w:p w14:paraId="74DEF72C" w14:textId="40EC5017" w:rsidR="00E275B9" w:rsidRPr="00E275B9" w:rsidRDefault="004B383D" w:rsidP="00E31CC1">
      <w:pPr>
        <w:pStyle w:val="Bullet"/>
        <w:spacing w:after="160" w:line="259" w:lineRule="auto"/>
        <w:ind w:left="397" w:hanging="397"/>
        <w:rPr>
          <w:rStyle w:val="normaltextrun"/>
          <w:b/>
          <w:bCs/>
          <w:sz w:val="28"/>
          <w:szCs w:val="28"/>
        </w:rPr>
      </w:pPr>
      <w:r w:rsidRPr="00E275B9">
        <w:rPr>
          <w:rFonts w:eastAsiaTheme="majorBidi"/>
        </w:rPr>
        <w:t>Similarly, the South Australian Government</w:t>
      </w:r>
      <w:r w:rsidRPr="00E275B9">
        <w:rPr>
          <w:rFonts w:eastAsiaTheme="majorBidi"/>
          <w:i/>
        </w:rPr>
        <w:t xml:space="preserve"> Intellectual Property Policy</w:t>
      </w:r>
      <w:r w:rsidRPr="00E275B9">
        <w:rPr>
          <w:rFonts w:eastAsiaTheme="majorBidi"/>
        </w:rPr>
        <w:t xml:space="preserve"> provides discretion to the relevant agency Chief Executive to determine financial rewards for public sector employees responsible for generating, developing and applying IP, provided certain conditions are met</w:t>
      </w:r>
      <w:r w:rsidRPr="007842F7">
        <w:rPr>
          <w:rFonts w:eastAsiaTheme="majorBidi"/>
        </w:rPr>
        <w:t>.</w:t>
      </w:r>
      <w:r w:rsidR="00E05B6E" w:rsidRPr="00E275B9">
        <w:rPr>
          <w:rStyle w:val="FootnoteReference"/>
          <w:rFonts w:eastAsiaTheme="majorBidi"/>
        </w:rPr>
        <w:footnoteReference w:id="28"/>
      </w:r>
      <w:r w:rsidRPr="00E275B9">
        <w:rPr>
          <w:rFonts w:eastAsiaTheme="majorBidi"/>
        </w:rPr>
        <w:t xml:space="preserve"> These conditions are outlined under</w:t>
      </w:r>
      <w:r w:rsidRPr="00E275B9">
        <w:rPr>
          <w:rFonts w:eastAsiaTheme="majorBidi"/>
          <w:b/>
        </w:rPr>
        <w:t xml:space="preserve"> Section 4.5.2, Mechanism 2</w:t>
      </w:r>
      <w:r w:rsidRPr="007842F7">
        <w:rPr>
          <w:rFonts w:eastAsiaTheme="majorBidi"/>
        </w:rPr>
        <w:t>.</w:t>
      </w:r>
    </w:p>
    <w:p w14:paraId="05CF5297" w14:textId="7A0D8CC9" w:rsidR="00553E11" w:rsidRPr="002560AF" w:rsidRDefault="00553E11" w:rsidP="00A84FDD">
      <w:pPr>
        <w:pStyle w:val="Heading3B"/>
      </w:pPr>
      <w:r w:rsidRPr="0050478D">
        <w:rPr>
          <w:rStyle w:val="normaltextrun"/>
        </w:rPr>
        <w:t>Proposal:</w:t>
      </w:r>
      <w:r w:rsidR="00F504AF" w:rsidRPr="0050478D">
        <w:rPr>
          <w:rStyle w:val="normaltextrun"/>
        </w:rPr>
        <w:t xml:space="preserve"> </w:t>
      </w:r>
      <w:r w:rsidR="00D900BE">
        <w:rPr>
          <w:rStyle w:val="normaltextrun"/>
        </w:rPr>
        <w:t>R</w:t>
      </w:r>
      <w:r w:rsidR="00F504AF" w:rsidRPr="0050478D">
        <w:rPr>
          <w:rStyle w:val="normaltextrun"/>
        </w:rPr>
        <w:t xml:space="preserve">ewards included </w:t>
      </w:r>
      <w:r w:rsidR="00780230" w:rsidRPr="0050478D">
        <w:rPr>
          <w:rStyle w:val="normaltextrun"/>
        </w:rPr>
        <w:t>at high level</w:t>
      </w:r>
      <w:r w:rsidR="00F504AF" w:rsidRPr="0050478D">
        <w:rPr>
          <w:rStyle w:val="normaltextrun"/>
        </w:rPr>
        <w:t xml:space="preserve"> </w:t>
      </w:r>
    </w:p>
    <w:p w14:paraId="7DA02585" w14:textId="3F85CDD6" w:rsidR="00553E11" w:rsidRPr="00F504AF" w:rsidRDefault="00286783" w:rsidP="00486652">
      <w:pPr>
        <w:pStyle w:val="Bullet"/>
        <w:ind w:left="397" w:hanging="397"/>
      </w:pPr>
      <w:r>
        <w:t xml:space="preserve">It is proposed that an updated </w:t>
      </w:r>
      <w:r w:rsidR="009A07F4">
        <w:t>WA Government IP Policy</w:t>
      </w:r>
      <w:r>
        <w:t xml:space="preserve"> would see</w:t>
      </w:r>
      <w:r w:rsidR="00553E11">
        <w:t xml:space="preserve"> the 2003 Rewards Policy rescinded and the matter of rewards included at a high level. </w:t>
      </w:r>
      <w:r>
        <w:t>It is anticipated that i</w:t>
      </w:r>
      <w:r w:rsidR="00553E11">
        <w:t xml:space="preserve">ncluding employee rewards in the </w:t>
      </w:r>
      <w:r>
        <w:t>updated</w:t>
      </w:r>
      <w:r w:rsidR="00553E11">
        <w:t xml:space="preserve"> </w:t>
      </w:r>
      <w:r w:rsidR="009A07F4">
        <w:t>WA Government IP Policy</w:t>
      </w:r>
      <w:r w:rsidR="00553E11">
        <w:t xml:space="preserve"> </w:t>
      </w:r>
      <w:r>
        <w:t>will</w:t>
      </w:r>
      <w:r w:rsidR="00553E11">
        <w:t xml:space="preserve"> facilitate greater awareness of the rewards framework for employees </w:t>
      </w:r>
      <w:r w:rsidR="00255036">
        <w:t>who create significant, inventive and valuable IP, and the IP commercialisation results in exceptional net revenue (Relevant Employees).</w:t>
      </w:r>
      <w:r w:rsidR="00255036" w:rsidRPr="1D2F3123">
        <w:rPr>
          <w:rStyle w:val="CommentReference"/>
          <w:rFonts w:ascii="Arial" w:hAnsi="Arial" w:cs="Arial"/>
          <w:color w:val="auto"/>
          <w:lang w:val="en-AU"/>
        </w:rPr>
        <w:t xml:space="preserve"> </w:t>
      </w:r>
    </w:p>
    <w:p w14:paraId="3FC6379B" w14:textId="77777777" w:rsidR="000E678C" w:rsidRDefault="00553E11" w:rsidP="00486652">
      <w:pPr>
        <w:pStyle w:val="Bullet"/>
        <w:ind w:left="397" w:hanging="397"/>
      </w:pPr>
      <w:r>
        <w:t>The rewards model will provide for accountability and governance mechanisms to ensure appropriate safeguards and the mitigation of risks. As is consistent with the current approach, agencies will retain flexibility to determine appropriate non-monetary rewards and incentives for their employees.</w:t>
      </w:r>
      <w:r w:rsidR="001E016A">
        <w:t xml:space="preserve"> </w:t>
      </w:r>
    </w:p>
    <w:p w14:paraId="0B6AF815" w14:textId="77777777" w:rsidR="001E016A" w:rsidRPr="00F504AF" w:rsidRDefault="001E016A" w:rsidP="00486652">
      <w:pPr>
        <w:pStyle w:val="Bullet"/>
        <w:ind w:left="397" w:hanging="397"/>
      </w:pPr>
      <w:r>
        <w:t xml:space="preserve">Mechanisms for the payment of rewards and sharing of revenue between the relevant parties will consider how this can be appropriately shared and reinvested to promote further innovation </w:t>
      </w:r>
      <w:r w:rsidR="00FB58BA">
        <w:t xml:space="preserve">across the public sector. </w:t>
      </w:r>
    </w:p>
    <w:p w14:paraId="21BBE81E" w14:textId="1E47E148" w:rsidR="00826A2C" w:rsidRDefault="00826A2C" w:rsidP="00486652">
      <w:pPr>
        <w:pStyle w:val="Bullet"/>
        <w:ind w:left="397" w:hanging="397"/>
      </w:pPr>
      <w:r>
        <w:t xml:space="preserve">This </w:t>
      </w:r>
      <w:r w:rsidR="00667C16">
        <w:t>Discussion Paper</w:t>
      </w:r>
      <w:r>
        <w:t xml:space="preserve"> </w:t>
      </w:r>
      <w:r w:rsidR="00505794">
        <w:t>seeks</w:t>
      </w:r>
      <w:r>
        <w:t xml:space="preserve"> feedback on </w:t>
      </w:r>
      <w:r w:rsidR="007C264A">
        <w:t xml:space="preserve">the </w:t>
      </w:r>
      <w:r>
        <w:t xml:space="preserve">most appropriate reward model for the public sector and </w:t>
      </w:r>
      <w:r w:rsidR="0065263F">
        <w:t>mechanism</w:t>
      </w:r>
      <w:r w:rsidR="00FA03C9">
        <w:t>s</w:t>
      </w:r>
      <w:r w:rsidR="0065263F">
        <w:t xml:space="preserve"> for payment of rewards to Relevant Employees. </w:t>
      </w:r>
    </w:p>
    <w:p w14:paraId="411CD553" w14:textId="7129B511" w:rsidR="0065263F" w:rsidRPr="00F504AF" w:rsidRDefault="0065263F" w:rsidP="00B91117">
      <w:pPr>
        <w:pStyle w:val="Heading3"/>
      </w:pPr>
      <w:r>
        <w:t>Models</w:t>
      </w:r>
      <w:r w:rsidR="00530B38">
        <w:t xml:space="preserve"> for </w:t>
      </w:r>
      <w:r w:rsidR="00BE7BF3">
        <w:t>employee reward</w:t>
      </w:r>
      <w:r w:rsidR="00E15B39">
        <w:t>s</w:t>
      </w:r>
    </w:p>
    <w:p w14:paraId="09C9FA69" w14:textId="4A9D0557" w:rsidR="00553E11" w:rsidRPr="00F504AF" w:rsidRDefault="00553E11" w:rsidP="00486652">
      <w:pPr>
        <w:pStyle w:val="Bullet"/>
        <w:ind w:left="397" w:hanging="397"/>
      </w:pPr>
      <w:r>
        <w:t xml:space="preserve">Three potential reward models for </w:t>
      </w:r>
      <w:r w:rsidR="00061AC7">
        <w:t>Relevant Employees</w:t>
      </w:r>
      <w:r w:rsidR="00F754C6">
        <w:t xml:space="preserve"> and agencies</w:t>
      </w:r>
      <w:r w:rsidR="00061AC7">
        <w:t xml:space="preserve"> </w:t>
      </w:r>
      <w:r>
        <w:t>are outlined below</w:t>
      </w:r>
      <w:r w:rsidR="00993804">
        <w:t xml:space="preserve"> </w:t>
      </w:r>
      <w:r>
        <w:br/>
        <w:t>for stakeholder feedback and will be further informed by best practice.</w:t>
      </w:r>
    </w:p>
    <w:p w14:paraId="53C3D444" w14:textId="4C39E0C8" w:rsidR="00553E11" w:rsidRPr="00F504AF" w:rsidRDefault="7D0F8542" w:rsidP="00486652">
      <w:pPr>
        <w:pStyle w:val="Bullet"/>
        <w:ind w:left="397" w:hanging="397"/>
      </w:pPr>
      <w:r>
        <w:t xml:space="preserve">The three models outlined below maintain the current requirement that the commercialisation of IP must be completed and </w:t>
      </w:r>
      <w:r w:rsidR="3AE3ED39">
        <w:t xml:space="preserve">net </w:t>
      </w:r>
      <w:r>
        <w:t>revenue received prior to payment of a reward. This is consistent with the approach taken in Government IP Policy frameworks in other Australian jurisdictions.</w:t>
      </w:r>
    </w:p>
    <w:p w14:paraId="19834BD0" w14:textId="43E0C45B" w:rsidR="00F754C6" w:rsidRPr="007842F7" w:rsidRDefault="00F754C6" w:rsidP="0096372B">
      <w:pPr>
        <w:pStyle w:val="Heading4"/>
      </w:pPr>
      <w:r w:rsidRPr="007842F7">
        <w:lastRenderedPageBreak/>
        <w:t>Model 1: Employee monetary reward</w:t>
      </w:r>
    </w:p>
    <w:p w14:paraId="5D002621" w14:textId="77777777" w:rsidR="00F754C6" w:rsidRDefault="00F754C6" w:rsidP="00486652">
      <w:pPr>
        <w:pStyle w:val="Bullet"/>
        <w:ind w:left="397" w:hanging="397"/>
      </w:pPr>
      <w:r>
        <w:t>The provision of monetary rewards based on commercial success of inventions/innovations may assist in retaining and attracting employees.</w:t>
      </w:r>
    </w:p>
    <w:p w14:paraId="69C3A956" w14:textId="77777777" w:rsidR="00F754C6" w:rsidRDefault="00F754C6" w:rsidP="00486652">
      <w:pPr>
        <w:pStyle w:val="Bullet"/>
        <w:ind w:left="397" w:hanging="397"/>
      </w:pPr>
      <w:r>
        <w:t xml:space="preserve">Monetary rewards would be limited to an individual or individuals who create significant, inventive and valuable </w:t>
      </w:r>
      <w:r w:rsidRPr="00F504AF">
        <w:t>IP</w:t>
      </w:r>
      <w:r>
        <w:t xml:space="preserve"> and the IP commercialisation results in exceptional net revenue.</w:t>
      </w:r>
    </w:p>
    <w:p w14:paraId="5D1577B1" w14:textId="4C39E0C8" w:rsidR="00F754C6" w:rsidRPr="00F754C6" w:rsidRDefault="0DD90157" w:rsidP="00486652">
      <w:pPr>
        <w:pStyle w:val="Bullet"/>
        <w:ind w:left="397" w:hanging="397"/>
      </w:pPr>
      <w:r>
        <w:t>The payment of m</w:t>
      </w:r>
      <w:r w:rsidR="363F05B7">
        <w:t>onetary and other rewards to Relevant Employees will need to be balance</w:t>
      </w:r>
      <w:r w:rsidR="2517F89A">
        <w:t>d</w:t>
      </w:r>
      <w:r w:rsidR="363F05B7">
        <w:t xml:space="preserve"> against community expectations regarding what are fair and reasonable rewards for </w:t>
      </w:r>
      <w:r w:rsidR="480752E6">
        <w:t xml:space="preserve">public sector </w:t>
      </w:r>
      <w:r w:rsidR="363F05B7">
        <w:t>employees, as opposed to financial windfalls from publicly funded activities.</w:t>
      </w:r>
    </w:p>
    <w:p w14:paraId="1B9DB6B7" w14:textId="77777777" w:rsidR="00F754C6" w:rsidRDefault="00F754C6" w:rsidP="00343B27">
      <w:pPr>
        <w:pStyle w:val="Heading4"/>
      </w:pPr>
      <w:r>
        <w:t>Model 2: Agency level reward – revenue</w:t>
      </w:r>
      <w:r w:rsidRPr="0069697C">
        <w:t xml:space="preserve"> </w:t>
      </w:r>
      <w:r>
        <w:t>invested in research and development within an agency</w:t>
      </w:r>
    </w:p>
    <w:p w14:paraId="0C775629" w14:textId="77777777" w:rsidR="00F754C6" w:rsidRDefault="00F754C6" w:rsidP="00486652">
      <w:pPr>
        <w:pStyle w:val="Bullet"/>
        <w:ind w:left="397" w:hanging="397"/>
      </w:pPr>
      <w:r>
        <w:t>Ag</w:t>
      </w:r>
      <w:r w:rsidRPr="001264CB">
        <w:t xml:space="preserve">encies retain commercialisation revenue which is invested in additional resources </w:t>
      </w:r>
      <w:r>
        <w:t xml:space="preserve">including </w:t>
      </w:r>
      <w:r w:rsidRPr="001264CB">
        <w:t>staff time, facilities</w:t>
      </w:r>
      <w:r>
        <w:t xml:space="preserve"> and</w:t>
      </w:r>
      <w:r w:rsidRPr="001264CB">
        <w:t xml:space="preserve"> </w:t>
      </w:r>
      <w:r>
        <w:t>extra staff</w:t>
      </w:r>
      <w:r w:rsidRPr="0083592C">
        <w:t xml:space="preserve">, </w:t>
      </w:r>
      <w:r w:rsidRPr="001264CB">
        <w:t xml:space="preserve">to enable Relevant </w:t>
      </w:r>
      <w:r>
        <w:t>E</w:t>
      </w:r>
      <w:r w:rsidRPr="001264CB">
        <w:t>mployees and their teams to pursue further research within the Agency.</w:t>
      </w:r>
      <w:r>
        <w:t xml:space="preserve"> </w:t>
      </w:r>
    </w:p>
    <w:p w14:paraId="593127E7" w14:textId="6ED313FA" w:rsidR="00F754C6" w:rsidRDefault="00F754C6" w:rsidP="00486652">
      <w:pPr>
        <w:pStyle w:val="Bullet"/>
        <w:ind w:left="397" w:hanging="397"/>
      </w:pPr>
      <w:r>
        <w:t xml:space="preserve">This model benefits Relevant Employees as it enables them to focus on research and development rather than this being </w:t>
      </w:r>
      <w:r w:rsidR="003F4903">
        <w:t>supplementary</w:t>
      </w:r>
      <w:r>
        <w:t xml:space="preserve"> to their general employment duties. </w:t>
      </w:r>
    </w:p>
    <w:p w14:paraId="4DD4ADEC" w14:textId="7B3F2DA7" w:rsidR="00F754C6" w:rsidRDefault="00F754C6" w:rsidP="00486652">
      <w:pPr>
        <w:pStyle w:val="Bullet"/>
        <w:ind w:left="397" w:hanging="397"/>
      </w:pPr>
      <w:r>
        <w:t xml:space="preserve">This option may be particularly suited to agencies where IP development is </w:t>
      </w:r>
      <w:r w:rsidR="003F4903">
        <w:t>a core element of the</w:t>
      </w:r>
      <w:r>
        <w:t xml:space="preserve">ir operations and business model, and is the result of team effort </w:t>
      </w:r>
      <w:r w:rsidR="00E86011">
        <w:t xml:space="preserve">and agency investment </w:t>
      </w:r>
      <w:r>
        <w:t xml:space="preserve">over long periods. </w:t>
      </w:r>
    </w:p>
    <w:p w14:paraId="55AB32E7" w14:textId="77777777" w:rsidR="00F754C6" w:rsidRDefault="00F754C6" w:rsidP="0096372B">
      <w:pPr>
        <w:pStyle w:val="Heading4"/>
      </w:pPr>
      <w:r>
        <w:t xml:space="preserve">Model </w:t>
      </w:r>
      <w:r w:rsidRPr="0069697C">
        <w:t xml:space="preserve">3: </w:t>
      </w:r>
      <w:r>
        <w:t>S</w:t>
      </w:r>
      <w:r w:rsidRPr="0069697C">
        <w:t xml:space="preserve">haring </w:t>
      </w:r>
      <w:r>
        <w:t xml:space="preserve">rewards </w:t>
      </w:r>
    </w:p>
    <w:p w14:paraId="23CCA7C1" w14:textId="77777777" w:rsidR="00B403D4" w:rsidRDefault="00F754C6" w:rsidP="00486652">
      <w:pPr>
        <w:pStyle w:val="BodyText"/>
        <w:numPr>
          <w:ilvl w:val="0"/>
          <w:numId w:val="20"/>
        </w:numPr>
        <w:ind w:left="397" w:hanging="397"/>
      </w:pPr>
      <w:r>
        <w:t>This model recognises both individual and agency achievement through benefit sharing.</w:t>
      </w:r>
    </w:p>
    <w:p w14:paraId="7D4C56CD" w14:textId="644D7866" w:rsidR="00F754C6" w:rsidRPr="0002039C" w:rsidRDefault="00F754C6" w:rsidP="00486652">
      <w:pPr>
        <w:pStyle w:val="BodyText"/>
        <w:numPr>
          <w:ilvl w:val="0"/>
          <w:numId w:val="20"/>
        </w:numPr>
        <w:ind w:left="397" w:hanging="397"/>
      </w:pPr>
      <w:r>
        <w:t>Western Australian universities have implemented benefit sharing arrangements in relation to net return from successful IP commercialisation. The benefits are shared between the IP creator/s and a university.</w:t>
      </w:r>
      <w:r w:rsidR="00A376FE">
        <w:t xml:space="preserve"> </w:t>
      </w:r>
      <w:r w:rsidR="00A376FE" w:rsidRPr="0002039C">
        <w:rPr>
          <w:b/>
        </w:rPr>
        <w:t>Section 4.4</w:t>
      </w:r>
      <w:r w:rsidR="00A376FE">
        <w:t xml:space="preserve"> includes a further discussion on the approach of the university sector to benefit sharing. </w:t>
      </w:r>
    </w:p>
    <w:p w14:paraId="74AADF72" w14:textId="52787465" w:rsidR="00F754C6" w:rsidRPr="001264CB" w:rsidRDefault="00F754C6" w:rsidP="000E6B02">
      <w:pPr>
        <w:pStyle w:val="BodyText"/>
        <w:numPr>
          <w:ilvl w:val="0"/>
          <w:numId w:val="21"/>
        </w:numPr>
        <w:rPr>
          <w:b/>
          <w:i/>
          <w:color w:val="auto"/>
        </w:rPr>
      </w:pPr>
      <w:r w:rsidRPr="001264CB">
        <w:rPr>
          <w:b/>
          <w:i/>
          <w:color w:val="auto"/>
        </w:rPr>
        <w:t xml:space="preserve">Benefit sharing </w:t>
      </w:r>
      <w:r>
        <w:rPr>
          <w:b/>
          <w:i/>
          <w:color w:val="auto"/>
        </w:rPr>
        <w:t>- E</w:t>
      </w:r>
      <w:r w:rsidRPr="001264CB">
        <w:rPr>
          <w:b/>
          <w:i/>
          <w:color w:val="auto"/>
        </w:rPr>
        <w:t>mployee/s, Agency and Department of Treasury</w:t>
      </w:r>
    </w:p>
    <w:p w14:paraId="5A4B04AF" w14:textId="77777777" w:rsidR="00F754C6" w:rsidRDefault="00F754C6" w:rsidP="00486652">
      <w:pPr>
        <w:pStyle w:val="Bullet"/>
        <w:ind w:left="397" w:hanging="397"/>
      </w:pPr>
      <w:r w:rsidRPr="006843A7">
        <w:t xml:space="preserve">The 2012 review of the </w:t>
      </w:r>
      <w:r>
        <w:t>WA Government IP Policy</w:t>
      </w:r>
      <w:r w:rsidRPr="006843A7">
        <w:t xml:space="preserve"> recommended consideration of a net benefits sharing arrangement for employee reward</w:t>
      </w:r>
      <w:r>
        <w:t>s</w:t>
      </w:r>
      <w:r w:rsidRPr="006843A7">
        <w:t xml:space="preserve">. Under this model, net returns from IP commercialisation would be shared between the </w:t>
      </w:r>
      <w:r>
        <w:t>agency</w:t>
      </w:r>
      <w:r w:rsidRPr="006843A7">
        <w:t xml:space="preserve">, Treasury and </w:t>
      </w:r>
      <w:r>
        <w:t xml:space="preserve">relevant </w:t>
      </w:r>
      <w:r w:rsidRPr="006843A7">
        <w:t>employees (eligibility criteria would apply).</w:t>
      </w:r>
      <w:r>
        <w:t xml:space="preserve"> </w:t>
      </w:r>
    </w:p>
    <w:p w14:paraId="65CEACCE" w14:textId="77777777" w:rsidR="00443B73" w:rsidRDefault="00443B73">
      <w:pPr>
        <w:spacing w:after="160" w:line="259" w:lineRule="auto"/>
        <w:textAlignment w:val="auto"/>
        <w:rPr>
          <w:rFonts w:asciiTheme="majorHAnsi" w:hAnsiTheme="majorHAnsi" w:cs="Times New Roman"/>
          <w:color w:val="272727" w:themeColor="accent1" w:themeShade="80"/>
          <w:lang w:val="en-GB"/>
        </w:rPr>
      </w:pPr>
      <w:r>
        <w:br w:type="page"/>
      </w:r>
    </w:p>
    <w:p w14:paraId="0AFF998D" w14:textId="6C2BC26C" w:rsidR="00F754C6" w:rsidRDefault="00F754C6" w:rsidP="00443B73">
      <w:pPr>
        <w:pStyle w:val="Bullet"/>
      </w:pPr>
      <w:r>
        <w:lastRenderedPageBreak/>
        <w:t>Anticipated benefits of this model include:</w:t>
      </w:r>
    </w:p>
    <w:p w14:paraId="0AB25FE3" w14:textId="6F1B89F3" w:rsidR="00F754C6" w:rsidRDefault="00F754C6" w:rsidP="00443B73">
      <w:pPr>
        <w:pStyle w:val="ListParagraph"/>
      </w:pPr>
      <w:r>
        <w:t>Provid</w:t>
      </w:r>
      <w:r w:rsidR="00995075">
        <w:t xml:space="preserve">ing </w:t>
      </w:r>
      <w:r>
        <w:t>rewards for extraordinary ach</w:t>
      </w:r>
      <w:r w:rsidR="00486652">
        <w:t>ievement for Relevant Employees;</w:t>
      </w:r>
    </w:p>
    <w:p w14:paraId="78153AA3" w14:textId="78F2A336" w:rsidR="00F754C6" w:rsidRDefault="00F754C6" w:rsidP="00443B73">
      <w:pPr>
        <w:pStyle w:val="ListParagraph"/>
      </w:pPr>
      <w:r>
        <w:t>Allow</w:t>
      </w:r>
      <w:r w:rsidR="00995075">
        <w:t>ing</w:t>
      </w:r>
      <w:r>
        <w:t xml:space="preserve"> for return to the State for investment in IP </w:t>
      </w:r>
      <w:r w:rsidR="00486652">
        <w:t>development; and</w:t>
      </w:r>
    </w:p>
    <w:p w14:paraId="15C6CC9B" w14:textId="54C6871A" w:rsidR="00E275B9" w:rsidRPr="00443B73" w:rsidRDefault="00F754C6" w:rsidP="00443B73">
      <w:pPr>
        <w:pStyle w:val="ListParagraph"/>
        <w:rPr>
          <w:rFonts w:asciiTheme="minorHAnsi" w:hAnsiTheme="minorHAnsi" w:cstheme="minorBidi"/>
          <w:b/>
          <w:i/>
          <w:lang w:eastAsia="en-US"/>
        </w:rPr>
      </w:pPr>
      <w:r>
        <w:t>Encourag</w:t>
      </w:r>
      <w:r w:rsidR="00995075">
        <w:t>ing</w:t>
      </w:r>
      <w:r>
        <w:t xml:space="preserve"> an innovative culture within an agency.</w:t>
      </w:r>
    </w:p>
    <w:p w14:paraId="181B293D" w14:textId="0F1AE4C3" w:rsidR="00F754C6" w:rsidRPr="001264CB" w:rsidRDefault="00F754C6" w:rsidP="000E6B02">
      <w:pPr>
        <w:pStyle w:val="BodyText"/>
        <w:numPr>
          <w:ilvl w:val="0"/>
          <w:numId w:val="21"/>
        </w:numPr>
        <w:rPr>
          <w:b/>
          <w:i/>
          <w:color w:val="auto"/>
        </w:rPr>
      </w:pPr>
      <w:r w:rsidRPr="001264CB">
        <w:rPr>
          <w:b/>
          <w:i/>
          <w:color w:val="auto"/>
        </w:rPr>
        <w:t xml:space="preserve">Benefit sharing </w:t>
      </w:r>
      <w:r>
        <w:rPr>
          <w:b/>
          <w:i/>
          <w:color w:val="auto"/>
        </w:rPr>
        <w:t>- E</w:t>
      </w:r>
      <w:r w:rsidRPr="001264CB">
        <w:rPr>
          <w:b/>
          <w:i/>
          <w:color w:val="auto"/>
        </w:rPr>
        <w:t xml:space="preserve">mployee/s, </w:t>
      </w:r>
      <w:r>
        <w:rPr>
          <w:b/>
          <w:i/>
          <w:color w:val="auto"/>
        </w:rPr>
        <w:t>B</w:t>
      </w:r>
      <w:r w:rsidRPr="001264CB">
        <w:rPr>
          <w:b/>
          <w:i/>
          <w:color w:val="auto"/>
        </w:rPr>
        <w:t xml:space="preserve">usiness </w:t>
      </w:r>
      <w:r>
        <w:rPr>
          <w:b/>
          <w:i/>
          <w:color w:val="auto"/>
        </w:rPr>
        <w:t>U</w:t>
      </w:r>
      <w:r w:rsidRPr="001264CB">
        <w:rPr>
          <w:b/>
          <w:i/>
          <w:color w:val="auto"/>
        </w:rPr>
        <w:t xml:space="preserve">nit and Agency </w:t>
      </w:r>
    </w:p>
    <w:p w14:paraId="7FDBD177" w14:textId="3022A600" w:rsidR="0014768B" w:rsidRPr="0096372B" w:rsidRDefault="00F754C6" w:rsidP="00443B73">
      <w:pPr>
        <w:pStyle w:val="Bullet"/>
        <w:rPr>
          <w:rFonts w:eastAsiaTheme="majorEastAsia" w:cstheme="majorBidi"/>
        </w:rPr>
      </w:pPr>
      <w:r>
        <w:t>The N</w:t>
      </w:r>
      <w:r w:rsidR="00486652">
        <w:t xml:space="preserve">ew South </w:t>
      </w:r>
      <w:r>
        <w:t xml:space="preserve">Department of Health's </w:t>
      </w:r>
      <w:r w:rsidRPr="00D66AA8">
        <w:rPr>
          <w:i/>
        </w:rPr>
        <w:t>Intellectual Property Arising from Health Research</w:t>
      </w:r>
      <w:r>
        <w:t xml:space="preserve"> provides that where revenue results from the commercialisation of IP, net proceeds are distributed as</w:t>
      </w:r>
      <w:r w:rsidR="0014768B">
        <w:t>:</w:t>
      </w:r>
      <w:r w:rsidR="00C91440">
        <w:rPr>
          <w:rStyle w:val="FootnoteReference"/>
        </w:rPr>
        <w:footnoteReference w:id="29"/>
      </w:r>
    </w:p>
    <w:p w14:paraId="59BD44CD" w14:textId="7837C4A2" w:rsidR="0014768B" w:rsidRPr="0014768B" w:rsidRDefault="00F754C6" w:rsidP="00443B73">
      <w:pPr>
        <w:pStyle w:val="ListParagraph"/>
        <w:rPr>
          <w:rFonts w:eastAsia="Arial" w:cs="Arial"/>
        </w:rPr>
      </w:pPr>
      <w:r>
        <w:t>one</w:t>
      </w:r>
      <w:r w:rsidR="00B513D8">
        <w:t xml:space="preserve"> third to the creator of the IP;</w:t>
      </w:r>
      <w:r>
        <w:t xml:space="preserve"> </w:t>
      </w:r>
    </w:p>
    <w:p w14:paraId="3D021FC6" w14:textId="0E7F6195" w:rsidR="0014768B" w:rsidRPr="0014768B" w:rsidRDefault="00F754C6" w:rsidP="00443B73">
      <w:pPr>
        <w:pStyle w:val="ListParagraph"/>
        <w:rPr>
          <w:rFonts w:eastAsia="Arial" w:cs="Arial"/>
        </w:rPr>
      </w:pPr>
      <w:r>
        <w:t>one third to the department or section of the public health organisation which originated the IP</w:t>
      </w:r>
      <w:r w:rsidR="00B513D8">
        <w:t>;</w:t>
      </w:r>
      <w:r>
        <w:t xml:space="preserve"> and </w:t>
      </w:r>
    </w:p>
    <w:p w14:paraId="6E48F538" w14:textId="51B58D7F" w:rsidR="00F754C6" w:rsidRPr="00F754C6" w:rsidRDefault="00F754C6" w:rsidP="00443B73">
      <w:pPr>
        <w:pStyle w:val="ListParagraph"/>
        <w:rPr>
          <w:rFonts w:eastAsiaTheme="majorEastAsia" w:cstheme="majorBidi"/>
        </w:rPr>
      </w:pPr>
      <w:r>
        <w:t>one third to the public health organisation.</w:t>
      </w:r>
    </w:p>
    <w:p w14:paraId="0EA9AE15" w14:textId="7CC0C58D" w:rsidR="004D0B5D" w:rsidRPr="008A1C6D" w:rsidRDefault="00F754C6" w:rsidP="00443B73">
      <w:pPr>
        <w:pStyle w:val="Bullet"/>
        <w:rPr>
          <w:rFonts w:eastAsiaTheme="majorEastAsia" w:cstheme="majorBidi"/>
        </w:rPr>
      </w:pPr>
      <w:r>
        <w:t xml:space="preserve">This model stipulates requirements to be met and the form of the benefits shared between the relevant parties. </w:t>
      </w:r>
    </w:p>
    <w:p w14:paraId="06A04370" w14:textId="77777777" w:rsidR="00A77FB5" w:rsidRPr="00603F9D" w:rsidRDefault="00A77FB5" w:rsidP="00E275B9">
      <w:pPr>
        <w:pStyle w:val="Bullet"/>
        <w:numPr>
          <w:ilvl w:val="0"/>
          <w:numId w:val="0"/>
        </w:numPr>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i/>
          <w:color w:val="272727"/>
        </w:rPr>
      </w:pPr>
      <w:r w:rsidRPr="00603F9D">
        <w:rPr>
          <w:rStyle w:val="normaltextrun"/>
          <w:rFonts w:ascii="Arial" w:hAnsi="Arial" w:cs="Arial"/>
          <w:b/>
          <w:bCs/>
          <w:i/>
          <w:color w:val="272727"/>
        </w:rPr>
        <w:t>Discussion questions</w:t>
      </w:r>
      <w:r w:rsidRPr="00603F9D">
        <w:rPr>
          <w:rStyle w:val="eop"/>
          <w:rFonts w:ascii="Arial" w:hAnsi="Arial" w:cs="Arial"/>
          <w:i/>
          <w:color w:val="272727"/>
        </w:rPr>
        <w:t> </w:t>
      </w:r>
    </w:p>
    <w:p w14:paraId="185113E8" w14:textId="7F337E59" w:rsidR="00C859A3" w:rsidRDefault="00C859A3"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t>What are community perceptions and expectations regarding fair and reasonable monetary and other rewards for Relevant Employees?</w:t>
      </w:r>
    </w:p>
    <w:p w14:paraId="75830B8F" w14:textId="62EE50BA" w:rsidR="00C859A3" w:rsidRDefault="00C859A3"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Pr>
          <w:rStyle w:val="eop"/>
          <w:rFonts w:ascii="Arial" w:hAnsi="Arial" w:cs="Arial"/>
          <w:iCs/>
          <w:color w:val="272727"/>
        </w:rPr>
        <w:t>Are there any factors or risks the IP Review should take into consideration in developing reward and incentive arrangements?</w:t>
      </w:r>
    </w:p>
    <w:p w14:paraId="2B9BA6DF" w14:textId="5529BE94" w:rsidR="00B6453A" w:rsidRPr="00D66AA8" w:rsidRDefault="00B6453A" w:rsidP="00A84FDD">
      <w:pPr>
        <w:pStyle w:val="Heading3"/>
      </w:pPr>
      <w:r>
        <w:t>Mechanisms to effect r</w:t>
      </w:r>
      <w:r w:rsidRPr="00D66AA8">
        <w:t xml:space="preserve">ewards </w:t>
      </w:r>
      <w:r>
        <w:t xml:space="preserve"> </w:t>
      </w:r>
    </w:p>
    <w:p w14:paraId="64CEFE60" w14:textId="0A986B55" w:rsidR="00266CE0" w:rsidRDefault="00266CE0" w:rsidP="00486652">
      <w:pPr>
        <w:pStyle w:val="Bullet"/>
        <w:ind w:left="397" w:hanging="397"/>
        <w:rPr>
          <w:rFonts w:eastAsiaTheme="majorEastAsia"/>
        </w:rPr>
      </w:pPr>
      <w:r>
        <w:rPr>
          <w:rFonts w:eastAsiaTheme="majorEastAsia"/>
        </w:rPr>
        <w:t>The following is an outline of potential mechanisms to give effect to the payment of rewards to Relevant Employees.</w:t>
      </w:r>
    </w:p>
    <w:p w14:paraId="623EDC4C" w14:textId="022BBA01" w:rsidR="00553E11" w:rsidRPr="0069697C" w:rsidRDefault="00A376FE" w:rsidP="0096372B">
      <w:pPr>
        <w:pStyle w:val="Heading4"/>
      </w:pPr>
      <w:r>
        <w:t xml:space="preserve">Mechanism 1: </w:t>
      </w:r>
      <w:r w:rsidR="00553E11" w:rsidRPr="0069697C">
        <w:t xml:space="preserve">Act of Grace </w:t>
      </w:r>
      <w:r w:rsidR="00E11144" w:rsidRPr="0069697C">
        <w:t>Payment</w:t>
      </w:r>
      <w:r w:rsidR="00553E11" w:rsidRPr="0069697C">
        <w:t xml:space="preserve"> </w:t>
      </w:r>
    </w:p>
    <w:p w14:paraId="20962D1F" w14:textId="5D4B3645" w:rsidR="00553E11" w:rsidRPr="0089067C" w:rsidRDefault="00553E11" w:rsidP="00443B73">
      <w:pPr>
        <w:pStyle w:val="BodyText"/>
        <w:rPr>
          <w:color w:val="auto"/>
        </w:rPr>
      </w:pPr>
      <w:r w:rsidRPr="0089067C">
        <w:rPr>
          <w:color w:val="auto"/>
        </w:rPr>
        <w:t xml:space="preserve">Under this </w:t>
      </w:r>
      <w:r w:rsidR="004D0B5D">
        <w:rPr>
          <w:color w:val="auto"/>
        </w:rPr>
        <w:t>mechanism</w:t>
      </w:r>
      <w:r w:rsidRPr="0089067C">
        <w:rPr>
          <w:color w:val="auto"/>
        </w:rPr>
        <w:t>:</w:t>
      </w:r>
    </w:p>
    <w:p w14:paraId="16DC0DA2" w14:textId="644A64E1" w:rsidR="344E78E2" w:rsidRDefault="344E78E2" w:rsidP="00443B73">
      <w:pPr>
        <w:pStyle w:val="Bullet"/>
        <w:ind w:left="397" w:hanging="397"/>
      </w:pPr>
      <w:r>
        <w:t>Current Act of Grace payments provided for under section 80 of the FM Act and the FM Regulation</w:t>
      </w:r>
      <w:r w:rsidR="00B70470">
        <w:t>s</w:t>
      </w:r>
      <w:r>
        <w:t xml:space="preserve"> </w:t>
      </w:r>
      <w:r w:rsidR="003F4903">
        <w:t xml:space="preserve">are </w:t>
      </w:r>
      <w:r>
        <w:t xml:space="preserve">retained as </w:t>
      </w:r>
      <w:r w:rsidR="003F4903">
        <w:t xml:space="preserve">the </w:t>
      </w:r>
      <w:r>
        <w:t xml:space="preserve">financial reward mechanism for </w:t>
      </w:r>
      <w:r w:rsidR="004D0B5D">
        <w:t>Relevant</w:t>
      </w:r>
      <w:r>
        <w:t xml:space="preserve"> </w:t>
      </w:r>
      <w:r w:rsidR="004D0B5D">
        <w:t>Employees</w:t>
      </w:r>
      <w:r>
        <w:t>.</w:t>
      </w:r>
    </w:p>
    <w:p w14:paraId="0F9C43D0" w14:textId="2ADE7A0D" w:rsidR="00553E11" w:rsidRDefault="24701288" w:rsidP="00443B73">
      <w:pPr>
        <w:pStyle w:val="Bullet"/>
        <w:ind w:left="397" w:hanging="397"/>
      </w:pPr>
      <w:r>
        <w:lastRenderedPageBreak/>
        <w:t xml:space="preserve">Current eligibility criteria will continue to apply and agencies must comply </w:t>
      </w:r>
      <w:r w:rsidR="00553E11">
        <w:t xml:space="preserve">with </w:t>
      </w:r>
      <w:r w:rsidR="00670587">
        <w:t xml:space="preserve">Western Australian </w:t>
      </w:r>
      <w:r w:rsidR="00553E11" w:rsidRPr="1D2F3123">
        <w:rPr>
          <w:i/>
          <w:iCs/>
        </w:rPr>
        <w:t>Treasurer’s Instruction 319</w:t>
      </w:r>
      <w:r w:rsidR="00553E11">
        <w:t xml:space="preserve"> for the payment of Act of Grace payments</w:t>
      </w:r>
      <w:r w:rsidR="5D8FE1AC">
        <w:t>, as follows:</w:t>
      </w:r>
    </w:p>
    <w:p w14:paraId="7C1339B4" w14:textId="5E0171B4" w:rsidR="00EB36AC" w:rsidRPr="00EB36AC" w:rsidRDefault="00EB36AC" w:rsidP="00443B73">
      <w:pPr>
        <w:pStyle w:val="ListParagraph"/>
        <w:ind w:left="794" w:hanging="397"/>
      </w:pPr>
      <w:r>
        <w:t>When recommending that the Treasurer or a Minister authorise an act of grace payment, an agency must provide adequate justification in writing as to why it is ap</w:t>
      </w:r>
      <w:r w:rsidR="00486652">
        <w:t>propriate to make the payment;</w:t>
      </w:r>
    </w:p>
    <w:p w14:paraId="0899B6D7" w14:textId="14771FF9" w:rsidR="00EB36AC" w:rsidRPr="00EB36AC" w:rsidRDefault="00EB36AC" w:rsidP="00443B73">
      <w:pPr>
        <w:pStyle w:val="ListParagraph"/>
        <w:ind w:left="794" w:hanging="397"/>
      </w:pPr>
      <w:r>
        <w:t>An agency shall maintain a register of all act</w:t>
      </w:r>
      <w:r w:rsidR="00486652">
        <w:t xml:space="preserve"> of grace payments made by it; and</w:t>
      </w:r>
    </w:p>
    <w:p w14:paraId="016B5947" w14:textId="72373AA6" w:rsidR="00EB36AC" w:rsidRDefault="00EB36AC" w:rsidP="00443B73">
      <w:pPr>
        <w:pStyle w:val="ListParagraph"/>
        <w:ind w:left="794" w:hanging="397"/>
      </w:pPr>
      <w:r>
        <w:t xml:space="preserve">An agency shall disclose all act of grace payments made by it during a reporting period in the annual report of the agency.    </w:t>
      </w:r>
    </w:p>
    <w:p w14:paraId="6E9DABC4" w14:textId="47CF45CE" w:rsidR="00E003B2" w:rsidRPr="00E003B2" w:rsidRDefault="003067B9" w:rsidP="00443B73">
      <w:pPr>
        <w:pStyle w:val="Bullet"/>
        <w:ind w:left="397" w:hanging="397"/>
        <w:rPr>
          <w:rFonts w:eastAsiaTheme="majorEastAsia" w:cstheme="majorBidi"/>
        </w:rPr>
      </w:pPr>
      <w:r>
        <w:t xml:space="preserve">This mechanism is subject to further consideration but may </w:t>
      </w:r>
      <w:r w:rsidR="24701288">
        <w:t xml:space="preserve">provide for increased flexibility given the removal of the </w:t>
      </w:r>
      <w:r w:rsidR="344E78E2">
        <w:t>$250,000 cap on financial rewards and requirement for the Treasurer’s approval only.</w:t>
      </w:r>
    </w:p>
    <w:p w14:paraId="1A42A3AB" w14:textId="2F58ADF3" w:rsidR="00553E11" w:rsidRPr="00E003B2" w:rsidRDefault="00553E11" w:rsidP="00443B73">
      <w:pPr>
        <w:pStyle w:val="Bullet"/>
        <w:ind w:left="397" w:hanging="397"/>
        <w:rPr>
          <w:rFonts w:eastAsiaTheme="majorEastAsia" w:cstheme="majorBidi"/>
        </w:rPr>
      </w:pPr>
      <w:r>
        <w:t xml:space="preserve">Potentially, the existing Act of Grace payment provisions may provide the flexibility to support a variety of payment methods for employee rewards.  </w:t>
      </w:r>
    </w:p>
    <w:p w14:paraId="098D96E4" w14:textId="04A97B4D" w:rsidR="00553E11" w:rsidRPr="0069697C" w:rsidRDefault="00D71523" w:rsidP="0096372B">
      <w:pPr>
        <w:pStyle w:val="Heading4"/>
      </w:pPr>
      <w:r>
        <w:t xml:space="preserve">Mechanism 2: </w:t>
      </w:r>
      <w:r w:rsidR="00E003B2">
        <w:t>G</w:t>
      </w:r>
      <w:r>
        <w:t>reater</w:t>
      </w:r>
      <w:r w:rsidR="00553E11" w:rsidRPr="0069697C">
        <w:t xml:space="preserve"> agency discretion and flexibility</w:t>
      </w:r>
      <w:r w:rsidR="00DE25E2" w:rsidRPr="0069697C" w:rsidDel="00DE25E2">
        <w:t xml:space="preserve"> </w:t>
      </w:r>
    </w:p>
    <w:p w14:paraId="17E24C0C" w14:textId="1BF11949" w:rsidR="00553E11" w:rsidRPr="0089067C" w:rsidRDefault="00553E11" w:rsidP="00443B73">
      <w:pPr>
        <w:spacing w:after="200"/>
        <w:jc w:val="both"/>
        <w:textAlignment w:val="auto"/>
      </w:pPr>
      <w:r w:rsidRPr="0089067C">
        <w:t xml:space="preserve">Under this </w:t>
      </w:r>
      <w:r w:rsidR="00E003B2">
        <w:t>mechanism</w:t>
      </w:r>
      <w:r w:rsidRPr="0089067C">
        <w:t>:</w:t>
      </w:r>
    </w:p>
    <w:p w14:paraId="386C49FA" w14:textId="73EDFE21" w:rsidR="344E78E2" w:rsidRPr="00486652" w:rsidRDefault="00E003B2" w:rsidP="00443B73">
      <w:pPr>
        <w:pStyle w:val="Bullet"/>
        <w:ind w:left="397" w:hanging="397"/>
        <w:rPr>
          <w:bCs/>
        </w:rPr>
      </w:pPr>
      <w:r w:rsidRPr="00486652">
        <w:t>K</w:t>
      </w:r>
      <w:r w:rsidR="689768BF" w:rsidRPr="00486652">
        <w:t xml:space="preserve">ey elements from other inter-jurisdictional models, primarily Queensland </w:t>
      </w:r>
      <w:r w:rsidR="575D5478" w:rsidRPr="00486652">
        <w:t xml:space="preserve">and </w:t>
      </w:r>
      <w:r w:rsidR="689768BF" w:rsidRPr="00486652">
        <w:t xml:space="preserve">South </w:t>
      </w:r>
      <w:r w:rsidR="16BC8AE2" w:rsidRPr="00486652">
        <w:t>Australia</w:t>
      </w:r>
      <w:r w:rsidR="00995075" w:rsidRPr="00486652">
        <w:t>,</w:t>
      </w:r>
      <w:r w:rsidR="00F85ED5" w:rsidRPr="00486652">
        <w:t xml:space="preserve"> would be adopted</w:t>
      </w:r>
      <w:r w:rsidR="16BC8AE2" w:rsidRPr="00486652">
        <w:t>.</w:t>
      </w:r>
    </w:p>
    <w:p w14:paraId="5B6E80AD" w14:textId="0C3B2935" w:rsidR="00266CE0" w:rsidRPr="00486652" w:rsidRDefault="00E003B2" w:rsidP="00443B73">
      <w:pPr>
        <w:pStyle w:val="Bullet"/>
        <w:ind w:left="397" w:hanging="397"/>
        <w:rPr>
          <w:bCs/>
        </w:rPr>
      </w:pPr>
      <w:r w:rsidRPr="00486652">
        <w:rPr>
          <w:rFonts w:ascii="Arial" w:hAnsi="Arial"/>
        </w:rPr>
        <w:t xml:space="preserve">Queensland and South Australia allow </w:t>
      </w:r>
      <w:r w:rsidR="68E1D4E7" w:rsidRPr="00486652">
        <w:rPr>
          <w:rFonts w:ascii="Arial" w:hAnsi="Arial"/>
        </w:rPr>
        <w:t xml:space="preserve">for the payment of monetary rewards at the discretion of the relevant agency Chief Executive provided certain conditions are met. </w:t>
      </w:r>
    </w:p>
    <w:p w14:paraId="1F36D9D8" w14:textId="6F262D5B" w:rsidR="00553E11" w:rsidRPr="00486652" w:rsidRDefault="689768BF" w:rsidP="00443B73">
      <w:pPr>
        <w:pStyle w:val="Bullet"/>
        <w:ind w:left="397" w:hanging="397"/>
        <w:rPr>
          <w:bCs/>
        </w:rPr>
      </w:pPr>
      <w:r w:rsidRPr="00486652">
        <w:t>As an example, prescribed conditions for the payment of employee rewards could include the following:</w:t>
      </w:r>
      <w:r w:rsidR="6C2BAC9F" w:rsidRPr="00486652">
        <w:t xml:space="preserve"> </w:t>
      </w:r>
    </w:p>
    <w:p w14:paraId="164FFD20" w14:textId="463C8965" w:rsidR="00553E11" w:rsidRPr="00486652" w:rsidRDefault="00553E11" w:rsidP="00443B73">
      <w:pPr>
        <w:pStyle w:val="ListParagraph"/>
        <w:ind w:left="794" w:hanging="397"/>
      </w:pPr>
      <w:r w:rsidRPr="00486652">
        <w:t>Appropriate expert input is obtained</w:t>
      </w:r>
      <w:r w:rsidR="00486652" w:rsidRPr="00486652">
        <w:t>;</w:t>
      </w:r>
    </w:p>
    <w:p w14:paraId="15AE7D4F" w14:textId="2310F6D3" w:rsidR="00553E11" w:rsidRPr="00486652" w:rsidRDefault="00553E11" w:rsidP="00443B73">
      <w:pPr>
        <w:pStyle w:val="ListParagraph"/>
        <w:ind w:left="794" w:hanging="397"/>
      </w:pPr>
      <w:r w:rsidRPr="00486652">
        <w:t xml:space="preserve">Rewards do not exceed one third of any </w:t>
      </w:r>
      <w:r w:rsidR="00E003B2" w:rsidRPr="00486652">
        <w:t xml:space="preserve">net </w:t>
      </w:r>
      <w:r w:rsidRPr="00486652">
        <w:t>financial returns</w:t>
      </w:r>
      <w:r w:rsidR="00486652" w:rsidRPr="00486652">
        <w:t>;</w:t>
      </w:r>
    </w:p>
    <w:p w14:paraId="6209FA84" w14:textId="48462288" w:rsidR="00553E11" w:rsidRPr="00486652" w:rsidRDefault="00E003B2" w:rsidP="00443B73">
      <w:pPr>
        <w:pStyle w:val="ListParagraph"/>
        <w:ind w:left="794" w:hanging="397"/>
      </w:pPr>
      <w:r w:rsidRPr="00486652">
        <w:t xml:space="preserve">Net revenue </w:t>
      </w:r>
      <w:r w:rsidR="00553E11" w:rsidRPr="00486652">
        <w:t>is received by the agency from the commercialisation of the IP</w:t>
      </w:r>
      <w:r w:rsidR="00486652" w:rsidRPr="00486652">
        <w:t>; and</w:t>
      </w:r>
    </w:p>
    <w:p w14:paraId="24A2FFBE" w14:textId="2C09AD52" w:rsidR="00553E11" w:rsidRPr="00486652" w:rsidRDefault="6C2BAC9F" w:rsidP="00443B73">
      <w:pPr>
        <w:pStyle w:val="ListParagraph"/>
        <w:ind w:left="794" w:hanging="397"/>
        <w:rPr>
          <w:bCs/>
        </w:rPr>
      </w:pPr>
      <w:r w:rsidRPr="00486652">
        <w:t xml:space="preserve">Rewards must comply with financial thresholds and approval processes similar to South Australia’s </w:t>
      </w:r>
      <w:r w:rsidRPr="00486652">
        <w:rPr>
          <w:i/>
          <w:iCs/>
        </w:rPr>
        <w:t>Treasurer’s Instruction 8 – Financial Authorisations</w:t>
      </w:r>
      <w:r w:rsidRPr="00486652">
        <w:t>.</w:t>
      </w:r>
    </w:p>
    <w:p w14:paraId="283FEA04" w14:textId="467D8873" w:rsidR="68E1D4E7" w:rsidRPr="00AD731C" w:rsidRDefault="68E1D4E7" w:rsidP="00443B73">
      <w:pPr>
        <w:pStyle w:val="Bullet"/>
        <w:ind w:left="397" w:hanging="397"/>
        <w:rPr>
          <w:rFonts w:ascii="Arial" w:eastAsiaTheme="minorEastAsia" w:hAnsi="Arial"/>
        </w:rPr>
      </w:pPr>
      <w:r w:rsidRPr="1D2F3123">
        <w:rPr>
          <w:rFonts w:ascii="Arial" w:hAnsi="Arial"/>
        </w:rPr>
        <w:t xml:space="preserve">As an example of a potential model, both the </w:t>
      </w:r>
      <w:r w:rsidR="003067B9" w:rsidRPr="1D2F3123">
        <w:rPr>
          <w:rFonts w:ascii="Arial" w:hAnsi="Arial"/>
        </w:rPr>
        <w:t xml:space="preserve">Queensland </w:t>
      </w:r>
      <w:r w:rsidRPr="1D2F3123">
        <w:rPr>
          <w:rFonts w:ascii="Arial" w:hAnsi="Arial"/>
        </w:rPr>
        <w:t>and the S</w:t>
      </w:r>
      <w:r w:rsidR="003067B9" w:rsidRPr="1D2F3123">
        <w:rPr>
          <w:rFonts w:ascii="Arial" w:hAnsi="Arial"/>
        </w:rPr>
        <w:t xml:space="preserve">outh </w:t>
      </w:r>
      <w:r w:rsidRPr="1D2F3123">
        <w:rPr>
          <w:rFonts w:ascii="Arial" w:hAnsi="Arial"/>
        </w:rPr>
        <w:t>A</w:t>
      </w:r>
      <w:r w:rsidR="003067B9" w:rsidRPr="1D2F3123">
        <w:rPr>
          <w:rFonts w:ascii="Arial" w:hAnsi="Arial"/>
        </w:rPr>
        <w:t>ustralian</w:t>
      </w:r>
      <w:r w:rsidRPr="1D2F3123">
        <w:rPr>
          <w:rFonts w:ascii="Arial" w:hAnsi="Arial"/>
        </w:rPr>
        <w:t xml:space="preserve"> rewards model</w:t>
      </w:r>
      <w:r w:rsidR="00F85ED5" w:rsidRPr="1D2F3123">
        <w:rPr>
          <w:rFonts w:ascii="Arial" w:hAnsi="Arial"/>
        </w:rPr>
        <w:t>s</w:t>
      </w:r>
      <w:r w:rsidRPr="1D2F3123">
        <w:rPr>
          <w:rFonts w:ascii="Arial" w:hAnsi="Arial"/>
        </w:rPr>
        <w:t xml:space="preserve"> are mapped below</w:t>
      </w:r>
      <w:r w:rsidR="00AD731C" w:rsidRPr="1D2F3123">
        <w:rPr>
          <w:rFonts w:ascii="Arial" w:hAnsi="Arial"/>
        </w:rPr>
        <w:t>:</w:t>
      </w:r>
      <w:r w:rsidR="000721E3" w:rsidRPr="1D2F3123">
        <w:rPr>
          <w:rFonts w:ascii="Arial" w:hAnsi="Arial"/>
        </w:rPr>
        <w:t xml:space="preserve"> </w:t>
      </w:r>
    </w:p>
    <w:p w14:paraId="50578A3D" w14:textId="77777777" w:rsidR="005F0926" w:rsidRDefault="00E218A0" w:rsidP="00E218A0">
      <w:pPr>
        <w:pStyle w:val="Caption"/>
        <w:keepNext/>
        <w:jc w:val="both"/>
      </w:pPr>
      <w:r>
        <w:lastRenderedPageBreak/>
        <w:t>Figure 3: Overview of Queensland employee rewards model</w:t>
      </w:r>
    </w:p>
    <w:p w14:paraId="56EBA1CB" w14:textId="56522A0E" w:rsidR="00E218A0" w:rsidRDefault="0070427C" w:rsidP="00E218A0">
      <w:pPr>
        <w:pStyle w:val="Caption"/>
        <w:keepNext/>
        <w:jc w:val="both"/>
      </w:pPr>
      <w:r w:rsidRPr="0070427C">
        <w:rPr>
          <w:noProof/>
        </w:rPr>
        <w:drawing>
          <wp:inline distT="0" distB="0" distL="0" distR="0" wp14:anchorId="170AED7F" wp14:editId="5736C60E">
            <wp:extent cx="6480000" cy="4425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000" cy="4425885"/>
                    </a:xfrm>
                    <a:prstGeom prst="rect">
                      <a:avLst/>
                    </a:prstGeom>
                    <a:noFill/>
                    <a:ln>
                      <a:noFill/>
                    </a:ln>
                  </pic:spPr>
                </pic:pic>
              </a:graphicData>
            </a:graphic>
          </wp:inline>
        </w:drawing>
      </w:r>
    </w:p>
    <w:p w14:paraId="007F557C" w14:textId="77777777" w:rsidR="00AD4E55" w:rsidRDefault="00AD4E55" w:rsidP="00AD0043">
      <w:pPr>
        <w:pStyle w:val="Caption"/>
        <w:keepNext/>
        <w:jc w:val="both"/>
      </w:pPr>
    </w:p>
    <w:p w14:paraId="1328A10C" w14:textId="27DDBBEE" w:rsidR="00784F4C" w:rsidRDefault="00784F4C" w:rsidP="00AD0043">
      <w:pPr>
        <w:pStyle w:val="Caption"/>
        <w:keepNext/>
        <w:jc w:val="both"/>
      </w:pPr>
      <w:r>
        <w:t xml:space="preserve">Figure </w:t>
      </w:r>
      <w:r w:rsidR="00E218A0">
        <w:t>4</w:t>
      </w:r>
      <w:r>
        <w:t xml:space="preserve">: Overview of South Australian employee rewards </w:t>
      </w:r>
      <w:r w:rsidR="00AA7036">
        <w:t>model</w:t>
      </w:r>
    </w:p>
    <w:p w14:paraId="78F91F81" w14:textId="1CF448D8" w:rsidR="00663FA2" w:rsidRPr="00663FA2" w:rsidRDefault="0070427C" w:rsidP="00663FA2">
      <w:r w:rsidRPr="0070427C">
        <w:rPr>
          <w:noProof/>
        </w:rPr>
        <w:drawing>
          <wp:inline distT="0" distB="0" distL="0" distR="0" wp14:anchorId="41BDEF06" wp14:editId="477FF363">
            <wp:extent cx="6480000" cy="32239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000" cy="3223961"/>
                    </a:xfrm>
                    <a:prstGeom prst="rect">
                      <a:avLst/>
                    </a:prstGeom>
                    <a:noFill/>
                    <a:ln>
                      <a:noFill/>
                    </a:ln>
                  </pic:spPr>
                </pic:pic>
              </a:graphicData>
            </a:graphic>
          </wp:inline>
        </w:drawing>
      </w:r>
    </w:p>
    <w:p w14:paraId="4BD76064" w14:textId="61A88EC3" w:rsidR="005F0C2D" w:rsidRDefault="003325E8" w:rsidP="0096372B">
      <w:pPr>
        <w:pStyle w:val="Heading4"/>
      </w:pPr>
      <w:r>
        <w:lastRenderedPageBreak/>
        <w:t xml:space="preserve">Mechanism 3: </w:t>
      </w:r>
      <w:r w:rsidR="005F0C2D">
        <w:t xml:space="preserve">Benefit Sharing of IP Commercialisation Revenue </w:t>
      </w:r>
    </w:p>
    <w:p w14:paraId="426B5ECE" w14:textId="77777777" w:rsidR="00EF2AC8" w:rsidRPr="003E2E15" w:rsidRDefault="00EF2AC8" w:rsidP="00EF2AC8">
      <w:pPr>
        <w:pStyle w:val="BodyText"/>
        <w:rPr>
          <w:rFonts w:eastAsiaTheme="majorEastAsia"/>
        </w:rPr>
      </w:pPr>
      <w:r>
        <w:rPr>
          <w:rFonts w:eastAsiaTheme="majorEastAsia"/>
        </w:rPr>
        <w:t xml:space="preserve">The following mechanism may enable the sharing of net revenue from the </w:t>
      </w:r>
      <w:r w:rsidRPr="008462D1">
        <w:rPr>
          <w:rFonts w:eastAsiaTheme="majorEastAsia"/>
        </w:rPr>
        <w:t xml:space="preserve">commercialisation of IP </w:t>
      </w:r>
      <w:r w:rsidRPr="003E2E15">
        <w:rPr>
          <w:rFonts w:eastAsiaTheme="majorEastAsia"/>
        </w:rPr>
        <w:t>between parties:</w:t>
      </w:r>
    </w:p>
    <w:p w14:paraId="2C20D5C3" w14:textId="6F578F8B" w:rsidR="00EF2AC8" w:rsidRPr="003E2E15" w:rsidRDefault="00EF2AC8" w:rsidP="00486652">
      <w:pPr>
        <w:pStyle w:val="Bullet"/>
        <w:ind w:left="397" w:hanging="397"/>
      </w:pPr>
      <w:r w:rsidRPr="003E2E15">
        <w:t xml:space="preserve">The revenue from the </w:t>
      </w:r>
      <w:r w:rsidR="003067B9">
        <w:t xml:space="preserve">IP </w:t>
      </w:r>
      <w:r w:rsidRPr="003E2E15">
        <w:t>commercialisation may</w:t>
      </w:r>
      <w:r w:rsidR="001F3AF1">
        <w:t xml:space="preserve"> </w:t>
      </w:r>
      <w:r w:rsidRPr="003E2E15">
        <w:t xml:space="preserve">be retained by an agency under their enabling legislation or authorisations under the </w:t>
      </w:r>
      <w:r w:rsidRPr="003E2E15">
        <w:rPr>
          <w:i/>
          <w:iCs/>
        </w:rPr>
        <w:t>State Trading Concerns Act 1916</w:t>
      </w:r>
      <w:r w:rsidRPr="003E2E15">
        <w:t xml:space="preserve"> </w:t>
      </w:r>
      <w:r w:rsidR="006C234A">
        <w:t xml:space="preserve">(WA) </w:t>
      </w:r>
      <w:r w:rsidRPr="003E2E15">
        <w:t xml:space="preserve">and the FM Act. </w:t>
      </w:r>
    </w:p>
    <w:p w14:paraId="6509979B" w14:textId="166F290A" w:rsidR="003E2E15" w:rsidRDefault="00EF2AC8" w:rsidP="00486652">
      <w:pPr>
        <w:pStyle w:val="Bullet"/>
        <w:ind w:left="397" w:hanging="397"/>
      </w:pPr>
      <w:r w:rsidRPr="003E2E15">
        <w:t xml:space="preserve">An agency may allocate the commercialisation revenue to the agreed parties, including the Relevant Employees and/or business unit using the annual budget resource agreement process under the FM Act. </w:t>
      </w:r>
    </w:p>
    <w:p w14:paraId="307B4690" w14:textId="212A0B8B" w:rsidR="005F0C2D" w:rsidRPr="00C569D3" w:rsidRDefault="00EF2AC8" w:rsidP="00486652">
      <w:pPr>
        <w:pStyle w:val="Bullet"/>
        <w:ind w:left="397" w:hanging="397"/>
      </w:pPr>
      <w:r>
        <w:t>The proposed resource agreement requires endorsement by the agency’s portfolio Minister and agreement of the Treasurer.</w:t>
      </w:r>
      <w:r w:rsidR="005F0C2D" w:rsidRPr="1D2F3123">
        <w:rPr>
          <w:highlight w:val="yellow"/>
        </w:rPr>
        <w:t xml:space="preserve"> </w:t>
      </w:r>
    </w:p>
    <w:p w14:paraId="13EEB1C5" w14:textId="77777777" w:rsidR="00553E11" w:rsidRPr="00603F9D" w:rsidRDefault="00553E11" w:rsidP="00E275B9">
      <w:pPr>
        <w:pStyle w:val="paragraph"/>
        <w:pBdr>
          <w:top w:val="single" w:sz="4" w:space="1" w:color="auto"/>
          <w:left w:val="single" w:sz="4" w:space="4" w:color="auto"/>
          <w:bottom w:val="single" w:sz="4" w:space="1" w:color="auto"/>
          <w:right w:val="single" w:sz="4" w:space="4" w:color="auto"/>
        </w:pBdr>
        <w:shd w:val="clear" w:color="auto" w:fill="EDD9EC"/>
        <w:spacing w:before="0" w:beforeAutospacing="0" w:after="200" w:afterAutospacing="0" w:line="276" w:lineRule="auto"/>
        <w:jc w:val="both"/>
        <w:rPr>
          <w:rStyle w:val="eop"/>
          <w:rFonts w:ascii="Arial" w:hAnsi="Arial" w:cs="Arial"/>
          <w:i/>
          <w:color w:val="272727"/>
        </w:rPr>
      </w:pPr>
      <w:r w:rsidRPr="00603F9D">
        <w:rPr>
          <w:rStyle w:val="normaltextrun"/>
          <w:rFonts w:ascii="Arial" w:hAnsi="Arial" w:cs="Arial"/>
          <w:b/>
          <w:bCs/>
          <w:i/>
          <w:color w:val="272727"/>
        </w:rPr>
        <w:t>Discussion questions</w:t>
      </w:r>
      <w:r w:rsidRPr="00603F9D">
        <w:rPr>
          <w:rStyle w:val="eop"/>
          <w:rFonts w:ascii="Arial" w:hAnsi="Arial" w:cs="Arial"/>
          <w:i/>
          <w:color w:val="272727"/>
        </w:rPr>
        <w:t> </w:t>
      </w:r>
    </w:p>
    <w:p w14:paraId="47268AD6" w14:textId="4798813B" w:rsidR="00553E11" w:rsidRDefault="00553E11"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Pr>
          <w:rStyle w:val="eop"/>
          <w:rFonts w:ascii="Arial" w:hAnsi="Arial" w:cs="Arial"/>
          <w:color w:val="272727"/>
        </w:rPr>
        <w:t xml:space="preserve">Are there any concerns with retaining the current Act of Grace payment mechanism to provide for the financial reward of </w:t>
      </w:r>
      <w:r w:rsidR="00755AAE">
        <w:rPr>
          <w:rStyle w:val="eop"/>
          <w:rFonts w:ascii="Arial" w:hAnsi="Arial" w:cs="Arial"/>
          <w:color w:val="272727"/>
        </w:rPr>
        <w:t>Relevant Employees</w:t>
      </w:r>
      <w:r>
        <w:rPr>
          <w:rStyle w:val="eop"/>
          <w:rFonts w:ascii="Arial" w:hAnsi="Arial" w:cs="Arial"/>
          <w:color w:val="272727"/>
        </w:rPr>
        <w:t xml:space="preserve">? </w:t>
      </w:r>
    </w:p>
    <w:p w14:paraId="6ED96383" w14:textId="050E9994" w:rsidR="00553E11" w:rsidRDefault="00553E11"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Pr>
          <w:rStyle w:val="eop"/>
          <w:rFonts w:ascii="Arial" w:hAnsi="Arial" w:cs="Arial"/>
          <w:color w:val="272727"/>
        </w:rPr>
        <w:t xml:space="preserve">What other reward </w:t>
      </w:r>
      <w:r w:rsidR="005F0C2D">
        <w:rPr>
          <w:rStyle w:val="eop"/>
          <w:rFonts w:ascii="Arial" w:hAnsi="Arial" w:cs="Arial"/>
          <w:color w:val="272727"/>
        </w:rPr>
        <w:t xml:space="preserve">mechanisms </w:t>
      </w:r>
      <w:r>
        <w:rPr>
          <w:rStyle w:val="eop"/>
          <w:rFonts w:ascii="Arial" w:hAnsi="Arial" w:cs="Arial"/>
          <w:color w:val="272727"/>
        </w:rPr>
        <w:t>would be suitable to the IP environment, for instance, greater flexibility of agencies to have greater discretion or control over the payment of rewards?</w:t>
      </w:r>
    </w:p>
    <w:p w14:paraId="2DCC024C" w14:textId="07EC0D47" w:rsidR="00553E11" w:rsidRDefault="00553E11"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Pr>
          <w:rStyle w:val="eop"/>
          <w:rFonts w:ascii="Arial" w:hAnsi="Arial" w:cs="Arial"/>
          <w:color w:val="272727"/>
        </w:rPr>
        <w:t xml:space="preserve">What other </w:t>
      </w:r>
      <w:r w:rsidR="00286783">
        <w:rPr>
          <w:rStyle w:val="eop"/>
          <w:rFonts w:ascii="Arial" w:hAnsi="Arial" w:cs="Arial"/>
          <w:color w:val="272727"/>
        </w:rPr>
        <w:t xml:space="preserve">rewards </w:t>
      </w:r>
      <w:r>
        <w:rPr>
          <w:rStyle w:val="eop"/>
          <w:rFonts w:ascii="Arial" w:hAnsi="Arial" w:cs="Arial"/>
          <w:color w:val="272727"/>
        </w:rPr>
        <w:t xml:space="preserve">mechanisms could be put in place to encourage </w:t>
      </w:r>
      <w:r w:rsidR="005F0C2D">
        <w:rPr>
          <w:rStyle w:val="eop"/>
          <w:rFonts w:ascii="Arial" w:hAnsi="Arial" w:cs="Arial"/>
          <w:color w:val="272727"/>
        </w:rPr>
        <w:t>invention/</w:t>
      </w:r>
      <w:r>
        <w:rPr>
          <w:rStyle w:val="eop"/>
          <w:rFonts w:ascii="Arial" w:hAnsi="Arial" w:cs="Arial"/>
          <w:color w:val="272727"/>
        </w:rPr>
        <w:t>innovation across the public sector and attract and retain talent?</w:t>
      </w:r>
    </w:p>
    <w:p w14:paraId="277D78EF" w14:textId="38C4133F" w:rsidR="00BA1037" w:rsidRPr="00BA1037" w:rsidRDefault="005F0C2D" w:rsidP="005D081D">
      <w:pPr>
        <w:pStyle w:val="Heading2"/>
        <w:spacing w:after="0" w:afterAutospacing="0"/>
        <w:jc w:val="both"/>
      </w:pPr>
      <w:bookmarkStart w:id="203" w:name="_Toc104976294"/>
      <w:bookmarkStart w:id="204" w:name="_Toc104976295"/>
      <w:bookmarkStart w:id="205" w:name="_Toc104976296"/>
      <w:bookmarkStart w:id="206" w:name="_Toc104976297"/>
      <w:bookmarkStart w:id="207" w:name="_Scope_and_application"/>
      <w:bookmarkStart w:id="208" w:name="_Toc104976298"/>
      <w:bookmarkStart w:id="209" w:name="_Toc114829904"/>
      <w:bookmarkEnd w:id="203"/>
      <w:bookmarkEnd w:id="204"/>
      <w:bookmarkEnd w:id="205"/>
      <w:bookmarkEnd w:id="206"/>
      <w:bookmarkEnd w:id="207"/>
      <w:r>
        <w:t xml:space="preserve">Scope and application of the </w:t>
      </w:r>
      <w:r w:rsidR="008E5BB9">
        <w:t xml:space="preserve">WA Government </w:t>
      </w:r>
      <w:r>
        <w:t>IP Policy</w:t>
      </w:r>
      <w:bookmarkEnd w:id="208"/>
      <w:bookmarkEnd w:id="209"/>
      <w:r>
        <w:t xml:space="preserve"> </w:t>
      </w:r>
    </w:p>
    <w:p w14:paraId="4174E9F1" w14:textId="3891E160" w:rsidR="000C2DEC" w:rsidRPr="008C1088" w:rsidRDefault="000C2DEC" w:rsidP="00486652">
      <w:pPr>
        <w:pStyle w:val="Bullet"/>
        <w:ind w:left="397" w:hanging="397"/>
      </w:pPr>
      <w:r>
        <w:t xml:space="preserve">It is recommended that the scope and application of the </w:t>
      </w:r>
      <w:r w:rsidR="00616A4B">
        <w:t xml:space="preserve">updated </w:t>
      </w:r>
      <w:r w:rsidR="009A07F4">
        <w:t>WA Government IP Policy</w:t>
      </w:r>
      <w:r>
        <w:t xml:space="preserve"> remain consistent with the current approach, as follows:</w:t>
      </w:r>
    </w:p>
    <w:p w14:paraId="3D3F9EF0" w14:textId="77F99CA0" w:rsidR="000C2DEC" w:rsidRPr="00944359" w:rsidRDefault="000C2DEC" w:rsidP="00486652">
      <w:pPr>
        <w:pStyle w:val="ListParagraph"/>
        <w:ind w:left="794" w:hanging="397"/>
        <w:rPr>
          <w:b/>
          <w:bCs/>
        </w:rPr>
      </w:pPr>
      <w:r>
        <w:t xml:space="preserve">Applies to agencies captured under the definition of the public sector </w:t>
      </w:r>
      <w:r w:rsidR="00532741">
        <w:t xml:space="preserve">under </w:t>
      </w:r>
      <w:r>
        <w:t>the</w:t>
      </w:r>
      <w:r w:rsidR="00486652">
        <w:br w:type="textWrapping" w:clear="all"/>
      </w:r>
      <w:r>
        <w:t xml:space="preserve">PSM Act, except for those entities listed under Schedule 1 of the PSM Act (including the Water </w:t>
      </w:r>
      <w:r w:rsidR="00995075">
        <w:t>Corporation).</w:t>
      </w:r>
      <w:r w:rsidR="00DF2DA0">
        <w:rPr>
          <w:rStyle w:val="FootnoteReference"/>
        </w:rPr>
        <w:footnoteReference w:id="30"/>
      </w:r>
      <w:r w:rsidR="00995075">
        <w:t xml:space="preserve"> </w:t>
      </w:r>
    </w:p>
    <w:p w14:paraId="4CC1359A" w14:textId="704499E4" w:rsidR="000C2DEC" w:rsidRPr="00BE3D72" w:rsidRDefault="000C2DEC" w:rsidP="00486652">
      <w:pPr>
        <w:pStyle w:val="ListParagraph"/>
        <w:ind w:left="794" w:hanging="397"/>
      </w:pPr>
      <w:r>
        <w:t>Applies to</w:t>
      </w:r>
      <w:r w:rsidRPr="1D2F3123">
        <w:rPr>
          <w:b/>
          <w:bCs/>
        </w:rPr>
        <w:t xml:space="preserve"> </w:t>
      </w:r>
      <w:r>
        <w:t xml:space="preserve">activities utilising </w:t>
      </w:r>
      <w:r w:rsidR="00995075">
        <w:t xml:space="preserve">WA </w:t>
      </w:r>
      <w:r>
        <w:t xml:space="preserve">Government resources undertaken by </w:t>
      </w:r>
      <w:r w:rsidR="00995075">
        <w:t>the WA G</w:t>
      </w:r>
      <w:r>
        <w:t xml:space="preserve">overnment, recipients of </w:t>
      </w:r>
      <w:r w:rsidR="00995075">
        <w:t>WA G</w:t>
      </w:r>
      <w:r>
        <w:t>overnment grants</w:t>
      </w:r>
      <w:r w:rsidR="005F0C2D">
        <w:t xml:space="preserve"> and</w:t>
      </w:r>
      <w:r>
        <w:t xml:space="preserve">, collaborations under </w:t>
      </w:r>
      <w:r w:rsidR="00995075">
        <w:t xml:space="preserve">the </w:t>
      </w:r>
      <w:r>
        <w:t>contract (unless otherwise specified in contract).</w:t>
      </w:r>
    </w:p>
    <w:p w14:paraId="66C89D24" w14:textId="73D8AA7F" w:rsidR="00C44CCA" w:rsidRDefault="000C2DEC" w:rsidP="00486652">
      <w:pPr>
        <w:pStyle w:val="Bullet"/>
        <w:ind w:left="397" w:hanging="397"/>
      </w:pPr>
      <w:r>
        <w:t xml:space="preserve">In addition, it is proposed that the </w:t>
      </w:r>
      <w:r w:rsidR="00616A4B">
        <w:t xml:space="preserve">updated </w:t>
      </w:r>
      <w:r w:rsidR="009A07F4">
        <w:t>WA Government IP Policy</w:t>
      </w:r>
      <w:r>
        <w:t xml:space="preserve"> specifically encourage</w:t>
      </w:r>
      <w:r w:rsidR="005F0C2D">
        <w:t>s</w:t>
      </w:r>
      <w:r>
        <w:t xml:space="preserve"> government entities not captured by the PSM Act to consider the</w:t>
      </w:r>
      <w:r w:rsidR="00486652">
        <w:br w:type="textWrapping" w:clear="all"/>
      </w:r>
      <w:r w:rsidR="009A07F4">
        <w:t>WA Government IP Policy</w:t>
      </w:r>
      <w:r>
        <w:t xml:space="preserve"> in their use, development and management of IP. </w:t>
      </w:r>
    </w:p>
    <w:p w14:paraId="3FC8133A" w14:textId="77777777" w:rsidR="00C44CCA" w:rsidRPr="00603F9D" w:rsidRDefault="00C44CCA" w:rsidP="00E275B9">
      <w:pPr>
        <w:pStyle w:val="paragraph"/>
        <w:pBdr>
          <w:top w:val="single" w:sz="4" w:space="1" w:color="auto"/>
          <w:left w:val="single" w:sz="4" w:space="4" w:color="auto"/>
          <w:bottom w:val="single" w:sz="4" w:space="1" w:color="auto"/>
          <w:right w:val="single" w:sz="4" w:space="4" w:color="auto"/>
        </w:pBdr>
        <w:shd w:val="clear" w:color="auto" w:fill="EDD9EC"/>
        <w:spacing w:before="0" w:beforeAutospacing="0" w:after="200" w:afterAutospacing="0" w:line="276" w:lineRule="auto"/>
        <w:jc w:val="both"/>
        <w:rPr>
          <w:rStyle w:val="eop"/>
          <w:rFonts w:ascii="Arial" w:hAnsi="Arial" w:cs="Arial"/>
          <w:i/>
          <w:color w:val="272727"/>
        </w:rPr>
      </w:pPr>
      <w:r w:rsidRPr="00603F9D">
        <w:rPr>
          <w:rStyle w:val="normaltextrun"/>
          <w:rFonts w:ascii="Arial" w:hAnsi="Arial" w:cs="Arial"/>
          <w:b/>
          <w:bCs/>
          <w:i/>
          <w:color w:val="272727"/>
        </w:rPr>
        <w:lastRenderedPageBreak/>
        <w:t>Discussion questions</w:t>
      </w:r>
      <w:r w:rsidRPr="00603F9D">
        <w:rPr>
          <w:rStyle w:val="eop"/>
          <w:rFonts w:ascii="Arial" w:hAnsi="Arial" w:cs="Arial"/>
          <w:i/>
          <w:color w:val="272727"/>
        </w:rPr>
        <w:t> </w:t>
      </w:r>
    </w:p>
    <w:p w14:paraId="7996646B" w14:textId="77777777" w:rsidR="00C44CCA" w:rsidRDefault="00C44CCA"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Style w:val="eop"/>
          <w:rFonts w:ascii="Arial" w:hAnsi="Arial" w:cs="Arial"/>
          <w:color w:val="272727"/>
        </w:rPr>
      </w:pPr>
      <w:r>
        <w:rPr>
          <w:rStyle w:val="eop"/>
          <w:rFonts w:ascii="Arial" w:hAnsi="Arial" w:cs="Arial"/>
          <w:color w:val="272727"/>
        </w:rPr>
        <w:t>Does the proposed scope and application of the updated WA Government IP Policy pose any issues or concerns for stakeholders?</w:t>
      </w:r>
    </w:p>
    <w:p w14:paraId="19976099" w14:textId="77777777" w:rsidR="00C44CCA" w:rsidRPr="00B357D6" w:rsidRDefault="00C44CCA"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Fonts w:eastAsia="SimHei"/>
        </w:rPr>
      </w:pPr>
      <w:r>
        <w:rPr>
          <w:rStyle w:val="eop"/>
          <w:rFonts w:ascii="Arial" w:hAnsi="Arial" w:cs="Arial"/>
          <w:color w:val="272727"/>
        </w:rPr>
        <w:t>Are there any alternatives to the proposed scope and application of the updated WA Government IP Policy?</w:t>
      </w:r>
    </w:p>
    <w:p w14:paraId="3EEACC6B" w14:textId="1A618366" w:rsidR="00BA1037" w:rsidRPr="00BA1037" w:rsidRDefault="00BA1037" w:rsidP="00443B73">
      <w:pPr>
        <w:pStyle w:val="Heading1"/>
        <w:spacing w:before="240" w:after="120"/>
        <w:ind w:left="357" w:hanging="357"/>
        <w:jc w:val="both"/>
      </w:pPr>
      <w:bookmarkStart w:id="210" w:name="_Proposed_implementation_measures"/>
      <w:bookmarkStart w:id="211" w:name="_Toc97301111"/>
      <w:bookmarkStart w:id="212" w:name="_Toc97903449"/>
      <w:bookmarkStart w:id="213" w:name="_Toc101971649"/>
      <w:bookmarkStart w:id="214" w:name="_Toc104976299"/>
      <w:bookmarkStart w:id="215" w:name="_Toc114829905"/>
      <w:bookmarkEnd w:id="210"/>
      <w:r w:rsidRPr="53F3630D">
        <w:rPr>
          <w:rStyle w:val="Heading1Char"/>
          <w:b/>
          <w:bCs/>
        </w:rPr>
        <w:t>Proposed implementation</w:t>
      </w:r>
      <w:r>
        <w:t xml:space="preserve"> measures</w:t>
      </w:r>
      <w:bookmarkStart w:id="216" w:name="_Toc97801760"/>
      <w:bookmarkEnd w:id="211"/>
      <w:bookmarkEnd w:id="212"/>
      <w:bookmarkEnd w:id="213"/>
      <w:bookmarkEnd w:id="214"/>
      <w:bookmarkEnd w:id="215"/>
      <w:r>
        <w:t xml:space="preserve"> </w:t>
      </w:r>
      <w:bookmarkEnd w:id="216"/>
    </w:p>
    <w:p w14:paraId="3051B9F7" w14:textId="55616F61" w:rsidR="00B357D6" w:rsidRDefault="002E1B0A" w:rsidP="00486652">
      <w:pPr>
        <w:pStyle w:val="Bullet"/>
        <w:ind w:left="397" w:hanging="397"/>
        <w:rPr>
          <w:rFonts w:ascii="Segoe UI" w:hAnsi="Segoe UI" w:cs="Segoe UI"/>
          <w:sz w:val="18"/>
          <w:szCs w:val="18"/>
        </w:rPr>
      </w:pPr>
      <w:r w:rsidRPr="1D2F3123">
        <w:rPr>
          <w:rStyle w:val="normaltextrun"/>
          <w:rFonts w:ascii="Arial" w:hAnsi="Arial" w:cs="Arial"/>
        </w:rPr>
        <w:t xml:space="preserve">A key recommendation of the </w:t>
      </w:r>
      <w:r w:rsidR="00F504AF" w:rsidRPr="1D2F3123">
        <w:rPr>
          <w:rStyle w:val="normaltextrun"/>
          <w:rFonts w:ascii="Arial" w:hAnsi="Arial" w:cs="Arial"/>
        </w:rPr>
        <w:t xml:space="preserve">previous </w:t>
      </w:r>
      <w:r w:rsidRPr="1D2F3123">
        <w:rPr>
          <w:rStyle w:val="normaltextrun"/>
          <w:rFonts w:ascii="Arial" w:hAnsi="Arial" w:cs="Arial"/>
        </w:rPr>
        <w:t>2012</w:t>
      </w:r>
      <w:r w:rsidR="00621C58">
        <w:rPr>
          <w:rStyle w:val="normaltextrun"/>
          <w:rFonts w:ascii="Arial" w:hAnsi="Arial" w:cs="Arial"/>
        </w:rPr>
        <w:t xml:space="preserve"> review of the</w:t>
      </w:r>
      <w:r w:rsidRPr="1D2F3123">
        <w:rPr>
          <w:rStyle w:val="normaltextrun"/>
          <w:rFonts w:ascii="Arial" w:hAnsi="Arial" w:cs="Arial"/>
        </w:rPr>
        <w:t xml:space="preserve"> </w:t>
      </w:r>
      <w:r w:rsidR="009A07F4" w:rsidRPr="1D2F3123">
        <w:rPr>
          <w:rStyle w:val="normaltextrun"/>
          <w:rFonts w:ascii="Arial" w:hAnsi="Arial" w:cs="Arial"/>
        </w:rPr>
        <w:t>WA Government IP Policy</w:t>
      </w:r>
      <w:r w:rsidRPr="1D2F3123">
        <w:rPr>
          <w:rStyle w:val="normaltextrun"/>
          <w:rFonts w:ascii="Arial" w:hAnsi="Arial" w:cs="Arial"/>
        </w:rPr>
        <w:t xml:space="preserve"> was the development of guidance resources and tools to support </w:t>
      </w:r>
      <w:r w:rsidR="00995075">
        <w:rPr>
          <w:rStyle w:val="normaltextrun"/>
          <w:rFonts w:ascii="Arial" w:hAnsi="Arial" w:cs="Arial"/>
        </w:rPr>
        <w:t>WA</w:t>
      </w:r>
      <w:r w:rsidR="00995075" w:rsidRPr="1D2F3123">
        <w:rPr>
          <w:rStyle w:val="normaltextrun"/>
          <w:rFonts w:ascii="Arial" w:hAnsi="Arial" w:cs="Arial"/>
        </w:rPr>
        <w:t xml:space="preserve"> </w:t>
      </w:r>
      <w:r w:rsidRPr="1D2F3123">
        <w:rPr>
          <w:rStyle w:val="normaltextrun"/>
          <w:rFonts w:ascii="Arial" w:hAnsi="Arial" w:cs="Arial"/>
        </w:rPr>
        <w:t>Government agencies managing IP.</w:t>
      </w:r>
      <w:r w:rsidR="00DD7D2A">
        <w:rPr>
          <w:rStyle w:val="FootnoteReference"/>
          <w:rFonts w:ascii="Arial" w:hAnsi="Arial" w:cs="Arial"/>
        </w:rPr>
        <w:footnoteReference w:id="31"/>
      </w:r>
      <w:r w:rsidRPr="1D2F3123">
        <w:rPr>
          <w:rStyle w:val="normaltextrun"/>
          <w:rFonts w:ascii="Arial" w:hAnsi="Arial" w:cs="Arial"/>
        </w:rPr>
        <w:t xml:space="preserve"> A web-based toolkit was proposed including checklists, standard templates, and training resources. The implementation of these guidance tools was not progressed at that time.</w:t>
      </w:r>
      <w:r w:rsidRPr="1D2F3123">
        <w:rPr>
          <w:rStyle w:val="eop"/>
          <w:rFonts w:ascii="Arial" w:hAnsi="Arial" w:cs="Arial"/>
        </w:rPr>
        <w:t> </w:t>
      </w:r>
    </w:p>
    <w:p w14:paraId="40AE20CE" w14:textId="12D0A369" w:rsidR="002E1B0A" w:rsidRPr="00751D55" w:rsidRDefault="00995075" w:rsidP="00486652">
      <w:pPr>
        <w:pStyle w:val="Bullet"/>
        <w:ind w:left="397" w:hanging="397"/>
        <w:rPr>
          <w:rFonts w:ascii="Segoe UI" w:hAnsi="Segoe UI" w:cs="Segoe UI"/>
          <w:color w:val="272727"/>
          <w:sz w:val="18"/>
          <w:szCs w:val="18"/>
        </w:rPr>
      </w:pPr>
      <w:r w:rsidRPr="1D2F3123">
        <w:rPr>
          <w:rStyle w:val="normaltextrun"/>
          <w:rFonts w:ascii="Arial" w:hAnsi="Arial" w:cs="Arial"/>
        </w:rPr>
        <w:t>Th</w:t>
      </w:r>
      <w:r>
        <w:rPr>
          <w:rStyle w:val="normaltextrun"/>
          <w:rFonts w:ascii="Arial" w:hAnsi="Arial" w:cs="Arial"/>
        </w:rPr>
        <w:t>is</w:t>
      </w:r>
      <w:r w:rsidRPr="1D2F3123">
        <w:rPr>
          <w:rStyle w:val="normaltextrun"/>
          <w:rFonts w:ascii="Arial" w:hAnsi="Arial" w:cs="Arial"/>
        </w:rPr>
        <w:t xml:space="preserve"> </w:t>
      </w:r>
      <w:r w:rsidR="002E1B0A" w:rsidRPr="1D2F3123">
        <w:rPr>
          <w:rStyle w:val="normaltextrun"/>
          <w:rFonts w:ascii="Arial" w:hAnsi="Arial" w:cs="Arial"/>
        </w:rPr>
        <w:t xml:space="preserve">review seeks to remedy this issue and ensure supporting resources are available to </w:t>
      </w:r>
      <w:r>
        <w:rPr>
          <w:rStyle w:val="normaltextrun"/>
          <w:rFonts w:ascii="Arial" w:hAnsi="Arial" w:cs="Arial"/>
        </w:rPr>
        <w:t>WA</w:t>
      </w:r>
      <w:r w:rsidRPr="1D2F3123">
        <w:rPr>
          <w:rStyle w:val="normaltextrun"/>
          <w:rFonts w:ascii="Arial" w:hAnsi="Arial" w:cs="Arial"/>
        </w:rPr>
        <w:t xml:space="preserve"> </w:t>
      </w:r>
      <w:r w:rsidR="002E1B0A" w:rsidRPr="1D2F3123">
        <w:rPr>
          <w:rStyle w:val="normaltextrun"/>
          <w:rFonts w:ascii="Arial" w:hAnsi="Arial" w:cs="Arial"/>
        </w:rPr>
        <w:t>Government agencies</w:t>
      </w:r>
      <w:r w:rsidR="00414E65" w:rsidRPr="1D2F3123">
        <w:rPr>
          <w:rStyle w:val="normaltextrun"/>
          <w:rFonts w:ascii="Arial" w:hAnsi="Arial" w:cs="Arial"/>
        </w:rPr>
        <w:t xml:space="preserve">. </w:t>
      </w:r>
      <w:r w:rsidR="002E1B0A" w:rsidRPr="1D2F3123">
        <w:rPr>
          <w:rStyle w:val="normaltextrun"/>
          <w:rFonts w:ascii="Arial" w:hAnsi="Arial" w:cs="Arial"/>
        </w:rPr>
        <w:t xml:space="preserve">A </w:t>
      </w:r>
      <w:r w:rsidR="00EA5BD7" w:rsidRPr="1D2F3123">
        <w:rPr>
          <w:rStyle w:val="normaltextrun"/>
          <w:rFonts w:ascii="Arial" w:hAnsi="Arial" w:cs="Arial"/>
        </w:rPr>
        <w:t>two-phase</w:t>
      </w:r>
      <w:r w:rsidR="002E1B0A" w:rsidRPr="1D2F3123">
        <w:rPr>
          <w:rStyle w:val="normaltextrun"/>
          <w:rFonts w:ascii="Arial" w:hAnsi="Arial" w:cs="Arial"/>
        </w:rPr>
        <w:t xml:space="preserve"> implementation plan is proposed to support the introduction of the </w:t>
      </w:r>
      <w:r w:rsidR="00616A4B" w:rsidRPr="1D2F3123">
        <w:rPr>
          <w:rStyle w:val="normaltextrun"/>
          <w:rFonts w:ascii="Arial" w:hAnsi="Arial" w:cs="Arial"/>
        </w:rPr>
        <w:t>updated</w:t>
      </w:r>
      <w:r w:rsidR="002E1B0A" w:rsidRPr="1D2F3123">
        <w:rPr>
          <w:rStyle w:val="normaltextrun"/>
          <w:rFonts w:ascii="Arial" w:hAnsi="Arial" w:cs="Arial"/>
        </w:rPr>
        <w:t xml:space="preserve"> </w:t>
      </w:r>
      <w:r w:rsidR="009A07F4" w:rsidRPr="1D2F3123">
        <w:rPr>
          <w:rStyle w:val="normaltextrun"/>
          <w:rFonts w:ascii="Arial" w:hAnsi="Arial" w:cs="Arial"/>
        </w:rPr>
        <w:t>WA Government IP Policy</w:t>
      </w:r>
      <w:r w:rsidR="002E1B0A" w:rsidRPr="1D2F3123">
        <w:rPr>
          <w:rStyle w:val="normaltextrun"/>
          <w:rFonts w:ascii="Arial" w:hAnsi="Arial" w:cs="Arial"/>
        </w:rPr>
        <w:t xml:space="preserve"> as follows:</w:t>
      </w:r>
    </w:p>
    <w:p w14:paraId="2BB2ED69" w14:textId="6BA6F367" w:rsidR="002E1B0A" w:rsidRPr="00B357D6" w:rsidRDefault="2614F522" w:rsidP="00486652">
      <w:pPr>
        <w:pStyle w:val="ListParagraph"/>
        <w:ind w:left="794" w:hanging="397"/>
      </w:pPr>
      <w:r w:rsidRPr="4483BB66">
        <w:rPr>
          <w:rStyle w:val="normaltextrun"/>
        </w:rPr>
        <w:t xml:space="preserve">Phase 1 will include a selection of </w:t>
      </w:r>
      <w:bookmarkStart w:id="217" w:name="_Hlk98919478"/>
      <w:r w:rsidRPr="4483BB66">
        <w:rPr>
          <w:rStyle w:val="normaltextrun"/>
        </w:rPr>
        <w:t xml:space="preserve">web-based guidance tools and supporting resources for </w:t>
      </w:r>
      <w:r w:rsidR="34CC335E" w:rsidRPr="4483BB66">
        <w:rPr>
          <w:rStyle w:val="normaltextrun"/>
        </w:rPr>
        <w:t xml:space="preserve">WA </w:t>
      </w:r>
      <w:r w:rsidRPr="4483BB66">
        <w:rPr>
          <w:rStyle w:val="normaltextrun"/>
        </w:rPr>
        <w:t xml:space="preserve">Government agencies. This ‘best practice toolkit’ will provide clarity to </w:t>
      </w:r>
      <w:r w:rsidR="34CC335E" w:rsidRPr="4483BB66">
        <w:rPr>
          <w:rStyle w:val="normaltextrun"/>
        </w:rPr>
        <w:t xml:space="preserve">WA </w:t>
      </w:r>
      <w:r w:rsidRPr="4483BB66">
        <w:rPr>
          <w:rStyle w:val="normaltextrun"/>
        </w:rPr>
        <w:t xml:space="preserve">Government agencies on key processes including where seeking to commercialise IP and assist in implementing any agency level requirements under the </w:t>
      </w:r>
      <w:r w:rsidR="1B3F02ED" w:rsidRPr="4483BB66">
        <w:rPr>
          <w:rStyle w:val="normaltextrun"/>
        </w:rPr>
        <w:t>updated</w:t>
      </w:r>
      <w:r w:rsidRPr="4483BB66">
        <w:rPr>
          <w:rStyle w:val="normaltextrun"/>
        </w:rPr>
        <w:t xml:space="preserve"> </w:t>
      </w:r>
      <w:r w:rsidR="22444EA2" w:rsidRPr="4483BB66">
        <w:rPr>
          <w:rStyle w:val="normaltextrun"/>
        </w:rPr>
        <w:t>WA Government IP Policy</w:t>
      </w:r>
      <w:r w:rsidRPr="4483BB66">
        <w:rPr>
          <w:rStyle w:val="normaltextrun"/>
        </w:rPr>
        <w:t>.</w:t>
      </w:r>
      <w:r w:rsidR="00486652">
        <w:rPr>
          <w:rStyle w:val="normaltextrun"/>
        </w:rPr>
        <w:t xml:space="preserve"> </w:t>
      </w:r>
      <w:r>
        <w:t xml:space="preserve">This is likely to include checklists, standard templates, typical IP system descriptions and guidelines for staff induction, training and moral rights </w:t>
      </w:r>
      <w:r w:rsidR="13EA1EB9">
        <w:t>information</w:t>
      </w:r>
      <w:r>
        <w:t>.</w:t>
      </w:r>
      <w:bookmarkEnd w:id="217"/>
      <w:r>
        <w:t xml:space="preserve"> </w:t>
      </w:r>
    </w:p>
    <w:p w14:paraId="42B6F1C1" w14:textId="1849E2A5" w:rsidR="00B357D6" w:rsidRPr="00751D55" w:rsidRDefault="002E1B0A" w:rsidP="00486652">
      <w:pPr>
        <w:pStyle w:val="ListParagraph"/>
        <w:ind w:left="794" w:hanging="397"/>
        <w:rPr>
          <w:rStyle w:val="normaltextrun"/>
          <w:color w:val="272727"/>
        </w:rPr>
      </w:pPr>
      <w:r w:rsidRPr="1D2F3123">
        <w:rPr>
          <w:rStyle w:val="normaltextrun"/>
        </w:rPr>
        <w:t xml:space="preserve">Phase 2 will build on key learnings of the review to </w:t>
      </w:r>
      <w:r w:rsidR="00DE73C3" w:rsidRPr="1D2F3123">
        <w:rPr>
          <w:rStyle w:val="normaltextrun"/>
        </w:rPr>
        <w:t xml:space="preserve">consider the recommendation of </w:t>
      </w:r>
      <w:r w:rsidRPr="1D2F3123">
        <w:rPr>
          <w:rStyle w:val="normaltextrun"/>
        </w:rPr>
        <w:t xml:space="preserve">training and ongoing support resources for </w:t>
      </w:r>
      <w:r w:rsidR="00995075">
        <w:rPr>
          <w:rStyle w:val="normaltextrun"/>
        </w:rPr>
        <w:t>WA</w:t>
      </w:r>
      <w:r w:rsidR="00995075" w:rsidRPr="1D2F3123">
        <w:rPr>
          <w:rStyle w:val="normaltextrun"/>
        </w:rPr>
        <w:t xml:space="preserve"> </w:t>
      </w:r>
      <w:r w:rsidRPr="1D2F3123">
        <w:rPr>
          <w:rStyle w:val="normaltextrun"/>
        </w:rPr>
        <w:t xml:space="preserve">Government agencies. </w:t>
      </w:r>
    </w:p>
    <w:p w14:paraId="3F50822F" w14:textId="2629A3BE" w:rsidR="002E1B0A" w:rsidRPr="00B357D6" w:rsidRDefault="002E1B0A" w:rsidP="00486652">
      <w:pPr>
        <w:pStyle w:val="Bullet"/>
        <w:ind w:left="397" w:hanging="397"/>
      </w:pPr>
      <w:r w:rsidRPr="1D2F3123">
        <w:rPr>
          <w:rStyle w:val="normaltextrun"/>
          <w:rFonts w:ascii="Arial" w:hAnsi="Arial" w:cs="Arial"/>
        </w:rPr>
        <w:t>The Department is seeking stakeholder feedback on the proposals being considered as part of Phase 2 of the implementation plan</w:t>
      </w:r>
      <w:r w:rsidR="00411D84" w:rsidRPr="1D2F3123">
        <w:rPr>
          <w:rStyle w:val="normaltextrun"/>
          <w:rFonts w:ascii="Arial" w:hAnsi="Arial" w:cs="Arial"/>
        </w:rPr>
        <w:t xml:space="preserve">. </w:t>
      </w:r>
    </w:p>
    <w:p w14:paraId="3388A06C" w14:textId="5DE29E09" w:rsidR="00BA1037" w:rsidRPr="00B620FF" w:rsidRDefault="00BA1037" w:rsidP="00486652">
      <w:pPr>
        <w:pStyle w:val="Heading2"/>
        <w:spacing w:before="120" w:beforeAutospacing="0" w:after="120" w:afterAutospacing="0"/>
        <w:ind w:left="578" w:hanging="578"/>
        <w:jc w:val="both"/>
        <w:rPr>
          <w:rFonts w:eastAsia="SimHei"/>
        </w:rPr>
      </w:pPr>
      <w:bookmarkStart w:id="218" w:name="_Toc97801761"/>
      <w:bookmarkStart w:id="219" w:name="_Toc97903450"/>
      <w:bookmarkStart w:id="220" w:name="_Toc101971650"/>
      <w:bookmarkStart w:id="221" w:name="_Toc104976300"/>
      <w:bookmarkStart w:id="222" w:name="_Toc114829906"/>
      <w:r w:rsidRPr="53F3630D">
        <w:rPr>
          <w:rFonts w:eastAsia="Calibri"/>
        </w:rPr>
        <w:t xml:space="preserve">Proposals for ongoing support of </w:t>
      </w:r>
      <w:r w:rsidR="00995075">
        <w:rPr>
          <w:rFonts w:eastAsia="Calibri"/>
        </w:rPr>
        <w:t>WA</w:t>
      </w:r>
      <w:r w:rsidR="00995075" w:rsidRPr="53F3630D">
        <w:rPr>
          <w:rFonts w:eastAsia="Calibri"/>
        </w:rPr>
        <w:t xml:space="preserve"> </w:t>
      </w:r>
      <w:r w:rsidRPr="53F3630D">
        <w:rPr>
          <w:rFonts w:eastAsia="Calibri"/>
        </w:rPr>
        <w:t>Government agencies</w:t>
      </w:r>
      <w:bookmarkEnd w:id="218"/>
      <w:bookmarkEnd w:id="219"/>
      <w:bookmarkEnd w:id="220"/>
      <w:bookmarkEnd w:id="221"/>
      <w:bookmarkEnd w:id="222"/>
    </w:p>
    <w:p w14:paraId="752EBBCF" w14:textId="1A6A18CC" w:rsidR="005C2117" w:rsidRDefault="37F40613" w:rsidP="00E275B9">
      <w:pPr>
        <w:pStyle w:val="Bullet"/>
        <w:ind w:left="397" w:hanging="397"/>
      </w:pPr>
      <w:bookmarkStart w:id="223" w:name="_Hlk98919324"/>
      <w:r>
        <w:t xml:space="preserve">Stakeholder feedback has highlighted a need to provide greater assistance and clarity for </w:t>
      </w:r>
      <w:r w:rsidR="34CC335E">
        <w:t xml:space="preserve">WA </w:t>
      </w:r>
      <w:r>
        <w:t>Government agencies about IP management issues</w:t>
      </w:r>
      <w:bookmarkEnd w:id="223"/>
      <w:r>
        <w:t xml:space="preserve">, particularly </w:t>
      </w:r>
      <w:r w:rsidR="34CC335E">
        <w:t xml:space="preserve">when considering </w:t>
      </w:r>
      <w:r>
        <w:t>commercialisation opportunities. Feedback identified that provision of</w:t>
      </w:r>
      <w:r w:rsidR="7489B745">
        <w:t xml:space="preserve"> </w:t>
      </w:r>
      <w:r>
        <w:t>ongoing support for agencies will address long-standing barriers including the lack of:</w:t>
      </w:r>
    </w:p>
    <w:p w14:paraId="1CE7EDCF" w14:textId="77777777" w:rsidR="005C2117" w:rsidRDefault="005C2117" w:rsidP="00E275B9">
      <w:pPr>
        <w:pStyle w:val="ListParagraph"/>
        <w:ind w:left="794" w:hanging="397"/>
      </w:pPr>
      <w:r>
        <w:t>An effective platform and associated programs to show case State innovations and licensing opportunities.</w:t>
      </w:r>
    </w:p>
    <w:p w14:paraId="089AF08D" w14:textId="77777777" w:rsidR="005C2117" w:rsidRDefault="005C2117" w:rsidP="00E275B9">
      <w:pPr>
        <w:pStyle w:val="ListParagraph"/>
        <w:ind w:left="794" w:hanging="397"/>
      </w:pPr>
      <w:r>
        <w:lastRenderedPageBreak/>
        <w:t>Outward facing procurement experts to engage and negotiate commercial terms with potential IP licensees.</w:t>
      </w:r>
    </w:p>
    <w:p w14:paraId="14A20A20" w14:textId="7A9AD8CF" w:rsidR="001C7105" w:rsidRDefault="005C2117" w:rsidP="00E275B9">
      <w:pPr>
        <w:pStyle w:val="ListParagraph"/>
        <w:ind w:left="794" w:hanging="397"/>
      </w:pPr>
      <w:r>
        <w:t>Access to legal and IP expertise.</w:t>
      </w:r>
    </w:p>
    <w:p w14:paraId="4EDC94BD" w14:textId="5C9D50A9" w:rsidR="005D081D" w:rsidRDefault="005923D2" w:rsidP="00E275B9">
      <w:pPr>
        <w:pStyle w:val="ListParagraph"/>
        <w:ind w:left="794" w:hanging="397"/>
      </w:pPr>
      <w:r>
        <w:t>A central IP management office to provide ongoing guidance to stakeholders</w:t>
      </w:r>
      <w:r w:rsidR="001B1A56">
        <w:t>.</w:t>
      </w:r>
    </w:p>
    <w:p w14:paraId="34D02195" w14:textId="5A3E3310" w:rsidR="00351814" w:rsidRPr="00A12388" w:rsidRDefault="00B214FB" w:rsidP="00E275B9">
      <w:pPr>
        <w:pStyle w:val="Bullet"/>
        <w:rPr>
          <w:rFonts w:eastAsia="Arial"/>
          <w:bCs/>
          <w:sz w:val="28"/>
          <w:szCs w:val="28"/>
        </w:rPr>
      </w:pPr>
      <w:r w:rsidRPr="00A12388">
        <w:t>The following outlines the potential options under consideration by the review to support agencies working with IP.</w:t>
      </w:r>
      <w:r w:rsidR="00A12388">
        <w:t xml:space="preserve"> </w:t>
      </w:r>
      <w:r w:rsidRPr="00A12388">
        <w:t xml:space="preserve">The options outlined are for stakeholder feedback and are subject to further consideration. </w:t>
      </w:r>
    </w:p>
    <w:p w14:paraId="14708FBA" w14:textId="1D0A7250" w:rsidR="00BA1037" w:rsidRPr="00BA1037" w:rsidRDefault="00BA1037" w:rsidP="00A84FDD">
      <w:pPr>
        <w:pStyle w:val="Heading3"/>
        <w:rPr>
          <w:rFonts w:eastAsia="Arial"/>
        </w:rPr>
      </w:pPr>
      <w:bookmarkStart w:id="224" w:name="_Proposal:_Online_training"/>
      <w:bookmarkEnd w:id="224"/>
      <w:r w:rsidRPr="53F3630D">
        <w:rPr>
          <w:rFonts w:eastAsia="Arial"/>
        </w:rPr>
        <w:t>Proposal: Online training and resource hub</w:t>
      </w:r>
    </w:p>
    <w:p w14:paraId="0C6BB319" w14:textId="77777777" w:rsidR="001941C9" w:rsidRPr="00F25742" w:rsidRDefault="001941C9" w:rsidP="00A12388">
      <w:pPr>
        <w:pStyle w:val="Bullet"/>
        <w:ind w:left="397" w:hanging="397"/>
      </w:pPr>
      <w:r>
        <w:t>Building upon the ‘best practice toolkit’ developed during Phase 1 it is proposed to establish a dedicated online IP training and resource hub. In addition to housing the ‘best practice toolkit’ the hub will:</w:t>
      </w:r>
    </w:p>
    <w:p w14:paraId="1AC290B7" w14:textId="4C39E0C8" w:rsidR="001941C9" w:rsidRPr="008C2E26" w:rsidRDefault="60667684" w:rsidP="00A12388">
      <w:pPr>
        <w:pStyle w:val="ListParagraph"/>
        <w:ind w:left="794" w:hanging="397"/>
      </w:pPr>
      <w:r>
        <w:t xml:space="preserve">provide e-learning and training courses specifically tailored to </w:t>
      </w:r>
      <w:r w:rsidR="34CC335E">
        <w:t xml:space="preserve">WA </w:t>
      </w:r>
      <w:r>
        <w:t>Government agencies;</w:t>
      </w:r>
    </w:p>
    <w:p w14:paraId="35366CA9" w14:textId="0CC9D81E" w:rsidR="001941C9" w:rsidRDefault="60667684" w:rsidP="00A12388">
      <w:pPr>
        <w:pStyle w:val="ListParagraph"/>
        <w:ind w:left="794" w:hanging="397"/>
      </w:pPr>
      <w:r>
        <w:t>publish case studies demonstrating common IP issues encountered by</w:t>
      </w:r>
      <w:r w:rsidR="00A12388">
        <w:br w:type="textWrapping" w:clear="all"/>
      </w:r>
      <w:r>
        <w:t xml:space="preserve">WA </w:t>
      </w:r>
      <w:r w:rsidR="34CC335E">
        <w:t xml:space="preserve">Government </w:t>
      </w:r>
      <w:r>
        <w:t>agencies;</w:t>
      </w:r>
    </w:p>
    <w:p w14:paraId="03F3615F" w14:textId="77777777" w:rsidR="001941C9" w:rsidRDefault="001941C9" w:rsidP="00A12388">
      <w:pPr>
        <w:pStyle w:val="ListParagraph"/>
        <w:ind w:left="794" w:hanging="397"/>
      </w:pPr>
      <w:r>
        <w:t>provide opportunities for collaboration with industry innovators via online events and seminars;</w:t>
      </w:r>
    </w:p>
    <w:p w14:paraId="2AEB220D" w14:textId="4C39E0C8" w:rsidR="001941C9" w:rsidRPr="003178A4" w:rsidRDefault="001941C9" w:rsidP="00A12388">
      <w:pPr>
        <w:pStyle w:val="ListParagraph"/>
        <w:ind w:left="794" w:hanging="397"/>
      </w:pPr>
      <w:r>
        <w:t xml:space="preserve">include links to other useful IP resources and </w:t>
      </w:r>
      <w:r w:rsidR="00995075">
        <w:t xml:space="preserve">the WA </w:t>
      </w:r>
      <w:r>
        <w:t xml:space="preserve">and </w:t>
      </w:r>
      <w:r w:rsidR="00995075">
        <w:t xml:space="preserve">Australian </w:t>
      </w:r>
      <w:r>
        <w:t>Government</w:t>
      </w:r>
      <w:r w:rsidR="00995075">
        <w:t>’s</w:t>
      </w:r>
      <w:r>
        <w:t xml:space="preserve"> policies and initiatives. </w:t>
      </w:r>
    </w:p>
    <w:p w14:paraId="16C8E4B5" w14:textId="6C233B2A" w:rsidR="00BA1037" w:rsidRPr="00A12388" w:rsidRDefault="001941C9" w:rsidP="00A12388">
      <w:pPr>
        <w:pStyle w:val="Bullet"/>
        <w:ind w:left="397" w:hanging="397"/>
        <w:rPr>
          <w:rFonts w:eastAsia="Arial"/>
        </w:rPr>
      </w:pPr>
      <w:r w:rsidRPr="1D2F3123">
        <w:rPr>
          <w:rFonts w:eastAsia="Arial"/>
        </w:rPr>
        <w:t xml:space="preserve">The online hub would also include links to a dedicated agency portal for </w:t>
      </w:r>
      <w:r w:rsidR="004F6B67" w:rsidRPr="1D2F3123">
        <w:rPr>
          <w:rFonts w:eastAsia="Arial"/>
        </w:rPr>
        <w:t xml:space="preserve">a </w:t>
      </w:r>
      <w:r w:rsidRPr="1D2F3123">
        <w:rPr>
          <w:rFonts w:eastAsia="Arial"/>
        </w:rPr>
        <w:t>proposed IP community of practice.</w:t>
      </w:r>
      <w:r w:rsidR="00232F4D" w:rsidRPr="1D2F3123">
        <w:rPr>
          <w:rFonts w:eastAsia="Arial"/>
        </w:rPr>
        <w:t xml:space="preserve"> </w:t>
      </w:r>
      <w:r>
        <w:t xml:space="preserve">The </w:t>
      </w:r>
      <w:r w:rsidR="00423E89">
        <w:t>D</w:t>
      </w:r>
      <w:r>
        <w:t xml:space="preserve">epartment has previously applied a similar online hub model successfully to support emerging businesses through the </w:t>
      </w:r>
      <w:hyperlink r:id="rId20">
        <w:r w:rsidRPr="1D2F3123">
          <w:rPr>
            <w:rStyle w:val="Hyperlink"/>
          </w:rPr>
          <w:t>New Industries Fund: Innovation hubs</w:t>
        </w:r>
      </w:hyperlink>
      <w:r>
        <w:t>.</w:t>
      </w:r>
    </w:p>
    <w:p w14:paraId="197A7E7F" w14:textId="14D57C7B" w:rsidR="008B3682" w:rsidRDefault="00D10C1F" w:rsidP="00E275B9">
      <w:pPr>
        <w:pBdr>
          <w:top w:val="single" w:sz="4" w:space="1" w:color="auto"/>
          <w:left w:val="single" w:sz="4" w:space="4" w:color="auto"/>
          <w:bottom w:val="single" w:sz="4" w:space="1" w:color="auto"/>
          <w:right w:val="single" w:sz="4" w:space="4" w:color="auto"/>
        </w:pBdr>
        <w:shd w:val="clear" w:color="auto" w:fill="EDD9EC" w:themeFill="accent3" w:themeFillTint="33"/>
        <w:spacing w:after="200"/>
        <w:textAlignment w:val="auto"/>
        <w:rPr>
          <w:rFonts w:eastAsia="Arial"/>
          <w:b/>
          <w:bCs/>
          <w:i/>
          <w:iCs/>
        </w:rPr>
      </w:pPr>
      <w:r>
        <w:rPr>
          <w:rFonts w:eastAsia="Arial"/>
          <w:b/>
          <w:bCs/>
          <w:i/>
          <w:iCs/>
        </w:rPr>
        <w:t>Discussion question</w:t>
      </w:r>
    </w:p>
    <w:p w14:paraId="4B875668" w14:textId="3E68279F" w:rsidR="00443B73" w:rsidRDefault="00D10C1F" w:rsidP="00443B73">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Fonts w:eastAsia="Arial"/>
          <w:b/>
          <w:bCs/>
          <w:sz w:val="28"/>
          <w:szCs w:val="28"/>
          <w:lang w:val="en-GB"/>
        </w:rPr>
      </w:pPr>
      <w:r w:rsidRPr="00A12388">
        <w:rPr>
          <w:rStyle w:val="eop"/>
          <w:rFonts w:ascii="Arial" w:hAnsi="Arial" w:cs="Arial"/>
          <w:color w:val="272727"/>
        </w:rPr>
        <w:t xml:space="preserve">Are there any additional features that </w:t>
      </w:r>
      <w:r w:rsidR="00963F26" w:rsidRPr="00A12388">
        <w:rPr>
          <w:rStyle w:val="eop"/>
          <w:rFonts w:ascii="Arial" w:hAnsi="Arial" w:cs="Arial"/>
          <w:color w:val="272727"/>
        </w:rPr>
        <w:t>c</w:t>
      </w:r>
      <w:r w:rsidRPr="00A12388">
        <w:rPr>
          <w:rStyle w:val="eop"/>
          <w:rFonts w:ascii="Arial" w:hAnsi="Arial" w:cs="Arial"/>
          <w:color w:val="272727"/>
        </w:rPr>
        <w:t>ould be included in the online training and resource hub?</w:t>
      </w:r>
      <w:bookmarkStart w:id="225" w:name="_Proposal:_Establish_IP"/>
      <w:bookmarkEnd w:id="225"/>
    </w:p>
    <w:p w14:paraId="26B222A7" w14:textId="77777777" w:rsidR="00B7726B" w:rsidRDefault="00B7726B">
      <w:pPr>
        <w:spacing w:after="160" w:line="259" w:lineRule="auto"/>
        <w:textAlignment w:val="auto"/>
        <w:rPr>
          <w:rFonts w:eastAsia="Arial"/>
          <w:b/>
          <w:bCs/>
          <w:color w:val="272727" w:themeColor="accent1" w:themeShade="80"/>
          <w:sz w:val="28"/>
          <w:szCs w:val="28"/>
          <w:lang w:val="en-GB"/>
        </w:rPr>
      </w:pPr>
      <w:r>
        <w:rPr>
          <w:rFonts w:eastAsia="Arial"/>
        </w:rPr>
        <w:br w:type="page"/>
      </w:r>
    </w:p>
    <w:p w14:paraId="33FAA56F" w14:textId="34652110" w:rsidR="00BA1037" w:rsidRDefault="00BA1037" w:rsidP="00A84FDD">
      <w:pPr>
        <w:pStyle w:val="Heading3"/>
        <w:rPr>
          <w:rFonts w:eastAsia="Arial"/>
        </w:rPr>
      </w:pPr>
      <w:r w:rsidRPr="53F3630D">
        <w:rPr>
          <w:rFonts w:eastAsia="Arial"/>
        </w:rPr>
        <w:lastRenderedPageBreak/>
        <w:t>Proposal: Establish IP Community of Practice</w:t>
      </w:r>
    </w:p>
    <w:p w14:paraId="3EA2F928" w14:textId="19F8D34A" w:rsidR="00A6715B" w:rsidRDefault="00A6715B" w:rsidP="00A12388">
      <w:pPr>
        <w:pStyle w:val="Bullet"/>
        <w:ind w:left="397" w:hanging="397"/>
        <w:rPr>
          <w:rFonts w:eastAsia="Arial"/>
        </w:rPr>
      </w:pPr>
      <w:r w:rsidRPr="1D2F3123">
        <w:rPr>
          <w:rFonts w:eastAsia="Arial"/>
        </w:rPr>
        <w:t>To build knowledge and expertise across the W</w:t>
      </w:r>
      <w:r w:rsidR="00A12388">
        <w:rPr>
          <w:rFonts w:eastAsia="Arial"/>
        </w:rPr>
        <w:t>estern Australia</w:t>
      </w:r>
      <w:r w:rsidR="005B55AA">
        <w:rPr>
          <w:rFonts w:eastAsia="Arial"/>
        </w:rPr>
        <w:t>n</w:t>
      </w:r>
      <w:r w:rsidRPr="1D2F3123">
        <w:rPr>
          <w:rFonts w:eastAsia="Arial"/>
        </w:rPr>
        <w:t xml:space="preserve"> public sector it is proposed to establish a community of practice comprised of </w:t>
      </w:r>
      <w:r w:rsidR="00995075">
        <w:rPr>
          <w:rFonts w:eastAsia="Arial"/>
        </w:rPr>
        <w:t>WA</w:t>
      </w:r>
      <w:r w:rsidR="00995075" w:rsidRPr="1D2F3123">
        <w:rPr>
          <w:rFonts w:eastAsia="Arial"/>
        </w:rPr>
        <w:t xml:space="preserve"> </w:t>
      </w:r>
      <w:r w:rsidRPr="1D2F3123">
        <w:rPr>
          <w:rFonts w:eastAsia="Arial"/>
        </w:rPr>
        <w:t>Government agencies involved in research, innovation, and the development of IP. This community of practice would:</w:t>
      </w:r>
    </w:p>
    <w:p w14:paraId="0D3D486E" w14:textId="5FC92C58" w:rsidR="00A6715B" w:rsidRPr="002C1E54" w:rsidRDefault="00A6715B" w:rsidP="00A12388">
      <w:pPr>
        <w:pStyle w:val="ListParagraph"/>
        <w:ind w:left="794" w:hanging="397"/>
      </w:pPr>
      <w:r>
        <w:t>Promote IP development and innovation in the W</w:t>
      </w:r>
      <w:r w:rsidR="00A12388">
        <w:t>estern Australia</w:t>
      </w:r>
      <w:r w:rsidR="005B55AA">
        <w:t>n</w:t>
      </w:r>
      <w:r w:rsidR="00A12388">
        <w:t xml:space="preserve"> public sector;</w:t>
      </w:r>
    </w:p>
    <w:p w14:paraId="03104FB9" w14:textId="0E47118B" w:rsidR="00A6715B" w:rsidRPr="002C1E54" w:rsidRDefault="00A6715B" w:rsidP="00A12388">
      <w:pPr>
        <w:pStyle w:val="ListParagraph"/>
        <w:ind w:left="794" w:hanging="397"/>
      </w:pPr>
      <w:r>
        <w:t>Provide a forum for public sector employees to network and share their knowledge, experiences and information</w:t>
      </w:r>
      <w:r w:rsidR="00A12388">
        <w:t>; and</w:t>
      </w:r>
    </w:p>
    <w:p w14:paraId="23CF22AF" w14:textId="77777777" w:rsidR="00A6715B" w:rsidRDefault="00A6715B" w:rsidP="00A12388">
      <w:pPr>
        <w:pStyle w:val="ListParagraph"/>
        <w:ind w:left="794" w:hanging="397"/>
      </w:pPr>
      <w:r>
        <w:t xml:space="preserve">Foster best practice within agencies and facilitate potential cross agency collaborations. </w:t>
      </w:r>
    </w:p>
    <w:p w14:paraId="5C724913" w14:textId="52D3A14F" w:rsidR="00A6715B" w:rsidRPr="00751D55" w:rsidRDefault="00A36BF1"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Fonts w:eastAsia="Arial"/>
          <w:b/>
          <w:bCs/>
          <w:i/>
          <w:iCs/>
        </w:rPr>
      </w:pPr>
      <w:r w:rsidRPr="00751D55">
        <w:rPr>
          <w:rFonts w:eastAsia="Arial"/>
          <w:b/>
          <w:bCs/>
          <w:i/>
          <w:iCs/>
        </w:rPr>
        <w:t>D</w:t>
      </w:r>
      <w:r w:rsidR="00A6715B" w:rsidRPr="00751D55">
        <w:rPr>
          <w:rFonts w:eastAsia="Arial"/>
          <w:b/>
          <w:bCs/>
          <w:i/>
          <w:iCs/>
        </w:rPr>
        <w:t>iscussion questions</w:t>
      </w:r>
    </w:p>
    <w:p w14:paraId="33021C44" w14:textId="5B32B3B7" w:rsidR="00BB19AF" w:rsidRDefault="00A6715B"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rPr>
          <w:rFonts w:eastAsia="Arial"/>
        </w:rPr>
      </w:pPr>
      <w:r w:rsidRPr="00A01E22">
        <w:rPr>
          <w:rFonts w:eastAsia="Arial"/>
        </w:rPr>
        <w:t xml:space="preserve">Would the </w:t>
      </w:r>
      <w:r w:rsidRPr="00751D55">
        <w:rPr>
          <w:rFonts w:eastAsia="Arial"/>
        </w:rPr>
        <w:t xml:space="preserve">establishment of a community of practice assist </w:t>
      </w:r>
      <w:r w:rsidR="00995075">
        <w:rPr>
          <w:rFonts w:eastAsia="Arial"/>
        </w:rPr>
        <w:t>WA</w:t>
      </w:r>
      <w:r w:rsidR="00995075" w:rsidRPr="00751D55">
        <w:rPr>
          <w:rFonts w:eastAsia="Arial"/>
        </w:rPr>
        <w:t xml:space="preserve"> </w:t>
      </w:r>
      <w:r w:rsidRPr="00751D55">
        <w:rPr>
          <w:rFonts w:eastAsia="Arial"/>
        </w:rPr>
        <w:t>Government agencies developing and managing IP?</w:t>
      </w:r>
      <w:r w:rsidR="00995075">
        <w:rPr>
          <w:rFonts w:eastAsia="Arial"/>
        </w:rPr>
        <w:t xml:space="preserve"> Are the components of the proposed community of practice appropriate, or are there other </w:t>
      </w:r>
      <w:r w:rsidR="00FA7A10">
        <w:rPr>
          <w:rFonts w:eastAsia="Arial"/>
        </w:rPr>
        <w:t>factors</w:t>
      </w:r>
      <w:r w:rsidR="00995075">
        <w:rPr>
          <w:rFonts w:eastAsia="Arial"/>
        </w:rPr>
        <w:t xml:space="preserve"> that need to be considered?</w:t>
      </w:r>
    </w:p>
    <w:p w14:paraId="4849781B" w14:textId="0154F8F3" w:rsidR="00AA713E" w:rsidRPr="00A01E22" w:rsidRDefault="00AA713E"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sidRPr="00751D55">
        <w:t xml:space="preserve">Should membership of the community of practice be limited to </w:t>
      </w:r>
      <w:r w:rsidR="00995075">
        <w:t>WA</w:t>
      </w:r>
      <w:r w:rsidR="00995075" w:rsidRPr="00751D55">
        <w:t xml:space="preserve"> </w:t>
      </w:r>
      <w:r w:rsidRPr="00751D55">
        <w:t>Government agencies or include non-government stakeholders</w:t>
      </w:r>
      <w:r>
        <w:t xml:space="preserve"> with an interest in research and innovation?</w:t>
      </w:r>
    </w:p>
    <w:p w14:paraId="1EE17D96" w14:textId="61A383D1" w:rsidR="00BA1037" w:rsidRDefault="00BA1037" w:rsidP="00A84FDD">
      <w:pPr>
        <w:pStyle w:val="Heading3"/>
      </w:pPr>
      <w:bookmarkStart w:id="226" w:name="_Proposal:_Facilitate_greater"/>
      <w:bookmarkEnd w:id="226"/>
      <w:r>
        <w:t>Proposal: Facilitate greater a</w:t>
      </w:r>
      <w:r w:rsidRPr="53F3630D">
        <w:rPr>
          <w:rFonts w:eastAsia="Arial"/>
        </w:rPr>
        <w:t xml:space="preserve">ccess to </w:t>
      </w:r>
      <w:r>
        <w:t xml:space="preserve">IP </w:t>
      </w:r>
      <w:r w:rsidRPr="53F3630D">
        <w:rPr>
          <w:rFonts w:eastAsia="Arial"/>
        </w:rPr>
        <w:t>expertise</w:t>
      </w:r>
    </w:p>
    <w:p w14:paraId="209E5587" w14:textId="4C39E0C8" w:rsidR="00E76961" w:rsidRDefault="2484BE45" w:rsidP="00A12388">
      <w:pPr>
        <w:pStyle w:val="Bullet"/>
        <w:ind w:left="397" w:hanging="397"/>
      </w:pPr>
      <w:r>
        <w:t xml:space="preserve">The management and development of IP is a complex and specialised field. Feedback from </w:t>
      </w:r>
      <w:r w:rsidR="34CC335E">
        <w:t xml:space="preserve">WA </w:t>
      </w:r>
      <w:r>
        <w:t xml:space="preserve">Government agencies suggests that </w:t>
      </w:r>
      <w:r w:rsidR="08B26A92">
        <w:t xml:space="preserve">lack of </w:t>
      </w:r>
      <w:r>
        <w:t>access to expertise and legal advice is a significant barrier to IP commercialisation and contributes to opportunity loss by the State.</w:t>
      </w:r>
    </w:p>
    <w:p w14:paraId="0F618E12" w14:textId="61D990AC" w:rsidR="008511C6" w:rsidRDefault="00D74DE0" w:rsidP="00A12388">
      <w:pPr>
        <w:pStyle w:val="Bullet"/>
        <w:ind w:left="397" w:hanging="397"/>
      </w:pPr>
      <w:r>
        <w:t>The State Solicitor’s Office currently ha</w:t>
      </w:r>
      <w:r w:rsidR="00995075">
        <w:t>s</w:t>
      </w:r>
      <w:r>
        <w:t xml:space="preserve"> arrangements with law firms which provide agencies with access to specialist advice and expertise however </w:t>
      </w:r>
      <w:r w:rsidR="005704E0">
        <w:t>i</w:t>
      </w:r>
      <w:r w:rsidR="001C61F1">
        <w:t xml:space="preserve">ntroducing more pathways for agencies to obtain appropriate advice may allow the State to better capitalise on opportunities to develop and commercialise IP. </w:t>
      </w:r>
    </w:p>
    <w:p w14:paraId="3E885C72" w14:textId="728FF15F" w:rsidR="00D74DE0" w:rsidRDefault="00D74DE0" w:rsidP="00A12388">
      <w:pPr>
        <w:pStyle w:val="Bullet"/>
        <w:ind w:left="397" w:hanging="397"/>
        <w:rPr>
          <w:rFonts w:asciiTheme="majorBidi" w:eastAsiaTheme="majorBidi" w:hAnsiTheme="majorBidi" w:cstheme="majorBidi"/>
          <w:color w:val="auto"/>
        </w:rPr>
      </w:pPr>
      <w:r>
        <w:t xml:space="preserve">The review of the WA Government IP Policy is exploring opportunities for providing </w:t>
      </w:r>
      <w:r w:rsidR="00995075">
        <w:t xml:space="preserve">WA Government agencies with </w:t>
      </w:r>
      <w:r>
        <w:t xml:space="preserve">increased access to IP expertise. </w:t>
      </w:r>
    </w:p>
    <w:p w14:paraId="37C00859" w14:textId="400AEB72" w:rsidR="001C61F1" w:rsidRDefault="001C61F1" w:rsidP="00A12388">
      <w:pPr>
        <w:pStyle w:val="Bullet"/>
        <w:ind w:left="397" w:hanging="397"/>
      </w:pPr>
      <w:r>
        <w:t xml:space="preserve">One option would be to establish a panel contract of commercialisation experts </w:t>
      </w:r>
      <w:r w:rsidR="0076331B">
        <w:t xml:space="preserve">and patent and trademark attorneys </w:t>
      </w:r>
      <w:r>
        <w:t xml:space="preserve">for use by </w:t>
      </w:r>
      <w:r w:rsidR="00A12388">
        <w:t xml:space="preserve">WA </w:t>
      </w:r>
      <w:r>
        <w:t xml:space="preserve">Government agencies. </w:t>
      </w:r>
    </w:p>
    <w:p w14:paraId="5D0D1FBD" w14:textId="1791A26E" w:rsidR="001C61F1" w:rsidRDefault="00C54716" w:rsidP="00A12388">
      <w:pPr>
        <w:pStyle w:val="Bullet"/>
        <w:ind w:left="397" w:hanging="397"/>
      </w:pPr>
      <w:r>
        <w:t>In</w:t>
      </w:r>
      <w:r w:rsidR="001C61F1">
        <w:t xml:space="preserve"> Victoria a specialist legal services panel has been established, providing </w:t>
      </w:r>
      <w:r w:rsidR="00995075">
        <w:t xml:space="preserve">Victorian </w:t>
      </w:r>
      <w:r w:rsidR="001C61F1">
        <w:t>Government agencies with an approved list of firms specialising in IP management.</w:t>
      </w:r>
      <w:r w:rsidR="00DD7D2A">
        <w:rPr>
          <w:rStyle w:val="FootnoteReference"/>
        </w:rPr>
        <w:footnoteReference w:id="32"/>
      </w:r>
      <w:r w:rsidR="001C61F1">
        <w:t xml:space="preserve"> </w:t>
      </w:r>
      <w:r w:rsidR="001C61F1">
        <w:lastRenderedPageBreak/>
        <w:t xml:space="preserve">Any services related to Crown copyright issues are provided by the Victorian Government Solicitor’s Office. </w:t>
      </w:r>
    </w:p>
    <w:p w14:paraId="7FA7D3C2" w14:textId="70DDC9FB" w:rsidR="002A75A3" w:rsidRDefault="001C61F1" w:rsidP="00A12388">
      <w:pPr>
        <w:pStyle w:val="Bullet"/>
        <w:ind w:left="397" w:hanging="397"/>
      </w:pPr>
      <w:r>
        <w:t xml:space="preserve">The </w:t>
      </w:r>
      <w:r w:rsidR="0038266B">
        <w:t xml:space="preserve">establishment </w:t>
      </w:r>
      <w:r>
        <w:t xml:space="preserve">of a </w:t>
      </w:r>
      <w:r w:rsidR="000A6880">
        <w:t xml:space="preserve">Western Australian </w:t>
      </w:r>
      <w:r>
        <w:t xml:space="preserve">panel </w:t>
      </w:r>
      <w:r w:rsidR="0038266B">
        <w:t xml:space="preserve">for specialist skills such as patent and </w:t>
      </w:r>
      <w:r w:rsidR="00816BCB">
        <w:t>trademark</w:t>
      </w:r>
      <w:r w:rsidR="0038266B">
        <w:t xml:space="preserve"> attorneys and commercialisation services</w:t>
      </w:r>
      <w:r w:rsidR="00BF3B40">
        <w:t xml:space="preserve"> may</w:t>
      </w:r>
      <w:r w:rsidR="002A75A3">
        <w:t>:</w:t>
      </w:r>
    </w:p>
    <w:p w14:paraId="35EDD55B" w14:textId="5EACFD66" w:rsidR="00424F6B" w:rsidRDefault="00BF3B40" w:rsidP="00A12388">
      <w:pPr>
        <w:pStyle w:val="ListParagraph"/>
        <w:ind w:left="794" w:hanging="397"/>
      </w:pPr>
      <w:r>
        <w:t>assist agencies with respect to the development, management and commercialisation of IP</w:t>
      </w:r>
      <w:r w:rsidR="00A12388">
        <w:t>; and</w:t>
      </w:r>
      <w:r>
        <w:t xml:space="preserve"> </w:t>
      </w:r>
    </w:p>
    <w:p w14:paraId="0235D436" w14:textId="623FAE95" w:rsidR="00295D74" w:rsidRDefault="001C61F1" w:rsidP="00A12388">
      <w:pPr>
        <w:pStyle w:val="ListParagraph"/>
        <w:ind w:left="794" w:hanging="397"/>
      </w:pPr>
      <w:r>
        <w:t xml:space="preserve">reduce the administrative burden for any agencies currently maintaining an individual panel contract for similar services. </w:t>
      </w:r>
    </w:p>
    <w:p w14:paraId="4A7EEB29" w14:textId="0E428681" w:rsidR="001C61F1" w:rsidRPr="00751D55" w:rsidRDefault="00A36BF1" w:rsidP="00E275B9">
      <w:pPr>
        <w:pBdr>
          <w:top w:val="single" w:sz="4" w:space="1" w:color="auto"/>
          <w:left w:val="single" w:sz="4" w:space="4" w:color="auto"/>
          <w:bottom w:val="single" w:sz="4" w:space="1" w:color="auto"/>
          <w:right w:val="single" w:sz="4" w:space="4" w:color="auto"/>
        </w:pBdr>
        <w:shd w:val="clear" w:color="auto" w:fill="EDD9EC" w:themeFill="accent3" w:themeFillTint="33"/>
        <w:spacing w:after="200"/>
        <w:textAlignment w:val="auto"/>
        <w:rPr>
          <w:b/>
          <w:bCs/>
          <w:i/>
          <w:iCs/>
        </w:rPr>
      </w:pPr>
      <w:r w:rsidRPr="00751D55">
        <w:rPr>
          <w:b/>
          <w:bCs/>
          <w:i/>
          <w:iCs/>
        </w:rPr>
        <w:t>D</w:t>
      </w:r>
      <w:r w:rsidR="001C61F1" w:rsidRPr="00751D55">
        <w:rPr>
          <w:b/>
          <w:bCs/>
          <w:i/>
          <w:iCs/>
        </w:rPr>
        <w:t>iscussion questions</w:t>
      </w:r>
    </w:p>
    <w:p w14:paraId="02105E0A" w14:textId="385C0031" w:rsidR="001C61F1" w:rsidRPr="00751D55" w:rsidRDefault="001C61F1"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sidRPr="00751D55">
        <w:t xml:space="preserve">Would the establishment of an expert panel of </w:t>
      </w:r>
      <w:r w:rsidR="0016424A">
        <w:t>patent and trade mark attorneys and commercialisation experts</w:t>
      </w:r>
      <w:r w:rsidR="0016424A" w:rsidRPr="00751D55" w:rsidDel="0016424A">
        <w:t xml:space="preserve"> </w:t>
      </w:r>
      <w:r w:rsidRPr="00751D55">
        <w:t xml:space="preserve">facilitate better outcomes for </w:t>
      </w:r>
      <w:r w:rsidR="003F0AAC">
        <w:t>WA</w:t>
      </w:r>
      <w:r w:rsidR="003F0AAC" w:rsidRPr="00751D55">
        <w:t xml:space="preserve"> </w:t>
      </w:r>
      <w:r w:rsidRPr="00751D55">
        <w:t>Government agencies?</w:t>
      </w:r>
      <w:r w:rsidR="0016424A">
        <w:t xml:space="preserve"> </w:t>
      </w:r>
    </w:p>
    <w:p w14:paraId="24E07D6E" w14:textId="7914FBB7" w:rsidR="00527F2C" w:rsidRPr="00751D55" w:rsidRDefault="00527F2C" w:rsidP="00E275B9">
      <w:pPr>
        <w:pStyle w:val="BodyText"/>
        <w:pBdr>
          <w:top w:val="single" w:sz="4" w:space="1" w:color="auto"/>
          <w:left w:val="single" w:sz="4" w:space="4" w:color="auto"/>
          <w:bottom w:val="single" w:sz="4" w:space="1" w:color="auto"/>
          <w:right w:val="single" w:sz="4" w:space="4" w:color="auto"/>
        </w:pBdr>
        <w:shd w:val="clear" w:color="auto" w:fill="EDD9EC" w:themeFill="accent3" w:themeFillTint="33"/>
      </w:pPr>
      <w:r w:rsidRPr="00751D55">
        <w:t xml:space="preserve">What options could be considered to improve </w:t>
      </w:r>
      <w:r w:rsidR="003F0AAC">
        <w:t>WA</w:t>
      </w:r>
      <w:r w:rsidR="003F0AAC" w:rsidRPr="00751D55">
        <w:t xml:space="preserve"> </w:t>
      </w:r>
      <w:r w:rsidRPr="00751D55">
        <w:t>Government agency access to appropriate IP expertise?</w:t>
      </w:r>
    </w:p>
    <w:p w14:paraId="30B108A9" w14:textId="2C6976DB" w:rsidR="004C7EA6" w:rsidRPr="00EF2B33" w:rsidRDefault="004C7EA6" w:rsidP="00A84FDD">
      <w:pPr>
        <w:pStyle w:val="Heading3"/>
        <w:rPr>
          <w:rFonts w:eastAsia="Arial"/>
        </w:rPr>
      </w:pPr>
      <w:bookmarkStart w:id="227" w:name="_Proposal:_Establish_central"/>
      <w:bookmarkEnd w:id="227"/>
      <w:r w:rsidRPr="00EF2B33">
        <w:rPr>
          <w:rFonts w:eastAsia="Arial"/>
        </w:rPr>
        <w:t>Proposal</w:t>
      </w:r>
      <w:r w:rsidRPr="00EF2B33">
        <w:t>: Establish c</w:t>
      </w:r>
      <w:r w:rsidRPr="00EF2B33">
        <w:rPr>
          <w:rFonts w:eastAsia="Arial"/>
        </w:rPr>
        <w:t>entral IP</w:t>
      </w:r>
      <w:r w:rsidR="00AF36FD">
        <w:rPr>
          <w:rFonts w:eastAsia="Arial"/>
        </w:rPr>
        <w:t xml:space="preserve"> and commercialisation</w:t>
      </w:r>
      <w:r w:rsidRPr="00EF2B33">
        <w:rPr>
          <w:rFonts w:eastAsia="Arial"/>
        </w:rPr>
        <w:t xml:space="preserve"> management office</w:t>
      </w:r>
    </w:p>
    <w:p w14:paraId="12A619F5" w14:textId="4C39E0C8" w:rsidR="004C7EA6" w:rsidRPr="00EF2B33" w:rsidRDefault="004C7EA6" w:rsidP="00A12388">
      <w:pPr>
        <w:pStyle w:val="BodyText"/>
        <w:numPr>
          <w:ilvl w:val="0"/>
          <w:numId w:val="8"/>
        </w:numPr>
        <w:ind w:left="397" w:hanging="397"/>
      </w:pPr>
      <w:r w:rsidRPr="00EF2B33">
        <w:t xml:space="preserve">There are a variety of government services and programs to support and guide IP development and commercialisation by emerging businesses and private sector innovators. For example, the advisory service provided by IP Australia (Australian Government agency that administers </w:t>
      </w:r>
      <w:r w:rsidR="003F0AAC">
        <w:t>IP</w:t>
      </w:r>
      <w:r w:rsidRPr="00EF2B33">
        <w:t xml:space="preserve"> rights and legislation) while applicable to government is targeted primarily towards private sector businesses. </w:t>
      </w:r>
    </w:p>
    <w:p w14:paraId="093E8853" w14:textId="39932157" w:rsidR="004C7EA6" w:rsidRPr="00EF2B33" w:rsidRDefault="004C7EA6" w:rsidP="00A12388">
      <w:pPr>
        <w:pStyle w:val="BodyText"/>
        <w:numPr>
          <w:ilvl w:val="0"/>
          <w:numId w:val="8"/>
        </w:numPr>
        <w:ind w:left="397" w:hanging="397"/>
        <w:rPr>
          <w:color w:val="auto"/>
        </w:rPr>
      </w:pPr>
      <w:r w:rsidRPr="00EF2B33">
        <w:rPr>
          <w:color w:val="auto"/>
        </w:rPr>
        <w:t>International jurisdictions such as Singapore and Ireland, have dedicated agencies</w:t>
      </w:r>
      <w:r w:rsidR="00A12388">
        <w:rPr>
          <w:color w:val="auto"/>
        </w:rPr>
        <w:br w:type="textWrapping" w:clear="all"/>
      </w:r>
      <w:r w:rsidRPr="00EF2B33">
        <w:rPr>
          <w:color w:val="auto"/>
        </w:rPr>
        <w:t>(or departments within agencies) to support public sector agencies managing IP. These organisations partner with agencies to:</w:t>
      </w:r>
    </w:p>
    <w:p w14:paraId="3F009418" w14:textId="10D9F517" w:rsidR="004C7EA6" w:rsidRPr="00EF2B33" w:rsidRDefault="004C7EA6" w:rsidP="00A12388">
      <w:pPr>
        <w:pStyle w:val="Bullet"/>
        <w:numPr>
          <w:ilvl w:val="0"/>
          <w:numId w:val="10"/>
        </w:numPr>
        <w:ind w:left="794" w:hanging="397"/>
        <w:rPr>
          <w:color w:val="auto"/>
        </w:rPr>
      </w:pPr>
      <w:r w:rsidRPr="00EF2B33">
        <w:rPr>
          <w:color w:val="auto"/>
        </w:rPr>
        <w:t>develop IP policies and strategies</w:t>
      </w:r>
      <w:r w:rsidR="00A12388">
        <w:rPr>
          <w:color w:val="auto"/>
        </w:rPr>
        <w:t>;</w:t>
      </w:r>
      <w:r w:rsidRPr="00EF2B33">
        <w:rPr>
          <w:color w:val="auto"/>
        </w:rPr>
        <w:t xml:space="preserve"> </w:t>
      </w:r>
    </w:p>
    <w:p w14:paraId="143E428D" w14:textId="441E870B" w:rsidR="004C7EA6" w:rsidRPr="00EF2B33" w:rsidRDefault="004C7EA6" w:rsidP="00A12388">
      <w:pPr>
        <w:pStyle w:val="Bullet"/>
        <w:numPr>
          <w:ilvl w:val="0"/>
          <w:numId w:val="10"/>
        </w:numPr>
        <w:ind w:left="794" w:hanging="397"/>
        <w:rPr>
          <w:color w:val="auto"/>
        </w:rPr>
      </w:pPr>
      <w:r w:rsidRPr="00EF2B33">
        <w:rPr>
          <w:color w:val="auto"/>
        </w:rPr>
        <w:t>establish processes aligned with government objectives and best practice</w:t>
      </w:r>
      <w:r w:rsidR="00A12388">
        <w:rPr>
          <w:color w:val="auto"/>
        </w:rPr>
        <w:t>;</w:t>
      </w:r>
      <w:r w:rsidRPr="00EF2B33">
        <w:rPr>
          <w:color w:val="auto"/>
        </w:rPr>
        <w:t xml:space="preserve"> and </w:t>
      </w:r>
    </w:p>
    <w:p w14:paraId="338BC8EE" w14:textId="77777777" w:rsidR="004C7EA6" w:rsidRPr="00EF2B33" w:rsidRDefault="004C7EA6" w:rsidP="00A12388">
      <w:pPr>
        <w:pStyle w:val="Bullet"/>
        <w:numPr>
          <w:ilvl w:val="0"/>
          <w:numId w:val="10"/>
        </w:numPr>
        <w:spacing w:after="240"/>
        <w:ind w:left="794" w:hanging="397"/>
        <w:rPr>
          <w:color w:val="auto"/>
        </w:rPr>
      </w:pPr>
      <w:r w:rsidRPr="00EF2B33">
        <w:rPr>
          <w:color w:val="auto"/>
        </w:rPr>
        <w:t>support commercialisation projects and maximise benefits to the State.</w:t>
      </w:r>
    </w:p>
    <w:p w14:paraId="14A824A9" w14:textId="77777777" w:rsidR="004C7EA6" w:rsidRPr="00EF2B33" w:rsidRDefault="004C7EA6" w:rsidP="00A12388">
      <w:pPr>
        <w:pStyle w:val="BodyText"/>
        <w:numPr>
          <w:ilvl w:val="0"/>
          <w:numId w:val="11"/>
        </w:numPr>
        <w:ind w:left="397" w:hanging="397"/>
        <w:rPr>
          <w:color w:val="auto"/>
        </w:rPr>
      </w:pPr>
      <w:r w:rsidRPr="00EF2B33">
        <w:rPr>
          <w:color w:val="auto"/>
        </w:rPr>
        <w:t xml:space="preserve">Currently, no Australian state or territory has established a centralised IP office to provide services to public sector agencies. </w:t>
      </w:r>
    </w:p>
    <w:p w14:paraId="70289D5A" w14:textId="77777777" w:rsidR="00030157" w:rsidRDefault="004C7EA6" w:rsidP="00A12388">
      <w:pPr>
        <w:pStyle w:val="BodyText"/>
        <w:numPr>
          <w:ilvl w:val="0"/>
          <w:numId w:val="11"/>
        </w:numPr>
        <w:ind w:left="397" w:hanging="397"/>
        <w:rPr>
          <w:color w:val="auto"/>
        </w:rPr>
      </w:pPr>
      <w:r w:rsidRPr="00EF2B33">
        <w:rPr>
          <w:color w:val="auto"/>
        </w:rPr>
        <w:t xml:space="preserve">To facilitate the growth and development of </w:t>
      </w:r>
      <w:r w:rsidR="003F0AAC">
        <w:rPr>
          <w:color w:val="auto"/>
        </w:rPr>
        <w:t>WA</w:t>
      </w:r>
      <w:r w:rsidR="003F0AAC" w:rsidRPr="00EF2B33">
        <w:rPr>
          <w:color w:val="auto"/>
        </w:rPr>
        <w:t xml:space="preserve"> </w:t>
      </w:r>
      <w:r w:rsidRPr="00EF2B33">
        <w:rPr>
          <w:color w:val="auto"/>
        </w:rPr>
        <w:t>Government IP for the benefit of W</w:t>
      </w:r>
      <w:r w:rsidR="00A12388">
        <w:rPr>
          <w:color w:val="auto"/>
        </w:rPr>
        <w:t>estern Australia</w:t>
      </w:r>
      <w:r w:rsidRPr="00EF2B33">
        <w:rPr>
          <w:color w:val="auto"/>
        </w:rPr>
        <w:t xml:space="preserve"> it is suggested further support for agencies be provided in the form of a centralised IP and commercialisation office. </w:t>
      </w:r>
    </w:p>
    <w:p w14:paraId="0DC0FFCF" w14:textId="77777777" w:rsidR="00030157" w:rsidRDefault="00030157">
      <w:pPr>
        <w:spacing w:after="160" w:line="259" w:lineRule="auto"/>
        <w:textAlignment w:val="auto"/>
        <w:rPr>
          <w:rFonts w:asciiTheme="minorHAnsi" w:hAnsiTheme="minorHAnsi" w:cstheme="minorBidi"/>
          <w:lang w:eastAsia="en-US"/>
        </w:rPr>
      </w:pPr>
      <w:r>
        <w:br w:type="page"/>
      </w:r>
    </w:p>
    <w:p w14:paraId="119324D7" w14:textId="6129702B" w:rsidR="004C7EA6" w:rsidRPr="00EF2B33" w:rsidRDefault="004C7EA6" w:rsidP="00A12388">
      <w:pPr>
        <w:pStyle w:val="BodyText"/>
        <w:numPr>
          <w:ilvl w:val="0"/>
          <w:numId w:val="11"/>
        </w:numPr>
        <w:ind w:left="397" w:hanging="397"/>
        <w:rPr>
          <w:color w:val="auto"/>
        </w:rPr>
      </w:pPr>
      <w:r w:rsidRPr="00EF2B33">
        <w:rPr>
          <w:color w:val="auto"/>
        </w:rPr>
        <w:lastRenderedPageBreak/>
        <w:t>The functions of this office could include:</w:t>
      </w:r>
    </w:p>
    <w:p w14:paraId="54F8FD7B" w14:textId="391FF816" w:rsidR="004C7EA6" w:rsidRPr="00EF2B33" w:rsidRDefault="004C7EA6" w:rsidP="00A12388">
      <w:pPr>
        <w:pStyle w:val="Bullet"/>
        <w:numPr>
          <w:ilvl w:val="1"/>
          <w:numId w:val="12"/>
        </w:numPr>
        <w:ind w:left="794" w:hanging="397"/>
        <w:rPr>
          <w:color w:val="auto"/>
        </w:rPr>
      </w:pPr>
      <w:r w:rsidRPr="00EF2B33">
        <w:rPr>
          <w:color w:val="auto"/>
        </w:rPr>
        <w:t xml:space="preserve">Providing support and guidance for </w:t>
      </w:r>
      <w:r w:rsidR="003F0AAC">
        <w:rPr>
          <w:color w:val="auto"/>
        </w:rPr>
        <w:t>WA</w:t>
      </w:r>
      <w:r w:rsidR="003F0AAC" w:rsidRPr="00EF2B33">
        <w:rPr>
          <w:color w:val="auto"/>
        </w:rPr>
        <w:t xml:space="preserve"> </w:t>
      </w:r>
      <w:r w:rsidRPr="00EF2B33">
        <w:rPr>
          <w:color w:val="auto"/>
        </w:rPr>
        <w:t>Government agencies with respect to the development, management and commercialisation of IP.</w:t>
      </w:r>
    </w:p>
    <w:p w14:paraId="6F214C6B" w14:textId="77777777" w:rsidR="004C7EA6" w:rsidRPr="00EF2B33" w:rsidRDefault="004C7EA6" w:rsidP="00A12388">
      <w:pPr>
        <w:pStyle w:val="Bullet"/>
        <w:numPr>
          <w:ilvl w:val="1"/>
          <w:numId w:val="12"/>
        </w:numPr>
        <w:ind w:left="794" w:hanging="397"/>
        <w:rPr>
          <w:color w:val="auto"/>
        </w:rPr>
      </w:pPr>
      <w:r w:rsidRPr="00EF2B33">
        <w:rPr>
          <w:color w:val="auto"/>
        </w:rPr>
        <w:t>Assisting in the registration of IP protections by agencies.</w:t>
      </w:r>
    </w:p>
    <w:p w14:paraId="6B7DA4EC" w14:textId="77777777" w:rsidR="004C7EA6" w:rsidRPr="00EF2B33" w:rsidRDefault="004C7EA6" w:rsidP="00A12388">
      <w:pPr>
        <w:pStyle w:val="Bullet"/>
        <w:numPr>
          <w:ilvl w:val="1"/>
          <w:numId w:val="12"/>
        </w:numPr>
        <w:ind w:left="794" w:hanging="397"/>
        <w:rPr>
          <w:color w:val="auto"/>
        </w:rPr>
      </w:pPr>
      <w:r w:rsidRPr="00EF2B33">
        <w:rPr>
          <w:color w:val="auto"/>
        </w:rPr>
        <w:t>Developing and maintaining guidance resources for the online training hub.</w:t>
      </w:r>
    </w:p>
    <w:p w14:paraId="4E2CDBE8" w14:textId="77777777" w:rsidR="004C7EA6" w:rsidRPr="00EF2B33" w:rsidRDefault="004C7EA6" w:rsidP="00A12388">
      <w:pPr>
        <w:pStyle w:val="Bullet"/>
        <w:numPr>
          <w:ilvl w:val="1"/>
          <w:numId w:val="12"/>
        </w:numPr>
        <w:ind w:left="794" w:hanging="397"/>
        <w:rPr>
          <w:color w:val="auto"/>
        </w:rPr>
      </w:pPr>
      <w:r w:rsidRPr="00EF2B33">
        <w:rPr>
          <w:color w:val="auto"/>
        </w:rPr>
        <w:t xml:space="preserve">Managing training programs and the IP Community of Practice. </w:t>
      </w:r>
    </w:p>
    <w:p w14:paraId="29FD3BF5" w14:textId="77777777" w:rsidR="004C7EA6" w:rsidRPr="00EF2B33" w:rsidRDefault="004C7EA6" w:rsidP="00A12388">
      <w:pPr>
        <w:pStyle w:val="Bullet"/>
        <w:numPr>
          <w:ilvl w:val="1"/>
          <w:numId w:val="12"/>
        </w:numPr>
        <w:ind w:left="794" w:hanging="397"/>
        <w:rPr>
          <w:color w:val="auto"/>
        </w:rPr>
      </w:pPr>
      <w:r w:rsidRPr="00EF2B33">
        <w:rPr>
          <w:color w:val="auto"/>
        </w:rPr>
        <w:t>Collecting and publishing statistical information regarding WA Government IP.</w:t>
      </w:r>
    </w:p>
    <w:p w14:paraId="72F1F653" w14:textId="77777777" w:rsidR="004C7EA6" w:rsidRPr="00EF2B33" w:rsidRDefault="004C7EA6" w:rsidP="00A12388">
      <w:pPr>
        <w:pStyle w:val="Bullet"/>
        <w:numPr>
          <w:ilvl w:val="1"/>
          <w:numId w:val="12"/>
        </w:numPr>
        <w:ind w:left="794" w:hanging="397"/>
        <w:rPr>
          <w:color w:val="auto"/>
        </w:rPr>
      </w:pPr>
      <w:r w:rsidRPr="00EF2B33">
        <w:rPr>
          <w:color w:val="auto"/>
        </w:rPr>
        <w:t xml:space="preserve">Acting as an independent panel member in agency commercialisation and employee reward assessment processes and or dispute resolution. </w:t>
      </w:r>
    </w:p>
    <w:p w14:paraId="31F83311" w14:textId="48469EC8" w:rsidR="004C7EA6" w:rsidRPr="00E275B9" w:rsidRDefault="00CA5722" w:rsidP="00E275B9">
      <w:pPr>
        <w:pBdr>
          <w:top w:val="single" w:sz="4" w:space="1" w:color="auto"/>
          <w:left w:val="single" w:sz="4" w:space="4" w:color="auto"/>
          <w:bottom w:val="single" w:sz="4" w:space="1" w:color="auto"/>
          <w:right w:val="single" w:sz="4" w:space="4" w:color="auto"/>
        </w:pBdr>
        <w:shd w:val="clear" w:color="auto" w:fill="EDD9EC" w:themeFill="accent3" w:themeFillTint="33"/>
        <w:spacing w:after="200"/>
        <w:textAlignment w:val="auto"/>
        <w:rPr>
          <w:b/>
          <w:bCs/>
          <w:i/>
          <w:iCs/>
        </w:rPr>
      </w:pPr>
      <w:r>
        <w:rPr>
          <w:b/>
          <w:bCs/>
          <w:i/>
          <w:iCs/>
        </w:rPr>
        <w:t>Discussion question</w:t>
      </w:r>
    </w:p>
    <w:p w14:paraId="4DD11AC8" w14:textId="44121F14" w:rsidR="00997C3E" w:rsidRPr="00E275B9" w:rsidRDefault="004C7EA6" w:rsidP="00E275B9">
      <w:pPr>
        <w:pBdr>
          <w:top w:val="single" w:sz="4" w:space="1" w:color="auto"/>
          <w:left w:val="single" w:sz="4" w:space="4" w:color="auto"/>
          <w:bottom w:val="single" w:sz="4" w:space="1" w:color="auto"/>
          <w:right w:val="single" w:sz="4" w:space="4" w:color="auto"/>
        </w:pBdr>
        <w:shd w:val="clear" w:color="auto" w:fill="EDD9EC" w:themeFill="accent3" w:themeFillTint="33"/>
        <w:spacing w:after="200"/>
        <w:textAlignment w:val="auto"/>
        <w:rPr>
          <w:bCs/>
          <w:iCs/>
        </w:rPr>
      </w:pPr>
      <w:r w:rsidRPr="00E275B9">
        <w:rPr>
          <w:bCs/>
          <w:iCs/>
        </w:rPr>
        <w:t xml:space="preserve">Should access to the proposed advisory services be limited to </w:t>
      </w:r>
      <w:r w:rsidR="003F0AAC" w:rsidRPr="00E275B9">
        <w:rPr>
          <w:bCs/>
          <w:iCs/>
        </w:rPr>
        <w:t xml:space="preserve">WA </w:t>
      </w:r>
      <w:r w:rsidRPr="00E275B9">
        <w:rPr>
          <w:bCs/>
          <w:iCs/>
        </w:rPr>
        <w:t>Government agencies or expanded to include non-government organisations involved in the development of IP such as WA universities?</w:t>
      </w:r>
      <w:r w:rsidR="00C62341" w:rsidRPr="00E275B9">
        <w:rPr>
          <w:bCs/>
          <w:iCs/>
        </w:rPr>
        <w:t xml:space="preserve"> </w:t>
      </w:r>
      <w:r w:rsidR="00631A72" w:rsidRPr="00E275B9">
        <w:rPr>
          <w:bCs/>
          <w:iCs/>
        </w:rPr>
        <w:t xml:space="preserve"> </w:t>
      </w:r>
    </w:p>
    <w:p w14:paraId="08F3679B" w14:textId="77777777" w:rsidR="00F832F9" w:rsidRDefault="009A07F4" w:rsidP="00F832F9">
      <w:pPr>
        <w:pStyle w:val="BodyText"/>
      </w:pPr>
      <w:r w:rsidRPr="009A07F4">
        <w:t xml:space="preserve"> </w:t>
      </w:r>
      <w:bookmarkStart w:id="228" w:name="_Toc102658011"/>
      <w:bookmarkStart w:id="229" w:name="_Feedback_process_and"/>
      <w:bookmarkStart w:id="230" w:name="_Summary_of_Discussion"/>
      <w:bookmarkStart w:id="231" w:name="_Toc98160086"/>
      <w:bookmarkStart w:id="232" w:name="_Toc101971651"/>
      <w:bookmarkEnd w:id="228"/>
      <w:bookmarkEnd w:id="229"/>
      <w:bookmarkEnd w:id="230"/>
    </w:p>
    <w:p w14:paraId="628F4608" w14:textId="77777777" w:rsidR="00F832F9" w:rsidRDefault="00F832F9" w:rsidP="00F832F9">
      <w:pPr>
        <w:rPr>
          <w:rFonts w:cs="Times New Roman"/>
          <w:color w:val="041049"/>
          <w:sz w:val="48"/>
          <w:szCs w:val="19"/>
        </w:rPr>
      </w:pPr>
      <w:r>
        <w:br w:type="page"/>
      </w:r>
    </w:p>
    <w:p w14:paraId="0A3642E8" w14:textId="7CDA6CDD" w:rsidR="00B620FF" w:rsidRDefault="00A36BF1" w:rsidP="009A07F4">
      <w:pPr>
        <w:pStyle w:val="Heading1"/>
      </w:pPr>
      <w:bookmarkStart w:id="233" w:name="_Toc104976301"/>
      <w:bookmarkStart w:id="234" w:name="_Toc114829907"/>
      <w:r w:rsidRPr="009A07F4">
        <w:lastRenderedPageBreak/>
        <w:t>Summary of Discussion</w:t>
      </w:r>
      <w:r>
        <w:t xml:space="preserve"> Questions</w:t>
      </w:r>
      <w:bookmarkEnd w:id="231"/>
      <w:bookmarkEnd w:id="232"/>
      <w:bookmarkEnd w:id="233"/>
      <w:bookmarkEnd w:id="234"/>
      <w:r>
        <w:t xml:space="preserve">  </w:t>
      </w:r>
    </w:p>
    <w:p w14:paraId="180E31C1" w14:textId="41345D49" w:rsidR="00A36BF1" w:rsidRPr="00750965" w:rsidRDefault="00A36BF1" w:rsidP="00AD0043">
      <w:pPr>
        <w:pStyle w:val="Heading2"/>
        <w:jc w:val="both"/>
      </w:pPr>
      <w:bookmarkStart w:id="235" w:name="_Toc98160087"/>
      <w:bookmarkStart w:id="236" w:name="_Toc101971652"/>
      <w:bookmarkStart w:id="237" w:name="_Toc104976302"/>
      <w:bookmarkStart w:id="238" w:name="_Toc114829908"/>
      <w:r>
        <w:t>Agency responsibilities</w:t>
      </w:r>
      <w:bookmarkEnd w:id="235"/>
      <w:bookmarkEnd w:id="236"/>
      <w:bookmarkEnd w:id="237"/>
      <w:bookmarkEnd w:id="238"/>
    </w:p>
    <w:p w14:paraId="0E28EC37" w14:textId="77777777" w:rsidR="005265D8" w:rsidRDefault="005265D8" w:rsidP="00EA1482">
      <w:pPr>
        <w:pStyle w:val="BodyText"/>
        <w:numPr>
          <w:ilvl w:val="0"/>
          <w:numId w:val="22"/>
        </w:numPr>
        <w:ind w:left="397" w:hanging="397"/>
        <w:rPr>
          <w:rStyle w:val="eop"/>
          <w:rFonts w:ascii="Arial" w:hAnsi="Arial" w:cs="Arial"/>
          <w:color w:val="272727"/>
        </w:rPr>
      </w:pPr>
      <w:r>
        <w:rPr>
          <w:rStyle w:val="eop"/>
          <w:rFonts w:ascii="Arial" w:hAnsi="Arial" w:cs="Arial"/>
          <w:color w:val="272727"/>
        </w:rPr>
        <w:t xml:space="preserve">Are there any concerns or potential unintended impacts from the approach to agency responsibilities proposed for the updated WA Government IP Policy? </w:t>
      </w:r>
    </w:p>
    <w:p w14:paraId="2184FE2E" w14:textId="7B6AEAAE" w:rsidR="00B12E14" w:rsidRPr="005265D8" w:rsidRDefault="005265D8" w:rsidP="00EA1482">
      <w:pPr>
        <w:pStyle w:val="BodyText"/>
        <w:numPr>
          <w:ilvl w:val="0"/>
          <w:numId w:val="7"/>
        </w:numPr>
        <w:ind w:left="397" w:hanging="397"/>
        <w:rPr>
          <w:rStyle w:val="eop"/>
          <w:rFonts w:ascii="Arial" w:hAnsi="Arial" w:cs="Arial"/>
          <w:color w:val="272727"/>
        </w:rPr>
      </w:pPr>
      <w:r w:rsidRPr="1D2F3123">
        <w:rPr>
          <w:rStyle w:val="eop"/>
          <w:rFonts w:ascii="Arial" w:hAnsi="Arial" w:cs="Arial"/>
        </w:rPr>
        <w:t>If an alternative approach is preferred, please outline what this includes and the rationale.</w:t>
      </w:r>
    </w:p>
    <w:p w14:paraId="4D93EF67" w14:textId="5B030E8B" w:rsidR="00284DDE" w:rsidRPr="003D1A32" w:rsidRDefault="00A36BF1" w:rsidP="00AD0043">
      <w:pPr>
        <w:pStyle w:val="Heading2"/>
        <w:jc w:val="both"/>
      </w:pPr>
      <w:bookmarkStart w:id="239" w:name="_Toc98160088"/>
      <w:bookmarkStart w:id="240" w:name="_Toc101971653"/>
      <w:bookmarkStart w:id="241" w:name="_Toc104976303"/>
      <w:bookmarkStart w:id="242" w:name="_Toc114829909"/>
      <w:r>
        <w:t>Ownership of IP</w:t>
      </w:r>
      <w:bookmarkEnd w:id="239"/>
      <w:bookmarkEnd w:id="240"/>
      <w:bookmarkEnd w:id="241"/>
      <w:bookmarkEnd w:id="242"/>
    </w:p>
    <w:p w14:paraId="15DA94F8" w14:textId="2833BB30" w:rsidR="005265D8" w:rsidRDefault="005265D8" w:rsidP="00EA1482">
      <w:pPr>
        <w:pStyle w:val="BodyText"/>
        <w:numPr>
          <w:ilvl w:val="0"/>
          <w:numId w:val="7"/>
        </w:numPr>
        <w:ind w:left="397" w:hanging="397"/>
        <w:rPr>
          <w:rStyle w:val="eop"/>
          <w:rFonts w:ascii="Arial" w:hAnsi="Arial" w:cs="Arial"/>
          <w:color w:val="272727"/>
        </w:rPr>
      </w:pPr>
      <w:r w:rsidRPr="1D2F3123">
        <w:rPr>
          <w:rStyle w:val="eop"/>
          <w:rFonts w:ascii="Arial" w:hAnsi="Arial" w:cs="Arial"/>
        </w:rPr>
        <w:t xml:space="preserve">Does the proposed policy approach for an updated WA Government IP Policy provide sufficient guidance for WA </w:t>
      </w:r>
      <w:r w:rsidR="00A12388">
        <w:rPr>
          <w:rStyle w:val="eop"/>
          <w:rFonts w:ascii="Arial" w:hAnsi="Arial" w:cs="Arial"/>
        </w:rPr>
        <w:t xml:space="preserve">Government </w:t>
      </w:r>
      <w:r w:rsidRPr="1D2F3123">
        <w:rPr>
          <w:rStyle w:val="eop"/>
          <w:rFonts w:ascii="Arial" w:hAnsi="Arial" w:cs="Arial"/>
        </w:rPr>
        <w:t>agencies regarding IP ownership?</w:t>
      </w:r>
    </w:p>
    <w:p w14:paraId="7D91BA11" w14:textId="54F5D9CA" w:rsidR="005265D8" w:rsidRDefault="005265D8" w:rsidP="00EA1482">
      <w:pPr>
        <w:pStyle w:val="BodyText"/>
        <w:numPr>
          <w:ilvl w:val="0"/>
          <w:numId w:val="7"/>
        </w:numPr>
        <w:ind w:left="397" w:hanging="397"/>
      </w:pPr>
      <w:r w:rsidRPr="1D2F3123">
        <w:rPr>
          <w:rStyle w:val="eop"/>
          <w:rFonts w:ascii="Arial" w:hAnsi="Arial" w:cs="Arial"/>
        </w:rPr>
        <w:t>Are there any concerns or potential unintended impacts from the proposed approach?</w:t>
      </w:r>
    </w:p>
    <w:p w14:paraId="5A9C256C" w14:textId="77777777" w:rsidR="005265D8" w:rsidRPr="003B5EB5" w:rsidRDefault="005265D8" w:rsidP="00EA1482">
      <w:pPr>
        <w:pStyle w:val="BodyText"/>
        <w:numPr>
          <w:ilvl w:val="0"/>
          <w:numId w:val="7"/>
        </w:numPr>
        <w:ind w:left="397" w:hanging="397"/>
      </w:pPr>
      <w:r w:rsidRPr="1D2F3123">
        <w:rPr>
          <w:rStyle w:val="eop"/>
          <w:rFonts w:ascii="Arial" w:hAnsi="Arial" w:cs="Arial"/>
        </w:rPr>
        <w:t xml:space="preserve">If an alternative approach is preferred, please outline what this includes and the rationale. </w:t>
      </w:r>
    </w:p>
    <w:p w14:paraId="7FCA3C28" w14:textId="39A0728F" w:rsidR="00A36BF1" w:rsidRPr="003D1A32" w:rsidRDefault="00A36BF1" w:rsidP="00EA1482">
      <w:pPr>
        <w:pStyle w:val="Heading2"/>
        <w:jc w:val="both"/>
      </w:pPr>
      <w:bookmarkStart w:id="243" w:name="_Toc98160089"/>
      <w:bookmarkStart w:id="244" w:name="_Toc101971654"/>
      <w:bookmarkStart w:id="245" w:name="_Toc104976304"/>
      <w:bookmarkStart w:id="246" w:name="_Toc114829910"/>
      <w:r>
        <w:t>Commercialisation pathways</w:t>
      </w:r>
      <w:bookmarkEnd w:id="243"/>
      <w:bookmarkEnd w:id="244"/>
      <w:bookmarkEnd w:id="245"/>
      <w:bookmarkEnd w:id="246"/>
    </w:p>
    <w:p w14:paraId="304DDE73" w14:textId="508B0863" w:rsidR="005265D8" w:rsidRDefault="005265D8" w:rsidP="00EA1482">
      <w:pPr>
        <w:pStyle w:val="BodyText"/>
        <w:numPr>
          <w:ilvl w:val="0"/>
          <w:numId w:val="23"/>
        </w:numPr>
        <w:rPr>
          <w:rStyle w:val="eop"/>
          <w:rFonts w:ascii="Arial" w:hAnsi="Arial" w:cs="Arial"/>
          <w:color w:val="272727"/>
        </w:rPr>
      </w:pPr>
      <w:r>
        <w:rPr>
          <w:rStyle w:val="eop"/>
          <w:rFonts w:ascii="Arial" w:hAnsi="Arial" w:cs="Arial"/>
          <w:color w:val="272727"/>
        </w:rPr>
        <w:t xml:space="preserve">What threshold test should WA </w:t>
      </w:r>
      <w:r w:rsidR="003F0AAC">
        <w:rPr>
          <w:rStyle w:val="eop"/>
          <w:rFonts w:ascii="Arial" w:hAnsi="Arial" w:cs="Arial"/>
          <w:color w:val="272727"/>
        </w:rPr>
        <w:t xml:space="preserve">Government </w:t>
      </w:r>
      <w:r>
        <w:rPr>
          <w:rStyle w:val="eop"/>
          <w:rFonts w:ascii="Arial" w:hAnsi="Arial" w:cs="Arial"/>
          <w:color w:val="272727"/>
        </w:rPr>
        <w:t xml:space="preserve">agencies apply when considering whether to commercialise </w:t>
      </w:r>
      <w:r w:rsidR="003F0AAC">
        <w:rPr>
          <w:rStyle w:val="eop"/>
          <w:rFonts w:ascii="Arial" w:hAnsi="Arial" w:cs="Arial"/>
          <w:color w:val="272727"/>
        </w:rPr>
        <w:t xml:space="preserve">WA </w:t>
      </w:r>
      <w:r>
        <w:rPr>
          <w:rStyle w:val="eop"/>
          <w:rFonts w:ascii="Arial" w:hAnsi="Arial" w:cs="Arial"/>
          <w:color w:val="272727"/>
        </w:rPr>
        <w:t>Government owned IP?</w:t>
      </w:r>
      <w:r w:rsidR="002977AA" w:rsidRPr="002977AA">
        <w:rPr>
          <w:rStyle w:val="eop"/>
          <w:rFonts w:ascii="Arial" w:hAnsi="Arial" w:cs="Arial"/>
          <w:color w:val="272727"/>
        </w:rPr>
        <w:t xml:space="preserve"> </w:t>
      </w:r>
      <w:r w:rsidR="002977AA">
        <w:rPr>
          <w:rStyle w:val="eop"/>
          <w:rFonts w:ascii="Arial" w:hAnsi="Arial" w:cs="Arial"/>
          <w:color w:val="272727"/>
        </w:rPr>
        <w:t>If an approach used in one of the above mentioned Australian jurisdictions is preferred, please outline why this model should be considered for W</w:t>
      </w:r>
      <w:r w:rsidR="00A12388">
        <w:rPr>
          <w:rStyle w:val="eop"/>
          <w:rFonts w:ascii="Arial" w:hAnsi="Arial" w:cs="Arial"/>
          <w:color w:val="272727"/>
        </w:rPr>
        <w:t>estern Australia</w:t>
      </w:r>
      <w:r w:rsidR="002977AA">
        <w:rPr>
          <w:rStyle w:val="eop"/>
          <w:rFonts w:ascii="Arial" w:hAnsi="Arial" w:cs="Arial"/>
          <w:color w:val="272727"/>
        </w:rPr>
        <w:t>.</w:t>
      </w:r>
    </w:p>
    <w:p w14:paraId="365BBA45" w14:textId="391A64A0" w:rsidR="005265D8" w:rsidRDefault="005265D8" w:rsidP="00EA1482">
      <w:pPr>
        <w:pStyle w:val="BodyText"/>
        <w:numPr>
          <w:ilvl w:val="0"/>
          <w:numId w:val="23"/>
        </w:numPr>
        <w:rPr>
          <w:rStyle w:val="eop"/>
          <w:rFonts w:ascii="Arial" w:hAnsi="Arial" w:cs="Arial"/>
          <w:color w:val="272727"/>
        </w:rPr>
      </w:pPr>
      <w:r>
        <w:rPr>
          <w:rStyle w:val="eop"/>
          <w:rFonts w:ascii="Arial" w:hAnsi="Arial" w:cs="Arial"/>
          <w:color w:val="272727"/>
        </w:rPr>
        <w:t xml:space="preserve">Are there any additional factors or processes that would assist WA </w:t>
      </w:r>
      <w:r w:rsidR="003F0AAC">
        <w:rPr>
          <w:rStyle w:val="eop"/>
          <w:rFonts w:ascii="Arial" w:hAnsi="Arial" w:cs="Arial"/>
          <w:color w:val="272727"/>
        </w:rPr>
        <w:t xml:space="preserve">Government </w:t>
      </w:r>
      <w:r>
        <w:rPr>
          <w:rStyle w:val="eop"/>
          <w:rFonts w:ascii="Arial" w:hAnsi="Arial" w:cs="Arial"/>
          <w:color w:val="272727"/>
        </w:rPr>
        <w:t xml:space="preserve">agencies in determining whether to commercialise that </w:t>
      </w:r>
      <w:r w:rsidR="003F0AAC">
        <w:rPr>
          <w:rStyle w:val="eop"/>
          <w:rFonts w:ascii="Arial" w:hAnsi="Arial" w:cs="Arial"/>
          <w:color w:val="272727"/>
        </w:rPr>
        <w:t>are not</w:t>
      </w:r>
      <w:r>
        <w:rPr>
          <w:rStyle w:val="eop"/>
          <w:rFonts w:ascii="Arial" w:hAnsi="Arial" w:cs="Arial"/>
          <w:color w:val="272727"/>
        </w:rPr>
        <w:t xml:space="preserve"> outlined above?</w:t>
      </w:r>
    </w:p>
    <w:p w14:paraId="44931622" w14:textId="22534809" w:rsidR="007167A1" w:rsidRPr="007167A1" w:rsidRDefault="007167A1" w:rsidP="00EA1482">
      <w:pPr>
        <w:pStyle w:val="BodyText"/>
        <w:numPr>
          <w:ilvl w:val="0"/>
          <w:numId w:val="23"/>
        </w:numPr>
        <w:rPr>
          <w:rStyle w:val="eop"/>
          <w:rFonts w:ascii="Arial" w:hAnsi="Arial" w:cs="Arial"/>
          <w:color w:val="272727"/>
        </w:rPr>
      </w:pPr>
      <w:r>
        <w:rPr>
          <w:rStyle w:val="eop"/>
          <w:rFonts w:ascii="Arial" w:hAnsi="Arial" w:cs="Arial"/>
          <w:color w:val="272727"/>
        </w:rPr>
        <w:t xml:space="preserve">How should the assessment of risk be balanced against the potential benefits of commercialisation? What type of guidance would benefit WA Government agencies in assessing and appropriately managing these risks? </w:t>
      </w:r>
    </w:p>
    <w:p w14:paraId="7805B065" w14:textId="4003F009" w:rsidR="005265D8" w:rsidRPr="00244519" w:rsidRDefault="005265D8" w:rsidP="00EA1482">
      <w:pPr>
        <w:pStyle w:val="BodyText"/>
        <w:numPr>
          <w:ilvl w:val="0"/>
          <w:numId w:val="23"/>
        </w:numPr>
        <w:rPr>
          <w:rStyle w:val="eop"/>
          <w:rFonts w:ascii="Arial" w:hAnsi="Arial" w:cs="Arial"/>
          <w:color w:val="272727"/>
        </w:rPr>
      </w:pPr>
      <w:r>
        <w:rPr>
          <w:rStyle w:val="eop"/>
          <w:rFonts w:ascii="Arial" w:hAnsi="Arial" w:cs="Arial"/>
          <w:color w:val="272727"/>
        </w:rPr>
        <w:t>Should an updated WA Government IP Policy encourage the formation of spin off companies or joint venture arrangements? What factors</w:t>
      </w:r>
      <w:r w:rsidR="007167A1">
        <w:rPr>
          <w:rStyle w:val="eop"/>
          <w:rFonts w:ascii="Arial" w:hAnsi="Arial" w:cs="Arial"/>
          <w:color w:val="272727"/>
        </w:rPr>
        <w:t xml:space="preserve"> or risk assessments</w:t>
      </w:r>
      <w:r>
        <w:rPr>
          <w:rStyle w:val="eop"/>
          <w:rFonts w:ascii="Arial" w:hAnsi="Arial" w:cs="Arial"/>
          <w:color w:val="272727"/>
        </w:rPr>
        <w:t xml:space="preserve"> should be taken into consideration by agencies in determining whether this is appropriate?</w:t>
      </w:r>
    </w:p>
    <w:p w14:paraId="1267A51B" w14:textId="0D4D0FE6" w:rsidR="00E41BCA" w:rsidRPr="00F832F9" w:rsidRDefault="005265D8" w:rsidP="00EA1482">
      <w:pPr>
        <w:pStyle w:val="Bullet"/>
        <w:spacing w:after="160" w:line="259" w:lineRule="auto"/>
        <w:rPr>
          <w:b/>
          <w:bCs/>
          <w:color w:val="9E4A9C"/>
          <w:sz w:val="32"/>
          <w:szCs w:val="32"/>
        </w:rPr>
      </w:pPr>
      <w:r w:rsidRPr="1D2F3123">
        <w:rPr>
          <w:rStyle w:val="eop"/>
          <w:rFonts w:ascii="Arial" w:hAnsi="Arial" w:cs="Arial"/>
        </w:rPr>
        <w:t>If an alternative approach is preferred to the proposed approach outlined above, please outline what this includes and the rationale</w:t>
      </w:r>
      <w:r w:rsidR="00690124" w:rsidRPr="1D2F3123">
        <w:rPr>
          <w:rStyle w:val="eop"/>
          <w:rFonts w:ascii="Arial" w:hAnsi="Arial" w:cs="Arial"/>
        </w:rPr>
        <w:t>.</w:t>
      </w:r>
      <w:bookmarkStart w:id="247" w:name="_Toc98835358"/>
      <w:bookmarkStart w:id="248" w:name="_Toc98835472"/>
      <w:bookmarkStart w:id="249" w:name="_Toc98853048"/>
      <w:bookmarkStart w:id="250" w:name="_Toc98853294"/>
      <w:bookmarkStart w:id="251" w:name="_Toc98853391"/>
      <w:bookmarkStart w:id="252" w:name="_Toc101971655"/>
      <w:bookmarkEnd w:id="247"/>
      <w:bookmarkEnd w:id="248"/>
      <w:bookmarkEnd w:id="249"/>
      <w:bookmarkEnd w:id="250"/>
      <w:bookmarkEnd w:id="251"/>
    </w:p>
    <w:p w14:paraId="0432102B" w14:textId="07AE2E05" w:rsidR="00A36BF1" w:rsidRPr="003D1A32" w:rsidRDefault="005B570C" w:rsidP="00EA1482">
      <w:pPr>
        <w:pStyle w:val="Heading2"/>
        <w:spacing w:before="0" w:beforeAutospacing="0" w:after="0" w:afterAutospacing="0"/>
        <w:ind w:left="578" w:hanging="578"/>
        <w:jc w:val="both"/>
      </w:pPr>
      <w:bookmarkStart w:id="253" w:name="_Toc104976305"/>
      <w:bookmarkStart w:id="254" w:name="_Toc114829911"/>
      <w:r>
        <w:t>Benefit sharing arrangements</w:t>
      </w:r>
      <w:bookmarkEnd w:id="252"/>
      <w:bookmarkEnd w:id="253"/>
      <w:bookmarkEnd w:id="254"/>
    </w:p>
    <w:p w14:paraId="4297B80C" w14:textId="094B2B32" w:rsidR="005B570C" w:rsidRDefault="005265D8" w:rsidP="00EA1482">
      <w:pPr>
        <w:pStyle w:val="BodyText"/>
        <w:numPr>
          <w:ilvl w:val="0"/>
          <w:numId w:val="24"/>
        </w:numPr>
        <w:rPr>
          <w:rStyle w:val="eop"/>
          <w:rFonts w:ascii="Arial" w:hAnsi="Arial" w:cs="Arial"/>
          <w:iCs/>
          <w:color w:val="272727"/>
        </w:rPr>
      </w:pPr>
      <w:r>
        <w:rPr>
          <w:rStyle w:val="eop"/>
          <w:rFonts w:ascii="Arial" w:hAnsi="Arial" w:cs="Arial"/>
          <w:iCs/>
          <w:color w:val="272727"/>
        </w:rPr>
        <w:t>What is a fair and appropriate benefit sharing arrangement for the W</w:t>
      </w:r>
      <w:r w:rsidR="00C7091A">
        <w:rPr>
          <w:rStyle w:val="eop"/>
          <w:rFonts w:ascii="Arial" w:hAnsi="Arial" w:cs="Arial"/>
          <w:iCs/>
          <w:color w:val="272727"/>
        </w:rPr>
        <w:t>estern Australia</w:t>
      </w:r>
      <w:r w:rsidR="005B55AA">
        <w:rPr>
          <w:rStyle w:val="eop"/>
          <w:rFonts w:ascii="Arial" w:hAnsi="Arial" w:cs="Arial"/>
          <w:iCs/>
          <w:color w:val="272727"/>
        </w:rPr>
        <w:t>n</w:t>
      </w:r>
      <w:r>
        <w:rPr>
          <w:rStyle w:val="eop"/>
          <w:rFonts w:ascii="Arial" w:hAnsi="Arial" w:cs="Arial"/>
          <w:iCs/>
          <w:color w:val="272727"/>
        </w:rPr>
        <w:t xml:space="preserve"> public sector? Please outline any suggestions and their rationale.</w:t>
      </w:r>
    </w:p>
    <w:p w14:paraId="6451B0B3" w14:textId="0C9EB2E1" w:rsidR="00C55944" w:rsidRPr="00C7091A" w:rsidRDefault="00571748" w:rsidP="00EA1482">
      <w:pPr>
        <w:pStyle w:val="BodyText"/>
        <w:numPr>
          <w:ilvl w:val="0"/>
          <w:numId w:val="24"/>
        </w:numPr>
        <w:rPr>
          <w:rStyle w:val="eop"/>
          <w:rFonts w:ascii="Arial" w:hAnsi="Arial" w:cs="Arial"/>
          <w:iCs/>
          <w:color w:val="272727"/>
        </w:rPr>
      </w:pPr>
      <w:r w:rsidRPr="00203F5F">
        <w:rPr>
          <w:rStyle w:val="eop"/>
          <w:rFonts w:ascii="Arial" w:hAnsi="Arial" w:cs="Arial"/>
          <w:iCs/>
          <w:color w:val="272727"/>
        </w:rPr>
        <w:t>Are there any factors or risks the IP Review should take into consideration in developing an appropriate benefit sharing arrangement?</w:t>
      </w:r>
      <w:bookmarkStart w:id="255" w:name="_Toc101971656"/>
      <w:bookmarkStart w:id="256" w:name="_Toc104976306"/>
      <w:r w:rsidR="00C55944" w:rsidRPr="00C7091A">
        <w:rPr>
          <w:rStyle w:val="eop"/>
          <w:rFonts w:ascii="Arial" w:hAnsi="Arial" w:cs="Arial"/>
          <w:iCs/>
          <w:color w:val="272727"/>
        </w:rPr>
        <w:br w:type="page"/>
      </w:r>
    </w:p>
    <w:p w14:paraId="53161D28" w14:textId="00D6909E" w:rsidR="00A36BF1" w:rsidRPr="003D1A32" w:rsidRDefault="00901F23" w:rsidP="00EA1482">
      <w:pPr>
        <w:pStyle w:val="Heading2"/>
        <w:jc w:val="both"/>
      </w:pPr>
      <w:bookmarkStart w:id="257" w:name="_Toc114829912"/>
      <w:r>
        <w:lastRenderedPageBreak/>
        <w:t>R</w:t>
      </w:r>
      <w:r w:rsidR="00824E7A">
        <w:t>ewards and incentives</w:t>
      </w:r>
      <w:bookmarkEnd w:id="255"/>
      <w:bookmarkEnd w:id="256"/>
      <w:bookmarkEnd w:id="257"/>
    </w:p>
    <w:p w14:paraId="28398213" w14:textId="77777777" w:rsidR="005265D8" w:rsidRDefault="005265D8" w:rsidP="00EA1482">
      <w:pPr>
        <w:pStyle w:val="Bullet"/>
        <w:ind w:left="397" w:hanging="397"/>
      </w:pPr>
      <w:r>
        <w:t>What are community perceptions and expectations regarding fair and reasonable monetary and other rewards for Relevant Employees?</w:t>
      </w:r>
    </w:p>
    <w:p w14:paraId="413FCD46" w14:textId="77777777" w:rsidR="005265D8" w:rsidRPr="00AD0653" w:rsidRDefault="005265D8" w:rsidP="00EA1482">
      <w:pPr>
        <w:pStyle w:val="Bullet"/>
        <w:ind w:left="397" w:hanging="397"/>
        <w:rPr>
          <w:rStyle w:val="eop"/>
        </w:rPr>
      </w:pPr>
      <w:r w:rsidRPr="1D2F3123">
        <w:rPr>
          <w:rStyle w:val="eop"/>
          <w:rFonts w:ascii="Arial" w:hAnsi="Arial" w:cs="Arial"/>
        </w:rPr>
        <w:t>Are there any factors or risks the IP Review should take into consideration in developing reward and incentive arrangements?</w:t>
      </w:r>
    </w:p>
    <w:p w14:paraId="4924AE0A" w14:textId="77777777" w:rsidR="005265D8" w:rsidRDefault="005265D8" w:rsidP="00EA1482">
      <w:pPr>
        <w:pStyle w:val="Bullet"/>
        <w:ind w:left="397" w:hanging="397"/>
        <w:rPr>
          <w:rStyle w:val="eop"/>
          <w:rFonts w:ascii="Arial" w:hAnsi="Arial" w:cs="Arial"/>
          <w:color w:val="272727"/>
        </w:rPr>
      </w:pPr>
      <w:r w:rsidRPr="1D2F3123">
        <w:rPr>
          <w:rStyle w:val="eop"/>
          <w:rFonts w:ascii="Arial" w:hAnsi="Arial" w:cs="Arial"/>
        </w:rPr>
        <w:t xml:space="preserve">Are there any concerns with retaining the current Act of Grace payment mechanism to provide for the financial reward of Relevant Employees? </w:t>
      </w:r>
    </w:p>
    <w:p w14:paraId="1F359CE3" w14:textId="77777777" w:rsidR="005265D8" w:rsidRDefault="005265D8" w:rsidP="00EA1482">
      <w:pPr>
        <w:pStyle w:val="Bullet"/>
        <w:ind w:left="397" w:hanging="397"/>
        <w:rPr>
          <w:rStyle w:val="eop"/>
          <w:rFonts w:ascii="Arial" w:hAnsi="Arial" w:cs="Arial"/>
          <w:color w:val="272727"/>
        </w:rPr>
      </w:pPr>
      <w:r w:rsidRPr="1D2F3123">
        <w:rPr>
          <w:rStyle w:val="eop"/>
          <w:rFonts w:ascii="Arial" w:hAnsi="Arial" w:cs="Arial"/>
        </w:rPr>
        <w:t>What other reward mechanisms would be suitable to the IP environment, for instance, greater flexibility of agencies to have greater discretion or control over the payment of rewards?</w:t>
      </w:r>
    </w:p>
    <w:p w14:paraId="1E73945D" w14:textId="7DCC10BE" w:rsidR="0096372B" w:rsidRPr="005265D8" w:rsidRDefault="005265D8" w:rsidP="00EA1482">
      <w:pPr>
        <w:pStyle w:val="Bullet"/>
        <w:ind w:left="397" w:hanging="397"/>
        <w:rPr>
          <w:rStyle w:val="eop"/>
          <w:rFonts w:ascii="Arial" w:hAnsi="Arial" w:cs="Arial"/>
          <w:color w:val="272727"/>
        </w:rPr>
      </w:pPr>
      <w:r w:rsidRPr="1D2F3123">
        <w:rPr>
          <w:rStyle w:val="eop"/>
          <w:rFonts w:ascii="Arial" w:hAnsi="Arial" w:cs="Arial"/>
        </w:rPr>
        <w:t>What other rewards mechanisms could be put in place to encourage invention/innovation across the public sector and attract and retain talent?</w:t>
      </w:r>
    </w:p>
    <w:p w14:paraId="2291E472" w14:textId="7A57AC8C" w:rsidR="00A36BF1" w:rsidRPr="003D1A32" w:rsidRDefault="00750965" w:rsidP="00EA1482">
      <w:pPr>
        <w:pStyle w:val="Heading2"/>
        <w:jc w:val="both"/>
      </w:pPr>
      <w:bookmarkStart w:id="258" w:name="_Toc104976307"/>
      <w:bookmarkStart w:id="259" w:name="_Toc104976308"/>
      <w:bookmarkStart w:id="260" w:name="_Toc104976309"/>
      <w:bookmarkStart w:id="261" w:name="_Toc104976310"/>
      <w:bookmarkStart w:id="262" w:name="_Toc101971657"/>
      <w:bookmarkStart w:id="263" w:name="_Toc104976311"/>
      <w:bookmarkStart w:id="264" w:name="_Toc114829913"/>
      <w:bookmarkEnd w:id="258"/>
      <w:bookmarkEnd w:id="259"/>
      <w:bookmarkEnd w:id="260"/>
      <w:bookmarkEnd w:id="261"/>
      <w:r>
        <w:t>Scope and application of the IP Policy</w:t>
      </w:r>
      <w:bookmarkEnd w:id="262"/>
      <w:bookmarkEnd w:id="263"/>
      <w:bookmarkEnd w:id="264"/>
    </w:p>
    <w:p w14:paraId="698F27D3" w14:textId="77777777" w:rsidR="005265D8" w:rsidRDefault="005265D8" w:rsidP="00EA1482">
      <w:pPr>
        <w:pStyle w:val="BodyText"/>
        <w:numPr>
          <w:ilvl w:val="0"/>
          <w:numId w:val="24"/>
        </w:numPr>
        <w:ind w:left="397" w:hanging="397"/>
        <w:rPr>
          <w:rStyle w:val="eop"/>
          <w:rFonts w:ascii="Arial" w:hAnsi="Arial" w:cs="Arial"/>
          <w:color w:val="272727"/>
        </w:rPr>
      </w:pPr>
      <w:bookmarkStart w:id="265" w:name="_Toc98160093"/>
      <w:bookmarkStart w:id="266" w:name="_Toc101971658"/>
      <w:bookmarkStart w:id="267" w:name="_Toc104976312"/>
      <w:r>
        <w:rPr>
          <w:rStyle w:val="eop"/>
          <w:rFonts w:ascii="Arial" w:hAnsi="Arial" w:cs="Arial"/>
          <w:color w:val="272727"/>
        </w:rPr>
        <w:t>Does the proposed scope and application of the updated WA Government IP Policy pose any issues or concerns for stakeholders?</w:t>
      </w:r>
    </w:p>
    <w:p w14:paraId="33F7B89F" w14:textId="77777777" w:rsidR="005265D8" w:rsidRPr="00B357D6" w:rsidRDefault="005265D8" w:rsidP="00EA1482">
      <w:pPr>
        <w:pStyle w:val="BodyText"/>
        <w:numPr>
          <w:ilvl w:val="0"/>
          <w:numId w:val="24"/>
        </w:numPr>
        <w:ind w:left="397" w:hanging="397"/>
        <w:rPr>
          <w:rFonts w:eastAsia="SimHei"/>
        </w:rPr>
      </w:pPr>
      <w:r>
        <w:rPr>
          <w:rStyle w:val="eop"/>
          <w:rFonts w:ascii="Arial" w:hAnsi="Arial" w:cs="Arial"/>
          <w:color w:val="272727"/>
        </w:rPr>
        <w:t>Are there any alternatives to the proposed scope and application of the updated WA Government IP Policy?</w:t>
      </w:r>
    </w:p>
    <w:p w14:paraId="04407DE5" w14:textId="6BD59D7E" w:rsidR="00A36BF1" w:rsidRPr="003D1A32" w:rsidRDefault="006C2BCF" w:rsidP="00EA1482">
      <w:pPr>
        <w:pStyle w:val="Heading2"/>
        <w:jc w:val="both"/>
      </w:pPr>
      <w:bookmarkStart w:id="268" w:name="_Toc114829914"/>
      <w:r>
        <w:t>Proposed implementation measures</w:t>
      </w:r>
      <w:bookmarkEnd w:id="265"/>
      <w:bookmarkEnd w:id="266"/>
      <w:bookmarkEnd w:id="267"/>
      <w:bookmarkEnd w:id="268"/>
    </w:p>
    <w:p w14:paraId="3AD033A6" w14:textId="6B8C38E2" w:rsidR="00E941CC" w:rsidRPr="00C7091A" w:rsidRDefault="00E941CC" w:rsidP="00EA1482">
      <w:pPr>
        <w:pStyle w:val="Bullet"/>
        <w:ind w:left="397" w:hanging="397"/>
        <w:rPr>
          <w:rStyle w:val="eop"/>
          <w:rFonts w:eastAsia="Arial"/>
          <w:bCs/>
        </w:rPr>
      </w:pPr>
      <w:r w:rsidRPr="00C7091A">
        <w:rPr>
          <w:rStyle w:val="eop"/>
          <w:rFonts w:ascii="Arial" w:hAnsi="Arial" w:cs="Arial"/>
        </w:rPr>
        <w:t xml:space="preserve">Are there any additional features that </w:t>
      </w:r>
      <w:r w:rsidR="00963F26" w:rsidRPr="00C7091A">
        <w:rPr>
          <w:rStyle w:val="eop"/>
          <w:rFonts w:ascii="Arial" w:hAnsi="Arial" w:cs="Arial"/>
        </w:rPr>
        <w:t xml:space="preserve">could </w:t>
      </w:r>
      <w:r w:rsidRPr="00C7091A">
        <w:rPr>
          <w:rStyle w:val="eop"/>
          <w:rFonts w:ascii="Arial" w:hAnsi="Arial" w:cs="Arial"/>
        </w:rPr>
        <w:t>be included in the online training and resource hub?</w:t>
      </w:r>
    </w:p>
    <w:p w14:paraId="785B3F3D" w14:textId="5F2C3CF4" w:rsidR="00A36BF1" w:rsidRPr="00C7091A" w:rsidRDefault="006C2BCF" w:rsidP="00EA1482">
      <w:pPr>
        <w:pStyle w:val="Bullet"/>
        <w:ind w:left="397" w:hanging="397"/>
        <w:rPr>
          <w:rStyle w:val="eop"/>
          <w:rFonts w:ascii="Arial" w:hAnsi="Arial" w:cs="Arial"/>
          <w:color w:val="272727"/>
        </w:rPr>
      </w:pPr>
      <w:r w:rsidRPr="00C7091A">
        <w:rPr>
          <w:rStyle w:val="eop"/>
          <w:rFonts w:ascii="Arial" w:hAnsi="Arial" w:cs="Arial"/>
        </w:rPr>
        <w:t xml:space="preserve">Would the establishment of a community of practice assist </w:t>
      </w:r>
      <w:r w:rsidR="003F0AAC" w:rsidRPr="00C7091A">
        <w:rPr>
          <w:rStyle w:val="eop"/>
          <w:rFonts w:ascii="Arial" w:hAnsi="Arial" w:cs="Arial"/>
        </w:rPr>
        <w:t xml:space="preserve">WA </w:t>
      </w:r>
      <w:r w:rsidRPr="00C7091A">
        <w:rPr>
          <w:rStyle w:val="eop"/>
          <w:rFonts w:ascii="Arial" w:hAnsi="Arial" w:cs="Arial"/>
        </w:rPr>
        <w:t>Government agencies developing and managing IP?</w:t>
      </w:r>
      <w:r w:rsidR="003F0AAC" w:rsidRPr="00C7091A">
        <w:rPr>
          <w:rStyle w:val="eop"/>
          <w:rFonts w:ascii="Arial" w:hAnsi="Arial" w:cs="Arial"/>
        </w:rPr>
        <w:t xml:space="preserve"> Are the components of the proposed community of practice appropriate, or are there other </w:t>
      </w:r>
      <w:r w:rsidR="00FA7A10" w:rsidRPr="00C7091A">
        <w:rPr>
          <w:rStyle w:val="eop"/>
          <w:rFonts w:ascii="Arial" w:hAnsi="Arial" w:cs="Arial"/>
        </w:rPr>
        <w:t>factors</w:t>
      </w:r>
      <w:r w:rsidR="003F0AAC" w:rsidRPr="00C7091A">
        <w:rPr>
          <w:rStyle w:val="eop"/>
          <w:rFonts w:ascii="Arial" w:hAnsi="Arial" w:cs="Arial"/>
        </w:rPr>
        <w:t xml:space="preserve"> that need to be considered?</w:t>
      </w:r>
    </w:p>
    <w:p w14:paraId="72141786" w14:textId="7D8694DB" w:rsidR="006C2BCF" w:rsidRPr="00C7091A" w:rsidRDefault="006C2BCF" w:rsidP="00EA1482">
      <w:pPr>
        <w:pStyle w:val="Bullet"/>
        <w:ind w:left="397" w:hanging="397"/>
        <w:rPr>
          <w:rStyle w:val="eop"/>
          <w:rFonts w:ascii="Arial" w:hAnsi="Arial" w:cs="Arial"/>
          <w:color w:val="272727"/>
        </w:rPr>
      </w:pPr>
      <w:r w:rsidRPr="00C7091A">
        <w:rPr>
          <w:rStyle w:val="eop"/>
          <w:rFonts w:ascii="Arial" w:hAnsi="Arial" w:cs="Arial"/>
        </w:rPr>
        <w:t xml:space="preserve">Should membership of the community of practice be limited to </w:t>
      </w:r>
      <w:r w:rsidR="003F0AAC" w:rsidRPr="00C7091A">
        <w:rPr>
          <w:rStyle w:val="eop"/>
          <w:rFonts w:ascii="Arial" w:hAnsi="Arial" w:cs="Arial"/>
        </w:rPr>
        <w:t xml:space="preserve">WA </w:t>
      </w:r>
      <w:r w:rsidRPr="00C7091A">
        <w:rPr>
          <w:rStyle w:val="eop"/>
          <w:rFonts w:ascii="Arial" w:hAnsi="Arial" w:cs="Arial"/>
        </w:rPr>
        <w:t>Government agencies or include non-Government stakeholders with an interest in research and innovation?</w:t>
      </w:r>
    </w:p>
    <w:p w14:paraId="460376E6" w14:textId="4C39E0C8" w:rsidR="006E4829" w:rsidRPr="00C7091A" w:rsidRDefault="368DDA19" w:rsidP="00EA1482">
      <w:pPr>
        <w:pStyle w:val="Bullet"/>
        <w:ind w:left="397" w:hanging="397"/>
      </w:pPr>
      <w:r w:rsidRPr="00C7091A">
        <w:t xml:space="preserve">Would the establishment of an expert panel of patent and trademark attorneys and commercialisation experts facilitate better outcomes for </w:t>
      </w:r>
      <w:r w:rsidR="76B688D7" w:rsidRPr="00C7091A">
        <w:t xml:space="preserve">WA </w:t>
      </w:r>
      <w:r w:rsidRPr="00C7091A">
        <w:t xml:space="preserve">Government agencies? </w:t>
      </w:r>
    </w:p>
    <w:p w14:paraId="0DF5249B" w14:textId="4C39E0C8" w:rsidR="006E4829" w:rsidRPr="00C7091A" w:rsidRDefault="368DDA19" w:rsidP="00EA1482">
      <w:pPr>
        <w:pStyle w:val="Bullet"/>
        <w:ind w:left="397" w:hanging="397"/>
      </w:pPr>
      <w:r w:rsidRPr="00C7091A">
        <w:t xml:space="preserve">What options could be considered to improve </w:t>
      </w:r>
      <w:r w:rsidR="76B688D7" w:rsidRPr="00C7091A">
        <w:t xml:space="preserve">WA </w:t>
      </w:r>
      <w:r w:rsidRPr="00C7091A">
        <w:t>Government agency access to appropriate IP expertise?</w:t>
      </w:r>
    </w:p>
    <w:p w14:paraId="0DFBA60C" w14:textId="4C39E0C8" w:rsidR="00A5110C" w:rsidRPr="00C7091A" w:rsidRDefault="008D306B" w:rsidP="00EA1482">
      <w:pPr>
        <w:pStyle w:val="Bullet"/>
        <w:ind w:left="397" w:hanging="397"/>
      </w:pPr>
      <w:r w:rsidRPr="00C7091A">
        <w:t xml:space="preserve">Should access to the proposed advisory services be limited to </w:t>
      </w:r>
      <w:r w:rsidR="003F0AAC" w:rsidRPr="00C7091A">
        <w:t xml:space="preserve">WA </w:t>
      </w:r>
      <w:r w:rsidRPr="00C7091A">
        <w:t>Government agencies or expanded to include non-government organisations involved in the development of IP such as WA universities?</w:t>
      </w:r>
    </w:p>
    <w:sectPr w:rsidR="00A5110C" w:rsidRPr="00C7091A" w:rsidSect="00984FA1">
      <w:headerReference w:type="first" r:id="rId21"/>
      <w:footerReference w:type="first" r:id="rId22"/>
      <w:pgSz w:w="11906" w:h="16838" w:code="9"/>
      <w:pgMar w:top="1985"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EA81E" w14:textId="77777777" w:rsidR="001F4ED4" w:rsidRDefault="001F4ED4" w:rsidP="00FD0353">
      <w:pPr>
        <w:spacing w:after="0" w:line="240" w:lineRule="auto"/>
      </w:pPr>
      <w:r>
        <w:separator/>
      </w:r>
    </w:p>
  </w:endnote>
  <w:endnote w:type="continuationSeparator" w:id="0">
    <w:p w14:paraId="4397903B" w14:textId="77777777" w:rsidR="001F4ED4" w:rsidRDefault="001F4ED4" w:rsidP="00FD0353">
      <w:pPr>
        <w:spacing w:after="0" w:line="240" w:lineRule="auto"/>
      </w:pPr>
      <w:r>
        <w:continuationSeparator/>
      </w:r>
    </w:p>
  </w:endnote>
  <w:endnote w:type="continuationNotice" w:id="1">
    <w:p w14:paraId="10D0F4A4" w14:textId="77777777" w:rsidR="001F4ED4" w:rsidRDefault="001F4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BD89" w14:textId="77777777" w:rsidR="00E31CC1" w:rsidRDefault="00E3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441044"/>
      <w:docPartObj>
        <w:docPartGallery w:val="Page Numbers (Bottom of Page)"/>
        <w:docPartUnique/>
      </w:docPartObj>
    </w:sdtPr>
    <w:sdtEndPr>
      <w:rPr>
        <w:noProof/>
        <w:sz w:val="20"/>
      </w:rPr>
    </w:sdtEndPr>
    <w:sdtContent>
      <w:p w14:paraId="25A0C03A" w14:textId="6CF1CF73" w:rsidR="00E31CC1" w:rsidRPr="006F5622" w:rsidRDefault="00E31CC1" w:rsidP="006F5622">
        <w:pPr>
          <w:pStyle w:val="Footer"/>
          <w:jc w:val="right"/>
          <w:rPr>
            <w:sz w:val="20"/>
          </w:rPr>
        </w:pPr>
        <w:r w:rsidRPr="007C5097">
          <w:rPr>
            <w:sz w:val="20"/>
          </w:rPr>
          <w:fldChar w:fldCharType="begin"/>
        </w:r>
        <w:r w:rsidRPr="007C5097">
          <w:rPr>
            <w:sz w:val="20"/>
          </w:rPr>
          <w:instrText xml:space="preserve"> PAGE   \* MERGEFORMAT </w:instrText>
        </w:r>
        <w:r w:rsidRPr="007C5097">
          <w:rPr>
            <w:sz w:val="20"/>
          </w:rPr>
          <w:fldChar w:fldCharType="separate"/>
        </w:r>
        <w:r w:rsidR="008C343B">
          <w:rPr>
            <w:noProof/>
            <w:sz w:val="20"/>
          </w:rPr>
          <w:t>2</w:t>
        </w:r>
        <w:r w:rsidRPr="007C5097">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DFB9" w14:textId="77777777" w:rsidR="00E31CC1" w:rsidRDefault="00E31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CCC6" w14:textId="62DF7D33" w:rsidR="00E31CC1" w:rsidRPr="00230B32" w:rsidRDefault="00E31CC1" w:rsidP="00984FA1">
    <w:pPr>
      <w:pStyle w:val="Footer"/>
      <w:jc w:val="right"/>
      <w:rPr>
        <w:rFonts w:asciiTheme="minorHAnsi" w:hAnsiTheme="minorHAnsi" w:cstheme="minorHAnsi"/>
      </w:rPr>
    </w:pPr>
    <w:r w:rsidRPr="00230B32">
      <w:rPr>
        <w:rFonts w:asciiTheme="minorHAnsi" w:hAnsiTheme="minorHAnsi" w:cstheme="minorHAnsi"/>
      </w:rPr>
      <w:fldChar w:fldCharType="begin"/>
    </w:r>
    <w:r w:rsidRPr="00230B32">
      <w:rPr>
        <w:rFonts w:asciiTheme="minorHAnsi" w:hAnsiTheme="minorHAnsi" w:cstheme="minorHAnsi"/>
      </w:rPr>
      <w:instrText xml:space="preserve"> PAGE   \* MERGEFORMAT </w:instrText>
    </w:r>
    <w:r w:rsidRPr="00230B32">
      <w:rPr>
        <w:rFonts w:asciiTheme="minorHAnsi" w:hAnsiTheme="minorHAnsi" w:cstheme="minorHAnsi"/>
      </w:rPr>
      <w:fldChar w:fldCharType="separate"/>
    </w:r>
    <w:r w:rsidR="008C343B">
      <w:rPr>
        <w:rFonts w:asciiTheme="minorHAnsi" w:hAnsiTheme="minorHAnsi" w:cstheme="minorHAnsi"/>
        <w:noProof/>
      </w:rPr>
      <w:t>8</w:t>
    </w:r>
    <w:r w:rsidRPr="00230B32">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EEF7" w14:textId="77777777" w:rsidR="001F4ED4" w:rsidRDefault="001F4ED4" w:rsidP="00FD0353">
      <w:pPr>
        <w:spacing w:after="0" w:line="240" w:lineRule="auto"/>
      </w:pPr>
      <w:r>
        <w:separator/>
      </w:r>
    </w:p>
  </w:footnote>
  <w:footnote w:type="continuationSeparator" w:id="0">
    <w:p w14:paraId="44F612BA" w14:textId="77777777" w:rsidR="001F4ED4" w:rsidRDefault="001F4ED4" w:rsidP="00FD0353">
      <w:pPr>
        <w:spacing w:after="0" w:line="240" w:lineRule="auto"/>
      </w:pPr>
      <w:r>
        <w:continuationSeparator/>
      </w:r>
    </w:p>
  </w:footnote>
  <w:footnote w:type="continuationNotice" w:id="1">
    <w:p w14:paraId="43EFD867" w14:textId="77777777" w:rsidR="001F4ED4" w:rsidRDefault="001F4ED4">
      <w:pPr>
        <w:spacing w:after="0" w:line="240" w:lineRule="auto"/>
      </w:pPr>
    </w:p>
  </w:footnote>
  <w:footnote w:id="2">
    <w:p w14:paraId="5D8BC5C4" w14:textId="43C4AB74" w:rsidR="00E31CC1" w:rsidRDefault="00E31CC1">
      <w:pPr>
        <w:pStyle w:val="FootnoteText"/>
      </w:pPr>
      <w:r>
        <w:rPr>
          <w:rStyle w:val="FootnoteReference"/>
        </w:rPr>
        <w:footnoteRef/>
      </w:r>
      <w:r>
        <w:t xml:space="preserve"> Case study provided by the Western Australian Department of Biodiversity, Conservation and Attractions. </w:t>
      </w:r>
    </w:p>
  </w:footnote>
  <w:footnote w:id="3">
    <w:p w14:paraId="21F8CFE1" w14:textId="67375B67" w:rsidR="00E31CC1" w:rsidRDefault="00E31CC1" w:rsidP="004F6627">
      <w:pPr>
        <w:pStyle w:val="FootnoteText"/>
      </w:pPr>
      <w:r>
        <w:rPr>
          <w:rStyle w:val="FootnoteReference"/>
        </w:rPr>
        <w:footnoteRef/>
      </w:r>
      <w:r>
        <w:t xml:space="preserve"> World Intellectual Property Organisation (2018) </w:t>
      </w:r>
      <w:r w:rsidRPr="00CB1F34">
        <w:rPr>
          <w:i/>
        </w:rPr>
        <w:t>Report on IP Management by Government in Australia</w:t>
      </w:r>
      <w:r>
        <w:t xml:space="preserve">, p.32. </w:t>
      </w:r>
    </w:p>
  </w:footnote>
  <w:footnote w:id="4">
    <w:p w14:paraId="3A476127" w14:textId="6A1504BB" w:rsidR="00E31CC1" w:rsidRPr="00FE1A71" w:rsidRDefault="00E31CC1">
      <w:pPr>
        <w:pStyle w:val="FootnoteText"/>
      </w:pPr>
      <w:r>
        <w:rPr>
          <w:rStyle w:val="FootnoteReference"/>
        </w:rPr>
        <w:footnoteRef/>
      </w:r>
      <w:r>
        <w:t xml:space="preserve"> Department of Jobs, Tourism, Science and Innovation, (2021), </w:t>
      </w:r>
      <w:r>
        <w:rPr>
          <w:i/>
        </w:rPr>
        <w:t>Health and Medical Life Sciences Industry Strategy</w:t>
      </w:r>
      <w:r>
        <w:t>, p10.</w:t>
      </w:r>
    </w:p>
  </w:footnote>
  <w:footnote w:id="5">
    <w:p w14:paraId="706EA9B5" w14:textId="7A386514" w:rsidR="00E31CC1" w:rsidRDefault="00E31CC1">
      <w:pPr>
        <w:pStyle w:val="FootnoteText"/>
      </w:pPr>
      <w:r>
        <w:rPr>
          <w:rStyle w:val="FootnoteReference"/>
        </w:rPr>
        <w:footnoteRef/>
      </w:r>
      <w:r>
        <w:t xml:space="preserve"> Figures reported based on data obtained from the </w:t>
      </w:r>
      <w:hyperlink r:id="rId1" w:history="1">
        <w:r w:rsidRPr="00BA564B">
          <w:rPr>
            <w:rStyle w:val="Hyperlink"/>
            <w:i/>
          </w:rPr>
          <w:t>IP Australia Australian Intellectual Property Report 2021</w:t>
        </w:r>
      </w:hyperlink>
      <w:r>
        <w:t xml:space="preserve">. </w:t>
      </w:r>
    </w:p>
  </w:footnote>
  <w:footnote w:id="6">
    <w:p w14:paraId="79F94A18" w14:textId="6D8AD29B" w:rsidR="00E31CC1" w:rsidRDefault="00E31CC1">
      <w:pPr>
        <w:pStyle w:val="FootnoteText"/>
      </w:pPr>
      <w:r>
        <w:rPr>
          <w:rStyle w:val="FootnoteReference"/>
        </w:rPr>
        <w:footnoteRef/>
      </w:r>
      <w:r>
        <w:t xml:space="preserve"> Ibid</w:t>
      </w:r>
    </w:p>
  </w:footnote>
  <w:footnote w:id="7">
    <w:p w14:paraId="7F7D4A04" w14:textId="1BF7D4E5" w:rsidR="00E31CC1" w:rsidRDefault="00E31CC1">
      <w:pPr>
        <w:pStyle w:val="FootnoteText"/>
      </w:pPr>
      <w:r>
        <w:rPr>
          <w:rStyle w:val="FootnoteReference"/>
        </w:rPr>
        <w:footnoteRef/>
      </w:r>
      <w:r>
        <w:t xml:space="preserve"> All references to government agency IP should be regarded as approximations only. Information about government agencies has been compiled based on manual key word searches of IP Australia 2021 data sets and may not capture all relevant organisations.</w:t>
      </w:r>
    </w:p>
  </w:footnote>
  <w:footnote w:id="8">
    <w:p w14:paraId="7B673063" w14:textId="68B34BA8" w:rsidR="00E31CC1" w:rsidRPr="00670587" w:rsidRDefault="00E31CC1">
      <w:pPr>
        <w:pStyle w:val="FootnoteText"/>
      </w:pPr>
      <w:r w:rsidRPr="00FE1A71">
        <w:rPr>
          <w:rStyle w:val="FootnoteReference"/>
        </w:rPr>
        <w:footnoteRef/>
      </w:r>
      <w:r w:rsidRPr="00FE1A71">
        <w:t xml:space="preserve"> </w:t>
      </w:r>
      <w:hyperlink r:id="rId2" w:history="1">
        <w:r w:rsidRPr="00670587">
          <w:rPr>
            <w:rStyle w:val="Hyperlink"/>
          </w:rPr>
          <w:t>IP Australia</w:t>
        </w:r>
        <w:r>
          <w:rPr>
            <w:rStyle w:val="Hyperlink"/>
          </w:rPr>
          <w:t>,</w:t>
        </w:r>
        <w:r w:rsidRPr="00670587">
          <w:rPr>
            <w:rStyle w:val="Hyperlink"/>
          </w:rPr>
          <w:t xml:space="preserve"> </w:t>
        </w:r>
        <w:r w:rsidRPr="00BA564B">
          <w:rPr>
            <w:rStyle w:val="Hyperlink"/>
            <w:i/>
          </w:rPr>
          <w:t>Australian Intellectual Property Report 2021</w:t>
        </w:r>
      </w:hyperlink>
      <w:r w:rsidRPr="00FE1A71">
        <w:t xml:space="preserve">. </w:t>
      </w:r>
    </w:p>
  </w:footnote>
  <w:footnote w:id="9">
    <w:p w14:paraId="65E8E7E1" w14:textId="1D20258B" w:rsidR="00E31CC1" w:rsidRDefault="00E31CC1">
      <w:pPr>
        <w:pStyle w:val="FootnoteText"/>
      </w:pPr>
      <w:r w:rsidRPr="00FE1A71">
        <w:rPr>
          <w:rStyle w:val="FootnoteReference"/>
        </w:rPr>
        <w:footnoteRef/>
      </w:r>
      <w:r w:rsidRPr="00FE1A71">
        <w:t xml:space="preserve"> </w:t>
      </w:r>
      <w:r w:rsidRPr="00670587">
        <w:t>Ibid</w:t>
      </w:r>
    </w:p>
  </w:footnote>
  <w:footnote w:id="10">
    <w:p w14:paraId="40323630" w14:textId="5B2DC5DF" w:rsidR="00E31CC1" w:rsidRPr="00A231C3" w:rsidRDefault="00E31CC1">
      <w:pPr>
        <w:pStyle w:val="FootnoteText"/>
        <w:rPr>
          <w:i/>
        </w:rPr>
      </w:pPr>
      <w:r>
        <w:rPr>
          <w:rStyle w:val="FootnoteReference"/>
        </w:rPr>
        <w:footnoteRef/>
      </w:r>
      <w:r>
        <w:t xml:space="preserve"> CSIRO, </w:t>
      </w:r>
      <w:r w:rsidRPr="00A231C3">
        <w:rPr>
          <w:i/>
        </w:rPr>
        <w:t>Year in Review 2021</w:t>
      </w:r>
      <w:r>
        <w:rPr>
          <w:i/>
        </w:rPr>
        <w:t xml:space="preserve">, </w:t>
      </w:r>
      <w:r w:rsidRPr="007F71E5">
        <w:t>p.6.</w:t>
      </w:r>
      <w:r>
        <w:rPr>
          <w:i/>
        </w:rPr>
        <w:t xml:space="preserve"> </w:t>
      </w:r>
    </w:p>
  </w:footnote>
  <w:footnote w:id="11">
    <w:p w14:paraId="6F8099FA" w14:textId="40C97E23" w:rsidR="00E31CC1" w:rsidRDefault="00E31CC1">
      <w:pPr>
        <w:pStyle w:val="FootnoteText"/>
      </w:pPr>
      <w:r>
        <w:rPr>
          <w:rStyle w:val="FootnoteReference"/>
        </w:rPr>
        <w:footnoteRef/>
      </w:r>
      <w:r>
        <w:t xml:space="preserve"> Content modelled on guiding principles of </w:t>
      </w:r>
      <w:r w:rsidRPr="005A6302">
        <w:rPr>
          <w:i/>
        </w:rPr>
        <w:t>South Australian Intellectual Property Policy</w:t>
      </w:r>
      <w:r>
        <w:t xml:space="preserve"> (2017).</w:t>
      </w:r>
    </w:p>
  </w:footnote>
  <w:footnote w:id="12">
    <w:p w14:paraId="1DA85D2E" w14:textId="68D7AFA9" w:rsidR="00E31CC1" w:rsidRDefault="00E31CC1" w:rsidP="00F66202">
      <w:pPr>
        <w:pStyle w:val="FootnoteText"/>
      </w:pPr>
      <w:r>
        <w:rPr>
          <w:rStyle w:val="FootnoteReference"/>
        </w:rPr>
        <w:footnoteRef/>
      </w:r>
      <w:r>
        <w:t xml:space="preserve"> NSW Government Intellectual Property Framework 2020, pp 5, 17 and 19. </w:t>
      </w:r>
    </w:p>
  </w:footnote>
  <w:footnote w:id="13">
    <w:p w14:paraId="0D0120AE" w14:textId="5AB03E7A" w:rsidR="00E31CC1" w:rsidRDefault="00E31CC1" w:rsidP="00F66202">
      <w:pPr>
        <w:pStyle w:val="FootnoteText"/>
      </w:pPr>
      <w:r>
        <w:rPr>
          <w:rStyle w:val="FootnoteReference"/>
        </w:rPr>
        <w:footnoteRef/>
      </w:r>
      <w:r>
        <w:t xml:space="preserve"> Government of South Australia, Intellectual Property Policy (2017), p.3.</w:t>
      </w:r>
    </w:p>
  </w:footnote>
  <w:footnote w:id="14">
    <w:p w14:paraId="5B5CE9C5" w14:textId="0AE7CF46" w:rsidR="00E31CC1" w:rsidRDefault="00E31CC1" w:rsidP="00F66202">
      <w:pPr>
        <w:pStyle w:val="FootnoteText"/>
      </w:pPr>
      <w:r>
        <w:rPr>
          <w:rStyle w:val="FootnoteReference"/>
        </w:rPr>
        <w:footnoteRef/>
      </w:r>
      <w:r>
        <w:t xml:space="preserve"> Queensland Public Sector, Intellectual Property Principles 2013 (Version 2), p.10.</w:t>
      </w:r>
    </w:p>
  </w:footnote>
  <w:footnote w:id="15">
    <w:p w14:paraId="293F2A91" w14:textId="6B3C5470" w:rsidR="00E31CC1" w:rsidRPr="00BD5419" w:rsidRDefault="00E31CC1" w:rsidP="00F66202">
      <w:pPr>
        <w:pStyle w:val="FootnoteText"/>
      </w:pPr>
      <w:r>
        <w:rPr>
          <w:rStyle w:val="FootnoteReference"/>
        </w:rPr>
        <w:footnoteRef/>
      </w:r>
      <w:r>
        <w:t xml:space="preserve"> Australian Government, </w:t>
      </w:r>
      <w:r w:rsidRPr="005A6302">
        <w:rPr>
          <w:i/>
        </w:rPr>
        <w:t>Intellectual Property Principles for Commonwealth Entities</w:t>
      </w:r>
      <w:r>
        <w:t xml:space="preserve">, p.9. </w:t>
      </w:r>
    </w:p>
  </w:footnote>
  <w:footnote w:id="16">
    <w:p w14:paraId="0AC4EF66" w14:textId="2C8CC909" w:rsidR="00E31CC1" w:rsidRDefault="00E31CC1" w:rsidP="00F66202">
      <w:pPr>
        <w:pStyle w:val="FootnoteText"/>
      </w:pPr>
      <w:r>
        <w:rPr>
          <w:rStyle w:val="FootnoteReference"/>
        </w:rPr>
        <w:footnoteRef/>
      </w:r>
      <w:r>
        <w:t xml:space="preserve"> State of Victoria (Department of Treasury and Finance) (2019) </w:t>
      </w:r>
      <w:r w:rsidRPr="005A6302">
        <w:rPr>
          <w:i/>
        </w:rPr>
        <w:t>Intellectual Property Guidelines for</w:t>
      </w:r>
      <w:r>
        <w:rPr>
          <w:i/>
        </w:rPr>
        <w:t xml:space="preserve"> the Victorian</w:t>
      </w:r>
      <w:r w:rsidRPr="005A6302">
        <w:rPr>
          <w:i/>
        </w:rPr>
        <w:t xml:space="preserve"> Public Sector</w:t>
      </w:r>
      <w:r>
        <w:t>,</w:t>
      </w:r>
      <w:r w:rsidRPr="00BD42A6">
        <w:t xml:space="preserve"> </w:t>
      </w:r>
      <w:r>
        <w:t>Chapter 7.</w:t>
      </w:r>
    </w:p>
  </w:footnote>
  <w:footnote w:id="17">
    <w:p w14:paraId="3C57A22F" w14:textId="7D7E8C6C" w:rsidR="00E31CC1" w:rsidRPr="003067B9" w:rsidRDefault="00E31CC1" w:rsidP="00F66202">
      <w:pPr>
        <w:pStyle w:val="CommentText"/>
        <w:spacing w:after="0"/>
      </w:pPr>
      <w:r w:rsidRPr="00BD5419">
        <w:rPr>
          <w:rStyle w:val="FootnoteReference"/>
        </w:rPr>
        <w:footnoteRef/>
      </w:r>
      <w:r w:rsidRPr="00BD5419">
        <w:t xml:space="preserve"> </w:t>
      </w:r>
      <w:r>
        <w:t xml:space="preserve">Economic Development and Infrastructure Committee (2009) </w:t>
      </w:r>
      <w:r w:rsidRPr="00BD5419">
        <w:rPr>
          <w:shd w:val="clear" w:color="auto" w:fill="FFFFFF"/>
        </w:rPr>
        <w:t>Parliamentary</w:t>
      </w:r>
      <w:r w:rsidRPr="00BD5419">
        <w:rPr>
          <w:rStyle w:val="HTMLCite"/>
          <w:shd w:val="clear" w:color="auto" w:fill="FFFFFF"/>
        </w:rPr>
        <w:t> </w:t>
      </w:r>
      <w:hyperlink r:id="rId3" w:history="1">
        <w:r w:rsidRPr="005A6302">
          <w:rPr>
            <w:rStyle w:val="Hyperlink"/>
            <w:i/>
            <w:shd w:val="clear" w:color="auto" w:fill="FFFFFF"/>
          </w:rPr>
          <w:t>Inquiry into Improving Access to Victorian Public Sector Information and Data</w:t>
        </w:r>
      </w:hyperlink>
      <w:r>
        <w:rPr>
          <w:rStyle w:val="HTMLCite"/>
          <w:i w:val="0"/>
          <w:shd w:val="clear" w:color="auto" w:fill="FFFFFF"/>
        </w:rPr>
        <w:t>, Victorian Auditor-General’s Office (</w:t>
      </w:r>
      <w:r w:rsidRPr="00BD5419">
        <w:rPr>
          <w:shd w:val="clear" w:color="auto" w:fill="FFFFFF"/>
        </w:rPr>
        <w:t>2015</w:t>
      </w:r>
      <w:r>
        <w:rPr>
          <w:shd w:val="clear" w:color="auto" w:fill="FFFFFF"/>
        </w:rPr>
        <w:t>)</w:t>
      </w:r>
      <w:r w:rsidRPr="00BD5419">
        <w:rPr>
          <w:shd w:val="clear" w:color="auto" w:fill="FFFFFF"/>
        </w:rPr>
        <w:t xml:space="preserve"> </w:t>
      </w:r>
      <w:hyperlink r:id="rId4" w:history="1">
        <w:r w:rsidRPr="005A6302">
          <w:rPr>
            <w:rStyle w:val="Hyperlink"/>
            <w:i/>
          </w:rPr>
          <w:t>Access to Public Sector Information</w:t>
        </w:r>
      </w:hyperlink>
      <w:r>
        <w:rPr>
          <w:rStyle w:val="Hyperlink"/>
          <w:u w:val="none"/>
        </w:rPr>
        <w:t>.</w:t>
      </w:r>
    </w:p>
  </w:footnote>
  <w:footnote w:id="18">
    <w:p w14:paraId="4F07614E" w14:textId="28F70D9F" w:rsidR="00E31CC1" w:rsidRDefault="00E31CC1" w:rsidP="00F66202">
      <w:pPr>
        <w:pStyle w:val="FootnoteText"/>
      </w:pPr>
      <w:r>
        <w:rPr>
          <w:rStyle w:val="FootnoteReference"/>
        </w:rPr>
        <w:footnoteRef/>
      </w:r>
      <w:r>
        <w:t xml:space="preserve"> State of Victoria (Department of Treasury and Finance) (2019) </w:t>
      </w:r>
      <w:r w:rsidRPr="005A6302">
        <w:rPr>
          <w:i/>
        </w:rPr>
        <w:t>Intellectual Property Guidelines for</w:t>
      </w:r>
      <w:r>
        <w:rPr>
          <w:i/>
        </w:rPr>
        <w:t xml:space="preserve"> the Victorian</w:t>
      </w:r>
      <w:r w:rsidRPr="005A6302">
        <w:rPr>
          <w:i/>
        </w:rPr>
        <w:t xml:space="preserve"> Public Sector</w:t>
      </w:r>
      <w:r>
        <w:t>,</w:t>
      </w:r>
      <w:r w:rsidRPr="00BD42A6">
        <w:t xml:space="preserve"> </w:t>
      </w:r>
      <w:r>
        <w:t>Chapter 4.</w:t>
      </w:r>
    </w:p>
  </w:footnote>
  <w:footnote w:id="19">
    <w:p w14:paraId="17F9A481" w14:textId="4C7D9801" w:rsidR="00E31CC1" w:rsidRDefault="00E31CC1" w:rsidP="00F66202">
      <w:pPr>
        <w:pStyle w:val="FootnoteText"/>
      </w:pPr>
      <w:r>
        <w:rPr>
          <w:rStyle w:val="FootnoteReference"/>
        </w:rPr>
        <w:footnoteRef/>
      </w:r>
      <w:r>
        <w:t xml:space="preserve"> Government of South Australia, Intellectual Property Policy (2017), p.3.</w:t>
      </w:r>
    </w:p>
  </w:footnote>
  <w:footnote w:id="20">
    <w:p w14:paraId="6775AD50" w14:textId="1807FC5E" w:rsidR="00E31CC1" w:rsidRDefault="00E31CC1">
      <w:pPr>
        <w:pStyle w:val="FootnoteText"/>
      </w:pPr>
      <w:r>
        <w:rPr>
          <w:rStyle w:val="FootnoteReference"/>
        </w:rPr>
        <w:footnoteRef/>
      </w:r>
      <w:r>
        <w:t xml:space="preserve"> Department of Communications and the Arts, </w:t>
      </w:r>
      <w:r w:rsidRPr="00976153">
        <w:rPr>
          <w:i/>
        </w:rPr>
        <w:t>Australian Government Intellectual Property Manual</w:t>
      </w:r>
      <w:r>
        <w:t xml:space="preserve"> (2018), p.15.</w:t>
      </w:r>
    </w:p>
  </w:footnote>
  <w:footnote w:id="21">
    <w:p w14:paraId="182B0B66" w14:textId="6B1CFC7B" w:rsidR="00E31CC1" w:rsidRDefault="00E31CC1">
      <w:pPr>
        <w:pStyle w:val="FootnoteText"/>
      </w:pPr>
      <w:r>
        <w:rPr>
          <w:rStyle w:val="FootnoteReference"/>
        </w:rPr>
        <w:footnoteRef/>
      </w:r>
      <w:r>
        <w:t xml:space="preserve"> Department of Communications and the Arts, </w:t>
      </w:r>
      <w:r w:rsidRPr="00976153">
        <w:rPr>
          <w:i/>
        </w:rPr>
        <w:t>Australian Government Intellectual Property Manual</w:t>
      </w:r>
      <w:r>
        <w:t xml:space="preserve"> (2018), p.204.</w:t>
      </w:r>
    </w:p>
  </w:footnote>
  <w:footnote w:id="22">
    <w:p w14:paraId="3FE24649" w14:textId="23E5730D" w:rsidR="00E31CC1" w:rsidRPr="007F71E5" w:rsidRDefault="00E31CC1">
      <w:pPr>
        <w:pStyle w:val="FootnoteText"/>
      </w:pPr>
      <w:r w:rsidRPr="007F71E5">
        <w:rPr>
          <w:rStyle w:val="FootnoteReference"/>
        </w:rPr>
        <w:footnoteRef/>
      </w:r>
      <w:r w:rsidRPr="007F71E5">
        <w:t xml:space="preserve"> </w:t>
      </w:r>
      <w:r>
        <w:t xml:space="preserve">Department of Health NSW, </w:t>
      </w:r>
      <w:r>
        <w:rPr>
          <w:i/>
        </w:rPr>
        <w:t xml:space="preserve">Intellectual Property Arising from Health Research – Policy – NSW Department of Health </w:t>
      </w:r>
      <w:r>
        <w:t xml:space="preserve">(27 January 2005), Policy Directive, p. 12. </w:t>
      </w:r>
    </w:p>
  </w:footnote>
  <w:footnote w:id="23">
    <w:p w14:paraId="08137ED0" w14:textId="0CA3DA47" w:rsidR="00E31CC1" w:rsidRDefault="00E31CC1">
      <w:pPr>
        <w:pStyle w:val="FootnoteText"/>
      </w:pPr>
      <w:r>
        <w:rPr>
          <w:rStyle w:val="FootnoteReference"/>
        </w:rPr>
        <w:footnoteRef/>
      </w:r>
      <w:r>
        <w:t xml:space="preserve"> </w:t>
      </w:r>
      <w:r w:rsidRPr="00927749">
        <w:rPr>
          <w:i/>
        </w:rPr>
        <w:t>Intellectual Property Policy</w:t>
      </w:r>
      <w:r>
        <w:rPr>
          <w:i/>
        </w:rPr>
        <w:t xml:space="preserve"> </w:t>
      </w:r>
      <w:r>
        <w:t>(28 April 2014), The University of Western Australia (</w:t>
      </w:r>
      <w:hyperlink r:id="rId5" w:history="1">
        <w:r w:rsidRPr="00AF7457">
          <w:rPr>
            <w:rStyle w:val="Hyperlink"/>
          </w:rPr>
          <w:t>www.uwa.edu.au/policy</w:t>
        </w:r>
      </w:hyperlink>
      <w:r>
        <w:t xml:space="preserve">), p.8. </w:t>
      </w:r>
    </w:p>
  </w:footnote>
  <w:footnote w:id="24">
    <w:p w14:paraId="00992AF1" w14:textId="77777777" w:rsidR="00E31CC1" w:rsidRDefault="00E31CC1" w:rsidP="00443B73">
      <w:pPr>
        <w:pStyle w:val="FootnoteText"/>
      </w:pPr>
      <w:r>
        <w:rPr>
          <w:rStyle w:val="FootnoteReference"/>
        </w:rPr>
        <w:footnoteRef/>
      </w:r>
      <w:r>
        <w:t xml:space="preserve"> Department of Health, Government of Western Australia (2019), </w:t>
      </w:r>
      <w:hyperlink r:id="rId6" w:history="1">
        <w:r w:rsidRPr="00DE59E3">
          <w:rPr>
            <w:rStyle w:val="Hyperlink"/>
            <w:i/>
          </w:rPr>
          <w:t>Intellectual Property Policy and Management in the WA Health System</w:t>
        </w:r>
      </w:hyperlink>
      <w:r>
        <w:rPr>
          <w:i/>
        </w:rPr>
        <w:t>.</w:t>
      </w:r>
    </w:p>
  </w:footnote>
  <w:footnote w:id="25">
    <w:p w14:paraId="001778B8" w14:textId="31748A4A" w:rsidR="00E31CC1" w:rsidRDefault="00E31CC1">
      <w:pPr>
        <w:pStyle w:val="FootnoteText"/>
      </w:pPr>
      <w:r>
        <w:rPr>
          <w:rStyle w:val="FootnoteReference"/>
        </w:rPr>
        <w:footnoteRef/>
      </w:r>
      <w:r>
        <w:t xml:space="preserve"> </w:t>
      </w:r>
      <w:hyperlink r:id="rId7" w:history="1">
        <w:r>
          <w:rPr>
            <w:rStyle w:val="Hyperlink"/>
          </w:rPr>
          <w:t>RPH Imaging Research Fund (health.wa.gov.au)</w:t>
        </w:r>
      </w:hyperlink>
      <w:r>
        <w:t xml:space="preserve">, East Metropolitan Health Service, Government of Western Australia. </w:t>
      </w:r>
    </w:p>
  </w:footnote>
  <w:footnote w:id="26">
    <w:p w14:paraId="0E167C53" w14:textId="793E8F98" w:rsidR="00E31CC1" w:rsidRDefault="00E31CC1">
      <w:pPr>
        <w:pStyle w:val="FootnoteText"/>
      </w:pPr>
      <w:r w:rsidRPr="006423C0">
        <w:rPr>
          <w:rStyle w:val="FootnoteReference"/>
        </w:rPr>
        <w:footnoteRef/>
      </w:r>
      <w:r w:rsidRPr="006423C0">
        <w:t xml:space="preserve"> </w:t>
      </w:r>
      <w:hyperlink r:id="rId8" w:history="1">
        <w:r w:rsidRPr="006423C0">
          <w:rPr>
            <w:rStyle w:val="Hyperlink"/>
          </w:rPr>
          <w:t>www.cookmedical.com.au/history/</w:t>
        </w:r>
      </w:hyperlink>
      <w:r w:rsidRPr="006423C0">
        <w:t xml:space="preserve"> (accessed 8 June 2022).</w:t>
      </w:r>
    </w:p>
  </w:footnote>
  <w:footnote w:id="27">
    <w:p w14:paraId="1E02B4A3" w14:textId="78BCFF84" w:rsidR="00E31CC1" w:rsidRPr="00DB2F74" w:rsidRDefault="00E31CC1">
      <w:pPr>
        <w:pStyle w:val="FootnoteText"/>
        <w:rPr>
          <w:i/>
        </w:rPr>
      </w:pPr>
      <w:r>
        <w:rPr>
          <w:rStyle w:val="FootnoteReference"/>
        </w:rPr>
        <w:footnoteRef/>
      </w:r>
      <w:r>
        <w:t xml:space="preserve"> Queensland Government, </w:t>
      </w:r>
      <w:r>
        <w:rPr>
          <w:i/>
        </w:rPr>
        <w:t>Rewards for Creating Commercially Valuable Intellectual Property Directive</w:t>
      </w:r>
      <w:r>
        <w:t xml:space="preserve">, </w:t>
      </w:r>
      <w:r w:rsidR="00734C4C">
        <w:br/>
      </w:r>
      <w:r>
        <w:t xml:space="preserve">12 March 2007, p.3. </w:t>
      </w:r>
      <w:r>
        <w:rPr>
          <w:i/>
        </w:rPr>
        <w:t xml:space="preserve"> </w:t>
      </w:r>
    </w:p>
  </w:footnote>
  <w:footnote w:id="28">
    <w:p w14:paraId="691C81E5" w14:textId="46CCD9D8" w:rsidR="00E31CC1" w:rsidRPr="00E05B6E" w:rsidRDefault="00E31CC1">
      <w:pPr>
        <w:pStyle w:val="FootnoteText"/>
      </w:pPr>
      <w:r>
        <w:rPr>
          <w:rStyle w:val="FootnoteReference"/>
        </w:rPr>
        <w:footnoteRef/>
      </w:r>
      <w:r>
        <w:t xml:space="preserve"> Government of South Australia, </w:t>
      </w:r>
      <w:r>
        <w:rPr>
          <w:i/>
        </w:rPr>
        <w:t>Intellectual Property Policy</w:t>
      </w:r>
      <w:r>
        <w:t xml:space="preserve"> (28 September 2017), p.4. </w:t>
      </w:r>
    </w:p>
  </w:footnote>
  <w:footnote w:id="29">
    <w:p w14:paraId="20C3EAEA" w14:textId="6FAA0BA9" w:rsidR="00E31CC1" w:rsidRPr="00DC6A4D" w:rsidRDefault="00E31CC1">
      <w:pPr>
        <w:pStyle w:val="FootnoteText"/>
        <w:rPr>
          <w:i/>
        </w:rPr>
      </w:pPr>
      <w:r>
        <w:rPr>
          <w:rStyle w:val="FootnoteReference"/>
        </w:rPr>
        <w:footnoteRef/>
      </w:r>
      <w:r>
        <w:t xml:space="preserve"> New South Wales Department of Health (2005), </w:t>
      </w:r>
      <w:r w:rsidRPr="00DC6A4D">
        <w:rPr>
          <w:i/>
        </w:rPr>
        <w:t>Policy On Intellectual Property Arising From Health Research In Public Health Organisations</w:t>
      </w:r>
      <w:r>
        <w:t>, clause 5.5 (accessed 27 June 2022).</w:t>
      </w:r>
    </w:p>
  </w:footnote>
  <w:footnote w:id="30">
    <w:p w14:paraId="37BA67C5" w14:textId="42B91BC9" w:rsidR="00E31CC1" w:rsidRDefault="00E31CC1">
      <w:pPr>
        <w:pStyle w:val="FootnoteText"/>
      </w:pPr>
      <w:r>
        <w:rPr>
          <w:rStyle w:val="FootnoteReference"/>
        </w:rPr>
        <w:footnoteRef/>
      </w:r>
      <w:r>
        <w:t xml:space="preserve"> The WA Government IP Policy applies to the ‘public sector’ as defined by the </w:t>
      </w:r>
      <w:r w:rsidRPr="006D12D7">
        <w:rPr>
          <w:i/>
        </w:rPr>
        <w:t>Public Sector Management Act 1994</w:t>
      </w:r>
      <w:r>
        <w:t xml:space="preserve"> (WA) (PSMA) which includes all agencies (departments and SES organisations), ministerial offices and non-SES organisations. Health service providers under the </w:t>
      </w:r>
      <w:r w:rsidRPr="00DA01CD">
        <w:rPr>
          <w:i/>
        </w:rPr>
        <w:t xml:space="preserve">Health Services Act 2016 </w:t>
      </w:r>
      <w:r>
        <w:t>are included as non-SES organisations. Entities listed in Schedule 1 of the PSMA are excluded from its application.</w:t>
      </w:r>
    </w:p>
  </w:footnote>
  <w:footnote w:id="31">
    <w:p w14:paraId="4D7A4A58" w14:textId="08047E6E" w:rsidR="00E31CC1" w:rsidRPr="002E002C" w:rsidRDefault="00E31CC1">
      <w:pPr>
        <w:pStyle w:val="FootnoteText"/>
      </w:pPr>
      <w:r>
        <w:rPr>
          <w:rStyle w:val="FootnoteReference"/>
        </w:rPr>
        <w:footnoteRef/>
      </w:r>
      <w:r>
        <w:t xml:space="preserve"> Department of Commerce, </w:t>
      </w:r>
      <w:r>
        <w:rPr>
          <w:i/>
        </w:rPr>
        <w:t>Review of the Western Australian Government Intellectual Property Policy 2012</w:t>
      </w:r>
      <w:r w:rsidRPr="002E002C">
        <w:t>,</w:t>
      </w:r>
      <w:r>
        <w:t xml:space="preserve"> Recommendation 8,</w:t>
      </w:r>
      <w:r>
        <w:rPr>
          <w:i/>
        </w:rPr>
        <w:t xml:space="preserve"> </w:t>
      </w:r>
      <w:r>
        <w:t>p.ii (released May 2012).</w:t>
      </w:r>
    </w:p>
  </w:footnote>
  <w:footnote w:id="32">
    <w:p w14:paraId="4E8BB3B6" w14:textId="2D0027FF" w:rsidR="00E31CC1" w:rsidRDefault="00E31CC1">
      <w:pPr>
        <w:pStyle w:val="FootnoteText"/>
      </w:pPr>
      <w:r>
        <w:rPr>
          <w:rStyle w:val="FootnoteReference"/>
        </w:rPr>
        <w:footnoteRef/>
      </w:r>
      <w:r>
        <w:t xml:space="preserve"> Department of Treasury and Finance, </w:t>
      </w:r>
      <w:r w:rsidRPr="00323475">
        <w:rPr>
          <w:i/>
        </w:rPr>
        <w:t>Intellectual Property Guidelines for the Victorian Public Sector</w:t>
      </w:r>
      <w:r>
        <w:t xml:space="preserve"> (version 1), p.5 (March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D1D3" w14:textId="77777777" w:rsidR="00E31CC1" w:rsidRDefault="00E3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36C0" w14:textId="3DE0346D" w:rsidR="00E31CC1" w:rsidRDefault="00E31CC1" w:rsidP="002D5839">
    <w:pPr>
      <w:pStyle w:val="Header"/>
      <w:tabs>
        <w:tab w:val="left" w:pos="2458"/>
      </w:tabs>
    </w:pPr>
    <w:r>
      <w:rPr>
        <w:noProof/>
        <w:lang w:eastAsia="en-AU"/>
      </w:rPr>
      <w:drawing>
        <wp:anchor distT="0" distB="0" distL="114300" distR="114300" simplePos="0" relativeHeight="251658240" behindDoc="1" locked="0" layoutInCell="1" allowOverlap="0" wp14:anchorId="23120B61" wp14:editId="064B57E4">
          <wp:simplePos x="0" y="0"/>
          <wp:positionH relativeFrom="page">
            <wp:align>center</wp:align>
          </wp:positionH>
          <wp:positionV relativeFrom="page">
            <wp:posOffset>180340</wp:posOffset>
          </wp:positionV>
          <wp:extent cx="7081200" cy="846000"/>
          <wp:effectExtent l="0" t="0" r="5715" b="0"/>
          <wp:wrapNone/>
          <wp:docPr id="1230083489" name="Picture 123008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6000"/>
                  </a:xfrm>
                  <a:prstGeom prst="rect">
                    <a:avLst/>
                  </a:prstGeom>
                </pic:spPr>
              </pic:pic>
            </a:graphicData>
          </a:graphic>
          <wp14:sizeRelH relativeFrom="margin">
            <wp14:pctWidth>0</wp14:pctWidth>
          </wp14:sizeRelH>
          <wp14:sizeRelV relativeFrom="margin">
            <wp14:pctHeight>0</wp14:pctHeight>
          </wp14:sizeRelV>
        </wp:anchor>
      </w:drawing>
    </w:r>
    <w:r>
      <w:tab/>
    </w:r>
  </w:p>
  <w:p w14:paraId="5B2107D4" w14:textId="3B9A21DE" w:rsidR="00E31CC1" w:rsidRDefault="00E3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84DD" w14:textId="73CF1197" w:rsidR="00E31CC1" w:rsidRPr="00D93939" w:rsidRDefault="00E31CC1" w:rsidP="00DA01CD">
    <w:pPr>
      <w:pStyle w:val="Header"/>
      <w:jc w:val="right"/>
      <w:rPr>
        <w:sz w:val="16"/>
        <w:szCs w:val="20"/>
      </w:rPr>
    </w:pPr>
    <w:r w:rsidRPr="00D93939">
      <w:rPr>
        <w:noProof/>
        <w:sz w:val="28"/>
        <w:lang w:eastAsia="en-AU"/>
      </w:rPr>
      <w:drawing>
        <wp:anchor distT="0" distB="0" distL="114300" distR="114300" simplePos="0" relativeHeight="251658242" behindDoc="1" locked="0" layoutInCell="1" allowOverlap="1" wp14:anchorId="5C18A35B" wp14:editId="31557373">
          <wp:simplePos x="0" y="0"/>
          <wp:positionH relativeFrom="page">
            <wp:posOffset>540385</wp:posOffset>
          </wp:positionH>
          <wp:positionV relativeFrom="paragraph">
            <wp:posOffset>90170</wp:posOffset>
          </wp:positionV>
          <wp:extent cx="3358800" cy="1342800"/>
          <wp:effectExtent l="0" t="0" r="0" b="0"/>
          <wp:wrapNone/>
          <wp:docPr id="1230083490" name="Picture 123008349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8800" cy="1342800"/>
                  </a:xfrm>
                  <a:prstGeom prst="rect">
                    <a:avLst/>
                  </a:prstGeom>
                </pic:spPr>
              </pic:pic>
            </a:graphicData>
          </a:graphic>
          <wp14:sizeRelH relativeFrom="margin">
            <wp14:pctWidth>0</wp14:pctWidth>
          </wp14:sizeRelH>
          <wp14:sizeRelV relativeFrom="margin">
            <wp14:pctHeight>0</wp14:pctHeight>
          </wp14:sizeRelV>
        </wp:anchor>
      </w:drawing>
    </w:r>
    <w:r w:rsidRPr="00D93939">
      <w:rPr>
        <w:noProof/>
        <w:sz w:val="28"/>
        <w:lang w:eastAsia="en-AU"/>
      </w:rPr>
      <w:drawing>
        <wp:anchor distT="0" distB="0" distL="114300" distR="114300" simplePos="0" relativeHeight="251658241" behindDoc="1" locked="1" layoutInCell="1" allowOverlap="1" wp14:anchorId="24596FA8" wp14:editId="73C8F1F8">
          <wp:simplePos x="0" y="0"/>
          <wp:positionH relativeFrom="page">
            <wp:posOffset>0</wp:posOffset>
          </wp:positionH>
          <wp:positionV relativeFrom="page">
            <wp:posOffset>635</wp:posOffset>
          </wp:positionV>
          <wp:extent cx="7552690" cy="10687685"/>
          <wp:effectExtent l="0" t="0" r="0" b="0"/>
          <wp:wrapNone/>
          <wp:docPr id="1230083491" name="Picture 1230083491" descr="A picture containing compact disk,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mpact disk, ligh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2690" cy="106876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3F8E" w14:textId="2DA8D736" w:rsidR="00E31CC1" w:rsidRDefault="00E31CC1" w:rsidP="00FB0130">
    <w:pPr>
      <w:pStyle w:val="Header"/>
      <w:tabs>
        <w:tab w:val="left" w:pos="2458"/>
      </w:tabs>
    </w:pPr>
    <w:r>
      <w:rPr>
        <w:noProof/>
        <w:lang w:eastAsia="en-AU"/>
      </w:rPr>
      <w:drawing>
        <wp:anchor distT="0" distB="0" distL="114300" distR="114300" simplePos="0" relativeHeight="251658244" behindDoc="1" locked="0" layoutInCell="1" allowOverlap="0" wp14:anchorId="363D87B0" wp14:editId="718B3EB4">
          <wp:simplePos x="0" y="0"/>
          <wp:positionH relativeFrom="page">
            <wp:align>center</wp:align>
          </wp:positionH>
          <wp:positionV relativeFrom="page">
            <wp:posOffset>180340</wp:posOffset>
          </wp:positionV>
          <wp:extent cx="7081200" cy="8460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6000"/>
                  </a:xfrm>
                  <a:prstGeom prst="rect">
                    <a:avLst/>
                  </a:prstGeom>
                </pic:spPr>
              </pic:pic>
            </a:graphicData>
          </a:graphic>
          <wp14:sizeRelH relativeFrom="margin">
            <wp14:pctWidth>0</wp14:pctWidth>
          </wp14:sizeRelH>
          <wp14:sizeRelV relativeFrom="margin">
            <wp14:pctHeight>0</wp14:pctHeight>
          </wp14:sizeRelV>
        </wp:anchor>
      </w:drawing>
    </w:r>
    <w:r>
      <w:tab/>
    </w:r>
  </w:p>
  <w:p w14:paraId="0AFA0FD1" w14:textId="77777777" w:rsidR="00E31CC1" w:rsidRDefault="00E31CC1" w:rsidP="00FB0130">
    <w:pPr>
      <w:pStyle w:val="Header"/>
    </w:pPr>
  </w:p>
  <w:p w14:paraId="4CECA16B" w14:textId="5FBE40B4" w:rsidR="00E31CC1" w:rsidRDefault="00E3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8B3"/>
    <w:multiLevelType w:val="hybridMultilevel"/>
    <w:tmpl w:val="99F6F266"/>
    <w:lvl w:ilvl="0" w:tplc="E4D206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B3E1E"/>
    <w:multiLevelType w:val="hybridMultilevel"/>
    <w:tmpl w:val="CC98780C"/>
    <w:lvl w:ilvl="0" w:tplc="A1166B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34781"/>
    <w:multiLevelType w:val="hybridMultilevel"/>
    <w:tmpl w:val="E1CE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EC2AF1"/>
    <w:multiLevelType w:val="hybridMultilevel"/>
    <w:tmpl w:val="FFFFFFFF"/>
    <w:lvl w:ilvl="0" w:tplc="1D7A4034">
      <w:start w:val="1"/>
      <w:numFmt w:val="bullet"/>
      <w:lvlText w:val=""/>
      <w:lvlJc w:val="left"/>
      <w:pPr>
        <w:ind w:left="360" w:hanging="360"/>
      </w:pPr>
      <w:rPr>
        <w:rFonts w:ascii="Symbol" w:hAnsi="Symbol" w:hint="default"/>
      </w:rPr>
    </w:lvl>
    <w:lvl w:ilvl="1" w:tplc="9D66FB3C">
      <w:start w:val="1"/>
      <w:numFmt w:val="bullet"/>
      <w:lvlText w:val="o"/>
      <w:lvlJc w:val="left"/>
      <w:pPr>
        <w:ind w:left="1080" w:hanging="360"/>
      </w:pPr>
      <w:rPr>
        <w:rFonts w:ascii="Courier New" w:hAnsi="Courier New" w:hint="default"/>
      </w:rPr>
    </w:lvl>
    <w:lvl w:ilvl="2" w:tplc="B57A935C">
      <w:start w:val="1"/>
      <w:numFmt w:val="bullet"/>
      <w:lvlText w:val=""/>
      <w:lvlJc w:val="left"/>
      <w:pPr>
        <w:ind w:left="1800" w:hanging="360"/>
      </w:pPr>
      <w:rPr>
        <w:rFonts w:ascii="Wingdings" w:hAnsi="Wingdings" w:hint="default"/>
      </w:rPr>
    </w:lvl>
    <w:lvl w:ilvl="3" w:tplc="A620A338">
      <w:start w:val="1"/>
      <w:numFmt w:val="bullet"/>
      <w:lvlText w:val=""/>
      <w:lvlJc w:val="left"/>
      <w:pPr>
        <w:ind w:left="2520" w:hanging="360"/>
      </w:pPr>
      <w:rPr>
        <w:rFonts w:ascii="Symbol" w:hAnsi="Symbol" w:hint="default"/>
      </w:rPr>
    </w:lvl>
    <w:lvl w:ilvl="4" w:tplc="2098E016">
      <w:start w:val="1"/>
      <w:numFmt w:val="bullet"/>
      <w:lvlText w:val="o"/>
      <w:lvlJc w:val="left"/>
      <w:pPr>
        <w:ind w:left="3240" w:hanging="360"/>
      </w:pPr>
      <w:rPr>
        <w:rFonts w:ascii="Courier New" w:hAnsi="Courier New" w:hint="default"/>
      </w:rPr>
    </w:lvl>
    <w:lvl w:ilvl="5" w:tplc="4F96C6D6">
      <w:start w:val="1"/>
      <w:numFmt w:val="bullet"/>
      <w:lvlText w:val=""/>
      <w:lvlJc w:val="left"/>
      <w:pPr>
        <w:ind w:left="3960" w:hanging="360"/>
      </w:pPr>
      <w:rPr>
        <w:rFonts w:ascii="Wingdings" w:hAnsi="Wingdings" w:hint="default"/>
      </w:rPr>
    </w:lvl>
    <w:lvl w:ilvl="6" w:tplc="B6D6D0AC">
      <w:start w:val="1"/>
      <w:numFmt w:val="bullet"/>
      <w:lvlText w:val=""/>
      <w:lvlJc w:val="left"/>
      <w:pPr>
        <w:ind w:left="4680" w:hanging="360"/>
      </w:pPr>
      <w:rPr>
        <w:rFonts w:ascii="Symbol" w:hAnsi="Symbol" w:hint="default"/>
      </w:rPr>
    </w:lvl>
    <w:lvl w:ilvl="7" w:tplc="D39EFDF2">
      <w:start w:val="1"/>
      <w:numFmt w:val="bullet"/>
      <w:lvlText w:val="o"/>
      <w:lvlJc w:val="left"/>
      <w:pPr>
        <w:ind w:left="5400" w:hanging="360"/>
      </w:pPr>
      <w:rPr>
        <w:rFonts w:ascii="Courier New" w:hAnsi="Courier New" w:hint="default"/>
      </w:rPr>
    </w:lvl>
    <w:lvl w:ilvl="8" w:tplc="E0EEA044">
      <w:start w:val="1"/>
      <w:numFmt w:val="bullet"/>
      <w:lvlText w:val=""/>
      <w:lvlJc w:val="left"/>
      <w:pPr>
        <w:ind w:left="612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0F94CD7"/>
    <w:multiLevelType w:val="hybridMultilevel"/>
    <w:tmpl w:val="78167CDE"/>
    <w:lvl w:ilvl="0" w:tplc="FFFFFFFF">
      <w:start w:val="1"/>
      <w:numFmt w:val="bullet"/>
      <w:pStyle w:val="ListParagraph"/>
      <w:lvlText w:val="o"/>
      <w:lvlJc w:val="left"/>
      <w:pPr>
        <w:ind w:left="700" w:hanging="360"/>
      </w:pPr>
      <w:rPr>
        <w:rFonts w:ascii="Courier New" w:hAnsi="Courier New" w:hint="default"/>
      </w:rPr>
    </w:lvl>
    <w:lvl w:ilvl="1" w:tplc="5864591A">
      <w:numFmt w:val="bullet"/>
      <w:lvlText w:val="-"/>
      <w:lvlJc w:val="left"/>
      <w:pPr>
        <w:ind w:left="1420" w:hanging="360"/>
      </w:pPr>
      <w:rPr>
        <w:rFonts w:ascii="Calibri" w:eastAsia="Times New Roman" w:hAnsi="Calibri" w:cs="Calibri" w:hint="default"/>
      </w:rPr>
    </w:lvl>
    <w:lvl w:ilvl="2" w:tplc="0C09001B">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6" w15:restartNumberingAfterBreak="0">
    <w:nsid w:val="136420C7"/>
    <w:multiLevelType w:val="hybridMultilevel"/>
    <w:tmpl w:val="39E68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D4BB5"/>
    <w:multiLevelType w:val="hybridMultilevel"/>
    <w:tmpl w:val="41E66118"/>
    <w:lvl w:ilvl="0" w:tplc="2A36DE30">
      <w:start w:val="1"/>
      <w:numFmt w:val="bullet"/>
      <w:lvlText w:val=""/>
      <w:lvlJc w:val="left"/>
      <w:pPr>
        <w:tabs>
          <w:tab w:val="num" w:pos="1219"/>
        </w:tabs>
        <w:ind w:left="1219" w:hanging="397"/>
      </w:pPr>
      <w:rPr>
        <w:rFonts w:ascii="Symbol" w:hAnsi="Symbol" w:hint="default"/>
        <w:b w:val="0"/>
        <w:i w:val="0"/>
      </w:rPr>
    </w:lvl>
    <w:lvl w:ilvl="1" w:tplc="511401FA">
      <w:start w:val="1"/>
      <w:numFmt w:val="bullet"/>
      <w:pStyle w:val="Indent1"/>
      <w:lvlText w:val=""/>
      <w:lvlJc w:val="left"/>
      <w:pPr>
        <w:tabs>
          <w:tab w:val="num" w:pos="1837"/>
        </w:tabs>
        <w:ind w:left="1837" w:hanging="360"/>
      </w:pPr>
      <w:rPr>
        <w:rFonts w:ascii="Symbol" w:hAnsi="Symbol" w:hint="default"/>
        <w:b w:val="0"/>
        <w:i w:val="0"/>
      </w:rPr>
    </w:lvl>
    <w:lvl w:ilvl="2" w:tplc="0C09001B">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8" w15:restartNumberingAfterBreak="0">
    <w:nsid w:val="145118F9"/>
    <w:multiLevelType w:val="hybridMultilevel"/>
    <w:tmpl w:val="65222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D33D4F"/>
    <w:multiLevelType w:val="hybridMultilevel"/>
    <w:tmpl w:val="8C4A7A9E"/>
    <w:lvl w:ilvl="0" w:tplc="FFFFFFFF">
      <w:start w:val="1"/>
      <w:numFmt w:val="bullet"/>
      <w:lvlText w:val=""/>
      <w:lvlJc w:val="left"/>
      <w:pPr>
        <w:ind w:left="340" w:hanging="340"/>
      </w:pPr>
      <w:rPr>
        <w:rFonts w:ascii="Symbol" w:hAnsi="Symbol" w:hint="default"/>
        <w:color w:val="272727" w:themeColor="accent1" w:themeShade="80"/>
        <w:sz w:val="22"/>
        <w:szCs w:val="36"/>
      </w:rPr>
    </w:lvl>
    <w:lvl w:ilvl="1" w:tplc="0C090003">
      <w:start w:val="1"/>
      <w:numFmt w:val="bullet"/>
      <w:lvlText w:val="o"/>
      <w:lvlJc w:val="left"/>
      <w:pPr>
        <w:ind w:left="700" w:hanging="360"/>
      </w:pPr>
      <w:rPr>
        <w:rFonts w:ascii="Courier New" w:hAnsi="Courier New" w:cs="Courier New" w:hint="default"/>
      </w:rPr>
    </w:lvl>
    <w:lvl w:ilvl="2" w:tplc="FFFFFFFF">
      <w:start w:val="1"/>
      <w:numFmt w:val="bullet"/>
      <w:lvlText w:val=""/>
      <w:lvlJc w:val="left"/>
      <w:pPr>
        <w:ind w:left="1134" w:hanging="454"/>
      </w:pPr>
      <w:rPr>
        <w:rFonts w:ascii="Symbol" w:hAnsi="Symbol" w:hint="default"/>
        <w:sz w:val="16"/>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CCD23C3"/>
    <w:multiLevelType w:val="hybridMultilevel"/>
    <w:tmpl w:val="438CC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E1194E"/>
    <w:multiLevelType w:val="hybridMultilevel"/>
    <w:tmpl w:val="158E5082"/>
    <w:lvl w:ilvl="0" w:tplc="EBF485E4">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9D03EDD"/>
    <w:multiLevelType w:val="hybridMultilevel"/>
    <w:tmpl w:val="FFFFFFFF"/>
    <w:lvl w:ilvl="0" w:tplc="CA64F0D4">
      <w:start w:val="1"/>
      <w:numFmt w:val="bullet"/>
      <w:lvlText w:val=""/>
      <w:lvlJc w:val="left"/>
      <w:pPr>
        <w:ind w:left="360" w:hanging="360"/>
      </w:pPr>
      <w:rPr>
        <w:rFonts w:ascii="Symbol" w:hAnsi="Symbol" w:hint="default"/>
      </w:rPr>
    </w:lvl>
    <w:lvl w:ilvl="1" w:tplc="B62C3038">
      <w:start w:val="1"/>
      <w:numFmt w:val="bullet"/>
      <w:lvlText w:val="o"/>
      <w:lvlJc w:val="left"/>
      <w:pPr>
        <w:ind w:left="1080" w:hanging="360"/>
      </w:pPr>
      <w:rPr>
        <w:rFonts w:ascii="Courier New" w:hAnsi="Courier New" w:hint="default"/>
      </w:rPr>
    </w:lvl>
    <w:lvl w:ilvl="2" w:tplc="2E1430E0">
      <w:start w:val="1"/>
      <w:numFmt w:val="bullet"/>
      <w:lvlText w:val=""/>
      <w:lvlJc w:val="left"/>
      <w:pPr>
        <w:ind w:left="1800" w:hanging="360"/>
      </w:pPr>
      <w:rPr>
        <w:rFonts w:ascii="Wingdings" w:hAnsi="Wingdings" w:hint="default"/>
      </w:rPr>
    </w:lvl>
    <w:lvl w:ilvl="3" w:tplc="7D408BBA">
      <w:start w:val="1"/>
      <w:numFmt w:val="bullet"/>
      <w:lvlText w:val=""/>
      <w:lvlJc w:val="left"/>
      <w:pPr>
        <w:ind w:left="2520" w:hanging="360"/>
      </w:pPr>
      <w:rPr>
        <w:rFonts w:ascii="Symbol" w:hAnsi="Symbol" w:hint="default"/>
      </w:rPr>
    </w:lvl>
    <w:lvl w:ilvl="4" w:tplc="CA9A3036">
      <w:start w:val="1"/>
      <w:numFmt w:val="bullet"/>
      <w:lvlText w:val="o"/>
      <w:lvlJc w:val="left"/>
      <w:pPr>
        <w:ind w:left="3240" w:hanging="360"/>
      </w:pPr>
      <w:rPr>
        <w:rFonts w:ascii="Courier New" w:hAnsi="Courier New" w:hint="default"/>
      </w:rPr>
    </w:lvl>
    <w:lvl w:ilvl="5" w:tplc="F4E0DB6C">
      <w:start w:val="1"/>
      <w:numFmt w:val="bullet"/>
      <w:lvlText w:val=""/>
      <w:lvlJc w:val="left"/>
      <w:pPr>
        <w:ind w:left="3960" w:hanging="360"/>
      </w:pPr>
      <w:rPr>
        <w:rFonts w:ascii="Wingdings" w:hAnsi="Wingdings" w:hint="default"/>
      </w:rPr>
    </w:lvl>
    <w:lvl w:ilvl="6" w:tplc="3CA61812">
      <w:start w:val="1"/>
      <w:numFmt w:val="bullet"/>
      <w:lvlText w:val=""/>
      <w:lvlJc w:val="left"/>
      <w:pPr>
        <w:ind w:left="4680" w:hanging="360"/>
      </w:pPr>
      <w:rPr>
        <w:rFonts w:ascii="Symbol" w:hAnsi="Symbol" w:hint="default"/>
      </w:rPr>
    </w:lvl>
    <w:lvl w:ilvl="7" w:tplc="CE261C0E">
      <w:start w:val="1"/>
      <w:numFmt w:val="bullet"/>
      <w:lvlText w:val="o"/>
      <w:lvlJc w:val="left"/>
      <w:pPr>
        <w:ind w:left="5400" w:hanging="360"/>
      </w:pPr>
      <w:rPr>
        <w:rFonts w:ascii="Courier New" w:hAnsi="Courier New" w:hint="default"/>
      </w:rPr>
    </w:lvl>
    <w:lvl w:ilvl="8" w:tplc="B0AA2188">
      <w:start w:val="1"/>
      <w:numFmt w:val="bullet"/>
      <w:lvlText w:val=""/>
      <w:lvlJc w:val="left"/>
      <w:pPr>
        <w:ind w:left="6120" w:hanging="360"/>
      </w:pPr>
      <w:rPr>
        <w:rFonts w:ascii="Wingdings" w:hAnsi="Wingdings" w:hint="default"/>
      </w:rPr>
    </w:lvl>
  </w:abstractNum>
  <w:abstractNum w:abstractNumId="13" w15:restartNumberingAfterBreak="0">
    <w:nsid w:val="2ABD4BEA"/>
    <w:multiLevelType w:val="hybridMultilevel"/>
    <w:tmpl w:val="102A9DC0"/>
    <w:lvl w:ilvl="0" w:tplc="64AEDAAC">
      <w:start w:val="1"/>
      <w:numFmt w:val="bullet"/>
      <w:lvlText w:val=""/>
      <w:lvlJc w:val="left"/>
      <w:pPr>
        <w:ind w:left="360" w:hanging="360"/>
      </w:pPr>
      <w:rPr>
        <w:rFonts w:ascii="Symbol" w:hAnsi="Symbol" w:hint="default"/>
      </w:rPr>
    </w:lvl>
    <w:lvl w:ilvl="1" w:tplc="9BD24EF6">
      <w:start w:val="1"/>
      <w:numFmt w:val="bullet"/>
      <w:lvlText w:val="o"/>
      <w:lvlJc w:val="left"/>
      <w:pPr>
        <w:ind w:left="1080" w:hanging="360"/>
      </w:pPr>
      <w:rPr>
        <w:rFonts w:ascii="Courier New" w:hAnsi="Courier New" w:hint="default"/>
      </w:rPr>
    </w:lvl>
    <w:lvl w:ilvl="2" w:tplc="AF667F4A">
      <w:start w:val="1"/>
      <w:numFmt w:val="bullet"/>
      <w:lvlText w:val=""/>
      <w:lvlJc w:val="left"/>
      <w:pPr>
        <w:ind w:left="1800" w:hanging="360"/>
      </w:pPr>
      <w:rPr>
        <w:rFonts w:ascii="Wingdings" w:hAnsi="Wingdings" w:hint="default"/>
      </w:rPr>
    </w:lvl>
    <w:lvl w:ilvl="3" w:tplc="B4EE8852">
      <w:start w:val="1"/>
      <w:numFmt w:val="bullet"/>
      <w:lvlText w:val=""/>
      <w:lvlJc w:val="left"/>
      <w:pPr>
        <w:ind w:left="2520" w:hanging="360"/>
      </w:pPr>
      <w:rPr>
        <w:rFonts w:ascii="Symbol" w:hAnsi="Symbol" w:hint="default"/>
      </w:rPr>
    </w:lvl>
    <w:lvl w:ilvl="4" w:tplc="38D2186A">
      <w:start w:val="1"/>
      <w:numFmt w:val="bullet"/>
      <w:lvlText w:val="o"/>
      <w:lvlJc w:val="left"/>
      <w:pPr>
        <w:ind w:left="3240" w:hanging="360"/>
      </w:pPr>
      <w:rPr>
        <w:rFonts w:ascii="Courier New" w:hAnsi="Courier New" w:hint="default"/>
      </w:rPr>
    </w:lvl>
    <w:lvl w:ilvl="5" w:tplc="E38CF9B4">
      <w:start w:val="1"/>
      <w:numFmt w:val="bullet"/>
      <w:lvlText w:val=""/>
      <w:lvlJc w:val="left"/>
      <w:pPr>
        <w:ind w:left="3960" w:hanging="360"/>
      </w:pPr>
      <w:rPr>
        <w:rFonts w:ascii="Wingdings" w:hAnsi="Wingdings" w:hint="default"/>
      </w:rPr>
    </w:lvl>
    <w:lvl w:ilvl="6" w:tplc="0B02B8E8">
      <w:start w:val="1"/>
      <w:numFmt w:val="bullet"/>
      <w:lvlText w:val=""/>
      <w:lvlJc w:val="left"/>
      <w:pPr>
        <w:ind w:left="4680" w:hanging="360"/>
      </w:pPr>
      <w:rPr>
        <w:rFonts w:ascii="Symbol" w:hAnsi="Symbol" w:hint="default"/>
      </w:rPr>
    </w:lvl>
    <w:lvl w:ilvl="7" w:tplc="14A2DC38">
      <w:start w:val="1"/>
      <w:numFmt w:val="bullet"/>
      <w:lvlText w:val="o"/>
      <w:lvlJc w:val="left"/>
      <w:pPr>
        <w:ind w:left="5400" w:hanging="360"/>
      </w:pPr>
      <w:rPr>
        <w:rFonts w:ascii="Courier New" w:hAnsi="Courier New" w:hint="default"/>
      </w:rPr>
    </w:lvl>
    <w:lvl w:ilvl="8" w:tplc="07A6B340">
      <w:start w:val="1"/>
      <w:numFmt w:val="bullet"/>
      <w:lvlText w:val=""/>
      <w:lvlJc w:val="left"/>
      <w:pPr>
        <w:ind w:left="6120" w:hanging="360"/>
      </w:pPr>
      <w:rPr>
        <w:rFonts w:ascii="Wingdings" w:hAnsi="Wingdings" w:hint="default"/>
      </w:rPr>
    </w:lvl>
  </w:abstractNum>
  <w:abstractNum w:abstractNumId="14" w15:restartNumberingAfterBreak="0">
    <w:nsid w:val="311061E4"/>
    <w:multiLevelType w:val="hybridMultilevel"/>
    <w:tmpl w:val="6BCCF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DF74DB"/>
    <w:multiLevelType w:val="hybridMultilevel"/>
    <w:tmpl w:val="F00CA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D17704"/>
    <w:multiLevelType w:val="hybridMultilevel"/>
    <w:tmpl w:val="6B68D076"/>
    <w:lvl w:ilvl="0" w:tplc="0C090003">
      <w:start w:val="1"/>
      <w:numFmt w:val="bullet"/>
      <w:lvlText w:val="o"/>
      <w:lvlJc w:val="left"/>
      <w:pPr>
        <w:ind w:left="680" w:hanging="340"/>
      </w:pPr>
      <w:rPr>
        <w:rFonts w:ascii="Courier New" w:hAnsi="Courier New" w:cs="Courier New" w:hint="default"/>
        <w:color w:val="272727" w:themeColor="accent1" w:themeShade="80"/>
        <w:sz w:val="22"/>
        <w:szCs w:val="36"/>
      </w:rPr>
    </w:lvl>
    <w:lvl w:ilvl="1" w:tplc="FFFFFFFF">
      <w:start w:val="1"/>
      <w:numFmt w:val="bullet"/>
      <w:lvlText w:val="o"/>
      <w:lvlJc w:val="left"/>
      <w:pPr>
        <w:ind w:left="1780" w:hanging="360"/>
      </w:pPr>
      <w:rPr>
        <w:rFonts w:ascii="Courier New" w:hAnsi="Courier New" w:cs="Courier New" w:hint="default"/>
      </w:rPr>
    </w:lvl>
    <w:lvl w:ilvl="2" w:tplc="FFFFFFFF">
      <w:start w:val="1"/>
      <w:numFmt w:val="bullet"/>
      <w:lvlText w:val=""/>
      <w:lvlJc w:val="left"/>
      <w:pPr>
        <w:ind w:left="1474" w:hanging="454"/>
      </w:pPr>
      <w:rPr>
        <w:rFonts w:ascii="Symbol" w:hAnsi="Symbol" w:hint="default"/>
        <w:sz w:val="16"/>
      </w:rPr>
    </w:lvl>
    <w:lvl w:ilvl="3" w:tplc="FFFFFFFF">
      <w:start w:val="1"/>
      <w:numFmt w:val="bullet"/>
      <w:lvlText w:val=""/>
      <w:lvlJc w:val="left"/>
      <w:pPr>
        <w:ind w:left="3220" w:hanging="360"/>
      </w:pPr>
      <w:rPr>
        <w:rFonts w:ascii="Symbol" w:hAnsi="Symbol" w:hint="default"/>
      </w:rPr>
    </w:lvl>
    <w:lvl w:ilvl="4" w:tplc="FFFFFFFF">
      <w:start w:val="1"/>
      <w:numFmt w:val="bullet"/>
      <w:lvlText w:val="o"/>
      <w:lvlJc w:val="left"/>
      <w:pPr>
        <w:ind w:left="3940" w:hanging="360"/>
      </w:pPr>
      <w:rPr>
        <w:rFonts w:ascii="Courier New" w:hAnsi="Courier New" w:cs="Courier New" w:hint="default"/>
      </w:rPr>
    </w:lvl>
    <w:lvl w:ilvl="5" w:tplc="FFFFFFFF">
      <w:start w:val="1"/>
      <w:numFmt w:val="bullet"/>
      <w:lvlText w:val=""/>
      <w:lvlJc w:val="left"/>
      <w:pPr>
        <w:ind w:left="4660" w:hanging="360"/>
      </w:pPr>
      <w:rPr>
        <w:rFonts w:ascii="Wingdings" w:hAnsi="Wingdings" w:hint="default"/>
      </w:rPr>
    </w:lvl>
    <w:lvl w:ilvl="6" w:tplc="FFFFFFFF">
      <w:start w:val="1"/>
      <w:numFmt w:val="bullet"/>
      <w:lvlText w:val=""/>
      <w:lvlJc w:val="left"/>
      <w:pPr>
        <w:ind w:left="5380" w:hanging="360"/>
      </w:pPr>
      <w:rPr>
        <w:rFonts w:ascii="Symbol" w:hAnsi="Symbol" w:hint="default"/>
      </w:rPr>
    </w:lvl>
    <w:lvl w:ilvl="7" w:tplc="FFFFFFFF">
      <w:start w:val="1"/>
      <w:numFmt w:val="bullet"/>
      <w:lvlText w:val="o"/>
      <w:lvlJc w:val="left"/>
      <w:pPr>
        <w:ind w:left="6100" w:hanging="360"/>
      </w:pPr>
      <w:rPr>
        <w:rFonts w:ascii="Courier New" w:hAnsi="Courier New" w:cs="Courier New" w:hint="default"/>
      </w:rPr>
    </w:lvl>
    <w:lvl w:ilvl="8" w:tplc="FFFFFFFF">
      <w:start w:val="1"/>
      <w:numFmt w:val="bullet"/>
      <w:lvlText w:val=""/>
      <w:lvlJc w:val="left"/>
      <w:pPr>
        <w:ind w:left="6820" w:hanging="360"/>
      </w:pPr>
      <w:rPr>
        <w:rFonts w:ascii="Wingdings" w:hAnsi="Wingdings" w:hint="default"/>
      </w:rPr>
    </w:lvl>
  </w:abstractNum>
  <w:abstractNum w:abstractNumId="17" w15:restartNumberingAfterBreak="0">
    <w:nsid w:val="3F764AA1"/>
    <w:multiLevelType w:val="hybridMultilevel"/>
    <w:tmpl w:val="69FEB904"/>
    <w:lvl w:ilvl="0" w:tplc="FFFFFFFF">
      <w:start w:val="1"/>
      <w:numFmt w:val="bullet"/>
      <w:lvlText w:val=""/>
      <w:lvlJc w:val="left"/>
      <w:pPr>
        <w:ind w:left="340" w:hanging="340"/>
      </w:pPr>
      <w:rPr>
        <w:rFonts w:ascii="Symbol" w:hAnsi="Symbol" w:hint="default"/>
        <w:color w:val="272727" w:themeColor="accent1" w:themeShade="80"/>
        <w:sz w:val="22"/>
        <w:szCs w:val="36"/>
      </w:rPr>
    </w:lvl>
    <w:lvl w:ilvl="1" w:tplc="0C090001">
      <w:start w:val="1"/>
      <w:numFmt w:val="bullet"/>
      <w:lvlText w:val=""/>
      <w:lvlJc w:val="left"/>
      <w:pPr>
        <w:ind w:left="680" w:hanging="340"/>
      </w:pPr>
      <w:rPr>
        <w:rFonts w:ascii="Symbol" w:hAnsi="Symbol" w:hint="default"/>
        <w:sz w:val="24"/>
        <w:szCs w:val="40"/>
      </w:rPr>
    </w:lvl>
    <w:lvl w:ilvl="2" w:tplc="448C33F0">
      <w:start w:val="1"/>
      <w:numFmt w:val="bullet"/>
      <w:lvlText w:val=""/>
      <w:lvlJc w:val="left"/>
      <w:pPr>
        <w:ind w:left="1134" w:hanging="454"/>
      </w:pPr>
      <w:rPr>
        <w:rFonts w:ascii="Symbol" w:hAnsi="Symbol" w:hint="default"/>
        <w:sz w:val="16"/>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B20D18"/>
    <w:multiLevelType w:val="multilevel"/>
    <w:tmpl w:val="C4023126"/>
    <w:numStyleLink w:val="AgencyTableBullets"/>
  </w:abstractNum>
  <w:abstractNum w:abstractNumId="19" w15:restartNumberingAfterBreak="0">
    <w:nsid w:val="44BD4ECF"/>
    <w:multiLevelType w:val="hybridMultilevel"/>
    <w:tmpl w:val="FB3CCF06"/>
    <w:lvl w:ilvl="0" w:tplc="95462822">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7137E9"/>
    <w:multiLevelType w:val="hybridMultilevel"/>
    <w:tmpl w:val="FFFFFFFF"/>
    <w:lvl w:ilvl="0" w:tplc="44D8A8D8">
      <w:start w:val="1"/>
      <w:numFmt w:val="bullet"/>
      <w:lvlText w:val=""/>
      <w:lvlJc w:val="left"/>
      <w:pPr>
        <w:ind w:left="360" w:hanging="360"/>
      </w:pPr>
      <w:rPr>
        <w:rFonts w:ascii="Symbol" w:hAnsi="Symbol" w:hint="default"/>
      </w:rPr>
    </w:lvl>
    <w:lvl w:ilvl="1" w:tplc="D28A815A">
      <w:start w:val="1"/>
      <w:numFmt w:val="bullet"/>
      <w:lvlText w:val="o"/>
      <w:lvlJc w:val="left"/>
      <w:pPr>
        <w:ind w:left="1080" w:hanging="360"/>
      </w:pPr>
      <w:rPr>
        <w:rFonts w:ascii="Courier New" w:hAnsi="Courier New" w:hint="default"/>
      </w:rPr>
    </w:lvl>
    <w:lvl w:ilvl="2" w:tplc="CE8097AA">
      <w:start w:val="1"/>
      <w:numFmt w:val="bullet"/>
      <w:lvlText w:val=""/>
      <w:lvlJc w:val="left"/>
      <w:pPr>
        <w:ind w:left="1800" w:hanging="360"/>
      </w:pPr>
      <w:rPr>
        <w:rFonts w:ascii="Wingdings" w:hAnsi="Wingdings" w:hint="default"/>
      </w:rPr>
    </w:lvl>
    <w:lvl w:ilvl="3" w:tplc="BF187F0A">
      <w:start w:val="1"/>
      <w:numFmt w:val="bullet"/>
      <w:lvlText w:val=""/>
      <w:lvlJc w:val="left"/>
      <w:pPr>
        <w:ind w:left="2520" w:hanging="360"/>
      </w:pPr>
      <w:rPr>
        <w:rFonts w:ascii="Symbol" w:hAnsi="Symbol" w:hint="default"/>
      </w:rPr>
    </w:lvl>
    <w:lvl w:ilvl="4" w:tplc="0862DB60">
      <w:start w:val="1"/>
      <w:numFmt w:val="bullet"/>
      <w:lvlText w:val="o"/>
      <w:lvlJc w:val="left"/>
      <w:pPr>
        <w:ind w:left="3240" w:hanging="360"/>
      </w:pPr>
      <w:rPr>
        <w:rFonts w:ascii="Courier New" w:hAnsi="Courier New" w:hint="default"/>
      </w:rPr>
    </w:lvl>
    <w:lvl w:ilvl="5" w:tplc="719CD100">
      <w:start w:val="1"/>
      <w:numFmt w:val="bullet"/>
      <w:lvlText w:val=""/>
      <w:lvlJc w:val="left"/>
      <w:pPr>
        <w:ind w:left="3960" w:hanging="360"/>
      </w:pPr>
      <w:rPr>
        <w:rFonts w:ascii="Wingdings" w:hAnsi="Wingdings" w:hint="default"/>
      </w:rPr>
    </w:lvl>
    <w:lvl w:ilvl="6" w:tplc="89E23A28">
      <w:start w:val="1"/>
      <w:numFmt w:val="bullet"/>
      <w:lvlText w:val=""/>
      <w:lvlJc w:val="left"/>
      <w:pPr>
        <w:ind w:left="4680" w:hanging="360"/>
      </w:pPr>
      <w:rPr>
        <w:rFonts w:ascii="Symbol" w:hAnsi="Symbol" w:hint="default"/>
      </w:rPr>
    </w:lvl>
    <w:lvl w:ilvl="7" w:tplc="759C8754">
      <w:start w:val="1"/>
      <w:numFmt w:val="bullet"/>
      <w:lvlText w:val="o"/>
      <w:lvlJc w:val="left"/>
      <w:pPr>
        <w:ind w:left="5400" w:hanging="360"/>
      </w:pPr>
      <w:rPr>
        <w:rFonts w:ascii="Courier New" w:hAnsi="Courier New" w:hint="default"/>
      </w:rPr>
    </w:lvl>
    <w:lvl w:ilvl="8" w:tplc="166813C6">
      <w:start w:val="1"/>
      <w:numFmt w:val="bullet"/>
      <w:lvlText w:val=""/>
      <w:lvlJc w:val="left"/>
      <w:pPr>
        <w:ind w:left="6120" w:hanging="360"/>
      </w:pPr>
      <w:rPr>
        <w:rFonts w:ascii="Wingdings" w:hAnsi="Wingdings" w:hint="default"/>
      </w:rPr>
    </w:lvl>
  </w:abstractNum>
  <w:abstractNum w:abstractNumId="21" w15:restartNumberingAfterBreak="0">
    <w:nsid w:val="4AC41814"/>
    <w:multiLevelType w:val="hybridMultilevel"/>
    <w:tmpl w:val="D03E7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9D492D"/>
    <w:multiLevelType w:val="multilevel"/>
    <w:tmpl w:val="E8E65D7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2421"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EFB01E5"/>
    <w:multiLevelType w:val="hybridMultilevel"/>
    <w:tmpl w:val="FFFFFFFF"/>
    <w:lvl w:ilvl="0" w:tplc="DDC698F4">
      <w:start w:val="1"/>
      <w:numFmt w:val="bullet"/>
      <w:lvlText w:val=""/>
      <w:lvlJc w:val="left"/>
      <w:pPr>
        <w:ind w:left="360" w:hanging="360"/>
      </w:pPr>
      <w:rPr>
        <w:rFonts w:ascii="Symbol" w:hAnsi="Symbol" w:hint="default"/>
      </w:rPr>
    </w:lvl>
    <w:lvl w:ilvl="1" w:tplc="49665BF4">
      <w:start w:val="1"/>
      <w:numFmt w:val="bullet"/>
      <w:lvlText w:val="o"/>
      <w:lvlJc w:val="left"/>
      <w:pPr>
        <w:ind w:left="1080" w:hanging="360"/>
      </w:pPr>
      <w:rPr>
        <w:rFonts w:ascii="Courier New" w:hAnsi="Courier New" w:hint="default"/>
      </w:rPr>
    </w:lvl>
    <w:lvl w:ilvl="2" w:tplc="FE22E85C">
      <w:start w:val="1"/>
      <w:numFmt w:val="bullet"/>
      <w:lvlText w:val=""/>
      <w:lvlJc w:val="left"/>
      <w:pPr>
        <w:ind w:left="1800" w:hanging="360"/>
      </w:pPr>
      <w:rPr>
        <w:rFonts w:ascii="Wingdings" w:hAnsi="Wingdings" w:hint="default"/>
      </w:rPr>
    </w:lvl>
    <w:lvl w:ilvl="3" w:tplc="C0B0CEAA">
      <w:start w:val="1"/>
      <w:numFmt w:val="bullet"/>
      <w:lvlText w:val=""/>
      <w:lvlJc w:val="left"/>
      <w:pPr>
        <w:ind w:left="2520" w:hanging="360"/>
      </w:pPr>
      <w:rPr>
        <w:rFonts w:ascii="Symbol" w:hAnsi="Symbol" w:hint="default"/>
      </w:rPr>
    </w:lvl>
    <w:lvl w:ilvl="4" w:tplc="F4306C72">
      <w:start w:val="1"/>
      <w:numFmt w:val="bullet"/>
      <w:lvlText w:val="o"/>
      <w:lvlJc w:val="left"/>
      <w:pPr>
        <w:ind w:left="3240" w:hanging="360"/>
      </w:pPr>
      <w:rPr>
        <w:rFonts w:ascii="Courier New" w:hAnsi="Courier New" w:hint="default"/>
      </w:rPr>
    </w:lvl>
    <w:lvl w:ilvl="5" w:tplc="D8364FF4">
      <w:start w:val="1"/>
      <w:numFmt w:val="bullet"/>
      <w:lvlText w:val=""/>
      <w:lvlJc w:val="left"/>
      <w:pPr>
        <w:ind w:left="3960" w:hanging="360"/>
      </w:pPr>
      <w:rPr>
        <w:rFonts w:ascii="Wingdings" w:hAnsi="Wingdings" w:hint="default"/>
      </w:rPr>
    </w:lvl>
    <w:lvl w:ilvl="6" w:tplc="9C120438">
      <w:start w:val="1"/>
      <w:numFmt w:val="bullet"/>
      <w:lvlText w:val=""/>
      <w:lvlJc w:val="left"/>
      <w:pPr>
        <w:ind w:left="4680" w:hanging="360"/>
      </w:pPr>
      <w:rPr>
        <w:rFonts w:ascii="Symbol" w:hAnsi="Symbol" w:hint="default"/>
      </w:rPr>
    </w:lvl>
    <w:lvl w:ilvl="7" w:tplc="3AE4C53C">
      <w:start w:val="1"/>
      <w:numFmt w:val="bullet"/>
      <w:lvlText w:val="o"/>
      <w:lvlJc w:val="left"/>
      <w:pPr>
        <w:ind w:left="5400" w:hanging="360"/>
      </w:pPr>
      <w:rPr>
        <w:rFonts w:ascii="Courier New" w:hAnsi="Courier New" w:hint="default"/>
      </w:rPr>
    </w:lvl>
    <w:lvl w:ilvl="8" w:tplc="041C1944">
      <w:start w:val="1"/>
      <w:numFmt w:val="bullet"/>
      <w:lvlText w:val=""/>
      <w:lvlJc w:val="left"/>
      <w:pPr>
        <w:ind w:left="6120" w:hanging="360"/>
      </w:pPr>
      <w:rPr>
        <w:rFonts w:ascii="Wingdings" w:hAnsi="Wingdings" w:hint="default"/>
      </w:rPr>
    </w:lvl>
  </w:abstractNum>
  <w:abstractNum w:abstractNumId="24" w15:restartNumberingAfterBreak="0">
    <w:nsid w:val="614323F0"/>
    <w:multiLevelType w:val="hybridMultilevel"/>
    <w:tmpl w:val="529E0E06"/>
    <w:lvl w:ilvl="0" w:tplc="484AC710">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0F34BE"/>
    <w:multiLevelType w:val="hybridMultilevel"/>
    <w:tmpl w:val="4FAE5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486D41"/>
    <w:multiLevelType w:val="hybridMultilevel"/>
    <w:tmpl w:val="520059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71661B67"/>
    <w:multiLevelType w:val="hybridMultilevel"/>
    <w:tmpl w:val="FFFFFFFF"/>
    <w:lvl w:ilvl="0" w:tplc="C7580D4A">
      <w:start w:val="1"/>
      <w:numFmt w:val="bullet"/>
      <w:lvlText w:val=""/>
      <w:lvlJc w:val="left"/>
      <w:pPr>
        <w:ind w:left="360" w:hanging="360"/>
      </w:pPr>
      <w:rPr>
        <w:rFonts w:ascii="Symbol" w:hAnsi="Symbol" w:hint="default"/>
      </w:rPr>
    </w:lvl>
    <w:lvl w:ilvl="1" w:tplc="184A1296">
      <w:start w:val="1"/>
      <w:numFmt w:val="bullet"/>
      <w:lvlText w:val="o"/>
      <w:lvlJc w:val="left"/>
      <w:pPr>
        <w:ind w:left="1080" w:hanging="360"/>
      </w:pPr>
      <w:rPr>
        <w:rFonts w:ascii="Courier New" w:hAnsi="Courier New" w:hint="default"/>
      </w:rPr>
    </w:lvl>
    <w:lvl w:ilvl="2" w:tplc="8B20DE30">
      <w:start w:val="1"/>
      <w:numFmt w:val="bullet"/>
      <w:lvlText w:val=""/>
      <w:lvlJc w:val="left"/>
      <w:pPr>
        <w:ind w:left="1800" w:hanging="360"/>
      </w:pPr>
      <w:rPr>
        <w:rFonts w:ascii="Wingdings" w:hAnsi="Wingdings" w:hint="default"/>
      </w:rPr>
    </w:lvl>
    <w:lvl w:ilvl="3" w:tplc="7CD212CE">
      <w:start w:val="1"/>
      <w:numFmt w:val="bullet"/>
      <w:lvlText w:val=""/>
      <w:lvlJc w:val="left"/>
      <w:pPr>
        <w:ind w:left="2520" w:hanging="360"/>
      </w:pPr>
      <w:rPr>
        <w:rFonts w:ascii="Symbol" w:hAnsi="Symbol" w:hint="default"/>
      </w:rPr>
    </w:lvl>
    <w:lvl w:ilvl="4" w:tplc="DC121994">
      <w:start w:val="1"/>
      <w:numFmt w:val="bullet"/>
      <w:lvlText w:val="o"/>
      <w:lvlJc w:val="left"/>
      <w:pPr>
        <w:ind w:left="3240" w:hanging="360"/>
      </w:pPr>
      <w:rPr>
        <w:rFonts w:ascii="Courier New" w:hAnsi="Courier New" w:hint="default"/>
      </w:rPr>
    </w:lvl>
    <w:lvl w:ilvl="5" w:tplc="A10A8180">
      <w:start w:val="1"/>
      <w:numFmt w:val="bullet"/>
      <w:lvlText w:val=""/>
      <w:lvlJc w:val="left"/>
      <w:pPr>
        <w:ind w:left="3960" w:hanging="360"/>
      </w:pPr>
      <w:rPr>
        <w:rFonts w:ascii="Wingdings" w:hAnsi="Wingdings" w:hint="default"/>
      </w:rPr>
    </w:lvl>
    <w:lvl w:ilvl="6" w:tplc="7CE62686">
      <w:start w:val="1"/>
      <w:numFmt w:val="bullet"/>
      <w:lvlText w:val=""/>
      <w:lvlJc w:val="left"/>
      <w:pPr>
        <w:ind w:left="4680" w:hanging="360"/>
      </w:pPr>
      <w:rPr>
        <w:rFonts w:ascii="Symbol" w:hAnsi="Symbol" w:hint="default"/>
      </w:rPr>
    </w:lvl>
    <w:lvl w:ilvl="7" w:tplc="47867130">
      <w:start w:val="1"/>
      <w:numFmt w:val="bullet"/>
      <w:lvlText w:val="o"/>
      <w:lvlJc w:val="left"/>
      <w:pPr>
        <w:ind w:left="5400" w:hanging="360"/>
      </w:pPr>
      <w:rPr>
        <w:rFonts w:ascii="Courier New" w:hAnsi="Courier New" w:hint="default"/>
      </w:rPr>
    </w:lvl>
    <w:lvl w:ilvl="8" w:tplc="E1FAC0AA">
      <w:start w:val="1"/>
      <w:numFmt w:val="bullet"/>
      <w:lvlText w:val=""/>
      <w:lvlJc w:val="left"/>
      <w:pPr>
        <w:ind w:left="6120" w:hanging="360"/>
      </w:pPr>
      <w:rPr>
        <w:rFonts w:ascii="Wingdings" w:hAnsi="Wingdings" w:hint="default"/>
      </w:rPr>
    </w:lvl>
  </w:abstractNum>
  <w:abstractNum w:abstractNumId="28" w15:restartNumberingAfterBreak="0">
    <w:nsid w:val="73C17D53"/>
    <w:multiLevelType w:val="hybridMultilevel"/>
    <w:tmpl w:val="0A6665AC"/>
    <w:lvl w:ilvl="0" w:tplc="2C88A60E">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4ED71F8"/>
    <w:multiLevelType w:val="hybridMultilevel"/>
    <w:tmpl w:val="1A3A83BE"/>
    <w:lvl w:ilvl="0" w:tplc="EBF485E4">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7747F54"/>
    <w:multiLevelType w:val="hybridMultilevel"/>
    <w:tmpl w:val="FFFFFFFF"/>
    <w:lvl w:ilvl="0" w:tplc="FFFFFFFF">
      <w:start w:val="1"/>
      <w:numFmt w:val="bullet"/>
      <w:lvlText w:val=""/>
      <w:lvlJc w:val="left"/>
      <w:pPr>
        <w:ind w:left="360" w:hanging="360"/>
      </w:pPr>
      <w:rPr>
        <w:rFonts w:ascii="Symbol" w:hAnsi="Symbol" w:hint="default"/>
      </w:rPr>
    </w:lvl>
    <w:lvl w:ilvl="1" w:tplc="19CC1562">
      <w:start w:val="1"/>
      <w:numFmt w:val="bullet"/>
      <w:lvlText w:val="o"/>
      <w:lvlJc w:val="left"/>
      <w:pPr>
        <w:ind w:left="1080" w:hanging="360"/>
      </w:pPr>
      <w:rPr>
        <w:rFonts w:ascii="Courier New" w:hAnsi="Courier New" w:hint="default"/>
      </w:rPr>
    </w:lvl>
    <w:lvl w:ilvl="2" w:tplc="96BC214A">
      <w:start w:val="1"/>
      <w:numFmt w:val="bullet"/>
      <w:lvlText w:val=""/>
      <w:lvlJc w:val="left"/>
      <w:pPr>
        <w:ind w:left="1800" w:hanging="360"/>
      </w:pPr>
      <w:rPr>
        <w:rFonts w:ascii="Wingdings" w:hAnsi="Wingdings" w:hint="default"/>
      </w:rPr>
    </w:lvl>
    <w:lvl w:ilvl="3" w:tplc="73143B60">
      <w:start w:val="1"/>
      <w:numFmt w:val="bullet"/>
      <w:lvlText w:val=""/>
      <w:lvlJc w:val="left"/>
      <w:pPr>
        <w:ind w:left="2520" w:hanging="360"/>
      </w:pPr>
      <w:rPr>
        <w:rFonts w:ascii="Symbol" w:hAnsi="Symbol" w:hint="default"/>
      </w:rPr>
    </w:lvl>
    <w:lvl w:ilvl="4" w:tplc="21AE8A00">
      <w:start w:val="1"/>
      <w:numFmt w:val="bullet"/>
      <w:lvlText w:val="o"/>
      <w:lvlJc w:val="left"/>
      <w:pPr>
        <w:ind w:left="3240" w:hanging="360"/>
      </w:pPr>
      <w:rPr>
        <w:rFonts w:ascii="Courier New" w:hAnsi="Courier New" w:hint="default"/>
      </w:rPr>
    </w:lvl>
    <w:lvl w:ilvl="5" w:tplc="B36E1BA2">
      <w:start w:val="1"/>
      <w:numFmt w:val="bullet"/>
      <w:lvlText w:val=""/>
      <w:lvlJc w:val="left"/>
      <w:pPr>
        <w:ind w:left="3960" w:hanging="360"/>
      </w:pPr>
      <w:rPr>
        <w:rFonts w:ascii="Wingdings" w:hAnsi="Wingdings" w:hint="default"/>
      </w:rPr>
    </w:lvl>
    <w:lvl w:ilvl="6" w:tplc="8FDC56E6">
      <w:start w:val="1"/>
      <w:numFmt w:val="bullet"/>
      <w:lvlText w:val=""/>
      <w:lvlJc w:val="left"/>
      <w:pPr>
        <w:ind w:left="4680" w:hanging="360"/>
      </w:pPr>
      <w:rPr>
        <w:rFonts w:ascii="Symbol" w:hAnsi="Symbol" w:hint="default"/>
      </w:rPr>
    </w:lvl>
    <w:lvl w:ilvl="7" w:tplc="45C4C2D8">
      <w:start w:val="1"/>
      <w:numFmt w:val="bullet"/>
      <w:lvlText w:val="o"/>
      <w:lvlJc w:val="left"/>
      <w:pPr>
        <w:ind w:left="5400" w:hanging="360"/>
      </w:pPr>
      <w:rPr>
        <w:rFonts w:ascii="Courier New" w:hAnsi="Courier New" w:hint="default"/>
      </w:rPr>
    </w:lvl>
    <w:lvl w:ilvl="8" w:tplc="6BD89660">
      <w:start w:val="1"/>
      <w:numFmt w:val="bullet"/>
      <w:lvlText w:val=""/>
      <w:lvlJc w:val="left"/>
      <w:pPr>
        <w:ind w:left="6120" w:hanging="360"/>
      </w:pPr>
      <w:rPr>
        <w:rFonts w:ascii="Wingdings" w:hAnsi="Wingdings" w:hint="default"/>
      </w:rPr>
    </w:lvl>
  </w:abstractNum>
  <w:abstractNum w:abstractNumId="31" w15:restartNumberingAfterBreak="0">
    <w:nsid w:val="79B7218E"/>
    <w:multiLevelType w:val="hybridMultilevel"/>
    <w:tmpl w:val="1B469D60"/>
    <w:lvl w:ilvl="0" w:tplc="FFFFFFFF">
      <w:start w:val="1"/>
      <w:numFmt w:val="bullet"/>
      <w:pStyle w:val="Bullet"/>
      <w:lvlText w:val=""/>
      <w:lvlJc w:val="left"/>
      <w:pPr>
        <w:ind w:left="340" w:hanging="340"/>
      </w:pPr>
      <w:rPr>
        <w:rFonts w:ascii="Symbol" w:hAnsi="Symbol" w:hint="default"/>
        <w:color w:val="272727" w:themeColor="accent1" w:themeShade="80"/>
        <w:sz w:val="22"/>
        <w:szCs w:val="36"/>
      </w:rPr>
    </w:lvl>
    <w:lvl w:ilvl="1" w:tplc="80362392">
      <w:start w:val="1"/>
      <w:numFmt w:val="bullet"/>
      <w:lvlText w:val="o"/>
      <w:lvlJc w:val="left"/>
      <w:pPr>
        <w:ind w:left="680" w:hanging="340"/>
      </w:pPr>
      <w:rPr>
        <w:rFonts w:ascii="Courier New" w:hAnsi="Courier New" w:hint="default"/>
        <w:sz w:val="24"/>
        <w:szCs w:val="40"/>
      </w:rPr>
    </w:lvl>
    <w:lvl w:ilvl="2" w:tplc="448C33F0">
      <w:start w:val="1"/>
      <w:numFmt w:val="bullet"/>
      <w:pStyle w:val="BulletLevel2"/>
      <w:lvlText w:val=""/>
      <w:lvlJc w:val="left"/>
      <w:pPr>
        <w:ind w:left="1134" w:hanging="454"/>
      </w:pPr>
      <w:rPr>
        <w:rFonts w:ascii="Symbol" w:hAnsi="Symbol" w:hint="default"/>
        <w:sz w:val="16"/>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AF25D72"/>
    <w:multiLevelType w:val="hybridMultilevel"/>
    <w:tmpl w:val="3244B970"/>
    <w:lvl w:ilvl="0" w:tplc="71868D48">
      <w:start w:val="1"/>
      <w:numFmt w:val="bullet"/>
      <w:lvlText w:val=""/>
      <w:lvlJc w:val="left"/>
      <w:pPr>
        <w:ind w:left="360" w:hanging="360"/>
      </w:pPr>
      <w:rPr>
        <w:rFonts w:ascii="Symbol" w:hAnsi="Symbol" w:hint="default"/>
      </w:rPr>
    </w:lvl>
    <w:lvl w:ilvl="1" w:tplc="8D34989E">
      <w:start w:val="1"/>
      <w:numFmt w:val="bullet"/>
      <w:lvlText w:val="o"/>
      <w:lvlJc w:val="left"/>
      <w:pPr>
        <w:ind w:left="1080" w:hanging="360"/>
      </w:pPr>
      <w:rPr>
        <w:rFonts w:ascii="Courier New" w:hAnsi="Courier New" w:hint="default"/>
      </w:rPr>
    </w:lvl>
    <w:lvl w:ilvl="2" w:tplc="61A8D254">
      <w:start w:val="1"/>
      <w:numFmt w:val="bullet"/>
      <w:lvlText w:val=""/>
      <w:lvlJc w:val="left"/>
      <w:pPr>
        <w:ind w:left="1800" w:hanging="360"/>
      </w:pPr>
      <w:rPr>
        <w:rFonts w:ascii="Wingdings" w:hAnsi="Wingdings" w:hint="default"/>
      </w:rPr>
    </w:lvl>
    <w:lvl w:ilvl="3" w:tplc="66D69BE8">
      <w:start w:val="1"/>
      <w:numFmt w:val="bullet"/>
      <w:lvlText w:val=""/>
      <w:lvlJc w:val="left"/>
      <w:pPr>
        <w:ind w:left="2520" w:hanging="360"/>
      </w:pPr>
      <w:rPr>
        <w:rFonts w:ascii="Symbol" w:hAnsi="Symbol" w:hint="default"/>
      </w:rPr>
    </w:lvl>
    <w:lvl w:ilvl="4" w:tplc="AA90DEEE">
      <w:start w:val="1"/>
      <w:numFmt w:val="bullet"/>
      <w:lvlText w:val="o"/>
      <w:lvlJc w:val="left"/>
      <w:pPr>
        <w:ind w:left="3240" w:hanging="360"/>
      </w:pPr>
      <w:rPr>
        <w:rFonts w:ascii="Courier New" w:hAnsi="Courier New" w:hint="default"/>
      </w:rPr>
    </w:lvl>
    <w:lvl w:ilvl="5" w:tplc="0160F6F0">
      <w:start w:val="1"/>
      <w:numFmt w:val="bullet"/>
      <w:lvlText w:val=""/>
      <w:lvlJc w:val="left"/>
      <w:pPr>
        <w:ind w:left="3960" w:hanging="360"/>
      </w:pPr>
      <w:rPr>
        <w:rFonts w:ascii="Wingdings" w:hAnsi="Wingdings" w:hint="default"/>
      </w:rPr>
    </w:lvl>
    <w:lvl w:ilvl="6" w:tplc="E6F83B24">
      <w:start w:val="1"/>
      <w:numFmt w:val="bullet"/>
      <w:lvlText w:val=""/>
      <w:lvlJc w:val="left"/>
      <w:pPr>
        <w:ind w:left="4680" w:hanging="360"/>
      </w:pPr>
      <w:rPr>
        <w:rFonts w:ascii="Symbol" w:hAnsi="Symbol" w:hint="default"/>
      </w:rPr>
    </w:lvl>
    <w:lvl w:ilvl="7" w:tplc="437A3508">
      <w:start w:val="1"/>
      <w:numFmt w:val="bullet"/>
      <w:lvlText w:val="o"/>
      <w:lvlJc w:val="left"/>
      <w:pPr>
        <w:ind w:left="5400" w:hanging="360"/>
      </w:pPr>
      <w:rPr>
        <w:rFonts w:ascii="Courier New" w:hAnsi="Courier New" w:hint="default"/>
      </w:rPr>
    </w:lvl>
    <w:lvl w:ilvl="8" w:tplc="E47E341A">
      <w:start w:val="1"/>
      <w:numFmt w:val="bullet"/>
      <w:lvlText w:val=""/>
      <w:lvlJc w:val="left"/>
      <w:pPr>
        <w:ind w:left="6120" w:hanging="360"/>
      </w:pPr>
      <w:rPr>
        <w:rFonts w:ascii="Wingdings" w:hAnsi="Wingdings" w:hint="default"/>
      </w:rPr>
    </w:lvl>
  </w:abstractNum>
  <w:abstractNum w:abstractNumId="33" w15:restartNumberingAfterBreak="0">
    <w:nsid w:val="7C2030D0"/>
    <w:multiLevelType w:val="hybridMultilevel"/>
    <w:tmpl w:val="48124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1"/>
  </w:num>
  <w:num w:numId="6">
    <w:abstractNumId w:val="5"/>
  </w:num>
  <w:num w:numId="7">
    <w:abstractNumId w:val="26"/>
  </w:num>
  <w:num w:numId="8">
    <w:abstractNumId w:val="14"/>
  </w:num>
  <w:num w:numId="9">
    <w:abstractNumId w:val="7"/>
  </w:num>
  <w:num w:numId="10">
    <w:abstractNumId w:val="16"/>
  </w:num>
  <w:num w:numId="11">
    <w:abstractNumId w:val="21"/>
  </w:num>
  <w:num w:numId="12">
    <w:abstractNumId w:val="9"/>
  </w:num>
  <w:num w:numId="13">
    <w:abstractNumId w:val="20"/>
  </w:num>
  <w:num w:numId="14">
    <w:abstractNumId w:val="3"/>
  </w:num>
  <w:num w:numId="15">
    <w:abstractNumId w:val="23"/>
  </w:num>
  <w:num w:numId="16">
    <w:abstractNumId w:val="27"/>
  </w:num>
  <w:num w:numId="17">
    <w:abstractNumId w:val="12"/>
  </w:num>
  <w:num w:numId="18">
    <w:abstractNumId w:val="11"/>
  </w:num>
  <w:num w:numId="19">
    <w:abstractNumId w:val="29"/>
  </w:num>
  <w:num w:numId="20">
    <w:abstractNumId w:val="15"/>
  </w:num>
  <w:num w:numId="21">
    <w:abstractNumId w:val="28"/>
  </w:num>
  <w:num w:numId="22">
    <w:abstractNumId w:val="10"/>
  </w:num>
  <w:num w:numId="23">
    <w:abstractNumId w:val="8"/>
  </w:num>
  <w:num w:numId="24">
    <w:abstractNumId w:val="33"/>
  </w:num>
  <w:num w:numId="25">
    <w:abstractNumId w:val="19"/>
  </w:num>
  <w:num w:numId="26">
    <w:abstractNumId w:val="0"/>
  </w:num>
  <w:num w:numId="27">
    <w:abstractNumId w:val="2"/>
  </w:num>
  <w:num w:numId="28">
    <w:abstractNumId w:val="13"/>
  </w:num>
  <w:num w:numId="29">
    <w:abstractNumId w:val="32"/>
  </w:num>
  <w:num w:numId="30">
    <w:abstractNumId w:val="24"/>
  </w:num>
  <w:num w:numId="31">
    <w:abstractNumId w:val="25"/>
  </w:num>
  <w:num w:numId="32">
    <w:abstractNumId w:val="6"/>
  </w:num>
  <w:num w:numId="33">
    <w:abstractNumId w:val="5"/>
  </w:num>
  <w:num w:numId="34">
    <w:abstractNumId w:val="1"/>
  </w:num>
  <w:num w:numId="35">
    <w:abstractNumId w:val="17"/>
  </w:num>
  <w:num w:numId="36">
    <w:abstractNumId w:val="5"/>
  </w:num>
  <w:num w:numId="37">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481CC"/>
    <w:rsid w:val="00000905"/>
    <w:rsid w:val="000022C5"/>
    <w:rsid w:val="00002AE9"/>
    <w:rsid w:val="00003271"/>
    <w:rsid w:val="00003EF3"/>
    <w:rsid w:val="000051CB"/>
    <w:rsid w:val="00005211"/>
    <w:rsid w:val="000055CA"/>
    <w:rsid w:val="00006704"/>
    <w:rsid w:val="0000759A"/>
    <w:rsid w:val="0000775E"/>
    <w:rsid w:val="00007852"/>
    <w:rsid w:val="000101B9"/>
    <w:rsid w:val="000101CA"/>
    <w:rsid w:val="000105E7"/>
    <w:rsid w:val="000108AF"/>
    <w:rsid w:val="000110EC"/>
    <w:rsid w:val="0001113D"/>
    <w:rsid w:val="00011687"/>
    <w:rsid w:val="00011B22"/>
    <w:rsid w:val="00012327"/>
    <w:rsid w:val="00012687"/>
    <w:rsid w:val="00013830"/>
    <w:rsid w:val="000148E1"/>
    <w:rsid w:val="00014B58"/>
    <w:rsid w:val="00015AB0"/>
    <w:rsid w:val="00016213"/>
    <w:rsid w:val="00016DCE"/>
    <w:rsid w:val="00017828"/>
    <w:rsid w:val="00017E09"/>
    <w:rsid w:val="0002039C"/>
    <w:rsid w:val="00020FAB"/>
    <w:rsid w:val="000217BD"/>
    <w:rsid w:val="00021A59"/>
    <w:rsid w:val="00022890"/>
    <w:rsid w:val="0002346F"/>
    <w:rsid w:val="00023797"/>
    <w:rsid w:val="00023C25"/>
    <w:rsid w:val="000240BC"/>
    <w:rsid w:val="0002424D"/>
    <w:rsid w:val="00024456"/>
    <w:rsid w:val="00024B2C"/>
    <w:rsid w:val="00024BDB"/>
    <w:rsid w:val="0002585B"/>
    <w:rsid w:val="00026924"/>
    <w:rsid w:val="00026A94"/>
    <w:rsid w:val="00030058"/>
    <w:rsid w:val="00030157"/>
    <w:rsid w:val="0003024F"/>
    <w:rsid w:val="00030A89"/>
    <w:rsid w:val="00031E95"/>
    <w:rsid w:val="00032C9A"/>
    <w:rsid w:val="00033248"/>
    <w:rsid w:val="00033EF7"/>
    <w:rsid w:val="0003491C"/>
    <w:rsid w:val="000367F4"/>
    <w:rsid w:val="00040116"/>
    <w:rsid w:val="000403AD"/>
    <w:rsid w:val="00041993"/>
    <w:rsid w:val="00043264"/>
    <w:rsid w:val="000437C4"/>
    <w:rsid w:val="000441F3"/>
    <w:rsid w:val="00044A3E"/>
    <w:rsid w:val="00046170"/>
    <w:rsid w:val="00046F02"/>
    <w:rsid w:val="00047180"/>
    <w:rsid w:val="000474DE"/>
    <w:rsid w:val="00047923"/>
    <w:rsid w:val="00047C0F"/>
    <w:rsid w:val="00050233"/>
    <w:rsid w:val="00050FD0"/>
    <w:rsid w:val="0005188E"/>
    <w:rsid w:val="000525B1"/>
    <w:rsid w:val="00052B4E"/>
    <w:rsid w:val="00052E56"/>
    <w:rsid w:val="000534EE"/>
    <w:rsid w:val="00056B02"/>
    <w:rsid w:val="00057B84"/>
    <w:rsid w:val="0006076A"/>
    <w:rsid w:val="000610B3"/>
    <w:rsid w:val="00061712"/>
    <w:rsid w:val="00061AC7"/>
    <w:rsid w:val="00062CA7"/>
    <w:rsid w:val="00063334"/>
    <w:rsid w:val="000645CC"/>
    <w:rsid w:val="000661EB"/>
    <w:rsid w:val="00066DF3"/>
    <w:rsid w:val="0006716A"/>
    <w:rsid w:val="000679BC"/>
    <w:rsid w:val="00067C3A"/>
    <w:rsid w:val="00067EEE"/>
    <w:rsid w:val="0007082E"/>
    <w:rsid w:val="000709DB"/>
    <w:rsid w:val="00070F9B"/>
    <w:rsid w:val="0007123C"/>
    <w:rsid w:val="000712F8"/>
    <w:rsid w:val="00071B86"/>
    <w:rsid w:val="00071EFA"/>
    <w:rsid w:val="000721E3"/>
    <w:rsid w:val="00072451"/>
    <w:rsid w:val="0007434C"/>
    <w:rsid w:val="000747D5"/>
    <w:rsid w:val="000748DF"/>
    <w:rsid w:val="00074D69"/>
    <w:rsid w:val="00075873"/>
    <w:rsid w:val="000769AE"/>
    <w:rsid w:val="000773B0"/>
    <w:rsid w:val="000773D5"/>
    <w:rsid w:val="0007FA1E"/>
    <w:rsid w:val="00080605"/>
    <w:rsid w:val="0008116E"/>
    <w:rsid w:val="000818F3"/>
    <w:rsid w:val="000821A0"/>
    <w:rsid w:val="00082B5A"/>
    <w:rsid w:val="00083427"/>
    <w:rsid w:val="0008344D"/>
    <w:rsid w:val="00083518"/>
    <w:rsid w:val="0008360B"/>
    <w:rsid w:val="000839A0"/>
    <w:rsid w:val="00084316"/>
    <w:rsid w:val="00084355"/>
    <w:rsid w:val="000857A6"/>
    <w:rsid w:val="00085C17"/>
    <w:rsid w:val="00085EB7"/>
    <w:rsid w:val="00085F26"/>
    <w:rsid w:val="0008628C"/>
    <w:rsid w:val="0008766E"/>
    <w:rsid w:val="00087C6F"/>
    <w:rsid w:val="00087CF2"/>
    <w:rsid w:val="00090BA3"/>
    <w:rsid w:val="000918BE"/>
    <w:rsid w:val="00092517"/>
    <w:rsid w:val="00092CED"/>
    <w:rsid w:val="00092D41"/>
    <w:rsid w:val="00092E8F"/>
    <w:rsid w:val="00094315"/>
    <w:rsid w:val="0009471B"/>
    <w:rsid w:val="00094779"/>
    <w:rsid w:val="00094B67"/>
    <w:rsid w:val="00097007"/>
    <w:rsid w:val="00097D60"/>
    <w:rsid w:val="000A02C1"/>
    <w:rsid w:val="000A08F8"/>
    <w:rsid w:val="000A0E03"/>
    <w:rsid w:val="000A1141"/>
    <w:rsid w:val="000A1A76"/>
    <w:rsid w:val="000A1DB5"/>
    <w:rsid w:val="000A2CED"/>
    <w:rsid w:val="000A3227"/>
    <w:rsid w:val="000A42A5"/>
    <w:rsid w:val="000A5371"/>
    <w:rsid w:val="000A5AB8"/>
    <w:rsid w:val="000A5ED8"/>
    <w:rsid w:val="000A6880"/>
    <w:rsid w:val="000A6E69"/>
    <w:rsid w:val="000B0759"/>
    <w:rsid w:val="000B10C1"/>
    <w:rsid w:val="000B17AC"/>
    <w:rsid w:val="000B190F"/>
    <w:rsid w:val="000B21DD"/>
    <w:rsid w:val="000B22E3"/>
    <w:rsid w:val="000B25DC"/>
    <w:rsid w:val="000B25F6"/>
    <w:rsid w:val="000B3723"/>
    <w:rsid w:val="000B37AF"/>
    <w:rsid w:val="000B3D11"/>
    <w:rsid w:val="000B4EAE"/>
    <w:rsid w:val="000B5973"/>
    <w:rsid w:val="000B5A5E"/>
    <w:rsid w:val="000B5F8C"/>
    <w:rsid w:val="000B69A7"/>
    <w:rsid w:val="000B7719"/>
    <w:rsid w:val="000B7B24"/>
    <w:rsid w:val="000B7D3F"/>
    <w:rsid w:val="000B7EE3"/>
    <w:rsid w:val="000C04F1"/>
    <w:rsid w:val="000C0530"/>
    <w:rsid w:val="000C0D9D"/>
    <w:rsid w:val="000C1D4B"/>
    <w:rsid w:val="000C2B32"/>
    <w:rsid w:val="000C2DEC"/>
    <w:rsid w:val="000C3822"/>
    <w:rsid w:val="000C41C3"/>
    <w:rsid w:val="000C43B8"/>
    <w:rsid w:val="000C460B"/>
    <w:rsid w:val="000C4666"/>
    <w:rsid w:val="000C4EA1"/>
    <w:rsid w:val="000C560E"/>
    <w:rsid w:val="000C5F39"/>
    <w:rsid w:val="000C675B"/>
    <w:rsid w:val="000C6B7C"/>
    <w:rsid w:val="000C7B18"/>
    <w:rsid w:val="000C7DBB"/>
    <w:rsid w:val="000D16FA"/>
    <w:rsid w:val="000D34D2"/>
    <w:rsid w:val="000D4249"/>
    <w:rsid w:val="000D4271"/>
    <w:rsid w:val="000D4EAB"/>
    <w:rsid w:val="000D5692"/>
    <w:rsid w:val="000D5DD7"/>
    <w:rsid w:val="000D6489"/>
    <w:rsid w:val="000D6B12"/>
    <w:rsid w:val="000D72AC"/>
    <w:rsid w:val="000E05FD"/>
    <w:rsid w:val="000E086D"/>
    <w:rsid w:val="000E0AFE"/>
    <w:rsid w:val="000E0FE8"/>
    <w:rsid w:val="000E1627"/>
    <w:rsid w:val="000E3103"/>
    <w:rsid w:val="000E5ED7"/>
    <w:rsid w:val="000E678C"/>
    <w:rsid w:val="000E6A93"/>
    <w:rsid w:val="000E6B02"/>
    <w:rsid w:val="000E753F"/>
    <w:rsid w:val="000F04F3"/>
    <w:rsid w:val="000F0F86"/>
    <w:rsid w:val="000F2279"/>
    <w:rsid w:val="000F268B"/>
    <w:rsid w:val="000F2B0C"/>
    <w:rsid w:val="000F3D11"/>
    <w:rsid w:val="000F41C6"/>
    <w:rsid w:val="000F550B"/>
    <w:rsid w:val="000F57F4"/>
    <w:rsid w:val="000F6F5E"/>
    <w:rsid w:val="000F74A3"/>
    <w:rsid w:val="00100CE1"/>
    <w:rsid w:val="001013DD"/>
    <w:rsid w:val="001021D6"/>
    <w:rsid w:val="00102C1C"/>
    <w:rsid w:val="00103B5B"/>
    <w:rsid w:val="00103ECD"/>
    <w:rsid w:val="00104C3C"/>
    <w:rsid w:val="001059F8"/>
    <w:rsid w:val="0010614B"/>
    <w:rsid w:val="001066F8"/>
    <w:rsid w:val="00106D50"/>
    <w:rsid w:val="00111B09"/>
    <w:rsid w:val="00111B0B"/>
    <w:rsid w:val="00111CFB"/>
    <w:rsid w:val="00111D0A"/>
    <w:rsid w:val="0011455F"/>
    <w:rsid w:val="0011524A"/>
    <w:rsid w:val="00115704"/>
    <w:rsid w:val="001160AE"/>
    <w:rsid w:val="00116F0F"/>
    <w:rsid w:val="00117228"/>
    <w:rsid w:val="001173C8"/>
    <w:rsid w:val="001177DD"/>
    <w:rsid w:val="00117A48"/>
    <w:rsid w:val="00117AD5"/>
    <w:rsid w:val="001206C4"/>
    <w:rsid w:val="001208EA"/>
    <w:rsid w:val="00120F43"/>
    <w:rsid w:val="00120F70"/>
    <w:rsid w:val="001210AC"/>
    <w:rsid w:val="00121339"/>
    <w:rsid w:val="00121972"/>
    <w:rsid w:val="00121B49"/>
    <w:rsid w:val="00121EE4"/>
    <w:rsid w:val="00122190"/>
    <w:rsid w:val="0012246B"/>
    <w:rsid w:val="001227A1"/>
    <w:rsid w:val="00123A39"/>
    <w:rsid w:val="00124025"/>
    <w:rsid w:val="00124527"/>
    <w:rsid w:val="00124C21"/>
    <w:rsid w:val="00124F20"/>
    <w:rsid w:val="001260D7"/>
    <w:rsid w:val="0012671F"/>
    <w:rsid w:val="00126C7A"/>
    <w:rsid w:val="00127B09"/>
    <w:rsid w:val="0013001E"/>
    <w:rsid w:val="001301AC"/>
    <w:rsid w:val="00130AC7"/>
    <w:rsid w:val="001310EA"/>
    <w:rsid w:val="001317EB"/>
    <w:rsid w:val="001324A8"/>
    <w:rsid w:val="001324D2"/>
    <w:rsid w:val="00132BBB"/>
    <w:rsid w:val="0013327C"/>
    <w:rsid w:val="00133641"/>
    <w:rsid w:val="00133A11"/>
    <w:rsid w:val="001367B3"/>
    <w:rsid w:val="0013781D"/>
    <w:rsid w:val="00137A56"/>
    <w:rsid w:val="00140364"/>
    <w:rsid w:val="00141FAA"/>
    <w:rsid w:val="00142EF8"/>
    <w:rsid w:val="00144B13"/>
    <w:rsid w:val="00145EE5"/>
    <w:rsid w:val="00146F6F"/>
    <w:rsid w:val="00146F84"/>
    <w:rsid w:val="0014768B"/>
    <w:rsid w:val="001478D6"/>
    <w:rsid w:val="001519C2"/>
    <w:rsid w:val="00152CA4"/>
    <w:rsid w:val="001530F6"/>
    <w:rsid w:val="00153D43"/>
    <w:rsid w:val="001551FC"/>
    <w:rsid w:val="0015547D"/>
    <w:rsid w:val="00155B50"/>
    <w:rsid w:val="00156439"/>
    <w:rsid w:val="0015698F"/>
    <w:rsid w:val="00157017"/>
    <w:rsid w:val="00161670"/>
    <w:rsid w:val="00161698"/>
    <w:rsid w:val="001624A1"/>
    <w:rsid w:val="00163438"/>
    <w:rsid w:val="001636E6"/>
    <w:rsid w:val="00163B77"/>
    <w:rsid w:val="00163D47"/>
    <w:rsid w:val="0016424A"/>
    <w:rsid w:val="001656A6"/>
    <w:rsid w:val="001668F4"/>
    <w:rsid w:val="001675D6"/>
    <w:rsid w:val="00171738"/>
    <w:rsid w:val="0017189C"/>
    <w:rsid w:val="00171AE3"/>
    <w:rsid w:val="00172EAF"/>
    <w:rsid w:val="00173A4F"/>
    <w:rsid w:val="0017429E"/>
    <w:rsid w:val="00175053"/>
    <w:rsid w:val="0017516A"/>
    <w:rsid w:val="00175586"/>
    <w:rsid w:val="0017563C"/>
    <w:rsid w:val="00175AEC"/>
    <w:rsid w:val="00175D02"/>
    <w:rsid w:val="00176D95"/>
    <w:rsid w:val="00177F8C"/>
    <w:rsid w:val="0018081A"/>
    <w:rsid w:val="00183A74"/>
    <w:rsid w:val="00184AA0"/>
    <w:rsid w:val="00186317"/>
    <w:rsid w:val="00186EB0"/>
    <w:rsid w:val="00191552"/>
    <w:rsid w:val="00191798"/>
    <w:rsid w:val="00191D88"/>
    <w:rsid w:val="00191E24"/>
    <w:rsid w:val="00191FC8"/>
    <w:rsid w:val="00192229"/>
    <w:rsid w:val="00192537"/>
    <w:rsid w:val="00192B3C"/>
    <w:rsid w:val="001941C9"/>
    <w:rsid w:val="001944EF"/>
    <w:rsid w:val="00194875"/>
    <w:rsid w:val="00195E33"/>
    <w:rsid w:val="001962AD"/>
    <w:rsid w:val="00196471"/>
    <w:rsid w:val="00196D53"/>
    <w:rsid w:val="00197314"/>
    <w:rsid w:val="001977E3"/>
    <w:rsid w:val="00197C09"/>
    <w:rsid w:val="00197C7F"/>
    <w:rsid w:val="00197F30"/>
    <w:rsid w:val="001A028C"/>
    <w:rsid w:val="001A0C45"/>
    <w:rsid w:val="001A1BEA"/>
    <w:rsid w:val="001A2638"/>
    <w:rsid w:val="001A3560"/>
    <w:rsid w:val="001A6875"/>
    <w:rsid w:val="001A6D7D"/>
    <w:rsid w:val="001A71C4"/>
    <w:rsid w:val="001A74A2"/>
    <w:rsid w:val="001A74FF"/>
    <w:rsid w:val="001A7A14"/>
    <w:rsid w:val="001A7CA3"/>
    <w:rsid w:val="001B058C"/>
    <w:rsid w:val="001B1A56"/>
    <w:rsid w:val="001B1ACA"/>
    <w:rsid w:val="001B2377"/>
    <w:rsid w:val="001B5CAB"/>
    <w:rsid w:val="001B6339"/>
    <w:rsid w:val="001B64E6"/>
    <w:rsid w:val="001B75E0"/>
    <w:rsid w:val="001C1E75"/>
    <w:rsid w:val="001C26CC"/>
    <w:rsid w:val="001C2C5F"/>
    <w:rsid w:val="001C34FB"/>
    <w:rsid w:val="001C3D52"/>
    <w:rsid w:val="001C5AA3"/>
    <w:rsid w:val="001C5D45"/>
    <w:rsid w:val="001C5E68"/>
    <w:rsid w:val="001C61F1"/>
    <w:rsid w:val="001C7105"/>
    <w:rsid w:val="001C794F"/>
    <w:rsid w:val="001D16F5"/>
    <w:rsid w:val="001D1986"/>
    <w:rsid w:val="001D20B0"/>
    <w:rsid w:val="001D20ED"/>
    <w:rsid w:val="001D3598"/>
    <w:rsid w:val="001D5AFB"/>
    <w:rsid w:val="001D6EFC"/>
    <w:rsid w:val="001D7D89"/>
    <w:rsid w:val="001E016A"/>
    <w:rsid w:val="001E0615"/>
    <w:rsid w:val="001E064B"/>
    <w:rsid w:val="001E0A84"/>
    <w:rsid w:val="001E0DB3"/>
    <w:rsid w:val="001E1308"/>
    <w:rsid w:val="001E2309"/>
    <w:rsid w:val="001E29D1"/>
    <w:rsid w:val="001E2C13"/>
    <w:rsid w:val="001E3C57"/>
    <w:rsid w:val="001E4790"/>
    <w:rsid w:val="001E58E7"/>
    <w:rsid w:val="001E60EC"/>
    <w:rsid w:val="001E61C2"/>
    <w:rsid w:val="001E6964"/>
    <w:rsid w:val="001E6CE3"/>
    <w:rsid w:val="001E7044"/>
    <w:rsid w:val="001E75DE"/>
    <w:rsid w:val="001E76C9"/>
    <w:rsid w:val="001E77C5"/>
    <w:rsid w:val="001E7818"/>
    <w:rsid w:val="001F0B3B"/>
    <w:rsid w:val="001F0EA4"/>
    <w:rsid w:val="001F1DE0"/>
    <w:rsid w:val="001F204F"/>
    <w:rsid w:val="001F3AF1"/>
    <w:rsid w:val="001F43A5"/>
    <w:rsid w:val="001F46C6"/>
    <w:rsid w:val="001F4ED4"/>
    <w:rsid w:val="001F590E"/>
    <w:rsid w:val="001F5949"/>
    <w:rsid w:val="001F5AA3"/>
    <w:rsid w:val="001F5D67"/>
    <w:rsid w:val="001F65AA"/>
    <w:rsid w:val="001F713E"/>
    <w:rsid w:val="001F7146"/>
    <w:rsid w:val="001F7533"/>
    <w:rsid w:val="00200075"/>
    <w:rsid w:val="002017EE"/>
    <w:rsid w:val="0020299C"/>
    <w:rsid w:val="00202F9B"/>
    <w:rsid w:val="00203F5F"/>
    <w:rsid w:val="0020417A"/>
    <w:rsid w:val="00206783"/>
    <w:rsid w:val="002068C2"/>
    <w:rsid w:val="00207DF2"/>
    <w:rsid w:val="002103FF"/>
    <w:rsid w:val="00210E97"/>
    <w:rsid w:val="00210EE0"/>
    <w:rsid w:val="00211093"/>
    <w:rsid w:val="00211254"/>
    <w:rsid w:val="00211967"/>
    <w:rsid w:val="00212857"/>
    <w:rsid w:val="00212EA9"/>
    <w:rsid w:val="002134BF"/>
    <w:rsid w:val="00213594"/>
    <w:rsid w:val="002159BE"/>
    <w:rsid w:val="002162F5"/>
    <w:rsid w:val="00216528"/>
    <w:rsid w:val="00217854"/>
    <w:rsid w:val="00217997"/>
    <w:rsid w:val="00217F4C"/>
    <w:rsid w:val="00220082"/>
    <w:rsid w:val="002202BC"/>
    <w:rsid w:val="002214B8"/>
    <w:rsid w:val="00221DFB"/>
    <w:rsid w:val="002235D1"/>
    <w:rsid w:val="00224815"/>
    <w:rsid w:val="00226B7D"/>
    <w:rsid w:val="002272E5"/>
    <w:rsid w:val="002304B7"/>
    <w:rsid w:val="002306D6"/>
    <w:rsid w:val="00230B32"/>
    <w:rsid w:val="00231EDD"/>
    <w:rsid w:val="00231FD3"/>
    <w:rsid w:val="0023204E"/>
    <w:rsid w:val="002326B5"/>
    <w:rsid w:val="00232E18"/>
    <w:rsid w:val="00232F20"/>
    <w:rsid w:val="00232F4D"/>
    <w:rsid w:val="00233E4C"/>
    <w:rsid w:val="00233E57"/>
    <w:rsid w:val="002346F1"/>
    <w:rsid w:val="00234C67"/>
    <w:rsid w:val="00235231"/>
    <w:rsid w:val="00235E77"/>
    <w:rsid w:val="00236105"/>
    <w:rsid w:val="002362E0"/>
    <w:rsid w:val="00236FE6"/>
    <w:rsid w:val="0023734A"/>
    <w:rsid w:val="002409F5"/>
    <w:rsid w:val="002419F7"/>
    <w:rsid w:val="00241BE4"/>
    <w:rsid w:val="00241D92"/>
    <w:rsid w:val="002427AF"/>
    <w:rsid w:val="00243472"/>
    <w:rsid w:val="00243B6C"/>
    <w:rsid w:val="00243BC6"/>
    <w:rsid w:val="00243D04"/>
    <w:rsid w:val="00245142"/>
    <w:rsid w:val="002459F6"/>
    <w:rsid w:val="00245C77"/>
    <w:rsid w:val="002462BA"/>
    <w:rsid w:val="0024669F"/>
    <w:rsid w:val="002470C4"/>
    <w:rsid w:val="0024729E"/>
    <w:rsid w:val="002476FD"/>
    <w:rsid w:val="00251077"/>
    <w:rsid w:val="00251C8F"/>
    <w:rsid w:val="00251D9A"/>
    <w:rsid w:val="00251F92"/>
    <w:rsid w:val="0025284A"/>
    <w:rsid w:val="002538AE"/>
    <w:rsid w:val="00255036"/>
    <w:rsid w:val="0025525E"/>
    <w:rsid w:val="00255377"/>
    <w:rsid w:val="00255CEA"/>
    <w:rsid w:val="002560AF"/>
    <w:rsid w:val="00256FF6"/>
    <w:rsid w:val="00257393"/>
    <w:rsid w:val="00257846"/>
    <w:rsid w:val="00260ED0"/>
    <w:rsid w:val="002610AC"/>
    <w:rsid w:val="00263559"/>
    <w:rsid w:val="00264D85"/>
    <w:rsid w:val="00264DE0"/>
    <w:rsid w:val="0026509E"/>
    <w:rsid w:val="002653A5"/>
    <w:rsid w:val="00265A94"/>
    <w:rsid w:val="00266CE0"/>
    <w:rsid w:val="00267429"/>
    <w:rsid w:val="00270238"/>
    <w:rsid w:val="002707BB"/>
    <w:rsid w:val="00271A3A"/>
    <w:rsid w:val="00274AE9"/>
    <w:rsid w:val="002761D6"/>
    <w:rsid w:val="00276FE8"/>
    <w:rsid w:val="0027751A"/>
    <w:rsid w:val="00277E91"/>
    <w:rsid w:val="00280857"/>
    <w:rsid w:val="00280EBD"/>
    <w:rsid w:val="002811D8"/>
    <w:rsid w:val="0028127C"/>
    <w:rsid w:val="0028167C"/>
    <w:rsid w:val="002830B8"/>
    <w:rsid w:val="00283AA6"/>
    <w:rsid w:val="00283F01"/>
    <w:rsid w:val="00284C4E"/>
    <w:rsid w:val="00284DDE"/>
    <w:rsid w:val="00285AA1"/>
    <w:rsid w:val="00285B06"/>
    <w:rsid w:val="002866DF"/>
    <w:rsid w:val="002866E2"/>
    <w:rsid w:val="00286783"/>
    <w:rsid w:val="002875DA"/>
    <w:rsid w:val="0029037B"/>
    <w:rsid w:val="002926A5"/>
    <w:rsid w:val="00292D1A"/>
    <w:rsid w:val="00293CF7"/>
    <w:rsid w:val="00294B9A"/>
    <w:rsid w:val="00295D74"/>
    <w:rsid w:val="002976BC"/>
    <w:rsid w:val="002977AA"/>
    <w:rsid w:val="002A03C6"/>
    <w:rsid w:val="002A0E4C"/>
    <w:rsid w:val="002A1594"/>
    <w:rsid w:val="002A1AAD"/>
    <w:rsid w:val="002A1E93"/>
    <w:rsid w:val="002A2BA5"/>
    <w:rsid w:val="002A2C90"/>
    <w:rsid w:val="002A2F12"/>
    <w:rsid w:val="002A31C4"/>
    <w:rsid w:val="002A34BC"/>
    <w:rsid w:val="002A3BA8"/>
    <w:rsid w:val="002A45E2"/>
    <w:rsid w:val="002A47AA"/>
    <w:rsid w:val="002A5063"/>
    <w:rsid w:val="002A51E6"/>
    <w:rsid w:val="002A5622"/>
    <w:rsid w:val="002A581F"/>
    <w:rsid w:val="002A5B22"/>
    <w:rsid w:val="002A75A3"/>
    <w:rsid w:val="002A7B1C"/>
    <w:rsid w:val="002A7F47"/>
    <w:rsid w:val="002B0067"/>
    <w:rsid w:val="002B0228"/>
    <w:rsid w:val="002B3798"/>
    <w:rsid w:val="002B4B2C"/>
    <w:rsid w:val="002B531D"/>
    <w:rsid w:val="002B59F9"/>
    <w:rsid w:val="002B5A26"/>
    <w:rsid w:val="002B667C"/>
    <w:rsid w:val="002B67D9"/>
    <w:rsid w:val="002B7A34"/>
    <w:rsid w:val="002C06BB"/>
    <w:rsid w:val="002C086D"/>
    <w:rsid w:val="002C0B0F"/>
    <w:rsid w:val="002C0D5A"/>
    <w:rsid w:val="002C0E54"/>
    <w:rsid w:val="002C139A"/>
    <w:rsid w:val="002C1FA7"/>
    <w:rsid w:val="002C2857"/>
    <w:rsid w:val="002C29FD"/>
    <w:rsid w:val="002C2AA2"/>
    <w:rsid w:val="002C2CDC"/>
    <w:rsid w:val="002C4399"/>
    <w:rsid w:val="002C5C48"/>
    <w:rsid w:val="002C60E0"/>
    <w:rsid w:val="002C62E5"/>
    <w:rsid w:val="002C6984"/>
    <w:rsid w:val="002C7AC2"/>
    <w:rsid w:val="002C7E2A"/>
    <w:rsid w:val="002D1A67"/>
    <w:rsid w:val="002D1DE4"/>
    <w:rsid w:val="002D4068"/>
    <w:rsid w:val="002D4705"/>
    <w:rsid w:val="002D5333"/>
    <w:rsid w:val="002D5839"/>
    <w:rsid w:val="002D717E"/>
    <w:rsid w:val="002D73D4"/>
    <w:rsid w:val="002D7784"/>
    <w:rsid w:val="002E002C"/>
    <w:rsid w:val="002E05AB"/>
    <w:rsid w:val="002E06AD"/>
    <w:rsid w:val="002E1616"/>
    <w:rsid w:val="002E191D"/>
    <w:rsid w:val="002E1B0A"/>
    <w:rsid w:val="002E3AAA"/>
    <w:rsid w:val="002E5D78"/>
    <w:rsid w:val="002E760C"/>
    <w:rsid w:val="002E76CD"/>
    <w:rsid w:val="002E7D79"/>
    <w:rsid w:val="002F0754"/>
    <w:rsid w:val="002F3CDE"/>
    <w:rsid w:val="002F500B"/>
    <w:rsid w:val="002F643F"/>
    <w:rsid w:val="002F693E"/>
    <w:rsid w:val="002F6A5F"/>
    <w:rsid w:val="002F6F79"/>
    <w:rsid w:val="002F6FB1"/>
    <w:rsid w:val="00300C77"/>
    <w:rsid w:val="003014CD"/>
    <w:rsid w:val="00301681"/>
    <w:rsid w:val="00301A2E"/>
    <w:rsid w:val="00301A72"/>
    <w:rsid w:val="00301EE1"/>
    <w:rsid w:val="003023B5"/>
    <w:rsid w:val="0030261A"/>
    <w:rsid w:val="00303394"/>
    <w:rsid w:val="00303F52"/>
    <w:rsid w:val="003040CE"/>
    <w:rsid w:val="00306490"/>
    <w:rsid w:val="003067B9"/>
    <w:rsid w:val="003067D9"/>
    <w:rsid w:val="00306A3C"/>
    <w:rsid w:val="00306E1A"/>
    <w:rsid w:val="00306E1F"/>
    <w:rsid w:val="00307C29"/>
    <w:rsid w:val="00307CD2"/>
    <w:rsid w:val="003104FF"/>
    <w:rsid w:val="00310A29"/>
    <w:rsid w:val="003111DD"/>
    <w:rsid w:val="003112C3"/>
    <w:rsid w:val="00311B23"/>
    <w:rsid w:val="00311B4A"/>
    <w:rsid w:val="00312579"/>
    <w:rsid w:val="00313C7A"/>
    <w:rsid w:val="00313F47"/>
    <w:rsid w:val="003146CE"/>
    <w:rsid w:val="00314EE7"/>
    <w:rsid w:val="00315758"/>
    <w:rsid w:val="00315B64"/>
    <w:rsid w:val="00315F74"/>
    <w:rsid w:val="0031604A"/>
    <w:rsid w:val="00316568"/>
    <w:rsid w:val="00317A27"/>
    <w:rsid w:val="00317D90"/>
    <w:rsid w:val="00321628"/>
    <w:rsid w:val="0032178E"/>
    <w:rsid w:val="00323060"/>
    <w:rsid w:val="00323475"/>
    <w:rsid w:val="00323D10"/>
    <w:rsid w:val="00324AD0"/>
    <w:rsid w:val="00324BB4"/>
    <w:rsid w:val="00324E04"/>
    <w:rsid w:val="0032592B"/>
    <w:rsid w:val="0032651C"/>
    <w:rsid w:val="00326D07"/>
    <w:rsid w:val="00327BB3"/>
    <w:rsid w:val="0033049C"/>
    <w:rsid w:val="0033156F"/>
    <w:rsid w:val="00332076"/>
    <w:rsid w:val="003325E8"/>
    <w:rsid w:val="00333576"/>
    <w:rsid w:val="003349F7"/>
    <w:rsid w:val="00334B77"/>
    <w:rsid w:val="00336753"/>
    <w:rsid w:val="00336B07"/>
    <w:rsid w:val="00336FC1"/>
    <w:rsid w:val="00337A74"/>
    <w:rsid w:val="00340DF5"/>
    <w:rsid w:val="00342B82"/>
    <w:rsid w:val="00342FA3"/>
    <w:rsid w:val="00343B27"/>
    <w:rsid w:val="0034499C"/>
    <w:rsid w:val="00346A3A"/>
    <w:rsid w:val="00346D10"/>
    <w:rsid w:val="00351814"/>
    <w:rsid w:val="00352CBF"/>
    <w:rsid w:val="0035327F"/>
    <w:rsid w:val="003538E9"/>
    <w:rsid w:val="00353F4B"/>
    <w:rsid w:val="003547F1"/>
    <w:rsid w:val="00354F4E"/>
    <w:rsid w:val="00354FF7"/>
    <w:rsid w:val="00355CC9"/>
    <w:rsid w:val="003577D2"/>
    <w:rsid w:val="00360087"/>
    <w:rsid w:val="00363165"/>
    <w:rsid w:val="00364128"/>
    <w:rsid w:val="00367C43"/>
    <w:rsid w:val="00367ED7"/>
    <w:rsid w:val="00370CCB"/>
    <w:rsid w:val="00372B54"/>
    <w:rsid w:val="0037347F"/>
    <w:rsid w:val="00373DFF"/>
    <w:rsid w:val="0037560E"/>
    <w:rsid w:val="003756C8"/>
    <w:rsid w:val="003756F1"/>
    <w:rsid w:val="003764BC"/>
    <w:rsid w:val="0037738F"/>
    <w:rsid w:val="0037785A"/>
    <w:rsid w:val="003779FA"/>
    <w:rsid w:val="00377FB7"/>
    <w:rsid w:val="00377FBE"/>
    <w:rsid w:val="00380503"/>
    <w:rsid w:val="0038076B"/>
    <w:rsid w:val="00380CCA"/>
    <w:rsid w:val="0038266B"/>
    <w:rsid w:val="00382968"/>
    <w:rsid w:val="003833E4"/>
    <w:rsid w:val="003859B0"/>
    <w:rsid w:val="00386335"/>
    <w:rsid w:val="003863D9"/>
    <w:rsid w:val="003875F0"/>
    <w:rsid w:val="00387881"/>
    <w:rsid w:val="0039098B"/>
    <w:rsid w:val="00390E19"/>
    <w:rsid w:val="0039165B"/>
    <w:rsid w:val="003921D0"/>
    <w:rsid w:val="00392D06"/>
    <w:rsid w:val="00392DF6"/>
    <w:rsid w:val="00394079"/>
    <w:rsid w:val="003945A1"/>
    <w:rsid w:val="00394B83"/>
    <w:rsid w:val="003958E5"/>
    <w:rsid w:val="00395C48"/>
    <w:rsid w:val="00396976"/>
    <w:rsid w:val="0039783B"/>
    <w:rsid w:val="003A05CC"/>
    <w:rsid w:val="003A0E37"/>
    <w:rsid w:val="003A1D40"/>
    <w:rsid w:val="003A3EDD"/>
    <w:rsid w:val="003A4438"/>
    <w:rsid w:val="003A794A"/>
    <w:rsid w:val="003B0888"/>
    <w:rsid w:val="003B0BEE"/>
    <w:rsid w:val="003B2F2C"/>
    <w:rsid w:val="003B3024"/>
    <w:rsid w:val="003B3A12"/>
    <w:rsid w:val="003B3A89"/>
    <w:rsid w:val="003B3E9A"/>
    <w:rsid w:val="003B4193"/>
    <w:rsid w:val="003B4891"/>
    <w:rsid w:val="003B4EA5"/>
    <w:rsid w:val="003B544D"/>
    <w:rsid w:val="003B555D"/>
    <w:rsid w:val="003B5EB5"/>
    <w:rsid w:val="003C0518"/>
    <w:rsid w:val="003C271B"/>
    <w:rsid w:val="003C29F3"/>
    <w:rsid w:val="003C5245"/>
    <w:rsid w:val="003C59CD"/>
    <w:rsid w:val="003C67DC"/>
    <w:rsid w:val="003C6A16"/>
    <w:rsid w:val="003C780E"/>
    <w:rsid w:val="003C7D92"/>
    <w:rsid w:val="003D02D1"/>
    <w:rsid w:val="003D170C"/>
    <w:rsid w:val="003D1A32"/>
    <w:rsid w:val="003D2144"/>
    <w:rsid w:val="003D221B"/>
    <w:rsid w:val="003D234F"/>
    <w:rsid w:val="003D2BB2"/>
    <w:rsid w:val="003D3D96"/>
    <w:rsid w:val="003D4279"/>
    <w:rsid w:val="003D43FB"/>
    <w:rsid w:val="003D48A1"/>
    <w:rsid w:val="003D48BC"/>
    <w:rsid w:val="003D536A"/>
    <w:rsid w:val="003D56DA"/>
    <w:rsid w:val="003D5BFB"/>
    <w:rsid w:val="003D5C38"/>
    <w:rsid w:val="003D6BC5"/>
    <w:rsid w:val="003D7626"/>
    <w:rsid w:val="003E0869"/>
    <w:rsid w:val="003E0C92"/>
    <w:rsid w:val="003E10FD"/>
    <w:rsid w:val="003E1150"/>
    <w:rsid w:val="003E117C"/>
    <w:rsid w:val="003E16EB"/>
    <w:rsid w:val="003E1993"/>
    <w:rsid w:val="003E20C8"/>
    <w:rsid w:val="003E2143"/>
    <w:rsid w:val="003E2E15"/>
    <w:rsid w:val="003E2F38"/>
    <w:rsid w:val="003E5B0A"/>
    <w:rsid w:val="003E6551"/>
    <w:rsid w:val="003E67E8"/>
    <w:rsid w:val="003E69F9"/>
    <w:rsid w:val="003F01C9"/>
    <w:rsid w:val="003F09F6"/>
    <w:rsid w:val="003F0AAC"/>
    <w:rsid w:val="003F132E"/>
    <w:rsid w:val="003F1C82"/>
    <w:rsid w:val="003F23A7"/>
    <w:rsid w:val="003F260B"/>
    <w:rsid w:val="003F36F7"/>
    <w:rsid w:val="003F3B9B"/>
    <w:rsid w:val="003F44D7"/>
    <w:rsid w:val="003F4903"/>
    <w:rsid w:val="003F5A9F"/>
    <w:rsid w:val="003F5DCA"/>
    <w:rsid w:val="003F6B78"/>
    <w:rsid w:val="003F7772"/>
    <w:rsid w:val="00400B82"/>
    <w:rsid w:val="004013F1"/>
    <w:rsid w:val="004019CA"/>
    <w:rsid w:val="004034BE"/>
    <w:rsid w:val="004039E5"/>
    <w:rsid w:val="00404361"/>
    <w:rsid w:val="0040565F"/>
    <w:rsid w:val="00406113"/>
    <w:rsid w:val="0040627D"/>
    <w:rsid w:val="00406422"/>
    <w:rsid w:val="0040679E"/>
    <w:rsid w:val="00407228"/>
    <w:rsid w:val="00407FFC"/>
    <w:rsid w:val="00411D84"/>
    <w:rsid w:val="00414E65"/>
    <w:rsid w:val="00415E2F"/>
    <w:rsid w:val="00415EFB"/>
    <w:rsid w:val="004161A5"/>
    <w:rsid w:val="004174EA"/>
    <w:rsid w:val="00420370"/>
    <w:rsid w:val="00421202"/>
    <w:rsid w:val="004214E0"/>
    <w:rsid w:val="00421A90"/>
    <w:rsid w:val="004225F5"/>
    <w:rsid w:val="0042285C"/>
    <w:rsid w:val="00423CDF"/>
    <w:rsid w:val="00423D28"/>
    <w:rsid w:val="00423E89"/>
    <w:rsid w:val="004242AF"/>
    <w:rsid w:val="00424F6B"/>
    <w:rsid w:val="004259C4"/>
    <w:rsid w:val="00425A71"/>
    <w:rsid w:val="004265A4"/>
    <w:rsid w:val="00426A96"/>
    <w:rsid w:val="00427456"/>
    <w:rsid w:val="0042762A"/>
    <w:rsid w:val="004305B4"/>
    <w:rsid w:val="004307D8"/>
    <w:rsid w:val="0043193F"/>
    <w:rsid w:val="0043211D"/>
    <w:rsid w:val="0043276D"/>
    <w:rsid w:val="00433ACA"/>
    <w:rsid w:val="00433FA5"/>
    <w:rsid w:val="0043479E"/>
    <w:rsid w:val="00435D36"/>
    <w:rsid w:val="00435F63"/>
    <w:rsid w:val="00436717"/>
    <w:rsid w:val="00436A15"/>
    <w:rsid w:val="00436C95"/>
    <w:rsid w:val="004373A2"/>
    <w:rsid w:val="00437BCA"/>
    <w:rsid w:val="00437D95"/>
    <w:rsid w:val="00442427"/>
    <w:rsid w:val="00442D67"/>
    <w:rsid w:val="00442F80"/>
    <w:rsid w:val="00443B73"/>
    <w:rsid w:val="00444EA0"/>
    <w:rsid w:val="00446DEC"/>
    <w:rsid w:val="00450A4B"/>
    <w:rsid w:val="00451013"/>
    <w:rsid w:val="00451162"/>
    <w:rsid w:val="00451985"/>
    <w:rsid w:val="00451A48"/>
    <w:rsid w:val="00451AB0"/>
    <w:rsid w:val="00451BB8"/>
    <w:rsid w:val="00451F3D"/>
    <w:rsid w:val="004538C7"/>
    <w:rsid w:val="00453C9C"/>
    <w:rsid w:val="00454810"/>
    <w:rsid w:val="004548DB"/>
    <w:rsid w:val="00454A4D"/>
    <w:rsid w:val="00454EA9"/>
    <w:rsid w:val="00455B67"/>
    <w:rsid w:val="00456054"/>
    <w:rsid w:val="004561FD"/>
    <w:rsid w:val="0045782E"/>
    <w:rsid w:val="00457B6A"/>
    <w:rsid w:val="00460D63"/>
    <w:rsid w:val="00460DDD"/>
    <w:rsid w:val="00461675"/>
    <w:rsid w:val="00462592"/>
    <w:rsid w:val="00462F9C"/>
    <w:rsid w:val="004633AB"/>
    <w:rsid w:val="004638F1"/>
    <w:rsid w:val="004641B3"/>
    <w:rsid w:val="004656F3"/>
    <w:rsid w:val="0046571B"/>
    <w:rsid w:val="00465903"/>
    <w:rsid w:val="004670F8"/>
    <w:rsid w:val="0047127C"/>
    <w:rsid w:val="004720E8"/>
    <w:rsid w:val="0047375E"/>
    <w:rsid w:val="004738EA"/>
    <w:rsid w:val="00473CC3"/>
    <w:rsid w:val="0047404D"/>
    <w:rsid w:val="0047418E"/>
    <w:rsid w:val="00474DB5"/>
    <w:rsid w:val="00476454"/>
    <w:rsid w:val="004803AA"/>
    <w:rsid w:val="004809D9"/>
    <w:rsid w:val="00482C31"/>
    <w:rsid w:val="00484C20"/>
    <w:rsid w:val="00485D0A"/>
    <w:rsid w:val="00485E77"/>
    <w:rsid w:val="00486652"/>
    <w:rsid w:val="004870F8"/>
    <w:rsid w:val="00487318"/>
    <w:rsid w:val="00487C1E"/>
    <w:rsid w:val="004902C1"/>
    <w:rsid w:val="004936EA"/>
    <w:rsid w:val="00493D99"/>
    <w:rsid w:val="0049609B"/>
    <w:rsid w:val="004A04CE"/>
    <w:rsid w:val="004A05BA"/>
    <w:rsid w:val="004A0C64"/>
    <w:rsid w:val="004A187C"/>
    <w:rsid w:val="004A24F5"/>
    <w:rsid w:val="004A3246"/>
    <w:rsid w:val="004A48A4"/>
    <w:rsid w:val="004A48F7"/>
    <w:rsid w:val="004A4AE2"/>
    <w:rsid w:val="004A4BAB"/>
    <w:rsid w:val="004A4C3E"/>
    <w:rsid w:val="004A52DE"/>
    <w:rsid w:val="004A5DEF"/>
    <w:rsid w:val="004A6060"/>
    <w:rsid w:val="004A60FA"/>
    <w:rsid w:val="004A6102"/>
    <w:rsid w:val="004A71FA"/>
    <w:rsid w:val="004B0B4E"/>
    <w:rsid w:val="004B1297"/>
    <w:rsid w:val="004B12F3"/>
    <w:rsid w:val="004B1BBE"/>
    <w:rsid w:val="004B23B9"/>
    <w:rsid w:val="004B319E"/>
    <w:rsid w:val="004B383D"/>
    <w:rsid w:val="004B3EB9"/>
    <w:rsid w:val="004B4561"/>
    <w:rsid w:val="004C18E0"/>
    <w:rsid w:val="004C1F60"/>
    <w:rsid w:val="004C2ECC"/>
    <w:rsid w:val="004C3303"/>
    <w:rsid w:val="004C332C"/>
    <w:rsid w:val="004C352A"/>
    <w:rsid w:val="004C36E5"/>
    <w:rsid w:val="004C4D7E"/>
    <w:rsid w:val="004C4DD0"/>
    <w:rsid w:val="004C5345"/>
    <w:rsid w:val="004C6544"/>
    <w:rsid w:val="004C7A79"/>
    <w:rsid w:val="004C7EA6"/>
    <w:rsid w:val="004D0B5D"/>
    <w:rsid w:val="004D0C1D"/>
    <w:rsid w:val="004D104D"/>
    <w:rsid w:val="004D239C"/>
    <w:rsid w:val="004D4084"/>
    <w:rsid w:val="004D4E52"/>
    <w:rsid w:val="004D5295"/>
    <w:rsid w:val="004D554E"/>
    <w:rsid w:val="004D5986"/>
    <w:rsid w:val="004D6DE9"/>
    <w:rsid w:val="004D6ED4"/>
    <w:rsid w:val="004D76DE"/>
    <w:rsid w:val="004E04ED"/>
    <w:rsid w:val="004E20C6"/>
    <w:rsid w:val="004E2F6B"/>
    <w:rsid w:val="004E35D4"/>
    <w:rsid w:val="004E3B6A"/>
    <w:rsid w:val="004E4C2A"/>
    <w:rsid w:val="004E54B2"/>
    <w:rsid w:val="004E5A78"/>
    <w:rsid w:val="004E6111"/>
    <w:rsid w:val="004E6303"/>
    <w:rsid w:val="004E7466"/>
    <w:rsid w:val="004F01E3"/>
    <w:rsid w:val="004F0F4E"/>
    <w:rsid w:val="004F14A4"/>
    <w:rsid w:val="004F31B4"/>
    <w:rsid w:val="004F3450"/>
    <w:rsid w:val="004F4E12"/>
    <w:rsid w:val="004F5B70"/>
    <w:rsid w:val="004F63C6"/>
    <w:rsid w:val="004F6627"/>
    <w:rsid w:val="004F6920"/>
    <w:rsid w:val="004F6B67"/>
    <w:rsid w:val="004F6B82"/>
    <w:rsid w:val="00501C23"/>
    <w:rsid w:val="00501DB2"/>
    <w:rsid w:val="005039B7"/>
    <w:rsid w:val="00503CCC"/>
    <w:rsid w:val="00503D8B"/>
    <w:rsid w:val="0050478D"/>
    <w:rsid w:val="00505794"/>
    <w:rsid w:val="00505D0D"/>
    <w:rsid w:val="005069F7"/>
    <w:rsid w:val="00506AAA"/>
    <w:rsid w:val="00506CCB"/>
    <w:rsid w:val="00506E67"/>
    <w:rsid w:val="00507D58"/>
    <w:rsid w:val="00510EBB"/>
    <w:rsid w:val="00511B6A"/>
    <w:rsid w:val="0051282E"/>
    <w:rsid w:val="00515B0C"/>
    <w:rsid w:val="005160F0"/>
    <w:rsid w:val="005164AB"/>
    <w:rsid w:val="00516513"/>
    <w:rsid w:val="00516FE6"/>
    <w:rsid w:val="00517631"/>
    <w:rsid w:val="005179A2"/>
    <w:rsid w:val="005201BF"/>
    <w:rsid w:val="00520BC5"/>
    <w:rsid w:val="00521380"/>
    <w:rsid w:val="00521397"/>
    <w:rsid w:val="005234F3"/>
    <w:rsid w:val="00523843"/>
    <w:rsid w:val="00523F13"/>
    <w:rsid w:val="00523F39"/>
    <w:rsid w:val="005251B6"/>
    <w:rsid w:val="00525A0A"/>
    <w:rsid w:val="005265D8"/>
    <w:rsid w:val="005267DF"/>
    <w:rsid w:val="00527339"/>
    <w:rsid w:val="00527F2C"/>
    <w:rsid w:val="00527F4D"/>
    <w:rsid w:val="00530B38"/>
    <w:rsid w:val="00531559"/>
    <w:rsid w:val="0053158F"/>
    <w:rsid w:val="00531FE3"/>
    <w:rsid w:val="00532338"/>
    <w:rsid w:val="00532741"/>
    <w:rsid w:val="00533299"/>
    <w:rsid w:val="00535BC7"/>
    <w:rsid w:val="00536B8B"/>
    <w:rsid w:val="00537819"/>
    <w:rsid w:val="00537F56"/>
    <w:rsid w:val="00540136"/>
    <w:rsid w:val="00541319"/>
    <w:rsid w:val="00541AE1"/>
    <w:rsid w:val="00541C86"/>
    <w:rsid w:val="0054251B"/>
    <w:rsid w:val="005425E1"/>
    <w:rsid w:val="005429CE"/>
    <w:rsid w:val="00544CED"/>
    <w:rsid w:val="00544F6E"/>
    <w:rsid w:val="005467DE"/>
    <w:rsid w:val="00546D6F"/>
    <w:rsid w:val="00547EF6"/>
    <w:rsid w:val="00550D47"/>
    <w:rsid w:val="00550EC4"/>
    <w:rsid w:val="0055295A"/>
    <w:rsid w:val="0055297D"/>
    <w:rsid w:val="00552F83"/>
    <w:rsid w:val="00553012"/>
    <w:rsid w:val="005530CC"/>
    <w:rsid w:val="00553334"/>
    <w:rsid w:val="00553E11"/>
    <w:rsid w:val="00553F00"/>
    <w:rsid w:val="0055542F"/>
    <w:rsid w:val="0055657C"/>
    <w:rsid w:val="0055690D"/>
    <w:rsid w:val="00556949"/>
    <w:rsid w:val="005572ED"/>
    <w:rsid w:val="0056144B"/>
    <w:rsid w:val="00561EEE"/>
    <w:rsid w:val="00562416"/>
    <w:rsid w:val="00562B52"/>
    <w:rsid w:val="00563297"/>
    <w:rsid w:val="005643C0"/>
    <w:rsid w:val="005650FF"/>
    <w:rsid w:val="005668BD"/>
    <w:rsid w:val="0056790F"/>
    <w:rsid w:val="00567FF8"/>
    <w:rsid w:val="005704C9"/>
    <w:rsid w:val="005704E0"/>
    <w:rsid w:val="00571748"/>
    <w:rsid w:val="00571FB1"/>
    <w:rsid w:val="0057228F"/>
    <w:rsid w:val="00572D6B"/>
    <w:rsid w:val="00573FD4"/>
    <w:rsid w:val="00576203"/>
    <w:rsid w:val="0057726F"/>
    <w:rsid w:val="005800E2"/>
    <w:rsid w:val="00580354"/>
    <w:rsid w:val="00580A92"/>
    <w:rsid w:val="005827C0"/>
    <w:rsid w:val="00583731"/>
    <w:rsid w:val="00583FAE"/>
    <w:rsid w:val="0058466E"/>
    <w:rsid w:val="00585250"/>
    <w:rsid w:val="0058538D"/>
    <w:rsid w:val="005854ED"/>
    <w:rsid w:val="0058580C"/>
    <w:rsid w:val="005866CD"/>
    <w:rsid w:val="00586997"/>
    <w:rsid w:val="00590166"/>
    <w:rsid w:val="00590660"/>
    <w:rsid w:val="005923D2"/>
    <w:rsid w:val="005924D5"/>
    <w:rsid w:val="00593CDB"/>
    <w:rsid w:val="00594168"/>
    <w:rsid w:val="0059460A"/>
    <w:rsid w:val="00594B09"/>
    <w:rsid w:val="00594DDF"/>
    <w:rsid w:val="0059506B"/>
    <w:rsid w:val="00595C27"/>
    <w:rsid w:val="00595DFA"/>
    <w:rsid w:val="005965A9"/>
    <w:rsid w:val="00596FCC"/>
    <w:rsid w:val="00597273"/>
    <w:rsid w:val="005A09F3"/>
    <w:rsid w:val="005A0E6C"/>
    <w:rsid w:val="005A196E"/>
    <w:rsid w:val="005A2CAD"/>
    <w:rsid w:val="005A42B9"/>
    <w:rsid w:val="005A5B1D"/>
    <w:rsid w:val="005A6302"/>
    <w:rsid w:val="005A6892"/>
    <w:rsid w:val="005A7672"/>
    <w:rsid w:val="005A7872"/>
    <w:rsid w:val="005A7C95"/>
    <w:rsid w:val="005B0123"/>
    <w:rsid w:val="005B0BA1"/>
    <w:rsid w:val="005B0D1D"/>
    <w:rsid w:val="005B1297"/>
    <w:rsid w:val="005B16A2"/>
    <w:rsid w:val="005B2432"/>
    <w:rsid w:val="005B2601"/>
    <w:rsid w:val="005B2787"/>
    <w:rsid w:val="005B3130"/>
    <w:rsid w:val="005B37F2"/>
    <w:rsid w:val="005B4840"/>
    <w:rsid w:val="005B4988"/>
    <w:rsid w:val="005B55AA"/>
    <w:rsid w:val="005B570C"/>
    <w:rsid w:val="005B5846"/>
    <w:rsid w:val="005B6408"/>
    <w:rsid w:val="005C060D"/>
    <w:rsid w:val="005C1178"/>
    <w:rsid w:val="005C2117"/>
    <w:rsid w:val="005C6CCC"/>
    <w:rsid w:val="005C7479"/>
    <w:rsid w:val="005D081D"/>
    <w:rsid w:val="005D0CEB"/>
    <w:rsid w:val="005D160F"/>
    <w:rsid w:val="005D16D9"/>
    <w:rsid w:val="005D1D92"/>
    <w:rsid w:val="005D3168"/>
    <w:rsid w:val="005D56EC"/>
    <w:rsid w:val="005D663A"/>
    <w:rsid w:val="005D6742"/>
    <w:rsid w:val="005D6D1C"/>
    <w:rsid w:val="005D6FC8"/>
    <w:rsid w:val="005D73EE"/>
    <w:rsid w:val="005D7519"/>
    <w:rsid w:val="005D7D53"/>
    <w:rsid w:val="005E0F2F"/>
    <w:rsid w:val="005E1510"/>
    <w:rsid w:val="005E1F9D"/>
    <w:rsid w:val="005E23AF"/>
    <w:rsid w:val="005E2569"/>
    <w:rsid w:val="005E315F"/>
    <w:rsid w:val="005E41FA"/>
    <w:rsid w:val="005E4BD9"/>
    <w:rsid w:val="005E4E8C"/>
    <w:rsid w:val="005E504A"/>
    <w:rsid w:val="005E50D6"/>
    <w:rsid w:val="005E548B"/>
    <w:rsid w:val="005E5ECC"/>
    <w:rsid w:val="005E5FC7"/>
    <w:rsid w:val="005E73E2"/>
    <w:rsid w:val="005E788A"/>
    <w:rsid w:val="005E7B23"/>
    <w:rsid w:val="005E7D23"/>
    <w:rsid w:val="005F0926"/>
    <w:rsid w:val="005F0C2D"/>
    <w:rsid w:val="005F18E4"/>
    <w:rsid w:val="005F2513"/>
    <w:rsid w:val="005F338E"/>
    <w:rsid w:val="005F5095"/>
    <w:rsid w:val="005F695A"/>
    <w:rsid w:val="006004DC"/>
    <w:rsid w:val="00600837"/>
    <w:rsid w:val="00601AA9"/>
    <w:rsid w:val="00602053"/>
    <w:rsid w:val="00603CB3"/>
    <w:rsid w:val="00603FFF"/>
    <w:rsid w:val="006056AE"/>
    <w:rsid w:val="00605E81"/>
    <w:rsid w:val="006072BB"/>
    <w:rsid w:val="00611C38"/>
    <w:rsid w:val="00612194"/>
    <w:rsid w:val="00612899"/>
    <w:rsid w:val="00613130"/>
    <w:rsid w:val="006133E1"/>
    <w:rsid w:val="006134DD"/>
    <w:rsid w:val="006137C1"/>
    <w:rsid w:val="00613E42"/>
    <w:rsid w:val="00614020"/>
    <w:rsid w:val="00614212"/>
    <w:rsid w:val="00614338"/>
    <w:rsid w:val="00614771"/>
    <w:rsid w:val="00615454"/>
    <w:rsid w:val="006156A2"/>
    <w:rsid w:val="006163E2"/>
    <w:rsid w:val="006168C4"/>
    <w:rsid w:val="00616A4B"/>
    <w:rsid w:val="00616E57"/>
    <w:rsid w:val="00617786"/>
    <w:rsid w:val="00620EE5"/>
    <w:rsid w:val="00621AFA"/>
    <w:rsid w:val="00621B0E"/>
    <w:rsid w:val="00621C58"/>
    <w:rsid w:val="00622F71"/>
    <w:rsid w:val="00623BC6"/>
    <w:rsid w:val="00625F36"/>
    <w:rsid w:val="00625FD3"/>
    <w:rsid w:val="0062686F"/>
    <w:rsid w:val="006276BB"/>
    <w:rsid w:val="00627B87"/>
    <w:rsid w:val="0063109E"/>
    <w:rsid w:val="00631A72"/>
    <w:rsid w:val="00631F4A"/>
    <w:rsid w:val="00631F5E"/>
    <w:rsid w:val="00632C1A"/>
    <w:rsid w:val="00632FAB"/>
    <w:rsid w:val="0063306B"/>
    <w:rsid w:val="00635493"/>
    <w:rsid w:val="00635FE8"/>
    <w:rsid w:val="00636380"/>
    <w:rsid w:val="006376B7"/>
    <w:rsid w:val="0064057B"/>
    <w:rsid w:val="00640B8D"/>
    <w:rsid w:val="00642240"/>
    <w:rsid w:val="00642311"/>
    <w:rsid w:val="006423C0"/>
    <w:rsid w:val="006427CB"/>
    <w:rsid w:val="00643385"/>
    <w:rsid w:val="00645EC9"/>
    <w:rsid w:val="006463C6"/>
    <w:rsid w:val="00647252"/>
    <w:rsid w:val="006506AB"/>
    <w:rsid w:val="00650F10"/>
    <w:rsid w:val="0065263F"/>
    <w:rsid w:val="006532DA"/>
    <w:rsid w:val="00653995"/>
    <w:rsid w:val="0065472B"/>
    <w:rsid w:val="00655799"/>
    <w:rsid w:val="00655DFB"/>
    <w:rsid w:val="00656BF1"/>
    <w:rsid w:val="00657B31"/>
    <w:rsid w:val="00657E23"/>
    <w:rsid w:val="00660717"/>
    <w:rsid w:val="006611B4"/>
    <w:rsid w:val="0066131B"/>
    <w:rsid w:val="00661E0E"/>
    <w:rsid w:val="00662B9C"/>
    <w:rsid w:val="00662F03"/>
    <w:rsid w:val="00663163"/>
    <w:rsid w:val="006635E7"/>
    <w:rsid w:val="00663E93"/>
    <w:rsid w:val="00663FA2"/>
    <w:rsid w:val="00665205"/>
    <w:rsid w:val="00665920"/>
    <w:rsid w:val="00665E8E"/>
    <w:rsid w:val="006674C5"/>
    <w:rsid w:val="00667768"/>
    <w:rsid w:val="00667C16"/>
    <w:rsid w:val="00667D11"/>
    <w:rsid w:val="0067016D"/>
    <w:rsid w:val="00670587"/>
    <w:rsid w:val="00671E4C"/>
    <w:rsid w:val="00674ED2"/>
    <w:rsid w:val="0067524D"/>
    <w:rsid w:val="00675C5F"/>
    <w:rsid w:val="00676427"/>
    <w:rsid w:val="00676C3E"/>
    <w:rsid w:val="006779B6"/>
    <w:rsid w:val="0068002F"/>
    <w:rsid w:val="0068089A"/>
    <w:rsid w:val="00680D2D"/>
    <w:rsid w:val="006816C4"/>
    <w:rsid w:val="00681D5C"/>
    <w:rsid w:val="00682471"/>
    <w:rsid w:val="0068353C"/>
    <w:rsid w:val="00684DBA"/>
    <w:rsid w:val="00684E24"/>
    <w:rsid w:val="00685F74"/>
    <w:rsid w:val="00687A70"/>
    <w:rsid w:val="00690124"/>
    <w:rsid w:val="006901ED"/>
    <w:rsid w:val="00690B56"/>
    <w:rsid w:val="00691277"/>
    <w:rsid w:val="00691F5D"/>
    <w:rsid w:val="006928D4"/>
    <w:rsid w:val="0069392D"/>
    <w:rsid w:val="00694AC6"/>
    <w:rsid w:val="0069542F"/>
    <w:rsid w:val="00695A34"/>
    <w:rsid w:val="0069697C"/>
    <w:rsid w:val="00696B24"/>
    <w:rsid w:val="00696EF3"/>
    <w:rsid w:val="0069764E"/>
    <w:rsid w:val="00697F30"/>
    <w:rsid w:val="006A0472"/>
    <w:rsid w:val="006A05FE"/>
    <w:rsid w:val="006A16AD"/>
    <w:rsid w:val="006A1749"/>
    <w:rsid w:val="006A1A0D"/>
    <w:rsid w:val="006A2E02"/>
    <w:rsid w:val="006A3240"/>
    <w:rsid w:val="006A33D4"/>
    <w:rsid w:val="006A3ACE"/>
    <w:rsid w:val="006A3D92"/>
    <w:rsid w:val="006A3FD1"/>
    <w:rsid w:val="006A4436"/>
    <w:rsid w:val="006A4F8E"/>
    <w:rsid w:val="006A502D"/>
    <w:rsid w:val="006A621C"/>
    <w:rsid w:val="006A7C09"/>
    <w:rsid w:val="006A7D00"/>
    <w:rsid w:val="006B1090"/>
    <w:rsid w:val="006B1B8D"/>
    <w:rsid w:val="006B1F90"/>
    <w:rsid w:val="006B2709"/>
    <w:rsid w:val="006B3BF3"/>
    <w:rsid w:val="006B56EA"/>
    <w:rsid w:val="006B5AE1"/>
    <w:rsid w:val="006B5DF3"/>
    <w:rsid w:val="006B6566"/>
    <w:rsid w:val="006B661B"/>
    <w:rsid w:val="006B6CEC"/>
    <w:rsid w:val="006B7043"/>
    <w:rsid w:val="006B71D8"/>
    <w:rsid w:val="006B7559"/>
    <w:rsid w:val="006C1816"/>
    <w:rsid w:val="006C234A"/>
    <w:rsid w:val="006C2693"/>
    <w:rsid w:val="006C2BCF"/>
    <w:rsid w:val="006C2F3C"/>
    <w:rsid w:val="006C3523"/>
    <w:rsid w:val="006C48A3"/>
    <w:rsid w:val="006C49C0"/>
    <w:rsid w:val="006C5444"/>
    <w:rsid w:val="006C64D1"/>
    <w:rsid w:val="006C67A4"/>
    <w:rsid w:val="006C6935"/>
    <w:rsid w:val="006C73FC"/>
    <w:rsid w:val="006C7E92"/>
    <w:rsid w:val="006D00E0"/>
    <w:rsid w:val="006D106F"/>
    <w:rsid w:val="006D12D7"/>
    <w:rsid w:val="006D1877"/>
    <w:rsid w:val="006D2254"/>
    <w:rsid w:val="006D226A"/>
    <w:rsid w:val="006D2798"/>
    <w:rsid w:val="006D2A14"/>
    <w:rsid w:val="006D3C96"/>
    <w:rsid w:val="006D4628"/>
    <w:rsid w:val="006D46CE"/>
    <w:rsid w:val="006D5A67"/>
    <w:rsid w:val="006D65A1"/>
    <w:rsid w:val="006D7A8A"/>
    <w:rsid w:val="006E0F8A"/>
    <w:rsid w:val="006E1CFD"/>
    <w:rsid w:val="006E2324"/>
    <w:rsid w:val="006E3C6A"/>
    <w:rsid w:val="006E4829"/>
    <w:rsid w:val="006E50D9"/>
    <w:rsid w:val="006E50E3"/>
    <w:rsid w:val="006E5465"/>
    <w:rsid w:val="006E5509"/>
    <w:rsid w:val="006E5980"/>
    <w:rsid w:val="006E5FFA"/>
    <w:rsid w:val="006E64C9"/>
    <w:rsid w:val="006E7C8A"/>
    <w:rsid w:val="006F0473"/>
    <w:rsid w:val="006F060C"/>
    <w:rsid w:val="006F0783"/>
    <w:rsid w:val="006F14D8"/>
    <w:rsid w:val="006F222F"/>
    <w:rsid w:val="006F2802"/>
    <w:rsid w:val="006F2A46"/>
    <w:rsid w:val="006F3AE0"/>
    <w:rsid w:val="006F4534"/>
    <w:rsid w:val="006F4798"/>
    <w:rsid w:val="006F4A64"/>
    <w:rsid w:val="006F5622"/>
    <w:rsid w:val="006F5D94"/>
    <w:rsid w:val="006F67BF"/>
    <w:rsid w:val="006F723A"/>
    <w:rsid w:val="00700E02"/>
    <w:rsid w:val="00701A57"/>
    <w:rsid w:val="0070204D"/>
    <w:rsid w:val="00703060"/>
    <w:rsid w:val="007037F0"/>
    <w:rsid w:val="00703EC6"/>
    <w:rsid w:val="0070427C"/>
    <w:rsid w:val="0070474C"/>
    <w:rsid w:val="00706694"/>
    <w:rsid w:val="00706C97"/>
    <w:rsid w:val="00706CDA"/>
    <w:rsid w:val="00706EE3"/>
    <w:rsid w:val="00707795"/>
    <w:rsid w:val="00707A83"/>
    <w:rsid w:val="00707E1F"/>
    <w:rsid w:val="0071023A"/>
    <w:rsid w:val="007106CB"/>
    <w:rsid w:val="00710EF5"/>
    <w:rsid w:val="007123A4"/>
    <w:rsid w:val="0071250D"/>
    <w:rsid w:val="00712C2F"/>
    <w:rsid w:val="00712F5F"/>
    <w:rsid w:val="00713473"/>
    <w:rsid w:val="00714020"/>
    <w:rsid w:val="0071488A"/>
    <w:rsid w:val="007155B3"/>
    <w:rsid w:val="00716203"/>
    <w:rsid w:val="007167A1"/>
    <w:rsid w:val="00720E5C"/>
    <w:rsid w:val="0072237B"/>
    <w:rsid w:val="00722FF5"/>
    <w:rsid w:val="0072316E"/>
    <w:rsid w:val="007231C7"/>
    <w:rsid w:val="00723241"/>
    <w:rsid w:val="00723329"/>
    <w:rsid w:val="00725919"/>
    <w:rsid w:val="007267C0"/>
    <w:rsid w:val="00727E3F"/>
    <w:rsid w:val="00727FC7"/>
    <w:rsid w:val="00730122"/>
    <w:rsid w:val="00730A64"/>
    <w:rsid w:val="00730C8E"/>
    <w:rsid w:val="00731020"/>
    <w:rsid w:val="00734BE6"/>
    <w:rsid w:val="00734C4C"/>
    <w:rsid w:val="00735610"/>
    <w:rsid w:val="007357F0"/>
    <w:rsid w:val="00737739"/>
    <w:rsid w:val="00737896"/>
    <w:rsid w:val="0074024A"/>
    <w:rsid w:val="00740735"/>
    <w:rsid w:val="007408CF"/>
    <w:rsid w:val="007424EC"/>
    <w:rsid w:val="00742F0D"/>
    <w:rsid w:val="00743A0D"/>
    <w:rsid w:val="00743A9F"/>
    <w:rsid w:val="00744426"/>
    <w:rsid w:val="007458CE"/>
    <w:rsid w:val="00745E58"/>
    <w:rsid w:val="007460C5"/>
    <w:rsid w:val="00746802"/>
    <w:rsid w:val="007468B1"/>
    <w:rsid w:val="00746FDA"/>
    <w:rsid w:val="0075022E"/>
    <w:rsid w:val="00750965"/>
    <w:rsid w:val="00751B10"/>
    <w:rsid w:val="00751D55"/>
    <w:rsid w:val="00751DF9"/>
    <w:rsid w:val="00752058"/>
    <w:rsid w:val="007520DE"/>
    <w:rsid w:val="00754172"/>
    <w:rsid w:val="007556E3"/>
    <w:rsid w:val="007556F6"/>
    <w:rsid w:val="007558F7"/>
    <w:rsid w:val="00755AAE"/>
    <w:rsid w:val="007565A4"/>
    <w:rsid w:val="007605C5"/>
    <w:rsid w:val="0076331B"/>
    <w:rsid w:val="00763896"/>
    <w:rsid w:val="00763F1B"/>
    <w:rsid w:val="00764613"/>
    <w:rsid w:val="00764828"/>
    <w:rsid w:val="00764C6D"/>
    <w:rsid w:val="00764D27"/>
    <w:rsid w:val="00765755"/>
    <w:rsid w:val="00765ED5"/>
    <w:rsid w:val="00766C14"/>
    <w:rsid w:val="00767B2F"/>
    <w:rsid w:val="00770879"/>
    <w:rsid w:val="007709BF"/>
    <w:rsid w:val="0077158D"/>
    <w:rsid w:val="007719B7"/>
    <w:rsid w:val="00772566"/>
    <w:rsid w:val="007737D5"/>
    <w:rsid w:val="00774051"/>
    <w:rsid w:val="00775279"/>
    <w:rsid w:val="00775A0B"/>
    <w:rsid w:val="00775D4A"/>
    <w:rsid w:val="00776CB0"/>
    <w:rsid w:val="00780230"/>
    <w:rsid w:val="00780AD3"/>
    <w:rsid w:val="00781B13"/>
    <w:rsid w:val="0078289F"/>
    <w:rsid w:val="007829EA"/>
    <w:rsid w:val="00782D34"/>
    <w:rsid w:val="00782FEF"/>
    <w:rsid w:val="00783241"/>
    <w:rsid w:val="007833AB"/>
    <w:rsid w:val="007842F7"/>
    <w:rsid w:val="00784382"/>
    <w:rsid w:val="00784F4C"/>
    <w:rsid w:val="007860EA"/>
    <w:rsid w:val="00787013"/>
    <w:rsid w:val="0078747B"/>
    <w:rsid w:val="00787E33"/>
    <w:rsid w:val="0079004F"/>
    <w:rsid w:val="00790544"/>
    <w:rsid w:val="00791BAD"/>
    <w:rsid w:val="007926DD"/>
    <w:rsid w:val="00792B07"/>
    <w:rsid w:val="00792DB4"/>
    <w:rsid w:val="00793758"/>
    <w:rsid w:val="00794697"/>
    <w:rsid w:val="00794EE5"/>
    <w:rsid w:val="00794FF9"/>
    <w:rsid w:val="007951FD"/>
    <w:rsid w:val="0079610E"/>
    <w:rsid w:val="00796D1D"/>
    <w:rsid w:val="007A05EE"/>
    <w:rsid w:val="007A08C1"/>
    <w:rsid w:val="007A08FE"/>
    <w:rsid w:val="007A262B"/>
    <w:rsid w:val="007A2896"/>
    <w:rsid w:val="007A359D"/>
    <w:rsid w:val="007A387C"/>
    <w:rsid w:val="007A42C5"/>
    <w:rsid w:val="007A44A4"/>
    <w:rsid w:val="007A49AA"/>
    <w:rsid w:val="007A4D00"/>
    <w:rsid w:val="007A4FA4"/>
    <w:rsid w:val="007A5295"/>
    <w:rsid w:val="007A6B09"/>
    <w:rsid w:val="007A7E28"/>
    <w:rsid w:val="007B0816"/>
    <w:rsid w:val="007B0939"/>
    <w:rsid w:val="007B23FE"/>
    <w:rsid w:val="007B286A"/>
    <w:rsid w:val="007B5803"/>
    <w:rsid w:val="007B59D2"/>
    <w:rsid w:val="007C0F0B"/>
    <w:rsid w:val="007C24FD"/>
    <w:rsid w:val="007C264A"/>
    <w:rsid w:val="007C26D9"/>
    <w:rsid w:val="007C48B9"/>
    <w:rsid w:val="007C5097"/>
    <w:rsid w:val="007C633B"/>
    <w:rsid w:val="007C6C6C"/>
    <w:rsid w:val="007D022E"/>
    <w:rsid w:val="007D0ACC"/>
    <w:rsid w:val="007D0C64"/>
    <w:rsid w:val="007D1926"/>
    <w:rsid w:val="007D308D"/>
    <w:rsid w:val="007D3C43"/>
    <w:rsid w:val="007D5C9B"/>
    <w:rsid w:val="007D6322"/>
    <w:rsid w:val="007D6BCE"/>
    <w:rsid w:val="007E020D"/>
    <w:rsid w:val="007E0520"/>
    <w:rsid w:val="007E09DC"/>
    <w:rsid w:val="007E1836"/>
    <w:rsid w:val="007E3E87"/>
    <w:rsid w:val="007E4965"/>
    <w:rsid w:val="007E4F5E"/>
    <w:rsid w:val="007E4FAA"/>
    <w:rsid w:val="007E5113"/>
    <w:rsid w:val="007E5555"/>
    <w:rsid w:val="007E5E0A"/>
    <w:rsid w:val="007E64FF"/>
    <w:rsid w:val="007E7031"/>
    <w:rsid w:val="007E7564"/>
    <w:rsid w:val="007E7C3E"/>
    <w:rsid w:val="007F0EC8"/>
    <w:rsid w:val="007F135A"/>
    <w:rsid w:val="007F136D"/>
    <w:rsid w:val="007F1532"/>
    <w:rsid w:val="007F1D85"/>
    <w:rsid w:val="007F3ADF"/>
    <w:rsid w:val="007F4E79"/>
    <w:rsid w:val="007F5DDE"/>
    <w:rsid w:val="007F7120"/>
    <w:rsid w:val="007F71E5"/>
    <w:rsid w:val="007F7E82"/>
    <w:rsid w:val="008018A2"/>
    <w:rsid w:val="00801A3B"/>
    <w:rsid w:val="008049A5"/>
    <w:rsid w:val="00804B96"/>
    <w:rsid w:val="008050D3"/>
    <w:rsid w:val="00806A17"/>
    <w:rsid w:val="008073D8"/>
    <w:rsid w:val="00807706"/>
    <w:rsid w:val="008126BB"/>
    <w:rsid w:val="008131EE"/>
    <w:rsid w:val="0081454F"/>
    <w:rsid w:val="008151E8"/>
    <w:rsid w:val="008151F4"/>
    <w:rsid w:val="00816BCB"/>
    <w:rsid w:val="0081705A"/>
    <w:rsid w:val="00817572"/>
    <w:rsid w:val="008175AE"/>
    <w:rsid w:val="008217EF"/>
    <w:rsid w:val="00822AD2"/>
    <w:rsid w:val="00823C33"/>
    <w:rsid w:val="00823EA6"/>
    <w:rsid w:val="00824606"/>
    <w:rsid w:val="00824E7A"/>
    <w:rsid w:val="00825A38"/>
    <w:rsid w:val="00825DEC"/>
    <w:rsid w:val="00826A2C"/>
    <w:rsid w:val="00826A5F"/>
    <w:rsid w:val="00827E86"/>
    <w:rsid w:val="008302B5"/>
    <w:rsid w:val="0083064D"/>
    <w:rsid w:val="00830A6D"/>
    <w:rsid w:val="00831555"/>
    <w:rsid w:val="00832009"/>
    <w:rsid w:val="00832486"/>
    <w:rsid w:val="00832E5B"/>
    <w:rsid w:val="00833456"/>
    <w:rsid w:val="00833D36"/>
    <w:rsid w:val="008341DB"/>
    <w:rsid w:val="00834ADF"/>
    <w:rsid w:val="00835045"/>
    <w:rsid w:val="0083545C"/>
    <w:rsid w:val="00836B61"/>
    <w:rsid w:val="008371D8"/>
    <w:rsid w:val="00837AA4"/>
    <w:rsid w:val="00837C1C"/>
    <w:rsid w:val="00841609"/>
    <w:rsid w:val="0084167D"/>
    <w:rsid w:val="00841D89"/>
    <w:rsid w:val="00841F64"/>
    <w:rsid w:val="008422D0"/>
    <w:rsid w:val="008431FF"/>
    <w:rsid w:val="008438BE"/>
    <w:rsid w:val="0084396F"/>
    <w:rsid w:val="00843990"/>
    <w:rsid w:val="00843A41"/>
    <w:rsid w:val="00843E74"/>
    <w:rsid w:val="00844694"/>
    <w:rsid w:val="008465E1"/>
    <w:rsid w:val="00847D22"/>
    <w:rsid w:val="0085028D"/>
    <w:rsid w:val="00850342"/>
    <w:rsid w:val="008505C5"/>
    <w:rsid w:val="00850A43"/>
    <w:rsid w:val="008510BF"/>
    <w:rsid w:val="008511C6"/>
    <w:rsid w:val="008515F1"/>
    <w:rsid w:val="008523AF"/>
    <w:rsid w:val="008527FB"/>
    <w:rsid w:val="00852AB7"/>
    <w:rsid w:val="008534DE"/>
    <w:rsid w:val="00853D7F"/>
    <w:rsid w:val="00854452"/>
    <w:rsid w:val="00854B55"/>
    <w:rsid w:val="00854DE1"/>
    <w:rsid w:val="008566C7"/>
    <w:rsid w:val="00856C46"/>
    <w:rsid w:val="00856DF8"/>
    <w:rsid w:val="00857A7E"/>
    <w:rsid w:val="0085B0DE"/>
    <w:rsid w:val="008603D4"/>
    <w:rsid w:val="0086044F"/>
    <w:rsid w:val="00860612"/>
    <w:rsid w:val="00861432"/>
    <w:rsid w:val="00861B56"/>
    <w:rsid w:val="00862EFD"/>
    <w:rsid w:val="00863143"/>
    <w:rsid w:val="00863EFA"/>
    <w:rsid w:val="00865B1D"/>
    <w:rsid w:val="00866C01"/>
    <w:rsid w:val="00866FCE"/>
    <w:rsid w:val="00867928"/>
    <w:rsid w:val="00871569"/>
    <w:rsid w:val="008719FB"/>
    <w:rsid w:val="00871FFE"/>
    <w:rsid w:val="00872095"/>
    <w:rsid w:val="00873485"/>
    <w:rsid w:val="008736A2"/>
    <w:rsid w:val="00873EC6"/>
    <w:rsid w:val="0087490A"/>
    <w:rsid w:val="00874D8C"/>
    <w:rsid w:val="00876AE6"/>
    <w:rsid w:val="0088053D"/>
    <w:rsid w:val="008809CE"/>
    <w:rsid w:val="00881276"/>
    <w:rsid w:val="0088205E"/>
    <w:rsid w:val="00882262"/>
    <w:rsid w:val="00882DAC"/>
    <w:rsid w:val="0088354D"/>
    <w:rsid w:val="00886917"/>
    <w:rsid w:val="008876CF"/>
    <w:rsid w:val="00887750"/>
    <w:rsid w:val="00887851"/>
    <w:rsid w:val="0089216C"/>
    <w:rsid w:val="0089226F"/>
    <w:rsid w:val="008924CE"/>
    <w:rsid w:val="00892537"/>
    <w:rsid w:val="008933B7"/>
    <w:rsid w:val="00894057"/>
    <w:rsid w:val="008A0706"/>
    <w:rsid w:val="008A1C6D"/>
    <w:rsid w:val="008A1D51"/>
    <w:rsid w:val="008A2375"/>
    <w:rsid w:val="008A25A1"/>
    <w:rsid w:val="008A2EB6"/>
    <w:rsid w:val="008A445D"/>
    <w:rsid w:val="008A635C"/>
    <w:rsid w:val="008A66C0"/>
    <w:rsid w:val="008A79F0"/>
    <w:rsid w:val="008B137A"/>
    <w:rsid w:val="008B338D"/>
    <w:rsid w:val="008B364A"/>
    <w:rsid w:val="008B3682"/>
    <w:rsid w:val="008B3F20"/>
    <w:rsid w:val="008B47DD"/>
    <w:rsid w:val="008B4802"/>
    <w:rsid w:val="008B4A19"/>
    <w:rsid w:val="008B4C55"/>
    <w:rsid w:val="008B4E52"/>
    <w:rsid w:val="008B609B"/>
    <w:rsid w:val="008B64FE"/>
    <w:rsid w:val="008B6DA0"/>
    <w:rsid w:val="008B7E49"/>
    <w:rsid w:val="008C0C99"/>
    <w:rsid w:val="008C23CD"/>
    <w:rsid w:val="008C343B"/>
    <w:rsid w:val="008C7163"/>
    <w:rsid w:val="008D07FE"/>
    <w:rsid w:val="008D09A9"/>
    <w:rsid w:val="008D1F22"/>
    <w:rsid w:val="008D25E9"/>
    <w:rsid w:val="008D306B"/>
    <w:rsid w:val="008D375E"/>
    <w:rsid w:val="008D3B56"/>
    <w:rsid w:val="008D41AB"/>
    <w:rsid w:val="008D46CD"/>
    <w:rsid w:val="008D4905"/>
    <w:rsid w:val="008D5155"/>
    <w:rsid w:val="008D583B"/>
    <w:rsid w:val="008D6169"/>
    <w:rsid w:val="008D633E"/>
    <w:rsid w:val="008D67C9"/>
    <w:rsid w:val="008E0394"/>
    <w:rsid w:val="008E0B2D"/>
    <w:rsid w:val="008E0E29"/>
    <w:rsid w:val="008E0F8D"/>
    <w:rsid w:val="008E1597"/>
    <w:rsid w:val="008E1844"/>
    <w:rsid w:val="008E2BCF"/>
    <w:rsid w:val="008E3014"/>
    <w:rsid w:val="008E4036"/>
    <w:rsid w:val="008E5AD0"/>
    <w:rsid w:val="008E5BB9"/>
    <w:rsid w:val="008F0427"/>
    <w:rsid w:val="008F207C"/>
    <w:rsid w:val="008F20E8"/>
    <w:rsid w:val="008F25E6"/>
    <w:rsid w:val="008F31D5"/>
    <w:rsid w:val="008F3CF5"/>
    <w:rsid w:val="008F4198"/>
    <w:rsid w:val="008F42AC"/>
    <w:rsid w:val="008F4F27"/>
    <w:rsid w:val="008F50F5"/>
    <w:rsid w:val="008F55E7"/>
    <w:rsid w:val="008F6E33"/>
    <w:rsid w:val="008F70F8"/>
    <w:rsid w:val="008F7F2D"/>
    <w:rsid w:val="00900241"/>
    <w:rsid w:val="00900710"/>
    <w:rsid w:val="00901AE9"/>
    <w:rsid w:val="00901BD0"/>
    <w:rsid w:val="00901EC7"/>
    <w:rsid w:val="00901F23"/>
    <w:rsid w:val="0090252F"/>
    <w:rsid w:val="0090283B"/>
    <w:rsid w:val="00902B01"/>
    <w:rsid w:val="00903B1A"/>
    <w:rsid w:val="00904612"/>
    <w:rsid w:val="00905481"/>
    <w:rsid w:val="00905A52"/>
    <w:rsid w:val="00906150"/>
    <w:rsid w:val="009066A4"/>
    <w:rsid w:val="0091026E"/>
    <w:rsid w:val="00910FA7"/>
    <w:rsid w:val="0091105D"/>
    <w:rsid w:val="009117C6"/>
    <w:rsid w:val="00911954"/>
    <w:rsid w:val="00911AD5"/>
    <w:rsid w:val="00911ADA"/>
    <w:rsid w:val="00911D9F"/>
    <w:rsid w:val="00912FCD"/>
    <w:rsid w:val="00913051"/>
    <w:rsid w:val="009136E3"/>
    <w:rsid w:val="009137B8"/>
    <w:rsid w:val="00914336"/>
    <w:rsid w:val="009149C9"/>
    <w:rsid w:val="00914D23"/>
    <w:rsid w:val="0091546E"/>
    <w:rsid w:val="00915C7F"/>
    <w:rsid w:val="00915F07"/>
    <w:rsid w:val="00920A60"/>
    <w:rsid w:val="00921EF2"/>
    <w:rsid w:val="00922A9F"/>
    <w:rsid w:val="00922CDC"/>
    <w:rsid w:val="00924426"/>
    <w:rsid w:val="00924890"/>
    <w:rsid w:val="00924A9E"/>
    <w:rsid w:val="00926728"/>
    <w:rsid w:val="0092673E"/>
    <w:rsid w:val="00927749"/>
    <w:rsid w:val="00927CD5"/>
    <w:rsid w:val="00927F47"/>
    <w:rsid w:val="00930713"/>
    <w:rsid w:val="009307AF"/>
    <w:rsid w:val="00932734"/>
    <w:rsid w:val="009349F6"/>
    <w:rsid w:val="00936B17"/>
    <w:rsid w:val="00936E5A"/>
    <w:rsid w:val="00940000"/>
    <w:rsid w:val="0094059D"/>
    <w:rsid w:val="0094275A"/>
    <w:rsid w:val="00942E97"/>
    <w:rsid w:val="00943A30"/>
    <w:rsid w:val="00943FC7"/>
    <w:rsid w:val="00944359"/>
    <w:rsid w:val="00944421"/>
    <w:rsid w:val="00944F1E"/>
    <w:rsid w:val="00945C72"/>
    <w:rsid w:val="009468DC"/>
    <w:rsid w:val="00946DD8"/>
    <w:rsid w:val="00947922"/>
    <w:rsid w:val="00947C50"/>
    <w:rsid w:val="00951875"/>
    <w:rsid w:val="00951B60"/>
    <w:rsid w:val="009522A7"/>
    <w:rsid w:val="009528D0"/>
    <w:rsid w:val="0095334C"/>
    <w:rsid w:val="009534E7"/>
    <w:rsid w:val="00953F1F"/>
    <w:rsid w:val="009544FC"/>
    <w:rsid w:val="00954B3D"/>
    <w:rsid w:val="00955EF7"/>
    <w:rsid w:val="009564E9"/>
    <w:rsid w:val="0095670F"/>
    <w:rsid w:val="009568C0"/>
    <w:rsid w:val="00956EB1"/>
    <w:rsid w:val="00957AE6"/>
    <w:rsid w:val="00957C5D"/>
    <w:rsid w:val="00957E40"/>
    <w:rsid w:val="00958CC7"/>
    <w:rsid w:val="00960F15"/>
    <w:rsid w:val="00961037"/>
    <w:rsid w:val="009618E0"/>
    <w:rsid w:val="00962063"/>
    <w:rsid w:val="009635BC"/>
    <w:rsid w:val="0096372B"/>
    <w:rsid w:val="00963F26"/>
    <w:rsid w:val="00964A04"/>
    <w:rsid w:val="00967287"/>
    <w:rsid w:val="009676FE"/>
    <w:rsid w:val="009704CE"/>
    <w:rsid w:val="0097193A"/>
    <w:rsid w:val="0097203A"/>
    <w:rsid w:val="00973E85"/>
    <w:rsid w:val="0097442E"/>
    <w:rsid w:val="00974678"/>
    <w:rsid w:val="00974C45"/>
    <w:rsid w:val="00976153"/>
    <w:rsid w:val="00977489"/>
    <w:rsid w:val="00982FD7"/>
    <w:rsid w:val="00983A54"/>
    <w:rsid w:val="009840BD"/>
    <w:rsid w:val="009840EF"/>
    <w:rsid w:val="00984F4A"/>
    <w:rsid w:val="00984FA1"/>
    <w:rsid w:val="00986296"/>
    <w:rsid w:val="00987943"/>
    <w:rsid w:val="00990CC6"/>
    <w:rsid w:val="00990F65"/>
    <w:rsid w:val="00991A22"/>
    <w:rsid w:val="00991AA5"/>
    <w:rsid w:val="00991CBF"/>
    <w:rsid w:val="00993804"/>
    <w:rsid w:val="00994C6C"/>
    <w:rsid w:val="00994EC6"/>
    <w:rsid w:val="00995075"/>
    <w:rsid w:val="00997C3E"/>
    <w:rsid w:val="00997E88"/>
    <w:rsid w:val="009A00DF"/>
    <w:rsid w:val="009A07F4"/>
    <w:rsid w:val="009A0EFA"/>
    <w:rsid w:val="009A11C8"/>
    <w:rsid w:val="009A2C53"/>
    <w:rsid w:val="009A3729"/>
    <w:rsid w:val="009A5537"/>
    <w:rsid w:val="009A5D79"/>
    <w:rsid w:val="009A6228"/>
    <w:rsid w:val="009A680F"/>
    <w:rsid w:val="009A6CBD"/>
    <w:rsid w:val="009A78CF"/>
    <w:rsid w:val="009B0386"/>
    <w:rsid w:val="009B0F87"/>
    <w:rsid w:val="009B1171"/>
    <w:rsid w:val="009B1DC1"/>
    <w:rsid w:val="009B2A4D"/>
    <w:rsid w:val="009B2AC4"/>
    <w:rsid w:val="009B2F18"/>
    <w:rsid w:val="009B4098"/>
    <w:rsid w:val="009B4140"/>
    <w:rsid w:val="009B4A06"/>
    <w:rsid w:val="009B5346"/>
    <w:rsid w:val="009B548F"/>
    <w:rsid w:val="009B5CEE"/>
    <w:rsid w:val="009B5D5F"/>
    <w:rsid w:val="009B6182"/>
    <w:rsid w:val="009B6CF9"/>
    <w:rsid w:val="009C08B3"/>
    <w:rsid w:val="009C104B"/>
    <w:rsid w:val="009C2BBA"/>
    <w:rsid w:val="009C3469"/>
    <w:rsid w:val="009C45C1"/>
    <w:rsid w:val="009C4BC9"/>
    <w:rsid w:val="009C6BD2"/>
    <w:rsid w:val="009C6E7A"/>
    <w:rsid w:val="009C7A60"/>
    <w:rsid w:val="009C7A71"/>
    <w:rsid w:val="009CC157"/>
    <w:rsid w:val="009D1B57"/>
    <w:rsid w:val="009D2D1C"/>
    <w:rsid w:val="009D3211"/>
    <w:rsid w:val="009D3394"/>
    <w:rsid w:val="009D3BE9"/>
    <w:rsid w:val="009D436A"/>
    <w:rsid w:val="009D4AA0"/>
    <w:rsid w:val="009D5A28"/>
    <w:rsid w:val="009D5B7E"/>
    <w:rsid w:val="009D5BC2"/>
    <w:rsid w:val="009D6E03"/>
    <w:rsid w:val="009D74CA"/>
    <w:rsid w:val="009D7508"/>
    <w:rsid w:val="009D755C"/>
    <w:rsid w:val="009D7BDA"/>
    <w:rsid w:val="009E0218"/>
    <w:rsid w:val="009E0384"/>
    <w:rsid w:val="009E069E"/>
    <w:rsid w:val="009E08C4"/>
    <w:rsid w:val="009E1128"/>
    <w:rsid w:val="009E1549"/>
    <w:rsid w:val="009E1E63"/>
    <w:rsid w:val="009E2179"/>
    <w:rsid w:val="009E2453"/>
    <w:rsid w:val="009E2F5B"/>
    <w:rsid w:val="009E3874"/>
    <w:rsid w:val="009E3D19"/>
    <w:rsid w:val="009E44D3"/>
    <w:rsid w:val="009E46E8"/>
    <w:rsid w:val="009E4AF2"/>
    <w:rsid w:val="009E567D"/>
    <w:rsid w:val="009E5A8D"/>
    <w:rsid w:val="009E60E2"/>
    <w:rsid w:val="009F082F"/>
    <w:rsid w:val="009F1310"/>
    <w:rsid w:val="009F1E5E"/>
    <w:rsid w:val="009F27FB"/>
    <w:rsid w:val="009F2D9A"/>
    <w:rsid w:val="009F2DA4"/>
    <w:rsid w:val="009F3545"/>
    <w:rsid w:val="009F4208"/>
    <w:rsid w:val="009F43BE"/>
    <w:rsid w:val="009F458C"/>
    <w:rsid w:val="009F5344"/>
    <w:rsid w:val="009F5549"/>
    <w:rsid w:val="009F66E5"/>
    <w:rsid w:val="009F6752"/>
    <w:rsid w:val="009F6D1A"/>
    <w:rsid w:val="00A0073F"/>
    <w:rsid w:val="00A00E79"/>
    <w:rsid w:val="00A02037"/>
    <w:rsid w:val="00A02710"/>
    <w:rsid w:val="00A03A37"/>
    <w:rsid w:val="00A03BA3"/>
    <w:rsid w:val="00A03E6C"/>
    <w:rsid w:val="00A04364"/>
    <w:rsid w:val="00A04C84"/>
    <w:rsid w:val="00A068FC"/>
    <w:rsid w:val="00A07294"/>
    <w:rsid w:val="00A074BC"/>
    <w:rsid w:val="00A10E31"/>
    <w:rsid w:val="00A11405"/>
    <w:rsid w:val="00A12388"/>
    <w:rsid w:val="00A1454D"/>
    <w:rsid w:val="00A14B05"/>
    <w:rsid w:val="00A15B7E"/>
    <w:rsid w:val="00A15D8E"/>
    <w:rsid w:val="00A16114"/>
    <w:rsid w:val="00A1739A"/>
    <w:rsid w:val="00A17ED5"/>
    <w:rsid w:val="00A231C3"/>
    <w:rsid w:val="00A23E6A"/>
    <w:rsid w:val="00A241F6"/>
    <w:rsid w:val="00A24540"/>
    <w:rsid w:val="00A25271"/>
    <w:rsid w:val="00A25F6A"/>
    <w:rsid w:val="00A305A9"/>
    <w:rsid w:val="00A3169E"/>
    <w:rsid w:val="00A318F7"/>
    <w:rsid w:val="00A31B0F"/>
    <w:rsid w:val="00A33829"/>
    <w:rsid w:val="00A340BA"/>
    <w:rsid w:val="00A357AF"/>
    <w:rsid w:val="00A369BC"/>
    <w:rsid w:val="00A36BF1"/>
    <w:rsid w:val="00A36FF9"/>
    <w:rsid w:val="00A376FE"/>
    <w:rsid w:val="00A37DF9"/>
    <w:rsid w:val="00A40A54"/>
    <w:rsid w:val="00A415C3"/>
    <w:rsid w:val="00A41C00"/>
    <w:rsid w:val="00A43638"/>
    <w:rsid w:val="00A44211"/>
    <w:rsid w:val="00A44729"/>
    <w:rsid w:val="00A44789"/>
    <w:rsid w:val="00A45CF5"/>
    <w:rsid w:val="00A461AE"/>
    <w:rsid w:val="00A46263"/>
    <w:rsid w:val="00A468BD"/>
    <w:rsid w:val="00A46C7F"/>
    <w:rsid w:val="00A5110C"/>
    <w:rsid w:val="00A51B4E"/>
    <w:rsid w:val="00A523E6"/>
    <w:rsid w:val="00A5287C"/>
    <w:rsid w:val="00A52C5B"/>
    <w:rsid w:val="00A52DAF"/>
    <w:rsid w:val="00A533DB"/>
    <w:rsid w:val="00A53693"/>
    <w:rsid w:val="00A53B33"/>
    <w:rsid w:val="00A5510A"/>
    <w:rsid w:val="00A559AF"/>
    <w:rsid w:val="00A571B9"/>
    <w:rsid w:val="00A57742"/>
    <w:rsid w:val="00A60192"/>
    <w:rsid w:val="00A61BB6"/>
    <w:rsid w:val="00A61FFE"/>
    <w:rsid w:val="00A627EF"/>
    <w:rsid w:val="00A63FF6"/>
    <w:rsid w:val="00A64010"/>
    <w:rsid w:val="00A6715B"/>
    <w:rsid w:val="00A7053E"/>
    <w:rsid w:val="00A7081D"/>
    <w:rsid w:val="00A70A5E"/>
    <w:rsid w:val="00A73A79"/>
    <w:rsid w:val="00A74034"/>
    <w:rsid w:val="00A742F4"/>
    <w:rsid w:val="00A74EC2"/>
    <w:rsid w:val="00A76133"/>
    <w:rsid w:val="00A776C0"/>
    <w:rsid w:val="00A7792D"/>
    <w:rsid w:val="00A779C9"/>
    <w:rsid w:val="00A77D60"/>
    <w:rsid w:val="00A77FB5"/>
    <w:rsid w:val="00A7A0DF"/>
    <w:rsid w:val="00A8009A"/>
    <w:rsid w:val="00A80EFD"/>
    <w:rsid w:val="00A826A2"/>
    <w:rsid w:val="00A82E02"/>
    <w:rsid w:val="00A83188"/>
    <w:rsid w:val="00A835A5"/>
    <w:rsid w:val="00A844CF"/>
    <w:rsid w:val="00A847BB"/>
    <w:rsid w:val="00A84A4A"/>
    <w:rsid w:val="00A84FDD"/>
    <w:rsid w:val="00A86973"/>
    <w:rsid w:val="00A873F6"/>
    <w:rsid w:val="00A876CB"/>
    <w:rsid w:val="00A87A16"/>
    <w:rsid w:val="00A87A56"/>
    <w:rsid w:val="00A90E29"/>
    <w:rsid w:val="00A913E9"/>
    <w:rsid w:val="00A916B8"/>
    <w:rsid w:val="00A91B57"/>
    <w:rsid w:val="00A92446"/>
    <w:rsid w:val="00A924E3"/>
    <w:rsid w:val="00A92957"/>
    <w:rsid w:val="00A92B0C"/>
    <w:rsid w:val="00A92C5D"/>
    <w:rsid w:val="00A92CD7"/>
    <w:rsid w:val="00A94339"/>
    <w:rsid w:val="00A9454B"/>
    <w:rsid w:val="00A94B54"/>
    <w:rsid w:val="00A94E4D"/>
    <w:rsid w:val="00A95169"/>
    <w:rsid w:val="00A95BBA"/>
    <w:rsid w:val="00A95CF4"/>
    <w:rsid w:val="00A96909"/>
    <w:rsid w:val="00A96BC5"/>
    <w:rsid w:val="00A96E91"/>
    <w:rsid w:val="00A97297"/>
    <w:rsid w:val="00A97D5C"/>
    <w:rsid w:val="00A98133"/>
    <w:rsid w:val="00AA0413"/>
    <w:rsid w:val="00AA1502"/>
    <w:rsid w:val="00AA2B75"/>
    <w:rsid w:val="00AA429B"/>
    <w:rsid w:val="00AA46A0"/>
    <w:rsid w:val="00AA499B"/>
    <w:rsid w:val="00AA49F2"/>
    <w:rsid w:val="00AA5059"/>
    <w:rsid w:val="00AA5083"/>
    <w:rsid w:val="00AA5BBB"/>
    <w:rsid w:val="00AA67A0"/>
    <w:rsid w:val="00AA68FA"/>
    <w:rsid w:val="00AA7036"/>
    <w:rsid w:val="00AA713E"/>
    <w:rsid w:val="00AA7494"/>
    <w:rsid w:val="00AA7A44"/>
    <w:rsid w:val="00AA7BA8"/>
    <w:rsid w:val="00AB0C5D"/>
    <w:rsid w:val="00AB2009"/>
    <w:rsid w:val="00AB28DE"/>
    <w:rsid w:val="00AB467E"/>
    <w:rsid w:val="00AB50AE"/>
    <w:rsid w:val="00AB5AC4"/>
    <w:rsid w:val="00AB6AFE"/>
    <w:rsid w:val="00AB75A0"/>
    <w:rsid w:val="00AB7F2C"/>
    <w:rsid w:val="00AC032C"/>
    <w:rsid w:val="00AC03F9"/>
    <w:rsid w:val="00AC0711"/>
    <w:rsid w:val="00AC0F42"/>
    <w:rsid w:val="00AC10B0"/>
    <w:rsid w:val="00AC1312"/>
    <w:rsid w:val="00AC1721"/>
    <w:rsid w:val="00AC28C8"/>
    <w:rsid w:val="00AC3375"/>
    <w:rsid w:val="00AC36D1"/>
    <w:rsid w:val="00AC444A"/>
    <w:rsid w:val="00AC4CB0"/>
    <w:rsid w:val="00AC52C5"/>
    <w:rsid w:val="00AC5DBD"/>
    <w:rsid w:val="00AC7115"/>
    <w:rsid w:val="00AC7539"/>
    <w:rsid w:val="00AC7A0E"/>
    <w:rsid w:val="00AD0043"/>
    <w:rsid w:val="00AD0653"/>
    <w:rsid w:val="00AD0940"/>
    <w:rsid w:val="00AD104B"/>
    <w:rsid w:val="00AD2AEF"/>
    <w:rsid w:val="00AD2E4E"/>
    <w:rsid w:val="00AD3A47"/>
    <w:rsid w:val="00AD45E6"/>
    <w:rsid w:val="00AD47B9"/>
    <w:rsid w:val="00AD4E55"/>
    <w:rsid w:val="00AD5818"/>
    <w:rsid w:val="00AD58FD"/>
    <w:rsid w:val="00AD6267"/>
    <w:rsid w:val="00AD68D3"/>
    <w:rsid w:val="00AD6F0C"/>
    <w:rsid w:val="00AD731C"/>
    <w:rsid w:val="00AD7EAA"/>
    <w:rsid w:val="00AE022D"/>
    <w:rsid w:val="00AE0E52"/>
    <w:rsid w:val="00AE13BE"/>
    <w:rsid w:val="00AE3532"/>
    <w:rsid w:val="00AE3CCA"/>
    <w:rsid w:val="00AE5E48"/>
    <w:rsid w:val="00AE7A3A"/>
    <w:rsid w:val="00AF009D"/>
    <w:rsid w:val="00AF0D17"/>
    <w:rsid w:val="00AF0E6D"/>
    <w:rsid w:val="00AF216E"/>
    <w:rsid w:val="00AF31C7"/>
    <w:rsid w:val="00AF36FD"/>
    <w:rsid w:val="00AF4130"/>
    <w:rsid w:val="00AF5EF4"/>
    <w:rsid w:val="00AF60C1"/>
    <w:rsid w:val="00AF6338"/>
    <w:rsid w:val="00AF6A49"/>
    <w:rsid w:val="00B00096"/>
    <w:rsid w:val="00B00836"/>
    <w:rsid w:val="00B00C5F"/>
    <w:rsid w:val="00B020E6"/>
    <w:rsid w:val="00B0259D"/>
    <w:rsid w:val="00B038C5"/>
    <w:rsid w:val="00B03C9C"/>
    <w:rsid w:val="00B03DB4"/>
    <w:rsid w:val="00B0502C"/>
    <w:rsid w:val="00B050D5"/>
    <w:rsid w:val="00B061E2"/>
    <w:rsid w:val="00B06675"/>
    <w:rsid w:val="00B0677F"/>
    <w:rsid w:val="00B079CF"/>
    <w:rsid w:val="00B07D38"/>
    <w:rsid w:val="00B10C5C"/>
    <w:rsid w:val="00B10F40"/>
    <w:rsid w:val="00B11288"/>
    <w:rsid w:val="00B11A09"/>
    <w:rsid w:val="00B11FC3"/>
    <w:rsid w:val="00B12499"/>
    <w:rsid w:val="00B12537"/>
    <w:rsid w:val="00B12850"/>
    <w:rsid w:val="00B12E14"/>
    <w:rsid w:val="00B13C4B"/>
    <w:rsid w:val="00B14476"/>
    <w:rsid w:val="00B151F8"/>
    <w:rsid w:val="00B15F5D"/>
    <w:rsid w:val="00B17FFB"/>
    <w:rsid w:val="00B20ACA"/>
    <w:rsid w:val="00B214FB"/>
    <w:rsid w:val="00B227FC"/>
    <w:rsid w:val="00B22EBF"/>
    <w:rsid w:val="00B246E7"/>
    <w:rsid w:val="00B24811"/>
    <w:rsid w:val="00B24ADE"/>
    <w:rsid w:val="00B27477"/>
    <w:rsid w:val="00B278DD"/>
    <w:rsid w:val="00B27948"/>
    <w:rsid w:val="00B30820"/>
    <w:rsid w:val="00B31399"/>
    <w:rsid w:val="00B316FF"/>
    <w:rsid w:val="00B32835"/>
    <w:rsid w:val="00B32D93"/>
    <w:rsid w:val="00B3461F"/>
    <w:rsid w:val="00B35101"/>
    <w:rsid w:val="00B355C1"/>
    <w:rsid w:val="00B357D6"/>
    <w:rsid w:val="00B358B1"/>
    <w:rsid w:val="00B35F37"/>
    <w:rsid w:val="00B3678B"/>
    <w:rsid w:val="00B36A17"/>
    <w:rsid w:val="00B36D92"/>
    <w:rsid w:val="00B37511"/>
    <w:rsid w:val="00B37641"/>
    <w:rsid w:val="00B37960"/>
    <w:rsid w:val="00B403D4"/>
    <w:rsid w:val="00B4112B"/>
    <w:rsid w:val="00B41380"/>
    <w:rsid w:val="00B43088"/>
    <w:rsid w:val="00B436DF"/>
    <w:rsid w:val="00B44276"/>
    <w:rsid w:val="00B44784"/>
    <w:rsid w:val="00B44DEC"/>
    <w:rsid w:val="00B4674B"/>
    <w:rsid w:val="00B47BAF"/>
    <w:rsid w:val="00B513D8"/>
    <w:rsid w:val="00B51DB9"/>
    <w:rsid w:val="00B51F67"/>
    <w:rsid w:val="00B52743"/>
    <w:rsid w:val="00B52FFF"/>
    <w:rsid w:val="00B53450"/>
    <w:rsid w:val="00B53B8D"/>
    <w:rsid w:val="00B53D28"/>
    <w:rsid w:val="00B548B0"/>
    <w:rsid w:val="00B55710"/>
    <w:rsid w:val="00B55713"/>
    <w:rsid w:val="00B56C61"/>
    <w:rsid w:val="00B56E8D"/>
    <w:rsid w:val="00B60E5A"/>
    <w:rsid w:val="00B61281"/>
    <w:rsid w:val="00B620FF"/>
    <w:rsid w:val="00B624CB"/>
    <w:rsid w:val="00B627EB"/>
    <w:rsid w:val="00B6453A"/>
    <w:rsid w:val="00B65861"/>
    <w:rsid w:val="00B66173"/>
    <w:rsid w:val="00B6667B"/>
    <w:rsid w:val="00B66FC6"/>
    <w:rsid w:val="00B67440"/>
    <w:rsid w:val="00B6764D"/>
    <w:rsid w:val="00B70470"/>
    <w:rsid w:val="00B70CCC"/>
    <w:rsid w:val="00B71177"/>
    <w:rsid w:val="00B7159E"/>
    <w:rsid w:val="00B7362E"/>
    <w:rsid w:val="00B73DF4"/>
    <w:rsid w:val="00B74F90"/>
    <w:rsid w:val="00B76698"/>
    <w:rsid w:val="00B76DE6"/>
    <w:rsid w:val="00B7726B"/>
    <w:rsid w:val="00B77778"/>
    <w:rsid w:val="00B80F05"/>
    <w:rsid w:val="00B81BA2"/>
    <w:rsid w:val="00B824EC"/>
    <w:rsid w:val="00B82575"/>
    <w:rsid w:val="00B8294A"/>
    <w:rsid w:val="00B82A91"/>
    <w:rsid w:val="00B82C75"/>
    <w:rsid w:val="00B842E9"/>
    <w:rsid w:val="00B85659"/>
    <w:rsid w:val="00B85B68"/>
    <w:rsid w:val="00B85EFA"/>
    <w:rsid w:val="00B872DD"/>
    <w:rsid w:val="00B87327"/>
    <w:rsid w:val="00B901AB"/>
    <w:rsid w:val="00B9101C"/>
    <w:rsid w:val="00B91117"/>
    <w:rsid w:val="00B9141C"/>
    <w:rsid w:val="00B91EDC"/>
    <w:rsid w:val="00B94E19"/>
    <w:rsid w:val="00B958B7"/>
    <w:rsid w:val="00B9635E"/>
    <w:rsid w:val="00BA05E2"/>
    <w:rsid w:val="00BA1037"/>
    <w:rsid w:val="00BA1359"/>
    <w:rsid w:val="00BA1D94"/>
    <w:rsid w:val="00BA300F"/>
    <w:rsid w:val="00BA3CA8"/>
    <w:rsid w:val="00BA3FD8"/>
    <w:rsid w:val="00BA4EFF"/>
    <w:rsid w:val="00BA564B"/>
    <w:rsid w:val="00BA601D"/>
    <w:rsid w:val="00BB1026"/>
    <w:rsid w:val="00BB19AF"/>
    <w:rsid w:val="00BB28D2"/>
    <w:rsid w:val="00BB292D"/>
    <w:rsid w:val="00BB2E10"/>
    <w:rsid w:val="00BB2E44"/>
    <w:rsid w:val="00BB747F"/>
    <w:rsid w:val="00BB7854"/>
    <w:rsid w:val="00BB7CD9"/>
    <w:rsid w:val="00BC0704"/>
    <w:rsid w:val="00BC1BBD"/>
    <w:rsid w:val="00BC242C"/>
    <w:rsid w:val="00BC304C"/>
    <w:rsid w:val="00BC3E1B"/>
    <w:rsid w:val="00BC561C"/>
    <w:rsid w:val="00BC7E65"/>
    <w:rsid w:val="00BD21A8"/>
    <w:rsid w:val="00BD2503"/>
    <w:rsid w:val="00BD2EF8"/>
    <w:rsid w:val="00BD365F"/>
    <w:rsid w:val="00BD371F"/>
    <w:rsid w:val="00BD42A6"/>
    <w:rsid w:val="00BD5419"/>
    <w:rsid w:val="00BD5A26"/>
    <w:rsid w:val="00BD64D2"/>
    <w:rsid w:val="00BD7E76"/>
    <w:rsid w:val="00BD7FB6"/>
    <w:rsid w:val="00BE0712"/>
    <w:rsid w:val="00BE312D"/>
    <w:rsid w:val="00BE550E"/>
    <w:rsid w:val="00BE56E4"/>
    <w:rsid w:val="00BE5A89"/>
    <w:rsid w:val="00BE65A4"/>
    <w:rsid w:val="00BE6B13"/>
    <w:rsid w:val="00BE7BF3"/>
    <w:rsid w:val="00BF0B77"/>
    <w:rsid w:val="00BF101F"/>
    <w:rsid w:val="00BF147B"/>
    <w:rsid w:val="00BF1BCB"/>
    <w:rsid w:val="00BF24A7"/>
    <w:rsid w:val="00BF2D42"/>
    <w:rsid w:val="00BF3B40"/>
    <w:rsid w:val="00BF53BF"/>
    <w:rsid w:val="00BF5584"/>
    <w:rsid w:val="00BF68B5"/>
    <w:rsid w:val="00BF68E5"/>
    <w:rsid w:val="00BF6F7B"/>
    <w:rsid w:val="00BF7FD8"/>
    <w:rsid w:val="00C009DA"/>
    <w:rsid w:val="00C00BD8"/>
    <w:rsid w:val="00C012BC"/>
    <w:rsid w:val="00C02B90"/>
    <w:rsid w:val="00C0311A"/>
    <w:rsid w:val="00C03651"/>
    <w:rsid w:val="00C03EC0"/>
    <w:rsid w:val="00C042BD"/>
    <w:rsid w:val="00C04B8E"/>
    <w:rsid w:val="00C04E3D"/>
    <w:rsid w:val="00C05DE0"/>
    <w:rsid w:val="00C0604B"/>
    <w:rsid w:val="00C072A5"/>
    <w:rsid w:val="00C07E05"/>
    <w:rsid w:val="00C1052D"/>
    <w:rsid w:val="00C11242"/>
    <w:rsid w:val="00C1140D"/>
    <w:rsid w:val="00C117E0"/>
    <w:rsid w:val="00C121CA"/>
    <w:rsid w:val="00C1371C"/>
    <w:rsid w:val="00C14B6A"/>
    <w:rsid w:val="00C14CC2"/>
    <w:rsid w:val="00C1527D"/>
    <w:rsid w:val="00C20701"/>
    <w:rsid w:val="00C22608"/>
    <w:rsid w:val="00C22A44"/>
    <w:rsid w:val="00C23678"/>
    <w:rsid w:val="00C272E9"/>
    <w:rsid w:val="00C27763"/>
    <w:rsid w:val="00C27D64"/>
    <w:rsid w:val="00C30958"/>
    <w:rsid w:val="00C325FB"/>
    <w:rsid w:val="00C327E3"/>
    <w:rsid w:val="00C33044"/>
    <w:rsid w:val="00C33287"/>
    <w:rsid w:val="00C333FD"/>
    <w:rsid w:val="00C33F9E"/>
    <w:rsid w:val="00C34665"/>
    <w:rsid w:val="00C34EDA"/>
    <w:rsid w:val="00C34F6B"/>
    <w:rsid w:val="00C35B04"/>
    <w:rsid w:val="00C36446"/>
    <w:rsid w:val="00C375E8"/>
    <w:rsid w:val="00C403D7"/>
    <w:rsid w:val="00C408FB"/>
    <w:rsid w:val="00C40E09"/>
    <w:rsid w:val="00C40F3C"/>
    <w:rsid w:val="00C42453"/>
    <w:rsid w:val="00C4317C"/>
    <w:rsid w:val="00C436C3"/>
    <w:rsid w:val="00C43CD9"/>
    <w:rsid w:val="00C44CCA"/>
    <w:rsid w:val="00C458C8"/>
    <w:rsid w:val="00C4590A"/>
    <w:rsid w:val="00C45EF2"/>
    <w:rsid w:val="00C4654E"/>
    <w:rsid w:val="00C46B69"/>
    <w:rsid w:val="00C46DF4"/>
    <w:rsid w:val="00C50198"/>
    <w:rsid w:val="00C50382"/>
    <w:rsid w:val="00C5067C"/>
    <w:rsid w:val="00C506D5"/>
    <w:rsid w:val="00C5139F"/>
    <w:rsid w:val="00C52079"/>
    <w:rsid w:val="00C53471"/>
    <w:rsid w:val="00C54716"/>
    <w:rsid w:val="00C54787"/>
    <w:rsid w:val="00C54FAD"/>
    <w:rsid w:val="00C55944"/>
    <w:rsid w:val="00C569D3"/>
    <w:rsid w:val="00C60282"/>
    <w:rsid w:val="00C6064E"/>
    <w:rsid w:val="00C6086C"/>
    <w:rsid w:val="00C60A21"/>
    <w:rsid w:val="00C61040"/>
    <w:rsid w:val="00C613A9"/>
    <w:rsid w:val="00C61B82"/>
    <w:rsid w:val="00C62341"/>
    <w:rsid w:val="00C626F4"/>
    <w:rsid w:val="00C64375"/>
    <w:rsid w:val="00C64427"/>
    <w:rsid w:val="00C646F2"/>
    <w:rsid w:val="00C65328"/>
    <w:rsid w:val="00C65527"/>
    <w:rsid w:val="00C6564A"/>
    <w:rsid w:val="00C65700"/>
    <w:rsid w:val="00C65ED1"/>
    <w:rsid w:val="00C67731"/>
    <w:rsid w:val="00C67A5F"/>
    <w:rsid w:val="00C67FD1"/>
    <w:rsid w:val="00C7091A"/>
    <w:rsid w:val="00C71AC0"/>
    <w:rsid w:val="00C71EF1"/>
    <w:rsid w:val="00C72CCC"/>
    <w:rsid w:val="00C73042"/>
    <w:rsid w:val="00C7312E"/>
    <w:rsid w:val="00C741A0"/>
    <w:rsid w:val="00C74AE1"/>
    <w:rsid w:val="00C74B3C"/>
    <w:rsid w:val="00C7764C"/>
    <w:rsid w:val="00C77C6E"/>
    <w:rsid w:val="00C8022B"/>
    <w:rsid w:val="00C8094A"/>
    <w:rsid w:val="00C80A27"/>
    <w:rsid w:val="00C81F4E"/>
    <w:rsid w:val="00C8229F"/>
    <w:rsid w:val="00C82A8C"/>
    <w:rsid w:val="00C82FE7"/>
    <w:rsid w:val="00C8306A"/>
    <w:rsid w:val="00C83883"/>
    <w:rsid w:val="00C858D1"/>
    <w:rsid w:val="00C859A3"/>
    <w:rsid w:val="00C875D6"/>
    <w:rsid w:val="00C90021"/>
    <w:rsid w:val="00C9029A"/>
    <w:rsid w:val="00C91373"/>
    <w:rsid w:val="00C91440"/>
    <w:rsid w:val="00C9182F"/>
    <w:rsid w:val="00C91849"/>
    <w:rsid w:val="00C9268E"/>
    <w:rsid w:val="00C92A34"/>
    <w:rsid w:val="00C92CFA"/>
    <w:rsid w:val="00C9457C"/>
    <w:rsid w:val="00C94AA6"/>
    <w:rsid w:val="00C95123"/>
    <w:rsid w:val="00C96322"/>
    <w:rsid w:val="00CA013B"/>
    <w:rsid w:val="00CA02AB"/>
    <w:rsid w:val="00CA185D"/>
    <w:rsid w:val="00CA1C4B"/>
    <w:rsid w:val="00CA24CF"/>
    <w:rsid w:val="00CA2A79"/>
    <w:rsid w:val="00CA5722"/>
    <w:rsid w:val="00CA61EA"/>
    <w:rsid w:val="00CA6A30"/>
    <w:rsid w:val="00CA6A3E"/>
    <w:rsid w:val="00CA6C9D"/>
    <w:rsid w:val="00CA7BD5"/>
    <w:rsid w:val="00CB001E"/>
    <w:rsid w:val="00CB0703"/>
    <w:rsid w:val="00CB0AE1"/>
    <w:rsid w:val="00CB12AC"/>
    <w:rsid w:val="00CB1AC0"/>
    <w:rsid w:val="00CB1E27"/>
    <w:rsid w:val="00CB1F34"/>
    <w:rsid w:val="00CB2F9F"/>
    <w:rsid w:val="00CB3278"/>
    <w:rsid w:val="00CB3B7C"/>
    <w:rsid w:val="00CB3F84"/>
    <w:rsid w:val="00CB4F28"/>
    <w:rsid w:val="00CB5954"/>
    <w:rsid w:val="00CB5A88"/>
    <w:rsid w:val="00CB63C7"/>
    <w:rsid w:val="00CB6A67"/>
    <w:rsid w:val="00CB6F56"/>
    <w:rsid w:val="00CB75B0"/>
    <w:rsid w:val="00CB7C98"/>
    <w:rsid w:val="00CC0381"/>
    <w:rsid w:val="00CC038D"/>
    <w:rsid w:val="00CC21ED"/>
    <w:rsid w:val="00CC2250"/>
    <w:rsid w:val="00CC2632"/>
    <w:rsid w:val="00CC26D3"/>
    <w:rsid w:val="00CC30EE"/>
    <w:rsid w:val="00CC3617"/>
    <w:rsid w:val="00CC3F06"/>
    <w:rsid w:val="00CC4704"/>
    <w:rsid w:val="00CC5589"/>
    <w:rsid w:val="00CC5721"/>
    <w:rsid w:val="00CC5C59"/>
    <w:rsid w:val="00CC6420"/>
    <w:rsid w:val="00CC66ED"/>
    <w:rsid w:val="00CC6827"/>
    <w:rsid w:val="00CC6B32"/>
    <w:rsid w:val="00CC76B4"/>
    <w:rsid w:val="00CC7789"/>
    <w:rsid w:val="00CD0034"/>
    <w:rsid w:val="00CD00AB"/>
    <w:rsid w:val="00CD3B90"/>
    <w:rsid w:val="00CD5A04"/>
    <w:rsid w:val="00CD5DC4"/>
    <w:rsid w:val="00CD6AD4"/>
    <w:rsid w:val="00CD7461"/>
    <w:rsid w:val="00CE039A"/>
    <w:rsid w:val="00CE12B0"/>
    <w:rsid w:val="00CE2629"/>
    <w:rsid w:val="00CE2F93"/>
    <w:rsid w:val="00CE2F9A"/>
    <w:rsid w:val="00CE3DF0"/>
    <w:rsid w:val="00CE4845"/>
    <w:rsid w:val="00CE535E"/>
    <w:rsid w:val="00CE58F7"/>
    <w:rsid w:val="00CE771D"/>
    <w:rsid w:val="00CE7963"/>
    <w:rsid w:val="00CE7A8F"/>
    <w:rsid w:val="00CF0124"/>
    <w:rsid w:val="00CF0C4A"/>
    <w:rsid w:val="00CF106B"/>
    <w:rsid w:val="00CF4616"/>
    <w:rsid w:val="00CF4A08"/>
    <w:rsid w:val="00CF52E9"/>
    <w:rsid w:val="00CF5CCC"/>
    <w:rsid w:val="00CF7628"/>
    <w:rsid w:val="00CF7C79"/>
    <w:rsid w:val="00D005C2"/>
    <w:rsid w:val="00D00722"/>
    <w:rsid w:val="00D00B51"/>
    <w:rsid w:val="00D049BC"/>
    <w:rsid w:val="00D049C0"/>
    <w:rsid w:val="00D04B02"/>
    <w:rsid w:val="00D04C3A"/>
    <w:rsid w:val="00D05843"/>
    <w:rsid w:val="00D05918"/>
    <w:rsid w:val="00D05B9E"/>
    <w:rsid w:val="00D060D2"/>
    <w:rsid w:val="00D064EB"/>
    <w:rsid w:val="00D10C1F"/>
    <w:rsid w:val="00D12036"/>
    <w:rsid w:val="00D121F4"/>
    <w:rsid w:val="00D12BDF"/>
    <w:rsid w:val="00D14CE0"/>
    <w:rsid w:val="00D16228"/>
    <w:rsid w:val="00D17D17"/>
    <w:rsid w:val="00D20437"/>
    <w:rsid w:val="00D22FBC"/>
    <w:rsid w:val="00D236E6"/>
    <w:rsid w:val="00D24131"/>
    <w:rsid w:val="00D24583"/>
    <w:rsid w:val="00D24A95"/>
    <w:rsid w:val="00D24CC2"/>
    <w:rsid w:val="00D24F16"/>
    <w:rsid w:val="00D251E7"/>
    <w:rsid w:val="00D263EE"/>
    <w:rsid w:val="00D267D5"/>
    <w:rsid w:val="00D3120E"/>
    <w:rsid w:val="00D322AB"/>
    <w:rsid w:val="00D32EA3"/>
    <w:rsid w:val="00D336D6"/>
    <w:rsid w:val="00D3390A"/>
    <w:rsid w:val="00D3413F"/>
    <w:rsid w:val="00D35FE8"/>
    <w:rsid w:val="00D372DD"/>
    <w:rsid w:val="00D3732A"/>
    <w:rsid w:val="00D37BEA"/>
    <w:rsid w:val="00D4094F"/>
    <w:rsid w:val="00D40996"/>
    <w:rsid w:val="00D40D00"/>
    <w:rsid w:val="00D432A9"/>
    <w:rsid w:val="00D442DC"/>
    <w:rsid w:val="00D44E75"/>
    <w:rsid w:val="00D44F41"/>
    <w:rsid w:val="00D4586D"/>
    <w:rsid w:val="00D46AC2"/>
    <w:rsid w:val="00D518F9"/>
    <w:rsid w:val="00D522DC"/>
    <w:rsid w:val="00D52EFE"/>
    <w:rsid w:val="00D546B1"/>
    <w:rsid w:val="00D54E8C"/>
    <w:rsid w:val="00D551C8"/>
    <w:rsid w:val="00D5556D"/>
    <w:rsid w:val="00D56768"/>
    <w:rsid w:val="00D56EAF"/>
    <w:rsid w:val="00D6022C"/>
    <w:rsid w:val="00D60422"/>
    <w:rsid w:val="00D624E9"/>
    <w:rsid w:val="00D62904"/>
    <w:rsid w:val="00D62E69"/>
    <w:rsid w:val="00D637B7"/>
    <w:rsid w:val="00D63FB8"/>
    <w:rsid w:val="00D64182"/>
    <w:rsid w:val="00D642A2"/>
    <w:rsid w:val="00D6616F"/>
    <w:rsid w:val="00D708BB"/>
    <w:rsid w:val="00D71523"/>
    <w:rsid w:val="00D7337A"/>
    <w:rsid w:val="00D7389D"/>
    <w:rsid w:val="00D73AB6"/>
    <w:rsid w:val="00D73F73"/>
    <w:rsid w:val="00D74DE0"/>
    <w:rsid w:val="00D74FAB"/>
    <w:rsid w:val="00D75651"/>
    <w:rsid w:val="00D75B24"/>
    <w:rsid w:val="00D761EB"/>
    <w:rsid w:val="00D76CD6"/>
    <w:rsid w:val="00D77025"/>
    <w:rsid w:val="00D80A17"/>
    <w:rsid w:val="00D80D62"/>
    <w:rsid w:val="00D824DE"/>
    <w:rsid w:val="00D82D05"/>
    <w:rsid w:val="00D82D6C"/>
    <w:rsid w:val="00D84737"/>
    <w:rsid w:val="00D85274"/>
    <w:rsid w:val="00D858ED"/>
    <w:rsid w:val="00D863D2"/>
    <w:rsid w:val="00D869E1"/>
    <w:rsid w:val="00D900BE"/>
    <w:rsid w:val="00D90508"/>
    <w:rsid w:val="00D905AB"/>
    <w:rsid w:val="00D90AC8"/>
    <w:rsid w:val="00D911EB"/>
    <w:rsid w:val="00D9166B"/>
    <w:rsid w:val="00D91C1A"/>
    <w:rsid w:val="00D921B4"/>
    <w:rsid w:val="00D923DE"/>
    <w:rsid w:val="00D92902"/>
    <w:rsid w:val="00D92BA7"/>
    <w:rsid w:val="00D92F18"/>
    <w:rsid w:val="00D931A7"/>
    <w:rsid w:val="00D93801"/>
    <w:rsid w:val="00D93939"/>
    <w:rsid w:val="00D942D9"/>
    <w:rsid w:val="00D94B31"/>
    <w:rsid w:val="00D95508"/>
    <w:rsid w:val="00D95A7D"/>
    <w:rsid w:val="00D96147"/>
    <w:rsid w:val="00D969DD"/>
    <w:rsid w:val="00D9777A"/>
    <w:rsid w:val="00DA01CD"/>
    <w:rsid w:val="00DA0C08"/>
    <w:rsid w:val="00DA2B25"/>
    <w:rsid w:val="00DA32AA"/>
    <w:rsid w:val="00DA39AE"/>
    <w:rsid w:val="00DA4C00"/>
    <w:rsid w:val="00DA4F89"/>
    <w:rsid w:val="00DA5C16"/>
    <w:rsid w:val="00DA6761"/>
    <w:rsid w:val="00DA6C1E"/>
    <w:rsid w:val="00DA6E1D"/>
    <w:rsid w:val="00DB074A"/>
    <w:rsid w:val="00DB119E"/>
    <w:rsid w:val="00DB1B5E"/>
    <w:rsid w:val="00DB2F74"/>
    <w:rsid w:val="00DB3F4D"/>
    <w:rsid w:val="00DB44B4"/>
    <w:rsid w:val="00DB5269"/>
    <w:rsid w:val="00DB6084"/>
    <w:rsid w:val="00DB6966"/>
    <w:rsid w:val="00DB7305"/>
    <w:rsid w:val="00DC3703"/>
    <w:rsid w:val="00DC39E6"/>
    <w:rsid w:val="00DC437F"/>
    <w:rsid w:val="00DC5701"/>
    <w:rsid w:val="00DC571D"/>
    <w:rsid w:val="00DC6A4D"/>
    <w:rsid w:val="00DC715D"/>
    <w:rsid w:val="00DC729A"/>
    <w:rsid w:val="00DC7CB9"/>
    <w:rsid w:val="00DD00F5"/>
    <w:rsid w:val="00DD07D4"/>
    <w:rsid w:val="00DD25AF"/>
    <w:rsid w:val="00DD2D96"/>
    <w:rsid w:val="00DD3BD7"/>
    <w:rsid w:val="00DD4687"/>
    <w:rsid w:val="00DD46C8"/>
    <w:rsid w:val="00DD49CD"/>
    <w:rsid w:val="00DD4C84"/>
    <w:rsid w:val="00DD519E"/>
    <w:rsid w:val="00DD57D8"/>
    <w:rsid w:val="00DD65C4"/>
    <w:rsid w:val="00DD692C"/>
    <w:rsid w:val="00DD6CF6"/>
    <w:rsid w:val="00DD7D2A"/>
    <w:rsid w:val="00DD7DDB"/>
    <w:rsid w:val="00DE0828"/>
    <w:rsid w:val="00DE1133"/>
    <w:rsid w:val="00DE1BAA"/>
    <w:rsid w:val="00DE25E2"/>
    <w:rsid w:val="00DE3137"/>
    <w:rsid w:val="00DE3382"/>
    <w:rsid w:val="00DE59E3"/>
    <w:rsid w:val="00DE65C7"/>
    <w:rsid w:val="00DE73C3"/>
    <w:rsid w:val="00DF0A38"/>
    <w:rsid w:val="00DF2DA0"/>
    <w:rsid w:val="00DF2E6C"/>
    <w:rsid w:val="00DF3644"/>
    <w:rsid w:val="00DF445E"/>
    <w:rsid w:val="00DF446D"/>
    <w:rsid w:val="00DF4A0F"/>
    <w:rsid w:val="00DF5240"/>
    <w:rsid w:val="00DF63F8"/>
    <w:rsid w:val="00DF71C4"/>
    <w:rsid w:val="00E000DC"/>
    <w:rsid w:val="00E003B2"/>
    <w:rsid w:val="00E01B05"/>
    <w:rsid w:val="00E02790"/>
    <w:rsid w:val="00E027EC"/>
    <w:rsid w:val="00E040D1"/>
    <w:rsid w:val="00E05B6E"/>
    <w:rsid w:val="00E05DA2"/>
    <w:rsid w:val="00E05DD4"/>
    <w:rsid w:val="00E05EC3"/>
    <w:rsid w:val="00E06B2D"/>
    <w:rsid w:val="00E07088"/>
    <w:rsid w:val="00E076DB"/>
    <w:rsid w:val="00E07AA4"/>
    <w:rsid w:val="00E07C3D"/>
    <w:rsid w:val="00E103A5"/>
    <w:rsid w:val="00E10C74"/>
    <w:rsid w:val="00E1103A"/>
    <w:rsid w:val="00E1106A"/>
    <w:rsid w:val="00E11144"/>
    <w:rsid w:val="00E1131B"/>
    <w:rsid w:val="00E11ADE"/>
    <w:rsid w:val="00E11D8C"/>
    <w:rsid w:val="00E125D5"/>
    <w:rsid w:val="00E12FC2"/>
    <w:rsid w:val="00E1420D"/>
    <w:rsid w:val="00E1423D"/>
    <w:rsid w:val="00E14EFA"/>
    <w:rsid w:val="00E15179"/>
    <w:rsid w:val="00E15B39"/>
    <w:rsid w:val="00E1653F"/>
    <w:rsid w:val="00E16753"/>
    <w:rsid w:val="00E16816"/>
    <w:rsid w:val="00E17269"/>
    <w:rsid w:val="00E1759A"/>
    <w:rsid w:val="00E17C48"/>
    <w:rsid w:val="00E17F10"/>
    <w:rsid w:val="00E2035B"/>
    <w:rsid w:val="00E207A8"/>
    <w:rsid w:val="00E20C64"/>
    <w:rsid w:val="00E215C4"/>
    <w:rsid w:val="00E218A0"/>
    <w:rsid w:val="00E2195A"/>
    <w:rsid w:val="00E21C0E"/>
    <w:rsid w:val="00E21DB1"/>
    <w:rsid w:val="00E2271C"/>
    <w:rsid w:val="00E2346A"/>
    <w:rsid w:val="00E23AE0"/>
    <w:rsid w:val="00E23FAC"/>
    <w:rsid w:val="00E2480B"/>
    <w:rsid w:val="00E24F84"/>
    <w:rsid w:val="00E25315"/>
    <w:rsid w:val="00E2538B"/>
    <w:rsid w:val="00E25A8D"/>
    <w:rsid w:val="00E25BE7"/>
    <w:rsid w:val="00E2659F"/>
    <w:rsid w:val="00E266BC"/>
    <w:rsid w:val="00E275B9"/>
    <w:rsid w:val="00E30F3A"/>
    <w:rsid w:val="00E31CC1"/>
    <w:rsid w:val="00E320C5"/>
    <w:rsid w:val="00E32643"/>
    <w:rsid w:val="00E32863"/>
    <w:rsid w:val="00E32FC0"/>
    <w:rsid w:val="00E33416"/>
    <w:rsid w:val="00E33C51"/>
    <w:rsid w:val="00E34113"/>
    <w:rsid w:val="00E359C6"/>
    <w:rsid w:val="00E3665A"/>
    <w:rsid w:val="00E36952"/>
    <w:rsid w:val="00E369E7"/>
    <w:rsid w:val="00E37009"/>
    <w:rsid w:val="00E3722A"/>
    <w:rsid w:val="00E37868"/>
    <w:rsid w:val="00E3792F"/>
    <w:rsid w:val="00E41BCA"/>
    <w:rsid w:val="00E41D36"/>
    <w:rsid w:val="00E423BE"/>
    <w:rsid w:val="00E42852"/>
    <w:rsid w:val="00E43342"/>
    <w:rsid w:val="00E438B8"/>
    <w:rsid w:val="00E43EBB"/>
    <w:rsid w:val="00E441F4"/>
    <w:rsid w:val="00E452FF"/>
    <w:rsid w:val="00E45D13"/>
    <w:rsid w:val="00E46839"/>
    <w:rsid w:val="00E46B27"/>
    <w:rsid w:val="00E47C36"/>
    <w:rsid w:val="00E5173A"/>
    <w:rsid w:val="00E51AF1"/>
    <w:rsid w:val="00E52270"/>
    <w:rsid w:val="00E527A5"/>
    <w:rsid w:val="00E54284"/>
    <w:rsid w:val="00E54AB8"/>
    <w:rsid w:val="00E54B64"/>
    <w:rsid w:val="00E55B69"/>
    <w:rsid w:val="00E570A9"/>
    <w:rsid w:val="00E57443"/>
    <w:rsid w:val="00E60729"/>
    <w:rsid w:val="00E613BE"/>
    <w:rsid w:val="00E6148F"/>
    <w:rsid w:val="00E62A3C"/>
    <w:rsid w:val="00E63BB0"/>
    <w:rsid w:val="00E658E7"/>
    <w:rsid w:val="00E663DB"/>
    <w:rsid w:val="00E675FC"/>
    <w:rsid w:val="00E6760D"/>
    <w:rsid w:val="00E677C7"/>
    <w:rsid w:val="00E71AF9"/>
    <w:rsid w:val="00E71FE4"/>
    <w:rsid w:val="00E72282"/>
    <w:rsid w:val="00E726D5"/>
    <w:rsid w:val="00E72AF8"/>
    <w:rsid w:val="00E7355C"/>
    <w:rsid w:val="00E73727"/>
    <w:rsid w:val="00E76807"/>
    <w:rsid w:val="00E76961"/>
    <w:rsid w:val="00E8117E"/>
    <w:rsid w:val="00E82F66"/>
    <w:rsid w:val="00E84B97"/>
    <w:rsid w:val="00E84D6F"/>
    <w:rsid w:val="00E85488"/>
    <w:rsid w:val="00E8574C"/>
    <w:rsid w:val="00E85C8D"/>
    <w:rsid w:val="00E85DCC"/>
    <w:rsid w:val="00E86011"/>
    <w:rsid w:val="00E87AA5"/>
    <w:rsid w:val="00E909C3"/>
    <w:rsid w:val="00E91AD6"/>
    <w:rsid w:val="00E91F24"/>
    <w:rsid w:val="00E9252A"/>
    <w:rsid w:val="00E9264A"/>
    <w:rsid w:val="00E93370"/>
    <w:rsid w:val="00E93EBE"/>
    <w:rsid w:val="00E941CC"/>
    <w:rsid w:val="00E9506D"/>
    <w:rsid w:val="00E95395"/>
    <w:rsid w:val="00E95C10"/>
    <w:rsid w:val="00E95C38"/>
    <w:rsid w:val="00E96FE1"/>
    <w:rsid w:val="00EA1306"/>
    <w:rsid w:val="00EA1482"/>
    <w:rsid w:val="00EA34B8"/>
    <w:rsid w:val="00EA4132"/>
    <w:rsid w:val="00EA5BD7"/>
    <w:rsid w:val="00EA70B8"/>
    <w:rsid w:val="00EA72C6"/>
    <w:rsid w:val="00EA72F5"/>
    <w:rsid w:val="00EA7E56"/>
    <w:rsid w:val="00EB0058"/>
    <w:rsid w:val="00EB1059"/>
    <w:rsid w:val="00EB1279"/>
    <w:rsid w:val="00EB210E"/>
    <w:rsid w:val="00EB2466"/>
    <w:rsid w:val="00EB251A"/>
    <w:rsid w:val="00EB3563"/>
    <w:rsid w:val="00EB36AC"/>
    <w:rsid w:val="00EB3C89"/>
    <w:rsid w:val="00EB3F2F"/>
    <w:rsid w:val="00EB4267"/>
    <w:rsid w:val="00EB5427"/>
    <w:rsid w:val="00EB555A"/>
    <w:rsid w:val="00EB65E1"/>
    <w:rsid w:val="00EB7002"/>
    <w:rsid w:val="00EB7369"/>
    <w:rsid w:val="00EC1ACF"/>
    <w:rsid w:val="00EC2051"/>
    <w:rsid w:val="00EC294C"/>
    <w:rsid w:val="00EC30B9"/>
    <w:rsid w:val="00EC35A6"/>
    <w:rsid w:val="00EC35CB"/>
    <w:rsid w:val="00EC5E84"/>
    <w:rsid w:val="00EC64B1"/>
    <w:rsid w:val="00EC650E"/>
    <w:rsid w:val="00EC663E"/>
    <w:rsid w:val="00EC6C97"/>
    <w:rsid w:val="00EC7968"/>
    <w:rsid w:val="00ED0D46"/>
    <w:rsid w:val="00ED11BC"/>
    <w:rsid w:val="00ED13A8"/>
    <w:rsid w:val="00ED1871"/>
    <w:rsid w:val="00ED2AAF"/>
    <w:rsid w:val="00ED3499"/>
    <w:rsid w:val="00ED3DFE"/>
    <w:rsid w:val="00ED7568"/>
    <w:rsid w:val="00EDA3E0"/>
    <w:rsid w:val="00EE0807"/>
    <w:rsid w:val="00EE0CDD"/>
    <w:rsid w:val="00EE192C"/>
    <w:rsid w:val="00EE1AFB"/>
    <w:rsid w:val="00EE4C8B"/>
    <w:rsid w:val="00EE4E13"/>
    <w:rsid w:val="00EF044C"/>
    <w:rsid w:val="00EF0BE3"/>
    <w:rsid w:val="00EF0C87"/>
    <w:rsid w:val="00EF10E3"/>
    <w:rsid w:val="00EF19A1"/>
    <w:rsid w:val="00EF2230"/>
    <w:rsid w:val="00EF2233"/>
    <w:rsid w:val="00EF2AC8"/>
    <w:rsid w:val="00EF2B33"/>
    <w:rsid w:val="00EF2E99"/>
    <w:rsid w:val="00EF3D5C"/>
    <w:rsid w:val="00EF4BF4"/>
    <w:rsid w:val="00EF62C9"/>
    <w:rsid w:val="00EF7DC3"/>
    <w:rsid w:val="00F0178C"/>
    <w:rsid w:val="00F02171"/>
    <w:rsid w:val="00F027C8"/>
    <w:rsid w:val="00F031CE"/>
    <w:rsid w:val="00F036B5"/>
    <w:rsid w:val="00F04BD3"/>
    <w:rsid w:val="00F05444"/>
    <w:rsid w:val="00F06502"/>
    <w:rsid w:val="00F065E1"/>
    <w:rsid w:val="00F07EAB"/>
    <w:rsid w:val="00F1005D"/>
    <w:rsid w:val="00F10D5A"/>
    <w:rsid w:val="00F11E5D"/>
    <w:rsid w:val="00F127B5"/>
    <w:rsid w:val="00F13A01"/>
    <w:rsid w:val="00F1412C"/>
    <w:rsid w:val="00F150E1"/>
    <w:rsid w:val="00F1551A"/>
    <w:rsid w:val="00F16289"/>
    <w:rsid w:val="00F16ABE"/>
    <w:rsid w:val="00F16DF1"/>
    <w:rsid w:val="00F17734"/>
    <w:rsid w:val="00F17DB0"/>
    <w:rsid w:val="00F21B3D"/>
    <w:rsid w:val="00F2278F"/>
    <w:rsid w:val="00F22ABF"/>
    <w:rsid w:val="00F22F20"/>
    <w:rsid w:val="00F2335C"/>
    <w:rsid w:val="00F23ED1"/>
    <w:rsid w:val="00F25519"/>
    <w:rsid w:val="00F25657"/>
    <w:rsid w:val="00F25742"/>
    <w:rsid w:val="00F27280"/>
    <w:rsid w:val="00F27527"/>
    <w:rsid w:val="00F27C5E"/>
    <w:rsid w:val="00F27C90"/>
    <w:rsid w:val="00F32019"/>
    <w:rsid w:val="00F320D2"/>
    <w:rsid w:val="00F327FD"/>
    <w:rsid w:val="00F32F5D"/>
    <w:rsid w:val="00F33948"/>
    <w:rsid w:val="00F34BF3"/>
    <w:rsid w:val="00F35C12"/>
    <w:rsid w:val="00F36CAB"/>
    <w:rsid w:val="00F37050"/>
    <w:rsid w:val="00F37947"/>
    <w:rsid w:val="00F4076B"/>
    <w:rsid w:val="00F40834"/>
    <w:rsid w:val="00F41057"/>
    <w:rsid w:val="00F41EBC"/>
    <w:rsid w:val="00F41FFA"/>
    <w:rsid w:val="00F4210B"/>
    <w:rsid w:val="00F424F2"/>
    <w:rsid w:val="00F42EB5"/>
    <w:rsid w:val="00F430A2"/>
    <w:rsid w:val="00F439EE"/>
    <w:rsid w:val="00F43DFE"/>
    <w:rsid w:val="00F44818"/>
    <w:rsid w:val="00F44B71"/>
    <w:rsid w:val="00F462CA"/>
    <w:rsid w:val="00F470BC"/>
    <w:rsid w:val="00F504AF"/>
    <w:rsid w:val="00F50F38"/>
    <w:rsid w:val="00F51A29"/>
    <w:rsid w:val="00F52167"/>
    <w:rsid w:val="00F5465F"/>
    <w:rsid w:val="00F5619C"/>
    <w:rsid w:val="00F56F42"/>
    <w:rsid w:val="00F61FFF"/>
    <w:rsid w:val="00F62AE2"/>
    <w:rsid w:val="00F64350"/>
    <w:rsid w:val="00F66202"/>
    <w:rsid w:val="00F71D08"/>
    <w:rsid w:val="00F73584"/>
    <w:rsid w:val="00F7382B"/>
    <w:rsid w:val="00F74084"/>
    <w:rsid w:val="00F74627"/>
    <w:rsid w:val="00F754C6"/>
    <w:rsid w:val="00F764C0"/>
    <w:rsid w:val="00F7745A"/>
    <w:rsid w:val="00F77B30"/>
    <w:rsid w:val="00F82520"/>
    <w:rsid w:val="00F832F9"/>
    <w:rsid w:val="00F83683"/>
    <w:rsid w:val="00F83C19"/>
    <w:rsid w:val="00F83ED4"/>
    <w:rsid w:val="00F83F38"/>
    <w:rsid w:val="00F855B4"/>
    <w:rsid w:val="00F85ED5"/>
    <w:rsid w:val="00F8624F"/>
    <w:rsid w:val="00F869FC"/>
    <w:rsid w:val="00F86A21"/>
    <w:rsid w:val="00F87522"/>
    <w:rsid w:val="00F90914"/>
    <w:rsid w:val="00F91632"/>
    <w:rsid w:val="00F916C5"/>
    <w:rsid w:val="00F91799"/>
    <w:rsid w:val="00F92D14"/>
    <w:rsid w:val="00F943FD"/>
    <w:rsid w:val="00F94497"/>
    <w:rsid w:val="00F96271"/>
    <w:rsid w:val="00F96376"/>
    <w:rsid w:val="00F9713C"/>
    <w:rsid w:val="00F9730A"/>
    <w:rsid w:val="00F9736E"/>
    <w:rsid w:val="00F97F32"/>
    <w:rsid w:val="00F97FDA"/>
    <w:rsid w:val="00FA03C9"/>
    <w:rsid w:val="00FA0A40"/>
    <w:rsid w:val="00FA2568"/>
    <w:rsid w:val="00FA28CC"/>
    <w:rsid w:val="00FA42D3"/>
    <w:rsid w:val="00FA4585"/>
    <w:rsid w:val="00FA4FCD"/>
    <w:rsid w:val="00FA5233"/>
    <w:rsid w:val="00FA5E0F"/>
    <w:rsid w:val="00FA7A10"/>
    <w:rsid w:val="00FB0130"/>
    <w:rsid w:val="00FB1168"/>
    <w:rsid w:val="00FB3C77"/>
    <w:rsid w:val="00FB471D"/>
    <w:rsid w:val="00FB5852"/>
    <w:rsid w:val="00FB58BA"/>
    <w:rsid w:val="00FB5F0C"/>
    <w:rsid w:val="00FB780C"/>
    <w:rsid w:val="00FC0209"/>
    <w:rsid w:val="00FC24A5"/>
    <w:rsid w:val="00FC3FC5"/>
    <w:rsid w:val="00FC42B5"/>
    <w:rsid w:val="00FC4CFB"/>
    <w:rsid w:val="00FC5447"/>
    <w:rsid w:val="00FC6FE1"/>
    <w:rsid w:val="00FC7BF9"/>
    <w:rsid w:val="00FD0353"/>
    <w:rsid w:val="00FD0F99"/>
    <w:rsid w:val="00FD17C0"/>
    <w:rsid w:val="00FD24A6"/>
    <w:rsid w:val="00FD4EF8"/>
    <w:rsid w:val="00FD50A2"/>
    <w:rsid w:val="00FD60E6"/>
    <w:rsid w:val="00FD6AE4"/>
    <w:rsid w:val="00FD6BFE"/>
    <w:rsid w:val="00FD78E7"/>
    <w:rsid w:val="00FE0970"/>
    <w:rsid w:val="00FE1037"/>
    <w:rsid w:val="00FE1222"/>
    <w:rsid w:val="00FE1524"/>
    <w:rsid w:val="00FE1A71"/>
    <w:rsid w:val="00FE1B0B"/>
    <w:rsid w:val="00FE2FC4"/>
    <w:rsid w:val="00FE35CE"/>
    <w:rsid w:val="00FE39EA"/>
    <w:rsid w:val="00FE3E61"/>
    <w:rsid w:val="00FE3FE9"/>
    <w:rsid w:val="00FE4FDC"/>
    <w:rsid w:val="00FE5197"/>
    <w:rsid w:val="00FE582C"/>
    <w:rsid w:val="00FE655B"/>
    <w:rsid w:val="00FE6666"/>
    <w:rsid w:val="00FE7861"/>
    <w:rsid w:val="00FF2299"/>
    <w:rsid w:val="00FF2403"/>
    <w:rsid w:val="00FF247F"/>
    <w:rsid w:val="00FF3340"/>
    <w:rsid w:val="00FF3634"/>
    <w:rsid w:val="00FF409D"/>
    <w:rsid w:val="00FF4F63"/>
    <w:rsid w:val="00FF4F8B"/>
    <w:rsid w:val="00FF626D"/>
    <w:rsid w:val="00FF66C9"/>
    <w:rsid w:val="00FF6962"/>
    <w:rsid w:val="00FF6A4B"/>
    <w:rsid w:val="010F404D"/>
    <w:rsid w:val="014217D1"/>
    <w:rsid w:val="016AE9CF"/>
    <w:rsid w:val="016CF9F7"/>
    <w:rsid w:val="016E029C"/>
    <w:rsid w:val="018015C1"/>
    <w:rsid w:val="0194E705"/>
    <w:rsid w:val="01DB271C"/>
    <w:rsid w:val="01DE0BDA"/>
    <w:rsid w:val="01FD7E32"/>
    <w:rsid w:val="0214C2D1"/>
    <w:rsid w:val="021E8CAA"/>
    <w:rsid w:val="022D6B84"/>
    <w:rsid w:val="023E8905"/>
    <w:rsid w:val="0249C1DB"/>
    <w:rsid w:val="026F1CF4"/>
    <w:rsid w:val="02723270"/>
    <w:rsid w:val="027C473C"/>
    <w:rsid w:val="02832546"/>
    <w:rsid w:val="029B696E"/>
    <w:rsid w:val="029FC76A"/>
    <w:rsid w:val="02B5FD29"/>
    <w:rsid w:val="02B8E52F"/>
    <w:rsid w:val="02BEE414"/>
    <w:rsid w:val="02D2D073"/>
    <w:rsid w:val="02E26FE6"/>
    <w:rsid w:val="02F1AC44"/>
    <w:rsid w:val="02F5BEC2"/>
    <w:rsid w:val="030E5479"/>
    <w:rsid w:val="0314E5C3"/>
    <w:rsid w:val="0320C12F"/>
    <w:rsid w:val="0323A8CE"/>
    <w:rsid w:val="0341988A"/>
    <w:rsid w:val="034C9257"/>
    <w:rsid w:val="03540FD0"/>
    <w:rsid w:val="0359C297"/>
    <w:rsid w:val="035BF503"/>
    <w:rsid w:val="0397775B"/>
    <w:rsid w:val="03A0990E"/>
    <w:rsid w:val="03AF36DD"/>
    <w:rsid w:val="03B3B4D8"/>
    <w:rsid w:val="03DF5C88"/>
    <w:rsid w:val="03DFB63B"/>
    <w:rsid w:val="03EF18F8"/>
    <w:rsid w:val="04278FD5"/>
    <w:rsid w:val="04298813"/>
    <w:rsid w:val="0445358E"/>
    <w:rsid w:val="046C53F3"/>
    <w:rsid w:val="047A8FD5"/>
    <w:rsid w:val="04854F30"/>
    <w:rsid w:val="0498AD4D"/>
    <w:rsid w:val="0498BAF8"/>
    <w:rsid w:val="04AD8C3C"/>
    <w:rsid w:val="04AF5377"/>
    <w:rsid w:val="04C79FB9"/>
    <w:rsid w:val="04D120D6"/>
    <w:rsid w:val="04E60AE3"/>
    <w:rsid w:val="04E96B5D"/>
    <w:rsid w:val="0530BC74"/>
    <w:rsid w:val="053368DB"/>
    <w:rsid w:val="055AECE2"/>
    <w:rsid w:val="05822AA7"/>
    <w:rsid w:val="0596FBEB"/>
    <w:rsid w:val="06196026"/>
    <w:rsid w:val="06198F2E"/>
    <w:rsid w:val="06360829"/>
    <w:rsid w:val="06474E34"/>
    <w:rsid w:val="0648FAB0"/>
    <w:rsid w:val="06876320"/>
    <w:rsid w:val="06882F28"/>
    <w:rsid w:val="06920B50"/>
    <w:rsid w:val="06AB2823"/>
    <w:rsid w:val="06ADC546"/>
    <w:rsid w:val="06CE3229"/>
    <w:rsid w:val="06DB2C6E"/>
    <w:rsid w:val="06E17829"/>
    <w:rsid w:val="070057AA"/>
    <w:rsid w:val="070A7244"/>
    <w:rsid w:val="070B6E63"/>
    <w:rsid w:val="071F4E7C"/>
    <w:rsid w:val="0727AB41"/>
    <w:rsid w:val="073C42FE"/>
    <w:rsid w:val="074F4E5D"/>
    <w:rsid w:val="07597B72"/>
    <w:rsid w:val="076752AD"/>
    <w:rsid w:val="078CA56D"/>
    <w:rsid w:val="078FAF56"/>
    <w:rsid w:val="07903BDA"/>
    <w:rsid w:val="07D35017"/>
    <w:rsid w:val="07DA6AA8"/>
    <w:rsid w:val="07DB0C8B"/>
    <w:rsid w:val="07FDFDED"/>
    <w:rsid w:val="07FEB589"/>
    <w:rsid w:val="080DB49A"/>
    <w:rsid w:val="080F8786"/>
    <w:rsid w:val="081BD86C"/>
    <w:rsid w:val="0822ADBB"/>
    <w:rsid w:val="0826C210"/>
    <w:rsid w:val="083C3D73"/>
    <w:rsid w:val="083CA181"/>
    <w:rsid w:val="083E7066"/>
    <w:rsid w:val="084CFF3D"/>
    <w:rsid w:val="086F3992"/>
    <w:rsid w:val="087C99C7"/>
    <w:rsid w:val="087D488A"/>
    <w:rsid w:val="0894D084"/>
    <w:rsid w:val="0899086A"/>
    <w:rsid w:val="08B26A92"/>
    <w:rsid w:val="08BB0237"/>
    <w:rsid w:val="08BD28CD"/>
    <w:rsid w:val="08CB9AFF"/>
    <w:rsid w:val="08D2E6BA"/>
    <w:rsid w:val="08F37914"/>
    <w:rsid w:val="0910EBFC"/>
    <w:rsid w:val="0913ADA5"/>
    <w:rsid w:val="09207950"/>
    <w:rsid w:val="093377D5"/>
    <w:rsid w:val="0964A437"/>
    <w:rsid w:val="0969863A"/>
    <w:rsid w:val="096FD43A"/>
    <w:rsid w:val="0970229C"/>
    <w:rsid w:val="098FC66C"/>
    <w:rsid w:val="09A17BF6"/>
    <w:rsid w:val="09B97C06"/>
    <w:rsid w:val="09F6E347"/>
    <w:rsid w:val="0A10881C"/>
    <w:rsid w:val="0A18474A"/>
    <w:rsid w:val="0A250426"/>
    <w:rsid w:val="0A3BA765"/>
    <w:rsid w:val="0ADB8DE9"/>
    <w:rsid w:val="0AF626A6"/>
    <w:rsid w:val="0B0B3B7B"/>
    <w:rsid w:val="0B3082C1"/>
    <w:rsid w:val="0B3247B0"/>
    <w:rsid w:val="0B3DE549"/>
    <w:rsid w:val="0B49C364"/>
    <w:rsid w:val="0B60759B"/>
    <w:rsid w:val="0B804108"/>
    <w:rsid w:val="0B813669"/>
    <w:rsid w:val="0B83D5B6"/>
    <w:rsid w:val="0B9E1F31"/>
    <w:rsid w:val="0BA09480"/>
    <w:rsid w:val="0BC43650"/>
    <w:rsid w:val="0BCC7146"/>
    <w:rsid w:val="0C0813A2"/>
    <w:rsid w:val="0C128BAB"/>
    <w:rsid w:val="0C2E90AE"/>
    <w:rsid w:val="0C56B692"/>
    <w:rsid w:val="0C62DF36"/>
    <w:rsid w:val="0C8F6EF2"/>
    <w:rsid w:val="0C8FB553"/>
    <w:rsid w:val="0C90E3CB"/>
    <w:rsid w:val="0CCCE828"/>
    <w:rsid w:val="0CD99DD9"/>
    <w:rsid w:val="0CDD40EC"/>
    <w:rsid w:val="0CE612F7"/>
    <w:rsid w:val="0CFA9252"/>
    <w:rsid w:val="0D0D0097"/>
    <w:rsid w:val="0D4F5094"/>
    <w:rsid w:val="0D66DE2C"/>
    <w:rsid w:val="0D6B3604"/>
    <w:rsid w:val="0D7440C8"/>
    <w:rsid w:val="0D8017B0"/>
    <w:rsid w:val="0D9124E2"/>
    <w:rsid w:val="0D98111D"/>
    <w:rsid w:val="0DA3F9B7"/>
    <w:rsid w:val="0DAD0A3E"/>
    <w:rsid w:val="0DD90157"/>
    <w:rsid w:val="0DDCD53B"/>
    <w:rsid w:val="0DE5A3F9"/>
    <w:rsid w:val="0DE72D25"/>
    <w:rsid w:val="0DE74228"/>
    <w:rsid w:val="0DF16EC4"/>
    <w:rsid w:val="0E09FA9A"/>
    <w:rsid w:val="0E1523DF"/>
    <w:rsid w:val="0E1B257E"/>
    <w:rsid w:val="0E276668"/>
    <w:rsid w:val="0E3095AD"/>
    <w:rsid w:val="0E455EBA"/>
    <w:rsid w:val="0E677262"/>
    <w:rsid w:val="0EA475AC"/>
    <w:rsid w:val="0EB341EC"/>
    <w:rsid w:val="0ECD0285"/>
    <w:rsid w:val="0ED42C99"/>
    <w:rsid w:val="0ED4616C"/>
    <w:rsid w:val="0ED6FE74"/>
    <w:rsid w:val="0EDB49E8"/>
    <w:rsid w:val="0F02A5C8"/>
    <w:rsid w:val="0F049E06"/>
    <w:rsid w:val="0F1CCD9A"/>
    <w:rsid w:val="0F2DA584"/>
    <w:rsid w:val="0F584271"/>
    <w:rsid w:val="0F5AF27D"/>
    <w:rsid w:val="0F5C6DFB"/>
    <w:rsid w:val="0F79E20B"/>
    <w:rsid w:val="0F7CCAA8"/>
    <w:rsid w:val="0FA7DFDF"/>
    <w:rsid w:val="0FB77511"/>
    <w:rsid w:val="0FBFD9FC"/>
    <w:rsid w:val="0FC1190C"/>
    <w:rsid w:val="0FC9CFE0"/>
    <w:rsid w:val="0FEB608D"/>
    <w:rsid w:val="0FEC52CB"/>
    <w:rsid w:val="1006357A"/>
    <w:rsid w:val="10073C31"/>
    <w:rsid w:val="100B283C"/>
    <w:rsid w:val="1060F7F7"/>
    <w:rsid w:val="106C7DBF"/>
    <w:rsid w:val="10781D93"/>
    <w:rsid w:val="107E4C90"/>
    <w:rsid w:val="108280AD"/>
    <w:rsid w:val="1093D314"/>
    <w:rsid w:val="109B0C0A"/>
    <w:rsid w:val="109F1C99"/>
    <w:rsid w:val="10CBB0AA"/>
    <w:rsid w:val="10D2E3A5"/>
    <w:rsid w:val="10D4D30A"/>
    <w:rsid w:val="10FBFD02"/>
    <w:rsid w:val="10FE2652"/>
    <w:rsid w:val="10FE882B"/>
    <w:rsid w:val="110FBB38"/>
    <w:rsid w:val="11317230"/>
    <w:rsid w:val="11449A51"/>
    <w:rsid w:val="1175943E"/>
    <w:rsid w:val="118730EE"/>
    <w:rsid w:val="11881430"/>
    <w:rsid w:val="11C2E7F2"/>
    <w:rsid w:val="11F5E459"/>
    <w:rsid w:val="11FDBB71"/>
    <w:rsid w:val="11FF74F4"/>
    <w:rsid w:val="122BCF30"/>
    <w:rsid w:val="1236DC6B"/>
    <w:rsid w:val="123F490D"/>
    <w:rsid w:val="1283E81E"/>
    <w:rsid w:val="12A5C922"/>
    <w:rsid w:val="12C39CF0"/>
    <w:rsid w:val="12D7E678"/>
    <w:rsid w:val="12DC80BD"/>
    <w:rsid w:val="12E43AE0"/>
    <w:rsid w:val="130286AD"/>
    <w:rsid w:val="1307BEFE"/>
    <w:rsid w:val="131ACAD5"/>
    <w:rsid w:val="13244AF7"/>
    <w:rsid w:val="13246DAD"/>
    <w:rsid w:val="1336CD44"/>
    <w:rsid w:val="1355C3D3"/>
    <w:rsid w:val="13563EE8"/>
    <w:rsid w:val="136DA0DD"/>
    <w:rsid w:val="137C35D3"/>
    <w:rsid w:val="138DEF72"/>
    <w:rsid w:val="138FA651"/>
    <w:rsid w:val="13A72BE3"/>
    <w:rsid w:val="13BB8076"/>
    <w:rsid w:val="13C05880"/>
    <w:rsid w:val="13C0F9F1"/>
    <w:rsid w:val="13D49D40"/>
    <w:rsid w:val="13DCE479"/>
    <w:rsid w:val="13EA1EB9"/>
    <w:rsid w:val="13F038AD"/>
    <w:rsid w:val="13FE9A64"/>
    <w:rsid w:val="1401CD93"/>
    <w:rsid w:val="14157E34"/>
    <w:rsid w:val="14202B87"/>
    <w:rsid w:val="143FA42C"/>
    <w:rsid w:val="1459A042"/>
    <w:rsid w:val="1479F3BA"/>
    <w:rsid w:val="147F6D35"/>
    <w:rsid w:val="1497A29C"/>
    <w:rsid w:val="14A22BDF"/>
    <w:rsid w:val="14B1B91A"/>
    <w:rsid w:val="14C0E5A1"/>
    <w:rsid w:val="14D3B43C"/>
    <w:rsid w:val="14F1D00B"/>
    <w:rsid w:val="15041C33"/>
    <w:rsid w:val="153015CC"/>
    <w:rsid w:val="15323C62"/>
    <w:rsid w:val="153A7B48"/>
    <w:rsid w:val="155D0A75"/>
    <w:rsid w:val="156B05D8"/>
    <w:rsid w:val="15750D1E"/>
    <w:rsid w:val="15852D01"/>
    <w:rsid w:val="1586C883"/>
    <w:rsid w:val="15AA5B6F"/>
    <w:rsid w:val="15BF3C2C"/>
    <w:rsid w:val="15C999EB"/>
    <w:rsid w:val="15DA4E49"/>
    <w:rsid w:val="15FEA819"/>
    <w:rsid w:val="160DF06D"/>
    <w:rsid w:val="160F0680"/>
    <w:rsid w:val="16268B4F"/>
    <w:rsid w:val="1641AC85"/>
    <w:rsid w:val="16425EB5"/>
    <w:rsid w:val="1653CA9E"/>
    <w:rsid w:val="1663B106"/>
    <w:rsid w:val="166E482E"/>
    <w:rsid w:val="1689A308"/>
    <w:rsid w:val="169459DE"/>
    <w:rsid w:val="16AD92D1"/>
    <w:rsid w:val="16BC8AE2"/>
    <w:rsid w:val="16CB6067"/>
    <w:rsid w:val="16DD2D5B"/>
    <w:rsid w:val="16EEC241"/>
    <w:rsid w:val="17164836"/>
    <w:rsid w:val="171B12C4"/>
    <w:rsid w:val="172D5198"/>
    <w:rsid w:val="172DC324"/>
    <w:rsid w:val="176C0615"/>
    <w:rsid w:val="1776B7E1"/>
    <w:rsid w:val="1783FF82"/>
    <w:rsid w:val="179EA4EF"/>
    <w:rsid w:val="17BBA465"/>
    <w:rsid w:val="17CA19CE"/>
    <w:rsid w:val="17DB575C"/>
    <w:rsid w:val="17F8E94B"/>
    <w:rsid w:val="17FA3F79"/>
    <w:rsid w:val="17FC5C27"/>
    <w:rsid w:val="1803400D"/>
    <w:rsid w:val="181366DB"/>
    <w:rsid w:val="18222827"/>
    <w:rsid w:val="185495B5"/>
    <w:rsid w:val="185D1833"/>
    <w:rsid w:val="18953FF5"/>
    <w:rsid w:val="18A72052"/>
    <w:rsid w:val="18BDD1CD"/>
    <w:rsid w:val="18C2A319"/>
    <w:rsid w:val="18C58C82"/>
    <w:rsid w:val="18F2EE7E"/>
    <w:rsid w:val="18FA8183"/>
    <w:rsid w:val="192DE38C"/>
    <w:rsid w:val="19456F60"/>
    <w:rsid w:val="1945DCF9"/>
    <w:rsid w:val="194B8945"/>
    <w:rsid w:val="194CF5E1"/>
    <w:rsid w:val="197853F6"/>
    <w:rsid w:val="19787BD3"/>
    <w:rsid w:val="198D6B68"/>
    <w:rsid w:val="1991E410"/>
    <w:rsid w:val="1998D692"/>
    <w:rsid w:val="19992C14"/>
    <w:rsid w:val="199FDAB7"/>
    <w:rsid w:val="19D36A76"/>
    <w:rsid w:val="19DD68DA"/>
    <w:rsid w:val="19EC6504"/>
    <w:rsid w:val="19EEF3D8"/>
    <w:rsid w:val="1A2049D3"/>
    <w:rsid w:val="1A21F5F6"/>
    <w:rsid w:val="1A371602"/>
    <w:rsid w:val="1A4EF378"/>
    <w:rsid w:val="1A70315A"/>
    <w:rsid w:val="1A7CF87E"/>
    <w:rsid w:val="1A82BBE7"/>
    <w:rsid w:val="1A8F9449"/>
    <w:rsid w:val="1A97A8B1"/>
    <w:rsid w:val="1AA78DB6"/>
    <w:rsid w:val="1AD5D212"/>
    <w:rsid w:val="1AE5A222"/>
    <w:rsid w:val="1AE766F8"/>
    <w:rsid w:val="1AF976B0"/>
    <w:rsid w:val="1B1F6E24"/>
    <w:rsid w:val="1B273D80"/>
    <w:rsid w:val="1B2A37A7"/>
    <w:rsid w:val="1B3F02ED"/>
    <w:rsid w:val="1B46F1A2"/>
    <w:rsid w:val="1B4AD0C8"/>
    <w:rsid w:val="1B5242C4"/>
    <w:rsid w:val="1B64AACC"/>
    <w:rsid w:val="1B6705FD"/>
    <w:rsid w:val="1B735DB7"/>
    <w:rsid w:val="1B75E8C7"/>
    <w:rsid w:val="1B8F19DE"/>
    <w:rsid w:val="1B9AE013"/>
    <w:rsid w:val="1BB8A8A7"/>
    <w:rsid w:val="1BDA5A1A"/>
    <w:rsid w:val="1BF3C39E"/>
    <w:rsid w:val="1C0B24A3"/>
    <w:rsid w:val="1C179BDC"/>
    <w:rsid w:val="1C37C5B5"/>
    <w:rsid w:val="1C3CC75E"/>
    <w:rsid w:val="1C510C1E"/>
    <w:rsid w:val="1C519E2A"/>
    <w:rsid w:val="1C60897F"/>
    <w:rsid w:val="1C647250"/>
    <w:rsid w:val="1C6789DE"/>
    <w:rsid w:val="1C6A8E2E"/>
    <w:rsid w:val="1C754AA3"/>
    <w:rsid w:val="1C8B1D26"/>
    <w:rsid w:val="1C929E76"/>
    <w:rsid w:val="1C9FF369"/>
    <w:rsid w:val="1CC3008F"/>
    <w:rsid w:val="1CCB2E1F"/>
    <w:rsid w:val="1CD49943"/>
    <w:rsid w:val="1CEA4AB5"/>
    <w:rsid w:val="1CED6202"/>
    <w:rsid w:val="1CF66298"/>
    <w:rsid w:val="1D0E8ED6"/>
    <w:rsid w:val="1D0F2E18"/>
    <w:rsid w:val="1D1192C8"/>
    <w:rsid w:val="1D1E9ABD"/>
    <w:rsid w:val="1D2F3123"/>
    <w:rsid w:val="1D3785B1"/>
    <w:rsid w:val="1D4B0891"/>
    <w:rsid w:val="1D5352F4"/>
    <w:rsid w:val="1D5502D5"/>
    <w:rsid w:val="1D5E66AD"/>
    <w:rsid w:val="1D63395C"/>
    <w:rsid w:val="1D798F12"/>
    <w:rsid w:val="1D996D40"/>
    <w:rsid w:val="1DDB696B"/>
    <w:rsid w:val="1DEB5304"/>
    <w:rsid w:val="1DF36844"/>
    <w:rsid w:val="1E026C3E"/>
    <w:rsid w:val="1E045259"/>
    <w:rsid w:val="1E0520A7"/>
    <w:rsid w:val="1E064CDD"/>
    <w:rsid w:val="1E2A6374"/>
    <w:rsid w:val="1E658A1A"/>
    <w:rsid w:val="1E6BC3F6"/>
    <w:rsid w:val="1E7C8CD4"/>
    <w:rsid w:val="1E97EC97"/>
    <w:rsid w:val="1EA582C2"/>
    <w:rsid w:val="1EA5E7FA"/>
    <w:rsid w:val="1EDCCEED"/>
    <w:rsid w:val="1EFA108A"/>
    <w:rsid w:val="1F047C7A"/>
    <w:rsid w:val="1F1E9B01"/>
    <w:rsid w:val="1F5B7D88"/>
    <w:rsid w:val="1F65AF27"/>
    <w:rsid w:val="1F6E6221"/>
    <w:rsid w:val="1F884839"/>
    <w:rsid w:val="1F9A28E6"/>
    <w:rsid w:val="1FAC6A63"/>
    <w:rsid w:val="1FB6E4E5"/>
    <w:rsid w:val="1FC8F65C"/>
    <w:rsid w:val="1FE24A57"/>
    <w:rsid w:val="1FE8A7C4"/>
    <w:rsid w:val="1FF11697"/>
    <w:rsid w:val="1FFBDBD4"/>
    <w:rsid w:val="200F521A"/>
    <w:rsid w:val="203BA7C4"/>
    <w:rsid w:val="2045654F"/>
    <w:rsid w:val="2046CEDA"/>
    <w:rsid w:val="206C9E87"/>
    <w:rsid w:val="20727D24"/>
    <w:rsid w:val="20A4021F"/>
    <w:rsid w:val="20ACDFF8"/>
    <w:rsid w:val="20B85899"/>
    <w:rsid w:val="20D2C731"/>
    <w:rsid w:val="20DC548C"/>
    <w:rsid w:val="20DD9B66"/>
    <w:rsid w:val="2151F6E3"/>
    <w:rsid w:val="217A188A"/>
    <w:rsid w:val="21878FBC"/>
    <w:rsid w:val="219ABB63"/>
    <w:rsid w:val="21AC6D75"/>
    <w:rsid w:val="21B772E1"/>
    <w:rsid w:val="21C53030"/>
    <w:rsid w:val="21DA7815"/>
    <w:rsid w:val="21DFBEBF"/>
    <w:rsid w:val="2211F492"/>
    <w:rsid w:val="221A5157"/>
    <w:rsid w:val="22444EA2"/>
    <w:rsid w:val="22499B9E"/>
    <w:rsid w:val="22539E75"/>
    <w:rsid w:val="227CD24C"/>
    <w:rsid w:val="22848BA7"/>
    <w:rsid w:val="22B368E9"/>
    <w:rsid w:val="22C3DA2F"/>
    <w:rsid w:val="22D366CB"/>
    <w:rsid w:val="22E328F2"/>
    <w:rsid w:val="22E5391A"/>
    <w:rsid w:val="2334BE86"/>
    <w:rsid w:val="2336EBFA"/>
    <w:rsid w:val="233D5E91"/>
    <w:rsid w:val="2368A7B9"/>
    <w:rsid w:val="2368F383"/>
    <w:rsid w:val="236F470B"/>
    <w:rsid w:val="237DFEB2"/>
    <w:rsid w:val="239A2C3C"/>
    <w:rsid w:val="23A14DE1"/>
    <w:rsid w:val="23A1CF07"/>
    <w:rsid w:val="23A3AC5E"/>
    <w:rsid w:val="23B995A3"/>
    <w:rsid w:val="23C6F6ED"/>
    <w:rsid w:val="23EF6ED6"/>
    <w:rsid w:val="23FB973A"/>
    <w:rsid w:val="2408F97F"/>
    <w:rsid w:val="241D28B3"/>
    <w:rsid w:val="24391529"/>
    <w:rsid w:val="2452EAF7"/>
    <w:rsid w:val="2469358D"/>
    <w:rsid w:val="24701288"/>
    <w:rsid w:val="2484B0D6"/>
    <w:rsid w:val="2484BE45"/>
    <w:rsid w:val="248BD113"/>
    <w:rsid w:val="24BCFFD6"/>
    <w:rsid w:val="24E6FD0C"/>
    <w:rsid w:val="24FECE9C"/>
    <w:rsid w:val="2517F89A"/>
    <w:rsid w:val="251A3FFD"/>
    <w:rsid w:val="2522AEFD"/>
    <w:rsid w:val="25274A4A"/>
    <w:rsid w:val="252BF3FB"/>
    <w:rsid w:val="25409579"/>
    <w:rsid w:val="254DE362"/>
    <w:rsid w:val="25515AA1"/>
    <w:rsid w:val="255EDAB5"/>
    <w:rsid w:val="25608455"/>
    <w:rsid w:val="25713D6A"/>
    <w:rsid w:val="2572D176"/>
    <w:rsid w:val="25843189"/>
    <w:rsid w:val="258929E6"/>
    <w:rsid w:val="258B952C"/>
    <w:rsid w:val="25909591"/>
    <w:rsid w:val="25A15046"/>
    <w:rsid w:val="25AB4853"/>
    <w:rsid w:val="25B4730E"/>
    <w:rsid w:val="25C3B5D4"/>
    <w:rsid w:val="25C40F5A"/>
    <w:rsid w:val="25D4E58A"/>
    <w:rsid w:val="25D7C26D"/>
    <w:rsid w:val="25EA673F"/>
    <w:rsid w:val="2610FA1B"/>
    <w:rsid w:val="2614F522"/>
    <w:rsid w:val="2644534B"/>
    <w:rsid w:val="264F1250"/>
    <w:rsid w:val="2655E831"/>
    <w:rsid w:val="26597CDF"/>
    <w:rsid w:val="2682BBBB"/>
    <w:rsid w:val="26B572DB"/>
    <w:rsid w:val="26B6105E"/>
    <w:rsid w:val="26CFA867"/>
    <w:rsid w:val="26EBC941"/>
    <w:rsid w:val="26F49008"/>
    <w:rsid w:val="26F8F2A7"/>
    <w:rsid w:val="272C5DBB"/>
    <w:rsid w:val="2731728F"/>
    <w:rsid w:val="273BA01F"/>
    <w:rsid w:val="27541FF9"/>
    <w:rsid w:val="2758B58A"/>
    <w:rsid w:val="276A65FD"/>
    <w:rsid w:val="2784F9B8"/>
    <w:rsid w:val="2790AAF4"/>
    <w:rsid w:val="27919F49"/>
    <w:rsid w:val="27C6E9EF"/>
    <w:rsid w:val="27CFCA69"/>
    <w:rsid w:val="27E3164A"/>
    <w:rsid w:val="27EAD0FF"/>
    <w:rsid w:val="27F7A757"/>
    <w:rsid w:val="28097ACE"/>
    <w:rsid w:val="280CCB7F"/>
    <w:rsid w:val="281CE355"/>
    <w:rsid w:val="282047EC"/>
    <w:rsid w:val="2823F223"/>
    <w:rsid w:val="2828D941"/>
    <w:rsid w:val="282A00D8"/>
    <w:rsid w:val="2834A9F1"/>
    <w:rsid w:val="2850128D"/>
    <w:rsid w:val="2882898A"/>
    <w:rsid w:val="2882A174"/>
    <w:rsid w:val="28AD3720"/>
    <w:rsid w:val="28AF1508"/>
    <w:rsid w:val="28F25E57"/>
    <w:rsid w:val="2900592F"/>
    <w:rsid w:val="29117CE8"/>
    <w:rsid w:val="2919CC5B"/>
    <w:rsid w:val="295EC34A"/>
    <w:rsid w:val="2984DD60"/>
    <w:rsid w:val="2985C0EC"/>
    <w:rsid w:val="29B2E64B"/>
    <w:rsid w:val="29CA166A"/>
    <w:rsid w:val="29EB0E0D"/>
    <w:rsid w:val="29F39210"/>
    <w:rsid w:val="29FAF570"/>
    <w:rsid w:val="2A00BDA3"/>
    <w:rsid w:val="2A154908"/>
    <w:rsid w:val="2A413366"/>
    <w:rsid w:val="2A496216"/>
    <w:rsid w:val="2A56E6F3"/>
    <w:rsid w:val="2A79C148"/>
    <w:rsid w:val="2A7D8708"/>
    <w:rsid w:val="2A953624"/>
    <w:rsid w:val="2A985952"/>
    <w:rsid w:val="2A996186"/>
    <w:rsid w:val="2A9E5711"/>
    <w:rsid w:val="2AAAAD44"/>
    <w:rsid w:val="2AAFF5F0"/>
    <w:rsid w:val="2AD35A5F"/>
    <w:rsid w:val="2ADCE35A"/>
    <w:rsid w:val="2AF05329"/>
    <w:rsid w:val="2B079DA0"/>
    <w:rsid w:val="2B1330E7"/>
    <w:rsid w:val="2B2E46E7"/>
    <w:rsid w:val="2B2F4819"/>
    <w:rsid w:val="2B3ABED6"/>
    <w:rsid w:val="2B3BFA4C"/>
    <w:rsid w:val="2B3EB775"/>
    <w:rsid w:val="2B4C5687"/>
    <w:rsid w:val="2B4C8A61"/>
    <w:rsid w:val="2B59093D"/>
    <w:rsid w:val="2B66C85F"/>
    <w:rsid w:val="2B68C976"/>
    <w:rsid w:val="2BA39839"/>
    <w:rsid w:val="2BA48EBF"/>
    <w:rsid w:val="2BC7C5DA"/>
    <w:rsid w:val="2BDD03C7"/>
    <w:rsid w:val="2BE00340"/>
    <w:rsid w:val="2BFBD001"/>
    <w:rsid w:val="2C0F3ED4"/>
    <w:rsid w:val="2C3A0CE7"/>
    <w:rsid w:val="2C458F1B"/>
    <w:rsid w:val="2C4B3B67"/>
    <w:rsid w:val="2C6CBB8A"/>
    <w:rsid w:val="2C6CE7C7"/>
    <w:rsid w:val="2C85685D"/>
    <w:rsid w:val="2C858DDC"/>
    <w:rsid w:val="2C8FFF85"/>
    <w:rsid w:val="2CA5583D"/>
    <w:rsid w:val="2CAEC04B"/>
    <w:rsid w:val="2CCC578A"/>
    <w:rsid w:val="2CD4ACC5"/>
    <w:rsid w:val="2CF28A1F"/>
    <w:rsid w:val="2D2D90B2"/>
    <w:rsid w:val="2D3F94D7"/>
    <w:rsid w:val="2D4433F1"/>
    <w:rsid w:val="2D56FBF8"/>
    <w:rsid w:val="2D771A2D"/>
    <w:rsid w:val="2D8075CB"/>
    <w:rsid w:val="2D88B949"/>
    <w:rsid w:val="2D8DBD6C"/>
    <w:rsid w:val="2D9C8533"/>
    <w:rsid w:val="2DBAA1F5"/>
    <w:rsid w:val="2DCEF5B5"/>
    <w:rsid w:val="2DE03346"/>
    <w:rsid w:val="2DE60A98"/>
    <w:rsid w:val="2E0CFDF7"/>
    <w:rsid w:val="2E0D0DEA"/>
    <w:rsid w:val="2E0FADC0"/>
    <w:rsid w:val="2E2A9602"/>
    <w:rsid w:val="2E4FFCA8"/>
    <w:rsid w:val="2E876A14"/>
    <w:rsid w:val="2EC12243"/>
    <w:rsid w:val="2ED2570F"/>
    <w:rsid w:val="2ED774BC"/>
    <w:rsid w:val="2EF6ED6A"/>
    <w:rsid w:val="2EFF05FC"/>
    <w:rsid w:val="2F04723E"/>
    <w:rsid w:val="2F18EC2D"/>
    <w:rsid w:val="2F20BF28"/>
    <w:rsid w:val="2F2816DC"/>
    <w:rsid w:val="2F33F23D"/>
    <w:rsid w:val="2F567256"/>
    <w:rsid w:val="2F64A1B2"/>
    <w:rsid w:val="2F679450"/>
    <w:rsid w:val="2F6D37C3"/>
    <w:rsid w:val="2F732FEA"/>
    <w:rsid w:val="2F77A037"/>
    <w:rsid w:val="2FA8CC99"/>
    <w:rsid w:val="2FBAC127"/>
    <w:rsid w:val="2FC9D082"/>
    <w:rsid w:val="2FD0FC62"/>
    <w:rsid w:val="2FD7D761"/>
    <w:rsid w:val="2FDAAC1E"/>
    <w:rsid w:val="2FEB3C09"/>
    <w:rsid w:val="2FEDC388"/>
    <w:rsid w:val="2FFBC106"/>
    <w:rsid w:val="2FFCEA47"/>
    <w:rsid w:val="2FFEA899"/>
    <w:rsid w:val="301CB4CF"/>
    <w:rsid w:val="302D9137"/>
    <w:rsid w:val="30679BD8"/>
    <w:rsid w:val="30702B28"/>
    <w:rsid w:val="307DA1EA"/>
    <w:rsid w:val="308FCA82"/>
    <w:rsid w:val="30B14BA0"/>
    <w:rsid w:val="30CF4124"/>
    <w:rsid w:val="30EA2724"/>
    <w:rsid w:val="30EF748C"/>
    <w:rsid w:val="30F725B5"/>
    <w:rsid w:val="30FD842E"/>
    <w:rsid w:val="31090824"/>
    <w:rsid w:val="311E64DD"/>
    <w:rsid w:val="3130FB6A"/>
    <w:rsid w:val="3137BA00"/>
    <w:rsid w:val="3147ED25"/>
    <w:rsid w:val="315C00AE"/>
    <w:rsid w:val="316AA137"/>
    <w:rsid w:val="3176DF24"/>
    <w:rsid w:val="318B1681"/>
    <w:rsid w:val="319774C1"/>
    <w:rsid w:val="3199C1A2"/>
    <w:rsid w:val="31A49DFD"/>
    <w:rsid w:val="31C4696A"/>
    <w:rsid w:val="31C9D2C5"/>
    <w:rsid w:val="31D597EA"/>
    <w:rsid w:val="31E00B4F"/>
    <w:rsid w:val="31F68BB3"/>
    <w:rsid w:val="31FE150A"/>
    <w:rsid w:val="320557F3"/>
    <w:rsid w:val="32177F95"/>
    <w:rsid w:val="321A8ED9"/>
    <w:rsid w:val="322159C6"/>
    <w:rsid w:val="3240DAFE"/>
    <w:rsid w:val="325DE3D0"/>
    <w:rsid w:val="3269B292"/>
    <w:rsid w:val="32A04D7B"/>
    <w:rsid w:val="32BE975C"/>
    <w:rsid w:val="32E62219"/>
    <w:rsid w:val="32F061E1"/>
    <w:rsid w:val="3312AF85"/>
    <w:rsid w:val="33151009"/>
    <w:rsid w:val="3319C9D0"/>
    <w:rsid w:val="331DEE18"/>
    <w:rsid w:val="33251880"/>
    <w:rsid w:val="333A59FE"/>
    <w:rsid w:val="334320F2"/>
    <w:rsid w:val="334E18BD"/>
    <w:rsid w:val="33519783"/>
    <w:rsid w:val="335D10DE"/>
    <w:rsid w:val="336318F8"/>
    <w:rsid w:val="337D5BE2"/>
    <w:rsid w:val="33998570"/>
    <w:rsid w:val="339F5FEA"/>
    <w:rsid w:val="33A32B2A"/>
    <w:rsid w:val="33A7160D"/>
    <w:rsid w:val="33AAFCB0"/>
    <w:rsid w:val="33B5090C"/>
    <w:rsid w:val="33B8692A"/>
    <w:rsid w:val="33DC397F"/>
    <w:rsid w:val="33F44AD6"/>
    <w:rsid w:val="33FF0020"/>
    <w:rsid w:val="3408FE9B"/>
    <w:rsid w:val="340D8026"/>
    <w:rsid w:val="3434215E"/>
    <w:rsid w:val="3440A8E6"/>
    <w:rsid w:val="344E78E2"/>
    <w:rsid w:val="345E0E67"/>
    <w:rsid w:val="3461D13F"/>
    <w:rsid w:val="348018BF"/>
    <w:rsid w:val="348BF8CE"/>
    <w:rsid w:val="3490159B"/>
    <w:rsid w:val="349DCC5A"/>
    <w:rsid w:val="34AFA5E4"/>
    <w:rsid w:val="34C7AA45"/>
    <w:rsid w:val="34CAAC21"/>
    <w:rsid w:val="34CC335E"/>
    <w:rsid w:val="34D32939"/>
    <w:rsid w:val="34D9F766"/>
    <w:rsid w:val="34EE409F"/>
    <w:rsid w:val="3502C4C0"/>
    <w:rsid w:val="3506C217"/>
    <w:rsid w:val="353E591F"/>
    <w:rsid w:val="3548C668"/>
    <w:rsid w:val="35659525"/>
    <w:rsid w:val="35706556"/>
    <w:rsid w:val="3571315E"/>
    <w:rsid w:val="358CF14F"/>
    <w:rsid w:val="359E70A9"/>
    <w:rsid w:val="35C6B8EE"/>
    <w:rsid w:val="35CA57AE"/>
    <w:rsid w:val="35CAF991"/>
    <w:rsid w:val="35CF93D6"/>
    <w:rsid w:val="35E808AF"/>
    <w:rsid w:val="35F1D600"/>
    <w:rsid w:val="35F7DF29"/>
    <w:rsid w:val="35FAD481"/>
    <w:rsid w:val="3604F1A3"/>
    <w:rsid w:val="360C4F62"/>
    <w:rsid w:val="3627E9ED"/>
    <w:rsid w:val="363F05B7"/>
    <w:rsid w:val="363FCB70"/>
    <w:rsid w:val="364B6493"/>
    <w:rsid w:val="3659D505"/>
    <w:rsid w:val="367554EC"/>
    <w:rsid w:val="368DDA19"/>
    <w:rsid w:val="3693E757"/>
    <w:rsid w:val="369507C4"/>
    <w:rsid w:val="369A7C4E"/>
    <w:rsid w:val="36A900DF"/>
    <w:rsid w:val="36BA4BDB"/>
    <w:rsid w:val="36C15D3E"/>
    <w:rsid w:val="36CE4BDA"/>
    <w:rsid w:val="36E1BC58"/>
    <w:rsid w:val="36E65D31"/>
    <w:rsid w:val="37022FCF"/>
    <w:rsid w:val="3734D442"/>
    <w:rsid w:val="375CBDD2"/>
    <w:rsid w:val="376B6437"/>
    <w:rsid w:val="376BDD07"/>
    <w:rsid w:val="376EE78F"/>
    <w:rsid w:val="377E41CF"/>
    <w:rsid w:val="3783D674"/>
    <w:rsid w:val="3791BA33"/>
    <w:rsid w:val="37ABB649"/>
    <w:rsid w:val="37CC09C1"/>
    <w:rsid w:val="37D1B60D"/>
    <w:rsid w:val="37DA0DD3"/>
    <w:rsid w:val="37E98252"/>
    <w:rsid w:val="37F1BA67"/>
    <w:rsid w:val="37F40613"/>
    <w:rsid w:val="37F441E6"/>
    <w:rsid w:val="37FEA89B"/>
    <w:rsid w:val="380120BB"/>
    <w:rsid w:val="38029FC1"/>
    <w:rsid w:val="380FF392"/>
    <w:rsid w:val="381DF39D"/>
    <w:rsid w:val="38610B58"/>
    <w:rsid w:val="386D16BF"/>
    <w:rsid w:val="38845269"/>
    <w:rsid w:val="38A6426A"/>
    <w:rsid w:val="38AF207C"/>
    <w:rsid w:val="38B29950"/>
    <w:rsid w:val="38B77A87"/>
    <w:rsid w:val="38BA4D41"/>
    <w:rsid w:val="38BF69CC"/>
    <w:rsid w:val="38DBCDD7"/>
    <w:rsid w:val="38E647A3"/>
    <w:rsid w:val="38EEB544"/>
    <w:rsid w:val="38FD704F"/>
    <w:rsid w:val="38FD8693"/>
    <w:rsid w:val="3909C90A"/>
    <w:rsid w:val="395F195F"/>
    <w:rsid w:val="396F6EA8"/>
    <w:rsid w:val="39AC8E3C"/>
    <w:rsid w:val="39AD6A48"/>
    <w:rsid w:val="39DCD230"/>
    <w:rsid w:val="39FB5543"/>
    <w:rsid w:val="3A171A7A"/>
    <w:rsid w:val="3A529555"/>
    <w:rsid w:val="3A6603CA"/>
    <w:rsid w:val="3A67ACED"/>
    <w:rsid w:val="3A7FD92B"/>
    <w:rsid w:val="3A8C8C0E"/>
    <w:rsid w:val="3A8F72D6"/>
    <w:rsid w:val="3AC54723"/>
    <w:rsid w:val="3AC6BDC0"/>
    <w:rsid w:val="3AC82BBF"/>
    <w:rsid w:val="3AE3179B"/>
    <w:rsid w:val="3AE3ED39"/>
    <w:rsid w:val="3AE8E4C2"/>
    <w:rsid w:val="3AF7AC5D"/>
    <w:rsid w:val="3B38CA1B"/>
    <w:rsid w:val="3B4C5580"/>
    <w:rsid w:val="3B5E1CDB"/>
    <w:rsid w:val="3B6D7CCA"/>
    <w:rsid w:val="3BA132D7"/>
    <w:rsid w:val="3BAC9644"/>
    <w:rsid w:val="3BAF2E3A"/>
    <w:rsid w:val="3BB7E50E"/>
    <w:rsid w:val="3BCC381B"/>
    <w:rsid w:val="3BECB12B"/>
    <w:rsid w:val="3C136E99"/>
    <w:rsid w:val="3C37C646"/>
    <w:rsid w:val="3C525733"/>
    <w:rsid w:val="3C549249"/>
    <w:rsid w:val="3C5DA60D"/>
    <w:rsid w:val="3C5FA61B"/>
    <w:rsid w:val="3C6DA17E"/>
    <w:rsid w:val="3C6FA568"/>
    <w:rsid w:val="3C7FF993"/>
    <w:rsid w:val="3C9D6C7B"/>
    <w:rsid w:val="3CA8865B"/>
    <w:rsid w:val="3CC4F082"/>
    <w:rsid w:val="3CE13C44"/>
    <w:rsid w:val="3CF78F5C"/>
    <w:rsid w:val="3D0B0ACE"/>
    <w:rsid w:val="3D272CB4"/>
    <w:rsid w:val="3D361BA5"/>
    <w:rsid w:val="3D5BB6AC"/>
    <w:rsid w:val="3D650CEC"/>
    <w:rsid w:val="3D821CA9"/>
    <w:rsid w:val="3D82604A"/>
    <w:rsid w:val="3D8C95D7"/>
    <w:rsid w:val="3D9FEF95"/>
    <w:rsid w:val="3DA1097F"/>
    <w:rsid w:val="3DAA03DB"/>
    <w:rsid w:val="3DD65631"/>
    <w:rsid w:val="3DE1AA50"/>
    <w:rsid w:val="3DE1B789"/>
    <w:rsid w:val="3DFDC70A"/>
    <w:rsid w:val="3E00CEF1"/>
    <w:rsid w:val="3E331567"/>
    <w:rsid w:val="3E56259E"/>
    <w:rsid w:val="3EB6C0D3"/>
    <w:rsid w:val="3EC1E856"/>
    <w:rsid w:val="3EDDB2CF"/>
    <w:rsid w:val="3EE65B5D"/>
    <w:rsid w:val="3EF364D9"/>
    <w:rsid w:val="3EF7F043"/>
    <w:rsid w:val="3F238A45"/>
    <w:rsid w:val="3F24C3CD"/>
    <w:rsid w:val="3F277555"/>
    <w:rsid w:val="3F32C14B"/>
    <w:rsid w:val="3F35B472"/>
    <w:rsid w:val="3F3EE3D0"/>
    <w:rsid w:val="3F402472"/>
    <w:rsid w:val="3F46EE00"/>
    <w:rsid w:val="3F5B8E1A"/>
    <w:rsid w:val="3F753417"/>
    <w:rsid w:val="3F8EDD65"/>
    <w:rsid w:val="3F984D94"/>
    <w:rsid w:val="3F9D13EC"/>
    <w:rsid w:val="3FA1FEC8"/>
    <w:rsid w:val="3FA32225"/>
    <w:rsid w:val="3FB624F0"/>
    <w:rsid w:val="3FBEBD92"/>
    <w:rsid w:val="3FDD5476"/>
    <w:rsid w:val="3FF024FC"/>
    <w:rsid w:val="40117D88"/>
    <w:rsid w:val="402A061A"/>
    <w:rsid w:val="4032EB57"/>
    <w:rsid w:val="4048AB70"/>
    <w:rsid w:val="404C6999"/>
    <w:rsid w:val="4060A4DD"/>
    <w:rsid w:val="40664635"/>
    <w:rsid w:val="40757621"/>
    <w:rsid w:val="407859C2"/>
    <w:rsid w:val="407DB74F"/>
    <w:rsid w:val="40889536"/>
    <w:rsid w:val="408AE89B"/>
    <w:rsid w:val="40A568FB"/>
    <w:rsid w:val="40B54F63"/>
    <w:rsid w:val="40EB8347"/>
    <w:rsid w:val="4103AF85"/>
    <w:rsid w:val="4150BADC"/>
    <w:rsid w:val="41690C2D"/>
    <w:rsid w:val="417BD5AC"/>
    <w:rsid w:val="417CD859"/>
    <w:rsid w:val="417E81AC"/>
    <w:rsid w:val="4185EB71"/>
    <w:rsid w:val="418B1A04"/>
    <w:rsid w:val="41967B19"/>
    <w:rsid w:val="41BC9AED"/>
    <w:rsid w:val="41CBFA2C"/>
    <w:rsid w:val="41CD08DD"/>
    <w:rsid w:val="41DB6215"/>
    <w:rsid w:val="41DC952B"/>
    <w:rsid w:val="41E7E415"/>
    <w:rsid w:val="41E90CD8"/>
    <w:rsid w:val="41EEED7A"/>
    <w:rsid w:val="41F5F5D0"/>
    <w:rsid w:val="4216D628"/>
    <w:rsid w:val="423CCD13"/>
    <w:rsid w:val="4254DE6A"/>
    <w:rsid w:val="4273C684"/>
    <w:rsid w:val="42782AEA"/>
    <w:rsid w:val="4280EFC0"/>
    <w:rsid w:val="42879F59"/>
    <w:rsid w:val="428F2647"/>
    <w:rsid w:val="4293CE4E"/>
    <w:rsid w:val="429D7BB9"/>
    <w:rsid w:val="42C264D3"/>
    <w:rsid w:val="42C296F4"/>
    <w:rsid w:val="42E0C2C7"/>
    <w:rsid w:val="42F257AD"/>
    <w:rsid w:val="4309768A"/>
    <w:rsid w:val="43316B9F"/>
    <w:rsid w:val="4334605E"/>
    <w:rsid w:val="433ABDCB"/>
    <w:rsid w:val="434DF1DB"/>
    <w:rsid w:val="434E2CA3"/>
    <w:rsid w:val="4358FCB6"/>
    <w:rsid w:val="43717F60"/>
    <w:rsid w:val="43725A5B"/>
    <w:rsid w:val="437C6E88"/>
    <w:rsid w:val="43852E35"/>
    <w:rsid w:val="4388238D"/>
    <w:rsid w:val="43977B56"/>
    <w:rsid w:val="43A7BA0E"/>
    <w:rsid w:val="43A84A7C"/>
    <w:rsid w:val="43C76E30"/>
    <w:rsid w:val="43DA8BB9"/>
    <w:rsid w:val="43DD95A2"/>
    <w:rsid w:val="4411C495"/>
    <w:rsid w:val="4414C3A3"/>
    <w:rsid w:val="444696D1"/>
    <w:rsid w:val="446655A7"/>
    <w:rsid w:val="447AB74D"/>
    <w:rsid w:val="4483BB66"/>
    <w:rsid w:val="449E4A8B"/>
    <w:rsid w:val="44AB1342"/>
    <w:rsid w:val="44AF2050"/>
    <w:rsid w:val="44CD7470"/>
    <w:rsid w:val="44D230C7"/>
    <w:rsid w:val="44D253ED"/>
    <w:rsid w:val="44E4EEAB"/>
    <w:rsid w:val="44F43BAF"/>
    <w:rsid w:val="44F682E9"/>
    <w:rsid w:val="450BC7B0"/>
    <w:rsid w:val="4531D4C6"/>
    <w:rsid w:val="45386E0A"/>
    <w:rsid w:val="45390555"/>
    <w:rsid w:val="4562C363"/>
    <w:rsid w:val="458C58D0"/>
    <w:rsid w:val="45903080"/>
    <w:rsid w:val="459FA5EA"/>
    <w:rsid w:val="45E40802"/>
    <w:rsid w:val="45F3428E"/>
    <w:rsid w:val="45FB0D47"/>
    <w:rsid w:val="4602C7FC"/>
    <w:rsid w:val="460942C2"/>
    <w:rsid w:val="46353EF9"/>
    <w:rsid w:val="46418E85"/>
    <w:rsid w:val="465F05E0"/>
    <w:rsid w:val="4665EE27"/>
    <w:rsid w:val="4671C474"/>
    <w:rsid w:val="4671CC2A"/>
    <w:rsid w:val="468D556A"/>
    <w:rsid w:val="469370A7"/>
    <w:rsid w:val="469DF270"/>
    <w:rsid w:val="46DBEBA1"/>
    <w:rsid w:val="46F3E50E"/>
    <w:rsid w:val="470FB410"/>
    <w:rsid w:val="47372479"/>
    <w:rsid w:val="47431619"/>
    <w:rsid w:val="4750A299"/>
    <w:rsid w:val="47571A8D"/>
    <w:rsid w:val="47797CCE"/>
    <w:rsid w:val="4789C11F"/>
    <w:rsid w:val="479419CE"/>
    <w:rsid w:val="4796D4CC"/>
    <w:rsid w:val="47A7C12A"/>
    <w:rsid w:val="47CB1AB1"/>
    <w:rsid w:val="47DF55D4"/>
    <w:rsid w:val="47F1A2F5"/>
    <w:rsid w:val="480752E6"/>
    <w:rsid w:val="482441CF"/>
    <w:rsid w:val="482B17B0"/>
    <w:rsid w:val="48391313"/>
    <w:rsid w:val="4843F2B1"/>
    <w:rsid w:val="484693A9"/>
    <w:rsid w:val="4874C504"/>
    <w:rsid w:val="487C7BF3"/>
    <w:rsid w:val="48812238"/>
    <w:rsid w:val="48A6C51F"/>
    <w:rsid w:val="48A9B1B2"/>
    <w:rsid w:val="48B01639"/>
    <w:rsid w:val="48B29A5C"/>
    <w:rsid w:val="48B37EEA"/>
    <w:rsid w:val="48C4E77D"/>
    <w:rsid w:val="48E1C601"/>
    <w:rsid w:val="48E5EC61"/>
    <w:rsid w:val="48F589A0"/>
    <w:rsid w:val="490F8AB8"/>
    <w:rsid w:val="49134902"/>
    <w:rsid w:val="491F9F64"/>
    <w:rsid w:val="49278425"/>
    <w:rsid w:val="4928529F"/>
    <w:rsid w:val="492E81E3"/>
    <w:rsid w:val="495C8D8F"/>
    <w:rsid w:val="495D113D"/>
    <w:rsid w:val="4961C536"/>
    <w:rsid w:val="49720491"/>
    <w:rsid w:val="497B098F"/>
    <w:rsid w:val="498E0C8D"/>
    <w:rsid w:val="49BB2A22"/>
    <w:rsid w:val="49C851B0"/>
    <w:rsid w:val="49CDFDFC"/>
    <w:rsid w:val="49E33522"/>
    <w:rsid w:val="4A064792"/>
    <w:rsid w:val="4A07DACB"/>
    <w:rsid w:val="4A0AD090"/>
    <w:rsid w:val="4A22A22D"/>
    <w:rsid w:val="4A25420C"/>
    <w:rsid w:val="4A3FBF9C"/>
    <w:rsid w:val="4A5362EB"/>
    <w:rsid w:val="4A77A42D"/>
    <w:rsid w:val="4A838896"/>
    <w:rsid w:val="4ACE58EB"/>
    <w:rsid w:val="4AE3E821"/>
    <w:rsid w:val="4AED1FE6"/>
    <w:rsid w:val="4AFD5E9E"/>
    <w:rsid w:val="4B025CC1"/>
    <w:rsid w:val="4B108001"/>
    <w:rsid w:val="4B1EBBE3"/>
    <w:rsid w:val="4B2FBFE5"/>
    <w:rsid w:val="4B352C51"/>
    <w:rsid w:val="4B35A748"/>
    <w:rsid w:val="4B637D33"/>
    <w:rsid w:val="4B6EF95C"/>
    <w:rsid w:val="4B7A2340"/>
    <w:rsid w:val="4B7AEF48"/>
    <w:rsid w:val="4BAF8028"/>
    <w:rsid w:val="4BB72CA9"/>
    <w:rsid w:val="4BD49F91"/>
    <w:rsid w:val="4BD4B77B"/>
    <w:rsid w:val="4C019D13"/>
    <w:rsid w:val="4C04926B"/>
    <w:rsid w:val="4C1CBC78"/>
    <w:rsid w:val="4C3E4FE7"/>
    <w:rsid w:val="4C472978"/>
    <w:rsid w:val="4C59AF8E"/>
    <w:rsid w:val="4C6392EF"/>
    <w:rsid w:val="4C6E7C2E"/>
    <w:rsid w:val="4C7097BB"/>
    <w:rsid w:val="4C9E2D22"/>
    <w:rsid w:val="4CA419A5"/>
    <w:rsid w:val="4CA592C7"/>
    <w:rsid w:val="4CAC204B"/>
    <w:rsid w:val="4CBB5FD8"/>
    <w:rsid w:val="4CC7DE69"/>
    <w:rsid w:val="4CE22271"/>
    <w:rsid w:val="4CE8D578"/>
    <w:rsid w:val="4CED26BE"/>
    <w:rsid w:val="4CF99B3D"/>
    <w:rsid w:val="4D04FC52"/>
    <w:rsid w:val="4D0B212B"/>
    <w:rsid w:val="4D2A8877"/>
    <w:rsid w:val="4D38B86A"/>
    <w:rsid w:val="4D69B257"/>
    <w:rsid w:val="4D77F693"/>
    <w:rsid w:val="4D7BFF78"/>
    <w:rsid w:val="4D7F9344"/>
    <w:rsid w:val="4D8D945E"/>
    <w:rsid w:val="4DEE182A"/>
    <w:rsid w:val="4DFDFFD0"/>
    <w:rsid w:val="4E130BAF"/>
    <w:rsid w:val="4E257066"/>
    <w:rsid w:val="4E2EF961"/>
    <w:rsid w:val="4E30D17B"/>
    <w:rsid w:val="4E7991A8"/>
    <w:rsid w:val="4E82DEF9"/>
    <w:rsid w:val="4EBD3481"/>
    <w:rsid w:val="4EC9D7E4"/>
    <w:rsid w:val="4EE5B1F0"/>
    <w:rsid w:val="4EFCDE46"/>
    <w:rsid w:val="4F183120"/>
    <w:rsid w:val="4F1DB327"/>
    <w:rsid w:val="4F6CA7A8"/>
    <w:rsid w:val="4F712266"/>
    <w:rsid w:val="4F97A522"/>
    <w:rsid w:val="4F9D516E"/>
    <w:rsid w:val="4F9DA139"/>
    <w:rsid w:val="4FA20357"/>
    <w:rsid w:val="4FAF9E8F"/>
    <w:rsid w:val="4FB5180A"/>
    <w:rsid w:val="4FD527FA"/>
    <w:rsid w:val="50133F4D"/>
    <w:rsid w:val="5015104D"/>
    <w:rsid w:val="50273458"/>
    <w:rsid w:val="502ACAC5"/>
    <w:rsid w:val="503822FB"/>
    <w:rsid w:val="5046B002"/>
    <w:rsid w:val="505BC4B2"/>
    <w:rsid w:val="5062E4F2"/>
    <w:rsid w:val="5069B063"/>
    <w:rsid w:val="509649F8"/>
    <w:rsid w:val="50AF4143"/>
    <w:rsid w:val="50BC7358"/>
    <w:rsid w:val="50DFD373"/>
    <w:rsid w:val="50E54CEE"/>
    <w:rsid w:val="50E597A9"/>
    <w:rsid w:val="511188EC"/>
    <w:rsid w:val="51195107"/>
    <w:rsid w:val="51321CF4"/>
    <w:rsid w:val="51714935"/>
    <w:rsid w:val="5176C2B0"/>
    <w:rsid w:val="51AA4956"/>
    <w:rsid w:val="51AEC037"/>
    <w:rsid w:val="51AF718A"/>
    <w:rsid w:val="51EE515F"/>
    <w:rsid w:val="51F113E6"/>
    <w:rsid w:val="5223CB8F"/>
    <w:rsid w:val="52283495"/>
    <w:rsid w:val="523E95F2"/>
    <w:rsid w:val="5248355E"/>
    <w:rsid w:val="524F725A"/>
    <w:rsid w:val="52668EC0"/>
    <w:rsid w:val="52815D72"/>
    <w:rsid w:val="528524F1"/>
    <w:rsid w:val="528CAE94"/>
    <w:rsid w:val="529C1140"/>
    <w:rsid w:val="52AC62B6"/>
    <w:rsid w:val="52C9B63E"/>
    <w:rsid w:val="52D3ABAF"/>
    <w:rsid w:val="52FFD79A"/>
    <w:rsid w:val="530C1642"/>
    <w:rsid w:val="530C74B8"/>
    <w:rsid w:val="532CC225"/>
    <w:rsid w:val="53A1539E"/>
    <w:rsid w:val="53CFA54C"/>
    <w:rsid w:val="53D1E5CE"/>
    <w:rsid w:val="53DAC557"/>
    <w:rsid w:val="53F3630D"/>
    <w:rsid w:val="541D36CE"/>
    <w:rsid w:val="5449940A"/>
    <w:rsid w:val="54512659"/>
    <w:rsid w:val="5462520B"/>
    <w:rsid w:val="5475BABF"/>
    <w:rsid w:val="548B6E36"/>
    <w:rsid w:val="54A84519"/>
    <w:rsid w:val="54AE26A8"/>
    <w:rsid w:val="54B00A66"/>
    <w:rsid w:val="54D2F736"/>
    <w:rsid w:val="54E001CD"/>
    <w:rsid w:val="54EE9F9C"/>
    <w:rsid w:val="55069909"/>
    <w:rsid w:val="5530A84D"/>
    <w:rsid w:val="555478A2"/>
    <w:rsid w:val="5560613C"/>
    <w:rsid w:val="5567A691"/>
    <w:rsid w:val="55736FCD"/>
    <w:rsid w:val="5583C10E"/>
    <w:rsid w:val="55BB010A"/>
    <w:rsid w:val="55C35DCF"/>
    <w:rsid w:val="55DA1062"/>
    <w:rsid w:val="55DBE92C"/>
    <w:rsid w:val="55E71260"/>
    <w:rsid w:val="56018703"/>
    <w:rsid w:val="56282454"/>
    <w:rsid w:val="564BDAC7"/>
    <w:rsid w:val="564C0BED"/>
    <w:rsid w:val="56523689"/>
    <w:rsid w:val="565BA11F"/>
    <w:rsid w:val="5670F6C3"/>
    <w:rsid w:val="568451D1"/>
    <w:rsid w:val="5684D563"/>
    <w:rsid w:val="569365F9"/>
    <w:rsid w:val="56AF26E5"/>
    <w:rsid w:val="56B65DEA"/>
    <w:rsid w:val="56BF0D4D"/>
    <w:rsid w:val="56C3D805"/>
    <w:rsid w:val="56C529D3"/>
    <w:rsid w:val="56C5BD31"/>
    <w:rsid w:val="56D0A233"/>
    <w:rsid w:val="56E46AE7"/>
    <w:rsid w:val="5706155F"/>
    <w:rsid w:val="5707460E"/>
    <w:rsid w:val="570784E8"/>
    <w:rsid w:val="570A7F31"/>
    <w:rsid w:val="571649EC"/>
    <w:rsid w:val="574E6834"/>
    <w:rsid w:val="575D5478"/>
    <w:rsid w:val="57717D6C"/>
    <w:rsid w:val="57819288"/>
    <w:rsid w:val="578564DC"/>
    <w:rsid w:val="57863765"/>
    <w:rsid w:val="5786B6F3"/>
    <w:rsid w:val="578817B9"/>
    <w:rsid w:val="578F1577"/>
    <w:rsid w:val="57A7AA8F"/>
    <w:rsid w:val="57DB9D23"/>
    <w:rsid w:val="57F1358B"/>
    <w:rsid w:val="57F39BFA"/>
    <w:rsid w:val="57FE02CD"/>
    <w:rsid w:val="5801960A"/>
    <w:rsid w:val="5801BBEB"/>
    <w:rsid w:val="5810E055"/>
    <w:rsid w:val="58141400"/>
    <w:rsid w:val="58170B17"/>
    <w:rsid w:val="5819C04C"/>
    <w:rsid w:val="583A1017"/>
    <w:rsid w:val="5858D81E"/>
    <w:rsid w:val="585E9C54"/>
    <w:rsid w:val="589C9973"/>
    <w:rsid w:val="58ADF4D7"/>
    <w:rsid w:val="58B75179"/>
    <w:rsid w:val="58BB8CB0"/>
    <w:rsid w:val="58CE09D4"/>
    <w:rsid w:val="58E41C2A"/>
    <w:rsid w:val="5916AB8F"/>
    <w:rsid w:val="593E1E48"/>
    <w:rsid w:val="5949F530"/>
    <w:rsid w:val="594CEA88"/>
    <w:rsid w:val="5959C668"/>
    <w:rsid w:val="596C8109"/>
    <w:rsid w:val="597A395E"/>
    <w:rsid w:val="59831537"/>
    <w:rsid w:val="598B3ACB"/>
    <w:rsid w:val="598E96F2"/>
    <w:rsid w:val="59A468F1"/>
    <w:rsid w:val="59AF7522"/>
    <w:rsid w:val="59B4B7F2"/>
    <w:rsid w:val="59BABBAC"/>
    <w:rsid w:val="59BD48C1"/>
    <w:rsid w:val="59D12C1A"/>
    <w:rsid w:val="59D7C518"/>
    <w:rsid w:val="59F15629"/>
    <w:rsid w:val="5A15CAB9"/>
    <w:rsid w:val="5A1D4E3D"/>
    <w:rsid w:val="5A1E818D"/>
    <w:rsid w:val="5A32AF02"/>
    <w:rsid w:val="5A33D25F"/>
    <w:rsid w:val="5A50528A"/>
    <w:rsid w:val="5A5054BB"/>
    <w:rsid w:val="5A5C42EE"/>
    <w:rsid w:val="5A5D2875"/>
    <w:rsid w:val="5A77631C"/>
    <w:rsid w:val="5A7D500C"/>
    <w:rsid w:val="5A964FC0"/>
    <w:rsid w:val="5ABDF30E"/>
    <w:rsid w:val="5AC7FFDD"/>
    <w:rsid w:val="5AD1938F"/>
    <w:rsid w:val="5AD40176"/>
    <w:rsid w:val="5AE75EED"/>
    <w:rsid w:val="5AEFC33F"/>
    <w:rsid w:val="5B0BD2A7"/>
    <w:rsid w:val="5B136449"/>
    <w:rsid w:val="5B364C06"/>
    <w:rsid w:val="5B5096C5"/>
    <w:rsid w:val="5B62333E"/>
    <w:rsid w:val="5B91B73D"/>
    <w:rsid w:val="5BA591BD"/>
    <w:rsid w:val="5BB3215F"/>
    <w:rsid w:val="5BB559C0"/>
    <w:rsid w:val="5BC9F3A6"/>
    <w:rsid w:val="5BD62E85"/>
    <w:rsid w:val="5BD82208"/>
    <w:rsid w:val="5BEA33AD"/>
    <w:rsid w:val="5BF8F8D6"/>
    <w:rsid w:val="5C1607C7"/>
    <w:rsid w:val="5C36D2CD"/>
    <w:rsid w:val="5C558D6A"/>
    <w:rsid w:val="5C57A02A"/>
    <w:rsid w:val="5C60C12D"/>
    <w:rsid w:val="5C7ABBB1"/>
    <w:rsid w:val="5C7D37C7"/>
    <w:rsid w:val="5C7D4D26"/>
    <w:rsid w:val="5C7E7A57"/>
    <w:rsid w:val="5C898E10"/>
    <w:rsid w:val="5C91650F"/>
    <w:rsid w:val="5CACCE07"/>
    <w:rsid w:val="5CC88BB3"/>
    <w:rsid w:val="5CEDA465"/>
    <w:rsid w:val="5CF39355"/>
    <w:rsid w:val="5CFDA2F8"/>
    <w:rsid w:val="5D1B40D3"/>
    <w:rsid w:val="5D41621E"/>
    <w:rsid w:val="5D427EE7"/>
    <w:rsid w:val="5D606732"/>
    <w:rsid w:val="5D8FE1AC"/>
    <w:rsid w:val="5D980BFC"/>
    <w:rsid w:val="5DAD172B"/>
    <w:rsid w:val="5DB953B5"/>
    <w:rsid w:val="5DC8617B"/>
    <w:rsid w:val="5DD60D80"/>
    <w:rsid w:val="5DF4FC58"/>
    <w:rsid w:val="5E285E61"/>
    <w:rsid w:val="5E2DFFB9"/>
    <w:rsid w:val="5E375683"/>
    <w:rsid w:val="5E487CD0"/>
    <w:rsid w:val="5E493097"/>
    <w:rsid w:val="5E6ED260"/>
    <w:rsid w:val="5E92C1FC"/>
    <w:rsid w:val="5E9D1559"/>
    <w:rsid w:val="5EBC5846"/>
    <w:rsid w:val="5EC87ACB"/>
    <w:rsid w:val="5EEC72FD"/>
    <w:rsid w:val="5F019468"/>
    <w:rsid w:val="5F1019B3"/>
    <w:rsid w:val="5F2FB411"/>
    <w:rsid w:val="5F52D388"/>
    <w:rsid w:val="5F7D933D"/>
    <w:rsid w:val="5F8ABEED"/>
    <w:rsid w:val="5FA04940"/>
    <w:rsid w:val="5FA31B99"/>
    <w:rsid w:val="5FCBE4FE"/>
    <w:rsid w:val="6006C503"/>
    <w:rsid w:val="602DDE3F"/>
    <w:rsid w:val="602E8025"/>
    <w:rsid w:val="6033F824"/>
    <w:rsid w:val="60347971"/>
    <w:rsid w:val="60435441"/>
    <w:rsid w:val="604E8306"/>
    <w:rsid w:val="60563DBB"/>
    <w:rsid w:val="605E9A80"/>
    <w:rsid w:val="60618EDD"/>
    <w:rsid w:val="60623D73"/>
    <w:rsid w:val="60667684"/>
    <w:rsid w:val="60751A42"/>
    <w:rsid w:val="60962F2A"/>
    <w:rsid w:val="60A4FFB4"/>
    <w:rsid w:val="60B97486"/>
    <w:rsid w:val="60BCD2DE"/>
    <w:rsid w:val="60BD7B38"/>
    <w:rsid w:val="60E1F106"/>
    <w:rsid w:val="60F6DDD0"/>
    <w:rsid w:val="60FC19E2"/>
    <w:rsid w:val="611A3DEB"/>
    <w:rsid w:val="6126336B"/>
    <w:rsid w:val="612B9E5A"/>
    <w:rsid w:val="6131FCD6"/>
    <w:rsid w:val="6146A4F0"/>
    <w:rsid w:val="61C9AEA0"/>
    <w:rsid w:val="61CA5086"/>
    <w:rsid w:val="61DE7565"/>
    <w:rsid w:val="61DE8558"/>
    <w:rsid w:val="61E8EFE7"/>
    <w:rsid w:val="61FA7FC0"/>
    <w:rsid w:val="6203F276"/>
    <w:rsid w:val="6208D6DA"/>
    <w:rsid w:val="622916E1"/>
    <w:rsid w:val="6233FCF5"/>
    <w:rsid w:val="62435857"/>
    <w:rsid w:val="624368FC"/>
    <w:rsid w:val="6244E5E3"/>
    <w:rsid w:val="62451D35"/>
    <w:rsid w:val="6251EAAF"/>
    <w:rsid w:val="62629F0D"/>
    <w:rsid w:val="6263F53B"/>
    <w:rsid w:val="62923997"/>
    <w:rsid w:val="629CD0BF"/>
    <w:rsid w:val="62A13EC7"/>
    <w:rsid w:val="62AE3B99"/>
    <w:rsid w:val="62B4E216"/>
    <w:rsid w:val="62B9B3F9"/>
    <w:rsid w:val="62DEA080"/>
    <w:rsid w:val="62F08C25"/>
    <w:rsid w:val="62F5382C"/>
    <w:rsid w:val="63043A27"/>
    <w:rsid w:val="631635EC"/>
    <w:rsid w:val="632B392B"/>
    <w:rsid w:val="632B7FF6"/>
    <w:rsid w:val="6330EF03"/>
    <w:rsid w:val="63321260"/>
    <w:rsid w:val="63485016"/>
    <w:rsid w:val="6352F974"/>
    <w:rsid w:val="636E57A4"/>
    <w:rsid w:val="63734905"/>
    <w:rsid w:val="63775E1C"/>
    <w:rsid w:val="637C1C21"/>
    <w:rsid w:val="63B8018E"/>
    <w:rsid w:val="63B85C3C"/>
    <w:rsid w:val="63CCA0B9"/>
    <w:rsid w:val="63F77F02"/>
    <w:rsid w:val="63FB3013"/>
    <w:rsid w:val="63FDDD0B"/>
    <w:rsid w:val="6411BE4C"/>
    <w:rsid w:val="64397628"/>
    <w:rsid w:val="6463B3B6"/>
    <w:rsid w:val="6476CF80"/>
    <w:rsid w:val="648FB519"/>
    <w:rsid w:val="649644D3"/>
    <w:rsid w:val="64979452"/>
    <w:rsid w:val="64AD5D44"/>
    <w:rsid w:val="64BBA8C8"/>
    <w:rsid w:val="64C70E5C"/>
    <w:rsid w:val="64D5899F"/>
    <w:rsid w:val="64FAE935"/>
    <w:rsid w:val="651405FF"/>
    <w:rsid w:val="652A83BF"/>
    <w:rsid w:val="652A9B0A"/>
    <w:rsid w:val="652FA16C"/>
    <w:rsid w:val="6535AE96"/>
    <w:rsid w:val="653C18A5"/>
    <w:rsid w:val="6549D45A"/>
    <w:rsid w:val="6555BE37"/>
    <w:rsid w:val="656B12C5"/>
    <w:rsid w:val="65726F0B"/>
    <w:rsid w:val="65BED5F4"/>
    <w:rsid w:val="65CE6348"/>
    <w:rsid w:val="65D907C5"/>
    <w:rsid w:val="65F9FA7C"/>
    <w:rsid w:val="66128E2F"/>
    <w:rsid w:val="66232EC0"/>
    <w:rsid w:val="662C7447"/>
    <w:rsid w:val="6648DBBC"/>
    <w:rsid w:val="66689CD1"/>
    <w:rsid w:val="667F1CD9"/>
    <w:rsid w:val="66846048"/>
    <w:rsid w:val="66867665"/>
    <w:rsid w:val="66924D4D"/>
    <w:rsid w:val="66974862"/>
    <w:rsid w:val="669A759B"/>
    <w:rsid w:val="669D7AE1"/>
    <w:rsid w:val="66A1A7D0"/>
    <w:rsid w:val="66AA13E9"/>
    <w:rsid w:val="66AEFEDE"/>
    <w:rsid w:val="66E53999"/>
    <w:rsid w:val="66E9915D"/>
    <w:rsid w:val="66F037C6"/>
    <w:rsid w:val="66FEDE5F"/>
    <w:rsid w:val="67074F00"/>
    <w:rsid w:val="6717E50D"/>
    <w:rsid w:val="671ADA65"/>
    <w:rsid w:val="6755C611"/>
    <w:rsid w:val="6763C6FC"/>
    <w:rsid w:val="6798ACD8"/>
    <w:rsid w:val="67ADD8CA"/>
    <w:rsid w:val="67BEFF21"/>
    <w:rsid w:val="67F2CFB9"/>
    <w:rsid w:val="681008B6"/>
    <w:rsid w:val="681C961A"/>
    <w:rsid w:val="682E2B00"/>
    <w:rsid w:val="684BA155"/>
    <w:rsid w:val="684E7E78"/>
    <w:rsid w:val="6883EACD"/>
    <w:rsid w:val="688C0827"/>
    <w:rsid w:val="688E15C4"/>
    <w:rsid w:val="689768BF"/>
    <w:rsid w:val="68B4D96A"/>
    <w:rsid w:val="68B7EEE6"/>
    <w:rsid w:val="68C075A3"/>
    <w:rsid w:val="68E1D4E7"/>
    <w:rsid w:val="68EA0E8E"/>
    <w:rsid w:val="6924EB29"/>
    <w:rsid w:val="692B5F1D"/>
    <w:rsid w:val="6939F9A1"/>
    <w:rsid w:val="694AD4DB"/>
    <w:rsid w:val="694D234E"/>
    <w:rsid w:val="6963B77C"/>
    <w:rsid w:val="696CFEAE"/>
    <w:rsid w:val="697493E4"/>
    <w:rsid w:val="698787D1"/>
    <w:rsid w:val="69C0AEA7"/>
    <w:rsid w:val="69D5626B"/>
    <w:rsid w:val="69DCD562"/>
    <w:rsid w:val="69E83677"/>
    <w:rsid w:val="69F9615B"/>
    <w:rsid w:val="6A04F541"/>
    <w:rsid w:val="6A0801E4"/>
    <w:rsid w:val="6A679299"/>
    <w:rsid w:val="6A8545B8"/>
    <w:rsid w:val="6A938DF1"/>
    <w:rsid w:val="6AB7D49F"/>
    <w:rsid w:val="6AB96AF5"/>
    <w:rsid w:val="6AC154C1"/>
    <w:rsid w:val="6AC72F7E"/>
    <w:rsid w:val="6AC8DA6A"/>
    <w:rsid w:val="6AEE4D18"/>
    <w:rsid w:val="6B0071EE"/>
    <w:rsid w:val="6B1056F3"/>
    <w:rsid w:val="6B1BB3A8"/>
    <w:rsid w:val="6B203D5B"/>
    <w:rsid w:val="6B255B08"/>
    <w:rsid w:val="6B612BE4"/>
    <w:rsid w:val="6B723916"/>
    <w:rsid w:val="6B8D909C"/>
    <w:rsid w:val="6B9D812F"/>
    <w:rsid w:val="6BA4F01A"/>
    <w:rsid w:val="6BB3E28C"/>
    <w:rsid w:val="6BC1ADAE"/>
    <w:rsid w:val="6BE6C3A4"/>
    <w:rsid w:val="6BE7483B"/>
    <w:rsid w:val="6BF98936"/>
    <w:rsid w:val="6C022C40"/>
    <w:rsid w:val="6C0F139D"/>
    <w:rsid w:val="6C2BAC9F"/>
    <w:rsid w:val="6C34BB27"/>
    <w:rsid w:val="6C3BA0FB"/>
    <w:rsid w:val="6C53A341"/>
    <w:rsid w:val="6C655F09"/>
    <w:rsid w:val="6CAD6B74"/>
    <w:rsid w:val="6CB52629"/>
    <w:rsid w:val="6CE02294"/>
    <w:rsid w:val="6CE7387F"/>
    <w:rsid w:val="6CEB73B6"/>
    <w:rsid w:val="6CFDA8ED"/>
    <w:rsid w:val="6CFF31EC"/>
    <w:rsid w:val="6D10C676"/>
    <w:rsid w:val="6D1A67B7"/>
    <w:rsid w:val="6D380D70"/>
    <w:rsid w:val="6D4AA077"/>
    <w:rsid w:val="6D5ED060"/>
    <w:rsid w:val="6D665D46"/>
    <w:rsid w:val="6D75F74D"/>
    <w:rsid w:val="6D8350E6"/>
    <w:rsid w:val="6DB88783"/>
    <w:rsid w:val="6DBDA530"/>
    <w:rsid w:val="6DE55B0D"/>
    <w:rsid w:val="6DFA4C3A"/>
    <w:rsid w:val="6E206EF2"/>
    <w:rsid w:val="6E28FCE5"/>
    <w:rsid w:val="6E2EFCBD"/>
    <w:rsid w:val="6E3290B5"/>
    <w:rsid w:val="6E35CB57"/>
    <w:rsid w:val="6E379511"/>
    <w:rsid w:val="6E37BE29"/>
    <w:rsid w:val="6E4471FF"/>
    <w:rsid w:val="6E578BC7"/>
    <w:rsid w:val="6E629608"/>
    <w:rsid w:val="6E669669"/>
    <w:rsid w:val="6E70D1EA"/>
    <w:rsid w:val="6E8EFD0D"/>
    <w:rsid w:val="6EA49A59"/>
    <w:rsid w:val="6EB5C8D9"/>
    <w:rsid w:val="6EC10F63"/>
    <w:rsid w:val="6F1DB87F"/>
    <w:rsid w:val="6F32D103"/>
    <w:rsid w:val="6F3B03BC"/>
    <w:rsid w:val="6F5887BA"/>
    <w:rsid w:val="6F7AE647"/>
    <w:rsid w:val="6F9AA0A1"/>
    <w:rsid w:val="6FB20AD0"/>
    <w:rsid w:val="6FB5A8F6"/>
    <w:rsid w:val="6FBC0E70"/>
    <w:rsid w:val="6FD234EF"/>
    <w:rsid w:val="6FD9163C"/>
    <w:rsid w:val="6FE2A0F0"/>
    <w:rsid w:val="6FE550B9"/>
    <w:rsid w:val="6FFE3652"/>
    <w:rsid w:val="70026054"/>
    <w:rsid w:val="7011521C"/>
    <w:rsid w:val="701F88A3"/>
    <w:rsid w:val="7031A5AD"/>
    <w:rsid w:val="703C6CEC"/>
    <w:rsid w:val="70571259"/>
    <w:rsid w:val="705E03C0"/>
    <w:rsid w:val="7079ABC7"/>
    <w:rsid w:val="7084D5AB"/>
    <w:rsid w:val="7097BE1E"/>
    <w:rsid w:val="709E22A5"/>
    <w:rsid w:val="70AF84BA"/>
    <w:rsid w:val="70CA3E0D"/>
    <w:rsid w:val="70F763ED"/>
    <w:rsid w:val="70FAA5AE"/>
    <w:rsid w:val="711D48A5"/>
    <w:rsid w:val="712BBF92"/>
    <w:rsid w:val="712D89FE"/>
    <w:rsid w:val="7157DED1"/>
    <w:rsid w:val="71E97453"/>
    <w:rsid w:val="71F102C2"/>
    <w:rsid w:val="7205C99B"/>
    <w:rsid w:val="720AF46D"/>
    <w:rsid w:val="72157C28"/>
    <w:rsid w:val="722E43B9"/>
    <w:rsid w:val="72451BC6"/>
    <w:rsid w:val="7257467A"/>
    <w:rsid w:val="726426BA"/>
    <w:rsid w:val="726EBF0A"/>
    <w:rsid w:val="72719BD1"/>
    <w:rsid w:val="72A5DBC9"/>
    <w:rsid w:val="72A7EC96"/>
    <w:rsid w:val="72A99C44"/>
    <w:rsid w:val="72B7C2D8"/>
    <w:rsid w:val="72BB0EE6"/>
    <w:rsid w:val="72BCF078"/>
    <w:rsid w:val="72CE031D"/>
    <w:rsid w:val="72D24134"/>
    <w:rsid w:val="72DE38F5"/>
    <w:rsid w:val="72E0EC55"/>
    <w:rsid w:val="72E8FA12"/>
    <w:rsid w:val="72E9BB29"/>
    <w:rsid w:val="7300A778"/>
    <w:rsid w:val="7301B496"/>
    <w:rsid w:val="730591A1"/>
    <w:rsid w:val="73314F20"/>
    <w:rsid w:val="7334437D"/>
    <w:rsid w:val="733AF2EC"/>
    <w:rsid w:val="734ED738"/>
    <w:rsid w:val="735E21B0"/>
    <w:rsid w:val="73903500"/>
    <w:rsid w:val="739CAC39"/>
    <w:rsid w:val="73AB3B96"/>
    <w:rsid w:val="73BC766D"/>
    <w:rsid w:val="73D1BCC0"/>
    <w:rsid w:val="73F99C95"/>
    <w:rsid w:val="74119EDB"/>
    <w:rsid w:val="7431E97A"/>
    <w:rsid w:val="7456DF47"/>
    <w:rsid w:val="747490FA"/>
    <w:rsid w:val="747CB492"/>
    <w:rsid w:val="7489B745"/>
    <w:rsid w:val="74C3920D"/>
    <w:rsid w:val="74C9C7DD"/>
    <w:rsid w:val="74ED8F9F"/>
    <w:rsid w:val="74FE9239"/>
    <w:rsid w:val="75009B76"/>
    <w:rsid w:val="750B022B"/>
    <w:rsid w:val="75271CE0"/>
    <w:rsid w:val="752B8FBB"/>
    <w:rsid w:val="754B569B"/>
    <w:rsid w:val="7573767A"/>
    <w:rsid w:val="757A17CB"/>
    <w:rsid w:val="75957A10"/>
    <w:rsid w:val="759F7717"/>
    <w:rsid w:val="75AC57F3"/>
    <w:rsid w:val="75D3B75A"/>
    <w:rsid w:val="75F3C6F1"/>
    <w:rsid w:val="75F9406C"/>
    <w:rsid w:val="75F94598"/>
    <w:rsid w:val="761B04B6"/>
    <w:rsid w:val="761C8670"/>
    <w:rsid w:val="7623617B"/>
    <w:rsid w:val="76247A3D"/>
    <w:rsid w:val="762B4FF4"/>
    <w:rsid w:val="762BA9A7"/>
    <w:rsid w:val="7641BF56"/>
    <w:rsid w:val="7664DE61"/>
    <w:rsid w:val="766649E8"/>
    <w:rsid w:val="76769AC4"/>
    <w:rsid w:val="76B688D7"/>
    <w:rsid w:val="76D6DDAC"/>
    <w:rsid w:val="76E7823D"/>
    <w:rsid w:val="76F785C7"/>
    <w:rsid w:val="7703B136"/>
    <w:rsid w:val="7704EC42"/>
    <w:rsid w:val="77279757"/>
    <w:rsid w:val="772C5195"/>
    <w:rsid w:val="77386094"/>
    <w:rsid w:val="7741B978"/>
    <w:rsid w:val="775062DA"/>
    <w:rsid w:val="7754B6D7"/>
    <w:rsid w:val="777A5333"/>
    <w:rsid w:val="778FAB1F"/>
    <w:rsid w:val="77A33C60"/>
    <w:rsid w:val="77AA2B0D"/>
    <w:rsid w:val="77AC0327"/>
    <w:rsid w:val="77C2247A"/>
    <w:rsid w:val="77C52844"/>
    <w:rsid w:val="77EC4055"/>
    <w:rsid w:val="77EF1923"/>
    <w:rsid w:val="7820B037"/>
    <w:rsid w:val="7822A0AB"/>
    <w:rsid w:val="7858AF10"/>
    <w:rsid w:val="786DB325"/>
    <w:rsid w:val="78865E0F"/>
    <w:rsid w:val="78B90E9B"/>
    <w:rsid w:val="78BAE348"/>
    <w:rsid w:val="78C4D831"/>
    <w:rsid w:val="78EC8F36"/>
    <w:rsid w:val="790D1711"/>
    <w:rsid w:val="792D7401"/>
    <w:rsid w:val="7962F0B6"/>
    <w:rsid w:val="798EF02B"/>
    <w:rsid w:val="7992670C"/>
    <w:rsid w:val="79A46E62"/>
    <w:rsid w:val="79AEFE5C"/>
    <w:rsid w:val="79C21A26"/>
    <w:rsid w:val="79C8F8E0"/>
    <w:rsid w:val="79E318E3"/>
    <w:rsid w:val="7A013CEC"/>
    <w:rsid w:val="7A84832B"/>
    <w:rsid w:val="7A90EEE7"/>
    <w:rsid w:val="7A97FE84"/>
    <w:rsid w:val="7AB436D5"/>
    <w:rsid w:val="7AD7A99D"/>
    <w:rsid w:val="7AE30A6C"/>
    <w:rsid w:val="7AF38444"/>
    <w:rsid w:val="7B0FBAD8"/>
    <w:rsid w:val="7B13F1A4"/>
    <w:rsid w:val="7B1F3393"/>
    <w:rsid w:val="7B1F7AE4"/>
    <w:rsid w:val="7B2A76CC"/>
    <w:rsid w:val="7B395F56"/>
    <w:rsid w:val="7B45D68F"/>
    <w:rsid w:val="7B53D1F2"/>
    <w:rsid w:val="7B662A07"/>
    <w:rsid w:val="7B684D1F"/>
    <w:rsid w:val="7B7E7A86"/>
    <w:rsid w:val="7B7F43AE"/>
    <w:rsid w:val="7B9F9EC2"/>
    <w:rsid w:val="7BAAEE25"/>
    <w:rsid w:val="7BADBDFE"/>
    <w:rsid w:val="7BB7EB80"/>
    <w:rsid w:val="7BB92A07"/>
    <w:rsid w:val="7BC064E8"/>
    <w:rsid w:val="7BC8C6AF"/>
    <w:rsid w:val="7BCA1938"/>
    <w:rsid w:val="7BCC84F9"/>
    <w:rsid w:val="7BCFE623"/>
    <w:rsid w:val="7BE98FCB"/>
    <w:rsid w:val="7BEAFA38"/>
    <w:rsid w:val="7BEC266E"/>
    <w:rsid w:val="7BECF276"/>
    <w:rsid w:val="7BFA157A"/>
    <w:rsid w:val="7C363231"/>
    <w:rsid w:val="7C56E80B"/>
    <w:rsid w:val="7C6C0F29"/>
    <w:rsid w:val="7C6F259F"/>
    <w:rsid w:val="7C7AF24B"/>
    <w:rsid w:val="7CA2F9A1"/>
    <w:rsid w:val="7CA47BF5"/>
    <w:rsid w:val="7CAC73E7"/>
    <w:rsid w:val="7CC66C0A"/>
    <w:rsid w:val="7CCFEF2C"/>
    <w:rsid w:val="7CE991BC"/>
    <w:rsid w:val="7D0F8542"/>
    <w:rsid w:val="7D1660B9"/>
    <w:rsid w:val="7D1E564A"/>
    <w:rsid w:val="7D21A2F7"/>
    <w:rsid w:val="7D234221"/>
    <w:rsid w:val="7D23AE92"/>
    <w:rsid w:val="7D2B1B27"/>
    <w:rsid w:val="7D2D98E3"/>
    <w:rsid w:val="7D32B31C"/>
    <w:rsid w:val="7D396993"/>
    <w:rsid w:val="7D4C80FD"/>
    <w:rsid w:val="7D737F9A"/>
    <w:rsid w:val="7D795130"/>
    <w:rsid w:val="7D8A6F24"/>
    <w:rsid w:val="7DA51CFA"/>
    <w:rsid w:val="7DBE429D"/>
    <w:rsid w:val="7DC00059"/>
    <w:rsid w:val="7DC5EDBB"/>
    <w:rsid w:val="7DECD8CB"/>
    <w:rsid w:val="7DECFBEF"/>
    <w:rsid w:val="7E01CD33"/>
    <w:rsid w:val="7E048FBA"/>
    <w:rsid w:val="7E19C6A0"/>
    <w:rsid w:val="7E1F803B"/>
    <w:rsid w:val="7E280282"/>
    <w:rsid w:val="7E3BADFC"/>
    <w:rsid w:val="7E41371D"/>
    <w:rsid w:val="7E484448"/>
    <w:rsid w:val="7E76C95E"/>
    <w:rsid w:val="7E8075F5"/>
    <w:rsid w:val="7E88620D"/>
    <w:rsid w:val="7E8DA8B7"/>
    <w:rsid w:val="7E9F2B72"/>
    <w:rsid w:val="7EB8895E"/>
    <w:rsid w:val="7EBE9754"/>
    <w:rsid w:val="7EEF6D2A"/>
    <w:rsid w:val="7F0481CC"/>
    <w:rsid w:val="7F1C5BF2"/>
    <w:rsid w:val="7F2156C1"/>
    <w:rsid w:val="7F37FF29"/>
    <w:rsid w:val="7F44A679"/>
    <w:rsid w:val="7F4C66B6"/>
    <w:rsid w:val="7F534C8A"/>
    <w:rsid w:val="7F544A25"/>
    <w:rsid w:val="7F716886"/>
    <w:rsid w:val="7F816226"/>
    <w:rsid w:val="7FB40195"/>
    <w:rsid w:val="7FB64851"/>
    <w:rsid w:val="7FE37B16"/>
    <w:rsid w:val="7FEA0CD0"/>
    <w:rsid w:val="7FF75C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C63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C09"/>
    <w:pPr>
      <w:spacing w:after="120" w:line="276" w:lineRule="auto"/>
      <w:textAlignment w:val="baseline"/>
    </w:pPr>
    <w:rPr>
      <w:rFonts w:ascii="Arial" w:eastAsia="Times New Roman" w:hAnsi="Arial" w:cs="Arial"/>
      <w:sz w:val="24"/>
      <w:szCs w:val="24"/>
      <w:lang w:val="en-AU" w:eastAsia="en-AU"/>
    </w:rPr>
  </w:style>
  <w:style w:type="paragraph" w:styleId="Heading1">
    <w:name w:val="heading 1"/>
    <w:basedOn w:val="Normal"/>
    <w:next w:val="Normal"/>
    <w:link w:val="Heading1Char"/>
    <w:uiPriority w:val="1"/>
    <w:qFormat/>
    <w:rsid w:val="000610B3"/>
    <w:pPr>
      <w:keepNext/>
      <w:numPr>
        <w:numId w:val="4"/>
      </w:numPr>
      <w:spacing w:before="480" w:after="240" w:line="440" w:lineRule="exact"/>
      <w:textAlignment w:val="auto"/>
      <w:outlineLvl w:val="0"/>
    </w:pPr>
    <w:rPr>
      <w:rFonts w:cs="Times New Roman"/>
      <w:b/>
      <w:color w:val="041049"/>
      <w:sz w:val="48"/>
      <w:szCs w:val="19"/>
    </w:rPr>
  </w:style>
  <w:style w:type="paragraph" w:styleId="Heading2">
    <w:name w:val="heading 2"/>
    <w:basedOn w:val="paragraph"/>
    <w:next w:val="Normal"/>
    <w:link w:val="Heading2Char"/>
    <w:uiPriority w:val="1"/>
    <w:unhideWhenUsed/>
    <w:qFormat/>
    <w:rsid w:val="00B620FF"/>
    <w:pPr>
      <w:numPr>
        <w:ilvl w:val="1"/>
        <w:numId w:val="4"/>
      </w:numPr>
      <w:outlineLvl w:val="1"/>
    </w:pPr>
    <w:rPr>
      <w:rFonts w:ascii="Arial" w:hAnsi="Arial" w:cs="Arial"/>
      <w:b/>
      <w:bCs/>
      <w:color w:val="9E4A9C"/>
      <w:sz w:val="32"/>
      <w:szCs w:val="32"/>
      <w:lang w:val="en-GB"/>
    </w:rPr>
  </w:style>
  <w:style w:type="paragraph" w:styleId="Heading3">
    <w:name w:val="heading 3"/>
    <w:basedOn w:val="paragraph"/>
    <w:next w:val="Normal"/>
    <w:link w:val="Heading3Char"/>
    <w:uiPriority w:val="9"/>
    <w:unhideWhenUsed/>
    <w:qFormat/>
    <w:rsid w:val="00614771"/>
    <w:pPr>
      <w:numPr>
        <w:ilvl w:val="2"/>
        <w:numId w:val="4"/>
      </w:numPr>
      <w:ind w:left="720"/>
      <w:outlineLvl w:val="2"/>
    </w:pPr>
    <w:rPr>
      <w:rFonts w:ascii="Arial" w:hAnsi="Arial" w:cs="Arial"/>
      <w:b/>
      <w:bCs/>
      <w:color w:val="272727" w:themeColor="accent1" w:themeShade="80"/>
      <w:sz w:val="28"/>
      <w:szCs w:val="28"/>
      <w:lang w:val="en-GB"/>
    </w:rPr>
  </w:style>
  <w:style w:type="paragraph" w:styleId="Heading4">
    <w:name w:val="heading 4"/>
    <w:basedOn w:val="Normal"/>
    <w:next w:val="Normal"/>
    <w:link w:val="Heading4Char"/>
    <w:uiPriority w:val="9"/>
    <w:unhideWhenUsed/>
    <w:qFormat/>
    <w:rsid w:val="00BA3CA8"/>
    <w:pPr>
      <w:keepNext/>
      <w:keepLines/>
      <w:spacing w:before="100" w:beforeAutospacing="1" w:after="100" w:afterAutospacing="1"/>
      <w:outlineLvl w:val="3"/>
    </w:pPr>
    <w:rPr>
      <w:rFonts w:asciiTheme="majorHAnsi" w:eastAsiaTheme="majorEastAsia" w:hAnsiTheme="majorHAnsi" w:cstheme="majorBidi"/>
      <w:b/>
      <w:iCs/>
      <w:color w:val="272727" w:themeColor="accent1" w:themeShade="80"/>
    </w:rPr>
  </w:style>
  <w:style w:type="paragraph" w:styleId="Heading5">
    <w:name w:val="heading 5"/>
    <w:basedOn w:val="Normal"/>
    <w:next w:val="Normal"/>
    <w:link w:val="Heading5Char"/>
    <w:uiPriority w:val="9"/>
    <w:semiHidden/>
    <w:unhideWhenUsed/>
    <w:qFormat/>
    <w:rsid w:val="008809CE"/>
    <w:pPr>
      <w:keepNext/>
      <w:keepLines/>
      <w:numPr>
        <w:ilvl w:val="4"/>
        <w:numId w:val="4"/>
      </w:numPr>
      <w:spacing w:before="40" w:after="0"/>
      <w:outlineLvl w:val="4"/>
    </w:pPr>
    <w:rPr>
      <w:rFonts w:asciiTheme="majorHAnsi" w:eastAsiaTheme="majorEastAsia" w:hAnsiTheme="majorHAnsi" w:cstheme="majorBidi"/>
      <w:color w:val="3B3B3B" w:themeColor="accent1" w:themeShade="BF"/>
    </w:rPr>
  </w:style>
  <w:style w:type="paragraph" w:styleId="Heading6">
    <w:name w:val="heading 6"/>
    <w:basedOn w:val="Normal"/>
    <w:next w:val="Normal"/>
    <w:link w:val="Heading6Char"/>
    <w:uiPriority w:val="9"/>
    <w:semiHidden/>
    <w:unhideWhenUsed/>
    <w:qFormat/>
    <w:rsid w:val="008809CE"/>
    <w:pPr>
      <w:keepNext/>
      <w:keepLines/>
      <w:numPr>
        <w:ilvl w:val="5"/>
        <w:numId w:val="4"/>
      </w:numPr>
      <w:spacing w:before="40" w:after="0"/>
      <w:outlineLvl w:val="5"/>
    </w:pPr>
    <w:rPr>
      <w:rFonts w:asciiTheme="majorHAnsi" w:eastAsiaTheme="majorEastAsia" w:hAnsiTheme="majorHAnsi" w:cstheme="majorBidi"/>
      <w:color w:val="272727" w:themeColor="accent1" w:themeShade="7F"/>
    </w:rPr>
  </w:style>
  <w:style w:type="paragraph" w:styleId="Heading7">
    <w:name w:val="heading 7"/>
    <w:basedOn w:val="Normal"/>
    <w:next w:val="Normal"/>
    <w:link w:val="Heading7Char"/>
    <w:uiPriority w:val="9"/>
    <w:semiHidden/>
    <w:unhideWhenUsed/>
    <w:qFormat/>
    <w:rsid w:val="006004DC"/>
    <w:pPr>
      <w:keepNext/>
      <w:keepLines/>
      <w:numPr>
        <w:ilvl w:val="6"/>
        <w:numId w:val="4"/>
      </w:numPr>
      <w:spacing w:before="40" w:after="0"/>
      <w:outlineLvl w:val="6"/>
    </w:pPr>
    <w:rPr>
      <w:rFonts w:asciiTheme="majorHAnsi" w:eastAsiaTheme="majorEastAsia" w:hAnsiTheme="majorHAnsi" w:cstheme="majorBidi"/>
      <w:i/>
      <w:iCs/>
      <w:color w:val="272727" w:themeColor="accent1" w:themeShade="7F"/>
    </w:rPr>
  </w:style>
  <w:style w:type="paragraph" w:styleId="Heading8">
    <w:name w:val="heading 8"/>
    <w:basedOn w:val="Normal"/>
    <w:next w:val="Normal"/>
    <w:link w:val="Heading8Char"/>
    <w:uiPriority w:val="9"/>
    <w:semiHidden/>
    <w:unhideWhenUsed/>
    <w:qFormat/>
    <w:rsid w:val="008809CE"/>
    <w:pPr>
      <w:keepNext/>
      <w:keepLines/>
      <w:numPr>
        <w:ilvl w:val="7"/>
        <w:numId w:val="4"/>
      </w:numPr>
      <w:spacing w:before="40" w:after="0"/>
      <w:outlineLvl w:val="7"/>
    </w:pPr>
    <w:rPr>
      <w:rFonts w:asciiTheme="majorHAnsi" w:eastAsiaTheme="majorEastAsia" w:hAnsiTheme="majorHAnsi" w:cstheme="majorBidi"/>
      <w:color w:val="827E7A" w:themeColor="text1" w:themeTint="D8"/>
      <w:sz w:val="21"/>
      <w:szCs w:val="21"/>
    </w:rPr>
  </w:style>
  <w:style w:type="paragraph" w:styleId="Heading9">
    <w:name w:val="heading 9"/>
    <w:basedOn w:val="Normal"/>
    <w:next w:val="Normal"/>
    <w:link w:val="Heading9Char"/>
    <w:uiPriority w:val="9"/>
    <w:semiHidden/>
    <w:unhideWhenUsed/>
    <w:qFormat/>
    <w:rsid w:val="008809CE"/>
    <w:pPr>
      <w:keepNext/>
      <w:keepLines/>
      <w:numPr>
        <w:ilvl w:val="8"/>
        <w:numId w:val="4"/>
      </w:numPr>
      <w:spacing w:before="40" w:after="0"/>
      <w:outlineLvl w:val="8"/>
    </w:pPr>
    <w:rPr>
      <w:rFonts w:asciiTheme="majorHAnsi" w:eastAsiaTheme="majorEastAsia" w:hAnsiTheme="majorHAnsi" w:cstheme="majorBidi"/>
      <w:i/>
      <w:iCs/>
      <w:color w:val="827E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1090"/>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DefaultParagraphFont"/>
    <w:rsid w:val="006B1090"/>
  </w:style>
  <w:style w:type="character" w:customStyle="1" w:styleId="eop">
    <w:name w:val="eop"/>
    <w:basedOn w:val="DefaultParagraphFont"/>
    <w:rsid w:val="006B1090"/>
  </w:style>
  <w:style w:type="table" w:styleId="TableGrid">
    <w:name w:val="Table Grid"/>
    <w:basedOn w:val="TableNormal"/>
    <w:uiPriority w:val="39"/>
    <w:rsid w:val="006B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Bullet"/>
    <w:link w:val="ListParagraphChar"/>
    <w:uiPriority w:val="34"/>
    <w:qFormat/>
    <w:rsid w:val="00552F83"/>
    <w:pPr>
      <w:numPr>
        <w:numId w:val="6"/>
      </w:numPr>
    </w:pPr>
  </w:style>
  <w:style w:type="character" w:customStyle="1" w:styleId="Heading2Char">
    <w:name w:val="Heading 2 Char"/>
    <w:basedOn w:val="DefaultParagraphFont"/>
    <w:link w:val="Heading2"/>
    <w:uiPriority w:val="1"/>
    <w:rsid w:val="00B620FF"/>
    <w:rPr>
      <w:rFonts w:ascii="Arial" w:eastAsia="Times New Roman" w:hAnsi="Arial" w:cs="Arial"/>
      <w:b/>
      <w:bCs/>
      <w:color w:val="9E4A9C"/>
      <w:sz w:val="32"/>
      <w:szCs w:val="32"/>
      <w:lang w:eastAsia="en-AU"/>
    </w:rPr>
  </w:style>
  <w:style w:type="paragraph" w:styleId="Title">
    <w:name w:val="Title"/>
    <w:basedOn w:val="paragraph"/>
    <w:next w:val="Normal"/>
    <w:link w:val="TitleChar"/>
    <w:uiPriority w:val="10"/>
    <w:qFormat/>
    <w:rsid w:val="000C4EA1"/>
    <w:rPr>
      <w:rFonts w:ascii="Arial" w:hAnsi="Arial" w:cs="Arial"/>
      <w:sz w:val="48"/>
      <w:szCs w:val="48"/>
    </w:rPr>
  </w:style>
  <w:style w:type="character" w:customStyle="1" w:styleId="TitleChar">
    <w:name w:val="Title Char"/>
    <w:basedOn w:val="DefaultParagraphFont"/>
    <w:link w:val="Title"/>
    <w:uiPriority w:val="10"/>
    <w:rsid w:val="000C4EA1"/>
    <w:rPr>
      <w:rFonts w:ascii="Arial" w:eastAsia="Times New Roman" w:hAnsi="Arial" w:cs="Arial"/>
      <w:sz w:val="48"/>
      <w:szCs w:val="48"/>
      <w:lang w:val="en-AU" w:eastAsia="en-AU"/>
    </w:rPr>
  </w:style>
  <w:style w:type="character" w:customStyle="1" w:styleId="Heading3Char">
    <w:name w:val="Heading 3 Char"/>
    <w:basedOn w:val="DefaultParagraphFont"/>
    <w:link w:val="Heading3"/>
    <w:uiPriority w:val="9"/>
    <w:rsid w:val="00614771"/>
    <w:rPr>
      <w:rFonts w:ascii="Arial" w:eastAsia="Times New Roman" w:hAnsi="Arial" w:cs="Arial"/>
      <w:b/>
      <w:bCs/>
      <w:color w:val="272727" w:themeColor="accent1" w:themeShade="80"/>
      <w:sz w:val="28"/>
      <w:szCs w:val="28"/>
      <w:lang w:eastAsia="en-AU"/>
    </w:rPr>
  </w:style>
  <w:style w:type="paragraph" w:styleId="Header">
    <w:name w:val="header"/>
    <w:basedOn w:val="Normal"/>
    <w:link w:val="HeaderChar"/>
    <w:uiPriority w:val="99"/>
    <w:unhideWhenUsed/>
    <w:rsid w:val="000C4EA1"/>
    <w:pPr>
      <w:tabs>
        <w:tab w:val="center" w:pos="4680"/>
        <w:tab w:val="right" w:pos="9360"/>
      </w:tabs>
      <w:spacing w:after="0" w:line="240" w:lineRule="auto"/>
      <w:textAlignment w:val="auto"/>
    </w:pPr>
    <w:rPr>
      <w:rFonts w:cs="Times New Roman"/>
      <w:lang w:eastAsia="en-US"/>
    </w:rPr>
  </w:style>
  <w:style w:type="character" w:customStyle="1" w:styleId="HeaderChar">
    <w:name w:val="Header Char"/>
    <w:basedOn w:val="DefaultParagraphFont"/>
    <w:link w:val="Header"/>
    <w:uiPriority w:val="99"/>
    <w:rsid w:val="000C4EA1"/>
    <w:rPr>
      <w:rFonts w:ascii="Arial" w:eastAsia="Times New Roman" w:hAnsi="Arial" w:cs="Times New Roman"/>
      <w:sz w:val="24"/>
      <w:szCs w:val="24"/>
      <w:lang w:val="en-AU"/>
    </w:rPr>
  </w:style>
  <w:style w:type="paragraph" w:styleId="Footer">
    <w:name w:val="footer"/>
    <w:basedOn w:val="Normal"/>
    <w:link w:val="FooterChar"/>
    <w:uiPriority w:val="99"/>
    <w:unhideWhenUsed/>
    <w:rsid w:val="000C4EA1"/>
    <w:pPr>
      <w:tabs>
        <w:tab w:val="center" w:pos="4680"/>
        <w:tab w:val="right" w:pos="9360"/>
      </w:tabs>
      <w:spacing w:after="0" w:line="240" w:lineRule="auto"/>
      <w:textAlignment w:val="auto"/>
    </w:pPr>
    <w:rPr>
      <w:rFonts w:cs="Times New Roman"/>
      <w:lang w:eastAsia="en-US"/>
    </w:rPr>
  </w:style>
  <w:style w:type="character" w:customStyle="1" w:styleId="FooterChar">
    <w:name w:val="Footer Char"/>
    <w:basedOn w:val="DefaultParagraphFont"/>
    <w:link w:val="Footer"/>
    <w:uiPriority w:val="99"/>
    <w:rsid w:val="000C4EA1"/>
    <w:rPr>
      <w:rFonts w:ascii="Arial" w:eastAsia="Times New Roman" w:hAnsi="Arial" w:cs="Times New Roman"/>
      <w:sz w:val="24"/>
      <w:szCs w:val="24"/>
      <w:lang w:val="en-AU"/>
    </w:rPr>
  </w:style>
  <w:style w:type="table" w:styleId="GridTable6Colorful-Accent2">
    <w:name w:val="Grid Table 6 Colorful Accent 2"/>
    <w:basedOn w:val="TableNormal"/>
    <w:uiPriority w:val="51"/>
    <w:rsid w:val="000C4EA1"/>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bottom w:val="single" w:sz="12" w:space="0" w:color="D8D8D8" w:themeColor="accent2" w:themeTint="99"/>
        </w:tcBorders>
      </w:tcPr>
    </w:tblStylePr>
    <w:tblStylePr w:type="lastRow">
      <w:rPr>
        <w:b/>
        <w:bCs/>
      </w:rPr>
      <w:tblPr/>
      <w:tcPr>
        <w:tcBorders>
          <w:top w:val="double" w:sz="4" w:space="0" w:color="D8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6Colorful-Accent3">
    <w:name w:val="Grid Table 6 Colorful Accent 3"/>
    <w:basedOn w:val="TableNormal"/>
    <w:uiPriority w:val="51"/>
    <w:rsid w:val="000C4EA1"/>
    <w:pPr>
      <w:spacing w:after="0" w:line="240" w:lineRule="auto"/>
    </w:pPr>
    <w:rPr>
      <w:color w:val="763774" w:themeColor="accent3" w:themeShade="BF"/>
    </w:rPr>
    <w:tblPr>
      <w:tblStyleRowBandSize w:val="1"/>
      <w:tblStyleColBandSize w:val="1"/>
      <w:tblBorders>
        <w:top w:val="single" w:sz="4" w:space="0" w:color="C98DC8" w:themeColor="accent3" w:themeTint="99"/>
        <w:left w:val="single" w:sz="4" w:space="0" w:color="C98DC8" w:themeColor="accent3" w:themeTint="99"/>
        <w:bottom w:val="single" w:sz="4" w:space="0" w:color="C98DC8" w:themeColor="accent3" w:themeTint="99"/>
        <w:right w:val="single" w:sz="4" w:space="0" w:color="C98DC8" w:themeColor="accent3" w:themeTint="99"/>
        <w:insideH w:val="single" w:sz="4" w:space="0" w:color="C98DC8" w:themeColor="accent3" w:themeTint="99"/>
        <w:insideV w:val="single" w:sz="4" w:space="0" w:color="C98DC8" w:themeColor="accent3" w:themeTint="99"/>
      </w:tblBorders>
    </w:tblPr>
    <w:tblStylePr w:type="firstRow">
      <w:rPr>
        <w:b/>
        <w:bCs/>
      </w:rPr>
      <w:tblPr/>
      <w:tcPr>
        <w:tcBorders>
          <w:bottom w:val="single" w:sz="12" w:space="0" w:color="C98DC8" w:themeColor="accent3" w:themeTint="99"/>
        </w:tcBorders>
      </w:tcPr>
    </w:tblStylePr>
    <w:tblStylePr w:type="lastRow">
      <w:rPr>
        <w:b/>
        <w:bCs/>
      </w:rPr>
      <w:tblPr/>
      <w:tcPr>
        <w:tcBorders>
          <w:top w:val="double" w:sz="4" w:space="0" w:color="C98DC8" w:themeColor="accent3" w:themeTint="99"/>
        </w:tcBorders>
      </w:tcPr>
    </w:tblStylePr>
    <w:tblStylePr w:type="firstCol">
      <w:rPr>
        <w:b/>
        <w:bCs/>
      </w:rPr>
    </w:tblStylePr>
    <w:tblStylePr w:type="lastCol">
      <w:rPr>
        <w:b/>
        <w:bCs/>
      </w:rPr>
    </w:tblStylePr>
    <w:tblStylePr w:type="band1Vert">
      <w:tblPr/>
      <w:tcPr>
        <w:shd w:val="clear" w:color="auto" w:fill="EDD9EC" w:themeFill="accent3" w:themeFillTint="33"/>
      </w:tcPr>
    </w:tblStylePr>
    <w:tblStylePr w:type="band1Horz">
      <w:tblPr/>
      <w:tcPr>
        <w:shd w:val="clear" w:color="auto" w:fill="EDD9EC" w:themeFill="accent3" w:themeFillTint="33"/>
      </w:tcPr>
    </w:tblStylePr>
  </w:style>
  <w:style w:type="paragraph" w:styleId="BodyText">
    <w:name w:val="Body Text"/>
    <w:basedOn w:val="Normal"/>
    <w:link w:val="BodyTextChar"/>
    <w:qFormat/>
    <w:rsid w:val="00614771"/>
    <w:pPr>
      <w:spacing w:after="200"/>
      <w:jc w:val="both"/>
      <w:textAlignment w:val="auto"/>
    </w:pPr>
    <w:rPr>
      <w:rFonts w:asciiTheme="minorHAnsi" w:hAnsiTheme="minorHAnsi" w:cstheme="minorBidi"/>
      <w:color w:val="272727" w:themeColor="accent1" w:themeShade="80"/>
      <w:lang w:eastAsia="en-US"/>
    </w:rPr>
  </w:style>
  <w:style w:type="character" w:customStyle="1" w:styleId="BodyTextChar">
    <w:name w:val="Body Text Char"/>
    <w:basedOn w:val="DefaultParagraphFont"/>
    <w:link w:val="BodyText"/>
    <w:rsid w:val="00614771"/>
    <w:rPr>
      <w:rFonts w:eastAsia="Times New Roman"/>
      <w:color w:val="272727" w:themeColor="accent1" w:themeShade="80"/>
      <w:sz w:val="24"/>
      <w:szCs w:val="24"/>
      <w:lang w:val="en-AU"/>
    </w:rPr>
  </w:style>
  <w:style w:type="table" w:styleId="GridTable4-Accent2">
    <w:name w:val="Grid Table 4 Accent 2"/>
    <w:basedOn w:val="TableNormal"/>
    <w:uiPriority w:val="49"/>
    <w:rsid w:val="0087490A"/>
    <w:pPr>
      <w:spacing w:after="0" w:line="240" w:lineRule="auto"/>
    </w:p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color w:val="FFFFFF" w:themeColor="background1"/>
      </w:rPr>
      <w:tblPr/>
      <w:tcPr>
        <w:tcBorders>
          <w:top w:val="single" w:sz="4" w:space="0" w:color="BFBFBF" w:themeColor="accent2"/>
          <w:left w:val="single" w:sz="4" w:space="0" w:color="BFBFBF" w:themeColor="accent2"/>
          <w:bottom w:val="single" w:sz="4" w:space="0" w:color="BFBFBF" w:themeColor="accent2"/>
          <w:right w:val="single" w:sz="4" w:space="0" w:color="BFBFBF" w:themeColor="accent2"/>
          <w:insideH w:val="nil"/>
          <w:insideV w:val="nil"/>
        </w:tcBorders>
        <w:shd w:val="clear" w:color="auto" w:fill="BFBFBF" w:themeFill="accent2"/>
      </w:tcPr>
    </w:tblStylePr>
    <w:tblStylePr w:type="lastRow">
      <w:rPr>
        <w:b/>
        <w:bCs/>
      </w:rPr>
      <w:tblPr/>
      <w:tcPr>
        <w:tcBorders>
          <w:top w:val="double" w:sz="4" w:space="0" w:color="BF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4-Accent2">
    <w:name w:val="List Table 4 Accent 2"/>
    <w:basedOn w:val="TableNormal"/>
    <w:uiPriority w:val="49"/>
    <w:rsid w:val="0087490A"/>
    <w:pPr>
      <w:spacing w:after="0" w:line="240" w:lineRule="auto"/>
    </w:p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tblBorders>
    </w:tblPr>
    <w:tblStylePr w:type="firstRow">
      <w:rPr>
        <w:b/>
        <w:bCs/>
        <w:color w:val="FFFFFF" w:themeColor="background1"/>
      </w:rPr>
      <w:tblPr/>
      <w:tcPr>
        <w:tcBorders>
          <w:top w:val="single" w:sz="4" w:space="0" w:color="BFBFBF" w:themeColor="accent2"/>
          <w:left w:val="single" w:sz="4" w:space="0" w:color="BFBFBF" w:themeColor="accent2"/>
          <w:bottom w:val="single" w:sz="4" w:space="0" w:color="BFBFBF" w:themeColor="accent2"/>
          <w:right w:val="single" w:sz="4" w:space="0" w:color="BFBFBF" w:themeColor="accent2"/>
          <w:insideH w:val="nil"/>
        </w:tcBorders>
        <w:shd w:val="clear" w:color="auto" w:fill="BFBFBF" w:themeFill="accent2"/>
      </w:tcPr>
    </w:tblStylePr>
    <w:tblStylePr w:type="lastRow">
      <w:rPr>
        <w:b/>
        <w:bCs/>
      </w:rPr>
      <w:tblPr/>
      <w:tcPr>
        <w:tcBorders>
          <w:top w:val="double" w:sz="4" w:space="0" w:color="D8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PlainTable1">
    <w:name w:val="Plain Table 1"/>
    <w:basedOn w:val="TableNormal"/>
    <w:uiPriority w:val="41"/>
    <w:rsid w:val="00A640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231C7"/>
    <w:rPr>
      <w:sz w:val="16"/>
      <w:szCs w:val="16"/>
    </w:rPr>
  </w:style>
  <w:style w:type="paragraph" w:styleId="CommentText">
    <w:name w:val="annotation text"/>
    <w:basedOn w:val="Normal"/>
    <w:link w:val="CommentTextChar"/>
    <w:uiPriority w:val="99"/>
    <w:unhideWhenUsed/>
    <w:rsid w:val="007231C7"/>
    <w:pPr>
      <w:spacing w:line="240" w:lineRule="auto"/>
    </w:pPr>
    <w:rPr>
      <w:sz w:val="20"/>
      <w:szCs w:val="20"/>
    </w:rPr>
  </w:style>
  <w:style w:type="character" w:customStyle="1" w:styleId="CommentTextChar">
    <w:name w:val="Comment Text Char"/>
    <w:basedOn w:val="DefaultParagraphFont"/>
    <w:link w:val="CommentText"/>
    <w:uiPriority w:val="99"/>
    <w:rsid w:val="007231C7"/>
    <w:rPr>
      <w:rFonts w:ascii="Arial" w:eastAsia="Times New Roman" w:hAnsi="Arial" w:cs="Arial"/>
      <w:sz w:val="20"/>
      <w:szCs w:val="20"/>
      <w:lang w:val="en-AU" w:eastAsia="en-AU"/>
    </w:rPr>
  </w:style>
  <w:style w:type="paragraph" w:styleId="CommentSubject">
    <w:name w:val="annotation subject"/>
    <w:basedOn w:val="CommentText"/>
    <w:next w:val="CommentText"/>
    <w:link w:val="CommentSubjectChar"/>
    <w:uiPriority w:val="99"/>
    <w:semiHidden/>
    <w:unhideWhenUsed/>
    <w:rsid w:val="007231C7"/>
    <w:rPr>
      <w:b/>
      <w:bCs/>
    </w:rPr>
  </w:style>
  <w:style w:type="character" w:customStyle="1" w:styleId="CommentSubjectChar">
    <w:name w:val="Comment Subject Char"/>
    <w:basedOn w:val="CommentTextChar"/>
    <w:link w:val="CommentSubject"/>
    <w:uiPriority w:val="99"/>
    <w:semiHidden/>
    <w:rsid w:val="007231C7"/>
    <w:rPr>
      <w:rFonts w:ascii="Arial" w:eastAsia="Times New Roman" w:hAnsi="Arial" w:cs="Arial"/>
      <w:b/>
      <w:bCs/>
      <w:sz w:val="20"/>
      <w:szCs w:val="20"/>
      <w:lang w:val="en-AU" w:eastAsia="en-AU"/>
    </w:rPr>
  </w:style>
  <w:style w:type="paragraph" w:styleId="BalloonText">
    <w:name w:val="Balloon Text"/>
    <w:basedOn w:val="Normal"/>
    <w:link w:val="BalloonTextChar"/>
    <w:uiPriority w:val="99"/>
    <w:semiHidden/>
    <w:unhideWhenUsed/>
    <w:rsid w:val="00723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1C7"/>
    <w:rPr>
      <w:rFonts w:ascii="Segoe UI" w:eastAsia="Times New Roman" w:hAnsi="Segoe UI" w:cs="Segoe UI"/>
      <w:sz w:val="18"/>
      <w:szCs w:val="18"/>
      <w:lang w:val="en-AU" w:eastAsia="en-AU"/>
    </w:rPr>
  </w:style>
  <w:style w:type="character" w:customStyle="1" w:styleId="Heading7Char">
    <w:name w:val="Heading 7 Char"/>
    <w:basedOn w:val="DefaultParagraphFont"/>
    <w:link w:val="Heading7"/>
    <w:uiPriority w:val="9"/>
    <w:semiHidden/>
    <w:rsid w:val="006004DC"/>
    <w:rPr>
      <w:rFonts w:asciiTheme="majorHAnsi" w:eastAsiaTheme="majorEastAsia" w:hAnsiTheme="majorHAnsi" w:cstheme="majorBidi"/>
      <w:i/>
      <w:iCs/>
      <w:color w:val="272727" w:themeColor="accent1" w:themeShade="7F"/>
      <w:sz w:val="24"/>
      <w:szCs w:val="24"/>
      <w:lang w:val="en-AU" w:eastAsia="en-AU"/>
    </w:rPr>
  </w:style>
  <w:style w:type="paragraph" w:styleId="Revision">
    <w:name w:val="Revision"/>
    <w:hidden/>
    <w:uiPriority w:val="99"/>
    <w:semiHidden/>
    <w:rsid w:val="00640B8D"/>
    <w:pPr>
      <w:spacing w:after="0" w:line="240" w:lineRule="auto"/>
    </w:pPr>
    <w:rPr>
      <w:rFonts w:ascii="Arial" w:eastAsia="Times New Roman" w:hAnsi="Arial" w:cs="Arial"/>
      <w:sz w:val="24"/>
      <w:szCs w:val="24"/>
      <w:lang w:val="en-AU" w:eastAsia="en-AU"/>
    </w:rPr>
  </w:style>
  <w:style w:type="character" w:customStyle="1" w:styleId="Heading1Char">
    <w:name w:val="Heading 1 Char"/>
    <w:basedOn w:val="DefaultParagraphFont"/>
    <w:link w:val="Heading1"/>
    <w:uiPriority w:val="1"/>
    <w:rsid w:val="003E5B0A"/>
    <w:rPr>
      <w:rFonts w:ascii="Arial" w:eastAsia="Times New Roman" w:hAnsi="Arial" w:cs="Times New Roman"/>
      <w:b/>
      <w:color w:val="041049"/>
      <w:sz w:val="48"/>
      <w:szCs w:val="19"/>
      <w:lang w:val="en-AU" w:eastAsia="en-AU"/>
    </w:rPr>
  </w:style>
  <w:style w:type="table" w:customStyle="1" w:styleId="TableGrid1">
    <w:name w:val="Table Grid1"/>
    <w:basedOn w:val="TableNormal"/>
    <w:next w:val="TableGrid"/>
    <w:uiPriority w:val="39"/>
    <w:rsid w:val="00E125D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cyTableBullets">
    <w:name w:val="Agency Table Bullets"/>
    <w:uiPriority w:val="99"/>
    <w:rsid w:val="00E125D5"/>
    <w:pPr>
      <w:numPr>
        <w:numId w:val="2"/>
      </w:numPr>
    </w:pPr>
  </w:style>
  <w:style w:type="paragraph" w:customStyle="1" w:styleId="TableBullet">
    <w:name w:val="Table Bullet"/>
    <w:basedOn w:val="ListParagraph"/>
    <w:uiPriority w:val="4"/>
    <w:qFormat/>
    <w:rsid w:val="00E125D5"/>
    <w:pPr>
      <w:numPr>
        <w:numId w:val="3"/>
      </w:numPr>
      <w:spacing w:after="0"/>
    </w:pPr>
    <w:rPr>
      <w:rFonts w:eastAsia="SimHei"/>
      <w:sz w:val="22"/>
      <w:szCs w:val="22"/>
      <w:lang w:val="en-US" w:eastAsia="en-US" w:bidi="en-US"/>
    </w:rPr>
  </w:style>
  <w:style w:type="character" w:customStyle="1" w:styleId="Heading4Char">
    <w:name w:val="Heading 4 Char"/>
    <w:basedOn w:val="DefaultParagraphFont"/>
    <w:link w:val="Heading4"/>
    <w:uiPriority w:val="9"/>
    <w:rsid w:val="00BA3CA8"/>
    <w:rPr>
      <w:rFonts w:asciiTheme="majorHAnsi" w:eastAsiaTheme="majorEastAsia" w:hAnsiTheme="majorHAnsi" w:cstheme="majorBidi"/>
      <w:b/>
      <w:iCs/>
      <w:color w:val="272727" w:themeColor="accent1" w:themeShade="80"/>
      <w:sz w:val="24"/>
      <w:szCs w:val="24"/>
      <w:lang w:val="en-AU" w:eastAsia="en-AU"/>
    </w:rPr>
  </w:style>
  <w:style w:type="character" w:customStyle="1" w:styleId="Heading5Char">
    <w:name w:val="Heading 5 Char"/>
    <w:basedOn w:val="DefaultParagraphFont"/>
    <w:link w:val="Heading5"/>
    <w:uiPriority w:val="9"/>
    <w:semiHidden/>
    <w:rsid w:val="008809CE"/>
    <w:rPr>
      <w:rFonts w:asciiTheme="majorHAnsi" w:eastAsiaTheme="majorEastAsia" w:hAnsiTheme="majorHAnsi" w:cstheme="majorBidi"/>
      <w:color w:val="3B3B3B" w:themeColor="accent1" w:themeShade="BF"/>
      <w:sz w:val="24"/>
      <w:szCs w:val="24"/>
      <w:lang w:val="en-AU" w:eastAsia="en-AU"/>
    </w:rPr>
  </w:style>
  <w:style w:type="character" w:customStyle="1" w:styleId="Heading6Char">
    <w:name w:val="Heading 6 Char"/>
    <w:basedOn w:val="DefaultParagraphFont"/>
    <w:link w:val="Heading6"/>
    <w:uiPriority w:val="9"/>
    <w:semiHidden/>
    <w:rsid w:val="008809CE"/>
    <w:rPr>
      <w:rFonts w:asciiTheme="majorHAnsi" w:eastAsiaTheme="majorEastAsia" w:hAnsiTheme="majorHAnsi" w:cstheme="majorBidi"/>
      <w:color w:val="272727" w:themeColor="accent1" w:themeShade="7F"/>
      <w:sz w:val="24"/>
      <w:szCs w:val="24"/>
      <w:lang w:val="en-AU" w:eastAsia="en-AU"/>
    </w:rPr>
  </w:style>
  <w:style w:type="character" w:customStyle="1" w:styleId="Heading8Char">
    <w:name w:val="Heading 8 Char"/>
    <w:basedOn w:val="DefaultParagraphFont"/>
    <w:link w:val="Heading8"/>
    <w:uiPriority w:val="9"/>
    <w:semiHidden/>
    <w:rsid w:val="008809CE"/>
    <w:rPr>
      <w:rFonts w:asciiTheme="majorHAnsi" w:eastAsiaTheme="majorEastAsia" w:hAnsiTheme="majorHAnsi" w:cstheme="majorBidi"/>
      <w:color w:val="827E7A" w:themeColor="text1" w:themeTint="D8"/>
      <w:sz w:val="21"/>
      <w:szCs w:val="21"/>
      <w:lang w:val="en-AU" w:eastAsia="en-AU"/>
    </w:rPr>
  </w:style>
  <w:style w:type="character" w:customStyle="1" w:styleId="Heading9Char">
    <w:name w:val="Heading 9 Char"/>
    <w:basedOn w:val="DefaultParagraphFont"/>
    <w:link w:val="Heading9"/>
    <w:uiPriority w:val="9"/>
    <w:semiHidden/>
    <w:rsid w:val="008809CE"/>
    <w:rPr>
      <w:rFonts w:asciiTheme="majorHAnsi" w:eastAsiaTheme="majorEastAsia" w:hAnsiTheme="majorHAnsi" w:cstheme="majorBidi"/>
      <w:i/>
      <w:iCs/>
      <w:color w:val="827E7A" w:themeColor="text1" w:themeTint="D8"/>
      <w:sz w:val="21"/>
      <w:szCs w:val="21"/>
      <w:lang w:val="en-AU" w:eastAsia="en-AU"/>
    </w:rPr>
  </w:style>
  <w:style w:type="paragraph" w:styleId="TOC2">
    <w:name w:val="toc 2"/>
    <w:basedOn w:val="Normal"/>
    <w:next w:val="Normal"/>
    <w:autoRedefine/>
    <w:uiPriority w:val="39"/>
    <w:unhideWhenUsed/>
    <w:rsid w:val="00944359"/>
    <w:pPr>
      <w:tabs>
        <w:tab w:val="left" w:pos="880"/>
        <w:tab w:val="right" w:leader="dot" w:pos="9628"/>
      </w:tabs>
      <w:spacing w:after="100"/>
      <w:ind w:left="240"/>
    </w:pPr>
  </w:style>
  <w:style w:type="paragraph" w:styleId="TOC1">
    <w:name w:val="toc 1"/>
    <w:basedOn w:val="Normal"/>
    <w:next w:val="Normal"/>
    <w:autoRedefine/>
    <w:uiPriority w:val="39"/>
    <w:unhideWhenUsed/>
    <w:rsid w:val="00772566"/>
    <w:pPr>
      <w:tabs>
        <w:tab w:val="left" w:pos="442"/>
        <w:tab w:val="right" w:leader="dot" w:pos="9628"/>
      </w:tabs>
      <w:spacing w:after="100"/>
    </w:pPr>
    <w:rPr>
      <w:b/>
      <w:bCs/>
      <w:noProof/>
    </w:rPr>
  </w:style>
  <w:style w:type="character" w:styleId="Hyperlink">
    <w:name w:val="Hyperlink"/>
    <w:basedOn w:val="DefaultParagraphFont"/>
    <w:uiPriority w:val="99"/>
    <w:unhideWhenUsed/>
    <w:rsid w:val="00A92B0C"/>
    <w:rPr>
      <w:color w:val="041049" w:themeColor="hyperlink"/>
      <w:u w:val="single"/>
    </w:rPr>
  </w:style>
  <w:style w:type="character" w:customStyle="1" w:styleId="BulletChar">
    <w:name w:val="Bullet Char"/>
    <w:basedOn w:val="DefaultParagraphFont"/>
    <w:link w:val="Bullet"/>
    <w:uiPriority w:val="2"/>
    <w:locked/>
    <w:rsid w:val="00D37BEA"/>
    <w:rPr>
      <w:rFonts w:asciiTheme="majorHAnsi" w:eastAsia="Times New Roman" w:hAnsiTheme="majorHAnsi" w:cs="Times New Roman"/>
      <w:color w:val="272727" w:themeColor="accent1" w:themeShade="80"/>
      <w:sz w:val="24"/>
      <w:szCs w:val="24"/>
      <w:lang w:eastAsia="en-AU"/>
    </w:rPr>
  </w:style>
  <w:style w:type="paragraph" w:customStyle="1" w:styleId="Bullet">
    <w:name w:val="Bullet"/>
    <w:basedOn w:val="Normal"/>
    <w:link w:val="BulletChar"/>
    <w:uiPriority w:val="2"/>
    <w:qFormat/>
    <w:rsid w:val="00D37BEA"/>
    <w:pPr>
      <w:numPr>
        <w:numId w:val="5"/>
      </w:numPr>
      <w:suppressAutoHyphens/>
      <w:spacing w:after="200"/>
      <w:jc w:val="both"/>
      <w:textAlignment w:val="auto"/>
    </w:pPr>
    <w:rPr>
      <w:rFonts w:asciiTheme="majorHAnsi" w:hAnsiTheme="majorHAnsi" w:cs="Times New Roman"/>
      <w:color w:val="272727" w:themeColor="accent1" w:themeShade="80"/>
      <w:lang w:val="en-GB"/>
    </w:rPr>
  </w:style>
  <w:style w:type="paragraph" w:customStyle="1" w:styleId="BulletLevel2">
    <w:name w:val="Bullet Level 2"/>
    <w:basedOn w:val="Bullet"/>
    <w:qFormat/>
    <w:rsid w:val="0046571B"/>
    <w:pPr>
      <w:numPr>
        <w:ilvl w:val="2"/>
      </w:numPr>
      <w:tabs>
        <w:tab w:val="num" w:pos="360"/>
      </w:tabs>
      <w:spacing w:before="50" w:after="50"/>
    </w:pPr>
  </w:style>
  <w:style w:type="table" w:customStyle="1" w:styleId="NOUS">
    <w:name w:val="NOUS"/>
    <w:basedOn w:val="TableNormal"/>
    <w:uiPriority w:val="99"/>
    <w:rsid w:val="004E2F6B"/>
    <w:pPr>
      <w:spacing w:after="0" w:line="240" w:lineRule="auto"/>
    </w:pPr>
    <w:rPr>
      <w:rFonts w:ascii="Segoe UI" w:hAnsi="Segoe UI"/>
      <w:sz w:val="17"/>
      <w:lang w:val="en-US"/>
    </w:rPr>
    <w:tblPr>
      <w:tblInd w:w="0" w:type="nil"/>
      <w:tblBorders>
        <w:bottom w:val="single" w:sz="8" w:space="0" w:color="3AC2D6" w:themeColor="accent5"/>
        <w:insideH w:val="single" w:sz="8" w:space="0" w:color="3AC2D6" w:themeColor="accent5"/>
      </w:tblBorders>
      <w:tblCellMar>
        <w:top w:w="57" w:type="dxa"/>
        <w:left w:w="85" w:type="dxa"/>
        <w:bottom w:w="57" w:type="dxa"/>
        <w:right w:w="85" w:type="dxa"/>
      </w:tblCellMar>
    </w:tblPr>
    <w:tblStylePr w:type="firstRow">
      <w:rPr>
        <w:rFonts w:ascii="MS PGothic" w:hAnsi="MS PGothic" w:cs="MS PGothic" w:hint="default"/>
        <w:b/>
        <w:color w:val="FFFFFF" w:themeColor="background2"/>
        <w:sz w:val="18"/>
        <w:szCs w:val="18"/>
      </w:rPr>
      <w:tblPr/>
      <w:tcPr>
        <w:tcBorders>
          <w:top w:val="single" w:sz="24" w:space="0" w:color="9E4A9C" w:themeColor="accent3"/>
          <w:left w:val="nil"/>
          <w:bottom w:val="nil"/>
          <w:right w:val="nil"/>
          <w:insideH w:val="nil"/>
          <w:insideV w:val="single" w:sz="8" w:space="0" w:color="FFFFFF" w:themeColor="background1"/>
          <w:tl2br w:val="nil"/>
          <w:tr2bl w:val="nil"/>
        </w:tcBorders>
        <w:shd w:val="clear" w:color="auto" w:fill="3AC2D6" w:themeFill="accent5"/>
      </w:tcPr>
    </w:tblStylePr>
  </w:style>
  <w:style w:type="paragraph" w:styleId="TOCHeading">
    <w:name w:val="TOC Heading"/>
    <w:basedOn w:val="Heading1"/>
    <w:next w:val="Normal"/>
    <w:uiPriority w:val="39"/>
    <w:unhideWhenUsed/>
    <w:qFormat/>
    <w:rsid w:val="009E2179"/>
    <w:pPr>
      <w:keepLines/>
      <w:numPr>
        <w:numId w:val="0"/>
      </w:numPr>
      <w:spacing w:before="240" w:after="0" w:line="276" w:lineRule="auto"/>
      <w:textAlignment w:val="baseline"/>
      <w:outlineLvl w:val="9"/>
    </w:pPr>
    <w:rPr>
      <w:rFonts w:asciiTheme="majorHAnsi" w:eastAsiaTheme="majorEastAsia" w:hAnsiTheme="majorHAnsi" w:cstheme="majorBidi"/>
      <w:b w:val="0"/>
      <w:color w:val="3B3B3B" w:themeColor="accent1" w:themeShade="BF"/>
      <w:sz w:val="32"/>
      <w:szCs w:val="32"/>
    </w:rPr>
  </w:style>
  <w:style w:type="paragraph" w:customStyle="1" w:styleId="Jhead2">
    <w:name w:val="Jhead2"/>
    <w:basedOn w:val="Heading2"/>
    <w:link w:val="Jhead2Char"/>
    <w:qFormat/>
    <w:rsid w:val="003E69F9"/>
    <w:pPr>
      <w:keepNext/>
      <w:spacing w:before="480" w:beforeAutospacing="0" w:after="180" w:afterAutospacing="0"/>
      <w:ind w:left="431" w:hanging="431"/>
      <w:textAlignment w:val="auto"/>
    </w:pPr>
    <w:rPr>
      <w:rFonts w:asciiTheme="majorHAnsi" w:hAnsiTheme="majorHAnsi" w:cs="Times New Roman"/>
      <w:bCs w:val="0"/>
      <w:color w:val="9E4A9C" w:themeColor="accent3"/>
      <w:szCs w:val="19"/>
      <w:lang w:val="en-AU"/>
    </w:rPr>
  </w:style>
  <w:style w:type="character" w:customStyle="1" w:styleId="Jhead2Char">
    <w:name w:val="Jhead2 Char"/>
    <w:basedOn w:val="DefaultParagraphFont"/>
    <w:link w:val="Jhead2"/>
    <w:rsid w:val="003E69F9"/>
    <w:rPr>
      <w:rFonts w:asciiTheme="majorHAnsi" w:eastAsia="Times New Roman" w:hAnsiTheme="majorHAnsi" w:cs="Times New Roman"/>
      <w:b/>
      <w:color w:val="9E4A9C" w:themeColor="accent3"/>
      <w:sz w:val="32"/>
      <w:szCs w:val="19"/>
      <w:lang w:val="en-AU" w:eastAsia="en-AU"/>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locked/>
    <w:rsid w:val="00AA499B"/>
    <w:rPr>
      <w:rFonts w:asciiTheme="majorHAnsi" w:eastAsia="Times New Roman" w:hAnsiTheme="majorHAnsi" w:cs="Times New Roman"/>
      <w:color w:val="272727" w:themeColor="accent1" w:themeShade="80"/>
      <w:sz w:val="24"/>
      <w:szCs w:val="24"/>
      <w:lang w:eastAsia="en-AU"/>
    </w:rPr>
  </w:style>
  <w:style w:type="paragraph" w:customStyle="1" w:styleId="Indent1">
    <w:name w:val="Indent1"/>
    <w:link w:val="Indent1Char"/>
    <w:qFormat/>
    <w:rsid w:val="002E1B0A"/>
    <w:pPr>
      <w:numPr>
        <w:ilvl w:val="1"/>
        <w:numId w:val="9"/>
      </w:numPr>
      <w:tabs>
        <w:tab w:val="left" w:pos="357"/>
      </w:tabs>
      <w:spacing w:after="120" w:line="240" w:lineRule="auto"/>
      <w:jc w:val="both"/>
    </w:pPr>
    <w:rPr>
      <w:rFonts w:ascii="Arial" w:eastAsia="Times New Roman" w:hAnsi="Arial" w:cs="Times New Roman"/>
      <w:sz w:val="23"/>
      <w:szCs w:val="23"/>
      <w:lang w:val="en-AU"/>
    </w:rPr>
  </w:style>
  <w:style w:type="character" w:customStyle="1" w:styleId="Indent1Char">
    <w:name w:val="Indent1 Char"/>
    <w:basedOn w:val="DefaultParagraphFont"/>
    <w:link w:val="Indent1"/>
    <w:rsid w:val="002E1B0A"/>
    <w:rPr>
      <w:rFonts w:ascii="Arial" w:eastAsia="Times New Roman" w:hAnsi="Arial" w:cs="Times New Roman"/>
      <w:sz w:val="23"/>
      <w:szCs w:val="23"/>
      <w:lang w:val="en-AU"/>
    </w:rPr>
  </w:style>
  <w:style w:type="paragraph" w:customStyle="1" w:styleId="BulletIndent3">
    <w:name w:val="BulletIndent3"/>
    <w:basedOn w:val="ListParagraph"/>
    <w:qFormat/>
    <w:rsid w:val="003C67DC"/>
    <w:pPr>
      <w:numPr>
        <w:numId w:val="0"/>
      </w:numPr>
    </w:pPr>
  </w:style>
  <w:style w:type="paragraph" w:styleId="TOC3">
    <w:name w:val="toc 3"/>
    <w:basedOn w:val="Normal"/>
    <w:next w:val="Normal"/>
    <w:autoRedefine/>
    <w:uiPriority w:val="39"/>
    <w:unhideWhenUsed/>
    <w:rsid w:val="00A9454B"/>
    <w:pPr>
      <w:spacing w:after="100" w:line="259" w:lineRule="auto"/>
      <w:ind w:left="440"/>
      <w:textAlignment w:val="auto"/>
    </w:pPr>
    <w:rPr>
      <w:rFonts w:asciiTheme="minorHAnsi" w:eastAsiaTheme="minorEastAsia" w:hAnsiTheme="minorHAnsi" w:cs="Times New Roman"/>
      <w:sz w:val="22"/>
      <w:szCs w:val="22"/>
      <w:lang w:val="en-US" w:eastAsia="en-US"/>
    </w:rPr>
  </w:style>
  <w:style w:type="character" w:styleId="FollowedHyperlink">
    <w:name w:val="FollowedHyperlink"/>
    <w:basedOn w:val="DefaultParagraphFont"/>
    <w:uiPriority w:val="99"/>
    <w:semiHidden/>
    <w:unhideWhenUsed/>
    <w:rsid w:val="00EF2230"/>
    <w:rPr>
      <w:color w:val="9E4A9C" w:themeColor="followedHyperlink"/>
      <w:u w:val="single"/>
    </w:rPr>
  </w:style>
  <w:style w:type="character" w:customStyle="1" w:styleId="UnresolvedMention1">
    <w:name w:val="Unresolved Mention1"/>
    <w:basedOn w:val="DefaultParagraphFont"/>
    <w:uiPriority w:val="99"/>
    <w:semiHidden/>
    <w:unhideWhenUsed/>
    <w:rsid w:val="00E32FC0"/>
    <w:rPr>
      <w:color w:val="605E5C"/>
      <w:shd w:val="clear" w:color="auto" w:fill="E1DFDD"/>
    </w:rPr>
  </w:style>
  <w:style w:type="paragraph" w:customStyle="1" w:styleId="Heading3B">
    <w:name w:val="Heading 3B"/>
    <w:basedOn w:val="Heading3"/>
    <w:link w:val="Heading3BChar"/>
    <w:qFormat/>
    <w:rsid w:val="00D05918"/>
    <w:pPr>
      <w:numPr>
        <w:ilvl w:val="0"/>
        <w:numId w:val="0"/>
      </w:numPr>
    </w:pPr>
  </w:style>
  <w:style w:type="paragraph" w:customStyle="1" w:styleId="Heading2B">
    <w:name w:val="Heading 2B"/>
    <w:basedOn w:val="Heading2"/>
    <w:link w:val="Heading2BChar"/>
    <w:qFormat/>
    <w:rsid w:val="0058538D"/>
    <w:pPr>
      <w:numPr>
        <w:ilvl w:val="0"/>
        <w:numId w:val="0"/>
      </w:numPr>
      <w:ind w:left="576" w:hanging="576"/>
    </w:pPr>
  </w:style>
  <w:style w:type="character" w:customStyle="1" w:styleId="Heading3BChar">
    <w:name w:val="Heading 3B Char"/>
    <w:basedOn w:val="Heading3Char"/>
    <w:link w:val="Heading3B"/>
    <w:rsid w:val="00D05918"/>
    <w:rPr>
      <w:rFonts w:ascii="Arial" w:eastAsia="Times New Roman" w:hAnsi="Arial" w:cs="Arial"/>
      <w:b/>
      <w:bCs/>
      <w:color w:val="272727" w:themeColor="accent1" w:themeShade="80"/>
      <w:sz w:val="28"/>
      <w:szCs w:val="28"/>
      <w:lang w:eastAsia="en-AU"/>
    </w:rPr>
  </w:style>
  <w:style w:type="character" w:customStyle="1" w:styleId="Heading2BChar">
    <w:name w:val="Heading 2B Char"/>
    <w:basedOn w:val="Heading2Char"/>
    <w:link w:val="Heading2B"/>
    <w:rsid w:val="0058538D"/>
    <w:rPr>
      <w:rFonts w:ascii="Arial" w:eastAsia="Times New Roman" w:hAnsi="Arial" w:cs="Arial"/>
      <w:b/>
      <w:bCs/>
      <w:color w:val="9E4A9C"/>
      <w:sz w:val="32"/>
      <w:szCs w:val="32"/>
      <w:lang w:eastAsia="en-AU"/>
    </w:rPr>
  </w:style>
  <w:style w:type="paragraph" w:styleId="Caption">
    <w:name w:val="caption"/>
    <w:basedOn w:val="Normal"/>
    <w:next w:val="Normal"/>
    <w:uiPriority w:val="35"/>
    <w:unhideWhenUsed/>
    <w:qFormat/>
    <w:rsid w:val="00C81F4E"/>
    <w:pPr>
      <w:spacing w:after="200" w:line="240" w:lineRule="auto"/>
    </w:pPr>
    <w:rPr>
      <w:i/>
      <w:iCs/>
      <w:color w:val="041049" w:themeColor="text2"/>
      <w:sz w:val="18"/>
      <w:szCs w:val="18"/>
    </w:rPr>
  </w:style>
  <w:style w:type="paragraph" w:styleId="FootnoteText">
    <w:name w:val="footnote text"/>
    <w:basedOn w:val="Normal"/>
    <w:link w:val="FootnoteTextChar"/>
    <w:uiPriority w:val="99"/>
    <w:semiHidden/>
    <w:unhideWhenUsed/>
    <w:rsid w:val="00005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5CA"/>
    <w:rPr>
      <w:rFonts w:ascii="Arial" w:eastAsia="Times New Roman" w:hAnsi="Arial" w:cs="Arial"/>
      <w:sz w:val="20"/>
      <w:szCs w:val="20"/>
      <w:lang w:val="en-AU" w:eastAsia="en-AU"/>
    </w:rPr>
  </w:style>
  <w:style w:type="character" w:styleId="FootnoteReference">
    <w:name w:val="footnote reference"/>
    <w:basedOn w:val="DefaultParagraphFont"/>
    <w:uiPriority w:val="99"/>
    <w:semiHidden/>
    <w:unhideWhenUsed/>
    <w:rsid w:val="000055CA"/>
    <w:rPr>
      <w:vertAlign w:val="superscript"/>
    </w:rPr>
  </w:style>
  <w:style w:type="character" w:styleId="HTMLCite">
    <w:name w:val="HTML Cite"/>
    <w:basedOn w:val="DefaultParagraphFont"/>
    <w:uiPriority w:val="99"/>
    <w:semiHidden/>
    <w:unhideWhenUsed/>
    <w:rsid w:val="00701A57"/>
    <w:rPr>
      <w:i/>
      <w:iCs/>
    </w:rPr>
  </w:style>
  <w:style w:type="paragraph" w:styleId="TableofFigures">
    <w:name w:val="table of figures"/>
    <w:basedOn w:val="Normal"/>
    <w:next w:val="Normal"/>
    <w:uiPriority w:val="99"/>
    <w:unhideWhenUsed/>
    <w:rsid w:val="00A369BC"/>
    <w:pPr>
      <w:spacing w:after="0"/>
    </w:pPr>
  </w:style>
  <w:style w:type="character" w:customStyle="1" w:styleId="UnresolvedMention2">
    <w:name w:val="Unresolved Mention2"/>
    <w:basedOn w:val="DefaultParagraphFont"/>
    <w:uiPriority w:val="99"/>
    <w:semiHidden/>
    <w:unhideWhenUsed/>
    <w:rsid w:val="00AA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98040">
      <w:bodyDiv w:val="1"/>
      <w:marLeft w:val="0"/>
      <w:marRight w:val="0"/>
      <w:marTop w:val="0"/>
      <w:marBottom w:val="0"/>
      <w:divBdr>
        <w:top w:val="none" w:sz="0" w:space="0" w:color="auto"/>
        <w:left w:val="none" w:sz="0" w:space="0" w:color="auto"/>
        <w:bottom w:val="none" w:sz="0" w:space="0" w:color="auto"/>
        <w:right w:val="none" w:sz="0" w:space="0" w:color="auto"/>
      </w:divBdr>
      <w:divsChild>
        <w:div w:id="950235708">
          <w:marLeft w:val="0"/>
          <w:marRight w:val="0"/>
          <w:marTop w:val="0"/>
          <w:marBottom w:val="0"/>
          <w:divBdr>
            <w:top w:val="none" w:sz="0" w:space="0" w:color="auto"/>
            <w:left w:val="none" w:sz="0" w:space="0" w:color="auto"/>
            <w:bottom w:val="none" w:sz="0" w:space="0" w:color="auto"/>
            <w:right w:val="none" w:sz="0" w:space="0" w:color="auto"/>
          </w:divBdr>
        </w:div>
      </w:divsChild>
    </w:div>
    <w:div w:id="414404588">
      <w:bodyDiv w:val="1"/>
      <w:marLeft w:val="0"/>
      <w:marRight w:val="0"/>
      <w:marTop w:val="0"/>
      <w:marBottom w:val="0"/>
      <w:divBdr>
        <w:top w:val="none" w:sz="0" w:space="0" w:color="auto"/>
        <w:left w:val="none" w:sz="0" w:space="0" w:color="auto"/>
        <w:bottom w:val="none" w:sz="0" w:space="0" w:color="auto"/>
        <w:right w:val="none" w:sz="0" w:space="0" w:color="auto"/>
      </w:divBdr>
    </w:div>
    <w:div w:id="595595628">
      <w:bodyDiv w:val="1"/>
      <w:marLeft w:val="0"/>
      <w:marRight w:val="0"/>
      <w:marTop w:val="0"/>
      <w:marBottom w:val="0"/>
      <w:divBdr>
        <w:top w:val="none" w:sz="0" w:space="0" w:color="auto"/>
        <w:left w:val="none" w:sz="0" w:space="0" w:color="auto"/>
        <w:bottom w:val="none" w:sz="0" w:space="0" w:color="auto"/>
        <w:right w:val="none" w:sz="0" w:space="0" w:color="auto"/>
      </w:divBdr>
    </w:div>
    <w:div w:id="623923406">
      <w:bodyDiv w:val="1"/>
      <w:marLeft w:val="0"/>
      <w:marRight w:val="0"/>
      <w:marTop w:val="0"/>
      <w:marBottom w:val="0"/>
      <w:divBdr>
        <w:top w:val="none" w:sz="0" w:space="0" w:color="auto"/>
        <w:left w:val="none" w:sz="0" w:space="0" w:color="auto"/>
        <w:bottom w:val="none" w:sz="0" w:space="0" w:color="auto"/>
        <w:right w:val="none" w:sz="0" w:space="0" w:color="auto"/>
      </w:divBdr>
    </w:div>
    <w:div w:id="700128155">
      <w:bodyDiv w:val="1"/>
      <w:marLeft w:val="0"/>
      <w:marRight w:val="0"/>
      <w:marTop w:val="0"/>
      <w:marBottom w:val="0"/>
      <w:divBdr>
        <w:top w:val="none" w:sz="0" w:space="0" w:color="auto"/>
        <w:left w:val="none" w:sz="0" w:space="0" w:color="auto"/>
        <w:bottom w:val="none" w:sz="0" w:space="0" w:color="auto"/>
        <w:right w:val="none" w:sz="0" w:space="0" w:color="auto"/>
      </w:divBdr>
    </w:div>
    <w:div w:id="730809481">
      <w:bodyDiv w:val="1"/>
      <w:marLeft w:val="0"/>
      <w:marRight w:val="0"/>
      <w:marTop w:val="0"/>
      <w:marBottom w:val="0"/>
      <w:divBdr>
        <w:top w:val="none" w:sz="0" w:space="0" w:color="auto"/>
        <w:left w:val="none" w:sz="0" w:space="0" w:color="auto"/>
        <w:bottom w:val="none" w:sz="0" w:space="0" w:color="auto"/>
        <w:right w:val="none" w:sz="0" w:space="0" w:color="auto"/>
      </w:divBdr>
    </w:div>
    <w:div w:id="778329815">
      <w:bodyDiv w:val="1"/>
      <w:marLeft w:val="0"/>
      <w:marRight w:val="0"/>
      <w:marTop w:val="0"/>
      <w:marBottom w:val="0"/>
      <w:divBdr>
        <w:top w:val="none" w:sz="0" w:space="0" w:color="auto"/>
        <w:left w:val="none" w:sz="0" w:space="0" w:color="auto"/>
        <w:bottom w:val="none" w:sz="0" w:space="0" w:color="auto"/>
        <w:right w:val="none" w:sz="0" w:space="0" w:color="auto"/>
      </w:divBdr>
      <w:divsChild>
        <w:div w:id="297613257">
          <w:marLeft w:val="0"/>
          <w:marRight w:val="0"/>
          <w:marTop w:val="0"/>
          <w:marBottom w:val="0"/>
          <w:divBdr>
            <w:top w:val="none" w:sz="0" w:space="0" w:color="auto"/>
            <w:left w:val="none" w:sz="0" w:space="0" w:color="auto"/>
            <w:bottom w:val="none" w:sz="0" w:space="0" w:color="auto"/>
            <w:right w:val="none" w:sz="0" w:space="0" w:color="auto"/>
          </w:divBdr>
        </w:div>
        <w:div w:id="940256304">
          <w:marLeft w:val="0"/>
          <w:marRight w:val="0"/>
          <w:marTop w:val="0"/>
          <w:marBottom w:val="0"/>
          <w:divBdr>
            <w:top w:val="none" w:sz="0" w:space="0" w:color="auto"/>
            <w:left w:val="none" w:sz="0" w:space="0" w:color="auto"/>
            <w:bottom w:val="none" w:sz="0" w:space="0" w:color="auto"/>
            <w:right w:val="none" w:sz="0" w:space="0" w:color="auto"/>
          </w:divBdr>
        </w:div>
        <w:div w:id="1111701163">
          <w:marLeft w:val="0"/>
          <w:marRight w:val="0"/>
          <w:marTop w:val="0"/>
          <w:marBottom w:val="0"/>
          <w:divBdr>
            <w:top w:val="none" w:sz="0" w:space="0" w:color="auto"/>
            <w:left w:val="none" w:sz="0" w:space="0" w:color="auto"/>
            <w:bottom w:val="none" w:sz="0" w:space="0" w:color="auto"/>
            <w:right w:val="none" w:sz="0" w:space="0" w:color="auto"/>
          </w:divBdr>
        </w:div>
        <w:div w:id="1790972192">
          <w:marLeft w:val="0"/>
          <w:marRight w:val="0"/>
          <w:marTop w:val="0"/>
          <w:marBottom w:val="0"/>
          <w:divBdr>
            <w:top w:val="none" w:sz="0" w:space="0" w:color="auto"/>
            <w:left w:val="none" w:sz="0" w:space="0" w:color="auto"/>
            <w:bottom w:val="none" w:sz="0" w:space="0" w:color="auto"/>
            <w:right w:val="none" w:sz="0" w:space="0" w:color="auto"/>
          </w:divBdr>
        </w:div>
        <w:div w:id="2122800813">
          <w:marLeft w:val="0"/>
          <w:marRight w:val="0"/>
          <w:marTop w:val="0"/>
          <w:marBottom w:val="0"/>
          <w:divBdr>
            <w:top w:val="none" w:sz="0" w:space="0" w:color="auto"/>
            <w:left w:val="none" w:sz="0" w:space="0" w:color="auto"/>
            <w:bottom w:val="none" w:sz="0" w:space="0" w:color="auto"/>
            <w:right w:val="none" w:sz="0" w:space="0" w:color="auto"/>
          </w:divBdr>
        </w:div>
      </w:divsChild>
    </w:div>
    <w:div w:id="802231344">
      <w:bodyDiv w:val="1"/>
      <w:marLeft w:val="0"/>
      <w:marRight w:val="0"/>
      <w:marTop w:val="0"/>
      <w:marBottom w:val="0"/>
      <w:divBdr>
        <w:top w:val="none" w:sz="0" w:space="0" w:color="auto"/>
        <w:left w:val="none" w:sz="0" w:space="0" w:color="auto"/>
        <w:bottom w:val="none" w:sz="0" w:space="0" w:color="auto"/>
        <w:right w:val="none" w:sz="0" w:space="0" w:color="auto"/>
      </w:divBdr>
      <w:divsChild>
        <w:div w:id="77793748">
          <w:marLeft w:val="0"/>
          <w:marRight w:val="0"/>
          <w:marTop w:val="0"/>
          <w:marBottom w:val="0"/>
          <w:divBdr>
            <w:top w:val="none" w:sz="0" w:space="0" w:color="auto"/>
            <w:left w:val="none" w:sz="0" w:space="0" w:color="auto"/>
            <w:bottom w:val="none" w:sz="0" w:space="0" w:color="auto"/>
            <w:right w:val="none" w:sz="0" w:space="0" w:color="auto"/>
          </w:divBdr>
        </w:div>
        <w:div w:id="103497319">
          <w:marLeft w:val="0"/>
          <w:marRight w:val="0"/>
          <w:marTop w:val="0"/>
          <w:marBottom w:val="0"/>
          <w:divBdr>
            <w:top w:val="none" w:sz="0" w:space="0" w:color="auto"/>
            <w:left w:val="none" w:sz="0" w:space="0" w:color="auto"/>
            <w:bottom w:val="none" w:sz="0" w:space="0" w:color="auto"/>
            <w:right w:val="none" w:sz="0" w:space="0" w:color="auto"/>
          </w:divBdr>
        </w:div>
        <w:div w:id="482816912">
          <w:marLeft w:val="0"/>
          <w:marRight w:val="0"/>
          <w:marTop w:val="0"/>
          <w:marBottom w:val="0"/>
          <w:divBdr>
            <w:top w:val="none" w:sz="0" w:space="0" w:color="auto"/>
            <w:left w:val="none" w:sz="0" w:space="0" w:color="auto"/>
            <w:bottom w:val="none" w:sz="0" w:space="0" w:color="auto"/>
            <w:right w:val="none" w:sz="0" w:space="0" w:color="auto"/>
          </w:divBdr>
        </w:div>
        <w:div w:id="561334220">
          <w:marLeft w:val="0"/>
          <w:marRight w:val="0"/>
          <w:marTop w:val="0"/>
          <w:marBottom w:val="0"/>
          <w:divBdr>
            <w:top w:val="none" w:sz="0" w:space="0" w:color="auto"/>
            <w:left w:val="none" w:sz="0" w:space="0" w:color="auto"/>
            <w:bottom w:val="none" w:sz="0" w:space="0" w:color="auto"/>
            <w:right w:val="none" w:sz="0" w:space="0" w:color="auto"/>
          </w:divBdr>
        </w:div>
        <w:div w:id="1606233472">
          <w:marLeft w:val="0"/>
          <w:marRight w:val="0"/>
          <w:marTop w:val="0"/>
          <w:marBottom w:val="0"/>
          <w:divBdr>
            <w:top w:val="none" w:sz="0" w:space="0" w:color="auto"/>
            <w:left w:val="none" w:sz="0" w:space="0" w:color="auto"/>
            <w:bottom w:val="none" w:sz="0" w:space="0" w:color="auto"/>
            <w:right w:val="none" w:sz="0" w:space="0" w:color="auto"/>
          </w:divBdr>
        </w:div>
        <w:div w:id="1770540650">
          <w:marLeft w:val="0"/>
          <w:marRight w:val="0"/>
          <w:marTop w:val="0"/>
          <w:marBottom w:val="0"/>
          <w:divBdr>
            <w:top w:val="none" w:sz="0" w:space="0" w:color="auto"/>
            <w:left w:val="none" w:sz="0" w:space="0" w:color="auto"/>
            <w:bottom w:val="none" w:sz="0" w:space="0" w:color="auto"/>
            <w:right w:val="none" w:sz="0" w:space="0" w:color="auto"/>
          </w:divBdr>
        </w:div>
      </w:divsChild>
    </w:div>
    <w:div w:id="944192241">
      <w:bodyDiv w:val="1"/>
      <w:marLeft w:val="0"/>
      <w:marRight w:val="0"/>
      <w:marTop w:val="0"/>
      <w:marBottom w:val="0"/>
      <w:divBdr>
        <w:top w:val="none" w:sz="0" w:space="0" w:color="auto"/>
        <w:left w:val="none" w:sz="0" w:space="0" w:color="auto"/>
        <w:bottom w:val="none" w:sz="0" w:space="0" w:color="auto"/>
        <w:right w:val="none" w:sz="0" w:space="0" w:color="auto"/>
      </w:divBdr>
    </w:div>
    <w:div w:id="977999813">
      <w:bodyDiv w:val="1"/>
      <w:marLeft w:val="0"/>
      <w:marRight w:val="0"/>
      <w:marTop w:val="0"/>
      <w:marBottom w:val="0"/>
      <w:divBdr>
        <w:top w:val="none" w:sz="0" w:space="0" w:color="auto"/>
        <w:left w:val="none" w:sz="0" w:space="0" w:color="auto"/>
        <w:bottom w:val="none" w:sz="0" w:space="0" w:color="auto"/>
        <w:right w:val="none" w:sz="0" w:space="0" w:color="auto"/>
      </w:divBdr>
    </w:div>
    <w:div w:id="1013072958">
      <w:bodyDiv w:val="1"/>
      <w:marLeft w:val="0"/>
      <w:marRight w:val="0"/>
      <w:marTop w:val="0"/>
      <w:marBottom w:val="0"/>
      <w:divBdr>
        <w:top w:val="none" w:sz="0" w:space="0" w:color="auto"/>
        <w:left w:val="none" w:sz="0" w:space="0" w:color="auto"/>
        <w:bottom w:val="none" w:sz="0" w:space="0" w:color="auto"/>
        <w:right w:val="none" w:sz="0" w:space="0" w:color="auto"/>
      </w:divBdr>
    </w:div>
    <w:div w:id="1031881533">
      <w:bodyDiv w:val="1"/>
      <w:marLeft w:val="0"/>
      <w:marRight w:val="0"/>
      <w:marTop w:val="0"/>
      <w:marBottom w:val="0"/>
      <w:divBdr>
        <w:top w:val="none" w:sz="0" w:space="0" w:color="auto"/>
        <w:left w:val="none" w:sz="0" w:space="0" w:color="auto"/>
        <w:bottom w:val="none" w:sz="0" w:space="0" w:color="auto"/>
        <w:right w:val="none" w:sz="0" w:space="0" w:color="auto"/>
      </w:divBdr>
      <w:divsChild>
        <w:div w:id="601382730">
          <w:marLeft w:val="0"/>
          <w:marRight w:val="0"/>
          <w:marTop w:val="0"/>
          <w:marBottom w:val="0"/>
          <w:divBdr>
            <w:top w:val="none" w:sz="0" w:space="0" w:color="auto"/>
            <w:left w:val="none" w:sz="0" w:space="0" w:color="auto"/>
            <w:bottom w:val="none" w:sz="0" w:space="0" w:color="auto"/>
            <w:right w:val="none" w:sz="0" w:space="0" w:color="auto"/>
          </w:divBdr>
          <w:divsChild>
            <w:div w:id="1915167550">
              <w:marLeft w:val="0"/>
              <w:marRight w:val="0"/>
              <w:marTop w:val="0"/>
              <w:marBottom w:val="0"/>
              <w:divBdr>
                <w:top w:val="none" w:sz="0" w:space="0" w:color="auto"/>
                <w:left w:val="none" w:sz="0" w:space="0" w:color="auto"/>
                <w:bottom w:val="none" w:sz="0" w:space="0" w:color="auto"/>
                <w:right w:val="none" w:sz="0" w:space="0" w:color="auto"/>
              </w:divBdr>
            </w:div>
          </w:divsChild>
        </w:div>
        <w:div w:id="1397628740">
          <w:marLeft w:val="0"/>
          <w:marRight w:val="0"/>
          <w:marTop w:val="0"/>
          <w:marBottom w:val="0"/>
          <w:divBdr>
            <w:top w:val="none" w:sz="0" w:space="0" w:color="auto"/>
            <w:left w:val="none" w:sz="0" w:space="0" w:color="auto"/>
            <w:bottom w:val="none" w:sz="0" w:space="0" w:color="auto"/>
            <w:right w:val="none" w:sz="0" w:space="0" w:color="auto"/>
          </w:divBdr>
          <w:divsChild>
            <w:div w:id="272710856">
              <w:marLeft w:val="0"/>
              <w:marRight w:val="0"/>
              <w:marTop w:val="0"/>
              <w:marBottom w:val="0"/>
              <w:divBdr>
                <w:top w:val="none" w:sz="0" w:space="0" w:color="auto"/>
                <w:left w:val="none" w:sz="0" w:space="0" w:color="auto"/>
                <w:bottom w:val="none" w:sz="0" w:space="0" w:color="auto"/>
                <w:right w:val="none" w:sz="0" w:space="0" w:color="auto"/>
              </w:divBdr>
            </w:div>
          </w:divsChild>
        </w:div>
        <w:div w:id="2068799347">
          <w:marLeft w:val="0"/>
          <w:marRight w:val="0"/>
          <w:marTop w:val="0"/>
          <w:marBottom w:val="0"/>
          <w:divBdr>
            <w:top w:val="none" w:sz="0" w:space="0" w:color="auto"/>
            <w:left w:val="none" w:sz="0" w:space="0" w:color="auto"/>
            <w:bottom w:val="none" w:sz="0" w:space="0" w:color="auto"/>
            <w:right w:val="none" w:sz="0" w:space="0" w:color="auto"/>
          </w:divBdr>
          <w:divsChild>
            <w:div w:id="86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2443">
      <w:bodyDiv w:val="1"/>
      <w:marLeft w:val="0"/>
      <w:marRight w:val="0"/>
      <w:marTop w:val="0"/>
      <w:marBottom w:val="0"/>
      <w:divBdr>
        <w:top w:val="none" w:sz="0" w:space="0" w:color="auto"/>
        <w:left w:val="none" w:sz="0" w:space="0" w:color="auto"/>
        <w:bottom w:val="none" w:sz="0" w:space="0" w:color="auto"/>
        <w:right w:val="none" w:sz="0" w:space="0" w:color="auto"/>
      </w:divBdr>
      <w:divsChild>
        <w:div w:id="136916397">
          <w:marLeft w:val="0"/>
          <w:marRight w:val="0"/>
          <w:marTop w:val="0"/>
          <w:marBottom w:val="0"/>
          <w:divBdr>
            <w:top w:val="none" w:sz="0" w:space="0" w:color="auto"/>
            <w:left w:val="none" w:sz="0" w:space="0" w:color="auto"/>
            <w:bottom w:val="none" w:sz="0" w:space="0" w:color="auto"/>
            <w:right w:val="none" w:sz="0" w:space="0" w:color="auto"/>
          </w:divBdr>
          <w:divsChild>
            <w:div w:id="1689404447">
              <w:marLeft w:val="0"/>
              <w:marRight w:val="0"/>
              <w:marTop w:val="0"/>
              <w:marBottom w:val="0"/>
              <w:divBdr>
                <w:top w:val="none" w:sz="0" w:space="0" w:color="auto"/>
                <w:left w:val="none" w:sz="0" w:space="0" w:color="auto"/>
                <w:bottom w:val="none" w:sz="0" w:space="0" w:color="auto"/>
                <w:right w:val="none" w:sz="0" w:space="0" w:color="auto"/>
              </w:divBdr>
            </w:div>
            <w:div w:id="1904756131">
              <w:marLeft w:val="0"/>
              <w:marRight w:val="0"/>
              <w:marTop w:val="0"/>
              <w:marBottom w:val="0"/>
              <w:divBdr>
                <w:top w:val="none" w:sz="0" w:space="0" w:color="auto"/>
                <w:left w:val="none" w:sz="0" w:space="0" w:color="auto"/>
                <w:bottom w:val="none" w:sz="0" w:space="0" w:color="auto"/>
                <w:right w:val="none" w:sz="0" w:space="0" w:color="auto"/>
              </w:divBdr>
            </w:div>
          </w:divsChild>
        </w:div>
        <w:div w:id="1342660353">
          <w:marLeft w:val="0"/>
          <w:marRight w:val="0"/>
          <w:marTop w:val="0"/>
          <w:marBottom w:val="0"/>
          <w:divBdr>
            <w:top w:val="none" w:sz="0" w:space="0" w:color="auto"/>
            <w:left w:val="none" w:sz="0" w:space="0" w:color="auto"/>
            <w:bottom w:val="none" w:sz="0" w:space="0" w:color="auto"/>
            <w:right w:val="none" w:sz="0" w:space="0" w:color="auto"/>
          </w:divBdr>
          <w:divsChild>
            <w:div w:id="75716643">
              <w:marLeft w:val="0"/>
              <w:marRight w:val="0"/>
              <w:marTop w:val="0"/>
              <w:marBottom w:val="0"/>
              <w:divBdr>
                <w:top w:val="none" w:sz="0" w:space="0" w:color="auto"/>
                <w:left w:val="none" w:sz="0" w:space="0" w:color="auto"/>
                <w:bottom w:val="none" w:sz="0" w:space="0" w:color="auto"/>
                <w:right w:val="none" w:sz="0" w:space="0" w:color="auto"/>
              </w:divBdr>
            </w:div>
            <w:div w:id="16054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975">
      <w:bodyDiv w:val="1"/>
      <w:marLeft w:val="0"/>
      <w:marRight w:val="0"/>
      <w:marTop w:val="0"/>
      <w:marBottom w:val="0"/>
      <w:divBdr>
        <w:top w:val="none" w:sz="0" w:space="0" w:color="auto"/>
        <w:left w:val="none" w:sz="0" w:space="0" w:color="auto"/>
        <w:bottom w:val="none" w:sz="0" w:space="0" w:color="auto"/>
        <w:right w:val="none" w:sz="0" w:space="0" w:color="auto"/>
      </w:divBdr>
    </w:div>
    <w:div w:id="1114862346">
      <w:bodyDiv w:val="1"/>
      <w:marLeft w:val="0"/>
      <w:marRight w:val="0"/>
      <w:marTop w:val="0"/>
      <w:marBottom w:val="0"/>
      <w:divBdr>
        <w:top w:val="none" w:sz="0" w:space="0" w:color="auto"/>
        <w:left w:val="none" w:sz="0" w:space="0" w:color="auto"/>
        <w:bottom w:val="none" w:sz="0" w:space="0" w:color="auto"/>
        <w:right w:val="none" w:sz="0" w:space="0" w:color="auto"/>
      </w:divBdr>
      <w:divsChild>
        <w:div w:id="1452432150">
          <w:marLeft w:val="0"/>
          <w:marRight w:val="0"/>
          <w:marTop w:val="0"/>
          <w:marBottom w:val="0"/>
          <w:divBdr>
            <w:top w:val="none" w:sz="0" w:space="0" w:color="auto"/>
            <w:left w:val="none" w:sz="0" w:space="0" w:color="auto"/>
            <w:bottom w:val="none" w:sz="0" w:space="0" w:color="auto"/>
            <w:right w:val="none" w:sz="0" w:space="0" w:color="auto"/>
          </w:divBdr>
          <w:divsChild>
            <w:div w:id="11317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107">
      <w:bodyDiv w:val="1"/>
      <w:marLeft w:val="0"/>
      <w:marRight w:val="0"/>
      <w:marTop w:val="0"/>
      <w:marBottom w:val="0"/>
      <w:divBdr>
        <w:top w:val="none" w:sz="0" w:space="0" w:color="auto"/>
        <w:left w:val="none" w:sz="0" w:space="0" w:color="auto"/>
        <w:bottom w:val="none" w:sz="0" w:space="0" w:color="auto"/>
        <w:right w:val="none" w:sz="0" w:space="0" w:color="auto"/>
      </w:divBdr>
    </w:div>
    <w:div w:id="1336611465">
      <w:bodyDiv w:val="1"/>
      <w:marLeft w:val="0"/>
      <w:marRight w:val="0"/>
      <w:marTop w:val="0"/>
      <w:marBottom w:val="0"/>
      <w:divBdr>
        <w:top w:val="none" w:sz="0" w:space="0" w:color="auto"/>
        <w:left w:val="none" w:sz="0" w:space="0" w:color="auto"/>
        <w:bottom w:val="none" w:sz="0" w:space="0" w:color="auto"/>
        <w:right w:val="none" w:sz="0" w:space="0" w:color="auto"/>
      </w:divBdr>
      <w:divsChild>
        <w:div w:id="289633152">
          <w:marLeft w:val="0"/>
          <w:marRight w:val="0"/>
          <w:marTop w:val="0"/>
          <w:marBottom w:val="0"/>
          <w:divBdr>
            <w:top w:val="none" w:sz="0" w:space="0" w:color="auto"/>
            <w:left w:val="none" w:sz="0" w:space="0" w:color="auto"/>
            <w:bottom w:val="none" w:sz="0" w:space="0" w:color="auto"/>
            <w:right w:val="none" w:sz="0" w:space="0" w:color="auto"/>
          </w:divBdr>
          <w:divsChild>
            <w:div w:id="1052464127">
              <w:marLeft w:val="0"/>
              <w:marRight w:val="0"/>
              <w:marTop w:val="0"/>
              <w:marBottom w:val="0"/>
              <w:divBdr>
                <w:top w:val="none" w:sz="0" w:space="0" w:color="auto"/>
                <w:left w:val="none" w:sz="0" w:space="0" w:color="auto"/>
                <w:bottom w:val="none" w:sz="0" w:space="0" w:color="auto"/>
                <w:right w:val="none" w:sz="0" w:space="0" w:color="auto"/>
              </w:divBdr>
            </w:div>
            <w:div w:id="2083066677">
              <w:marLeft w:val="0"/>
              <w:marRight w:val="0"/>
              <w:marTop w:val="0"/>
              <w:marBottom w:val="0"/>
              <w:divBdr>
                <w:top w:val="none" w:sz="0" w:space="0" w:color="auto"/>
                <w:left w:val="none" w:sz="0" w:space="0" w:color="auto"/>
                <w:bottom w:val="none" w:sz="0" w:space="0" w:color="auto"/>
                <w:right w:val="none" w:sz="0" w:space="0" w:color="auto"/>
              </w:divBdr>
            </w:div>
          </w:divsChild>
        </w:div>
        <w:div w:id="1906985354">
          <w:marLeft w:val="0"/>
          <w:marRight w:val="0"/>
          <w:marTop w:val="0"/>
          <w:marBottom w:val="0"/>
          <w:divBdr>
            <w:top w:val="none" w:sz="0" w:space="0" w:color="auto"/>
            <w:left w:val="none" w:sz="0" w:space="0" w:color="auto"/>
            <w:bottom w:val="none" w:sz="0" w:space="0" w:color="auto"/>
            <w:right w:val="none" w:sz="0" w:space="0" w:color="auto"/>
          </w:divBdr>
          <w:divsChild>
            <w:div w:id="151410697">
              <w:marLeft w:val="0"/>
              <w:marRight w:val="0"/>
              <w:marTop w:val="0"/>
              <w:marBottom w:val="0"/>
              <w:divBdr>
                <w:top w:val="none" w:sz="0" w:space="0" w:color="auto"/>
                <w:left w:val="none" w:sz="0" w:space="0" w:color="auto"/>
                <w:bottom w:val="none" w:sz="0" w:space="0" w:color="auto"/>
                <w:right w:val="none" w:sz="0" w:space="0" w:color="auto"/>
              </w:divBdr>
            </w:div>
            <w:div w:id="1771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3565">
      <w:bodyDiv w:val="1"/>
      <w:marLeft w:val="0"/>
      <w:marRight w:val="0"/>
      <w:marTop w:val="0"/>
      <w:marBottom w:val="0"/>
      <w:divBdr>
        <w:top w:val="none" w:sz="0" w:space="0" w:color="auto"/>
        <w:left w:val="none" w:sz="0" w:space="0" w:color="auto"/>
        <w:bottom w:val="none" w:sz="0" w:space="0" w:color="auto"/>
        <w:right w:val="none" w:sz="0" w:space="0" w:color="auto"/>
      </w:divBdr>
    </w:div>
    <w:div w:id="1649820418">
      <w:bodyDiv w:val="1"/>
      <w:marLeft w:val="0"/>
      <w:marRight w:val="0"/>
      <w:marTop w:val="0"/>
      <w:marBottom w:val="0"/>
      <w:divBdr>
        <w:top w:val="none" w:sz="0" w:space="0" w:color="auto"/>
        <w:left w:val="none" w:sz="0" w:space="0" w:color="auto"/>
        <w:bottom w:val="none" w:sz="0" w:space="0" w:color="auto"/>
        <w:right w:val="none" w:sz="0" w:space="0" w:color="auto"/>
      </w:divBdr>
    </w:div>
    <w:div w:id="1791388310">
      <w:bodyDiv w:val="1"/>
      <w:marLeft w:val="0"/>
      <w:marRight w:val="0"/>
      <w:marTop w:val="0"/>
      <w:marBottom w:val="0"/>
      <w:divBdr>
        <w:top w:val="none" w:sz="0" w:space="0" w:color="auto"/>
        <w:left w:val="none" w:sz="0" w:space="0" w:color="auto"/>
        <w:bottom w:val="none" w:sz="0" w:space="0" w:color="auto"/>
        <w:right w:val="none" w:sz="0" w:space="0" w:color="auto"/>
      </w:divBdr>
      <w:divsChild>
        <w:div w:id="173111904">
          <w:marLeft w:val="0"/>
          <w:marRight w:val="0"/>
          <w:marTop w:val="0"/>
          <w:marBottom w:val="0"/>
          <w:divBdr>
            <w:top w:val="none" w:sz="0" w:space="0" w:color="auto"/>
            <w:left w:val="none" w:sz="0" w:space="0" w:color="auto"/>
            <w:bottom w:val="none" w:sz="0" w:space="0" w:color="auto"/>
            <w:right w:val="none" w:sz="0" w:space="0" w:color="auto"/>
          </w:divBdr>
        </w:div>
        <w:div w:id="233055315">
          <w:marLeft w:val="0"/>
          <w:marRight w:val="0"/>
          <w:marTop w:val="0"/>
          <w:marBottom w:val="0"/>
          <w:divBdr>
            <w:top w:val="none" w:sz="0" w:space="0" w:color="auto"/>
            <w:left w:val="none" w:sz="0" w:space="0" w:color="auto"/>
            <w:bottom w:val="none" w:sz="0" w:space="0" w:color="auto"/>
            <w:right w:val="none" w:sz="0" w:space="0" w:color="auto"/>
          </w:divBdr>
        </w:div>
        <w:div w:id="342589090">
          <w:marLeft w:val="0"/>
          <w:marRight w:val="0"/>
          <w:marTop w:val="0"/>
          <w:marBottom w:val="0"/>
          <w:divBdr>
            <w:top w:val="none" w:sz="0" w:space="0" w:color="auto"/>
            <w:left w:val="none" w:sz="0" w:space="0" w:color="auto"/>
            <w:bottom w:val="none" w:sz="0" w:space="0" w:color="auto"/>
            <w:right w:val="none" w:sz="0" w:space="0" w:color="auto"/>
          </w:divBdr>
        </w:div>
        <w:div w:id="584649340">
          <w:marLeft w:val="0"/>
          <w:marRight w:val="0"/>
          <w:marTop w:val="0"/>
          <w:marBottom w:val="0"/>
          <w:divBdr>
            <w:top w:val="none" w:sz="0" w:space="0" w:color="auto"/>
            <w:left w:val="none" w:sz="0" w:space="0" w:color="auto"/>
            <w:bottom w:val="none" w:sz="0" w:space="0" w:color="auto"/>
            <w:right w:val="none" w:sz="0" w:space="0" w:color="auto"/>
          </w:divBdr>
        </w:div>
        <w:div w:id="774401307">
          <w:marLeft w:val="0"/>
          <w:marRight w:val="0"/>
          <w:marTop w:val="0"/>
          <w:marBottom w:val="0"/>
          <w:divBdr>
            <w:top w:val="none" w:sz="0" w:space="0" w:color="auto"/>
            <w:left w:val="none" w:sz="0" w:space="0" w:color="auto"/>
            <w:bottom w:val="none" w:sz="0" w:space="0" w:color="auto"/>
            <w:right w:val="none" w:sz="0" w:space="0" w:color="auto"/>
          </w:divBdr>
        </w:div>
        <w:div w:id="1371489191">
          <w:marLeft w:val="0"/>
          <w:marRight w:val="0"/>
          <w:marTop w:val="0"/>
          <w:marBottom w:val="0"/>
          <w:divBdr>
            <w:top w:val="none" w:sz="0" w:space="0" w:color="auto"/>
            <w:left w:val="none" w:sz="0" w:space="0" w:color="auto"/>
            <w:bottom w:val="none" w:sz="0" w:space="0" w:color="auto"/>
            <w:right w:val="none" w:sz="0" w:space="0" w:color="auto"/>
          </w:divBdr>
        </w:div>
        <w:div w:id="1385254697">
          <w:marLeft w:val="0"/>
          <w:marRight w:val="0"/>
          <w:marTop w:val="0"/>
          <w:marBottom w:val="0"/>
          <w:divBdr>
            <w:top w:val="none" w:sz="0" w:space="0" w:color="auto"/>
            <w:left w:val="none" w:sz="0" w:space="0" w:color="auto"/>
            <w:bottom w:val="none" w:sz="0" w:space="0" w:color="auto"/>
            <w:right w:val="none" w:sz="0" w:space="0" w:color="auto"/>
          </w:divBdr>
        </w:div>
        <w:div w:id="1439328761">
          <w:marLeft w:val="0"/>
          <w:marRight w:val="0"/>
          <w:marTop w:val="0"/>
          <w:marBottom w:val="0"/>
          <w:divBdr>
            <w:top w:val="none" w:sz="0" w:space="0" w:color="auto"/>
            <w:left w:val="none" w:sz="0" w:space="0" w:color="auto"/>
            <w:bottom w:val="none" w:sz="0" w:space="0" w:color="auto"/>
            <w:right w:val="none" w:sz="0" w:space="0" w:color="auto"/>
          </w:divBdr>
        </w:div>
        <w:div w:id="1867061060">
          <w:marLeft w:val="0"/>
          <w:marRight w:val="0"/>
          <w:marTop w:val="0"/>
          <w:marBottom w:val="0"/>
          <w:divBdr>
            <w:top w:val="none" w:sz="0" w:space="0" w:color="auto"/>
            <w:left w:val="none" w:sz="0" w:space="0" w:color="auto"/>
            <w:bottom w:val="none" w:sz="0" w:space="0" w:color="auto"/>
            <w:right w:val="none" w:sz="0" w:space="0" w:color="auto"/>
          </w:divBdr>
        </w:div>
      </w:divsChild>
    </w:div>
    <w:div w:id="1872183461">
      <w:bodyDiv w:val="1"/>
      <w:marLeft w:val="0"/>
      <w:marRight w:val="0"/>
      <w:marTop w:val="0"/>
      <w:marBottom w:val="0"/>
      <w:divBdr>
        <w:top w:val="none" w:sz="0" w:space="0" w:color="auto"/>
        <w:left w:val="none" w:sz="0" w:space="0" w:color="auto"/>
        <w:bottom w:val="none" w:sz="0" w:space="0" w:color="auto"/>
        <w:right w:val="none" w:sz="0" w:space="0" w:color="auto"/>
      </w:divBdr>
    </w:div>
    <w:div w:id="1926188835">
      <w:bodyDiv w:val="1"/>
      <w:marLeft w:val="0"/>
      <w:marRight w:val="0"/>
      <w:marTop w:val="0"/>
      <w:marBottom w:val="0"/>
      <w:divBdr>
        <w:top w:val="none" w:sz="0" w:space="0" w:color="auto"/>
        <w:left w:val="none" w:sz="0" w:space="0" w:color="auto"/>
        <w:bottom w:val="none" w:sz="0" w:space="0" w:color="auto"/>
        <w:right w:val="none" w:sz="0" w:space="0" w:color="auto"/>
      </w:divBdr>
      <w:divsChild>
        <w:div w:id="118031627">
          <w:marLeft w:val="0"/>
          <w:marRight w:val="0"/>
          <w:marTop w:val="0"/>
          <w:marBottom w:val="0"/>
          <w:divBdr>
            <w:top w:val="none" w:sz="0" w:space="0" w:color="auto"/>
            <w:left w:val="none" w:sz="0" w:space="0" w:color="auto"/>
            <w:bottom w:val="none" w:sz="0" w:space="0" w:color="auto"/>
            <w:right w:val="none" w:sz="0" w:space="0" w:color="auto"/>
          </w:divBdr>
        </w:div>
        <w:div w:id="282618241">
          <w:marLeft w:val="0"/>
          <w:marRight w:val="0"/>
          <w:marTop w:val="0"/>
          <w:marBottom w:val="0"/>
          <w:divBdr>
            <w:top w:val="none" w:sz="0" w:space="0" w:color="auto"/>
            <w:left w:val="none" w:sz="0" w:space="0" w:color="auto"/>
            <w:bottom w:val="none" w:sz="0" w:space="0" w:color="auto"/>
            <w:right w:val="none" w:sz="0" w:space="0" w:color="auto"/>
          </w:divBdr>
        </w:div>
        <w:div w:id="450899348">
          <w:marLeft w:val="0"/>
          <w:marRight w:val="0"/>
          <w:marTop w:val="0"/>
          <w:marBottom w:val="0"/>
          <w:divBdr>
            <w:top w:val="none" w:sz="0" w:space="0" w:color="auto"/>
            <w:left w:val="none" w:sz="0" w:space="0" w:color="auto"/>
            <w:bottom w:val="none" w:sz="0" w:space="0" w:color="auto"/>
            <w:right w:val="none" w:sz="0" w:space="0" w:color="auto"/>
          </w:divBdr>
        </w:div>
        <w:div w:id="499008953">
          <w:marLeft w:val="0"/>
          <w:marRight w:val="0"/>
          <w:marTop w:val="0"/>
          <w:marBottom w:val="0"/>
          <w:divBdr>
            <w:top w:val="none" w:sz="0" w:space="0" w:color="auto"/>
            <w:left w:val="none" w:sz="0" w:space="0" w:color="auto"/>
            <w:bottom w:val="none" w:sz="0" w:space="0" w:color="auto"/>
            <w:right w:val="none" w:sz="0" w:space="0" w:color="auto"/>
          </w:divBdr>
        </w:div>
        <w:div w:id="687869835">
          <w:marLeft w:val="0"/>
          <w:marRight w:val="0"/>
          <w:marTop w:val="0"/>
          <w:marBottom w:val="0"/>
          <w:divBdr>
            <w:top w:val="none" w:sz="0" w:space="0" w:color="auto"/>
            <w:left w:val="none" w:sz="0" w:space="0" w:color="auto"/>
            <w:bottom w:val="none" w:sz="0" w:space="0" w:color="auto"/>
            <w:right w:val="none" w:sz="0" w:space="0" w:color="auto"/>
          </w:divBdr>
        </w:div>
        <w:div w:id="1426613662">
          <w:marLeft w:val="0"/>
          <w:marRight w:val="0"/>
          <w:marTop w:val="0"/>
          <w:marBottom w:val="0"/>
          <w:divBdr>
            <w:top w:val="none" w:sz="0" w:space="0" w:color="auto"/>
            <w:left w:val="none" w:sz="0" w:space="0" w:color="auto"/>
            <w:bottom w:val="none" w:sz="0" w:space="0" w:color="auto"/>
            <w:right w:val="none" w:sz="0" w:space="0" w:color="auto"/>
          </w:divBdr>
        </w:div>
        <w:div w:id="1450928296">
          <w:marLeft w:val="0"/>
          <w:marRight w:val="0"/>
          <w:marTop w:val="0"/>
          <w:marBottom w:val="0"/>
          <w:divBdr>
            <w:top w:val="none" w:sz="0" w:space="0" w:color="auto"/>
            <w:left w:val="none" w:sz="0" w:space="0" w:color="auto"/>
            <w:bottom w:val="none" w:sz="0" w:space="0" w:color="auto"/>
            <w:right w:val="none" w:sz="0" w:space="0" w:color="auto"/>
          </w:divBdr>
        </w:div>
        <w:div w:id="2028016935">
          <w:marLeft w:val="0"/>
          <w:marRight w:val="0"/>
          <w:marTop w:val="0"/>
          <w:marBottom w:val="0"/>
          <w:divBdr>
            <w:top w:val="none" w:sz="0" w:space="0" w:color="auto"/>
            <w:left w:val="none" w:sz="0" w:space="0" w:color="auto"/>
            <w:bottom w:val="none" w:sz="0" w:space="0" w:color="auto"/>
            <w:right w:val="none" w:sz="0" w:space="0" w:color="auto"/>
          </w:divBdr>
        </w:div>
        <w:div w:id="2055962338">
          <w:marLeft w:val="0"/>
          <w:marRight w:val="0"/>
          <w:marTop w:val="0"/>
          <w:marBottom w:val="0"/>
          <w:divBdr>
            <w:top w:val="none" w:sz="0" w:space="0" w:color="auto"/>
            <w:left w:val="none" w:sz="0" w:space="0" w:color="auto"/>
            <w:bottom w:val="none" w:sz="0" w:space="0" w:color="auto"/>
            <w:right w:val="none" w:sz="0" w:space="0" w:color="auto"/>
          </w:divBdr>
        </w:div>
      </w:divsChild>
    </w:div>
    <w:div w:id="1935477707">
      <w:bodyDiv w:val="1"/>
      <w:marLeft w:val="0"/>
      <w:marRight w:val="0"/>
      <w:marTop w:val="0"/>
      <w:marBottom w:val="0"/>
      <w:divBdr>
        <w:top w:val="none" w:sz="0" w:space="0" w:color="auto"/>
        <w:left w:val="none" w:sz="0" w:space="0" w:color="auto"/>
        <w:bottom w:val="none" w:sz="0" w:space="0" w:color="auto"/>
        <w:right w:val="none" w:sz="0" w:space="0" w:color="auto"/>
      </w:divBdr>
      <w:divsChild>
        <w:div w:id="1447502576">
          <w:marLeft w:val="0"/>
          <w:marRight w:val="0"/>
          <w:marTop w:val="0"/>
          <w:marBottom w:val="0"/>
          <w:divBdr>
            <w:top w:val="none" w:sz="0" w:space="0" w:color="auto"/>
            <w:left w:val="none" w:sz="0" w:space="0" w:color="auto"/>
            <w:bottom w:val="none" w:sz="0" w:space="0" w:color="auto"/>
            <w:right w:val="none" w:sz="0" w:space="0" w:color="auto"/>
          </w:divBdr>
        </w:div>
      </w:divsChild>
    </w:div>
    <w:div w:id="2130120148">
      <w:bodyDiv w:val="1"/>
      <w:marLeft w:val="0"/>
      <w:marRight w:val="0"/>
      <w:marTop w:val="0"/>
      <w:marBottom w:val="0"/>
      <w:divBdr>
        <w:top w:val="none" w:sz="0" w:space="0" w:color="auto"/>
        <w:left w:val="none" w:sz="0" w:space="0" w:color="auto"/>
        <w:bottom w:val="none" w:sz="0" w:space="0" w:color="auto"/>
        <w:right w:val="none" w:sz="0" w:space="0" w:color="auto"/>
      </w:divBdr>
    </w:div>
    <w:div w:id="21383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ovIPPolicy@jtsi.wa.gov.au?subject=WA%20IP%20Policy%20Review:%20Discussion%20Paper%20feedback" TargetMode="External"/><Relationship Id="rId13" Type="http://schemas.openxmlformats.org/officeDocument/2006/relationships/header" Target="header3.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wa.gov.au/organisation/department-of-jobs-tourism-science-and-innovation/new-industries-fund-innovation-hu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cookmedical.com.au/history/" TargetMode="External"/><Relationship Id="rId3" Type="http://schemas.openxmlformats.org/officeDocument/2006/relationships/hyperlink" Target="https://www.parliament.vic.gov.au/images/stories/committees/edic/access_to_PSI/EDIC_ACCESS_TO_PSI_REPORT_2009.pdf" TargetMode="External"/><Relationship Id="rId7" Type="http://schemas.openxmlformats.org/officeDocument/2006/relationships/hyperlink" Target="https://rph.health.wa.gov.au/Research/RPH-Imaging-Research-Fund" TargetMode="External"/><Relationship Id="rId2" Type="http://schemas.openxmlformats.org/officeDocument/2006/relationships/hyperlink" Target="https://www.ipaustralia.gov.au/ip-report-2021" TargetMode="External"/><Relationship Id="rId1" Type="http://schemas.openxmlformats.org/officeDocument/2006/relationships/hyperlink" Target="https://www.ipaustralia.gov.au/ip-report-2021" TargetMode="External"/><Relationship Id="rId6" Type="http://schemas.openxmlformats.org/officeDocument/2006/relationships/hyperlink" Target="https://www.rph.health.wa.gov.au/-/media/Corp/Policy-Frameworks/Research/Intellectual-Property-Policy/Supporting/Current-state-review-Interjurisdictional-overview-Options-for-a-future-state-IP-strategy.pdf" TargetMode="External"/><Relationship Id="rId5" Type="http://schemas.openxmlformats.org/officeDocument/2006/relationships/hyperlink" Target="http://www.uwa.edu.au/policy" TargetMode="External"/><Relationship Id="rId4" Type="http://schemas.openxmlformats.org/officeDocument/2006/relationships/hyperlink" Target="https://www.audit.vic.gov.au/report/access-public-sector-information?section=31743--2-facilitating-public-access-to-public-sector-inform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rgbClr val="6B6764"/>
      </a:dk1>
      <a:lt1>
        <a:sysClr val="window" lastClr="FFFFFF"/>
      </a:lt1>
      <a:dk2>
        <a:srgbClr val="041049"/>
      </a:dk2>
      <a:lt2>
        <a:srgbClr val="FFFFFF"/>
      </a:lt2>
      <a:accent1>
        <a:srgbClr val="4F4F4F"/>
      </a:accent1>
      <a:accent2>
        <a:srgbClr val="BFBFBF"/>
      </a:accent2>
      <a:accent3>
        <a:srgbClr val="9E4A9C"/>
      </a:accent3>
      <a:accent4>
        <a:srgbClr val="ED1B34"/>
      </a:accent4>
      <a:accent5>
        <a:srgbClr val="3AC2D6"/>
      </a:accent5>
      <a:accent6>
        <a:srgbClr val="E70C75"/>
      </a:accent6>
      <a:hlink>
        <a:srgbClr val="041049"/>
      </a:hlink>
      <a:folHlink>
        <a:srgbClr val="9E4A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7A24B-1841-4A4C-9B7B-680852D6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11090</Words>
  <Characters>63436</Characters>
  <Application>Microsoft Office Word</Application>
  <DocSecurity>4</DocSecurity>
  <Lines>1174</Lines>
  <Paragraphs>573</Paragraphs>
  <ScaleCrop>false</ScaleCrop>
  <HeadingPairs>
    <vt:vector size="2" baseType="variant">
      <vt:variant>
        <vt:lpstr>Title</vt:lpstr>
      </vt:variant>
      <vt:variant>
        <vt:i4>1</vt:i4>
      </vt:variant>
    </vt:vector>
  </HeadingPairs>
  <TitlesOfParts>
    <vt:vector size="1" baseType="lpstr">
      <vt:lpstr>IP Review Discussion Paper - Final formatted version - Oct 2022</vt:lpstr>
    </vt:vector>
  </TitlesOfParts>
  <Company/>
  <LinksUpToDate>false</LinksUpToDate>
  <CharactersWithSpaces>73953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Review Discussion Paper - Final formatted version - Oct 2022</dc:title>
  <dc:subject>Content as approved by Cabinet 27/9/22</dc:subject>
  <dc:creator/>
  <cp:keywords/>
  <dc:description/>
  <cp:lastModifiedBy/>
  <cp:revision>1</cp:revision>
  <dcterms:created xsi:type="dcterms:W3CDTF">2022-10-06T03:16:00Z</dcterms:created>
  <dcterms:modified xsi:type="dcterms:W3CDTF">2022-10-06T03:16:00Z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