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74C6" w14:textId="2C8059E0" w:rsidR="00C13A96" w:rsidRPr="00376E1D" w:rsidRDefault="00C87CBF" w:rsidP="00853E68">
      <w:pPr>
        <w:pStyle w:val="Heading1"/>
        <w:spacing w:line="276" w:lineRule="auto"/>
        <w:rPr>
          <w:rFonts w:asciiTheme="majorHAnsi" w:hAnsiTheme="majorHAnsi" w:cstheme="majorHAnsi"/>
        </w:rPr>
      </w:pPr>
      <w:r w:rsidRPr="00376E1D">
        <w:rPr>
          <w:rFonts w:asciiTheme="majorHAnsi" w:hAnsiTheme="majorHAnsi" w:cstheme="majorHAnsi"/>
        </w:rPr>
        <w:t xml:space="preserve">WA Seniors Strategy </w:t>
      </w:r>
      <w:r w:rsidR="00ED7A7E">
        <w:rPr>
          <w:rFonts w:asciiTheme="majorHAnsi" w:hAnsiTheme="majorHAnsi" w:cstheme="majorHAnsi"/>
        </w:rPr>
        <w:t>2023-2033</w:t>
      </w:r>
    </w:p>
    <w:p w14:paraId="4BA98E85" w14:textId="3EC9904F" w:rsidR="001A0AF6" w:rsidRPr="00D65FEB" w:rsidRDefault="00ED7A7E" w:rsidP="00853E68">
      <w:pPr>
        <w:pStyle w:val="Subtitle"/>
        <w:spacing w:line="276" w:lineRule="auto"/>
        <w:rPr>
          <w:rFonts w:asciiTheme="majorHAnsi" w:hAnsiTheme="majorHAnsi" w:cstheme="majorHAnsi"/>
        </w:rPr>
      </w:pPr>
      <w:r>
        <w:rPr>
          <w:rFonts w:asciiTheme="majorHAnsi" w:hAnsiTheme="majorHAnsi" w:cstheme="majorHAnsi"/>
        </w:rPr>
        <w:t>Consultation: draft vision, pillars and key focus areas</w:t>
      </w:r>
      <w:r w:rsidR="00C13A96" w:rsidRPr="00376E1D">
        <w:rPr>
          <w:rFonts w:asciiTheme="majorHAnsi" w:hAnsiTheme="majorHAnsi" w:cstheme="majorHAnsi"/>
        </w:rPr>
        <w:t xml:space="preserve"> </w:t>
      </w:r>
    </w:p>
    <w:p w14:paraId="11EA0DDB" w14:textId="559346F6" w:rsidR="00DD5D65" w:rsidRPr="00882B67" w:rsidRDefault="00ED7A7E" w:rsidP="00882B67">
      <w:pPr>
        <w:pStyle w:val="Heading2"/>
      </w:pPr>
      <w:bookmarkStart w:id="0" w:name="_Hlk504552460"/>
      <w:r>
        <w:t>O</w:t>
      </w:r>
      <w:r w:rsidR="00C87CBF" w:rsidRPr="00882B67">
        <w:t>verview</w:t>
      </w:r>
    </w:p>
    <w:p w14:paraId="03396CF2" w14:textId="77777777" w:rsidR="00ED7A7E" w:rsidRDefault="002D19D5" w:rsidP="00674C7F">
      <w:pPr>
        <w:pStyle w:val="BodyText"/>
        <w:rPr>
          <w:lang w:val="en-GB"/>
        </w:rPr>
      </w:pPr>
      <w:r w:rsidRPr="00437E0E">
        <w:rPr>
          <w:lang w:val="en-GB"/>
        </w:rPr>
        <w:t xml:space="preserve">Seniors in Western Australia (WA) are valued members of our community.  Their wealth of experience, wisdom and contribution to the community must be celebrated.  </w:t>
      </w:r>
    </w:p>
    <w:p w14:paraId="0D65EF03" w14:textId="660C5581" w:rsidR="002D19D5" w:rsidRPr="00437E0E" w:rsidRDefault="002D19D5" w:rsidP="00674C7F">
      <w:pPr>
        <w:pStyle w:val="BodyText"/>
      </w:pPr>
      <w:r w:rsidRPr="00437E0E">
        <w:rPr>
          <w:lang w:val="en-GB"/>
        </w:rPr>
        <w:t xml:space="preserve">The WA Seniors Strategy </w:t>
      </w:r>
      <w:r w:rsidR="00ED7A7E">
        <w:rPr>
          <w:lang w:val="en-GB"/>
        </w:rPr>
        <w:t xml:space="preserve">will </w:t>
      </w:r>
      <w:r w:rsidRPr="00437E0E">
        <w:t xml:space="preserve">acknowledge all seniors in our </w:t>
      </w:r>
      <w:r w:rsidR="00ED7A7E">
        <w:t>s</w:t>
      </w:r>
      <w:r w:rsidRPr="00437E0E">
        <w:t>tate including seniors from marginalised communities and seniors who are:</w:t>
      </w:r>
      <w:r w:rsidRPr="00437E0E">
        <w:rPr>
          <w:lang w:val="en-GB"/>
        </w:rPr>
        <w:t xml:space="preserve"> </w:t>
      </w:r>
    </w:p>
    <w:p w14:paraId="1A8F045C" w14:textId="77777777" w:rsidR="002D19D5" w:rsidRPr="00437E0E" w:rsidRDefault="002D19D5" w:rsidP="00402E0E">
      <w:pPr>
        <w:pStyle w:val="Bullet1"/>
        <w:rPr>
          <w:lang w:val="en-GB"/>
        </w:rPr>
      </w:pPr>
      <w:r w:rsidRPr="00437E0E">
        <w:rPr>
          <w:lang w:val="en-GB"/>
        </w:rPr>
        <w:t xml:space="preserve">Aboriginal and/or Torres Strait Islander aged 55 years and over </w:t>
      </w:r>
    </w:p>
    <w:p w14:paraId="7BA6EEB9" w14:textId="77777777" w:rsidR="002D19D5" w:rsidRPr="00437E0E" w:rsidRDefault="002D19D5" w:rsidP="00402E0E">
      <w:pPr>
        <w:pStyle w:val="Bullet1"/>
        <w:rPr>
          <w:lang w:val="en-GB"/>
        </w:rPr>
      </w:pPr>
      <w:r w:rsidRPr="00437E0E">
        <w:rPr>
          <w:lang w:val="en-GB"/>
        </w:rPr>
        <w:t>from culturally and linguistically diverse (</w:t>
      </w:r>
      <w:proofErr w:type="spellStart"/>
      <w:r w:rsidRPr="00437E0E">
        <w:rPr>
          <w:lang w:val="en-GB"/>
        </w:rPr>
        <w:t>CaLD</w:t>
      </w:r>
      <w:proofErr w:type="spellEnd"/>
      <w:r w:rsidRPr="00437E0E">
        <w:rPr>
          <w:lang w:val="en-GB"/>
        </w:rPr>
        <w:t>) backgrounds</w:t>
      </w:r>
    </w:p>
    <w:p w14:paraId="4E211CFA" w14:textId="2ED58253" w:rsidR="002D19D5" w:rsidRPr="00437E0E" w:rsidRDefault="002D19D5" w:rsidP="00402E0E">
      <w:pPr>
        <w:pStyle w:val="Bullet1"/>
        <w:rPr>
          <w:lang w:val="en-GB"/>
        </w:rPr>
      </w:pPr>
      <w:r w:rsidRPr="00437E0E">
        <w:rPr>
          <w:lang w:val="en-GB"/>
        </w:rPr>
        <w:t>lesbian, gay, bisexual, transgender, intersex, queer and/or asexual (LGBTQ</w:t>
      </w:r>
      <w:r w:rsidR="003B331C">
        <w:rPr>
          <w:lang w:val="en-GB"/>
        </w:rPr>
        <w:t>I</w:t>
      </w:r>
      <w:r w:rsidRPr="00437E0E">
        <w:rPr>
          <w:lang w:val="en-GB"/>
        </w:rPr>
        <w:t>A+)</w:t>
      </w:r>
    </w:p>
    <w:p w14:paraId="676180B4" w14:textId="77777777" w:rsidR="002D19D5" w:rsidRPr="00437E0E" w:rsidRDefault="002D19D5" w:rsidP="00402E0E">
      <w:pPr>
        <w:pStyle w:val="Bullet1"/>
        <w:rPr>
          <w:lang w:val="en-GB"/>
        </w:rPr>
      </w:pPr>
      <w:r w:rsidRPr="00437E0E">
        <w:rPr>
          <w:lang w:val="en-GB"/>
        </w:rPr>
        <w:t>living with disability, chronic illness, mental health issues and/or physical and/or cognitive impairment</w:t>
      </w:r>
    </w:p>
    <w:p w14:paraId="22936A16" w14:textId="77777777" w:rsidR="002D19D5" w:rsidRPr="00437E0E" w:rsidRDefault="002D19D5" w:rsidP="00402E0E">
      <w:pPr>
        <w:pStyle w:val="Bullet1"/>
        <w:rPr>
          <w:lang w:val="en-GB"/>
        </w:rPr>
      </w:pPr>
      <w:r w:rsidRPr="00437E0E">
        <w:rPr>
          <w:lang w:val="en-GB"/>
        </w:rPr>
        <w:t>carers</w:t>
      </w:r>
    </w:p>
    <w:p w14:paraId="0C5988AA" w14:textId="77777777" w:rsidR="002D19D5" w:rsidRPr="00437E0E" w:rsidRDefault="002D19D5" w:rsidP="00402E0E">
      <w:pPr>
        <w:pStyle w:val="Bullet1"/>
        <w:rPr>
          <w:lang w:val="en-GB"/>
        </w:rPr>
      </w:pPr>
      <w:r w:rsidRPr="00437E0E">
        <w:rPr>
          <w:lang w:val="en-GB"/>
        </w:rPr>
        <w:t>veterans</w:t>
      </w:r>
    </w:p>
    <w:p w14:paraId="61DC9DD9" w14:textId="77777777" w:rsidR="002D19D5" w:rsidRPr="00437E0E" w:rsidRDefault="002D19D5" w:rsidP="00402E0E">
      <w:pPr>
        <w:pStyle w:val="Bullet1"/>
        <w:rPr>
          <w:lang w:val="en-GB"/>
        </w:rPr>
      </w:pPr>
      <w:r w:rsidRPr="00437E0E">
        <w:rPr>
          <w:lang w:val="en-GB"/>
        </w:rPr>
        <w:t xml:space="preserve">living in rural and remote areas. </w:t>
      </w:r>
    </w:p>
    <w:p w14:paraId="1398966A" w14:textId="60B58BB9" w:rsidR="002D19D5" w:rsidRPr="00437E0E" w:rsidRDefault="002D19D5" w:rsidP="00853E68">
      <w:pPr>
        <w:pStyle w:val="Bullet"/>
        <w:numPr>
          <w:ilvl w:val="0"/>
          <w:numId w:val="0"/>
        </w:numPr>
        <w:spacing w:line="276" w:lineRule="auto"/>
        <w:rPr>
          <w:rFonts w:asciiTheme="majorHAnsi" w:hAnsiTheme="majorHAnsi" w:cstheme="majorHAnsi"/>
          <w:sz w:val="24"/>
          <w:szCs w:val="24"/>
        </w:rPr>
      </w:pPr>
      <w:r w:rsidRPr="00437E0E">
        <w:rPr>
          <w:rFonts w:asciiTheme="majorHAnsi" w:hAnsiTheme="majorHAnsi" w:cstheme="majorHAnsi"/>
          <w:sz w:val="24"/>
          <w:szCs w:val="24"/>
        </w:rPr>
        <w:t>Th</w:t>
      </w:r>
      <w:r w:rsidR="00ED7A7E">
        <w:rPr>
          <w:rFonts w:asciiTheme="majorHAnsi" w:hAnsiTheme="majorHAnsi" w:cstheme="majorHAnsi"/>
          <w:sz w:val="24"/>
          <w:szCs w:val="24"/>
        </w:rPr>
        <w:t>e</w:t>
      </w:r>
      <w:r w:rsidRPr="00437E0E">
        <w:rPr>
          <w:rFonts w:asciiTheme="majorHAnsi" w:hAnsiTheme="majorHAnsi" w:cstheme="majorHAnsi"/>
          <w:sz w:val="24"/>
          <w:szCs w:val="24"/>
        </w:rPr>
        <w:t xml:space="preserve"> Strategy </w:t>
      </w:r>
      <w:r w:rsidR="00ED7A7E">
        <w:rPr>
          <w:rFonts w:asciiTheme="majorHAnsi" w:hAnsiTheme="majorHAnsi" w:cstheme="majorHAnsi"/>
          <w:sz w:val="24"/>
          <w:szCs w:val="24"/>
        </w:rPr>
        <w:t xml:space="preserve">will </w:t>
      </w:r>
      <w:r w:rsidRPr="00437E0E">
        <w:rPr>
          <w:rFonts w:asciiTheme="majorHAnsi" w:hAnsiTheme="majorHAnsi" w:cstheme="majorHAnsi"/>
          <w:sz w:val="24"/>
          <w:szCs w:val="24"/>
        </w:rPr>
        <w:t xml:space="preserve">set a clear path forward for </w:t>
      </w:r>
      <w:r w:rsidR="00ED7A7E">
        <w:rPr>
          <w:rFonts w:asciiTheme="majorHAnsi" w:hAnsiTheme="majorHAnsi" w:cstheme="majorHAnsi"/>
          <w:sz w:val="24"/>
          <w:szCs w:val="24"/>
        </w:rPr>
        <w:t xml:space="preserve">how </w:t>
      </w:r>
      <w:r w:rsidRPr="00437E0E">
        <w:rPr>
          <w:rFonts w:asciiTheme="majorHAnsi" w:hAnsiTheme="majorHAnsi" w:cstheme="majorHAnsi"/>
          <w:sz w:val="24"/>
          <w:szCs w:val="24"/>
        </w:rPr>
        <w:t xml:space="preserve">the </w:t>
      </w:r>
      <w:r w:rsidR="00ED7A7E">
        <w:rPr>
          <w:rFonts w:asciiTheme="majorHAnsi" w:hAnsiTheme="majorHAnsi" w:cstheme="majorHAnsi"/>
          <w:sz w:val="24"/>
          <w:szCs w:val="24"/>
        </w:rPr>
        <w:t xml:space="preserve">WA </w:t>
      </w:r>
      <w:r w:rsidRPr="00437E0E">
        <w:rPr>
          <w:rFonts w:asciiTheme="majorHAnsi" w:hAnsiTheme="majorHAnsi" w:cstheme="majorHAnsi"/>
          <w:sz w:val="24"/>
          <w:szCs w:val="24"/>
        </w:rPr>
        <w:t>Government will support seniors over the next ten years. The Strategy itself is made up of:</w:t>
      </w:r>
    </w:p>
    <w:p w14:paraId="5FCF0D17" w14:textId="17450529" w:rsidR="002D19D5" w:rsidRPr="00437E0E" w:rsidRDefault="002D19D5" w:rsidP="00402E0E">
      <w:pPr>
        <w:pStyle w:val="Bullet1"/>
      </w:pPr>
      <w:r w:rsidRPr="00437E0E">
        <w:rPr>
          <w:b/>
          <w:bCs/>
        </w:rPr>
        <w:t>A vision</w:t>
      </w:r>
      <w:r w:rsidRPr="00437E0E">
        <w:t xml:space="preserve"> which provides a shared goal or aspiration for </w:t>
      </w:r>
      <w:r w:rsidR="00DF5732">
        <w:t>WA</w:t>
      </w:r>
      <w:r w:rsidRPr="00437E0E">
        <w:t xml:space="preserve"> seniors, which is the ultimate aspiration guiding the Strategy and its delivery. </w:t>
      </w:r>
    </w:p>
    <w:p w14:paraId="2536081E" w14:textId="522A7DF3" w:rsidR="002D19D5" w:rsidRPr="00437E0E" w:rsidRDefault="002D19D5" w:rsidP="00402E0E">
      <w:pPr>
        <w:pStyle w:val="Bullet1"/>
      </w:pPr>
      <w:r w:rsidRPr="00437E0E">
        <w:rPr>
          <w:b/>
          <w:bCs/>
        </w:rPr>
        <w:t>Four pillars for change</w:t>
      </w:r>
      <w:r w:rsidR="00DF5732">
        <w:rPr>
          <w:b/>
          <w:bCs/>
        </w:rPr>
        <w:t xml:space="preserve"> </w:t>
      </w:r>
      <w:r w:rsidR="00DF5732" w:rsidRPr="00DF5732">
        <w:t>which outline</w:t>
      </w:r>
      <w:r w:rsidR="00DF5732">
        <w:rPr>
          <w:b/>
          <w:bCs/>
        </w:rPr>
        <w:t xml:space="preserve"> </w:t>
      </w:r>
      <w:r w:rsidRPr="00437E0E">
        <w:t>the most important features of a good life for seniors, reflecting the World Health Organi</w:t>
      </w:r>
      <w:r w:rsidR="00DF5732">
        <w:t>z</w:t>
      </w:r>
      <w:r w:rsidRPr="00437E0E">
        <w:t>ation (WHO) Age-Friendly Cities Framework.</w:t>
      </w:r>
    </w:p>
    <w:p w14:paraId="24E23BCB" w14:textId="4EE1E1CF" w:rsidR="002D19D5" w:rsidRPr="00437E0E" w:rsidRDefault="002D19D5" w:rsidP="00402E0E">
      <w:pPr>
        <w:pStyle w:val="Bullet1"/>
      </w:pPr>
      <w:r w:rsidRPr="00437E0E">
        <w:rPr>
          <w:b/>
          <w:bCs/>
        </w:rPr>
        <w:t>14 key focus areas,</w:t>
      </w:r>
      <w:r w:rsidRPr="00437E0E">
        <w:t xml:space="preserve"> which recognise known gaps experienced by seniors in </w:t>
      </w:r>
      <w:r w:rsidR="00DF5732">
        <w:t>WA</w:t>
      </w:r>
      <w:r w:rsidRPr="00437E0E">
        <w:t xml:space="preserve">, as highlighted by seniors </w:t>
      </w:r>
      <w:r w:rsidR="00DF5732">
        <w:t xml:space="preserve">throughout our consultations </w:t>
      </w:r>
      <w:r w:rsidRPr="00437E0E">
        <w:t xml:space="preserve">and </w:t>
      </w:r>
      <w:r w:rsidR="00DF5732">
        <w:t xml:space="preserve">by </w:t>
      </w:r>
      <w:r w:rsidRPr="00437E0E">
        <w:t>trends in other jurisdictions.</w:t>
      </w:r>
    </w:p>
    <w:p w14:paraId="161CACDF" w14:textId="035962B9" w:rsidR="002D19D5" w:rsidRPr="00437E0E" w:rsidRDefault="002D19D5" w:rsidP="00674C7F">
      <w:pPr>
        <w:pStyle w:val="BodyText"/>
      </w:pPr>
      <w:r w:rsidRPr="00437E0E">
        <w:t xml:space="preserve">Two detailed, five-year </w:t>
      </w:r>
      <w:r w:rsidR="000A443D">
        <w:t>a</w:t>
      </w:r>
      <w:r w:rsidRPr="00437E0E">
        <w:t xml:space="preserve">ction </w:t>
      </w:r>
      <w:r w:rsidR="000A443D">
        <w:t>p</w:t>
      </w:r>
      <w:r w:rsidRPr="00437E0E">
        <w:t xml:space="preserve">lans will be developed to translate the </w:t>
      </w:r>
      <w:r w:rsidR="000A443D">
        <w:t xml:space="preserve">WA </w:t>
      </w:r>
      <w:r w:rsidRPr="00437E0E">
        <w:t>Seniors Strategy into tang</w:t>
      </w:r>
      <w:r w:rsidR="000A443D">
        <w:t>ib</w:t>
      </w:r>
      <w:r w:rsidRPr="00437E0E">
        <w:t>le initiatives to be achieved during its life</w:t>
      </w:r>
      <w:r w:rsidR="000A443D">
        <w:t>time</w:t>
      </w:r>
      <w:r w:rsidRPr="00437E0E">
        <w:t xml:space="preserve">. Through these action plans, opportunities for alignment and collaboration </w:t>
      </w:r>
      <w:r w:rsidR="00CE466C">
        <w:t xml:space="preserve">across Government </w:t>
      </w:r>
      <w:r w:rsidRPr="00437E0E">
        <w:t>will be further identified to bring together activity across sectors. Collaborative implementation and shared responsibility will be critical enablers of th</w:t>
      </w:r>
      <w:r w:rsidR="00CE466C">
        <w:t>e</w:t>
      </w:r>
      <w:r w:rsidRPr="00437E0E">
        <w:t xml:space="preserve"> Strategy.</w:t>
      </w:r>
    </w:p>
    <w:p w14:paraId="65209D7C" w14:textId="4491C45B" w:rsidR="002D19D5" w:rsidRPr="00437E0E" w:rsidRDefault="002D19D5" w:rsidP="00674C7F">
      <w:pPr>
        <w:pStyle w:val="BodyText"/>
      </w:pPr>
      <w:r w:rsidRPr="00437E0E">
        <w:lastRenderedPageBreak/>
        <w:t xml:space="preserve">To ensure that we deliver on our ambition, the Strategy will be underpinned by a </w:t>
      </w:r>
      <w:r w:rsidR="00CE466C">
        <w:t>m</w:t>
      </w:r>
      <w:r w:rsidRPr="00437E0E">
        <w:t xml:space="preserve">onitoring and </w:t>
      </w:r>
      <w:r w:rsidR="00CE466C">
        <w:t>e</w:t>
      </w:r>
      <w:r w:rsidRPr="00437E0E">
        <w:t xml:space="preserve">valuation </w:t>
      </w:r>
      <w:r w:rsidR="00CE466C">
        <w:t>p</w:t>
      </w:r>
      <w:r w:rsidRPr="00437E0E">
        <w:t xml:space="preserve">lan with a clear outcomes framework that will enable us to track and evaluate our progress. </w:t>
      </w:r>
    </w:p>
    <w:p w14:paraId="4A3EBAFD" w14:textId="3A58AE8C" w:rsidR="00A81837" w:rsidRPr="008D7A51" w:rsidRDefault="0097451A" w:rsidP="00882B67">
      <w:pPr>
        <w:pStyle w:val="Heading2"/>
      </w:pPr>
      <w:r w:rsidRPr="008D7A51">
        <w:t xml:space="preserve">Our </w:t>
      </w:r>
      <w:r w:rsidR="00A36459">
        <w:t>v</w:t>
      </w:r>
      <w:r w:rsidRPr="008D7A51">
        <w:t>ision</w:t>
      </w:r>
    </w:p>
    <w:p w14:paraId="5C7B8907" w14:textId="02B52CE7" w:rsidR="00F31C72" w:rsidRPr="00674C7F" w:rsidRDefault="00F31C72" w:rsidP="00674C7F">
      <w:pPr>
        <w:pStyle w:val="BodyText"/>
      </w:pPr>
      <w:r w:rsidRPr="00674C7F">
        <w:t>Th</w:t>
      </w:r>
      <w:r w:rsidR="00A36459">
        <w:t>e</w:t>
      </w:r>
      <w:r w:rsidRPr="00674C7F">
        <w:t xml:space="preserve"> Strategy represents the </w:t>
      </w:r>
      <w:r w:rsidR="00196737">
        <w:t xml:space="preserve">WA </w:t>
      </w:r>
      <w:r w:rsidRPr="00674C7F">
        <w:t xml:space="preserve">Government’s commitment to all seniors in WA. It </w:t>
      </w:r>
      <w:r w:rsidR="00A36459">
        <w:t>will be</w:t>
      </w:r>
      <w:r w:rsidRPr="00674C7F">
        <w:t xml:space="preserve"> informed by – and </w:t>
      </w:r>
      <w:r w:rsidR="00A36459">
        <w:t xml:space="preserve">will </w:t>
      </w:r>
      <w:r w:rsidRPr="00674C7F">
        <w:t xml:space="preserve">focus on – the views and experiences of </w:t>
      </w:r>
      <w:r w:rsidR="00A36459">
        <w:t xml:space="preserve">WA </w:t>
      </w:r>
      <w:r w:rsidRPr="00674C7F">
        <w:t xml:space="preserve">seniors and provides a shared aspiration for how the </w:t>
      </w:r>
      <w:r w:rsidR="00A36459">
        <w:t>WA</w:t>
      </w:r>
      <w:r w:rsidRPr="00674C7F">
        <w:t xml:space="preserve"> Government and our communities more broadly will enable seniors in WA to live their best lives.</w:t>
      </w:r>
    </w:p>
    <w:p w14:paraId="0A44ABAF" w14:textId="16606554" w:rsidR="00F31C72" w:rsidRPr="00674C7F" w:rsidRDefault="00F31C72" w:rsidP="00674C7F">
      <w:pPr>
        <w:pStyle w:val="BodyText"/>
      </w:pPr>
      <w:r w:rsidRPr="00674C7F">
        <w:t>The Strategy is anchored in a vision for all seniors in WA:</w:t>
      </w:r>
    </w:p>
    <w:p w14:paraId="0B1C052F" w14:textId="067C293E" w:rsidR="00F31C72" w:rsidRPr="00674C7F" w:rsidRDefault="008D7A51" w:rsidP="00674C7F">
      <w:pPr>
        <w:pStyle w:val="BodyText"/>
        <w:rPr>
          <w:b/>
          <w:bCs/>
        </w:rPr>
      </w:pPr>
      <w:r w:rsidRPr="00674C7F">
        <w:rPr>
          <w:b/>
          <w:bCs/>
        </w:rPr>
        <w:t>To ensure Western Australian seniors are happy, culturally safe and supported to thrive, engage, and participate in inclusive age-friendly communities which value their contributions.</w:t>
      </w:r>
    </w:p>
    <w:p w14:paraId="077B1FC3" w14:textId="77777777" w:rsidR="00F31C72" w:rsidRPr="00674C7F" w:rsidRDefault="00F31C72" w:rsidP="00674C7F">
      <w:pPr>
        <w:pStyle w:val="BodyText"/>
      </w:pPr>
      <w:r w:rsidRPr="00674C7F">
        <w:t>This vision will benefit everyone in our state. It paves the way for more inclusive and engaging communities, where everyone can participate and contribute in a meaningful way regardless of age or ability. It recognises and celebrates the diversity of our seniors, and their valuable contributions to the community.</w:t>
      </w:r>
    </w:p>
    <w:p w14:paraId="70787077" w14:textId="55B1F4D9" w:rsidR="006A47CD" w:rsidRPr="00376E1D" w:rsidRDefault="00F31C72" w:rsidP="009463C4">
      <w:pPr>
        <w:pStyle w:val="BodyText"/>
        <w:rPr>
          <w:rFonts w:asciiTheme="majorHAnsi" w:hAnsiTheme="majorHAnsi" w:cstheme="majorHAnsi"/>
          <w:lang w:eastAsia="en-AU"/>
        </w:rPr>
      </w:pPr>
      <w:r w:rsidRPr="00674C7F">
        <w:t>Achieving this vision will require a whole-of-community approach</w:t>
      </w:r>
      <w:r w:rsidR="00F234EF">
        <w:t xml:space="preserve"> that</w:t>
      </w:r>
      <w:r w:rsidRPr="00674C7F">
        <w:t xml:space="preserve"> consider</w:t>
      </w:r>
      <w:r w:rsidR="00F234EF">
        <w:t>s</w:t>
      </w:r>
      <w:r w:rsidRPr="00674C7F">
        <w:t xml:space="preserve"> what seniors need to thrive, and how we create, design, and deliver initiatives that meet their needs.</w:t>
      </w:r>
    </w:p>
    <w:p w14:paraId="7281EADC" w14:textId="023DE736" w:rsidR="006A47CD" w:rsidRPr="00882B67" w:rsidRDefault="006A47CD" w:rsidP="00882B67">
      <w:pPr>
        <w:pStyle w:val="Heading2"/>
      </w:pPr>
      <w:r w:rsidRPr="00882B67">
        <w:t>Pillars for change</w:t>
      </w:r>
      <w:r w:rsidR="00D65FAF" w:rsidRPr="00882B67">
        <w:t xml:space="preserve"> and key focus areas</w:t>
      </w:r>
    </w:p>
    <w:p w14:paraId="24F48B09" w14:textId="50B17B0E" w:rsidR="001A7E36" w:rsidRPr="00674C7F" w:rsidRDefault="001A7E36" w:rsidP="00674C7F">
      <w:pPr>
        <w:pStyle w:val="BodyText"/>
      </w:pPr>
      <w:r w:rsidRPr="00674C7F">
        <w:t>Extensive engagement with seniors, their families and carers, service providers and representative organisations, ha</w:t>
      </w:r>
      <w:r w:rsidR="00C15158">
        <w:t>s</w:t>
      </w:r>
      <w:r w:rsidRPr="00674C7F">
        <w:t xml:space="preserve"> told us what seniors consider the most important features of a good life for them. We have synthesised this into four categories, or ‘pillars’, which reflect to the WHO Age-Friendly Cities Framework. These pillars form the organising framework for the Strategy and will guide us as we strive to support better outcomes for our seniors:</w:t>
      </w:r>
    </w:p>
    <w:p w14:paraId="54869376" w14:textId="2F274B7C" w:rsidR="001A7E36" w:rsidRPr="001A7E36" w:rsidRDefault="001A7E36" w:rsidP="00674C7F">
      <w:pPr>
        <w:pStyle w:val="BodyText"/>
        <w:numPr>
          <w:ilvl w:val="0"/>
          <w:numId w:val="9"/>
        </w:numPr>
        <w:spacing w:line="276" w:lineRule="auto"/>
        <w:rPr>
          <w:rFonts w:asciiTheme="majorHAnsi" w:hAnsiTheme="majorHAnsi" w:cstheme="majorHAnsi"/>
          <w:lang w:eastAsia="en-AU"/>
        </w:rPr>
      </w:pPr>
      <w:r w:rsidRPr="001A7E36">
        <w:rPr>
          <w:rFonts w:asciiTheme="majorHAnsi" w:hAnsiTheme="majorHAnsi" w:cstheme="majorHAnsi"/>
          <w:lang w:eastAsia="en-AU"/>
        </w:rPr>
        <w:t>Thriving physically and mentally</w:t>
      </w:r>
    </w:p>
    <w:p w14:paraId="49D402BD" w14:textId="67809F2B" w:rsidR="001A7E36" w:rsidRPr="001A7E36" w:rsidRDefault="001A7E36" w:rsidP="00674C7F">
      <w:pPr>
        <w:pStyle w:val="BodyText"/>
        <w:numPr>
          <w:ilvl w:val="0"/>
          <w:numId w:val="9"/>
        </w:numPr>
        <w:spacing w:line="276" w:lineRule="auto"/>
        <w:rPr>
          <w:rFonts w:asciiTheme="majorHAnsi" w:hAnsiTheme="majorHAnsi" w:cstheme="majorHAnsi"/>
          <w:lang w:eastAsia="en-AU"/>
        </w:rPr>
      </w:pPr>
      <w:r w:rsidRPr="001A7E36">
        <w:rPr>
          <w:rFonts w:asciiTheme="majorHAnsi" w:hAnsiTheme="majorHAnsi" w:cstheme="majorHAnsi"/>
          <w:lang w:eastAsia="en-AU"/>
        </w:rPr>
        <w:t>Safe and friendly communities</w:t>
      </w:r>
    </w:p>
    <w:p w14:paraId="6579E393" w14:textId="4C671B92" w:rsidR="001A7E36" w:rsidRPr="001A7E36" w:rsidRDefault="001A7E36" w:rsidP="00674C7F">
      <w:pPr>
        <w:pStyle w:val="BodyText"/>
        <w:numPr>
          <w:ilvl w:val="0"/>
          <w:numId w:val="9"/>
        </w:numPr>
        <w:spacing w:line="276" w:lineRule="auto"/>
        <w:rPr>
          <w:rFonts w:asciiTheme="majorHAnsi" w:hAnsiTheme="majorHAnsi" w:cstheme="majorHAnsi"/>
          <w:lang w:eastAsia="en-AU"/>
        </w:rPr>
      </w:pPr>
      <w:r w:rsidRPr="001A7E36">
        <w:rPr>
          <w:rFonts w:asciiTheme="majorHAnsi" w:hAnsiTheme="majorHAnsi" w:cstheme="majorHAnsi"/>
          <w:lang w:eastAsia="en-AU"/>
        </w:rPr>
        <w:t xml:space="preserve">Staying connected and engaged </w:t>
      </w:r>
    </w:p>
    <w:p w14:paraId="101C7338" w14:textId="2A999FE9" w:rsidR="001A7E36" w:rsidRPr="001A7E36" w:rsidRDefault="001A7E36" w:rsidP="00674C7F">
      <w:pPr>
        <w:pStyle w:val="BodyText"/>
        <w:numPr>
          <w:ilvl w:val="0"/>
          <w:numId w:val="9"/>
        </w:numPr>
        <w:spacing w:line="276" w:lineRule="auto"/>
        <w:rPr>
          <w:rFonts w:asciiTheme="majorHAnsi" w:hAnsiTheme="majorHAnsi" w:cstheme="majorHAnsi"/>
          <w:lang w:eastAsia="en-AU"/>
        </w:rPr>
      </w:pPr>
      <w:r w:rsidRPr="001A7E36">
        <w:rPr>
          <w:rFonts w:asciiTheme="majorHAnsi" w:hAnsiTheme="majorHAnsi" w:cstheme="majorHAnsi"/>
          <w:lang w:eastAsia="en-AU"/>
        </w:rPr>
        <w:t>Having a voice that’s heard</w:t>
      </w:r>
    </w:p>
    <w:p w14:paraId="2E7CE5A4" w14:textId="65B21D07" w:rsidR="001A7E36" w:rsidRPr="00674C7F" w:rsidRDefault="001A7E36" w:rsidP="00674C7F">
      <w:pPr>
        <w:pStyle w:val="BodyText"/>
      </w:pPr>
      <w:r w:rsidRPr="00674C7F">
        <w:t xml:space="preserve">Each pillar reflects the elements of the WHO Age-Friendly Cities framework and includes several key focus areas (14 in total). Each key focus area recognises gaps and opportunities for change experienced by seniors in </w:t>
      </w:r>
      <w:r w:rsidR="00A36459">
        <w:t>WA</w:t>
      </w:r>
      <w:r w:rsidRPr="00674C7F">
        <w:t xml:space="preserve">, as highlighted both through our consultations </w:t>
      </w:r>
      <w:r w:rsidR="00C15158">
        <w:t>for</w:t>
      </w:r>
      <w:r w:rsidRPr="00674C7F">
        <w:t xml:space="preserve"> the Strategy and the review of evidence that has </w:t>
      </w:r>
      <w:r w:rsidR="00C15158">
        <w:t xml:space="preserve">further </w:t>
      </w:r>
      <w:r w:rsidRPr="00674C7F">
        <w:t xml:space="preserve">informed it. </w:t>
      </w:r>
    </w:p>
    <w:p w14:paraId="57D6FD87" w14:textId="6710DFAC" w:rsidR="00D65FAF" w:rsidRPr="00674C7F" w:rsidRDefault="001A7E36" w:rsidP="00674C7F">
      <w:pPr>
        <w:pStyle w:val="BodyText"/>
      </w:pPr>
      <w:r w:rsidRPr="00674C7F">
        <w:t xml:space="preserve">Each </w:t>
      </w:r>
      <w:r w:rsidR="00C15158">
        <w:t>S</w:t>
      </w:r>
      <w:r w:rsidRPr="00674C7F">
        <w:t xml:space="preserve">trategy pillar and key focus area is described in more detail </w:t>
      </w:r>
      <w:r w:rsidR="00C15158">
        <w:t>below</w:t>
      </w:r>
      <w:r w:rsidRPr="00674C7F">
        <w:t>.</w:t>
      </w:r>
    </w:p>
    <w:p w14:paraId="57B32DAF" w14:textId="6B399FC4" w:rsidR="00D65FAF" w:rsidRPr="00882B67" w:rsidRDefault="00AE7C57" w:rsidP="00882B67">
      <w:pPr>
        <w:pStyle w:val="Heading2"/>
      </w:pPr>
      <w:r w:rsidRPr="00882B67">
        <w:lastRenderedPageBreak/>
        <w:t>Thriving physically and mentally</w:t>
      </w:r>
    </w:p>
    <w:p w14:paraId="39A066DC" w14:textId="77777777" w:rsidR="005727C8" w:rsidRPr="00674C7F" w:rsidRDefault="005727C8" w:rsidP="00674C7F">
      <w:pPr>
        <w:pStyle w:val="BodyText"/>
      </w:pPr>
      <w:r w:rsidRPr="00674C7F">
        <w:t xml:space="preserve">Seniors told us that physical and mental health and wellbeing is central to their happiness.  That means having access to the right supports to ensure overall health and wellbeing, including appropriate, affordable and locally available housing and healthcare. </w:t>
      </w:r>
    </w:p>
    <w:p w14:paraId="0837BEDF" w14:textId="27D3370F" w:rsidR="00A009AB" w:rsidRPr="00674C7F" w:rsidRDefault="005727C8" w:rsidP="00674C7F">
      <w:pPr>
        <w:pStyle w:val="BodyText"/>
      </w:pPr>
      <w:r w:rsidRPr="00674C7F">
        <w:t xml:space="preserve">Within the thriving physically and mentally pillar, three key focus areas will inform how the </w:t>
      </w:r>
      <w:r w:rsidR="00A36459">
        <w:t>WA</w:t>
      </w:r>
      <w:r w:rsidRPr="00674C7F">
        <w:t xml:space="preserve"> Government can better support and enable our seniors. These are shown in Table 1 below and are described across the following pages</w:t>
      </w:r>
      <w:r w:rsidR="007B51E0">
        <w:t>.</w:t>
      </w:r>
      <w:r w:rsidR="00AE7C57" w:rsidRPr="00674C7F">
        <w:t xml:space="preserve"> These are shown in Table 1 below and are described across the following pages.</w:t>
      </w:r>
    </w:p>
    <w:p w14:paraId="1DF00B1F" w14:textId="20B4432E" w:rsidR="00A009AB" w:rsidRPr="00376E1D" w:rsidRDefault="002E1767" w:rsidP="00853E68">
      <w:pPr>
        <w:pStyle w:val="BodyText"/>
        <w:spacing w:line="276" w:lineRule="auto"/>
        <w:rPr>
          <w:rFonts w:asciiTheme="majorHAnsi" w:hAnsiTheme="majorHAnsi" w:cstheme="majorHAnsi"/>
          <w:b/>
          <w:bCs/>
          <w:lang w:eastAsia="en-AU"/>
        </w:rPr>
      </w:pPr>
      <w:r w:rsidRPr="00376E1D">
        <w:rPr>
          <w:rFonts w:asciiTheme="majorHAnsi" w:hAnsiTheme="majorHAnsi" w:cstheme="majorHAnsi"/>
          <w:b/>
          <w:bCs/>
          <w:lang w:eastAsia="en-AU"/>
        </w:rPr>
        <w:t xml:space="preserve">Table 1 | </w:t>
      </w:r>
      <w:r w:rsidR="00110E57" w:rsidRPr="00376E1D">
        <w:rPr>
          <w:rFonts w:asciiTheme="majorHAnsi" w:hAnsiTheme="majorHAnsi" w:cstheme="majorHAnsi"/>
          <w:b/>
          <w:bCs/>
          <w:lang w:eastAsia="en-AU"/>
        </w:rPr>
        <w:t>Thriving physically and mentally</w:t>
      </w:r>
    </w:p>
    <w:tbl>
      <w:tblPr>
        <w:tblStyle w:val="TableStyle"/>
        <w:tblW w:w="0" w:type="auto"/>
        <w:tblLook w:val="04A0" w:firstRow="1" w:lastRow="0" w:firstColumn="1" w:lastColumn="0" w:noHBand="0" w:noVBand="1"/>
      </w:tblPr>
      <w:tblGrid>
        <w:gridCol w:w="2263"/>
        <w:gridCol w:w="4151"/>
        <w:gridCol w:w="3208"/>
      </w:tblGrid>
      <w:tr w:rsidR="00AE7C57" w:rsidRPr="00376E1D" w14:paraId="691C2D5E" w14:textId="77777777" w:rsidTr="002E1767">
        <w:trPr>
          <w:cnfStyle w:val="100000000000" w:firstRow="1" w:lastRow="0" w:firstColumn="0" w:lastColumn="0" w:oddVBand="0" w:evenVBand="0" w:oddHBand="0" w:evenHBand="0" w:firstRowFirstColumn="0" w:firstRowLastColumn="0" w:lastRowFirstColumn="0" w:lastRowLastColumn="0"/>
        </w:trPr>
        <w:tc>
          <w:tcPr>
            <w:tcW w:w="2263" w:type="dxa"/>
          </w:tcPr>
          <w:p w14:paraId="05D1BE47" w14:textId="2D793319" w:rsidR="00AE7C57" w:rsidRPr="00376E1D" w:rsidRDefault="00CE7B15"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Pillar</w:t>
            </w:r>
          </w:p>
        </w:tc>
        <w:tc>
          <w:tcPr>
            <w:tcW w:w="4151" w:type="dxa"/>
          </w:tcPr>
          <w:p w14:paraId="5A7D6AC1" w14:textId="74EE66C8" w:rsidR="00AE7C57" w:rsidRPr="00376E1D" w:rsidRDefault="009858EE"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Key Focus Areas</w:t>
            </w:r>
          </w:p>
        </w:tc>
        <w:tc>
          <w:tcPr>
            <w:tcW w:w="3208" w:type="dxa"/>
          </w:tcPr>
          <w:p w14:paraId="18755A76" w14:textId="312F8A72" w:rsidR="00AE7C57" w:rsidRPr="00376E1D" w:rsidRDefault="00BA3BE4"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 xml:space="preserve">Alignment with WHO </w:t>
            </w:r>
            <w:r w:rsidR="0058054C" w:rsidRPr="00376E1D">
              <w:rPr>
                <w:rFonts w:asciiTheme="majorHAnsi" w:hAnsiTheme="majorHAnsi" w:cstheme="majorHAnsi"/>
                <w:lang w:eastAsia="en-AU"/>
              </w:rPr>
              <w:t xml:space="preserve">age-friendly cities </w:t>
            </w:r>
            <w:r w:rsidR="00104DED" w:rsidRPr="00376E1D">
              <w:rPr>
                <w:rFonts w:asciiTheme="majorHAnsi" w:hAnsiTheme="majorHAnsi" w:cstheme="majorHAnsi"/>
                <w:lang w:eastAsia="en-AU"/>
              </w:rPr>
              <w:t>domains</w:t>
            </w:r>
          </w:p>
        </w:tc>
      </w:tr>
      <w:tr w:rsidR="00AE7C57" w:rsidRPr="00376E1D" w14:paraId="594C2FA8" w14:textId="77777777" w:rsidTr="002E1767">
        <w:tc>
          <w:tcPr>
            <w:tcW w:w="2263" w:type="dxa"/>
          </w:tcPr>
          <w:p w14:paraId="79055A71" w14:textId="6B1856F2" w:rsidR="00AE7C57" w:rsidRPr="00376E1D" w:rsidRDefault="00296266"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Thriving physically and mentally</w:t>
            </w:r>
          </w:p>
        </w:tc>
        <w:tc>
          <w:tcPr>
            <w:tcW w:w="4151" w:type="dxa"/>
          </w:tcPr>
          <w:p w14:paraId="759ED7D3" w14:textId="77777777" w:rsidR="00296266" w:rsidRPr="00376E1D" w:rsidRDefault="00296266"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 xml:space="preserve">Affordable and appropriate housing </w:t>
            </w:r>
          </w:p>
          <w:p w14:paraId="69CAA579" w14:textId="77777777" w:rsidR="00296266" w:rsidRPr="00376E1D" w:rsidRDefault="00296266"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Increased support for ageing at home</w:t>
            </w:r>
          </w:p>
          <w:p w14:paraId="5D6BA573" w14:textId="1E3AFB7C" w:rsidR="00AE7C57" w:rsidRPr="00376E1D" w:rsidRDefault="00296266"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Available and accessible health care, informed by individual choice</w:t>
            </w:r>
          </w:p>
        </w:tc>
        <w:tc>
          <w:tcPr>
            <w:tcW w:w="3208" w:type="dxa"/>
          </w:tcPr>
          <w:p w14:paraId="2673E7D6" w14:textId="77777777" w:rsidR="002E1767" w:rsidRPr="00376E1D" w:rsidRDefault="002E1767"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Community and Healthcare</w:t>
            </w:r>
          </w:p>
          <w:p w14:paraId="05B7051F" w14:textId="4791BE14" w:rsidR="00AE7C57" w:rsidRPr="00376E1D" w:rsidRDefault="002E1767"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Housing</w:t>
            </w:r>
          </w:p>
        </w:tc>
      </w:tr>
    </w:tbl>
    <w:p w14:paraId="3EF9F2AB" w14:textId="2E036B97" w:rsidR="00D65FAF" w:rsidRPr="00853E68" w:rsidRDefault="00A53902" w:rsidP="00853E68">
      <w:pPr>
        <w:pStyle w:val="Heading4"/>
      </w:pPr>
      <w:r w:rsidRPr="00853E68">
        <w:t>Affordable and appropriate housing</w:t>
      </w:r>
    </w:p>
    <w:p w14:paraId="411B7BEE" w14:textId="77777777" w:rsidR="00954CE3" w:rsidRPr="00B10F1A" w:rsidRDefault="00954CE3" w:rsidP="00674C7F">
      <w:pPr>
        <w:pStyle w:val="BodyText"/>
        <w:rPr>
          <w:lang w:val="en-GB"/>
        </w:rPr>
      </w:pPr>
      <w:r w:rsidRPr="00B10F1A">
        <w:rPr>
          <w:lang w:val="en-GB"/>
        </w:rPr>
        <w:t xml:space="preserve">Safe, secure, affordable and reliable housing is a basic human right. Having a choice of location and type of housing helps to support wellbeing. However, some older people need to relocate to receive the support they need or find themselves at risk of homelessness because appropriate housing is not available where they are. </w:t>
      </w:r>
    </w:p>
    <w:p w14:paraId="566E3E77" w14:textId="48756F49" w:rsidR="00954CE3" w:rsidRPr="00B10F1A" w:rsidRDefault="00954CE3" w:rsidP="00674C7F">
      <w:pPr>
        <w:pStyle w:val="BodyText"/>
        <w:rPr>
          <w:lang w:val="en-GB"/>
        </w:rPr>
      </w:pPr>
      <w:r w:rsidRPr="00B10F1A">
        <w:rPr>
          <w:lang w:val="en-GB"/>
        </w:rPr>
        <w:t xml:space="preserve">Through consultations </w:t>
      </w:r>
      <w:r w:rsidR="00EF409B">
        <w:rPr>
          <w:lang w:val="en-GB"/>
        </w:rPr>
        <w:t>for</w:t>
      </w:r>
      <w:r w:rsidRPr="00B10F1A">
        <w:rPr>
          <w:lang w:val="en-GB"/>
        </w:rPr>
        <w:t xml:space="preserve"> the Strategy, stakeholders highlighted the importance of access to affordable and diverse housing options which met the needs of the individual.</w:t>
      </w:r>
      <w:r w:rsidRPr="00B10F1A" w:rsidDel="009D06D8">
        <w:rPr>
          <w:lang w:val="en-GB"/>
        </w:rPr>
        <w:t xml:space="preserve"> </w:t>
      </w:r>
      <w:r w:rsidRPr="00B10F1A">
        <w:rPr>
          <w:lang w:val="en-GB"/>
        </w:rPr>
        <w:t xml:space="preserve">Gaps were particularly evident for seniors living in regional and remote parts of the state. </w:t>
      </w:r>
      <w:r w:rsidR="00361825">
        <w:rPr>
          <w:lang w:val="en-GB"/>
        </w:rPr>
        <w:t>Fourteen</w:t>
      </w:r>
      <w:r w:rsidRPr="00B10F1A">
        <w:rPr>
          <w:lang w:val="en-GB"/>
        </w:rPr>
        <w:t xml:space="preserve"> per cent of </w:t>
      </w:r>
      <w:r w:rsidR="00A36459">
        <w:rPr>
          <w:lang w:val="en-GB"/>
        </w:rPr>
        <w:t>WA</w:t>
      </w:r>
      <w:r w:rsidRPr="00B10F1A">
        <w:rPr>
          <w:lang w:val="en-GB"/>
        </w:rPr>
        <w:t xml:space="preserve"> seniors live in regional and remote areas, and this number is expected to continue to grow.</w:t>
      </w:r>
      <w:r w:rsidRPr="007B51E0">
        <w:rPr>
          <w:rStyle w:val="FootnoteReference"/>
        </w:rPr>
        <w:footnoteReference w:id="2"/>
      </w:r>
      <w:r w:rsidRPr="00B10F1A">
        <w:rPr>
          <w:lang w:val="en-GB"/>
        </w:rPr>
        <w:t xml:space="preserve"> It is essential that we focus on ensuring seniors have access to appropriate and affordable housing, regardless of where they live, and </w:t>
      </w:r>
      <w:r w:rsidR="00361825">
        <w:rPr>
          <w:lang w:val="en-GB"/>
        </w:rPr>
        <w:t xml:space="preserve">can </w:t>
      </w:r>
      <w:r w:rsidRPr="00B10F1A">
        <w:rPr>
          <w:lang w:val="en-GB"/>
        </w:rPr>
        <w:t xml:space="preserve">be close to their families and support networks. </w:t>
      </w:r>
    </w:p>
    <w:p w14:paraId="5E5F2F60" w14:textId="2885EC43" w:rsidR="00954CE3" w:rsidRPr="00B10F1A" w:rsidRDefault="00954CE3" w:rsidP="00674C7F">
      <w:pPr>
        <w:pStyle w:val="BodyText"/>
        <w:rPr>
          <w:lang w:val="en-GB"/>
        </w:rPr>
      </w:pPr>
      <w:r w:rsidRPr="00B10F1A">
        <w:rPr>
          <w:lang w:val="en-GB"/>
        </w:rPr>
        <w:t>Through the consultations, we heard</w:t>
      </w:r>
      <w:r w:rsidR="00026682">
        <w:rPr>
          <w:lang w:val="en-GB"/>
        </w:rPr>
        <w:t xml:space="preserve"> of</w:t>
      </w:r>
      <w:r w:rsidRPr="00B10F1A">
        <w:rPr>
          <w:lang w:val="en-GB"/>
        </w:rPr>
        <w:t xml:space="preserve"> the unique challenges </w:t>
      </w:r>
      <w:r w:rsidR="00340F96">
        <w:rPr>
          <w:lang w:val="en-GB"/>
        </w:rPr>
        <w:t xml:space="preserve">in securing and maintain housing </w:t>
      </w:r>
      <w:r w:rsidRPr="00B10F1A">
        <w:rPr>
          <w:lang w:val="en-GB"/>
        </w:rPr>
        <w:t>faced by women who are seniors. Women over the age of 55 have been identified as one of the fastest growing cohort</w:t>
      </w:r>
      <w:r w:rsidR="00340F96">
        <w:rPr>
          <w:lang w:val="en-GB"/>
        </w:rPr>
        <w:t>s</w:t>
      </w:r>
      <w:r w:rsidRPr="00B10F1A">
        <w:rPr>
          <w:lang w:val="en-GB"/>
        </w:rPr>
        <w:t xml:space="preserve"> of people experiencing homelessness.</w:t>
      </w:r>
      <w:r w:rsidR="00B76D42">
        <w:rPr>
          <w:rStyle w:val="FootnoteReference"/>
          <w:lang w:val="en-GB"/>
        </w:rPr>
        <w:footnoteReference w:id="3"/>
      </w:r>
      <w:r w:rsidR="00852440" w:rsidRPr="00B10F1A">
        <w:rPr>
          <w:lang w:val="en-GB"/>
        </w:rPr>
        <w:t xml:space="preserve"> </w:t>
      </w:r>
    </w:p>
    <w:p w14:paraId="04A94F0B" w14:textId="658D3F59" w:rsidR="00954CE3" w:rsidRPr="00B10F1A" w:rsidRDefault="00954CE3" w:rsidP="00674C7F">
      <w:pPr>
        <w:pStyle w:val="BodyText"/>
        <w:rPr>
          <w:lang w:val="en-GB"/>
        </w:rPr>
      </w:pPr>
      <w:r w:rsidRPr="00B10F1A">
        <w:rPr>
          <w:lang w:val="en-GB"/>
        </w:rPr>
        <w:t>We also know that overcrowding is a considerable issue, particularly for some Aboriginal households.</w:t>
      </w:r>
      <w:r w:rsidR="00FE3A1C">
        <w:rPr>
          <w:rStyle w:val="FootnoteReference"/>
          <w:lang w:val="en-GB"/>
        </w:rPr>
        <w:footnoteReference w:id="4"/>
      </w:r>
      <w:r w:rsidRPr="00B10F1A">
        <w:rPr>
          <w:lang w:val="en-GB"/>
        </w:rPr>
        <w:t xml:space="preserve"> Seniors we spoke to echoed this, reminding us that overcrowding continues </w:t>
      </w:r>
      <w:r w:rsidRPr="00B10F1A">
        <w:rPr>
          <w:lang w:val="en-GB"/>
        </w:rPr>
        <w:lastRenderedPageBreak/>
        <w:t xml:space="preserve">to be a concern for Aboriginal households in WA, </w:t>
      </w:r>
      <w:r w:rsidR="00340F96">
        <w:rPr>
          <w:lang w:val="en-GB"/>
        </w:rPr>
        <w:t>which has</w:t>
      </w:r>
      <w:r w:rsidRPr="00B10F1A">
        <w:rPr>
          <w:lang w:val="en-GB"/>
        </w:rPr>
        <w:t xml:space="preserve"> a significant impact on the health and wellbeing of older Aboriginal people. </w:t>
      </w:r>
    </w:p>
    <w:p w14:paraId="50CF628C" w14:textId="77777777" w:rsidR="00E43DDF" w:rsidRPr="00853E68" w:rsidRDefault="00E43DDF" w:rsidP="00853E68">
      <w:pPr>
        <w:pStyle w:val="Heading4"/>
      </w:pPr>
      <w:r w:rsidRPr="00853E68">
        <w:t>Increased support for ageing at home</w:t>
      </w:r>
    </w:p>
    <w:p w14:paraId="292DE15A" w14:textId="77777777" w:rsidR="00974ABC" w:rsidRPr="00B10F1A" w:rsidRDefault="00974ABC" w:rsidP="00674C7F">
      <w:pPr>
        <w:pStyle w:val="BodyText"/>
        <w:rPr>
          <w:lang w:val="en-GB"/>
        </w:rPr>
      </w:pPr>
      <w:r w:rsidRPr="00B10F1A">
        <w:rPr>
          <w:lang w:val="en-GB"/>
        </w:rPr>
        <w:t>Many seniors want to stay in their own homes for as long as possible. Over 80 per cent of seniors in Australia own their own home and want the agency and opportunity to age with choice at home.</w:t>
      </w:r>
      <w:r w:rsidRPr="00FE3A1C">
        <w:rPr>
          <w:rStyle w:val="FootnoteReference"/>
        </w:rPr>
        <w:footnoteReference w:id="5"/>
      </w:r>
      <w:r w:rsidRPr="00FE3A1C">
        <w:rPr>
          <w:rStyle w:val="FootnoteReference"/>
        </w:rPr>
        <w:t xml:space="preserve"> </w:t>
      </w:r>
    </w:p>
    <w:p w14:paraId="602AF6AF" w14:textId="77777777" w:rsidR="00974ABC" w:rsidRPr="00B10F1A" w:rsidRDefault="00974ABC" w:rsidP="00674C7F">
      <w:pPr>
        <w:pStyle w:val="BodyText"/>
        <w:rPr>
          <w:lang w:val="en-GB"/>
        </w:rPr>
      </w:pPr>
      <w:r w:rsidRPr="00B10F1A">
        <w:rPr>
          <w:lang w:val="en-GB"/>
        </w:rPr>
        <w:t>Through consultations on the Strategy, we heard that having access to services which allow seniors to manage their health and personal care at home helps them to age well in their own home and community. For some seniors, these services are not always available.  Older people are better supported where they can adjust their homes to enable them to age safely and comfortably in their current space, and have ready access to support services.</w:t>
      </w:r>
      <w:r w:rsidRPr="00B10F1A">
        <w:rPr>
          <w:lang w:val="en-GB"/>
        </w:rPr>
        <w:tab/>
      </w:r>
    </w:p>
    <w:p w14:paraId="6B46923B" w14:textId="48F2F890" w:rsidR="00974ABC" w:rsidRPr="00B10F1A" w:rsidRDefault="00974ABC" w:rsidP="00674C7F">
      <w:pPr>
        <w:pStyle w:val="BodyText"/>
        <w:rPr>
          <w:lang w:val="en-GB"/>
        </w:rPr>
      </w:pPr>
      <w:r w:rsidRPr="00B10F1A">
        <w:rPr>
          <w:lang w:val="en-GB"/>
        </w:rPr>
        <w:t xml:space="preserve">Support for carers, including accessible and flexible respite care, was also highlighted as a key priority for </w:t>
      </w:r>
      <w:r w:rsidR="00A36459">
        <w:rPr>
          <w:lang w:val="en-GB"/>
        </w:rPr>
        <w:t>WA</w:t>
      </w:r>
      <w:r w:rsidRPr="00B10F1A">
        <w:rPr>
          <w:lang w:val="en-GB"/>
        </w:rPr>
        <w:t xml:space="preserve"> seniors. Around two in five Australian seniors report needing assistance as they aged, with much of this care and support provided by family members, friends, or neighbours.</w:t>
      </w:r>
      <w:r w:rsidRPr="00FE3A1C">
        <w:rPr>
          <w:rStyle w:val="FootnoteReference"/>
        </w:rPr>
        <w:footnoteReference w:id="6"/>
      </w:r>
      <w:r w:rsidRPr="00FE3A1C">
        <w:rPr>
          <w:rStyle w:val="FootnoteReference"/>
        </w:rPr>
        <w:t xml:space="preserve"> </w:t>
      </w:r>
    </w:p>
    <w:p w14:paraId="72EC58B5" w14:textId="77777777" w:rsidR="00E43DDF" w:rsidRPr="00853E68" w:rsidRDefault="00E43DDF" w:rsidP="00853E68">
      <w:pPr>
        <w:pStyle w:val="Heading4"/>
      </w:pPr>
      <w:r w:rsidRPr="00853E68">
        <w:t>Available and accessible health care, informed by individual choice</w:t>
      </w:r>
    </w:p>
    <w:p w14:paraId="25CCCA08" w14:textId="77777777" w:rsidR="0019251C" w:rsidRPr="00B10F1A" w:rsidRDefault="0019251C" w:rsidP="00674C7F">
      <w:pPr>
        <w:pStyle w:val="BodyText"/>
        <w:rPr>
          <w:lang w:val="en-GB"/>
        </w:rPr>
      </w:pPr>
      <w:r w:rsidRPr="00B10F1A">
        <w:rPr>
          <w:lang w:val="en-GB"/>
        </w:rPr>
        <w:t xml:space="preserve">Having local, easily </w:t>
      </w:r>
      <w:bookmarkStart w:id="1" w:name="_Hlk119051930"/>
      <w:r w:rsidRPr="00B10F1A">
        <w:rPr>
          <w:lang w:val="en-GB"/>
        </w:rPr>
        <w:t xml:space="preserve">accessible and affordable health services </w:t>
      </w:r>
      <w:bookmarkEnd w:id="1"/>
      <w:r w:rsidRPr="00B10F1A">
        <w:rPr>
          <w:lang w:val="en-GB"/>
        </w:rPr>
        <w:t>is fundamentally important for seniors.</w:t>
      </w:r>
      <w:r w:rsidRPr="00FE3A1C">
        <w:rPr>
          <w:rStyle w:val="FootnoteReference"/>
        </w:rPr>
        <w:footnoteReference w:id="7"/>
      </w:r>
      <w:r w:rsidRPr="00FE3A1C">
        <w:rPr>
          <w:rStyle w:val="FootnoteReference"/>
        </w:rPr>
        <w:t xml:space="preserve"> </w:t>
      </w:r>
      <w:r w:rsidRPr="00B10F1A">
        <w:rPr>
          <w:lang w:val="en-GB"/>
        </w:rPr>
        <w:t>Older people need good access to all health care options, and want to have choices around the services they use.</w:t>
      </w:r>
    </w:p>
    <w:p w14:paraId="3C6F677A" w14:textId="77777777" w:rsidR="0019251C" w:rsidRPr="00B10F1A" w:rsidRDefault="0019251C" w:rsidP="00674C7F">
      <w:pPr>
        <w:pStyle w:val="BodyText"/>
        <w:rPr>
          <w:lang w:val="en-GB"/>
        </w:rPr>
      </w:pPr>
      <w:r w:rsidRPr="00B10F1A">
        <w:rPr>
          <w:lang w:val="en-GB"/>
        </w:rPr>
        <w:t xml:space="preserve">Health care that is accessible, affordable and respectful of seniors’ needs helps people to live a good life as they age. However, for some older people access to timely and affordable healthcare was an issue. Seniors in regional and remote areas were concerned about the lower levels of access for specialists and allied health professionals. </w:t>
      </w:r>
    </w:p>
    <w:p w14:paraId="18E1939B" w14:textId="77777777" w:rsidR="0019251C" w:rsidRPr="00B10F1A" w:rsidRDefault="0019251C" w:rsidP="00674C7F">
      <w:pPr>
        <w:pStyle w:val="BodyText"/>
        <w:rPr>
          <w:lang w:val="en-GB"/>
        </w:rPr>
      </w:pPr>
      <w:r w:rsidRPr="00B10F1A">
        <w:rPr>
          <w:lang w:val="en-GB"/>
        </w:rPr>
        <w:t xml:space="preserve">Some Aboriginal older people talked about their worries in accessing culturally appropriate and culturally safe healthcare services. Aboriginal people felt they would like to see more aged care services delivered by Aboriginal organisations and by Aboriginal staff. All seniors must be confident that their cultural needs will be respected and addressed at all times, including in healthcare settings. </w:t>
      </w:r>
    </w:p>
    <w:p w14:paraId="20E86472" w14:textId="77777777" w:rsidR="0019251C" w:rsidRPr="00B10F1A" w:rsidRDefault="0019251C" w:rsidP="00674C7F">
      <w:pPr>
        <w:pStyle w:val="BodyText"/>
        <w:rPr>
          <w:lang w:val="en-GB"/>
        </w:rPr>
      </w:pPr>
      <w:r w:rsidRPr="00B10F1A">
        <w:rPr>
          <w:lang w:val="en-GB"/>
        </w:rPr>
        <w:t xml:space="preserve">Seniors from </w:t>
      </w:r>
      <w:proofErr w:type="spellStart"/>
      <w:r w:rsidRPr="00B10F1A">
        <w:rPr>
          <w:lang w:val="en-GB"/>
        </w:rPr>
        <w:t>CaLD</w:t>
      </w:r>
      <w:proofErr w:type="spellEnd"/>
      <w:r w:rsidRPr="00B10F1A">
        <w:rPr>
          <w:lang w:val="en-GB"/>
        </w:rPr>
        <w:t xml:space="preserve"> backgrounds also expressed the need for culturally appropriate and culturally safe services provided in their own language.  They also wanted to have translated information available. Seniors from </w:t>
      </w:r>
      <w:proofErr w:type="spellStart"/>
      <w:r w:rsidRPr="00B10F1A">
        <w:rPr>
          <w:lang w:val="en-GB"/>
        </w:rPr>
        <w:t>CaLD</w:t>
      </w:r>
      <w:proofErr w:type="spellEnd"/>
      <w:r w:rsidRPr="00B10F1A">
        <w:rPr>
          <w:lang w:val="en-GB"/>
        </w:rPr>
        <w:t xml:space="preserve"> backgrounds believe that aged care provided in small, homely establishments, rather than hospital style institutions, would better suit their needs. </w:t>
      </w:r>
    </w:p>
    <w:p w14:paraId="0E6239AA" w14:textId="77777777" w:rsidR="0019251C" w:rsidRPr="00B10F1A" w:rsidRDefault="0019251C" w:rsidP="00674C7F">
      <w:pPr>
        <w:pStyle w:val="BodyText"/>
        <w:rPr>
          <w:lang w:val="en-GB"/>
        </w:rPr>
      </w:pPr>
      <w:r w:rsidRPr="00B10F1A">
        <w:rPr>
          <w:lang w:val="en-GB"/>
        </w:rPr>
        <w:lastRenderedPageBreak/>
        <w:t xml:space="preserve">Similarly, older people who identify as LGBTQIA+ wanted to have access to aged care and health care that was informed and non-judgemental and respected their LGBTQIA+ identity, culture, and community. </w:t>
      </w:r>
    </w:p>
    <w:p w14:paraId="694AF6D6" w14:textId="77777777" w:rsidR="0019251C" w:rsidRPr="00B10F1A" w:rsidRDefault="0019251C" w:rsidP="00674C7F">
      <w:pPr>
        <w:pStyle w:val="BodyText"/>
        <w:rPr>
          <w:lang w:val="en-GB"/>
        </w:rPr>
      </w:pPr>
      <w:r w:rsidRPr="00B10F1A">
        <w:rPr>
          <w:lang w:val="en-GB"/>
        </w:rPr>
        <w:t xml:space="preserve">The unique nature of Australian Defence Force (ADF) service can enhance a person’s health and wellbeing, a phenomenon known as the </w:t>
      </w:r>
      <w:hyperlink r:id="rId11" w:history="1">
        <w:r w:rsidRPr="00B10F1A">
          <w:rPr>
            <w:lang w:val="en-GB"/>
          </w:rPr>
          <w:t>‘healthy soldier effect</w:t>
        </w:r>
      </w:hyperlink>
      <w:r w:rsidRPr="00B10F1A">
        <w:rPr>
          <w:lang w:val="en-GB"/>
        </w:rPr>
        <w:t>’. However, ADF service increases the likelihood of exposure to trauma. These experiences mean that some seniors who are ex-serving ADF members may encounter challenges in everyday living above those of the general Australian population, especially those who discharge involuntarily. Access to accessible and affordable health services, informed by individual choice is required to meet their unique needs.</w:t>
      </w:r>
    </w:p>
    <w:p w14:paraId="23E199CD" w14:textId="65E781D3" w:rsidR="00250CC5" w:rsidRPr="00882B67" w:rsidRDefault="00250CC5" w:rsidP="00882B67">
      <w:pPr>
        <w:pStyle w:val="Heading2"/>
      </w:pPr>
      <w:r w:rsidRPr="00882B67">
        <w:t>Safe and friendly communities</w:t>
      </w:r>
    </w:p>
    <w:p w14:paraId="1501180C" w14:textId="28E4C5F9" w:rsidR="007D7A63" w:rsidRPr="00674C7F" w:rsidRDefault="007D7A63" w:rsidP="00674C7F">
      <w:pPr>
        <w:pStyle w:val="BodyText"/>
      </w:pPr>
      <w:r w:rsidRPr="00674C7F">
        <w:t xml:space="preserve">Seniors have told us that when they feel safe and secure in the community, they are able to navigate it freely and actively engage. Safe and friendly communities are crucial for our seniors. This means communities </w:t>
      </w:r>
      <w:r w:rsidR="003B331C">
        <w:t>need to be</w:t>
      </w:r>
      <w:r w:rsidRPr="00674C7F">
        <w:t xml:space="preserve"> places where seniors are treated with respect and included in community activities. To facilitate this, infrastructure and transport systems must be accessible and affordable </w:t>
      </w:r>
      <w:r w:rsidR="003B331C">
        <w:t xml:space="preserve">for all people </w:t>
      </w:r>
      <w:r w:rsidRPr="00674C7F">
        <w:t xml:space="preserve">regardless of age or ability. </w:t>
      </w:r>
    </w:p>
    <w:p w14:paraId="0B2FE83B" w14:textId="124EB747" w:rsidR="00250CC5" w:rsidRPr="00674C7F" w:rsidRDefault="007D7A63" w:rsidP="00674C7F">
      <w:pPr>
        <w:pStyle w:val="BodyText"/>
      </w:pPr>
      <w:r w:rsidRPr="00674C7F">
        <w:t xml:space="preserve">Within the safe and friendly communities pillar, three key focus areas will inform how the </w:t>
      </w:r>
      <w:r w:rsidR="00A36459">
        <w:t>WA</w:t>
      </w:r>
      <w:r w:rsidRPr="00674C7F">
        <w:t xml:space="preserve"> Government can better ensure communities are safe, inclusive, and age</w:t>
      </w:r>
      <w:r w:rsidR="00406104">
        <w:t xml:space="preserve"> </w:t>
      </w:r>
      <w:r w:rsidRPr="00674C7F">
        <w:t>friendl</w:t>
      </w:r>
      <w:r w:rsidR="00F90991">
        <w:t>y</w:t>
      </w:r>
      <w:r w:rsidRPr="00674C7F">
        <w:t>. These are shown in Table 2 below and are described across the following pages</w:t>
      </w:r>
      <w:r w:rsidR="00AC5E2F" w:rsidRPr="00674C7F">
        <w:t>.</w:t>
      </w:r>
    </w:p>
    <w:p w14:paraId="24C5E819" w14:textId="2A8199E4" w:rsidR="00250CC5" w:rsidRPr="00376E1D" w:rsidRDefault="00250CC5" w:rsidP="00853E68">
      <w:pPr>
        <w:pStyle w:val="BodyText"/>
        <w:spacing w:line="276" w:lineRule="auto"/>
        <w:rPr>
          <w:rFonts w:asciiTheme="majorHAnsi" w:hAnsiTheme="majorHAnsi" w:cstheme="majorHAnsi"/>
          <w:b/>
          <w:bCs/>
          <w:lang w:eastAsia="en-AU"/>
        </w:rPr>
      </w:pPr>
      <w:r w:rsidRPr="00376E1D">
        <w:rPr>
          <w:rFonts w:asciiTheme="majorHAnsi" w:hAnsiTheme="majorHAnsi" w:cstheme="majorHAnsi"/>
          <w:b/>
          <w:bCs/>
          <w:lang w:eastAsia="en-AU"/>
        </w:rPr>
        <w:t xml:space="preserve">Table </w:t>
      </w:r>
      <w:r w:rsidR="00303094" w:rsidRPr="00376E1D">
        <w:rPr>
          <w:rFonts w:asciiTheme="majorHAnsi" w:hAnsiTheme="majorHAnsi" w:cstheme="majorHAnsi"/>
          <w:b/>
          <w:bCs/>
          <w:lang w:eastAsia="en-AU"/>
        </w:rPr>
        <w:t>2</w:t>
      </w:r>
      <w:r w:rsidRPr="00376E1D">
        <w:rPr>
          <w:rFonts w:asciiTheme="majorHAnsi" w:hAnsiTheme="majorHAnsi" w:cstheme="majorHAnsi"/>
          <w:b/>
          <w:bCs/>
          <w:lang w:eastAsia="en-AU"/>
        </w:rPr>
        <w:t xml:space="preserve"> | Safe and friendly communities</w:t>
      </w:r>
    </w:p>
    <w:tbl>
      <w:tblPr>
        <w:tblStyle w:val="TableStyle"/>
        <w:tblW w:w="0" w:type="auto"/>
        <w:tblLook w:val="04A0" w:firstRow="1" w:lastRow="0" w:firstColumn="1" w:lastColumn="0" w:noHBand="0" w:noVBand="1"/>
      </w:tblPr>
      <w:tblGrid>
        <w:gridCol w:w="2263"/>
        <w:gridCol w:w="4151"/>
        <w:gridCol w:w="3208"/>
      </w:tblGrid>
      <w:tr w:rsidR="00250CC5" w:rsidRPr="00376E1D" w14:paraId="6B525E38" w14:textId="77777777" w:rsidTr="00420908">
        <w:trPr>
          <w:cnfStyle w:val="100000000000" w:firstRow="1" w:lastRow="0" w:firstColumn="0" w:lastColumn="0" w:oddVBand="0" w:evenVBand="0" w:oddHBand="0" w:evenHBand="0" w:firstRowFirstColumn="0" w:firstRowLastColumn="0" w:lastRowFirstColumn="0" w:lastRowLastColumn="0"/>
        </w:trPr>
        <w:tc>
          <w:tcPr>
            <w:tcW w:w="2263" w:type="dxa"/>
          </w:tcPr>
          <w:p w14:paraId="5765D455" w14:textId="77777777" w:rsidR="00250CC5" w:rsidRPr="00376E1D" w:rsidRDefault="00250CC5"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Pillar</w:t>
            </w:r>
          </w:p>
        </w:tc>
        <w:tc>
          <w:tcPr>
            <w:tcW w:w="4151" w:type="dxa"/>
          </w:tcPr>
          <w:p w14:paraId="788FA521" w14:textId="77777777" w:rsidR="00250CC5" w:rsidRPr="00376E1D" w:rsidRDefault="00250CC5"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Key Focus Areas</w:t>
            </w:r>
          </w:p>
        </w:tc>
        <w:tc>
          <w:tcPr>
            <w:tcW w:w="3208" w:type="dxa"/>
          </w:tcPr>
          <w:p w14:paraId="39BEE48A" w14:textId="77777777" w:rsidR="00250CC5" w:rsidRPr="00376E1D" w:rsidRDefault="00250CC5"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Alignment with WHO age-friendly cities domains</w:t>
            </w:r>
          </w:p>
        </w:tc>
      </w:tr>
      <w:tr w:rsidR="00250CC5" w:rsidRPr="00376E1D" w14:paraId="3B69D39A" w14:textId="77777777" w:rsidTr="00420908">
        <w:tc>
          <w:tcPr>
            <w:tcW w:w="2263" w:type="dxa"/>
          </w:tcPr>
          <w:p w14:paraId="51F56D40" w14:textId="2A8413BA" w:rsidR="00250CC5" w:rsidRPr="00376E1D" w:rsidRDefault="00250CC5"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Safe and friendly communities</w:t>
            </w:r>
          </w:p>
        </w:tc>
        <w:tc>
          <w:tcPr>
            <w:tcW w:w="4151" w:type="dxa"/>
          </w:tcPr>
          <w:p w14:paraId="7FA2A364" w14:textId="77777777" w:rsidR="00303094" w:rsidRPr="00376E1D" w:rsidRDefault="00303094"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Respectful and inclusive communities, regardless of background or needs</w:t>
            </w:r>
          </w:p>
          <w:p w14:paraId="1D633EEC" w14:textId="77777777" w:rsidR="00303094" w:rsidRPr="00376E1D" w:rsidRDefault="00303094"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 xml:space="preserve">Age-friendly public spaces, infrastructure, and facilities </w:t>
            </w:r>
          </w:p>
          <w:p w14:paraId="7C0BD10D" w14:textId="0371A680" w:rsidR="00250CC5" w:rsidRPr="00376E1D" w:rsidRDefault="00303094"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Accessible, appropriate, and cost-effective transport options</w:t>
            </w:r>
          </w:p>
        </w:tc>
        <w:tc>
          <w:tcPr>
            <w:tcW w:w="3208" w:type="dxa"/>
          </w:tcPr>
          <w:p w14:paraId="6C7E6D82" w14:textId="77777777" w:rsidR="00291DA2" w:rsidRPr="00376E1D" w:rsidRDefault="00291DA2"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Respect and social inclusion</w:t>
            </w:r>
          </w:p>
          <w:p w14:paraId="493BFEED" w14:textId="77777777" w:rsidR="00291DA2" w:rsidRPr="00376E1D" w:rsidRDefault="00291DA2"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Transportation</w:t>
            </w:r>
          </w:p>
          <w:p w14:paraId="3263D832" w14:textId="1DAF96C0" w:rsidR="00250CC5" w:rsidRPr="00376E1D" w:rsidRDefault="00291DA2"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Outdoor spaces</w:t>
            </w:r>
          </w:p>
        </w:tc>
      </w:tr>
    </w:tbl>
    <w:p w14:paraId="4F56D769" w14:textId="77777777" w:rsidR="00C7129C" w:rsidRPr="00853E68" w:rsidRDefault="00C7129C" w:rsidP="00853E68">
      <w:pPr>
        <w:pStyle w:val="Heading4"/>
      </w:pPr>
      <w:r w:rsidRPr="00853E68">
        <w:t>Respectful and inclusive communities, regardless of background or needs</w:t>
      </w:r>
    </w:p>
    <w:p w14:paraId="5E717FF9" w14:textId="3195A61B" w:rsidR="00D060DB" w:rsidRPr="00B10F1A" w:rsidRDefault="00D060DB" w:rsidP="00674C7F">
      <w:pPr>
        <w:pStyle w:val="BodyText"/>
        <w:rPr>
          <w:lang w:val="en-GB"/>
        </w:rPr>
      </w:pPr>
      <w:r w:rsidRPr="00B10F1A">
        <w:rPr>
          <w:lang w:val="en-GB"/>
        </w:rPr>
        <w:t xml:space="preserve">At the core of any community is its people, </w:t>
      </w:r>
      <w:r w:rsidR="00406104">
        <w:rPr>
          <w:lang w:val="en-GB"/>
        </w:rPr>
        <w:t xml:space="preserve">and </w:t>
      </w:r>
      <w:r w:rsidRPr="00B10F1A">
        <w:rPr>
          <w:lang w:val="en-GB"/>
        </w:rPr>
        <w:t xml:space="preserve">their values, and attitudes towards each other. When a community is inclusive and respectful towards all seniors, it creates space for them to feel culturally safe and </w:t>
      </w:r>
      <w:r w:rsidR="00406104">
        <w:rPr>
          <w:lang w:val="en-GB"/>
        </w:rPr>
        <w:t xml:space="preserve">to </w:t>
      </w:r>
      <w:r w:rsidRPr="00B10F1A">
        <w:rPr>
          <w:lang w:val="en-GB"/>
        </w:rPr>
        <w:t xml:space="preserve">thrive. Respectful and inclusive communities make seniors feel at home, value their contributions, provide equitable access to services, and recognise that people come from all walks of life, and that our different wants, needs, and values enrich our communities. </w:t>
      </w:r>
    </w:p>
    <w:p w14:paraId="43474E92" w14:textId="794A4344" w:rsidR="00D060DB" w:rsidRPr="00B10F1A" w:rsidRDefault="00D060DB" w:rsidP="00674C7F">
      <w:pPr>
        <w:pStyle w:val="BodyText"/>
        <w:rPr>
          <w:lang w:val="en-GB"/>
        </w:rPr>
      </w:pPr>
      <w:r w:rsidRPr="00B10F1A">
        <w:rPr>
          <w:lang w:val="en-GB"/>
        </w:rPr>
        <w:lastRenderedPageBreak/>
        <w:t xml:space="preserve">Consultations highlighted that seniors appreciate being treated with respect and equity. During some consultations we heard of older people encountering attitudes that were discriminatory and lacked respect, </w:t>
      </w:r>
      <w:r w:rsidR="004A66E0">
        <w:rPr>
          <w:lang w:val="en-GB"/>
        </w:rPr>
        <w:t xml:space="preserve">highlighting </w:t>
      </w:r>
      <w:r w:rsidRPr="00B10F1A">
        <w:rPr>
          <w:lang w:val="en-GB"/>
        </w:rPr>
        <w:t xml:space="preserve">the need to raise awareness of ageist comments and address ageism. Across Australia, 63 per of seniors reported experiencing ageism within the past </w:t>
      </w:r>
      <w:r w:rsidR="004A66E0">
        <w:rPr>
          <w:lang w:val="en-GB"/>
        </w:rPr>
        <w:t>five</w:t>
      </w:r>
      <w:r w:rsidRPr="00B10F1A">
        <w:rPr>
          <w:lang w:val="en-GB"/>
        </w:rPr>
        <w:t xml:space="preserve"> years.</w:t>
      </w:r>
      <w:r w:rsidRPr="00FE3A1C">
        <w:rPr>
          <w:rStyle w:val="FootnoteReference"/>
        </w:rPr>
        <w:footnoteReference w:id="8"/>
      </w:r>
      <w:r w:rsidRPr="00FE3A1C">
        <w:rPr>
          <w:rStyle w:val="FootnoteReference"/>
        </w:rPr>
        <w:t xml:space="preserve"> </w:t>
      </w:r>
    </w:p>
    <w:p w14:paraId="57D04EB8" w14:textId="258BE728" w:rsidR="00C7129C" w:rsidRPr="00853E68" w:rsidRDefault="00D060DB" w:rsidP="00674C7F">
      <w:pPr>
        <w:pStyle w:val="BodyText"/>
        <w:rPr>
          <w:lang w:val="en-GB"/>
        </w:rPr>
      </w:pPr>
      <w:r w:rsidRPr="00B10F1A">
        <w:rPr>
          <w:lang w:val="en-GB"/>
        </w:rPr>
        <w:t xml:space="preserve">Learning </w:t>
      </w:r>
      <w:r w:rsidR="004A66E0">
        <w:rPr>
          <w:lang w:val="en-GB"/>
        </w:rPr>
        <w:t xml:space="preserve">about </w:t>
      </w:r>
      <w:r w:rsidRPr="00B10F1A">
        <w:rPr>
          <w:lang w:val="en-GB"/>
        </w:rPr>
        <w:t xml:space="preserve">and understanding the role of Aboriginal </w:t>
      </w:r>
      <w:r w:rsidR="004A66E0">
        <w:rPr>
          <w:lang w:val="en-GB"/>
        </w:rPr>
        <w:t>E</w:t>
      </w:r>
      <w:r w:rsidRPr="00B10F1A">
        <w:rPr>
          <w:lang w:val="en-GB"/>
        </w:rPr>
        <w:t xml:space="preserve">lders and practicing cultural awareness is a community-wide undertaking and represents one aspect of how we must come together as a community to promote respectful, inclusive communities. Unfortunately, Aboriginal seniors felt they were often subject to age-based discrimination. During consultation, Aboriginal people repeatedly raised concerns about the lack of respect and understanding for Aboriginal </w:t>
      </w:r>
      <w:r w:rsidR="004A66E0">
        <w:rPr>
          <w:lang w:val="en-GB"/>
        </w:rPr>
        <w:t>E</w:t>
      </w:r>
      <w:r w:rsidRPr="00B10F1A">
        <w:rPr>
          <w:lang w:val="en-GB"/>
        </w:rPr>
        <w:t>lders.</w:t>
      </w:r>
    </w:p>
    <w:p w14:paraId="685A75BA" w14:textId="77777777" w:rsidR="00C7129C" w:rsidRPr="00853E68" w:rsidRDefault="00C7129C" w:rsidP="00853E68">
      <w:pPr>
        <w:pStyle w:val="Heading4"/>
      </w:pPr>
      <w:r w:rsidRPr="00853E68">
        <w:t xml:space="preserve">Age-friendly public spaces, infrastructure, and facilities </w:t>
      </w:r>
    </w:p>
    <w:p w14:paraId="53F22BAE" w14:textId="77777777" w:rsidR="007F52AF" w:rsidRPr="00B10F1A" w:rsidRDefault="007F52AF" w:rsidP="00674C7F">
      <w:pPr>
        <w:pStyle w:val="BodyText"/>
        <w:rPr>
          <w:lang w:val="en-GB"/>
        </w:rPr>
      </w:pPr>
      <w:r w:rsidRPr="00B10F1A">
        <w:rPr>
          <w:lang w:val="en-GB"/>
        </w:rPr>
        <w:t xml:space="preserve">Public spaces (including outdoor areas) bring people together and foster a sense of togetherness in the community. Appropriate and safe environments, including walkways, seating, and public toilets, are essential for allowing our seniors to enjoy their communities. Community spaces should be accessible to everyone, providing facilities that cater to all needs regardless of age and ability. </w:t>
      </w:r>
    </w:p>
    <w:p w14:paraId="0C828323" w14:textId="34EBE047" w:rsidR="007F52AF" w:rsidRPr="00B10F1A" w:rsidRDefault="007F52AF" w:rsidP="00674C7F">
      <w:pPr>
        <w:pStyle w:val="BodyText"/>
        <w:rPr>
          <w:lang w:val="en-GB"/>
        </w:rPr>
      </w:pPr>
      <w:r w:rsidRPr="00B10F1A">
        <w:rPr>
          <w:lang w:val="en-GB"/>
        </w:rPr>
        <w:t xml:space="preserve">Many seniors enjoy spending time in nature and outdoor spaces. This is important for their health, wellbeing, and happiness. Consultations </w:t>
      </w:r>
      <w:r w:rsidR="004A66E0">
        <w:rPr>
          <w:lang w:val="en-GB"/>
        </w:rPr>
        <w:t>for</w:t>
      </w:r>
      <w:r w:rsidRPr="00B10F1A">
        <w:rPr>
          <w:lang w:val="en-GB"/>
        </w:rPr>
        <w:t xml:space="preserve"> the Strategy highlighted that older people want public spaces, infrastructure and facilities across WA that are accessible for seniors. People said that they appreciated spaces and places where they had access to good walkways, appropriate parking, seating, and accessible toilets, and that facilities where these were available were well used. Older people wanted to encourage councils and developers to ensure that places were planned and built with accessibility in mind, to ensure that everyone could enjoy them.</w:t>
      </w:r>
    </w:p>
    <w:p w14:paraId="4ED071EF" w14:textId="628B96C1" w:rsidR="00C7129C" w:rsidRPr="00853E68" w:rsidRDefault="00C7129C" w:rsidP="00853E68">
      <w:pPr>
        <w:pStyle w:val="Heading4"/>
      </w:pPr>
      <w:r w:rsidRPr="00853E68">
        <w:t>Accessible, appropriate, and cost-effective transport options</w:t>
      </w:r>
    </w:p>
    <w:p w14:paraId="46DF93B0" w14:textId="77777777" w:rsidR="00B10F1A" w:rsidRPr="00B10F1A" w:rsidRDefault="00B10F1A" w:rsidP="00674C7F">
      <w:pPr>
        <w:pStyle w:val="BodyText"/>
        <w:rPr>
          <w:lang w:val="en-GB"/>
        </w:rPr>
      </w:pPr>
      <w:r w:rsidRPr="005F1608">
        <w:rPr>
          <w:lang w:eastAsia="en-AU"/>
        </w:rPr>
        <w:t xml:space="preserve">Transportation, including accessible and affordable public transport, is a key factor </w:t>
      </w:r>
      <w:r w:rsidRPr="00B10F1A">
        <w:rPr>
          <w:lang w:val="en-GB"/>
        </w:rPr>
        <w:t xml:space="preserve">influencing positive and active ageing. During the consultation, seniors informed us that when they are unable to drive and needed to rely on other forms of transportation to get around, it created a major barrier for engagement in activities outside their home. </w:t>
      </w:r>
    </w:p>
    <w:p w14:paraId="0A31A2E1" w14:textId="04ED48C2" w:rsidR="00B10F1A" w:rsidRPr="00B10F1A" w:rsidRDefault="00B10F1A" w:rsidP="00674C7F">
      <w:pPr>
        <w:pStyle w:val="BodyText"/>
        <w:rPr>
          <w:lang w:val="en-GB"/>
        </w:rPr>
      </w:pPr>
      <w:r w:rsidRPr="00B10F1A">
        <w:rPr>
          <w:lang w:val="en-GB"/>
        </w:rPr>
        <w:t xml:space="preserve">Older people liked having access to good transport services, including specific parking spaces, good public transport which was accessible, and private services which catered to their needs. Some seniors noted issues with accessible transport, particularly for people requiring mobility assistance. Seniors in regional and remote areas had more difficulties, as they often lack public transport options and have </w:t>
      </w:r>
      <w:r w:rsidR="004A66E0">
        <w:rPr>
          <w:lang w:val="en-GB"/>
        </w:rPr>
        <w:t xml:space="preserve">to travel greater </w:t>
      </w:r>
      <w:r w:rsidRPr="00B10F1A">
        <w:rPr>
          <w:lang w:val="en-GB"/>
        </w:rPr>
        <w:t>distances to access services and facilities.</w:t>
      </w:r>
    </w:p>
    <w:p w14:paraId="70E125E3" w14:textId="0E7A169A" w:rsidR="00C7129C" w:rsidRPr="00882B67" w:rsidRDefault="00DF5ED5" w:rsidP="00882B67">
      <w:pPr>
        <w:pStyle w:val="Heading2"/>
      </w:pPr>
      <w:r w:rsidRPr="00882B67">
        <w:lastRenderedPageBreak/>
        <w:t>Staying connected and engaged</w:t>
      </w:r>
    </w:p>
    <w:p w14:paraId="75DC3839" w14:textId="77777777" w:rsidR="00217966" w:rsidRPr="00674C7F" w:rsidRDefault="00217966" w:rsidP="00674C7F">
      <w:pPr>
        <w:pStyle w:val="BodyText"/>
      </w:pPr>
      <w:r w:rsidRPr="00674C7F">
        <w:t>Being able to stay engaged, make independent choices, and contribute to society allows us to manage life and meet our personal needs. For seniors, this means having ways to stay connected with friends and family, opportunities to contribute through paid and unpaid work, and access to and the ability to engage with relevant information.</w:t>
      </w:r>
    </w:p>
    <w:p w14:paraId="490C6C61" w14:textId="520F1612" w:rsidR="00C7129C" w:rsidRPr="00674C7F" w:rsidRDefault="00217966" w:rsidP="00674C7F">
      <w:pPr>
        <w:pStyle w:val="BodyText"/>
      </w:pPr>
      <w:r w:rsidRPr="00674C7F">
        <w:t xml:space="preserve">Within the staying connected and engaged pillar, five key focus areas will inform how the </w:t>
      </w:r>
      <w:r w:rsidR="00A36459">
        <w:t>WA</w:t>
      </w:r>
      <w:r w:rsidRPr="00674C7F">
        <w:t xml:space="preserve"> Government can increase the participation and contribution of seniors. These are shown in Table 3 below and are described across the following pages.</w:t>
      </w:r>
    </w:p>
    <w:p w14:paraId="0CE15EB5" w14:textId="08830014" w:rsidR="00E943C5" w:rsidRPr="00376E1D" w:rsidRDefault="00E943C5" w:rsidP="00853E68">
      <w:pPr>
        <w:pStyle w:val="BodyText"/>
        <w:spacing w:line="276" w:lineRule="auto"/>
        <w:rPr>
          <w:rFonts w:asciiTheme="majorHAnsi" w:hAnsiTheme="majorHAnsi" w:cstheme="majorHAnsi"/>
          <w:b/>
          <w:bCs/>
          <w:lang w:eastAsia="en-AU"/>
        </w:rPr>
      </w:pPr>
      <w:r w:rsidRPr="00376E1D">
        <w:rPr>
          <w:rFonts w:asciiTheme="majorHAnsi" w:hAnsiTheme="majorHAnsi" w:cstheme="majorHAnsi"/>
          <w:b/>
          <w:bCs/>
          <w:lang w:eastAsia="en-AU"/>
        </w:rPr>
        <w:t>Table 3 | Staying connected and engaged</w:t>
      </w:r>
    </w:p>
    <w:tbl>
      <w:tblPr>
        <w:tblStyle w:val="TableStyle"/>
        <w:tblW w:w="0" w:type="auto"/>
        <w:tblLook w:val="04A0" w:firstRow="1" w:lastRow="0" w:firstColumn="1" w:lastColumn="0" w:noHBand="0" w:noVBand="1"/>
      </w:tblPr>
      <w:tblGrid>
        <w:gridCol w:w="2263"/>
        <w:gridCol w:w="4151"/>
        <w:gridCol w:w="3208"/>
      </w:tblGrid>
      <w:tr w:rsidR="00E943C5" w:rsidRPr="00376E1D" w14:paraId="3C0EB847" w14:textId="77777777" w:rsidTr="00420908">
        <w:trPr>
          <w:cnfStyle w:val="100000000000" w:firstRow="1" w:lastRow="0" w:firstColumn="0" w:lastColumn="0" w:oddVBand="0" w:evenVBand="0" w:oddHBand="0" w:evenHBand="0" w:firstRowFirstColumn="0" w:firstRowLastColumn="0" w:lastRowFirstColumn="0" w:lastRowLastColumn="0"/>
        </w:trPr>
        <w:tc>
          <w:tcPr>
            <w:tcW w:w="2263" w:type="dxa"/>
          </w:tcPr>
          <w:p w14:paraId="3CFB0777" w14:textId="77777777" w:rsidR="00E943C5" w:rsidRPr="00376E1D" w:rsidRDefault="00E943C5"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Pillar</w:t>
            </w:r>
          </w:p>
        </w:tc>
        <w:tc>
          <w:tcPr>
            <w:tcW w:w="4151" w:type="dxa"/>
          </w:tcPr>
          <w:p w14:paraId="055A458A" w14:textId="77777777" w:rsidR="00E943C5" w:rsidRPr="00376E1D" w:rsidRDefault="00E943C5"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Key Focus Areas</w:t>
            </w:r>
          </w:p>
        </w:tc>
        <w:tc>
          <w:tcPr>
            <w:tcW w:w="3208" w:type="dxa"/>
          </w:tcPr>
          <w:p w14:paraId="732A626C" w14:textId="77777777" w:rsidR="00E943C5" w:rsidRPr="00376E1D" w:rsidRDefault="00E943C5"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Alignment with WHO age-friendly cities domains</w:t>
            </w:r>
          </w:p>
        </w:tc>
      </w:tr>
      <w:tr w:rsidR="00E943C5" w:rsidRPr="00376E1D" w14:paraId="507414A9" w14:textId="77777777" w:rsidTr="00420908">
        <w:tc>
          <w:tcPr>
            <w:tcW w:w="2263" w:type="dxa"/>
          </w:tcPr>
          <w:p w14:paraId="1BC05D21" w14:textId="728121C8" w:rsidR="00E943C5" w:rsidRPr="00376E1D" w:rsidRDefault="00E943C5"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Staying connected and engaged</w:t>
            </w:r>
          </w:p>
        </w:tc>
        <w:tc>
          <w:tcPr>
            <w:tcW w:w="4151" w:type="dxa"/>
          </w:tcPr>
          <w:p w14:paraId="55183407" w14:textId="77777777" w:rsidR="003738FB" w:rsidRPr="00376E1D" w:rsidRDefault="003738FB"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Accessible and culturally appropriate information which enables informed choices</w:t>
            </w:r>
          </w:p>
          <w:p w14:paraId="1C90C451" w14:textId="77777777" w:rsidR="003738FB" w:rsidRPr="00376E1D" w:rsidRDefault="003738FB"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 xml:space="preserve">Improved digital literacy </w:t>
            </w:r>
          </w:p>
          <w:p w14:paraId="78C80DBF" w14:textId="77777777" w:rsidR="003738FB" w:rsidRPr="00376E1D" w:rsidRDefault="003738FB"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Available and appropriate opportunities for contributing to the community, including through employment and volunteering</w:t>
            </w:r>
          </w:p>
          <w:p w14:paraId="2DC44CAD" w14:textId="77777777" w:rsidR="003738FB" w:rsidRPr="00376E1D" w:rsidRDefault="003738FB"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Recognition of Seniors’ contributions to their communities, including carers and grandcarers</w:t>
            </w:r>
          </w:p>
          <w:p w14:paraId="1A2ACC0B" w14:textId="5EBE5F17" w:rsidR="00E943C5" w:rsidRPr="00376E1D" w:rsidRDefault="003738FB"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Enhanced opportunities for socially participating in the community, including government and community-led activities and events</w:t>
            </w:r>
          </w:p>
        </w:tc>
        <w:tc>
          <w:tcPr>
            <w:tcW w:w="3208" w:type="dxa"/>
          </w:tcPr>
          <w:p w14:paraId="1205F470" w14:textId="77777777" w:rsidR="001B281A" w:rsidRPr="00376E1D" w:rsidRDefault="001B281A"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Communication and information</w:t>
            </w:r>
          </w:p>
          <w:p w14:paraId="097F1886" w14:textId="77777777" w:rsidR="001B281A" w:rsidRPr="00376E1D" w:rsidRDefault="001B281A"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Civic participation and employment</w:t>
            </w:r>
          </w:p>
          <w:p w14:paraId="6B5C569F" w14:textId="6BDC8A1E" w:rsidR="00E943C5" w:rsidRPr="00376E1D" w:rsidRDefault="001B281A"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Social participation</w:t>
            </w:r>
          </w:p>
        </w:tc>
      </w:tr>
    </w:tbl>
    <w:p w14:paraId="55B40557" w14:textId="77777777" w:rsidR="005472A6" w:rsidRPr="00376E1D" w:rsidRDefault="005472A6" w:rsidP="00853E68">
      <w:pPr>
        <w:pStyle w:val="Heading4"/>
        <w:spacing w:line="276" w:lineRule="auto"/>
        <w:rPr>
          <w:rFonts w:asciiTheme="majorHAnsi" w:hAnsiTheme="majorHAnsi" w:cstheme="majorHAnsi"/>
        </w:rPr>
      </w:pPr>
      <w:r w:rsidRPr="00376E1D">
        <w:rPr>
          <w:rFonts w:asciiTheme="majorHAnsi" w:hAnsiTheme="majorHAnsi" w:cstheme="majorHAnsi"/>
        </w:rPr>
        <w:t>Accessible and culturally appropriate information which enables informed choices</w:t>
      </w:r>
    </w:p>
    <w:p w14:paraId="78E0FC3E" w14:textId="77777777" w:rsidR="00B47064" w:rsidRDefault="00B47064" w:rsidP="00674C7F">
      <w:pPr>
        <w:pStyle w:val="BodyText"/>
      </w:pPr>
      <w:r w:rsidRPr="66030977">
        <w:t xml:space="preserve">Having access to information is essential to navigating the community and making informed choices. </w:t>
      </w:r>
      <w:r>
        <w:t>For WA seniors, s</w:t>
      </w:r>
      <w:r w:rsidRPr="66030977">
        <w:t>taying connected with the community and getting timely and practical information relevant to them is essential for positive ageing</w:t>
      </w:r>
      <w:r>
        <w:t>.</w:t>
      </w:r>
      <w:r w:rsidRPr="66030977">
        <w:rPr>
          <w:vertAlign w:val="superscript"/>
        </w:rPr>
        <w:footnoteReference w:id="9"/>
      </w:r>
      <w:r>
        <w:t xml:space="preserve"> </w:t>
      </w:r>
    </w:p>
    <w:p w14:paraId="6A39DB85" w14:textId="450A307A" w:rsidR="00B47064" w:rsidRDefault="00B47064" w:rsidP="00674C7F">
      <w:pPr>
        <w:pStyle w:val="BodyText"/>
      </w:pPr>
      <w:r>
        <w:t>While many older people are able to access internet and online services, some</w:t>
      </w:r>
      <w:r w:rsidR="00CE383F">
        <w:t xml:space="preserve"> reported they</w:t>
      </w:r>
      <w:r>
        <w:t xml:space="preserve"> still preferred face-to-face</w:t>
      </w:r>
      <w:r w:rsidR="00CE383F">
        <w:t xml:space="preserve"> interactions</w:t>
      </w:r>
      <w:r>
        <w:t xml:space="preserve">. People liked to access facilities such as libraries and Community Resource Centres which provided information and support to older people. These centres also provide some support for digital inclusion. Services that </w:t>
      </w:r>
      <w:r>
        <w:lastRenderedPageBreak/>
        <w:t>provided information in accessible and clear ways were preferred. Some people felt that a ‘one-stop-shop’ model would work well, so that older people would contact a central point which could assist them with navigating information they needed.</w:t>
      </w:r>
    </w:p>
    <w:p w14:paraId="2EC36DCA" w14:textId="7AA27CA2" w:rsidR="005472A6" w:rsidRPr="00B47064" w:rsidRDefault="00B47064" w:rsidP="00674C7F">
      <w:pPr>
        <w:pStyle w:val="BodyText"/>
        <w:rPr>
          <w:rFonts w:cs="Times New Roman"/>
        </w:rPr>
      </w:pPr>
      <w:r>
        <w:t xml:space="preserve">Older people also wanted organisations, including government, to consider how they present online information, to make it more accessible and more easily understandable for the target audience. </w:t>
      </w:r>
    </w:p>
    <w:p w14:paraId="1A57BBBF" w14:textId="77777777" w:rsidR="005472A6" w:rsidRPr="00376E1D" w:rsidRDefault="005472A6" w:rsidP="00853E68">
      <w:pPr>
        <w:pStyle w:val="Heading4"/>
        <w:spacing w:line="276" w:lineRule="auto"/>
        <w:rPr>
          <w:rFonts w:asciiTheme="majorHAnsi" w:hAnsiTheme="majorHAnsi" w:cstheme="majorHAnsi"/>
        </w:rPr>
      </w:pPr>
      <w:r w:rsidRPr="00376E1D">
        <w:rPr>
          <w:rFonts w:asciiTheme="majorHAnsi" w:hAnsiTheme="majorHAnsi" w:cstheme="majorHAnsi"/>
        </w:rPr>
        <w:t xml:space="preserve">Improved digital literacy </w:t>
      </w:r>
    </w:p>
    <w:p w14:paraId="69B3CD62" w14:textId="39A7F91A" w:rsidR="00E67AC8" w:rsidRDefault="00E67AC8" w:rsidP="00E67AC8">
      <w:pPr>
        <w:rPr>
          <w:rFonts w:asciiTheme="minorHAnsi" w:hAnsiTheme="minorHAnsi"/>
        </w:rPr>
      </w:pPr>
      <w:r>
        <w:rPr>
          <w:rFonts w:asciiTheme="minorHAnsi" w:hAnsiTheme="minorHAnsi"/>
        </w:rPr>
        <w:t>As technology continues to advance and digital connectivity becomes more important, so does the need for better digital inclusion for people.</w:t>
      </w:r>
      <w:r w:rsidRPr="66030977" w:rsidDel="009D06D8">
        <w:rPr>
          <w:rFonts w:asciiTheme="minorHAnsi" w:hAnsiTheme="minorHAnsi"/>
        </w:rPr>
        <w:t xml:space="preserve"> </w:t>
      </w:r>
      <w:r w:rsidRPr="66030977">
        <w:rPr>
          <w:rFonts w:asciiTheme="minorHAnsi" w:hAnsiTheme="minorHAnsi"/>
        </w:rPr>
        <w:t xml:space="preserve">Strategies like the WA Digital Strategy </w:t>
      </w:r>
      <w:r>
        <w:rPr>
          <w:rFonts w:asciiTheme="minorHAnsi" w:hAnsiTheme="minorHAnsi"/>
        </w:rPr>
        <w:t xml:space="preserve">signal an intent to move many </w:t>
      </w:r>
      <w:r w:rsidRPr="66030977">
        <w:rPr>
          <w:rFonts w:asciiTheme="minorHAnsi" w:hAnsiTheme="minorHAnsi"/>
        </w:rPr>
        <w:t xml:space="preserve">government services </w:t>
      </w:r>
      <w:r>
        <w:rPr>
          <w:rFonts w:asciiTheme="minorHAnsi" w:hAnsiTheme="minorHAnsi"/>
        </w:rPr>
        <w:t>to online platforms,</w:t>
      </w:r>
      <w:r w:rsidRPr="66030977">
        <w:rPr>
          <w:rFonts w:asciiTheme="minorHAnsi" w:hAnsiTheme="minorHAnsi"/>
        </w:rPr>
        <w:t xml:space="preserve"> </w:t>
      </w:r>
      <w:r>
        <w:rPr>
          <w:rFonts w:asciiTheme="minorHAnsi" w:hAnsiTheme="minorHAnsi"/>
        </w:rPr>
        <w:t>with</w:t>
      </w:r>
      <w:r w:rsidRPr="66030977">
        <w:rPr>
          <w:rFonts w:asciiTheme="minorHAnsi" w:hAnsiTheme="minorHAnsi"/>
        </w:rPr>
        <w:t xml:space="preserve"> fewer </w:t>
      </w:r>
      <w:r>
        <w:rPr>
          <w:rFonts w:asciiTheme="minorHAnsi" w:hAnsiTheme="minorHAnsi"/>
        </w:rPr>
        <w:t xml:space="preserve">paper-based and </w:t>
      </w:r>
      <w:r w:rsidRPr="66030977">
        <w:rPr>
          <w:rFonts w:asciiTheme="minorHAnsi" w:hAnsiTheme="minorHAnsi"/>
        </w:rPr>
        <w:t xml:space="preserve">face-to-face </w:t>
      </w:r>
      <w:r>
        <w:rPr>
          <w:rFonts w:asciiTheme="minorHAnsi" w:hAnsiTheme="minorHAnsi"/>
        </w:rPr>
        <w:t xml:space="preserve">engagement touchpoints. Therefore, there </w:t>
      </w:r>
      <w:r w:rsidR="00CE383F">
        <w:rPr>
          <w:rFonts w:asciiTheme="minorHAnsi" w:hAnsiTheme="minorHAnsi"/>
        </w:rPr>
        <w:t xml:space="preserve">needs to be </w:t>
      </w:r>
      <w:r>
        <w:rPr>
          <w:rFonts w:asciiTheme="minorHAnsi" w:hAnsiTheme="minorHAnsi"/>
        </w:rPr>
        <w:t>careful consideration for the barriers that these advances may present and how best to address them.</w:t>
      </w:r>
    </w:p>
    <w:p w14:paraId="31DB1B0E" w14:textId="7C0C2A51" w:rsidR="00E67AC8" w:rsidRDefault="00E67AC8" w:rsidP="00E67AC8">
      <w:pPr>
        <w:rPr>
          <w:rFonts w:asciiTheme="minorHAnsi" w:hAnsiTheme="minorHAnsi"/>
        </w:rPr>
      </w:pPr>
      <w:r>
        <w:rPr>
          <w:rFonts w:asciiTheme="minorHAnsi" w:hAnsiTheme="minorHAnsi"/>
        </w:rPr>
        <w:t>Seniors saw this increase in digital presence as signalling a need for more support for digital inclusion</w:t>
      </w:r>
      <w:r w:rsidDel="009D06D8">
        <w:rPr>
          <w:rFonts w:asciiTheme="minorHAnsi" w:hAnsiTheme="minorHAnsi"/>
        </w:rPr>
        <w:t xml:space="preserve"> </w:t>
      </w:r>
      <w:r>
        <w:rPr>
          <w:rFonts w:asciiTheme="minorHAnsi" w:hAnsiTheme="minorHAnsi"/>
        </w:rPr>
        <w:t>to ensure they stayed connected. Older</w:t>
      </w:r>
      <w:r w:rsidRPr="009C3639">
        <w:rPr>
          <w:rFonts w:asciiTheme="minorHAnsi" w:hAnsiTheme="minorHAnsi"/>
        </w:rPr>
        <w:t xml:space="preserve"> Australians remain the least digitally included age group,</w:t>
      </w:r>
      <w:r w:rsidRPr="00421BAA">
        <w:rPr>
          <w:rFonts w:asciiTheme="minorHAnsi" w:hAnsiTheme="minorHAnsi"/>
          <w:vertAlign w:val="superscript"/>
        </w:rPr>
        <w:footnoteReference w:id="10"/>
      </w:r>
      <w:r w:rsidRPr="009C3639">
        <w:rPr>
          <w:rFonts w:asciiTheme="minorHAnsi" w:hAnsiTheme="minorHAnsi"/>
        </w:rPr>
        <w:t xml:space="preserve"> with over 20 per cent of </w:t>
      </w:r>
      <w:r>
        <w:rPr>
          <w:rFonts w:asciiTheme="minorHAnsi" w:hAnsiTheme="minorHAnsi"/>
        </w:rPr>
        <w:t>s</w:t>
      </w:r>
      <w:r w:rsidRPr="009C3639">
        <w:rPr>
          <w:rFonts w:asciiTheme="minorHAnsi" w:hAnsiTheme="minorHAnsi"/>
        </w:rPr>
        <w:t>eniors not using the internet due to a lack of confidence and/or understanding.</w:t>
      </w:r>
      <w:r w:rsidRPr="00421BAA">
        <w:rPr>
          <w:rFonts w:asciiTheme="minorHAnsi" w:hAnsiTheme="minorHAnsi"/>
          <w:vertAlign w:val="superscript"/>
        </w:rPr>
        <w:footnoteReference w:id="11"/>
      </w:r>
      <w:r w:rsidRPr="009C3639">
        <w:rPr>
          <w:rFonts w:asciiTheme="minorHAnsi" w:hAnsiTheme="minorHAnsi"/>
        </w:rPr>
        <w:t xml:space="preserve"> </w:t>
      </w:r>
      <w:r w:rsidRPr="66030977">
        <w:rPr>
          <w:rFonts w:asciiTheme="minorHAnsi" w:hAnsiTheme="minorHAnsi"/>
        </w:rPr>
        <w:t>L</w:t>
      </w:r>
      <w:r w:rsidRPr="009C3639">
        <w:rPr>
          <w:rFonts w:asciiTheme="minorHAnsi" w:hAnsiTheme="minorHAnsi"/>
        </w:rPr>
        <w:t>imited ability to use (or access) the internet is a growing cause of social exclusion</w:t>
      </w:r>
      <w:r>
        <w:rPr>
          <w:rFonts w:asciiTheme="minorHAnsi" w:hAnsiTheme="minorHAnsi"/>
        </w:rPr>
        <w:t xml:space="preserve"> among seniors.</w:t>
      </w:r>
      <w:r w:rsidRPr="00301D80">
        <w:rPr>
          <w:rFonts w:asciiTheme="minorHAnsi" w:hAnsiTheme="minorHAnsi"/>
          <w:vertAlign w:val="superscript"/>
        </w:rPr>
        <w:footnoteReference w:id="12"/>
      </w:r>
      <w:r w:rsidRPr="009C3639">
        <w:rPr>
          <w:rFonts w:asciiTheme="minorHAnsi" w:hAnsiTheme="minorHAnsi"/>
        </w:rPr>
        <w:t xml:space="preserve"> </w:t>
      </w:r>
    </w:p>
    <w:p w14:paraId="3DA9C034" w14:textId="77777777" w:rsidR="00E67AC8" w:rsidRPr="009C3639" w:rsidRDefault="00E67AC8" w:rsidP="00E67AC8">
      <w:pPr>
        <w:rPr>
          <w:rFonts w:asciiTheme="minorHAnsi" w:hAnsiTheme="minorHAnsi"/>
        </w:rPr>
      </w:pPr>
      <w:r w:rsidRPr="009C3639">
        <w:rPr>
          <w:rFonts w:asciiTheme="minorHAnsi" w:hAnsiTheme="minorHAnsi"/>
        </w:rPr>
        <w:t xml:space="preserve">Supporting </w:t>
      </w:r>
      <w:r>
        <w:rPr>
          <w:rFonts w:asciiTheme="minorHAnsi" w:hAnsiTheme="minorHAnsi"/>
        </w:rPr>
        <w:t>s</w:t>
      </w:r>
      <w:r w:rsidRPr="009C3639">
        <w:rPr>
          <w:rFonts w:asciiTheme="minorHAnsi" w:hAnsiTheme="minorHAnsi"/>
        </w:rPr>
        <w:t xml:space="preserve">eniors to improve their digital </w:t>
      </w:r>
      <w:r>
        <w:rPr>
          <w:rFonts w:asciiTheme="minorHAnsi" w:hAnsiTheme="minorHAnsi"/>
        </w:rPr>
        <w:t>li</w:t>
      </w:r>
      <w:r w:rsidRPr="009C3639">
        <w:rPr>
          <w:rFonts w:asciiTheme="minorHAnsi" w:hAnsiTheme="minorHAnsi"/>
        </w:rPr>
        <w:t>teracy will ensure that they can access the information they need, and enable them to stay connected to family, friends, and their community.</w:t>
      </w:r>
    </w:p>
    <w:p w14:paraId="20382E94" w14:textId="77777777" w:rsidR="005472A6" w:rsidRPr="00376E1D" w:rsidRDefault="005472A6" w:rsidP="00853E68">
      <w:pPr>
        <w:pStyle w:val="Heading4"/>
        <w:spacing w:line="276" w:lineRule="auto"/>
        <w:rPr>
          <w:rFonts w:asciiTheme="majorHAnsi" w:hAnsiTheme="majorHAnsi" w:cstheme="majorHAnsi"/>
        </w:rPr>
      </w:pPr>
      <w:r w:rsidRPr="00376E1D">
        <w:rPr>
          <w:rFonts w:asciiTheme="majorHAnsi" w:hAnsiTheme="majorHAnsi" w:cstheme="majorHAnsi"/>
        </w:rPr>
        <w:t>Available and appropriate opportunities for contributing to the community, including through employment and volunteering</w:t>
      </w:r>
    </w:p>
    <w:p w14:paraId="00651DC6" w14:textId="56F506F1" w:rsidR="00622C9E" w:rsidRDefault="00622C9E" w:rsidP="00674C7F">
      <w:pPr>
        <w:pStyle w:val="BodyText"/>
      </w:pPr>
      <w:r>
        <w:t xml:space="preserve">Embracing opportunities to </w:t>
      </w:r>
      <w:r w:rsidRPr="00301D80">
        <w:t>continue to contribute to their communities in a way that reflects their individual circumstances and interests</w:t>
      </w:r>
      <w:r>
        <w:t xml:space="preserve"> was highlighted</w:t>
      </w:r>
      <w:r w:rsidR="005F3DF4">
        <w:t xml:space="preserve"> as a key interest</w:t>
      </w:r>
      <w:r>
        <w:t xml:space="preserve"> through the consultation.</w:t>
      </w:r>
      <w:r w:rsidRPr="00301D80">
        <w:t xml:space="preserve"> </w:t>
      </w:r>
      <w:r>
        <w:t>M</w:t>
      </w:r>
      <w:r w:rsidRPr="66030977">
        <w:t xml:space="preserve">any </w:t>
      </w:r>
      <w:r w:rsidR="00A36459">
        <w:t>WA</w:t>
      </w:r>
      <w:r w:rsidRPr="66030977">
        <w:t xml:space="preserve"> </w:t>
      </w:r>
      <w:r>
        <w:t>s</w:t>
      </w:r>
      <w:r w:rsidRPr="66030977">
        <w:t xml:space="preserve">eniors are still in the workforce and/or are carers for their </w:t>
      </w:r>
      <w:r>
        <w:t xml:space="preserve">partners, </w:t>
      </w:r>
      <w:r w:rsidRPr="66030977">
        <w:t>children or grandchildren.</w:t>
      </w:r>
      <w:bookmarkStart w:id="2" w:name="_Ref117257160"/>
      <w:r>
        <w:rPr>
          <w:rStyle w:val="FootnoteReference"/>
          <w:rFonts w:asciiTheme="minorHAnsi" w:hAnsiTheme="minorHAnsi"/>
        </w:rPr>
        <w:footnoteReference w:id="13"/>
      </w:r>
      <w:bookmarkEnd w:id="2"/>
      <w:r>
        <w:t xml:space="preserve"> </w:t>
      </w:r>
    </w:p>
    <w:p w14:paraId="4233E82E" w14:textId="3DDBB3A8" w:rsidR="00622C9E" w:rsidRDefault="00622C9E" w:rsidP="00674C7F">
      <w:pPr>
        <w:pStyle w:val="BodyText"/>
      </w:pPr>
      <w:r w:rsidRPr="66030977">
        <w:t xml:space="preserve">During </w:t>
      </w:r>
      <w:r>
        <w:t xml:space="preserve">our </w:t>
      </w:r>
      <w:r w:rsidRPr="66030977">
        <w:t>consultations</w:t>
      </w:r>
      <w:r>
        <w:t>, many older people talked about continuing working part-time, and about being</w:t>
      </w:r>
      <w:r w:rsidRPr="00335D19">
        <w:t xml:space="preserve"> more active in the community, both through volunteering and participating in social activities</w:t>
      </w:r>
      <w:r w:rsidRPr="66030977">
        <w:t xml:space="preserve">. </w:t>
      </w:r>
      <w:r w:rsidRPr="00687F11">
        <w:t xml:space="preserve">We know that our </w:t>
      </w:r>
      <w:r>
        <w:t>s</w:t>
      </w:r>
      <w:r w:rsidRPr="00687F11">
        <w:t>eniors are some of our most active volunte</w:t>
      </w:r>
      <w:r w:rsidRPr="66030977">
        <w:t>ers (with 25</w:t>
      </w:r>
      <w:r>
        <w:t xml:space="preserve"> per cent</w:t>
      </w:r>
      <w:r w:rsidRPr="66030977">
        <w:t xml:space="preserve"> of over-70s volunteering in 2019</w:t>
      </w:r>
      <w:r w:rsidR="009912AF">
        <w:t>),</w:t>
      </w:r>
      <w:r w:rsidRPr="00C72023">
        <w:rPr>
          <w:vertAlign w:val="superscript"/>
        </w:rPr>
        <w:footnoteReference w:id="14"/>
      </w:r>
      <w:r w:rsidRPr="66030977">
        <w:t xml:space="preserve"> and social participation and social support are strongly connected to good health and well-being throughout life.</w:t>
      </w:r>
      <w:r w:rsidRPr="00C72023">
        <w:rPr>
          <w:vertAlign w:val="superscript"/>
        </w:rPr>
        <w:footnoteReference w:id="15"/>
      </w:r>
      <w:r w:rsidRPr="66030977">
        <w:t xml:space="preserve"> </w:t>
      </w:r>
      <w:r>
        <w:t xml:space="preserve">Seniors did explain that there were increasing barriers of cost and compliance around volunteering roles, and </w:t>
      </w:r>
      <w:r>
        <w:lastRenderedPageBreak/>
        <w:t>wanted government to consider how it could reduce these barriers to increase access to volunteering for older people.</w:t>
      </w:r>
    </w:p>
    <w:p w14:paraId="5C5F0FD7" w14:textId="598DD8C3" w:rsidR="00622C9E" w:rsidRDefault="00622C9E" w:rsidP="00674C7F">
      <w:pPr>
        <w:pStyle w:val="BodyText"/>
        <w:rPr>
          <w:rFonts w:asciiTheme="minorHAnsi" w:hAnsiTheme="minorHAnsi"/>
        </w:rPr>
      </w:pPr>
      <w:r>
        <w:rPr>
          <w:rFonts w:asciiTheme="minorHAnsi" w:hAnsiTheme="minorHAnsi"/>
        </w:rPr>
        <w:t>Volunteering WA raised similar concerns in their written submission</w:t>
      </w:r>
      <w:r w:rsidR="005F3DF4">
        <w:rPr>
          <w:rFonts w:asciiTheme="minorHAnsi" w:hAnsiTheme="minorHAnsi"/>
        </w:rPr>
        <w:t xml:space="preserve"> as part of the consultation</w:t>
      </w:r>
      <w:r>
        <w:rPr>
          <w:rFonts w:asciiTheme="minorHAnsi" w:hAnsiTheme="minorHAnsi"/>
        </w:rPr>
        <w:t xml:space="preserve">, reporting a decrease in the number of seniors volunteering due to </w:t>
      </w:r>
      <w:r w:rsidRPr="00947B79">
        <w:rPr>
          <w:rFonts w:asciiTheme="minorHAnsi" w:hAnsiTheme="minorHAnsi"/>
        </w:rPr>
        <w:t>increasing requirements for training, administration, and compliance</w:t>
      </w:r>
      <w:r>
        <w:rPr>
          <w:rFonts w:asciiTheme="minorHAnsi" w:hAnsiTheme="minorHAnsi"/>
        </w:rPr>
        <w:t>.</w:t>
      </w:r>
    </w:p>
    <w:p w14:paraId="09245998" w14:textId="77777777" w:rsidR="005472A6" w:rsidRPr="00376E1D" w:rsidRDefault="005472A6" w:rsidP="00853E68">
      <w:pPr>
        <w:pStyle w:val="Heading4"/>
        <w:spacing w:line="276" w:lineRule="auto"/>
        <w:rPr>
          <w:rFonts w:asciiTheme="majorHAnsi" w:hAnsiTheme="majorHAnsi" w:cstheme="majorHAnsi"/>
        </w:rPr>
      </w:pPr>
      <w:r w:rsidRPr="00376E1D">
        <w:rPr>
          <w:rFonts w:asciiTheme="majorHAnsi" w:hAnsiTheme="majorHAnsi" w:cstheme="majorHAnsi"/>
        </w:rPr>
        <w:t>Recognition of Seniors’ contributions to their communities, including carers and grandcarers</w:t>
      </w:r>
    </w:p>
    <w:p w14:paraId="365DB11B" w14:textId="30B6D95E" w:rsidR="00B1032F" w:rsidRDefault="00B1032F" w:rsidP="00674C7F">
      <w:pPr>
        <w:pStyle w:val="BodyText"/>
      </w:pPr>
      <w:r>
        <w:t xml:space="preserve">Carers are people who provide unpaid care to someone who needs help with their day-to-day living.  An estimated 320,000 Western Australians provide unpaid personal carer, support and assistance to another person needing assistance with daily life. They provide a valued contribution to the community as the care that they provide reduces the demand for and dependence on paid care and the health and community services sector.  </w:t>
      </w:r>
    </w:p>
    <w:p w14:paraId="43601979" w14:textId="77777777" w:rsidR="00B1032F" w:rsidRDefault="00B1032F" w:rsidP="00674C7F">
      <w:pPr>
        <w:pStyle w:val="BodyText"/>
      </w:pPr>
      <w:r w:rsidRPr="007F5B06">
        <w:t xml:space="preserve">Everyone deserves to have their contributions to society recognised and celebrated. This includes contributions that are often overlooked, but which play a pivotal role in our society, such as caring for those who cannot care for themselves. </w:t>
      </w:r>
    </w:p>
    <w:p w14:paraId="58BE076E" w14:textId="5B65C3B2" w:rsidR="00B1032F" w:rsidRDefault="00B1032F" w:rsidP="00674C7F">
      <w:pPr>
        <w:pStyle w:val="BodyText"/>
      </w:pPr>
      <w:r w:rsidRPr="1DCE42A3">
        <w:t xml:space="preserve">Seniors who </w:t>
      </w:r>
      <w:r>
        <w:t>are</w:t>
      </w:r>
      <w:r w:rsidRPr="1DCE42A3">
        <w:t xml:space="preserve"> carers for their </w:t>
      </w:r>
      <w:r>
        <w:t xml:space="preserve">partners, </w:t>
      </w:r>
      <w:r w:rsidRPr="1DCE42A3">
        <w:t xml:space="preserve">children or grandchildren expressed concerns about the recognition and support for carers. There are 6,930 grandparent families in </w:t>
      </w:r>
      <w:r w:rsidR="00A36459">
        <w:t>WA</w:t>
      </w:r>
      <w:r w:rsidRPr="1DCE42A3">
        <w:t xml:space="preserve">, </w:t>
      </w:r>
      <w:r>
        <w:t>many of whom</w:t>
      </w:r>
      <w:r w:rsidRPr="1DCE42A3">
        <w:t xml:space="preserve"> are </w:t>
      </w:r>
      <w:r>
        <w:t xml:space="preserve">seniors, </w:t>
      </w:r>
      <w:r w:rsidRPr="1DCE42A3">
        <w:t xml:space="preserve">and </w:t>
      </w:r>
      <w:r>
        <w:t xml:space="preserve">they </w:t>
      </w:r>
      <w:r w:rsidRPr="1DCE42A3">
        <w:t>contribut</w:t>
      </w:r>
      <w:r>
        <w:t>e</w:t>
      </w:r>
      <w:r w:rsidRPr="1DCE42A3">
        <w:t xml:space="preserve"> greatly to their communities by caring for those who need them.</w:t>
      </w:r>
      <w:r w:rsidR="007361EE">
        <w:rPr>
          <w:rStyle w:val="FootnoteReference"/>
        </w:rPr>
        <w:footnoteReference w:id="16"/>
      </w:r>
      <w:r w:rsidRPr="1DCE42A3">
        <w:t xml:space="preserve"> It is imperative that our communities understand and appreciate </w:t>
      </w:r>
      <w:r>
        <w:t>s</w:t>
      </w:r>
      <w:r w:rsidRPr="1DCE42A3">
        <w:t xml:space="preserve">eniors and their contributions, and that </w:t>
      </w:r>
      <w:r>
        <w:t>s</w:t>
      </w:r>
      <w:r w:rsidRPr="1DCE42A3">
        <w:t xml:space="preserve">eniors who continue working and caring for those who rely on them are appropriately supported and recognised. </w:t>
      </w:r>
    </w:p>
    <w:p w14:paraId="0289C64E" w14:textId="77777777" w:rsidR="005472A6" w:rsidRPr="00376E1D" w:rsidRDefault="005472A6" w:rsidP="00853E68">
      <w:pPr>
        <w:pStyle w:val="Heading4"/>
        <w:spacing w:line="276" w:lineRule="auto"/>
        <w:rPr>
          <w:rFonts w:asciiTheme="majorHAnsi" w:hAnsiTheme="majorHAnsi" w:cstheme="majorHAnsi"/>
        </w:rPr>
      </w:pPr>
      <w:r w:rsidRPr="00376E1D">
        <w:rPr>
          <w:rFonts w:asciiTheme="majorHAnsi" w:hAnsiTheme="majorHAnsi" w:cstheme="majorHAnsi"/>
        </w:rPr>
        <w:t>Enhanced opportunities for socially participating in the community, including government and community-led activities and events</w:t>
      </w:r>
    </w:p>
    <w:p w14:paraId="48F956EC" w14:textId="77777777" w:rsidR="00BE7E40" w:rsidRDefault="00BE7E40" w:rsidP="00674C7F">
      <w:pPr>
        <w:pStyle w:val="BodyText"/>
      </w:pPr>
      <w:r>
        <w:t>People who</w:t>
      </w:r>
      <w:r w:rsidRPr="00687F11">
        <w:t xml:space="preserve"> participat</w:t>
      </w:r>
      <w:r>
        <w:t>e</w:t>
      </w:r>
      <w:r w:rsidRPr="00687F11">
        <w:t xml:space="preserve"> in community activities, including government and community-led activities,</w:t>
      </w:r>
      <w:r>
        <w:t xml:space="preserve"> have better and more</w:t>
      </w:r>
      <w:r w:rsidRPr="00687F11">
        <w:t xml:space="preserve"> positive social outcomes, regardless of age</w:t>
      </w:r>
      <w:r>
        <w:t>.</w:t>
      </w:r>
      <w:r w:rsidRPr="00293BBB">
        <w:rPr>
          <w:rStyle w:val="FootnoteReference"/>
          <w:rFonts w:asciiTheme="minorHAnsi" w:hAnsiTheme="minorHAnsi"/>
        </w:rPr>
        <w:footnoteReference w:id="17"/>
      </w:r>
      <w:r w:rsidRPr="00293BBB">
        <w:rPr>
          <w:rStyle w:val="FootnoteReference"/>
          <w:rFonts w:asciiTheme="minorHAnsi" w:hAnsiTheme="minorHAnsi"/>
        </w:rPr>
        <w:t xml:space="preserve"> </w:t>
      </w:r>
      <w:r>
        <w:t>Community activities and events allow everyone, including seniors, to come together and be part of a community.</w:t>
      </w:r>
    </w:p>
    <w:p w14:paraId="2088792C" w14:textId="77777777" w:rsidR="00BE7E40" w:rsidRPr="00BE7E40" w:rsidRDefault="00BE7E40" w:rsidP="00674C7F">
      <w:pPr>
        <w:pStyle w:val="BodyText"/>
      </w:pPr>
      <w:r w:rsidRPr="00BE7E40">
        <w:t>Seniors in the consultation often talked about the activities they engaged in and their importance for their social, physical and mental wellbeing. Activities helped people to remain connected to community, enhanced physical health and reduced social isolation.</w:t>
      </w:r>
    </w:p>
    <w:p w14:paraId="64A73F0B" w14:textId="3A00596F" w:rsidR="00BE7E40" w:rsidRPr="00BE7E40" w:rsidRDefault="00BE7E40" w:rsidP="00674C7F">
      <w:pPr>
        <w:pStyle w:val="BodyText"/>
      </w:pPr>
      <w:r w:rsidRPr="00BE7E40">
        <w:t xml:space="preserve">Social isolation and exclusion continue to be a significant issue for seniors across Australia, particularly in the more sparsely settled regions in </w:t>
      </w:r>
      <w:r w:rsidR="00A36459">
        <w:t>WA</w:t>
      </w:r>
      <w:r w:rsidRPr="00BE7E40">
        <w:t>.</w:t>
      </w:r>
      <w:r w:rsidRPr="009463C4">
        <w:rPr>
          <w:vertAlign w:val="superscript"/>
        </w:rPr>
        <w:footnoteReference w:id="18"/>
      </w:r>
      <w:r w:rsidRPr="00BE7E40">
        <w:t xml:space="preserve"> Some older people from culturally and linguistically diverse backgrounds had limited options for socially participating in their communities, </w:t>
      </w:r>
      <w:r w:rsidR="004A6E9C">
        <w:t xml:space="preserve">including cases </w:t>
      </w:r>
      <w:r w:rsidRPr="00BE7E40">
        <w:t xml:space="preserve">where there were few activities available where their preferred language was spoken. Social activities and social centres for older </w:t>
      </w:r>
      <w:r w:rsidRPr="00BE7E40">
        <w:lastRenderedPageBreak/>
        <w:t>people of all background</w:t>
      </w:r>
      <w:r w:rsidR="004A6E9C">
        <w:t>s</w:t>
      </w:r>
      <w:r w:rsidRPr="00BE7E40">
        <w:t xml:space="preserve"> help to enhance social inclusion and enable seniors to engage with their peers and the wider community in a positive way.</w:t>
      </w:r>
    </w:p>
    <w:p w14:paraId="7F2A6933" w14:textId="76BA7E37" w:rsidR="00BE7E40" w:rsidRPr="00BE7E40" w:rsidRDefault="00BE7E40" w:rsidP="00674C7F">
      <w:pPr>
        <w:pStyle w:val="BodyText"/>
        <w:rPr>
          <w:rFonts w:cs="Times New Roman"/>
        </w:rPr>
      </w:pPr>
      <w:r w:rsidRPr="00BE7E40">
        <w:rPr>
          <w:rFonts w:cs="Times New Roman"/>
        </w:rPr>
        <w:t xml:space="preserve">Aboriginal seniors, seniors from </w:t>
      </w:r>
      <w:proofErr w:type="spellStart"/>
      <w:r w:rsidRPr="00BE7E40">
        <w:rPr>
          <w:rFonts w:cs="Times New Roman"/>
        </w:rPr>
        <w:t>CaLD</w:t>
      </w:r>
      <w:proofErr w:type="spellEnd"/>
      <w:r w:rsidRPr="00BE7E40">
        <w:rPr>
          <w:rFonts w:cs="Times New Roman"/>
        </w:rPr>
        <w:t xml:space="preserve"> backgrounds, seniors who identify as LGBTQ</w:t>
      </w:r>
      <w:r w:rsidR="003B331C">
        <w:rPr>
          <w:rFonts w:cs="Times New Roman"/>
        </w:rPr>
        <w:t>I</w:t>
      </w:r>
      <w:r w:rsidRPr="00BE7E40">
        <w:rPr>
          <w:rFonts w:cs="Times New Roman"/>
        </w:rPr>
        <w:t xml:space="preserve">A+ and seniors with disability </w:t>
      </w:r>
      <w:r w:rsidR="004A6E9C">
        <w:rPr>
          <w:rFonts w:cs="Times New Roman"/>
        </w:rPr>
        <w:t xml:space="preserve">said they </w:t>
      </w:r>
      <w:r w:rsidRPr="00BE7E40">
        <w:rPr>
          <w:rFonts w:cs="Times New Roman"/>
        </w:rPr>
        <w:t xml:space="preserve">valued the opportunity to socially participate in the community but sadly, reported feeling greater social exclusion in the community than many seniors in </w:t>
      </w:r>
      <w:r w:rsidR="00A36459">
        <w:rPr>
          <w:rFonts w:cs="Times New Roman"/>
        </w:rPr>
        <w:t>WA</w:t>
      </w:r>
      <w:r w:rsidRPr="00BE7E40">
        <w:rPr>
          <w:rFonts w:cs="Times New Roman"/>
        </w:rPr>
        <w:t xml:space="preserve">. </w:t>
      </w:r>
    </w:p>
    <w:p w14:paraId="5E0A4331" w14:textId="499493F7" w:rsidR="00D52AD9" w:rsidRPr="00882B67" w:rsidRDefault="00D52AD9" w:rsidP="00882B67">
      <w:pPr>
        <w:pStyle w:val="Heading2"/>
      </w:pPr>
      <w:r w:rsidRPr="00882B67">
        <w:t>Having a voice that’s heard</w:t>
      </w:r>
    </w:p>
    <w:p w14:paraId="5E3DCB70" w14:textId="737AE564" w:rsidR="00AA21EE" w:rsidRPr="00AA21EE" w:rsidRDefault="00AA21EE" w:rsidP="00AA21EE">
      <w:pPr>
        <w:pStyle w:val="BodyText"/>
        <w:spacing w:line="276" w:lineRule="auto"/>
        <w:rPr>
          <w:rFonts w:asciiTheme="majorHAnsi" w:hAnsiTheme="majorHAnsi" w:cstheme="majorHAnsi"/>
          <w:lang w:eastAsia="en-AU"/>
        </w:rPr>
      </w:pPr>
      <w:r w:rsidRPr="00AA21EE">
        <w:rPr>
          <w:rFonts w:asciiTheme="majorHAnsi" w:hAnsiTheme="majorHAnsi" w:cstheme="majorHAnsi"/>
          <w:lang w:eastAsia="en-AU"/>
        </w:rPr>
        <w:t xml:space="preserve">Seniors told us that they feel valued when they feel heard, and their contributions are respected. Having a voice is essential for seniors to influence issues that matter to and impact upon them, and ensures that all policies, initiatives, and activities designed to support and empower them are informed by their views and experiences. This means seniors </w:t>
      </w:r>
      <w:r w:rsidR="004A6E9C">
        <w:rPr>
          <w:rFonts w:asciiTheme="majorHAnsi" w:hAnsiTheme="majorHAnsi" w:cstheme="majorHAnsi"/>
          <w:lang w:eastAsia="en-AU"/>
        </w:rPr>
        <w:t xml:space="preserve">should </w:t>
      </w:r>
      <w:r w:rsidRPr="00AA21EE">
        <w:rPr>
          <w:rFonts w:asciiTheme="majorHAnsi" w:hAnsiTheme="majorHAnsi" w:cstheme="majorHAnsi"/>
          <w:lang w:eastAsia="en-AU"/>
        </w:rPr>
        <w:t xml:space="preserve">have the opportunity – both locally and nationally – to have their voices heard and have agency and opportunity to advocate for themselves, or </w:t>
      </w:r>
      <w:r w:rsidR="004A6E9C">
        <w:rPr>
          <w:rFonts w:asciiTheme="majorHAnsi" w:hAnsiTheme="majorHAnsi" w:cstheme="majorHAnsi"/>
          <w:lang w:eastAsia="en-AU"/>
        </w:rPr>
        <w:t xml:space="preserve">have </w:t>
      </w:r>
      <w:r w:rsidRPr="00AA21EE">
        <w:rPr>
          <w:rFonts w:asciiTheme="majorHAnsi" w:hAnsiTheme="majorHAnsi" w:cstheme="majorHAnsi"/>
          <w:lang w:eastAsia="en-AU"/>
        </w:rPr>
        <w:t xml:space="preserve">effective representation should they have someone speaking for them. This is particularly important for seniors who also belong to marginalised groups, whose voices have often been marginalised in the past.  </w:t>
      </w:r>
    </w:p>
    <w:p w14:paraId="574DC235" w14:textId="725A1A05" w:rsidR="00D55499" w:rsidRDefault="00AA21EE" w:rsidP="00AA21EE">
      <w:pPr>
        <w:pStyle w:val="BodyText"/>
        <w:spacing w:line="276" w:lineRule="auto"/>
        <w:rPr>
          <w:rFonts w:asciiTheme="majorHAnsi" w:hAnsiTheme="majorHAnsi" w:cstheme="majorHAnsi"/>
          <w:lang w:eastAsia="en-AU"/>
        </w:rPr>
      </w:pPr>
      <w:r w:rsidRPr="00AA21EE">
        <w:rPr>
          <w:rFonts w:asciiTheme="majorHAnsi" w:hAnsiTheme="majorHAnsi" w:cstheme="majorHAnsi"/>
          <w:lang w:eastAsia="en-AU"/>
        </w:rPr>
        <w:t xml:space="preserve">Within the having a voice that’s heard pillar, three key focus areas will inform how the </w:t>
      </w:r>
      <w:r w:rsidR="00A36459">
        <w:rPr>
          <w:rFonts w:asciiTheme="majorHAnsi" w:hAnsiTheme="majorHAnsi" w:cstheme="majorHAnsi"/>
          <w:lang w:eastAsia="en-AU"/>
        </w:rPr>
        <w:t>WA</w:t>
      </w:r>
      <w:r w:rsidRPr="00AA21EE">
        <w:rPr>
          <w:rFonts w:asciiTheme="majorHAnsi" w:hAnsiTheme="majorHAnsi" w:cstheme="majorHAnsi"/>
          <w:lang w:eastAsia="en-AU"/>
        </w:rPr>
        <w:t xml:space="preserve"> Government will support seniors. These are shown in Table 4 below and are described across the following pages.</w:t>
      </w:r>
    </w:p>
    <w:p w14:paraId="51F8628C" w14:textId="397E5FA9" w:rsidR="00D55499" w:rsidRPr="00376E1D" w:rsidRDefault="00D55499" w:rsidP="00853E68">
      <w:pPr>
        <w:pStyle w:val="BodyText"/>
        <w:spacing w:line="276" w:lineRule="auto"/>
        <w:rPr>
          <w:rFonts w:asciiTheme="majorHAnsi" w:hAnsiTheme="majorHAnsi" w:cstheme="majorHAnsi"/>
          <w:b/>
          <w:bCs/>
          <w:lang w:eastAsia="en-AU"/>
        </w:rPr>
      </w:pPr>
      <w:r w:rsidRPr="00376E1D">
        <w:rPr>
          <w:rFonts w:asciiTheme="majorHAnsi" w:hAnsiTheme="majorHAnsi" w:cstheme="majorHAnsi"/>
          <w:b/>
          <w:bCs/>
          <w:lang w:eastAsia="en-AU"/>
        </w:rPr>
        <w:t>Table 4 | Having a voice that’s heard</w:t>
      </w:r>
    </w:p>
    <w:tbl>
      <w:tblPr>
        <w:tblStyle w:val="TableStyle"/>
        <w:tblW w:w="0" w:type="auto"/>
        <w:tblLook w:val="04A0" w:firstRow="1" w:lastRow="0" w:firstColumn="1" w:lastColumn="0" w:noHBand="0" w:noVBand="1"/>
      </w:tblPr>
      <w:tblGrid>
        <w:gridCol w:w="2263"/>
        <w:gridCol w:w="4151"/>
        <w:gridCol w:w="3208"/>
      </w:tblGrid>
      <w:tr w:rsidR="00D55499" w:rsidRPr="00376E1D" w14:paraId="00D3BAB9" w14:textId="77777777" w:rsidTr="00420908">
        <w:trPr>
          <w:cnfStyle w:val="100000000000" w:firstRow="1" w:lastRow="0" w:firstColumn="0" w:lastColumn="0" w:oddVBand="0" w:evenVBand="0" w:oddHBand="0" w:evenHBand="0" w:firstRowFirstColumn="0" w:firstRowLastColumn="0" w:lastRowFirstColumn="0" w:lastRowLastColumn="0"/>
        </w:trPr>
        <w:tc>
          <w:tcPr>
            <w:tcW w:w="2263" w:type="dxa"/>
          </w:tcPr>
          <w:p w14:paraId="40E97F8F" w14:textId="77777777" w:rsidR="00D55499" w:rsidRPr="00376E1D" w:rsidRDefault="00D55499"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Pillar</w:t>
            </w:r>
          </w:p>
        </w:tc>
        <w:tc>
          <w:tcPr>
            <w:tcW w:w="4151" w:type="dxa"/>
          </w:tcPr>
          <w:p w14:paraId="58CF5D9A" w14:textId="77777777" w:rsidR="00D55499" w:rsidRPr="00376E1D" w:rsidRDefault="00D55499"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Key Focus Areas</w:t>
            </w:r>
          </w:p>
        </w:tc>
        <w:tc>
          <w:tcPr>
            <w:tcW w:w="3208" w:type="dxa"/>
          </w:tcPr>
          <w:p w14:paraId="2646AFD1" w14:textId="77777777" w:rsidR="00D55499" w:rsidRPr="00376E1D" w:rsidRDefault="00D55499"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Alignment with WHO age-friendly cities domains</w:t>
            </w:r>
          </w:p>
        </w:tc>
      </w:tr>
      <w:tr w:rsidR="00D55499" w:rsidRPr="00376E1D" w14:paraId="22EB4B63" w14:textId="77777777" w:rsidTr="00420908">
        <w:tc>
          <w:tcPr>
            <w:tcW w:w="2263" w:type="dxa"/>
          </w:tcPr>
          <w:p w14:paraId="55AEFDDC" w14:textId="3092DC0A" w:rsidR="00D55499" w:rsidRPr="00376E1D" w:rsidRDefault="00D55499"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Having a voice that’s heard</w:t>
            </w:r>
          </w:p>
        </w:tc>
        <w:tc>
          <w:tcPr>
            <w:tcW w:w="4151" w:type="dxa"/>
          </w:tcPr>
          <w:p w14:paraId="7F50AC92" w14:textId="77777777" w:rsidR="00522172" w:rsidRPr="00376E1D" w:rsidRDefault="00522172"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Frequent and meaningful opportunities to make Seniors’ voices heard</w:t>
            </w:r>
          </w:p>
          <w:p w14:paraId="54F94BC8" w14:textId="77777777" w:rsidR="00522172" w:rsidRPr="00376E1D" w:rsidRDefault="00522172"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Influence on the issues and policies that matter to and impact upon Seniors</w:t>
            </w:r>
          </w:p>
          <w:p w14:paraId="198F5B93" w14:textId="7ADD237A" w:rsidR="00D55499" w:rsidRPr="00376E1D" w:rsidRDefault="00522172"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Elevating the diverse voices of Seniors</w:t>
            </w:r>
          </w:p>
        </w:tc>
        <w:tc>
          <w:tcPr>
            <w:tcW w:w="3208" w:type="dxa"/>
          </w:tcPr>
          <w:p w14:paraId="02EC1953" w14:textId="77777777" w:rsidR="00996C7A" w:rsidRPr="00376E1D" w:rsidRDefault="00996C7A"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 xml:space="preserve">Civic participation and employment </w:t>
            </w:r>
          </w:p>
          <w:p w14:paraId="717EA776" w14:textId="36944957" w:rsidR="00D55499" w:rsidRPr="00376E1D" w:rsidRDefault="00996C7A" w:rsidP="00853E68">
            <w:pPr>
              <w:pStyle w:val="BodyText"/>
              <w:spacing w:line="276" w:lineRule="auto"/>
              <w:rPr>
                <w:rFonts w:asciiTheme="majorHAnsi" w:hAnsiTheme="majorHAnsi" w:cstheme="majorHAnsi"/>
                <w:lang w:eastAsia="en-AU"/>
              </w:rPr>
            </w:pPr>
            <w:r w:rsidRPr="00376E1D">
              <w:rPr>
                <w:rFonts w:asciiTheme="majorHAnsi" w:hAnsiTheme="majorHAnsi" w:cstheme="majorHAnsi"/>
                <w:lang w:eastAsia="en-AU"/>
              </w:rPr>
              <w:t>Respect and social inclusion</w:t>
            </w:r>
          </w:p>
        </w:tc>
      </w:tr>
    </w:tbl>
    <w:p w14:paraId="13D9D0EA" w14:textId="77777777" w:rsidR="00376E1D" w:rsidRPr="00376E1D" w:rsidRDefault="00376E1D" w:rsidP="00853E68">
      <w:pPr>
        <w:pStyle w:val="Heading4"/>
        <w:spacing w:line="276" w:lineRule="auto"/>
        <w:rPr>
          <w:rFonts w:asciiTheme="majorHAnsi" w:hAnsiTheme="majorHAnsi" w:cstheme="majorHAnsi"/>
        </w:rPr>
      </w:pPr>
      <w:r w:rsidRPr="00376E1D">
        <w:rPr>
          <w:rFonts w:asciiTheme="majorHAnsi" w:hAnsiTheme="majorHAnsi" w:cstheme="majorHAnsi"/>
        </w:rPr>
        <w:t>Frequent and meaningful opportunities to make Seniors’ voices heard</w:t>
      </w:r>
    </w:p>
    <w:p w14:paraId="74779677" w14:textId="77777777" w:rsidR="00DD4195" w:rsidRDefault="00DD4195" w:rsidP="00674C7F">
      <w:pPr>
        <w:pStyle w:val="BodyText"/>
      </w:pPr>
      <w:r>
        <w:t xml:space="preserve">Having a voice that’s heard means that organisations and services that represent and support seniors are informed by seniors’ views and experiences. Seniors want to have frequent and meaningful opportunities to speak up and to influence the world around them. </w:t>
      </w:r>
      <w:r w:rsidRPr="00E00B2D">
        <w:t xml:space="preserve">Seniors have told us that they </w:t>
      </w:r>
      <w:r>
        <w:t xml:space="preserve">may </w:t>
      </w:r>
      <w:r w:rsidRPr="00E00B2D">
        <w:t xml:space="preserve">feel disempowered and unable to make their voices heard, with some highlighting that they have been ignored or overlooked when they have </w:t>
      </w:r>
      <w:r w:rsidRPr="00E00B2D">
        <w:lastRenderedPageBreak/>
        <w:t>sought opportunities to speak out.</w:t>
      </w:r>
      <w:r w:rsidRPr="004D4AB7">
        <w:rPr>
          <w:vertAlign w:val="superscript"/>
        </w:rPr>
        <w:footnoteReference w:id="19"/>
      </w:r>
      <w:r w:rsidRPr="00E00B2D">
        <w:t xml:space="preserve"> </w:t>
      </w:r>
      <w:r>
        <w:t xml:space="preserve">For some, the lack of digital inclusion or of accessibility makes this even more difficult. </w:t>
      </w:r>
    </w:p>
    <w:p w14:paraId="2AD43CCE" w14:textId="77777777" w:rsidR="00DD4195" w:rsidRDefault="00DD4195" w:rsidP="00674C7F">
      <w:pPr>
        <w:pStyle w:val="BodyText"/>
      </w:pPr>
      <w:r w:rsidRPr="00E00B2D">
        <w:t xml:space="preserve">We must ensure that all </w:t>
      </w:r>
      <w:r>
        <w:t>s</w:t>
      </w:r>
      <w:r w:rsidRPr="00E00B2D">
        <w:t>eniors have frequent and meaningful opportunities to speak up, including through peak bodies that can represent them</w:t>
      </w:r>
      <w:r w:rsidRPr="000960D7">
        <w:t xml:space="preserve"> and their needs when they might not be able to. </w:t>
      </w:r>
    </w:p>
    <w:p w14:paraId="12325206" w14:textId="77777777" w:rsidR="00376E1D" w:rsidRPr="00376E1D" w:rsidRDefault="00376E1D" w:rsidP="00853E68">
      <w:pPr>
        <w:pStyle w:val="Heading4"/>
        <w:spacing w:line="276" w:lineRule="auto"/>
        <w:rPr>
          <w:rFonts w:asciiTheme="majorHAnsi" w:eastAsiaTheme="minorHAnsi" w:hAnsiTheme="majorHAnsi" w:cstheme="majorHAnsi"/>
        </w:rPr>
      </w:pPr>
      <w:r w:rsidRPr="00376E1D">
        <w:rPr>
          <w:rFonts w:asciiTheme="majorHAnsi" w:eastAsiaTheme="minorHAnsi" w:hAnsiTheme="majorHAnsi" w:cstheme="majorHAnsi"/>
        </w:rPr>
        <w:t xml:space="preserve">Influence on the issues and policies that matter to and impact upon Seniors </w:t>
      </w:r>
    </w:p>
    <w:p w14:paraId="0A341823" w14:textId="58C13E61" w:rsidR="00217AE0" w:rsidRPr="00D44418" w:rsidRDefault="00217AE0" w:rsidP="00674C7F">
      <w:pPr>
        <w:pStyle w:val="BodyText"/>
      </w:pPr>
      <w:r>
        <w:t xml:space="preserve">The wisdom of our seniors is one of their greatest assets. </w:t>
      </w:r>
      <w:r w:rsidRPr="00D44418">
        <w:t xml:space="preserve">An age-friendly community provides options for </w:t>
      </w:r>
      <w:r>
        <w:t>s</w:t>
      </w:r>
      <w:r w:rsidRPr="00D44418">
        <w:t xml:space="preserve">eniors to be engaged in the </w:t>
      </w:r>
      <w:r w:rsidR="003A6A0A">
        <w:t>policy</w:t>
      </w:r>
      <w:r w:rsidRPr="00D44418">
        <w:t xml:space="preserve"> process, in particular (but not exclusively) on matters that relate to their needs as older adults.</w:t>
      </w:r>
      <w:r w:rsidRPr="00214EF7">
        <w:rPr>
          <w:vertAlign w:val="superscript"/>
        </w:rPr>
        <w:footnoteReference w:id="20"/>
      </w:r>
      <w:r w:rsidRPr="00D44418">
        <w:t xml:space="preserve"> </w:t>
      </w:r>
      <w:r>
        <w:t>Se</w:t>
      </w:r>
      <w:r w:rsidRPr="00D44418">
        <w:t>niors</w:t>
      </w:r>
      <w:r>
        <w:t xml:space="preserve"> want to have opportunities to design policy and initiatives relevant to them, using their own experience and wisdom to improve the way government does business with and for older people.</w:t>
      </w:r>
      <w:r w:rsidRPr="00D44418">
        <w:t xml:space="preserve"> </w:t>
      </w:r>
      <w:r>
        <w:t>The power of</w:t>
      </w:r>
      <w:r w:rsidR="007D35E5">
        <w:t xml:space="preserve"> the</w:t>
      </w:r>
      <w:r>
        <w:t xml:space="preserve"> lived experience of older people is essential in developing good policy and initiatives for older people.</w:t>
      </w:r>
    </w:p>
    <w:p w14:paraId="0B8EA8D8" w14:textId="0639CC7B" w:rsidR="00217AE0" w:rsidRDefault="00217AE0" w:rsidP="00674C7F">
      <w:pPr>
        <w:pStyle w:val="BodyText"/>
      </w:pPr>
      <w:r w:rsidRPr="00D44418">
        <w:t>The engagement approach as part of the development of th</w:t>
      </w:r>
      <w:r w:rsidR="007D35E5">
        <w:t>e</w:t>
      </w:r>
      <w:r w:rsidRPr="00D44418">
        <w:t xml:space="preserve"> </w:t>
      </w:r>
      <w:r w:rsidR="007D35E5">
        <w:t>S</w:t>
      </w:r>
      <w:r w:rsidRPr="00D44418">
        <w:t>trategy provides a template for how seniors can and should be engaged during the drafting of policy, initiatives, activities, and events that impact them, to ensure that their voices</w:t>
      </w:r>
      <w:r>
        <w:t xml:space="preserve"> and valuable contributions </w:t>
      </w:r>
      <w:r w:rsidRPr="00D44418">
        <w:t xml:space="preserve">are not lost or ignored. </w:t>
      </w:r>
    </w:p>
    <w:p w14:paraId="06575F69" w14:textId="3E5CCE2F" w:rsidR="00376E1D" w:rsidRPr="00376E1D" w:rsidRDefault="00376E1D" w:rsidP="00853E68">
      <w:pPr>
        <w:pStyle w:val="Heading4"/>
        <w:spacing w:line="276" w:lineRule="auto"/>
        <w:rPr>
          <w:rFonts w:asciiTheme="majorHAnsi" w:hAnsiTheme="majorHAnsi" w:cstheme="majorHAnsi"/>
        </w:rPr>
      </w:pPr>
      <w:r w:rsidRPr="00376E1D">
        <w:rPr>
          <w:rFonts w:asciiTheme="majorHAnsi" w:hAnsiTheme="majorHAnsi" w:cstheme="majorHAnsi"/>
        </w:rPr>
        <w:t xml:space="preserve">Elevating </w:t>
      </w:r>
      <w:r w:rsidR="007B0C35">
        <w:rPr>
          <w:rFonts w:asciiTheme="majorHAnsi" w:hAnsiTheme="majorHAnsi" w:cstheme="majorHAnsi"/>
        </w:rPr>
        <w:t xml:space="preserve">the </w:t>
      </w:r>
      <w:r w:rsidRPr="00376E1D">
        <w:rPr>
          <w:rFonts w:asciiTheme="majorHAnsi" w:hAnsiTheme="majorHAnsi" w:cstheme="majorHAnsi"/>
        </w:rPr>
        <w:t xml:space="preserve">diverse voices of Seniors </w:t>
      </w:r>
    </w:p>
    <w:bookmarkEnd w:id="0"/>
    <w:p w14:paraId="4FFFD21B" w14:textId="28F2CC32" w:rsidR="00674C7F" w:rsidRDefault="00674C7F" w:rsidP="00674C7F">
      <w:pPr>
        <w:pStyle w:val="BodyText"/>
      </w:pPr>
      <w:r>
        <w:t xml:space="preserve">Seniors in our community are diverse and the Strategy will reflect the diverse range of voices, experiences and needs among seniors in WA. People have diverse and specific needs across the spectrum of life. We want to capture and act on the voices of all seniors, including those who belong to groups who are often under-represented, in ways that respect the needs and views of people. This includes elevating the voices of </w:t>
      </w:r>
      <w:r w:rsidRPr="1DCE42A3">
        <w:t xml:space="preserve">Aboriginal seniors, seniors from </w:t>
      </w:r>
      <w:proofErr w:type="spellStart"/>
      <w:r w:rsidRPr="1DCE42A3">
        <w:t>CaLD</w:t>
      </w:r>
      <w:proofErr w:type="spellEnd"/>
      <w:r w:rsidRPr="1DCE42A3">
        <w:t xml:space="preserve"> backgrounds, those who identify as LGBTQI</w:t>
      </w:r>
      <w:r>
        <w:t>A</w:t>
      </w:r>
      <w:r w:rsidRPr="1DCE42A3">
        <w:t>+</w:t>
      </w:r>
      <w:r>
        <w:t>, seniors living with a disability, veterans, and senior carers, who</w:t>
      </w:r>
      <w:r w:rsidRPr="1DCE42A3">
        <w:t xml:space="preserve"> all report facing </w:t>
      </w:r>
      <w:r>
        <w:t xml:space="preserve">even </w:t>
      </w:r>
      <w:r w:rsidRPr="1DCE42A3">
        <w:t>greater difficulties in navigating life.</w:t>
      </w:r>
      <w:r w:rsidRPr="1DCE42A3">
        <w:rPr>
          <w:rStyle w:val="FootnoteReference"/>
          <w:rFonts w:asciiTheme="minorHAnsi" w:hAnsiTheme="minorHAnsi"/>
        </w:rPr>
        <w:footnoteReference w:id="21"/>
      </w:r>
      <w:r w:rsidRPr="1DCE42A3">
        <w:t xml:space="preserve"> </w:t>
      </w:r>
      <w:r>
        <w:t xml:space="preserve">We need to ensure there is </w:t>
      </w:r>
      <w:r w:rsidRPr="1DCE42A3">
        <w:t xml:space="preserve">opportunity to speak about their experiences, and for them to influence services, policies, and initiatives </w:t>
      </w:r>
      <w:r>
        <w:t>so that</w:t>
      </w:r>
      <w:r w:rsidRPr="1DCE42A3">
        <w:t xml:space="preserve"> they </w:t>
      </w:r>
      <w:r>
        <w:t xml:space="preserve">work for all </w:t>
      </w:r>
      <w:r w:rsidR="007D35E5">
        <w:t>who</w:t>
      </w:r>
      <w:r>
        <w:t xml:space="preserve"> need them</w:t>
      </w:r>
      <w:r w:rsidRPr="1DCE42A3">
        <w:t xml:space="preserve">. </w:t>
      </w:r>
    </w:p>
    <w:p w14:paraId="242C2EAD" w14:textId="28F4AEA1" w:rsidR="00674C7F" w:rsidRPr="00D155D0" w:rsidRDefault="00674C7F" w:rsidP="00674C7F">
      <w:pPr>
        <w:pStyle w:val="BodyText"/>
      </w:pPr>
      <w:r>
        <w:t>We must elevate the diverse voices of all s</w:t>
      </w:r>
      <w:r w:rsidRPr="00E00B2D">
        <w:t>eniors</w:t>
      </w:r>
      <w:r>
        <w:t>, in a way that reflects their diversity of experience</w:t>
      </w:r>
      <w:r w:rsidR="007D35E5">
        <w:t xml:space="preserve"> and</w:t>
      </w:r>
      <w:r>
        <w:t xml:space="preserve"> nee</w:t>
      </w:r>
      <w:r w:rsidR="007D35E5">
        <w:t>ds</w:t>
      </w:r>
      <w:r>
        <w:t>. Targeted and tailored opportunities to engage with diverse and harder to reach groups must be a central feature of th</w:t>
      </w:r>
      <w:r w:rsidR="00424576">
        <w:t>e</w:t>
      </w:r>
      <w:r>
        <w:t xml:space="preserve"> Strategy, including </w:t>
      </w:r>
      <w:r w:rsidR="00424576">
        <w:t xml:space="preserve">in </w:t>
      </w:r>
      <w:r>
        <w:t>planning, decision-making</w:t>
      </w:r>
      <w:r w:rsidR="00424576">
        <w:t xml:space="preserve"> and service delivery</w:t>
      </w:r>
      <w:r>
        <w:t>.</w:t>
      </w:r>
    </w:p>
    <w:sectPr w:rsidR="00674C7F" w:rsidRPr="00D155D0" w:rsidSect="006E12FE">
      <w:headerReference w:type="default" r:id="rId12"/>
      <w:footerReference w:type="default" r:id="rId13"/>
      <w:headerReference w:type="first" r:id="rId14"/>
      <w:footerReference w:type="first" r:id="rId15"/>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A2C8F" w14:textId="77777777" w:rsidR="00C31977" w:rsidRDefault="00C31977" w:rsidP="00D41211">
      <w:r>
        <w:separator/>
      </w:r>
    </w:p>
  </w:endnote>
  <w:endnote w:type="continuationSeparator" w:id="0">
    <w:p w14:paraId="7F949ECA" w14:textId="77777777" w:rsidR="00C31977" w:rsidRDefault="00C31977" w:rsidP="00D41211">
      <w:r>
        <w:continuationSeparator/>
      </w:r>
    </w:p>
  </w:endnote>
  <w:endnote w:type="continuationNotice" w:id="1">
    <w:p w14:paraId="2E3B568C" w14:textId="77777777" w:rsidR="00C31977" w:rsidRDefault="00C31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r w:rsidR="003677D1">
      <w:fldChar w:fldCharType="begin"/>
    </w:r>
    <w:r w:rsidR="003677D1">
      <w:instrText xml:space="preserve"> NUMPAGES   \* MERGEFORMAT </w:instrText>
    </w:r>
    <w:r w:rsidR="003677D1">
      <w:fldChar w:fldCharType="separate"/>
    </w:r>
    <w:r>
      <w:t>6</w:t>
    </w:r>
    <w:r w:rsidR="003677D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r w:rsidR="003677D1">
      <w:fldChar w:fldCharType="begin"/>
    </w:r>
    <w:r w:rsidR="003677D1">
      <w:instrText xml:space="preserve"> NUMPAGES   \* MERGEFORMAT </w:instrText>
    </w:r>
    <w:r w:rsidR="003677D1">
      <w:fldChar w:fldCharType="separate"/>
    </w:r>
    <w:r>
      <w:t>5</w:t>
    </w:r>
    <w:r w:rsidR="003677D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2E8D" w14:textId="77777777" w:rsidR="00C31977" w:rsidRDefault="00C31977" w:rsidP="00D41211">
      <w:r>
        <w:separator/>
      </w:r>
    </w:p>
  </w:footnote>
  <w:footnote w:type="continuationSeparator" w:id="0">
    <w:p w14:paraId="3A4F89A8" w14:textId="77777777" w:rsidR="00C31977" w:rsidRDefault="00C31977" w:rsidP="00D41211">
      <w:r>
        <w:continuationSeparator/>
      </w:r>
    </w:p>
  </w:footnote>
  <w:footnote w:type="continuationNotice" w:id="1">
    <w:p w14:paraId="561DA8CD" w14:textId="77777777" w:rsidR="00C31977" w:rsidRDefault="00C31977">
      <w:pPr>
        <w:spacing w:after="0" w:line="240" w:lineRule="auto"/>
      </w:pPr>
    </w:p>
  </w:footnote>
  <w:footnote w:id="2">
    <w:p w14:paraId="6E4A1250" w14:textId="77777777" w:rsidR="00954CE3" w:rsidRPr="00D7317C" w:rsidRDefault="00954CE3" w:rsidP="00954CE3">
      <w:pPr>
        <w:pStyle w:val="FootnoteText"/>
        <w:rPr>
          <w:sz w:val="14"/>
          <w:szCs w:val="14"/>
        </w:rPr>
      </w:pPr>
      <w:r w:rsidRPr="00D7317C">
        <w:rPr>
          <w:rStyle w:val="FootnoteReference"/>
          <w:sz w:val="14"/>
          <w:szCs w:val="14"/>
        </w:rPr>
        <w:footnoteRef/>
      </w:r>
      <w:r w:rsidRPr="00D7317C">
        <w:rPr>
          <w:sz w:val="14"/>
          <w:szCs w:val="14"/>
        </w:rPr>
        <w:t xml:space="preserve"> </w:t>
      </w:r>
      <w:r>
        <w:rPr>
          <w:sz w:val="14"/>
          <w:szCs w:val="14"/>
        </w:rPr>
        <w:t xml:space="preserve">WA Country Health Service (2022) </w:t>
      </w:r>
      <w:hyperlink r:id="rId1" w:history="1">
        <w:r w:rsidRPr="00D7317C">
          <w:rPr>
            <w:rStyle w:val="Hyperlink"/>
            <w:sz w:val="14"/>
            <w:szCs w:val="14"/>
          </w:rPr>
          <w:t>Health Strategy for Older People 2022-27</w:t>
        </w:r>
      </w:hyperlink>
      <w:r>
        <w:rPr>
          <w:sz w:val="14"/>
          <w:szCs w:val="14"/>
        </w:rPr>
        <w:t xml:space="preserve"> </w:t>
      </w:r>
    </w:p>
  </w:footnote>
  <w:footnote w:id="3">
    <w:p w14:paraId="52D045F7" w14:textId="6F505AB8" w:rsidR="00B76D42" w:rsidRDefault="00B76D42">
      <w:pPr>
        <w:pStyle w:val="FootnoteText"/>
      </w:pPr>
      <w:r>
        <w:rPr>
          <w:rStyle w:val="FootnoteReference"/>
        </w:rPr>
        <w:footnoteRef/>
      </w:r>
      <w:r>
        <w:t xml:space="preserve"> </w:t>
      </w:r>
      <w:hyperlink r:id="rId2" w:history="1">
        <w:r w:rsidRPr="001F5304">
          <w:rPr>
            <w:rStyle w:val="Hyperlink"/>
            <w:rFonts w:asciiTheme="minorHAnsi" w:hAnsiTheme="minorHAnsi" w:cstheme="minorHAnsi"/>
            <w:sz w:val="14"/>
            <w:szCs w:val="14"/>
          </w:rPr>
          <w:t>Poverty and Homelessness – The Reality For Too Many Older Women</w:t>
        </w:r>
      </w:hyperlink>
      <w:r w:rsidRPr="001F5304">
        <w:rPr>
          <w:rFonts w:asciiTheme="minorHAnsi" w:hAnsiTheme="minorHAnsi" w:cstheme="minorHAnsi"/>
          <w:sz w:val="14"/>
          <w:szCs w:val="14"/>
        </w:rPr>
        <w:t xml:space="preserve"> (Streetsmart, July 13, 2021)</w:t>
      </w:r>
    </w:p>
  </w:footnote>
  <w:footnote w:id="4">
    <w:p w14:paraId="40ADB810" w14:textId="3290826B" w:rsidR="00FE3A1C" w:rsidRDefault="00FE3A1C">
      <w:pPr>
        <w:pStyle w:val="FootnoteText"/>
      </w:pPr>
      <w:r>
        <w:rPr>
          <w:rStyle w:val="FootnoteReference"/>
        </w:rPr>
        <w:footnoteRef/>
      </w:r>
      <w:r>
        <w:t xml:space="preserve"> </w:t>
      </w:r>
      <w:r w:rsidRPr="00A41BE3">
        <w:t>C</w:t>
      </w:r>
      <w:r w:rsidRPr="00852440">
        <w:rPr>
          <w:rFonts w:asciiTheme="minorHAnsi" w:hAnsiTheme="minorHAnsi" w:cstheme="minorHAnsi"/>
          <w:sz w:val="14"/>
          <w:szCs w:val="14"/>
        </w:rPr>
        <w:t xml:space="preserve">ommissioner for Children and Young People (2014). </w:t>
      </w:r>
      <w:hyperlink r:id="rId3" w:history="1">
        <w:r w:rsidRPr="00852440">
          <w:rPr>
            <w:rStyle w:val="Hyperlink"/>
            <w:rFonts w:asciiTheme="minorHAnsi" w:hAnsiTheme="minorHAnsi" w:cstheme="minorHAnsi"/>
            <w:sz w:val="14"/>
            <w:szCs w:val="14"/>
          </w:rPr>
          <w:t>The State of Western Australia’s Children and Young People Edition Two</w:t>
        </w:r>
      </w:hyperlink>
      <w:r w:rsidRPr="00852440">
        <w:rPr>
          <w:rStyle w:val="Hyperlink"/>
          <w:rFonts w:asciiTheme="minorHAnsi" w:hAnsiTheme="minorHAnsi" w:cstheme="minorHAnsi"/>
          <w:sz w:val="14"/>
          <w:szCs w:val="14"/>
        </w:rPr>
        <w:t>.</w:t>
      </w:r>
    </w:p>
  </w:footnote>
  <w:footnote w:id="5">
    <w:p w14:paraId="0D64C88A" w14:textId="77777777" w:rsidR="00974ABC" w:rsidRPr="00464CED" w:rsidRDefault="00974ABC" w:rsidP="00974ABC">
      <w:pPr>
        <w:pStyle w:val="FootnoteText"/>
        <w:rPr>
          <w:rFonts w:asciiTheme="minorHAnsi" w:hAnsiTheme="minorHAnsi" w:cstheme="minorHAnsi"/>
          <w:sz w:val="14"/>
          <w:szCs w:val="14"/>
        </w:rPr>
      </w:pPr>
      <w:r w:rsidRPr="00464CED">
        <w:rPr>
          <w:rStyle w:val="FootnoteReference"/>
          <w:rFonts w:asciiTheme="minorHAnsi" w:hAnsiTheme="minorHAnsi" w:cstheme="minorHAnsi"/>
          <w:sz w:val="14"/>
          <w:szCs w:val="14"/>
        </w:rPr>
        <w:footnoteRef/>
      </w:r>
      <w:r w:rsidRPr="00464CED">
        <w:rPr>
          <w:rFonts w:asciiTheme="minorHAnsi" w:hAnsiTheme="minorHAnsi" w:cstheme="minorHAnsi"/>
          <w:sz w:val="14"/>
          <w:szCs w:val="14"/>
        </w:rPr>
        <w:t xml:space="preserve"> Australian Bureau of Statistics (2020) </w:t>
      </w:r>
      <w:hyperlink r:id="rId4" w:history="1">
        <w:r w:rsidRPr="00464CED">
          <w:rPr>
            <w:rStyle w:val="Hyperlink"/>
            <w:rFonts w:asciiTheme="minorHAnsi" w:hAnsiTheme="minorHAnsi" w:cstheme="minorHAnsi"/>
            <w:sz w:val="14"/>
            <w:szCs w:val="14"/>
          </w:rPr>
          <w:t>Housing Occupancy and Costs</w:t>
        </w:r>
      </w:hyperlink>
      <w:r w:rsidRPr="00464CED">
        <w:rPr>
          <w:rFonts w:asciiTheme="minorHAnsi" w:hAnsiTheme="minorHAnsi" w:cstheme="minorHAnsi"/>
          <w:sz w:val="14"/>
          <w:szCs w:val="14"/>
        </w:rPr>
        <w:t xml:space="preserve"> </w:t>
      </w:r>
    </w:p>
  </w:footnote>
  <w:footnote w:id="6">
    <w:p w14:paraId="6E6E0735" w14:textId="77777777" w:rsidR="00974ABC" w:rsidRPr="00464CED" w:rsidRDefault="00974ABC" w:rsidP="00974ABC">
      <w:pPr>
        <w:pStyle w:val="FootnoteText"/>
        <w:rPr>
          <w:rFonts w:asciiTheme="minorHAnsi" w:hAnsiTheme="minorHAnsi" w:cstheme="minorHAnsi"/>
          <w:sz w:val="14"/>
          <w:szCs w:val="14"/>
        </w:rPr>
      </w:pPr>
      <w:r w:rsidRPr="00464CED">
        <w:rPr>
          <w:rStyle w:val="FootnoteReference"/>
          <w:rFonts w:asciiTheme="minorHAnsi" w:hAnsiTheme="minorHAnsi" w:cstheme="minorHAnsi"/>
          <w:sz w:val="14"/>
          <w:szCs w:val="14"/>
        </w:rPr>
        <w:footnoteRef/>
      </w:r>
      <w:r w:rsidRPr="00464CED">
        <w:rPr>
          <w:rFonts w:asciiTheme="minorHAnsi" w:hAnsiTheme="minorHAnsi" w:cstheme="minorHAnsi"/>
          <w:sz w:val="14"/>
          <w:szCs w:val="14"/>
        </w:rPr>
        <w:t xml:space="preserve"> </w:t>
      </w:r>
      <w:r w:rsidRPr="00464CED">
        <w:rPr>
          <w:rFonts w:asciiTheme="minorHAnsi" w:hAnsiTheme="minorHAnsi" w:cstheme="minorHAnsi"/>
          <w:sz w:val="14"/>
          <w:szCs w:val="14"/>
          <w:lang w:eastAsia="en-AU"/>
        </w:rPr>
        <w:t xml:space="preserve">Australian Bureau of Statistics (2022) </w:t>
      </w:r>
      <w:hyperlink r:id="rId5" w:history="1">
        <w:r w:rsidRPr="00464CED">
          <w:rPr>
            <w:rStyle w:val="Hyperlink"/>
            <w:rFonts w:asciiTheme="minorHAnsi" w:hAnsiTheme="minorHAnsi" w:cstheme="minorHAnsi"/>
            <w:sz w:val="14"/>
            <w:szCs w:val="14"/>
          </w:rPr>
          <w:t>Aged care services</w:t>
        </w:r>
      </w:hyperlink>
      <w:r w:rsidRPr="00464CED">
        <w:rPr>
          <w:rFonts w:asciiTheme="minorHAnsi" w:hAnsiTheme="minorHAnsi" w:cstheme="minorHAnsi"/>
          <w:sz w:val="14"/>
          <w:szCs w:val="14"/>
          <w:lang w:eastAsia="en-AU"/>
        </w:rPr>
        <w:t>. PC Report on Government Services.</w:t>
      </w:r>
    </w:p>
  </w:footnote>
  <w:footnote w:id="7">
    <w:p w14:paraId="7BEC65E7" w14:textId="77777777" w:rsidR="0019251C" w:rsidRDefault="0019251C" w:rsidP="0019251C">
      <w:pPr>
        <w:pStyle w:val="FootnoteText"/>
      </w:pPr>
      <w:r w:rsidRPr="00464CED">
        <w:rPr>
          <w:rStyle w:val="FootnoteReference"/>
          <w:rFonts w:asciiTheme="minorHAnsi" w:hAnsiTheme="minorHAnsi" w:cstheme="minorHAnsi"/>
          <w:sz w:val="14"/>
          <w:szCs w:val="14"/>
        </w:rPr>
        <w:footnoteRef/>
      </w:r>
      <w:r w:rsidRPr="00464CED">
        <w:rPr>
          <w:rFonts w:asciiTheme="minorHAnsi" w:hAnsiTheme="minorHAnsi" w:cstheme="minorHAnsi"/>
          <w:sz w:val="14"/>
          <w:szCs w:val="14"/>
        </w:rPr>
        <w:t xml:space="preserve"> </w:t>
      </w:r>
      <w:r w:rsidRPr="000C0F01">
        <w:rPr>
          <w:rFonts w:asciiTheme="minorHAnsi" w:hAnsiTheme="minorHAnsi" w:cstheme="minorHAnsi"/>
          <w:color w:val="333333"/>
          <w:sz w:val="14"/>
          <w:szCs w:val="14"/>
          <w:shd w:val="clear" w:color="auto" w:fill="FFFFFF"/>
        </w:rPr>
        <w:t>World Health Organization (‎2007)‎. </w:t>
      </w:r>
      <w:hyperlink r:id="rId6" w:history="1">
        <w:r w:rsidRPr="000C0F01">
          <w:rPr>
            <w:rStyle w:val="Hyperlink"/>
            <w:rFonts w:asciiTheme="minorHAnsi" w:hAnsiTheme="minorHAnsi" w:cstheme="minorHAnsi"/>
            <w:sz w:val="14"/>
            <w:szCs w:val="14"/>
            <w:shd w:val="clear" w:color="auto" w:fill="FFFFFF"/>
          </w:rPr>
          <w:t>Global age-friendly cities: a guide</w:t>
        </w:r>
      </w:hyperlink>
      <w:r w:rsidRPr="000C0F01">
        <w:rPr>
          <w:rFonts w:asciiTheme="minorHAnsi" w:hAnsiTheme="minorHAnsi" w:cstheme="minorHAnsi"/>
          <w:color w:val="333333"/>
          <w:sz w:val="14"/>
          <w:szCs w:val="14"/>
          <w:shd w:val="clear" w:color="auto" w:fill="FFFFFF"/>
        </w:rPr>
        <w:t>, p</w:t>
      </w:r>
      <w:r>
        <w:rPr>
          <w:rFonts w:asciiTheme="minorHAnsi" w:hAnsiTheme="minorHAnsi" w:cstheme="minorHAnsi"/>
          <w:color w:val="333333"/>
          <w:sz w:val="14"/>
          <w:szCs w:val="14"/>
          <w:shd w:val="clear" w:color="auto" w:fill="FFFFFF"/>
        </w:rPr>
        <w:t>67</w:t>
      </w:r>
    </w:p>
  </w:footnote>
  <w:footnote w:id="8">
    <w:p w14:paraId="474261B0" w14:textId="77777777" w:rsidR="00D060DB" w:rsidRPr="000C0F01" w:rsidRDefault="00D060DB" w:rsidP="00D060DB">
      <w:pPr>
        <w:pStyle w:val="FootnoteText"/>
        <w:rPr>
          <w:sz w:val="14"/>
          <w:szCs w:val="14"/>
        </w:rPr>
      </w:pPr>
      <w:r w:rsidRPr="000C0F01">
        <w:rPr>
          <w:rStyle w:val="FootnoteReference"/>
          <w:sz w:val="14"/>
          <w:szCs w:val="14"/>
        </w:rPr>
        <w:footnoteRef/>
      </w:r>
      <w:r w:rsidRPr="000C0F01">
        <w:rPr>
          <w:sz w:val="14"/>
          <w:szCs w:val="14"/>
        </w:rPr>
        <w:t xml:space="preserve"> </w:t>
      </w:r>
      <w:r>
        <w:rPr>
          <w:sz w:val="14"/>
          <w:szCs w:val="14"/>
        </w:rPr>
        <w:t>Australian Human Rights Commission (2021)</w:t>
      </w:r>
      <w:r w:rsidRPr="000C0F01">
        <w:rPr>
          <w:sz w:val="14"/>
          <w:szCs w:val="14"/>
        </w:rPr>
        <w:t xml:space="preserve"> </w:t>
      </w:r>
      <w:hyperlink r:id="rId7" w:history="1">
        <w:r w:rsidRPr="000C0F01">
          <w:rPr>
            <w:rStyle w:val="Hyperlink"/>
            <w:sz w:val="14"/>
            <w:szCs w:val="14"/>
          </w:rPr>
          <w:t>What’s age got to do with it?</w:t>
        </w:r>
      </w:hyperlink>
      <w:r w:rsidRPr="000C0F01">
        <w:rPr>
          <w:sz w:val="14"/>
          <w:szCs w:val="14"/>
        </w:rPr>
        <w:t xml:space="preserve"> </w:t>
      </w:r>
    </w:p>
  </w:footnote>
  <w:footnote w:id="9">
    <w:p w14:paraId="5928CFC9" w14:textId="77777777" w:rsidR="00B47064" w:rsidRPr="000C0F01" w:rsidRDefault="00B47064" w:rsidP="00B47064">
      <w:pPr>
        <w:pStyle w:val="FootnoteText"/>
        <w:rPr>
          <w:rFonts w:asciiTheme="minorHAnsi" w:hAnsiTheme="minorHAnsi" w:cstheme="minorHAnsi"/>
          <w:sz w:val="14"/>
          <w:szCs w:val="14"/>
        </w:rPr>
      </w:pPr>
      <w:r w:rsidRPr="000C0F01">
        <w:rPr>
          <w:rStyle w:val="FootnoteReference"/>
          <w:rFonts w:asciiTheme="minorHAnsi" w:hAnsiTheme="minorHAnsi" w:cstheme="minorHAnsi"/>
          <w:sz w:val="14"/>
          <w:szCs w:val="14"/>
        </w:rPr>
        <w:footnoteRef/>
      </w:r>
      <w:r w:rsidRPr="000C0F01">
        <w:rPr>
          <w:rFonts w:asciiTheme="minorHAnsi" w:hAnsiTheme="minorHAnsi" w:cstheme="minorHAnsi"/>
          <w:sz w:val="14"/>
          <w:szCs w:val="14"/>
        </w:rPr>
        <w:t xml:space="preserve"> </w:t>
      </w:r>
      <w:r w:rsidRPr="000C0F01">
        <w:rPr>
          <w:rFonts w:asciiTheme="minorHAnsi" w:hAnsiTheme="minorHAnsi" w:cstheme="minorHAnsi"/>
          <w:sz w:val="14"/>
          <w:szCs w:val="14"/>
          <w:shd w:val="clear" w:color="auto" w:fill="FFFFFF"/>
        </w:rPr>
        <w:t>World Health Organization (‎2007)‎. </w:t>
      </w:r>
      <w:hyperlink r:id="rId8" w:history="1">
        <w:r w:rsidRPr="000C0F01">
          <w:rPr>
            <w:rStyle w:val="Hyperlink"/>
            <w:rFonts w:asciiTheme="minorHAnsi" w:hAnsiTheme="minorHAnsi" w:cstheme="minorHAnsi"/>
            <w:sz w:val="14"/>
            <w:szCs w:val="14"/>
            <w:shd w:val="clear" w:color="auto" w:fill="FFFFFF"/>
          </w:rPr>
          <w:t>Global age-friendly cities: a guide</w:t>
        </w:r>
      </w:hyperlink>
      <w:r w:rsidRPr="000C0F01">
        <w:rPr>
          <w:rFonts w:asciiTheme="minorHAnsi" w:hAnsiTheme="minorHAnsi" w:cstheme="minorHAnsi"/>
          <w:color w:val="333333"/>
          <w:sz w:val="14"/>
          <w:szCs w:val="14"/>
          <w:shd w:val="clear" w:color="auto" w:fill="FFFFFF"/>
        </w:rPr>
        <w:t>, p</w:t>
      </w:r>
      <w:r>
        <w:rPr>
          <w:rFonts w:asciiTheme="minorHAnsi" w:hAnsiTheme="minorHAnsi" w:cstheme="minorHAnsi"/>
          <w:color w:val="333333"/>
          <w:sz w:val="14"/>
          <w:szCs w:val="14"/>
          <w:shd w:val="clear" w:color="auto" w:fill="FFFFFF"/>
        </w:rPr>
        <w:t>.</w:t>
      </w:r>
      <w:r w:rsidRPr="000C0F01">
        <w:rPr>
          <w:rFonts w:asciiTheme="minorHAnsi" w:hAnsiTheme="minorHAnsi" w:cstheme="minorHAnsi"/>
          <w:color w:val="333333"/>
          <w:sz w:val="14"/>
          <w:szCs w:val="14"/>
          <w:shd w:val="clear" w:color="auto" w:fill="FFFFFF"/>
        </w:rPr>
        <w:t>60</w:t>
      </w:r>
    </w:p>
  </w:footnote>
  <w:footnote w:id="10">
    <w:p w14:paraId="343F55BF" w14:textId="77777777" w:rsidR="00E67AC8" w:rsidRPr="000C0F01" w:rsidRDefault="00E67AC8" w:rsidP="00E67AC8">
      <w:pPr>
        <w:pStyle w:val="FootnoteText"/>
        <w:rPr>
          <w:rFonts w:asciiTheme="minorHAnsi" w:hAnsiTheme="minorHAnsi" w:cstheme="minorHAnsi"/>
          <w:sz w:val="14"/>
          <w:szCs w:val="14"/>
        </w:rPr>
      </w:pPr>
      <w:r w:rsidRPr="000C0F01">
        <w:rPr>
          <w:rStyle w:val="FootnoteReference"/>
          <w:rFonts w:asciiTheme="minorHAnsi" w:hAnsiTheme="minorHAnsi" w:cstheme="minorHAnsi"/>
          <w:sz w:val="14"/>
          <w:szCs w:val="14"/>
        </w:rPr>
        <w:footnoteRef/>
      </w:r>
      <w:r w:rsidRPr="000C0F01">
        <w:rPr>
          <w:rFonts w:asciiTheme="minorHAnsi" w:hAnsiTheme="minorHAnsi" w:cstheme="minorHAnsi"/>
          <w:sz w:val="14"/>
          <w:szCs w:val="14"/>
        </w:rPr>
        <w:t xml:space="preserve"> Social Innovation Research Institute, Swinburne University (2020). </w:t>
      </w:r>
      <w:hyperlink r:id="rId9" w:history="1">
        <w:r w:rsidRPr="000C0F01">
          <w:rPr>
            <w:rStyle w:val="Hyperlink"/>
            <w:rFonts w:asciiTheme="minorHAnsi" w:hAnsiTheme="minorHAnsi" w:cstheme="minorHAnsi"/>
            <w:sz w:val="14"/>
            <w:szCs w:val="14"/>
          </w:rPr>
          <w:t>Improving the digital inclusion of older Australians</w:t>
        </w:r>
      </w:hyperlink>
    </w:p>
  </w:footnote>
  <w:footnote w:id="11">
    <w:p w14:paraId="7CC94578" w14:textId="77777777" w:rsidR="00E67AC8" w:rsidRPr="000C0F01" w:rsidRDefault="00E67AC8" w:rsidP="00E67AC8">
      <w:pPr>
        <w:pStyle w:val="FootnoteText"/>
        <w:rPr>
          <w:sz w:val="14"/>
          <w:szCs w:val="14"/>
        </w:rPr>
      </w:pPr>
      <w:r w:rsidRPr="000C0F01">
        <w:rPr>
          <w:rStyle w:val="FootnoteReference"/>
          <w:sz w:val="14"/>
          <w:szCs w:val="14"/>
        </w:rPr>
        <w:footnoteRef/>
      </w:r>
      <w:r w:rsidRPr="000C0F01">
        <w:rPr>
          <w:sz w:val="14"/>
          <w:szCs w:val="14"/>
        </w:rPr>
        <w:t xml:space="preserve"> </w:t>
      </w:r>
      <w:r>
        <w:rPr>
          <w:sz w:val="14"/>
          <w:szCs w:val="14"/>
        </w:rPr>
        <w:t xml:space="preserve">Australian Bureau of Statistics (2020) </w:t>
      </w:r>
      <w:hyperlink r:id="rId10" w:history="1">
        <w:r w:rsidRPr="000C0F01">
          <w:rPr>
            <w:rStyle w:val="Hyperlink"/>
            <w:sz w:val="14"/>
            <w:szCs w:val="14"/>
          </w:rPr>
          <w:t>Use of information technology by people with disability, older people and primary carer</w:t>
        </w:r>
      </w:hyperlink>
      <w:r w:rsidRPr="000C0F01">
        <w:rPr>
          <w:sz w:val="14"/>
          <w:szCs w:val="14"/>
        </w:rPr>
        <w:t xml:space="preserve">s </w:t>
      </w:r>
    </w:p>
  </w:footnote>
  <w:footnote w:id="12">
    <w:p w14:paraId="507AF891" w14:textId="77777777" w:rsidR="00E67AC8" w:rsidRPr="000C0F01" w:rsidRDefault="00E67AC8" w:rsidP="00E67AC8">
      <w:pPr>
        <w:pStyle w:val="FootnoteText"/>
        <w:rPr>
          <w:rFonts w:asciiTheme="minorHAnsi" w:hAnsiTheme="minorHAnsi" w:cstheme="minorHAnsi"/>
          <w:sz w:val="14"/>
          <w:szCs w:val="14"/>
        </w:rPr>
      </w:pPr>
      <w:r w:rsidRPr="000C0F01">
        <w:rPr>
          <w:rStyle w:val="FootnoteReference"/>
          <w:rFonts w:asciiTheme="minorHAnsi" w:hAnsiTheme="minorHAnsi" w:cstheme="minorHAnsi"/>
          <w:sz w:val="14"/>
          <w:szCs w:val="14"/>
        </w:rPr>
        <w:footnoteRef/>
      </w:r>
      <w:r w:rsidRPr="000C0F01">
        <w:rPr>
          <w:rFonts w:asciiTheme="minorHAnsi" w:hAnsiTheme="minorHAnsi" w:cstheme="minorHAnsi"/>
          <w:sz w:val="14"/>
          <w:szCs w:val="14"/>
        </w:rPr>
        <w:t xml:space="preserve"> </w:t>
      </w:r>
      <w:r w:rsidRPr="000C0F01">
        <w:rPr>
          <w:rFonts w:asciiTheme="minorHAnsi" w:hAnsiTheme="minorHAnsi" w:cstheme="minorHAnsi"/>
          <w:sz w:val="14"/>
          <w:szCs w:val="14"/>
          <w:shd w:val="clear" w:color="auto" w:fill="FFFFFF"/>
        </w:rPr>
        <w:t>World Health Organization (‎2007)‎. </w:t>
      </w:r>
      <w:hyperlink r:id="rId11" w:history="1">
        <w:r w:rsidRPr="000C0F01">
          <w:rPr>
            <w:rStyle w:val="Hyperlink"/>
            <w:rFonts w:asciiTheme="minorHAnsi" w:hAnsiTheme="minorHAnsi" w:cstheme="minorHAnsi"/>
            <w:sz w:val="14"/>
            <w:szCs w:val="14"/>
            <w:shd w:val="clear" w:color="auto" w:fill="FFFFFF"/>
          </w:rPr>
          <w:t>Global age-friendly cities: a guide</w:t>
        </w:r>
      </w:hyperlink>
      <w:r w:rsidRPr="000C0F01">
        <w:rPr>
          <w:rFonts w:asciiTheme="minorHAnsi" w:hAnsiTheme="minorHAnsi" w:cstheme="minorHAnsi"/>
          <w:color w:val="333333"/>
          <w:sz w:val="14"/>
          <w:szCs w:val="14"/>
          <w:shd w:val="clear" w:color="auto" w:fill="FFFFFF"/>
        </w:rPr>
        <w:t>, p63</w:t>
      </w:r>
    </w:p>
  </w:footnote>
  <w:footnote w:id="13">
    <w:p w14:paraId="45EF9F3F" w14:textId="77777777" w:rsidR="00622C9E" w:rsidRDefault="00622C9E" w:rsidP="00622C9E">
      <w:pPr>
        <w:pStyle w:val="FootnoteText"/>
      </w:pPr>
      <w:r>
        <w:rPr>
          <w:rStyle w:val="FootnoteReference"/>
        </w:rPr>
        <w:footnoteRef/>
      </w:r>
      <w:r>
        <w:t xml:space="preserve"> </w:t>
      </w:r>
      <w:r w:rsidRPr="000C0F01">
        <w:rPr>
          <w:sz w:val="14"/>
          <w:szCs w:val="14"/>
        </w:rPr>
        <w:t xml:space="preserve">Australian Bureau of Statistics </w:t>
      </w:r>
      <w:r>
        <w:rPr>
          <w:sz w:val="14"/>
          <w:szCs w:val="14"/>
        </w:rPr>
        <w:t>(</w:t>
      </w:r>
      <w:r w:rsidRPr="000C0F01">
        <w:rPr>
          <w:sz w:val="14"/>
          <w:szCs w:val="14"/>
        </w:rPr>
        <w:t>2021</w:t>
      </w:r>
      <w:r>
        <w:rPr>
          <w:sz w:val="14"/>
          <w:szCs w:val="14"/>
        </w:rPr>
        <w:t xml:space="preserve">) </w:t>
      </w:r>
      <w:hyperlink r:id="rId12" w:history="1">
        <w:r w:rsidRPr="000C0F01">
          <w:rPr>
            <w:rStyle w:val="Hyperlink"/>
            <w:sz w:val="14"/>
            <w:szCs w:val="14"/>
          </w:rPr>
          <w:t>Household and families: Census</w:t>
        </w:r>
      </w:hyperlink>
      <w:r w:rsidRPr="000C0F01">
        <w:rPr>
          <w:sz w:val="14"/>
          <w:szCs w:val="14"/>
        </w:rPr>
        <w:t xml:space="preserve"> (Australian Bureau of Statistics 2021)</w:t>
      </w:r>
    </w:p>
  </w:footnote>
  <w:footnote w:id="14">
    <w:p w14:paraId="14BCFC32" w14:textId="77777777" w:rsidR="00622C9E" w:rsidRPr="000C0F01" w:rsidRDefault="00622C9E" w:rsidP="00622C9E">
      <w:pPr>
        <w:pStyle w:val="FootnoteText"/>
        <w:rPr>
          <w:sz w:val="14"/>
          <w:szCs w:val="14"/>
        </w:rPr>
      </w:pPr>
      <w:r w:rsidRPr="000C0F01">
        <w:rPr>
          <w:rStyle w:val="FootnoteReference"/>
          <w:sz w:val="14"/>
          <w:szCs w:val="14"/>
        </w:rPr>
        <w:footnoteRef/>
      </w:r>
      <w:r w:rsidRPr="000C0F01">
        <w:rPr>
          <w:sz w:val="14"/>
          <w:szCs w:val="14"/>
        </w:rPr>
        <w:t xml:space="preserve"> Australian Institute of Health and Welfare (2019), </w:t>
      </w:r>
      <w:hyperlink r:id="rId13" w:history="1">
        <w:r w:rsidRPr="00600397">
          <w:rPr>
            <w:rStyle w:val="Hyperlink"/>
            <w:sz w:val="14"/>
            <w:szCs w:val="14"/>
          </w:rPr>
          <w:t>Volunteers</w:t>
        </w:r>
      </w:hyperlink>
    </w:p>
  </w:footnote>
  <w:footnote w:id="15">
    <w:p w14:paraId="3123C881" w14:textId="77777777" w:rsidR="00622C9E" w:rsidRPr="000C0F01" w:rsidRDefault="00622C9E" w:rsidP="00622C9E">
      <w:pPr>
        <w:pStyle w:val="FootnoteText"/>
        <w:rPr>
          <w:sz w:val="14"/>
          <w:szCs w:val="14"/>
        </w:rPr>
      </w:pPr>
      <w:r w:rsidRPr="000C0F01">
        <w:rPr>
          <w:rStyle w:val="FootnoteReference"/>
          <w:sz w:val="14"/>
          <w:szCs w:val="14"/>
        </w:rPr>
        <w:footnoteRef/>
      </w:r>
      <w:r w:rsidRPr="000C0F01">
        <w:rPr>
          <w:sz w:val="14"/>
          <w:szCs w:val="14"/>
        </w:rPr>
        <w:t xml:space="preserve"> </w:t>
      </w:r>
      <w:r w:rsidRPr="000C0F01">
        <w:rPr>
          <w:rFonts w:asciiTheme="minorHAnsi" w:hAnsiTheme="minorHAnsi" w:cstheme="minorHAnsi"/>
          <w:sz w:val="14"/>
          <w:szCs w:val="14"/>
          <w:shd w:val="clear" w:color="auto" w:fill="FFFFFF"/>
        </w:rPr>
        <w:t>World Health Organization (‎2007)‎. </w:t>
      </w:r>
      <w:hyperlink r:id="rId14" w:history="1">
        <w:r w:rsidRPr="000C0F01">
          <w:rPr>
            <w:rStyle w:val="Hyperlink"/>
            <w:rFonts w:asciiTheme="minorHAnsi" w:hAnsiTheme="minorHAnsi" w:cstheme="minorHAnsi"/>
            <w:sz w:val="14"/>
            <w:szCs w:val="14"/>
            <w:shd w:val="clear" w:color="auto" w:fill="FFFFFF"/>
          </w:rPr>
          <w:t>Global age-friendly cities: a guide</w:t>
        </w:r>
      </w:hyperlink>
      <w:r w:rsidRPr="000C0F01">
        <w:rPr>
          <w:rFonts w:asciiTheme="minorHAnsi" w:hAnsiTheme="minorHAnsi" w:cstheme="minorHAnsi"/>
          <w:color w:val="333333"/>
          <w:sz w:val="14"/>
          <w:szCs w:val="14"/>
          <w:shd w:val="clear" w:color="auto" w:fill="FFFFFF"/>
        </w:rPr>
        <w:t>, p38</w:t>
      </w:r>
    </w:p>
  </w:footnote>
  <w:footnote w:id="16">
    <w:p w14:paraId="6A11684A" w14:textId="6A08636E" w:rsidR="007361EE" w:rsidRDefault="007361EE">
      <w:pPr>
        <w:pStyle w:val="FootnoteText"/>
      </w:pPr>
      <w:r>
        <w:rPr>
          <w:rStyle w:val="FootnoteReference"/>
        </w:rPr>
        <w:footnoteRef/>
      </w:r>
      <w:r>
        <w:t xml:space="preserve"> </w:t>
      </w:r>
      <w:r w:rsidRPr="007361EE">
        <w:rPr>
          <w:sz w:val="14"/>
          <w:szCs w:val="14"/>
        </w:rPr>
        <w:t xml:space="preserve">Australian Bureau of Statistics </w:t>
      </w:r>
      <w:r w:rsidR="008335BB">
        <w:rPr>
          <w:sz w:val="14"/>
          <w:szCs w:val="14"/>
        </w:rPr>
        <w:t>(</w:t>
      </w:r>
      <w:r w:rsidRPr="007361EE">
        <w:rPr>
          <w:sz w:val="14"/>
          <w:szCs w:val="14"/>
        </w:rPr>
        <w:t>2021)</w:t>
      </w:r>
      <w:r w:rsidR="008335BB">
        <w:rPr>
          <w:sz w:val="14"/>
          <w:szCs w:val="14"/>
        </w:rPr>
        <w:t xml:space="preserve">. </w:t>
      </w:r>
      <w:hyperlink r:id="rId15" w:history="1">
        <w:r w:rsidR="008335BB" w:rsidRPr="007361EE">
          <w:rPr>
            <w:rStyle w:val="Hyperlink"/>
            <w:sz w:val="14"/>
            <w:szCs w:val="14"/>
          </w:rPr>
          <w:t>Household and families: Census</w:t>
        </w:r>
      </w:hyperlink>
    </w:p>
  </w:footnote>
  <w:footnote w:id="17">
    <w:p w14:paraId="1912D26D" w14:textId="77777777" w:rsidR="00BE7E40" w:rsidRPr="000960D7" w:rsidRDefault="00BE7E40" w:rsidP="00BE7E40">
      <w:pPr>
        <w:pStyle w:val="FootnoteText"/>
        <w:rPr>
          <w:sz w:val="14"/>
          <w:szCs w:val="14"/>
        </w:rPr>
      </w:pPr>
      <w:r w:rsidRPr="000960D7">
        <w:rPr>
          <w:rStyle w:val="FootnoteReference"/>
          <w:sz w:val="14"/>
          <w:szCs w:val="14"/>
        </w:rPr>
        <w:footnoteRef/>
      </w:r>
      <w:r w:rsidRPr="000960D7">
        <w:rPr>
          <w:sz w:val="14"/>
          <w:szCs w:val="14"/>
        </w:rPr>
        <w:t xml:space="preserve"> Head to Health (2019) </w:t>
      </w:r>
      <w:hyperlink r:id="rId16" w:anchor=":~:text=Being%20part%20of%20a%20community%20can%20have%20a,offer%20extra%20meaning%20and%20purpose%20to%20everyday%20life." w:history="1">
        <w:r w:rsidRPr="000960D7">
          <w:rPr>
            <w:rStyle w:val="Hyperlink"/>
            <w:sz w:val="14"/>
            <w:szCs w:val="14"/>
          </w:rPr>
          <w:t>Connecting with community</w:t>
        </w:r>
      </w:hyperlink>
    </w:p>
  </w:footnote>
  <w:footnote w:id="18">
    <w:p w14:paraId="021F4DAF" w14:textId="77777777" w:rsidR="00BE7E40" w:rsidRPr="000C0F01" w:rsidRDefault="00BE7E40" w:rsidP="00BE7E40">
      <w:pPr>
        <w:pStyle w:val="FootnoteText"/>
        <w:rPr>
          <w:sz w:val="14"/>
          <w:szCs w:val="14"/>
        </w:rPr>
      </w:pPr>
      <w:r w:rsidRPr="000C0F01">
        <w:rPr>
          <w:rStyle w:val="FootnoteReference"/>
          <w:sz w:val="14"/>
          <w:szCs w:val="14"/>
        </w:rPr>
        <w:footnoteRef/>
      </w:r>
      <w:r w:rsidRPr="000C0F01">
        <w:rPr>
          <w:sz w:val="14"/>
          <w:szCs w:val="14"/>
        </w:rPr>
        <w:t xml:space="preserve"> Beer A, Faulkner D, Law J, Lewin G, Tinker A, Buys Let al. </w:t>
      </w:r>
      <w:r>
        <w:rPr>
          <w:sz w:val="14"/>
          <w:szCs w:val="14"/>
        </w:rPr>
        <w:t>(</w:t>
      </w:r>
      <w:r w:rsidRPr="000C0F01">
        <w:rPr>
          <w:sz w:val="14"/>
          <w:szCs w:val="14"/>
        </w:rPr>
        <w:t>2016</w:t>
      </w:r>
      <w:r>
        <w:rPr>
          <w:sz w:val="14"/>
          <w:szCs w:val="14"/>
        </w:rPr>
        <w:t>)</w:t>
      </w:r>
      <w:r w:rsidRPr="000C0F01">
        <w:rPr>
          <w:sz w:val="14"/>
          <w:szCs w:val="14"/>
        </w:rPr>
        <w:t xml:space="preserve">. </w:t>
      </w:r>
      <w:hyperlink r:id="rId17" w:history="1">
        <w:r w:rsidRPr="000C0F01">
          <w:rPr>
            <w:rStyle w:val="Hyperlink"/>
            <w:sz w:val="14"/>
            <w:szCs w:val="14"/>
          </w:rPr>
          <w:t>Regional variation in social isolation amongst older Australians</w:t>
        </w:r>
      </w:hyperlink>
      <w:r w:rsidRPr="000C0F01">
        <w:rPr>
          <w:sz w:val="14"/>
          <w:szCs w:val="14"/>
        </w:rPr>
        <w:t xml:space="preserve">. </w:t>
      </w:r>
      <w:r w:rsidRPr="00E006E2">
        <w:rPr>
          <w:i/>
          <w:sz w:val="14"/>
          <w:szCs w:val="14"/>
        </w:rPr>
        <w:t>Regional Studies, Regional Science</w:t>
      </w:r>
      <w:r w:rsidRPr="000C0F01">
        <w:rPr>
          <w:sz w:val="14"/>
          <w:szCs w:val="14"/>
        </w:rPr>
        <w:t xml:space="preserve"> 3: 170-84.</w:t>
      </w:r>
    </w:p>
  </w:footnote>
  <w:footnote w:id="19">
    <w:p w14:paraId="2B2D8221" w14:textId="77777777" w:rsidR="00DD4195" w:rsidRPr="000C0F01" w:rsidRDefault="00DD4195" w:rsidP="00DD4195">
      <w:pPr>
        <w:pStyle w:val="FootnoteText"/>
        <w:rPr>
          <w:sz w:val="14"/>
          <w:szCs w:val="14"/>
        </w:rPr>
      </w:pPr>
      <w:r w:rsidRPr="000C0F01">
        <w:rPr>
          <w:rStyle w:val="FootnoteReference"/>
          <w:sz w:val="14"/>
          <w:szCs w:val="14"/>
        </w:rPr>
        <w:footnoteRef/>
      </w:r>
      <w:r w:rsidRPr="000C0F01">
        <w:rPr>
          <w:sz w:val="14"/>
          <w:szCs w:val="14"/>
        </w:rPr>
        <w:t xml:space="preserve"> </w:t>
      </w:r>
      <w:r w:rsidRPr="000C0F01">
        <w:rPr>
          <w:rFonts w:asciiTheme="minorHAnsi" w:hAnsiTheme="minorHAnsi" w:cstheme="minorHAnsi"/>
          <w:color w:val="333333"/>
          <w:sz w:val="14"/>
          <w:szCs w:val="14"/>
          <w:shd w:val="clear" w:color="auto" w:fill="FFFFFF"/>
        </w:rPr>
        <w:t xml:space="preserve">IPS Management Consultants for the Department of Communities </w:t>
      </w:r>
      <w:r>
        <w:rPr>
          <w:rFonts w:asciiTheme="minorHAnsi" w:hAnsiTheme="minorHAnsi" w:cstheme="minorHAnsi"/>
          <w:color w:val="333333"/>
          <w:sz w:val="14"/>
          <w:szCs w:val="14"/>
          <w:shd w:val="clear" w:color="auto" w:fill="FFFFFF"/>
        </w:rPr>
        <w:t>(</w:t>
      </w:r>
      <w:r w:rsidRPr="000C0F01">
        <w:rPr>
          <w:rFonts w:asciiTheme="minorHAnsi" w:hAnsiTheme="minorHAnsi" w:cstheme="minorHAnsi"/>
          <w:color w:val="333333"/>
          <w:sz w:val="14"/>
          <w:szCs w:val="14"/>
          <w:shd w:val="clear" w:color="auto" w:fill="FFFFFF"/>
        </w:rPr>
        <w:t>2022</w:t>
      </w:r>
      <w:r>
        <w:rPr>
          <w:rFonts w:asciiTheme="minorHAnsi" w:hAnsiTheme="minorHAnsi" w:cstheme="minorHAnsi"/>
          <w:color w:val="333333"/>
          <w:sz w:val="14"/>
          <w:szCs w:val="14"/>
          <w:shd w:val="clear" w:color="auto" w:fill="FFFFFF"/>
        </w:rPr>
        <w:t xml:space="preserve">). </w:t>
      </w:r>
      <w:r w:rsidRPr="000C0F01">
        <w:rPr>
          <w:rFonts w:asciiTheme="minorHAnsi" w:hAnsiTheme="minorHAnsi" w:cstheme="minorHAnsi"/>
          <w:color w:val="333333"/>
          <w:sz w:val="14"/>
          <w:szCs w:val="14"/>
          <w:shd w:val="clear" w:color="auto" w:fill="FFFFFF"/>
        </w:rPr>
        <w:t>WA Seniors Strategy Consultation Summary 2022</w:t>
      </w:r>
    </w:p>
  </w:footnote>
  <w:footnote w:id="20">
    <w:p w14:paraId="7AF02DCC" w14:textId="77777777" w:rsidR="00217AE0" w:rsidRDefault="00217AE0" w:rsidP="00217AE0">
      <w:pPr>
        <w:pStyle w:val="FootnoteText"/>
      </w:pPr>
      <w:r>
        <w:rPr>
          <w:rStyle w:val="FootnoteReference"/>
        </w:rPr>
        <w:footnoteRef/>
      </w:r>
      <w:r>
        <w:t xml:space="preserve"> </w:t>
      </w:r>
      <w:r w:rsidRPr="000C0F01">
        <w:rPr>
          <w:rFonts w:asciiTheme="minorHAnsi" w:hAnsiTheme="minorHAnsi" w:cstheme="minorHAnsi"/>
          <w:sz w:val="14"/>
          <w:szCs w:val="14"/>
          <w:shd w:val="clear" w:color="auto" w:fill="FFFFFF"/>
        </w:rPr>
        <w:t>World Health Organization (‎2007)‎. </w:t>
      </w:r>
      <w:hyperlink r:id="rId18" w:history="1">
        <w:r w:rsidRPr="000C0F01">
          <w:rPr>
            <w:rStyle w:val="Hyperlink"/>
            <w:rFonts w:asciiTheme="minorHAnsi" w:hAnsiTheme="minorHAnsi" w:cstheme="minorHAnsi"/>
            <w:sz w:val="14"/>
            <w:szCs w:val="14"/>
            <w:shd w:val="clear" w:color="auto" w:fill="FFFFFF"/>
          </w:rPr>
          <w:t>Global age-friendly cities: a guide</w:t>
        </w:r>
      </w:hyperlink>
      <w:r w:rsidRPr="000C0F01">
        <w:rPr>
          <w:rFonts w:asciiTheme="minorHAnsi" w:hAnsiTheme="minorHAnsi" w:cstheme="minorHAnsi"/>
          <w:color w:val="333333"/>
          <w:sz w:val="14"/>
          <w:szCs w:val="14"/>
          <w:shd w:val="clear" w:color="auto" w:fill="FFFFFF"/>
        </w:rPr>
        <w:t>, p</w:t>
      </w:r>
      <w:r>
        <w:rPr>
          <w:rFonts w:asciiTheme="minorHAnsi" w:hAnsiTheme="minorHAnsi" w:cstheme="minorHAnsi"/>
          <w:color w:val="333333"/>
          <w:sz w:val="14"/>
          <w:szCs w:val="14"/>
          <w:shd w:val="clear" w:color="auto" w:fill="FFFFFF"/>
        </w:rPr>
        <w:t>51</w:t>
      </w:r>
    </w:p>
  </w:footnote>
  <w:footnote w:id="21">
    <w:p w14:paraId="4E0766A8" w14:textId="77777777" w:rsidR="00674C7F" w:rsidRDefault="00674C7F" w:rsidP="00674C7F">
      <w:pPr>
        <w:pStyle w:val="FootnoteText"/>
      </w:pPr>
      <w:r>
        <w:rPr>
          <w:rStyle w:val="FootnoteReference"/>
        </w:rPr>
        <w:footnoteRef/>
      </w:r>
      <w:r>
        <w:t xml:space="preserve"> </w:t>
      </w:r>
      <w:r w:rsidRPr="000C0F01">
        <w:rPr>
          <w:rFonts w:asciiTheme="minorHAnsi" w:hAnsiTheme="minorHAnsi" w:cstheme="minorHAnsi"/>
          <w:color w:val="333333"/>
          <w:sz w:val="14"/>
          <w:szCs w:val="14"/>
          <w:shd w:val="clear" w:color="auto" w:fill="FFFFFF"/>
        </w:rPr>
        <w:t xml:space="preserve">IPS Management Consultants for the Department of Communities </w:t>
      </w:r>
      <w:r>
        <w:rPr>
          <w:rFonts w:asciiTheme="minorHAnsi" w:hAnsiTheme="minorHAnsi" w:cstheme="minorHAnsi"/>
          <w:color w:val="333333"/>
          <w:sz w:val="14"/>
          <w:szCs w:val="14"/>
          <w:shd w:val="clear" w:color="auto" w:fill="FFFFFF"/>
        </w:rPr>
        <w:t>(</w:t>
      </w:r>
      <w:r w:rsidRPr="000C0F01">
        <w:rPr>
          <w:rFonts w:asciiTheme="minorHAnsi" w:hAnsiTheme="minorHAnsi" w:cstheme="minorHAnsi"/>
          <w:color w:val="333333"/>
          <w:sz w:val="14"/>
          <w:szCs w:val="14"/>
          <w:shd w:val="clear" w:color="auto" w:fill="FFFFFF"/>
        </w:rPr>
        <w:t>2022</w:t>
      </w:r>
      <w:r>
        <w:rPr>
          <w:rFonts w:asciiTheme="minorHAnsi" w:hAnsiTheme="minorHAnsi" w:cstheme="minorHAnsi"/>
          <w:color w:val="333333"/>
          <w:sz w:val="14"/>
          <w:szCs w:val="14"/>
          <w:shd w:val="clear" w:color="auto" w:fill="FFFFFF"/>
        </w:rPr>
        <w:t xml:space="preserve">). </w:t>
      </w:r>
      <w:r w:rsidRPr="000C0F01">
        <w:rPr>
          <w:rFonts w:asciiTheme="minorHAnsi" w:hAnsiTheme="minorHAnsi" w:cstheme="minorHAnsi"/>
          <w:color w:val="333333"/>
          <w:sz w:val="14"/>
          <w:szCs w:val="14"/>
          <w:shd w:val="clear" w:color="auto" w:fill="FFFFFF"/>
        </w:rPr>
        <w:t>WA Seniors Strategy Consultation Summary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5E45D062" w:rsidR="000F085D" w:rsidRPr="008C68A9" w:rsidRDefault="00C87CBF" w:rsidP="00FB72FA">
    <w:pPr>
      <w:pStyle w:val="Header"/>
      <w:spacing w:before="568"/>
      <w:rPr>
        <w:rStyle w:val="Bold"/>
        <w:rFonts w:ascii="Arial" w:hAnsi="Arial" w:cs="Arial"/>
        <w:b w:val="0"/>
        <w:bCs w:val="0"/>
      </w:rPr>
    </w:pPr>
    <w:r>
      <w:rPr>
        <w:rStyle w:val="Bold"/>
        <w:rFonts w:ascii="Arial" w:hAnsi="Arial" w:cs="Arial"/>
        <w:b w:val="0"/>
        <w:bCs w:val="0"/>
      </w:rPr>
      <w:t xml:space="preserve">WA Seniors Strategy </w:t>
    </w:r>
    <w:r w:rsidR="004A66E0">
      <w:rPr>
        <w:rStyle w:val="Bold"/>
        <w:rFonts w:ascii="Arial" w:hAnsi="Arial" w:cs="Arial"/>
        <w:b w:val="0"/>
        <w:bCs w:val="0"/>
      </w:rPr>
      <w:t xml:space="preserve">2023-2033 </w:t>
    </w:r>
    <w:r>
      <w:rPr>
        <w:rStyle w:val="Bold"/>
        <w:rFonts w:ascii="Arial" w:hAnsi="Arial" w:cs="Arial"/>
        <w:b w:val="0"/>
        <w:bCs w:val="0"/>
      </w:rPr>
      <w:t xml:space="preserve">| </w:t>
    </w:r>
    <w:r w:rsidR="004A66E0">
      <w:rPr>
        <w:rStyle w:val="Bold"/>
        <w:rFonts w:ascii="Arial" w:hAnsi="Arial" w:cs="Arial"/>
        <w:b w:val="0"/>
        <w:bCs w:val="0"/>
      </w:rPr>
      <w:t>Consultation: draft vision, pillars and key focus areas</w:t>
    </w:r>
  </w:p>
  <w:p w14:paraId="31774F3F" w14:textId="77777777" w:rsidR="000F085D" w:rsidRPr="00455F4B" w:rsidRDefault="003677D1"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9AC4" w14:textId="77777777" w:rsidR="001A0AF6" w:rsidRDefault="001A0AF6" w:rsidP="001A0AF6">
    <w:pPr>
      <w:pStyle w:val="nospace"/>
      <w:ind w:left="-1134"/>
    </w:pPr>
    <w:r>
      <w:rPr>
        <w:noProof/>
        <w:lang w:eastAsia="en-AU"/>
      </w:rPr>
      <w:drawing>
        <wp:inline distT="0" distB="0" distL="0" distR="0" wp14:anchorId="095EE9F9" wp14:editId="1942A6D6">
          <wp:extent cx="7558088" cy="1438475"/>
          <wp:effectExtent l="0" t="0" r="5080" b="9525"/>
          <wp:docPr id="14" name="Picture 1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088" cy="1438475"/>
                  </a:xfrm>
                  <a:prstGeom prst="rect">
                    <a:avLst/>
                  </a:prstGeom>
                  <a:noFill/>
                  <a:ln>
                    <a:noFill/>
                  </a:ln>
                </pic:spPr>
              </pic:pic>
            </a:graphicData>
          </a:graphic>
        </wp:inline>
      </w:drawing>
    </w:r>
  </w:p>
  <w:p w14:paraId="6F930ED6" w14:textId="00510E1A" w:rsidR="006E12FE" w:rsidRPr="001A0AF6" w:rsidRDefault="006E12FE" w:rsidP="001A0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8B4"/>
    <w:multiLevelType w:val="hybridMultilevel"/>
    <w:tmpl w:val="BE1E2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 w15:restartNumberingAfterBreak="0">
    <w:nsid w:val="402922E1"/>
    <w:multiLevelType w:val="multilevel"/>
    <w:tmpl w:val="A3E03160"/>
    <w:lvl w:ilvl="0">
      <w:start w:val="1"/>
      <w:numFmt w:val="bullet"/>
      <w:pStyle w:val="Bullet1"/>
      <w:lvlText w:val=""/>
      <w:lvlJc w:val="left"/>
      <w:pPr>
        <w:ind w:left="714" w:hanging="357"/>
      </w:pPr>
      <w:rPr>
        <w:rFonts w:ascii="Symbol" w:hAnsi="Symbol" w:hint="default"/>
        <w:color w:val="auto"/>
      </w:rPr>
    </w:lvl>
    <w:lvl w:ilvl="1">
      <w:start w:val="1"/>
      <w:numFmt w:val="bullet"/>
      <w:lvlText w:val="o"/>
      <w:lvlJc w:val="left"/>
      <w:pPr>
        <w:ind w:left="1071" w:hanging="357"/>
      </w:pPr>
      <w:rPr>
        <w:rFonts w:ascii="Courier New" w:hAnsi="Courier New"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hint="default"/>
      </w:rPr>
    </w:lvl>
    <w:lvl w:ilvl="8">
      <w:start w:val="1"/>
      <w:numFmt w:val="bullet"/>
      <w:lvlText w:val=""/>
      <w:lvlJc w:val="left"/>
      <w:pPr>
        <w:ind w:left="3570" w:hanging="357"/>
      </w:pPr>
      <w:rPr>
        <w:rFonts w:ascii="Wingdings" w:hAnsi="Wingdings" w:hint="default"/>
      </w:rPr>
    </w:lvl>
  </w:abstractNum>
  <w:abstractNum w:abstractNumId="3" w15:restartNumberingAfterBreak="0">
    <w:nsid w:val="53D4350F"/>
    <w:multiLevelType w:val="hybridMultilevel"/>
    <w:tmpl w:val="E1F29300"/>
    <w:lvl w:ilvl="0" w:tplc="4A42282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59A4596"/>
    <w:multiLevelType w:val="hybridMultilevel"/>
    <w:tmpl w:val="854C4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6"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762951E3"/>
    <w:multiLevelType w:val="hybridMultilevel"/>
    <w:tmpl w:val="8014E4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9B7218E"/>
    <w:multiLevelType w:val="multilevel"/>
    <w:tmpl w:val="114C1886"/>
    <w:lvl w:ilvl="0">
      <w:start w:val="1"/>
      <w:numFmt w:val="bullet"/>
      <w:pStyle w:val="Bullet"/>
      <w:lvlText w:val=""/>
      <w:lvlJc w:val="left"/>
      <w:pPr>
        <w:ind w:left="340" w:hanging="340"/>
      </w:pPr>
      <w:rPr>
        <w:rFonts w:ascii="Symbol" w:hAnsi="Symbol" w:hint="default"/>
        <w:sz w:val="16"/>
      </w:rPr>
    </w:lvl>
    <w:lvl w:ilvl="1">
      <w:start w:val="1"/>
      <w:numFmt w:val="bullet"/>
      <w:lvlText w:val=""/>
      <w:lvlJc w:val="left"/>
      <w:pPr>
        <w:ind w:left="680" w:hanging="340"/>
      </w:pPr>
      <w:rPr>
        <w:rFonts w:ascii="Symbol" w:hAnsi="Symbol" w:hint="default"/>
        <w:sz w:val="16"/>
      </w:rPr>
    </w:lvl>
    <w:lvl w:ilvl="2">
      <w:start w:val="1"/>
      <w:numFmt w:val="bullet"/>
      <w:lvlText w:val=""/>
      <w:lvlJc w:val="left"/>
      <w:pPr>
        <w:ind w:left="1021" w:hanging="341"/>
      </w:pPr>
      <w:rPr>
        <w:rFonts w:ascii="Symbol" w:hAnsi="Symbol" w:hint="default"/>
        <w:sz w:val="16"/>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8"/>
  </w:num>
  <w:num w:numId="6">
    <w:abstractNumId w:val="4"/>
  </w:num>
  <w:num w:numId="7">
    <w:abstractNumId w:val="0"/>
  </w:num>
  <w:num w:numId="8">
    <w:abstractNumId w:val="7"/>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5EC0"/>
    <w:rsid w:val="000214AD"/>
    <w:rsid w:val="00022D02"/>
    <w:rsid w:val="00025F3F"/>
    <w:rsid w:val="00026682"/>
    <w:rsid w:val="000338B3"/>
    <w:rsid w:val="000340CF"/>
    <w:rsid w:val="00034CE5"/>
    <w:rsid w:val="00044DBF"/>
    <w:rsid w:val="00047DD6"/>
    <w:rsid w:val="0005696C"/>
    <w:rsid w:val="00060292"/>
    <w:rsid w:val="00063F98"/>
    <w:rsid w:val="00064337"/>
    <w:rsid w:val="0006459B"/>
    <w:rsid w:val="00065542"/>
    <w:rsid w:val="00066CCF"/>
    <w:rsid w:val="00067CFC"/>
    <w:rsid w:val="00075D15"/>
    <w:rsid w:val="00075F81"/>
    <w:rsid w:val="00083942"/>
    <w:rsid w:val="000A443D"/>
    <w:rsid w:val="000B1741"/>
    <w:rsid w:val="000B3BDE"/>
    <w:rsid w:val="000B5EC4"/>
    <w:rsid w:val="000C45FC"/>
    <w:rsid w:val="000F085D"/>
    <w:rsid w:val="0010445F"/>
    <w:rsid w:val="00104DED"/>
    <w:rsid w:val="00110E57"/>
    <w:rsid w:val="00111D6C"/>
    <w:rsid w:val="00116BBF"/>
    <w:rsid w:val="001221FC"/>
    <w:rsid w:val="00123E91"/>
    <w:rsid w:val="00127199"/>
    <w:rsid w:val="00130FE2"/>
    <w:rsid w:val="00134169"/>
    <w:rsid w:val="00144C2C"/>
    <w:rsid w:val="0015261A"/>
    <w:rsid w:val="001644FE"/>
    <w:rsid w:val="00167608"/>
    <w:rsid w:val="00170CC9"/>
    <w:rsid w:val="00171BE1"/>
    <w:rsid w:val="00182E8A"/>
    <w:rsid w:val="0019251C"/>
    <w:rsid w:val="001960EE"/>
    <w:rsid w:val="00196737"/>
    <w:rsid w:val="001A0AF6"/>
    <w:rsid w:val="001A26B1"/>
    <w:rsid w:val="001A3B37"/>
    <w:rsid w:val="001A5FFE"/>
    <w:rsid w:val="001A7E36"/>
    <w:rsid w:val="001A7E88"/>
    <w:rsid w:val="001B281A"/>
    <w:rsid w:val="001B4C4E"/>
    <w:rsid w:val="001E0EF3"/>
    <w:rsid w:val="001E7BE4"/>
    <w:rsid w:val="001E7DBE"/>
    <w:rsid w:val="00200967"/>
    <w:rsid w:val="00201B72"/>
    <w:rsid w:val="0020481B"/>
    <w:rsid w:val="00205FE3"/>
    <w:rsid w:val="002063F4"/>
    <w:rsid w:val="00217966"/>
    <w:rsid w:val="00217AE0"/>
    <w:rsid w:val="002239F5"/>
    <w:rsid w:val="00231A11"/>
    <w:rsid w:val="00235FFE"/>
    <w:rsid w:val="00240916"/>
    <w:rsid w:val="00240EE5"/>
    <w:rsid w:val="00244048"/>
    <w:rsid w:val="002455F2"/>
    <w:rsid w:val="00250CC5"/>
    <w:rsid w:val="0025755F"/>
    <w:rsid w:val="00266868"/>
    <w:rsid w:val="00267633"/>
    <w:rsid w:val="00273975"/>
    <w:rsid w:val="0027419D"/>
    <w:rsid w:val="00274526"/>
    <w:rsid w:val="00276A09"/>
    <w:rsid w:val="00276DC9"/>
    <w:rsid w:val="00277361"/>
    <w:rsid w:val="00280D8D"/>
    <w:rsid w:val="00281683"/>
    <w:rsid w:val="00291DA2"/>
    <w:rsid w:val="00292F53"/>
    <w:rsid w:val="00293BBB"/>
    <w:rsid w:val="00296266"/>
    <w:rsid w:val="00297DAD"/>
    <w:rsid w:val="002B1DC0"/>
    <w:rsid w:val="002C6CB1"/>
    <w:rsid w:val="002D19D5"/>
    <w:rsid w:val="002D50F7"/>
    <w:rsid w:val="002D57C3"/>
    <w:rsid w:val="002E1767"/>
    <w:rsid w:val="002E2C1E"/>
    <w:rsid w:val="00303094"/>
    <w:rsid w:val="003033A1"/>
    <w:rsid w:val="00306AFD"/>
    <w:rsid w:val="00314A45"/>
    <w:rsid w:val="00320C12"/>
    <w:rsid w:val="003259D2"/>
    <w:rsid w:val="00340F96"/>
    <w:rsid w:val="00353B45"/>
    <w:rsid w:val="00361825"/>
    <w:rsid w:val="00367FD9"/>
    <w:rsid w:val="003738FB"/>
    <w:rsid w:val="00374E81"/>
    <w:rsid w:val="00376E1D"/>
    <w:rsid w:val="003775E4"/>
    <w:rsid w:val="00383CAD"/>
    <w:rsid w:val="003934F8"/>
    <w:rsid w:val="00395A21"/>
    <w:rsid w:val="003A6A0A"/>
    <w:rsid w:val="003A77CE"/>
    <w:rsid w:val="003B331C"/>
    <w:rsid w:val="003B3D56"/>
    <w:rsid w:val="003B7929"/>
    <w:rsid w:val="003D5381"/>
    <w:rsid w:val="003F3CB0"/>
    <w:rsid w:val="003F3D65"/>
    <w:rsid w:val="00401D09"/>
    <w:rsid w:val="00402E0E"/>
    <w:rsid w:val="00406104"/>
    <w:rsid w:val="0041092E"/>
    <w:rsid w:val="00410A26"/>
    <w:rsid w:val="00424576"/>
    <w:rsid w:val="004255F7"/>
    <w:rsid w:val="00437E0E"/>
    <w:rsid w:val="00442C60"/>
    <w:rsid w:val="00450400"/>
    <w:rsid w:val="00451D26"/>
    <w:rsid w:val="00455F4B"/>
    <w:rsid w:val="00460708"/>
    <w:rsid w:val="00465381"/>
    <w:rsid w:val="00470B4E"/>
    <w:rsid w:val="00473FC0"/>
    <w:rsid w:val="00476D68"/>
    <w:rsid w:val="00486F21"/>
    <w:rsid w:val="00490701"/>
    <w:rsid w:val="00490918"/>
    <w:rsid w:val="00490E41"/>
    <w:rsid w:val="004935A2"/>
    <w:rsid w:val="00496F6B"/>
    <w:rsid w:val="004A3317"/>
    <w:rsid w:val="004A4094"/>
    <w:rsid w:val="004A66E0"/>
    <w:rsid w:val="004A6E9C"/>
    <w:rsid w:val="004A7973"/>
    <w:rsid w:val="004C2016"/>
    <w:rsid w:val="004D0771"/>
    <w:rsid w:val="004D546B"/>
    <w:rsid w:val="004F27B9"/>
    <w:rsid w:val="004F2E01"/>
    <w:rsid w:val="00506365"/>
    <w:rsid w:val="0051165B"/>
    <w:rsid w:val="00512C91"/>
    <w:rsid w:val="00522172"/>
    <w:rsid w:val="00530C64"/>
    <w:rsid w:val="0054188B"/>
    <w:rsid w:val="00542208"/>
    <w:rsid w:val="005463CC"/>
    <w:rsid w:val="005472A6"/>
    <w:rsid w:val="00547F32"/>
    <w:rsid w:val="005727C8"/>
    <w:rsid w:val="00573FA5"/>
    <w:rsid w:val="00575F62"/>
    <w:rsid w:val="0058054C"/>
    <w:rsid w:val="00584A89"/>
    <w:rsid w:val="00586F33"/>
    <w:rsid w:val="005A4BB7"/>
    <w:rsid w:val="005B0C0E"/>
    <w:rsid w:val="005D4D30"/>
    <w:rsid w:val="005D65D3"/>
    <w:rsid w:val="005E6C72"/>
    <w:rsid w:val="005F3DF4"/>
    <w:rsid w:val="005F46C1"/>
    <w:rsid w:val="00612F7B"/>
    <w:rsid w:val="0061676A"/>
    <w:rsid w:val="00616857"/>
    <w:rsid w:val="00617DEA"/>
    <w:rsid w:val="00622C9E"/>
    <w:rsid w:val="00625DC2"/>
    <w:rsid w:val="006340A9"/>
    <w:rsid w:val="00653107"/>
    <w:rsid w:val="00664B53"/>
    <w:rsid w:val="0066724A"/>
    <w:rsid w:val="006709A3"/>
    <w:rsid w:val="00674C7F"/>
    <w:rsid w:val="00675E8A"/>
    <w:rsid w:val="00682726"/>
    <w:rsid w:val="00685319"/>
    <w:rsid w:val="00685C3E"/>
    <w:rsid w:val="006927B0"/>
    <w:rsid w:val="00693D7A"/>
    <w:rsid w:val="00694E3F"/>
    <w:rsid w:val="006A293D"/>
    <w:rsid w:val="006A3EFF"/>
    <w:rsid w:val="006A47CD"/>
    <w:rsid w:val="006A4A71"/>
    <w:rsid w:val="006B2471"/>
    <w:rsid w:val="006B2A82"/>
    <w:rsid w:val="006B5EAF"/>
    <w:rsid w:val="006C36C8"/>
    <w:rsid w:val="006D1F87"/>
    <w:rsid w:val="006D3B1F"/>
    <w:rsid w:val="006E12FE"/>
    <w:rsid w:val="006E30CC"/>
    <w:rsid w:val="006E621C"/>
    <w:rsid w:val="006E708E"/>
    <w:rsid w:val="006F1F7D"/>
    <w:rsid w:val="006F2AAF"/>
    <w:rsid w:val="006F7711"/>
    <w:rsid w:val="00707CDD"/>
    <w:rsid w:val="0072647A"/>
    <w:rsid w:val="00732863"/>
    <w:rsid w:val="007361EE"/>
    <w:rsid w:val="00752239"/>
    <w:rsid w:val="00756C54"/>
    <w:rsid w:val="00760C36"/>
    <w:rsid w:val="00782F85"/>
    <w:rsid w:val="00787518"/>
    <w:rsid w:val="00793086"/>
    <w:rsid w:val="007A593D"/>
    <w:rsid w:val="007B0C35"/>
    <w:rsid w:val="007B51E0"/>
    <w:rsid w:val="007B6CBD"/>
    <w:rsid w:val="007C2F7A"/>
    <w:rsid w:val="007D35E5"/>
    <w:rsid w:val="007D3AD2"/>
    <w:rsid w:val="007D7A63"/>
    <w:rsid w:val="007E13D8"/>
    <w:rsid w:val="007E76EB"/>
    <w:rsid w:val="007F27D7"/>
    <w:rsid w:val="007F322D"/>
    <w:rsid w:val="007F46C1"/>
    <w:rsid w:val="007F52AF"/>
    <w:rsid w:val="007F645B"/>
    <w:rsid w:val="007F6ACC"/>
    <w:rsid w:val="007F71DE"/>
    <w:rsid w:val="008011EB"/>
    <w:rsid w:val="00805848"/>
    <w:rsid w:val="00814D66"/>
    <w:rsid w:val="008204F1"/>
    <w:rsid w:val="0082097F"/>
    <w:rsid w:val="008248DB"/>
    <w:rsid w:val="00831FB4"/>
    <w:rsid w:val="00832AD8"/>
    <w:rsid w:val="008335BB"/>
    <w:rsid w:val="008444BC"/>
    <w:rsid w:val="00847B0C"/>
    <w:rsid w:val="00852440"/>
    <w:rsid w:val="00852E36"/>
    <w:rsid w:val="00853E68"/>
    <w:rsid w:val="00855F3A"/>
    <w:rsid w:val="00856A5C"/>
    <w:rsid w:val="00860638"/>
    <w:rsid w:val="0086551B"/>
    <w:rsid w:val="00867A3D"/>
    <w:rsid w:val="00873183"/>
    <w:rsid w:val="00874663"/>
    <w:rsid w:val="00882B67"/>
    <w:rsid w:val="008876B7"/>
    <w:rsid w:val="00887D9C"/>
    <w:rsid w:val="0089264E"/>
    <w:rsid w:val="008A1A8A"/>
    <w:rsid w:val="008A32F0"/>
    <w:rsid w:val="008A67F3"/>
    <w:rsid w:val="008B0E97"/>
    <w:rsid w:val="008B18AC"/>
    <w:rsid w:val="008C7165"/>
    <w:rsid w:val="008D2060"/>
    <w:rsid w:val="008D3278"/>
    <w:rsid w:val="008D7A51"/>
    <w:rsid w:val="008E0253"/>
    <w:rsid w:val="008E04FB"/>
    <w:rsid w:val="008E4A63"/>
    <w:rsid w:val="008E713B"/>
    <w:rsid w:val="00903D09"/>
    <w:rsid w:val="00911CCA"/>
    <w:rsid w:val="00914E68"/>
    <w:rsid w:val="009240E3"/>
    <w:rsid w:val="00930B0F"/>
    <w:rsid w:val="009326C9"/>
    <w:rsid w:val="009463C4"/>
    <w:rsid w:val="0094672B"/>
    <w:rsid w:val="00946B25"/>
    <w:rsid w:val="00954CE3"/>
    <w:rsid w:val="00957898"/>
    <w:rsid w:val="009675BB"/>
    <w:rsid w:val="0097451A"/>
    <w:rsid w:val="00974ABC"/>
    <w:rsid w:val="00981199"/>
    <w:rsid w:val="00982C9B"/>
    <w:rsid w:val="00984EC9"/>
    <w:rsid w:val="009858EE"/>
    <w:rsid w:val="009912AF"/>
    <w:rsid w:val="00996C7A"/>
    <w:rsid w:val="009978E0"/>
    <w:rsid w:val="009A2C54"/>
    <w:rsid w:val="009A321C"/>
    <w:rsid w:val="009A4898"/>
    <w:rsid w:val="009B6E6F"/>
    <w:rsid w:val="009C3F73"/>
    <w:rsid w:val="009C5FC8"/>
    <w:rsid w:val="009C72E3"/>
    <w:rsid w:val="009C77C4"/>
    <w:rsid w:val="009E29AD"/>
    <w:rsid w:val="009F06B7"/>
    <w:rsid w:val="00A009AB"/>
    <w:rsid w:val="00A05BEE"/>
    <w:rsid w:val="00A12E5C"/>
    <w:rsid w:val="00A160B7"/>
    <w:rsid w:val="00A16919"/>
    <w:rsid w:val="00A2202B"/>
    <w:rsid w:val="00A307F8"/>
    <w:rsid w:val="00A36459"/>
    <w:rsid w:val="00A458CE"/>
    <w:rsid w:val="00A47B37"/>
    <w:rsid w:val="00A533CE"/>
    <w:rsid w:val="00A53902"/>
    <w:rsid w:val="00A7603E"/>
    <w:rsid w:val="00A81837"/>
    <w:rsid w:val="00A920E2"/>
    <w:rsid w:val="00A92374"/>
    <w:rsid w:val="00A93CB8"/>
    <w:rsid w:val="00AA09A5"/>
    <w:rsid w:val="00AA21EE"/>
    <w:rsid w:val="00AA43E2"/>
    <w:rsid w:val="00AA76C3"/>
    <w:rsid w:val="00AC2E25"/>
    <w:rsid w:val="00AC5E2F"/>
    <w:rsid w:val="00AC5EF0"/>
    <w:rsid w:val="00AD02B4"/>
    <w:rsid w:val="00AD6499"/>
    <w:rsid w:val="00AE7C57"/>
    <w:rsid w:val="00AE7C63"/>
    <w:rsid w:val="00AF2A42"/>
    <w:rsid w:val="00B00BFD"/>
    <w:rsid w:val="00B05729"/>
    <w:rsid w:val="00B05E21"/>
    <w:rsid w:val="00B07688"/>
    <w:rsid w:val="00B07E38"/>
    <w:rsid w:val="00B1032F"/>
    <w:rsid w:val="00B10F1A"/>
    <w:rsid w:val="00B10F1C"/>
    <w:rsid w:val="00B34F55"/>
    <w:rsid w:val="00B47064"/>
    <w:rsid w:val="00B62068"/>
    <w:rsid w:val="00B76D42"/>
    <w:rsid w:val="00B847D0"/>
    <w:rsid w:val="00B9230D"/>
    <w:rsid w:val="00B957D4"/>
    <w:rsid w:val="00BA3BE4"/>
    <w:rsid w:val="00BA7203"/>
    <w:rsid w:val="00BA7A57"/>
    <w:rsid w:val="00BB0301"/>
    <w:rsid w:val="00BB4029"/>
    <w:rsid w:val="00BB5604"/>
    <w:rsid w:val="00BC3586"/>
    <w:rsid w:val="00BC60D4"/>
    <w:rsid w:val="00BC6A6B"/>
    <w:rsid w:val="00BC77EF"/>
    <w:rsid w:val="00BD0D55"/>
    <w:rsid w:val="00BE6B0A"/>
    <w:rsid w:val="00BE7E40"/>
    <w:rsid w:val="00C061FE"/>
    <w:rsid w:val="00C13A96"/>
    <w:rsid w:val="00C15158"/>
    <w:rsid w:val="00C31977"/>
    <w:rsid w:val="00C36BA5"/>
    <w:rsid w:val="00C51A9A"/>
    <w:rsid w:val="00C61E5B"/>
    <w:rsid w:val="00C6255E"/>
    <w:rsid w:val="00C64B57"/>
    <w:rsid w:val="00C7129C"/>
    <w:rsid w:val="00C74C57"/>
    <w:rsid w:val="00C8678C"/>
    <w:rsid w:val="00C87CBF"/>
    <w:rsid w:val="00C9083F"/>
    <w:rsid w:val="00C957A5"/>
    <w:rsid w:val="00C96E01"/>
    <w:rsid w:val="00CA0C2B"/>
    <w:rsid w:val="00CA36C2"/>
    <w:rsid w:val="00CB022B"/>
    <w:rsid w:val="00CB2133"/>
    <w:rsid w:val="00CB4A25"/>
    <w:rsid w:val="00CC58EF"/>
    <w:rsid w:val="00CE383F"/>
    <w:rsid w:val="00CE466C"/>
    <w:rsid w:val="00CE7B15"/>
    <w:rsid w:val="00CF12E0"/>
    <w:rsid w:val="00D02DB6"/>
    <w:rsid w:val="00D060DB"/>
    <w:rsid w:val="00D065E5"/>
    <w:rsid w:val="00D41211"/>
    <w:rsid w:val="00D52AD9"/>
    <w:rsid w:val="00D55499"/>
    <w:rsid w:val="00D64FD2"/>
    <w:rsid w:val="00D65185"/>
    <w:rsid w:val="00D65FAF"/>
    <w:rsid w:val="00D65FEB"/>
    <w:rsid w:val="00D73D68"/>
    <w:rsid w:val="00D7481D"/>
    <w:rsid w:val="00D82252"/>
    <w:rsid w:val="00D82E5F"/>
    <w:rsid w:val="00D83976"/>
    <w:rsid w:val="00D84F90"/>
    <w:rsid w:val="00DC171A"/>
    <w:rsid w:val="00DC1884"/>
    <w:rsid w:val="00DD1E91"/>
    <w:rsid w:val="00DD4195"/>
    <w:rsid w:val="00DD5D65"/>
    <w:rsid w:val="00DD715A"/>
    <w:rsid w:val="00DE0529"/>
    <w:rsid w:val="00DF3E9D"/>
    <w:rsid w:val="00DF5732"/>
    <w:rsid w:val="00DF5ED5"/>
    <w:rsid w:val="00E02487"/>
    <w:rsid w:val="00E03756"/>
    <w:rsid w:val="00E043D0"/>
    <w:rsid w:val="00E13630"/>
    <w:rsid w:val="00E1725A"/>
    <w:rsid w:val="00E30F5C"/>
    <w:rsid w:val="00E43DDF"/>
    <w:rsid w:val="00E5020E"/>
    <w:rsid w:val="00E54EA0"/>
    <w:rsid w:val="00E5558A"/>
    <w:rsid w:val="00E57D67"/>
    <w:rsid w:val="00E60EC0"/>
    <w:rsid w:val="00E67AC8"/>
    <w:rsid w:val="00E7129A"/>
    <w:rsid w:val="00E777A0"/>
    <w:rsid w:val="00E817CE"/>
    <w:rsid w:val="00E82888"/>
    <w:rsid w:val="00E828A0"/>
    <w:rsid w:val="00E831DB"/>
    <w:rsid w:val="00E85102"/>
    <w:rsid w:val="00E943C5"/>
    <w:rsid w:val="00E96060"/>
    <w:rsid w:val="00E967AE"/>
    <w:rsid w:val="00EA04AD"/>
    <w:rsid w:val="00EA3AD0"/>
    <w:rsid w:val="00EA7FD7"/>
    <w:rsid w:val="00EB3123"/>
    <w:rsid w:val="00EB55B1"/>
    <w:rsid w:val="00EC2B8A"/>
    <w:rsid w:val="00EC2BC4"/>
    <w:rsid w:val="00EC7143"/>
    <w:rsid w:val="00ED1557"/>
    <w:rsid w:val="00ED482F"/>
    <w:rsid w:val="00ED4CB0"/>
    <w:rsid w:val="00ED6D71"/>
    <w:rsid w:val="00ED7A7E"/>
    <w:rsid w:val="00EE4916"/>
    <w:rsid w:val="00EF1A9D"/>
    <w:rsid w:val="00EF24FF"/>
    <w:rsid w:val="00EF409B"/>
    <w:rsid w:val="00EF4CEE"/>
    <w:rsid w:val="00EF51B5"/>
    <w:rsid w:val="00F00D7F"/>
    <w:rsid w:val="00F03573"/>
    <w:rsid w:val="00F129D2"/>
    <w:rsid w:val="00F132B9"/>
    <w:rsid w:val="00F13490"/>
    <w:rsid w:val="00F23285"/>
    <w:rsid w:val="00F234EF"/>
    <w:rsid w:val="00F27366"/>
    <w:rsid w:val="00F27496"/>
    <w:rsid w:val="00F31C72"/>
    <w:rsid w:val="00F35327"/>
    <w:rsid w:val="00F4073F"/>
    <w:rsid w:val="00F41E11"/>
    <w:rsid w:val="00F45017"/>
    <w:rsid w:val="00F612A9"/>
    <w:rsid w:val="00F61EFA"/>
    <w:rsid w:val="00F84799"/>
    <w:rsid w:val="00F90991"/>
    <w:rsid w:val="00FB65B2"/>
    <w:rsid w:val="00FB72FA"/>
    <w:rsid w:val="00FC0260"/>
    <w:rsid w:val="00FC0BBA"/>
    <w:rsid w:val="00FC2072"/>
    <w:rsid w:val="00FC26E0"/>
    <w:rsid w:val="00FC5966"/>
    <w:rsid w:val="00FD0D5A"/>
    <w:rsid w:val="00FD136F"/>
    <w:rsid w:val="00FD29CC"/>
    <w:rsid w:val="00FE0B92"/>
    <w:rsid w:val="00FE2EB5"/>
    <w:rsid w:val="00FE3A1C"/>
    <w:rsid w:val="00FE40E1"/>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71BE1"/>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ind w:left="714" w:hanging="357"/>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semiHidden/>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semiHidden/>
    <w:unhideWhenUsed/>
    <w:rsid w:val="006E621C"/>
    <w:pPr>
      <w:spacing w:line="240" w:lineRule="auto"/>
    </w:pPr>
    <w:rPr>
      <w:sz w:val="20"/>
      <w:szCs w:val="20"/>
    </w:rPr>
  </w:style>
  <w:style w:type="character" w:customStyle="1" w:styleId="CommentTextChar">
    <w:name w:val="Comment Text Char"/>
    <w:basedOn w:val="DefaultParagraphFont"/>
    <w:link w:val="CommentText"/>
    <w:semiHidden/>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paragraph" w:customStyle="1" w:styleId="Callout">
    <w:name w:val="Call out"/>
    <w:basedOn w:val="Normal"/>
    <w:uiPriority w:val="98"/>
    <w:qFormat/>
    <w:rsid w:val="007F27D7"/>
    <w:pPr>
      <w:pBdr>
        <w:top w:val="single" w:sz="18" w:space="4" w:color="F1C446" w:themeColor="accent5"/>
      </w:pBdr>
      <w:spacing w:line="259" w:lineRule="auto"/>
    </w:pPr>
    <w:rPr>
      <w:rFonts w:ascii="Segoe UI Semilight" w:eastAsiaTheme="minorHAnsi" w:hAnsi="Segoe UI Semilight" w:cstheme="minorBidi"/>
      <w:color w:val="59BBC8" w:themeColor="accent3"/>
      <w:kern w:val="24"/>
      <w:sz w:val="22"/>
      <w:szCs w:val="22"/>
    </w:rPr>
  </w:style>
  <w:style w:type="paragraph" w:styleId="FootnoteText">
    <w:name w:val="footnote text"/>
    <w:basedOn w:val="Normal"/>
    <w:link w:val="FootnoteTextChar"/>
    <w:uiPriority w:val="99"/>
    <w:semiHidden/>
    <w:unhideWhenUsed/>
    <w:rsid w:val="007F27D7"/>
    <w:pPr>
      <w:spacing w:after="0" w:line="240" w:lineRule="auto"/>
    </w:pPr>
    <w:rPr>
      <w:rFonts w:ascii="Segoe UI" w:eastAsiaTheme="minorHAnsi" w:hAnsi="Segoe UI" w:cstheme="minorBidi"/>
      <w:sz w:val="15"/>
      <w:szCs w:val="20"/>
    </w:rPr>
  </w:style>
  <w:style w:type="character" w:customStyle="1" w:styleId="FootnoteTextChar">
    <w:name w:val="Footnote Text Char"/>
    <w:basedOn w:val="DefaultParagraphFont"/>
    <w:link w:val="FootnoteText"/>
    <w:uiPriority w:val="99"/>
    <w:semiHidden/>
    <w:rsid w:val="007F27D7"/>
    <w:rPr>
      <w:rFonts w:ascii="Segoe UI" w:eastAsiaTheme="minorHAnsi" w:hAnsi="Segoe UI" w:cstheme="minorBidi"/>
      <w:sz w:val="15"/>
      <w:szCs w:val="20"/>
    </w:rPr>
  </w:style>
  <w:style w:type="character" w:styleId="FootnoteReference">
    <w:name w:val="footnote reference"/>
    <w:basedOn w:val="DefaultParagraphFont"/>
    <w:uiPriority w:val="99"/>
    <w:unhideWhenUsed/>
    <w:rsid w:val="007F27D7"/>
    <w:rPr>
      <w:vertAlign w:val="superscript"/>
    </w:rPr>
  </w:style>
  <w:style w:type="paragraph" w:customStyle="1" w:styleId="Bullet">
    <w:name w:val="Bullet"/>
    <w:basedOn w:val="Normal"/>
    <w:link w:val="BulletChar"/>
    <w:uiPriority w:val="2"/>
    <w:qFormat/>
    <w:rsid w:val="00C7129C"/>
    <w:pPr>
      <w:numPr>
        <w:numId w:val="5"/>
      </w:numPr>
      <w:suppressAutoHyphens/>
      <w:spacing w:line="259" w:lineRule="auto"/>
    </w:pPr>
    <w:rPr>
      <w:rFonts w:ascii="Segoe UI" w:eastAsia="Times New Roman" w:hAnsi="Segoe UI"/>
      <w:sz w:val="19"/>
      <w:szCs w:val="19"/>
      <w:lang w:eastAsia="en-AU"/>
    </w:rPr>
  </w:style>
  <w:style w:type="character" w:customStyle="1" w:styleId="BulletChar">
    <w:name w:val="Bullet Char"/>
    <w:aliases w:val="List Paragraph Char,Bulletr List Paragraph Char,Use Case List Paragraph Char,lp1 Char,Figure_name Char,List Paragraph1 Char,Numbered Indented Text Char,Bullet- First level Char,List NUmber Char,Listenabsatz1 Char,List Paragraph11 Char,L Char"/>
    <w:basedOn w:val="DefaultParagraphFont"/>
    <w:link w:val="Bullet"/>
    <w:uiPriority w:val="2"/>
    <w:qFormat/>
    <w:rsid w:val="00C7129C"/>
    <w:rPr>
      <w:rFonts w:ascii="Segoe UI" w:eastAsia="Times New Roman" w:hAnsi="Segoe UI"/>
      <w:sz w:val="19"/>
      <w:szCs w:val="19"/>
      <w:lang w:eastAsia="en-AU"/>
    </w:rPr>
  </w:style>
  <w:style w:type="paragraph" w:customStyle="1" w:styleId="Default">
    <w:name w:val="Default"/>
    <w:rsid w:val="00BE7E40"/>
    <w:pPr>
      <w:autoSpaceDE w:val="0"/>
      <w:autoSpaceDN w:val="0"/>
      <w:adjustRightInd w:val="0"/>
    </w:pPr>
    <w:rPr>
      <w:rFonts w:eastAsiaTheme="minorHAnsi"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www.aihw.gov.au%2Freports-data%2Fpopulation-groups%2Fveterans%2Fwho-is-a-veteran&amp;data=05%7C01%7CSusan.Fielding%40communities.wa.gov.au%7Cdf8d30a92f0f41d8d28908daa02e591f%7C99036377c0d44ddebe9e1bac0c850429%7C0%7C0%7C637998418191419995%7CUnknown%7CTWFpbGZsb3d8eyJWIjoiMC4wLjAwMDAiLCJQIjoiV2luMzIiLCJBTiI6Ik1haWwiLCJXVCI6Mn0%3D%7C3000%7C%7C%7C&amp;sdata=vgFr%2FwKKcwLgF0Wyv4tuVjRYGLIzzXRuWUZJGR04MsM%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apps.who.int/iris/handle/10665/43755" TargetMode="External"/><Relationship Id="rId13" Type="http://schemas.openxmlformats.org/officeDocument/2006/relationships/hyperlink" Target="https://www.aihw.gov.au/reports/australias-welfare/volunteers" TargetMode="External"/><Relationship Id="rId18" Type="http://schemas.openxmlformats.org/officeDocument/2006/relationships/hyperlink" Target="https://apps.who.int/iris/handle/10665/43755" TargetMode="External"/><Relationship Id="rId3" Type="http://schemas.openxmlformats.org/officeDocument/2006/relationships/hyperlink" Target="https://nousgroup.sharepoint.com/sites/TS15898/Shared%20Documents/General/F.%20Deliverables/Consultation%20strategy/efaidnbmnnnibpcajpcglclefindmkaj/https:/www.ccyp.wa.gov.au/media/1193/the-state-of-was-children-young-people-material-wellbeing-53-overcrowded-households.pdf" TargetMode="External"/><Relationship Id="rId7" Type="http://schemas.openxmlformats.org/officeDocument/2006/relationships/hyperlink" Target="https://humanrights.gov.au/our-work/age-discrimination/publications/whats-age-got-do-it-2021" TargetMode="External"/><Relationship Id="rId12" Type="http://schemas.openxmlformats.org/officeDocument/2006/relationships/hyperlink" Target="https://www.abs.gov.au/statistics/people/people-and-communities/household-and-families-census/latest-release" TargetMode="External"/><Relationship Id="rId17" Type="http://schemas.openxmlformats.org/officeDocument/2006/relationships/hyperlink" Target="https://www.health.gov.au/sites/default/files/documents/2022/03/iscoa-project-pilot-evaluation-informing-future-policy-evaluation-of-the-improving-social-connectedness-of-older-australians-project-pilot-informing-future-policy-considerations.pdf" TargetMode="External"/><Relationship Id="rId2" Type="http://schemas.openxmlformats.org/officeDocument/2006/relationships/hyperlink" Target="https://streetsmartaustralia.org/poverty-and-homelessness-the-reality-for-too-many-older-women/" TargetMode="External"/><Relationship Id="rId16" Type="http://schemas.openxmlformats.org/officeDocument/2006/relationships/hyperlink" Target="https://www.headtohealth.gov.au/meaningful-life/connectedness/community" TargetMode="External"/><Relationship Id="rId1" Type="http://schemas.openxmlformats.org/officeDocument/2006/relationships/hyperlink" Target="https://www.wacountry.health.wa.gov.au/~/media/WACHS/Documents/About-us/Publications/Strategic-plans/Health-Strategy-for-Older-People-2022-27.PDF" TargetMode="External"/><Relationship Id="rId6" Type="http://schemas.openxmlformats.org/officeDocument/2006/relationships/hyperlink" Target="https://apps.who.int/iris/handle/10665/43755" TargetMode="External"/><Relationship Id="rId11" Type="http://schemas.openxmlformats.org/officeDocument/2006/relationships/hyperlink" Target="https://apps.who.int/iris/handle/10665/43755" TargetMode="External"/><Relationship Id="rId5" Type="http://schemas.openxmlformats.org/officeDocument/2006/relationships/hyperlink" Target="https://www.pc.gov.au/ongoing/report-on-government-services/2022/community-services/aged-care-services" TargetMode="External"/><Relationship Id="rId15" Type="http://schemas.openxmlformats.org/officeDocument/2006/relationships/hyperlink" Target="https://www.abs.gov.au/statistics/people/people-and-communities/household-and-families-census/latest-release" TargetMode="External"/><Relationship Id="rId10" Type="http://schemas.openxmlformats.org/officeDocument/2006/relationships/hyperlink" Target="https://www.abs.gov.au/articles/use-information-technology-people-disability-older-people-and-primary-carers" TargetMode="External"/><Relationship Id="rId4" Type="http://schemas.openxmlformats.org/officeDocument/2006/relationships/hyperlink" Target="https://www.abs.gov.au/statistics/people/housing/housing-occupancy-and-costs/latest-release" TargetMode="External"/><Relationship Id="rId9" Type="http://schemas.openxmlformats.org/officeDocument/2006/relationships/hyperlink" Target="https://www.dss.gov.au/sites/default/files/documents/03_2021/improving-digital-inclusion-older-australians-social-impact-be-connected-16-june-2020.pdf" TargetMode="External"/><Relationship Id="rId14" Type="http://schemas.openxmlformats.org/officeDocument/2006/relationships/hyperlink" Target="https://apps.who.int/iris/handle/10665/4375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a80c35-1a6f-462d-a624-3431009d8a4e" xsi:nil="true"/>
    <lcf76f155ced4ddcb4097134ff3c332f xmlns="e29a3087-f735-43a2-9b10-0bb250a743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905A2AD0D508458237314A363049D8" ma:contentTypeVersion="10" ma:contentTypeDescription="Create a new document." ma:contentTypeScope="" ma:versionID="7fcf485140a133a55ad5d7a10d9cdfc9">
  <xsd:schema xmlns:xsd="http://www.w3.org/2001/XMLSchema" xmlns:xs="http://www.w3.org/2001/XMLSchema" xmlns:p="http://schemas.microsoft.com/office/2006/metadata/properties" xmlns:ns2="e29a3087-f735-43a2-9b10-0bb250a743a7" xmlns:ns3="fba80c35-1a6f-462d-a624-3431009d8a4e" targetNamespace="http://schemas.microsoft.com/office/2006/metadata/properties" ma:root="true" ma:fieldsID="94e749d4425b3422324d3f75579dcbb0" ns2:_="" ns3:_="">
    <xsd:import namespace="e29a3087-f735-43a2-9b10-0bb250a743a7"/>
    <xsd:import namespace="fba80c35-1a6f-462d-a624-3431009d8a4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a3087-f735-43a2-9b10-0bb250a74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2a39602-bab5-4ac0-a14f-71daef3a253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a80c35-1a6f-462d-a624-3431009d8a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6404ca3-f382-417d-a6d5-7247454471bd}" ma:internalName="TaxCatchAll" ma:showField="CatchAllData" ma:web="fba80c35-1a6f-462d-a624-3431009d8a4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fba80c35-1a6f-462d-a624-3431009d8a4e"/>
    <ds:schemaRef ds:uri="e29a3087-f735-43a2-9b10-0bb250a743a7"/>
  </ds:schemaRefs>
</ds:datastoreItem>
</file>

<file path=customXml/itemProps2.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3.xml><?xml version="1.0" encoding="utf-8"?>
<ds:datastoreItem xmlns:ds="http://schemas.openxmlformats.org/officeDocument/2006/customXml" ds:itemID="{BADE75A3-971D-40BA-898C-6DF80E30D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a3087-f735-43a2-9b10-0bb250a743a7"/>
    <ds:schemaRef ds:uri="fba80c35-1a6f-462d-a624-3431009d8a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68FF1-36BF-4E02-8393-611E6321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3964</Words>
  <Characters>22596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26507</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2022-11-25T01:16:00Z</dcterms:created>
  <dcterms:modified xsi:type="dcterms:W3CDTF">2022-11-28T02:20:00Z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0x010100EE905A2AD0D508458237314A363049D8</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ies>
</file>