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E7D2" w14:textId="1C5AF8AB" w:rsidR="00FD2E59" w:rsidRPr="00565BD7" w:rsidRDefault="00FD2E59" w:rsidP="00FD2E59">
      <w:pPr>
        <w:pStyle w:val="Heading1"/>
        <w:spacing w:before="0" w:after="0"/>
        <w:rPr>
          <w:color w:val="002060"/>
          <w:sz w:val="22"/>
          <w:szCs w:val="22"/>
        </w:rPr>
        <w:sectPr w:rsidR="00FD2E59" w:rsidRPr="00565BD7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565BD7">
        <w:rPr>
          <w:color w:val="002060"/>
          <w:sz w:val="22"/>
          <w:szCs w:val="22"/>
        </w:rPr>
        <w:t xml:space="preserve">WESTERN AUSTRALIA ECONOMIC PROFILE </w:t>
      </w:r>
      <w:r w:rsidRPr="00284E70">
        <w:rPr>
          <w:color w:val="002060"/>
          <w:sz w:val="22"/>
          <w:szCs w:val="22"/>
        </w:rPr>
        <w:t xml:space="preserve">– </w:t>
      </w:r>
      <w:r w:rsidR="006F0AC6" w:rsidRPr="009C4A61">
        <w:rPr>
          <w:sz w:val="22"/>
          <w:szCs w:val="22"/>
        </w:rPr>
        <w:t>January</w:t>
      </w:r>
      <w:r w:rsidR="00080625" w:rsidRPr="009C4A61">
        <w:rPr>
          <w:sz w:val="22"/>
          <w:szCs w:val="22"/>
        </w:rPr>
        <w:t xml:space="preserve"> </w:t>
      </w:r>
      <w:r w:rsidR="00B83616" w:rsidRPr="009C4A61">
        <w:rPr>
          <w:sz w:val="22"/>
          <w:szCs w:val="22"/>
        </w:rPr>
        <w:t>202</w:t>
      </w:r>
      <w:r w:rsidR="00F658DD" w:rsidRPr="009C4A61">
        <w:rPr>
          <w:sz w:val="22"/>
          <w:szCs w:val="22"/>
        </w:rPr>
        <w:t>3</w:t>
      </w:r>
    </w:p>
    <w:p w14:paraId="00AB3ABC" w14:textId="77777777" w:rsidR="00FD2E59" w:rsidRPr="00580639" w:rsidRDefault="00FD2E59" w:rsidP="00FD2E59">
      <w:pPr>
        <w:pStyle w:val="BodyText"/>
        <w:spacing w:after="0"/>
        <w:jc w:val="both"/>
        <w:rPr>
          <w:b/>
          <w:color w:val="002060"/>
          <w:sz w:val="22"/>
        </w:rPr>
      </w:pPr>
      <w:r w:rsidRPr="00580639">
        <w:rPr>
          <w:b/>
          <w:color w:val="002060"/>
          <w:sz w:val="22"/>
        </w:rPr>
        <w:t>The Economy</w:t>
      </w:r>
    </w:p>
    <w:p w14:paraId="43F8F0CC" w14:textId="3B68EDDE" w:rsidR="00FD2E59" w:rsidRPr="0058063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80639">
        <w:rPr>
          <w:b/>
          <w:color w:val="92278F" w:themeColor="accent1"/>
          <w:sz w:val="20"/>
        </w:rPr>
        <w:t>Gross state product (% change</w:t>
      </w:r>
      <w:r w:rsidRPr="00580639">
        <w:rPr>
          <w:b/>
          <w:color w:val="92278F" w:themeColor="accent1"/>
          <w:sz w:val="20"/>
          <w:vertAlign w:val="superscript"/>
        </w:rPr>
        <w:t>1</w:t>
      </w:r>
      <w:r w:rsidRPr="00580639">
        <w:rPr>
          <w:b/>
          <w:color w:val="92278F" w:themeColor="accent1"/>
          <w:sz w:val="20"/>
        </w:rPr>
        <w:t xml:space="preserve">): </w:t>
      </w:r>
      <w:r w:rsidR="00C00EC0">
        <w:rPr>
          <w:b/>
          <w:color w:val="92278F" w:themeColor="accent1"/>
          <w:sz w:val="20"/>
        </w:rPr>
        <w:t>f</w:t>
      </w:r>
      <w:r w:rsidRPr="00580639">
        <w:rPr>
          <w:b/>
          <w:color w:val="92278F" w:themeColor="accent1"/>
          <w:sz w:val="20"/>
        </w:rPr>
        <w:t>inancial years</w:t>
      </w:r>
    </w:p>
    <w:p w14:paraId="403AAC49" w14:textId="143695AA" w:rsidR="00FD2E59" w:rsidRDefault="00097FD4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C885930" wp14:editId="37B6D11C">
            <wp:extent cx="3528000" cy="2086479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08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3A39" w14:textId="438A59B9" w:rsidR="00FD2E59" w:rsidRPr="000452FB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>s.</w:t>
      </w:r>
      <w:r>
        <w:rPr>
          <w:sz w:val="10"/>
        </w:rPr>
        <w:t xml:space="preserve"> Original </w:t>
      </w:r>
      <w:r w:rsidRPr="00943670">
        <w:rPr>
          <w:sz w:val="10"/>
        </w:rPr>
        <w:t>series.</w:t>
      </w:r>
      <w:r w:rsidR="001D5100" w:rsidRPr="00943670">
        <w:rPr>
          <w:sz w:val="10"/>
        </w:rPr>
        <w:t xml:space="preserve"> Note – </w:t>
      </w:r>
      <w:r w:rsidR="001D5100" w:rsidRPr="000452FB">
        <w:rPr>
          <w:sz w:val="10"/>
        </w:rPr>
        <w:t xml:space="preserve">Forecasts start in </w:t>
      </w:r>
      <w:r w:rsidR="00261184" w:rsidRPr="00565BD3">
        <w:rPr>
          <w:sz w:val="10"/>
        </w:rPr>
        <w:t>2022</w:t>
      </w:r>
      <w:r w:rsidR="001D5100" w:rsidRPr="00565BD3">
        <w:rPr>
          <w:sz w:val="10"/>
        </w:rPr>
        <w:t>-</w:t>
      </w:r>
      <w:r w:rsidR="00261184" w:rsidRPr="00565BD3">
        <w:rPr>
          <w:sz w:val="10"/>
        </w:rPr>
        <w:t>23</w:t>
      </w:r>
      <w:r w:rsidR="001D5100" w:rsidRPr="00565BD3">
        <w:rPr>
          <w:sz w:val="10"/>
        </w:rPr>
        <w:t>.</w:t>
      </w:r>
    </w:p>
    <w:p w14:paraId="0BF65E0C" w14:textId="733832E6" w:rsidR="00FD2E59" w:rsidRPr="000452FB" w:rsidRDefault="00FD2E59" w:rsidP="00FD2E59">
      <w:pPr>
        <w:spacing w:after="0"/>
        <w:jc w:val="both"/>
        <w:rPr>
          <w:sz w:val="10"/>
        </w:rPr>
      </w:pPr>
      <w:r w:rsidRPr="003900CB">
        <w:rPr>
          <w:sz w:val="10"/>
        </w:rPr>
        <w:t xml:space="preserve">Source: </w:t>
      </w:r>
      <w:r w:rsidR="00967933" w:rsidRPr="0030748C">
        <w:rPr>
          <w:sz w:val="10"/>
        </w:rPr>
        <w:t xml:space="preserve">Based on data from </w:t>
      </w:r>
      <w:r w:rsidRPr="0030748C">
        <w:rPr>
          <w:sz w:val="10"/>
        </w:rPr>
        <w:t xml:space="preserve">ABS </w:t>
      </w:r>
      <w:r w:rsidRPr="003900CB">
        <w:rPr>
          <w:sz w:val="10"/>
        </w:rPr>
        <w:t xml:space="preserve">5220.0 Australian National Accounts: State </w:t>
      </w:r>
      <w:r w:rsidR="0048425A" w:rsidRPr="003900CB">
        <w:rPr>
          <w:sz w:val="10"/>
        </w:rPr>
        <w:t>Accounts (Annual</w:t>
      </w:r>
      <w:r w:rsidR="0048425A" w:rsidRPr="000452FB">
        <w:rPr>
          <w:sz w:val="10"/>
        </w:rPr>
        <w:t xml:space="preserve">); </w:t>
      </w:r>
      <w:r w:rsidR="003F73C0" w:rsidRPr="000452FB">
        <w:rPr>
          <w:sz w:val="10"/>
        </w:rPr>
        <w:t xml:space="preserve">5204.0 Australian System of National Accounts (Annual); </w:t>
      </w:r>
      <w:r w:rsidR="007D6AAA" w:rsidRPr="0062035B">
        <w:rPr>
          <w:sz w:val="10"/>
        </w:rPr>
        <w:t xml:space="preserve">2022-23 WA </w:t>
      </w:r>
      <w:r w:rsidR="00672918" w:rsidRPr="0062035B">
        <w:rPr>
          <w:sz w:val="10"/>
        </w:rPr>
        <w:t xml:space="preserve">Government </w:t>
      </w:r>
      <w:r w:rsidR="007D6AAA" w:rsidRPr="0062035B">
        <w:rPr>
          <w:sz w:val="10"/>
        </w:rPr>
        <w:t>Mid-year Financial Projections Statement</w:t>
      </w:r>
      <w:r w:rsidR="001B3ABD" w:rsidRPr="0062035B">
        <w:rPr>
          <w:sz w:val="10"/>
        </w:rPr>
        <w:t xml:space="preserve"> </w:t>
      </w:r>
      <w:r w:rsidR="00672918" w:rsidRPr="0062035B">
        <w:rPr>
          <w:sz w:val="10"/>
        </w:rPr>
        <w:t>(</w:t>
      </w:r>
      <w:r w:rsidR="007D6AAA" w:rsidRPr="0062035B">
        <w:rPr>
          <w:sz w:val="10"/>
        </w:rPr>
        <w:t>December</w:t>
      </w:r>
      <w:r w:rsidR="009A6224" w:rsidRPr="0062035B">
        <w:rPr>
          <w:sz w:val="10"/>
        </w:rPr>
        <w:t> </w:t>
      </w:r>
      <w:r w:rsidRPr="0062035B">
        <w:rPr>
          <w:sz w:val="10"/>
        </w:rPr>
        <w:t>202</w:t>
      </w:r>
      <w:r w:rsidR="001B3ABD" w:rsidRPr="0062035B">
        <w:rPr>
          <w:sz w:val="10"/>
        </w:rPr>
        <w:t>2</w:t>
      </w:r>
      <w:r w:rsidRPr="0062035B">
        <w:rPr>
          <w:sz w:val="10"/>
        </w:rPr>
        <w:t xml:space="preserve">); </w:t>
      </w:r>
      <w:r w:rsidR="003F73C0" w:rsidRPr="0062035B">
        <w:rPr>
          <w:sz w:val="10"/>
        </w:rPr>
        <w:t xml:space="preserve">and </w:t>
      </w:r>
      <w:r w:rsidR="00672918" w:rsidRPr="000452FB">
        <w:rPr>
          <w:sz w:val="10"/>
        </w:rPr>
        <w:t xml:space="preserve">Australian Government </w:t>
      </w:r>
      <w:r w:rsidR="00552EF0" w:rsidRPr="000452FB">
        <w:rPr>
          <w:sz w:val="10"/>
        </w:rPr>
        <w:t>Budget October 2022</w:t>
      </w:r>
      <w:r w:rsidR="00351680">
        <w:rPr>
          <w:sz w:val="10"/>
        </w:rPr>
        <w:noBreakHyphen/>
      </w:r>
      <w:r w:rsidR="00552EF0" w:rsidRPr="000452FB">
        <w:rPr>
          <w:sz w:val="10"/>
        </w:rPr>
        <w:t>23</w:t>
      </w:r>
      <w:r w:rsidR="00223FCC" w:rsidRPr="000452FB">
        <w:rPr>
          <w:sz w:val="10"/>
        </w:rPr>
        <w:t xml:space="preserve"> (</w:t>
      </w:r>
      <w:r w:rsidR="00552EF0" w:rsidRPr="000452FB">
        <w:rPr>
          <w:sz w:val="10"/>
        </w:rPr>
        <w:t xml:space="preserve">October </w:t>
      </w:r>
      <w:r w:rsidR="00223FCC" w:rsidRPr="000452FB">
        <w:rPr>
          <w:sz w:val="10"/>
        </w:rPr>
        <w:t>2022)</w:t>
      </w:r>
      <w:r w:rsidRPr="000452FB">
        <w:rPr>
          <w:sz w:val="10"/>
        </w:rPr>
        <w:t>.</w:t>
      </w:r>
    </w:p>
    <w:p w14:paraId="0582B4D3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25FBA8E" w14:textId="77777777" w:rsidR="00FD2E59" w:rsidRPr="00565BD3" w:rsidRDefault="00FD2E59" w:rsidP="00FD2E59">
      <w:pPr>
        <w:pStyle w:val="BodyText"/>
        <w:spacing w:after="0"/>
        <w:jc w:val="both"/>
        <w:rPr>
          <w:sz w:val="16"/>
        </w:rPr>
      </w:pPr>
    </w:p>
    <w:p w14:paraId="2D847A08" w14:textId="77CDF234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Western Australia’s gross state product (GSP) was $</w:t>
      </w:r>
      <w:r w:rsidR="00872265" w:rsidRPr="00565BD3">
        <w:rPr>
          <w:sz w:val="16"/>
        </w:rPr>
        <w:t>404.5</w:t>
      </w:r>
      <w:r w:rsidRPr="00565BD3">
        <w:rPr>
          <w:sz w:val="16"/>
        </w:rPr>
        <w:t> billion in 20</w:t>
      </w:r>
      <w:r w:rsidR="00CD6008" w:rsidRPr="00565BD3">
        <w:rPr>
          <w:sz w:val="16"/>
        </w:rPr>
        <w:t>2</w:t>
      </w:r>
      <w:r w:rsidR="00872265" w:rsidRPr="00565BD3">
        <w:rPr>
          <w:sz w:val="16"/>
        </w:rPr>
        <w:t>1</w:t>
      </w:r>
      <w:r w:rsidR="00CD6008" w:rsidRPr="00565BD3">
        <w:rPr>
          <w:sz w:val="16"/>
        </w:rPr>
        <w:t>-2</w:t>
      </w:r>
      <w:r w:rsidR="00872265" w:rsidRPr="00565BD3">
        <w:rPr>
          <w:sz w:val="16"/>
        </w:rPr>
        <w:t>2</w:t>
      </w:r>
      <w:r w:rsidR="00CD6008" w:rsidRPr="00565BD3">
        <w:rPr>
          <w:sz w:val="16"/>
        </w:rPr>
        <w:t>, 17.5</w:t>
      </w:r>
      <w:r w:rsidRPr="00565BD3">
        <w:rPr>
          <w:sz w:val="16"/>
        </w:rPr>
        <w:t>% of Australia’s gross domestic product (GDP).</w:t>
      </w:r>
    </w:p>
    <w:p w14:paraId="4E4A5156" w14:textId="2248FF84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Western Austral</w:t>
      </w:r>
      <w:r w:rsidR="00CD6008" w:rsidRPr="00565BD3">
        <w:rPr>
          <w:sz w:val="16"/>
        </w:rPr>
        <w:t>ia’s GSP per capita was $</w:t>
      </w:r>
      <w:r w:rsidR="00872265" w:rsidRPr="00565BD3">
        <w:rPr>
          <w:sz w:val="16"/>
        </w:rPr>
        <w:t>146,423</w:t>
      </w:r>
      <w:r w:rsidR="00CD6008" w:rsidRPr="00565BD3">
        <w:rPr>
          <w:sz w:val="16"/>
        </w:rPr>
        <w:t xml:space="preserve"> in 202</w:t>
      </w:r>
      <w:r w:rsidR="00872265" w:rsidRPr="00565BD3">
        <w:rPr>
          <w:sz w:val="16"/>
        </w:rPr>
        <w:t>1</w:t>
      </w:r>
      <w:r w:rsidR="00CD6008" w:rsidRPr="00565BD3">
        <w:rPr>
          <w:sz w:val="16"/>
        </w:rPr>
        <w:noBreakHyphen/>
        <w:t>2</w:t>
      </w:r>
      <w:r w:rsidR="00872265" w:rsidRPr="00565BD3">
        <w:rPr>
          <w:sz w:val="16"/>
        </w:rPr>
        <w:t>2</w:t>
      </w:r>
      <w:r w:rsidR="00CD6008" w:rsidRPr="00565BD3">
        <w:rPr>
          <w:sz w:val="16"/>
        </w:rPr>
        <w:t>, 6</w:t>
      </w:r>
      <w:r w:rsidR="00872265" w:rsidRPr="00565BD3">
        <w:rPr>
          <w:sz w:val="16"/>
        </w:rPr>
        <w:t>3</w:t>
      </w:r>
      <w:r w:rsidRPr="00565BD3">
        <w:rPr>
          <w:sz w:val="16"/>
        </w:rPr>
        <w:t>% above Austr</w:t>
      </w:r>
      <w:r w:rsidR="00CD6008" w:rsidRPr="00565BD3">
        <w:rPr>
          <w:sz w:val="16"/>
        </w:rPr>
        <w:t>alia’s GDP per capita of $8</w:t>
      </w:r>
      <w:r w:rsidR="00872265" w:rsidRPr="00565BD3">
        <w:rPr>
          <w:sz w:val="16"/>
        </w:rPr>
        <w:t>9,631</w:t>
      </w:r>
      <w:r w:rsidRPr="00565BD3">
        <w:rPr>
          <w:sz w:val="16"/>
        </w:rPr>
        <w:t>.</w:t>
      </w:r>
    </w:p>
    <w:p w14:paraId="141F2537" w14:textId="7554DAC9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Weste</w:t>
      </w:r>
      <w:r w:rsidR="00CD6008" w:rsidRPr="00565BD3">
        <w:rPr>
          <w:sz w:val="16"/>
        </w:rPr>
        <w:t xml:space="preserve">rn Australia’s real GSP rose </w:t>
      </w:r>
      <w:r w:rsidR="00D21A16" w:rsidRPr="00565BD3">
        <w:rPr>
          <w:sz w:val="16"/>
        </w:rPr>
        <w:t>3.1</w:t>
      </w:r>
      <w:r w:rsidR="00CD6008" w:rsidRPr="00565BD3">
        <w:rPr>
          <w:sz w:val="16"/>
        </w:rPr>
        <w:t>% in 202</w:t>
      </w:r>
      <w:r w:rsidR="00D21A16" w:rsidRPr="00565BD3">
        <w:rPr>
          <w:sz w:val="16"/>
        </w:rPr>
        <w:t>1</w:t>
      </w:r>
      <w:r w:rsidR="00CD6008" w:rsidRPr="00565BD3">
        <w:rPr>
          <w:sz w:val="16"/>
        </w:rPr>
        <w:t>-2</w:t>
      </w:r>
      <w:r w:rsidR="00D21A16" w:rsidRPr="00565BD3">
        <w:rPr>
          <w:sz w:val="16"/>
        </w:rPr>
        <w:t>2</w:t>
      </w:r>
      <w:r w:rsidR="00CD6008" w:rsidRPr="00565BD3">
        <w:rPr>
          <w:sz w:val="16"/>
        </w:rPr>
        <w:t xml:space="preserve">, </w:t>
      </w:r>
      <w:r w:rsidR="00D21A16" w:rsidRPr="00565BD3">
        <w:rPr>
          <w:sz w:val="16"/>
        </w:rPr>
        <w:t xml:space="preserve">below </w:t>
      </w:r>
      <w:r w:rsidR="007C5169" w:rsidRPr="00565BD3">
        <w:rPr>
          <w:sz w:val="16"/>
        </w:rPr>
        <w:t xml:space="preserve">growth of </w:t>
      </w:r>
      <w:r w:rsidR="00D21A16" w:rsidRPr="00565BD3">
        <w:rPr>
          <w:sz w:val="16"/>
        </w:rPr>
        <w:t>3.3</w:t>
      </w:r>
      <w:r w:rsidR="007C5169" w:rsidRPr="00565BD3">
        <w:rPr>
          <w:sz w:val="16"/>
        </w:rPr>
        <w:t>% in 20</w:t>
      </w:r>
      <w:r w:rsidR="00D21A16" w:rsidRPr="00565BD3">
        <w:rPr>
          <w:sz w:val="16"/>
        </w:rPr>
        <w:t>20</w:t>
      </w:r>
      <w:r w:rsidR="007C5169" w:rsidRPr="00565BD3">
        <w:rPr>
          <w:sz w:val="16"/>
        </w:rPr>
        <w:t>-2</w:t>
      </w:r>
      <w:r w:rsidR="00D21A16" w:rsidRPr="00565BD3">
        <w:rPr>
          <w:sz w:val="16"/>
        </w:rPr>
        <w:t>1</w:t>
      </w:r>
      <w:r w:rsidR="007C5169" w:rsidRPr="00565BD3">
        <w:rPr>
          <w:sz w:val="16"/>
        </w:rPr>
        <w:t xml:space="preserve">, </w:t>
      </w:r>
      <w:r w:rsidR="00D21A16" w:rsidRPr="00565BD3">
        <w:rPr>
          <w:sz w:val="16"/>
        </w:rPr>
        <w:t xml:space="preserve">but above </w:t>
      </w:r>
      <w:r w:rsidR="007C5169" w:rsidRPr="00565BD3">
        <w:rPr>
          <w:sz w:val="16"/>
        </w:rPr>
        <w:t xml:space="preserve">compound annual growth of </w:t>
      </w:r>
      <w:r w:rsidR="00D21A16" w:rsidRPr="00565BD3">
        <w:rPr>
          <w:sz w:val="16"/>
        </w:rPr>
        <w:t>2.5</w:t>
      </w:r>
      <w:r w:rsidRPr="00565BD3">
        <w:rPr>
          <w:sz w:val="16"/>
        </w:rPr>
        <w:t>% over the past 10 years.</w:t>
      </w:r>
    </w:p>
    <w:p w14:paraId="09E361B6" w14:textId="2E3F5941" w:rsidR="00FD2E59" w:rsidRPr="0062035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2035B">
        <w:rPr>
          <w:sz w:val="16"/>
        </w:rPr>
        <w:t xml:space="preserve">The </w:t>
      </w:r>
      <w:r w:rsidR="008D34CE" w:rsidRPr="0062035B">
        <w:rPr>
          <w:sz w:val="16"/>
        </w:rPr>
        <w:t>202</w:t>
      </w:r>
      <w:r w:rsidR="001B3ABD" w:rsidRPr="0062035B">
        <w:rPr>
          <w:sz w:val="16"/>
        </w:rPr>
        <w:t>2</w:t>
      </w:r>
      <w:r w:rsidR="008D34CE" w:rsidRPr="0062035B">
        <w:rPr>
          <w:sz w:val="16"/>
        </w:rPr>
        <w:noBreakHyphen/>
        <w:t>2</w:t>
      </w:r>
      <w:r w:rsidR="001B3ABD" w:rsidRPr="0062035B">
        <w:rPr>
          <w:sz w:val="16"/>
        </w:rPr>
        <w:t>3</w:t>
      </w:r>
      <w:r w:rsidR="007A511F" w:rsidRPr="0062035B">
        <w:rPr>
          <w:sz w:val="16"/>
        </w:rPr>
        <w:t xml:space="preserve"> </w:t>
      </w:r>
      <w:r w:rsidR="007D6AAA" w:rsidRPr="0062035B">
        <w:rPr>
          <w:sz w:val="16"/>
        </w:rPr>
        <w:t xml:space="preserve">WA Government Mid-year Financial Projections Statement </w:t>
      </w:r>
      <w:r w:rsidR="007C5169" w:rsidRPr="0062035B">
        <w:rPr>
          <w:sz w:val="16"/>
        </w:rPr>
        <w:t>forecast</w:t>
      </w:r>
      <w:r w:rsidR="007D6AAA" w:rsidRPr="0062035B">
        <w:rPr>
          <w:sz w:val="16"/>
        </w:rPr>
        <w:t>s</w:t>
      </w:r>
      <w:r w:rsidR="007C5169" w:rsidRPr="0062035B">
        <w:rPr>
          <w:sz w:val="16"/>
        </w:rPr>
        <w:t xml:space="preserve"> </w:t>
      </w:r>
      <w:r w:rsidRPr="0062035B">
        <w:rPr>
          <w:sz w:val="16"/>
        </w:rPr>
        <w:t>We</w:t>
      </w:r>
      <w:r w:rsidR="00B934D2" w:rsidRPr="0062035B">
        <w:rPr>
          <w:sz w:val="16"/>
        </w:rPr>
        <w:t xml:space="preserve">stern Australia’s real GSP </w:t>
      </w:r>
      <w:r w:rsidR="005E6251" w:rsidRPr="0062035B">
        <w:rPr>
          <w:sz w:val="16"/>
        </w:rPr>
        <w:t xml:space="preserve">will </w:t>
      </w:r>
      <w:r w:rsidR="007D6AAA" w:rsidRPr="0062035B">
        <w:rPr>
          <w:sz w:val="16"/>
        </w:rPr>
        <w:t>grow</w:t>
      </w:r>
      <w:r w:rsidR="008A6BFD" w:rsidRPr="0062035B">
        <w:rPr>
          <w:sz w:val="16"/>
        </w:rPr>
        <w:t xml:space="preserve"> </w:t>
      </w:r>
      <w:r w:rsidR="007D6AAA" w:rsidRPr="0062035B">
        <w:rPr>
          <w:sz w:val="16"/>
        </w:rPr>
        <w:t>3</w:t>
      </w:r>
      <w:r w:rsidR="001B3ABD" w:rsidRPr="0062035B">
        <w:rPr>
          <w:sz w:val="16"/>
        </w:rPr>
        <w:t>.0</w:t>
      </w:r>
      <w:r w:rsidR="007C5169" w:rsidRPr="0062035B">
        <w:rPr>
          <w:sz w:val="16"/>
        </w:rPr>
        <w:t>% in 202</w:t>
      </w:r>
      <w:r w:rsidR="001B3ABD" w:rsidRPr="0062035B">
        <w:rPr>
          <w:sz w:val="16"/>
        </w:rPr>
        <w:t>2</w:t>
      </w:r>
      <w:r w:rsidR="007C5169" w:rsidRPr="0062035B">
        <w:rPr>
          <w:sz w:val="16"/>
        </w:rPr>
        <w:noBreakHyphen/>
        <w:t>2</w:t>
      </w:r>
      <w:r w:rsidR="001B3ABD" w:rsidRPr="0062035B">
        <w:rPr>
          <w:sz w:val="16"/>
        </w:rPr>
        <w:t>3</w:t>
      </w:r>
      <w:r w:rsidR="008A6BFD" w:rsidRPr="0062035B">
        <w:rPr>
          <w:sz w:val="16"/>
        </w:rPr>
        <w:t xml:space="preserve">, </w:t>
      </w:r>
      <w:r w:rsidR="007C5169" w:rsidRPr="0062035B">
        <w:rPr>
          <w:sz w:val="16"/>
        </w:rPr>
        <w:t>1.0% in 202</w:t>
      </w:r>
      <w:r w:rsidR="001B3ABD" w:rsidRPr="0062035B">
        <w:rPr>
          <w:sz w:val="16"/>
        </w:rPr>
        <w:t>3</w:t>
      </w:r>
      <w:r w:rsidR="007C5169" w:rsidRPr="0062035B">
        <w:rPr>
          <w:sz w:val="16"/>
        </w:rPr>
        <w:t>-2</w:t>
      </w:r>
      <w:r w:rsidR="001B3ABD" w:rsidRPr="0062035B">
        <w:rPr>
          <w:sz w:val="16"/>
        </w:rPr>
        <w:t>4</w:t>
      </w:r>
      <w:r w:rsidR="007D6AAA" w:rsidRPr="0062035B">
        <w:rPr>
          <w:sz w:val="16"/>
        </w:rPr>
        <w:t>,</w:t>
      </w:r>
      <w:r w:rsidR="008A6BFD" w:rsidRPr="0062035B">
        <w:rPr>
          <w:sz w:val="16"/>
        </w:rPr>
        <w:t xml:space="preserve"> 1.</w:t>
      </w:r>
      <w:r w:rsidR="007D6AAA" w:rsidRPr="0062035B">
        <w:rPr>
          <w:sz w:val="16"/>
        </w:rPr>
        <w:t>7</w:t>
      </w:r>
      <w:r w:rsidR="008A6BFD" w:rsidRPr="0062035B">
        <w:rPr>
          <w:sz w:val="16"/>
        </w:rPr>
        <w:t>5% in 2024-25</w:t>
      </w:r>
      <w:r w:rsidR="007D6AAA" w:rsidRPr="0062035B">
        <w:rPr>
          <w:sz w:val="16"/>
        </w:rPr>
        <w:t xml:space="preserve"> and 2.25% in 2025-26</w:t>
      </w:r>
      <w:r w:rsidRPr="0062035B">
        <w:rPr>
          <w:sz w:val="16"/>
        </w:rPr>
        <w:t>.</w:t>
      </w:r>
    </w:p>
    <w:p w14:paraId="13161564" w14:textId="032CBE51" w:rsidR="00B647EA" w:rsidRPr="0062035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2035B">
        <w:rPr>
          <w:sz w:val="16"/>
        </w:rPr>
        <w:t xml:space="preserve">Australia’s real GDP </w:t>
      </w:r>
      <w:r w:rsidR="001757D5" w:rsidRPr="0062035B">
        <w:rPr>
          <w:sz w:val="16"/>
        </w:rPr>
        <w:t xml:space="preserve">rose </w:t>
      </w:r>
      <w:r w:rsidR="00EF6138" w:rsidRPr="0062035B">
        <w:rPr>
          <w:sz w:val="16"/>
        </w:rPr>
        <w:t>3.</w:t>
      </w:r>
      <w:r w:rsidR="00C13410" w:rsidRPr="0062035B">
        <w:rPr>
          <w:sz w:val="16"/>
        </w:rPr>
        <w:t>6</w:t>
      </w:r>
      <w:r w:rsidR="001757D5" w:rsidRPr="0062035B">
        <w:rPr>
          <w:sz w:val="16"/>
        </w:rPr>
        <w:t>% in 202</w:t>
      </w:r>
      <w:r w:rsidR="00EF6138" w:rsidRPr="0062035B">
        <w:rPr>
          <w:sz w:val="16"/>
        </w:rPr>
        <w:t>1</w:t>
      </w:r>
      <w:r w:rsidR="001757D5" w:rsidRPr="0062035B">
        <w:rPr>
          <w:sz w:val="16"/>
        </w:rPr>
        <w:t>-2</w:t>
      </w:r>
      <w:r w:rsidR="00EF6138" w:rsidRPr="0062035B">
        <w:rPr>
          <w:sz w:val="16"/>
        </w:rPr>
        <w:t>2</w:t>
      </w:r>
      <w:r w:rsidRPr="0062035B">
        <w:rPr>
          <w:sz w:val="16"/>
        </w:rPr>
        <w:t>.</w:t>
      </w:r>
    </w:p>
    <w:p w14:paraId="73283577" w14:textId="00F91985" w:rsidR="00FD2E59" w:rsidRPr="0062035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2035B">
        <w:rPr>
          <w:sz w:val="16"/>
        </w:rPr>
        <w:t>The Australian Gove</w:t>
      </w:r>
      <w:r w:rsidR="00504F65" w:rsidRPr="0062035B">
        <w:rPr>
          <w:sz w:val="16"/>
        </w:rPr>
        <w:t>rnment</w:t>
      </w:r>
      <w:r w:rsidR="007D6AAA" w:rsidRPr="0062035B">
        <w:rPr>
          <w:sz w:val="16"/>
        </w:rPr>
        <w:t xml:space="preserve"> Bud</w:t>
      </w:r>
      <w:r w:rsidR="005E6251" w:rsidRPr="0062035B">
        <w:rPr>
          <w:sz w:val="16"/>
        </w:rPr>
        <w:t xml:space="preserve">get </w:t>
      </w:r>
      <w:r w:rsidR="00885B1E" w:rsidRPr="0062035B">
        <w:rPr>
          <w:sz w:val="16"/>
        </w:rPr>
        <w:t>October 2022</w:t>
      </w:r>
      <w:r w:rsidR="00885B1E" w:rsidRPr="0062035B">
        <w:rPr>
          <w:sz w:val="16"/>
        </w:rPr>
        <w:noBreakHyphen/>
      </w:r>
      <w:r w:rsidR="005E6251" w:rsidRPr="0062035B">
        <w:rPr>
          <w:sz w:val="16"/>
        </w:rPr>
        <w:t>23 forecasts</w:t>
      </w:r>
      <w:r w:rsidR="00F94F31" w:rsidRPr="0062035B">
        <w:rPr>
          <w:sz w:val="16"/>
        </w:rPr>
        <w:t xml:space="preserve"> </w:t>
      </w:r>
      <w:r w:rsidR="00504F65" w:rsidRPr="0062035B">
        <w:rPr>
          <w:sz w:val="16"/>
        </w:rPr>
        <w:t>Australia’s real GDP</w:t>
      </w:r>
      <w:r w:rsidR="00AD1D20" w:rsidRPr="0062035B">
        <w:rPr>
          <w:sz w:val="16"/>
        </w:rPr>
        <w:t xml:space="preserve"> </w:t>
      </w:r>
      <w:r w:rsidR="005E6251" w:rsidRPr="0062035B">
        <w:rPr>
          <w:sz w:val="16"/>
        </w:rPr>
        <w:t>will grow</w:t>
      </w:r>
      <w:r w:rsidR="00F94F31" w:rsidRPr="0062035B">
        <w:rPr>
          <w:sz w:val="16"/>
        </w:rPr>
        <w:t xml:space="preserve"> </w:t>
      </w:r>
      <w:r w:rsidR="00AD1D20" w:rsidRPr="0062035B">
        <w:rPr>
          <w:sz w:val="16"/>
        </w:rPr>
        <w:t>3.</w:t>
      </w:r>
      <w:r w:rsidR="00EF6138" w:rsidRPr="0062035B">
        <w:rPr>
          <w:sz w:val="16"/>
        </w:rPr>
        <w:t>2</w:t>
      </w:r>
      <w:r w:rsidR="00AD1D20" w:rsidRPr="0062035B">
        <w:rPr>
          <w:sz w:val="16"/>
        </w:rPr>
        <w:t>5% i</w:t>
      </w:r>
      <w:r w:rsidRPr="0062035B">
        <w:rPr>
          <w:sz w:val="16"/>
        </w:rPr>
        <w:t>n 202</w:t>
      </w:r>
      <w:r w:rsidR="00EF6138" w:rsidRPr="0062035B">
        <w:rPr>
          <w:sz w:val="16"/>
        </w:rPr>
        <w:t>2</w:t>
      </w:r>
      <w:r w:rsidRPr="0062035B">
        <w:rPr>
          <w:sz w:val="16"/>
        </w:rPr>
        <w:noBreakHyphen/>
        <w:t>2</w:t>
      </w:r>
      <w:r w:rsidR="00EF6138" w:rsidRPr="0062035B">
        <w:rPr>
          <w:sz w:val="16"/>
        </w:rPr>
        <w:t>3</w:t>
      </w:r>
      <w:r w:rsidR="008A6BFD" w:rsidRPr="0062035B">
        <w:rPr>
          <w:sz w:val="16"/>
        </w:rPr>
        <w:t xml:space="preserve">, </w:t>
      </w:r>
      <w:r w:rsidR="00EF6138" w:rsidRPr="0062035B">
        <w:rPr>
          <w:sz w:val="16"/>
        </w:rPr>
        <w:t>1.5</w:t>
      </w:r>
      <w:r w:rsidR="009A6224" w:rsidRPr="0062035B">
        <w:rPr>
          <w:sz w:val="16"/>
        </w:rPr>
        <w:t>% in 2023</w:t>
      </w:r>
      <w:r w:rsidR="009A6224" w:rsidRPr="0062035B">
        <w:rPr>
          <w:sz w:val="16"/>
        </w:rPr>
        <w:noBreakHyphen/>
        <w:t>24</w:t>
      </w:r>
      <w:r w:rsidR="005E6251" w:rsidRPr="0062035B">
        <w:rPr>
          <w:sz w:val="16"/>
        </w:rPr>
        <w:t>,</w:t>
      </w:r>
      <w:r w:rsidR="008A6BFD" w:rsidRPr="0062035B">
        <w:rPr>
          <w:sz w:val="16"/>
        </w:rPr>
        <w:t xml:space="preserve"> </w:t>
      </w:r>
      <w:r w:rsidR="006A3D19" w:rsidRPr="0062035B">
        <w:rPr>
          <w:sz w:val="16"/>
        </w:rPr>
        <w:t xml:space="preserve">and </w:t>
      </w:r>
      <w:r w:rsidR="008A6BFD" w:rsidRPr="0062035B">
        <w:rPr>
          <w:sz w:val="16"/>
        </w:rPr>
        <w:t xml:space="preserve">2.5% in </w:t>
      </w:r>
      <w:r w:rsidR="006A3D19" w:rsidRPr="0062035B">
        <w:rPr>
          <w:sz w:val="16"/>
        </w:rPr>
        <w:t>both 2024</w:t>
      </w:r>
      <w:r w:rsidR="006A3D19" w:rsidRPr="0062035B">
        <w:rPr>
          <w:sz w:val="16"/>
        </w:rPr>
        <w:noBreakHyphen/>
      </w:r>
      <w:r w:rsidR="008A6BFD" w:rsidRPr="0062035B">
        <w:rPr>
          <w:sz w:val="16"/>
        </w:rPr>
        <w:t>25</w:t>
      </w:r>
      <w:r w:rsidR="005E6251" w:rsidRPr="0062035B">
        <w:rPr>
          <w:sz w:val="16"/>
        </w:rPr>
        <w:t xml:space="preserve"> and </w:t>
      </w:r>
      <w:r w:rsidR="006A3D19" w:rsidRPr="0062035B">
        <w:rPr>
          <w:sz w:val="16"/>
        </w:rPr>
        <w:t>2025</w:t>
      </w:r>
      <w:r w:rsidR="006A3D19" w:rsidRPr="0062035B">
        <w:rPr>
          <w:sz w:val="16"/>
        </w:rPr>
        <w:noBreakHyphen/>
      </w:r>
      <w:r w:rsidR="005E6251" w:rsidRPr="0062035B">
        <w:rPr>
          <w:sz w:val="16"/>
        </w:rPr>
        <w:t>26</w:t>
      </w:r>
      <w:r w:rsidRPr="0062035B">
        <w:rPr>
          <w:sz w:val="16"/>
        </w:rPr>
        <w:t>.</w:t>
      </w:r>
    </w:p>
    <w:p w14:paraId="689818D4" w14:textId="77777777" w:rsidR="00FD2E59" w:rsidRPr="001F5528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1F552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DFD6DE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3BF9D42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7A4C8467" w14:textId="08F20E9F" w:rsidR="00FD2E59" w:rsidRPr="00020369" w:rsidRDefault="00C00EC0" w:rsidP="00FD2E59">
      <w:pPr>
        <w:pStyle w:val="BodyText"/>
        <w:spacing w:after="0"/>
        <w:rPr>
          <w:b/>
          <w:color w:val="92278F" w:themeColor="accent1"/>
          <w:sz w:val="20"/>
        </w:rPr>
      </w:pPr>
      <w:proofErr w:type="gramStart"/>
      <w:r>
        <w:rPr>
          <w:b/>
          <w:color w:val="92278F" w:themeColor="accent1"/>
          <w:sz w:val="20"/>
        </w:rPr>
        <w:t>f</w:t>
      </w:r>
      <w:r w:rsidR="00FD2E59" w:rsidRPr="00020369">
        <w:rPr>
          <w:b/>
          <w:color w:val="92278F" w:themeColor="accent1"/>
          <w:sz w:val="20"/>
        </w:rPr>
        <w:t>inancial</w:t>
      </w:r>
      <w:proofErr w:type="gramEnd"/>
      <w:r w:rsidR="00FD2E59" w:rsidRPr="00020369">
        <w:rPr>
          <w:b/>
          <w:color w:val="92278F" w:themeColor="accent1"/>
          <w:sz w:val="20"/>
        </w:rPr>
        <w:t xml:space="preserve"> years</w:t>
      </w:r>
    </w:p>
    <w:p w14:paraId="64805203" w14:textId="61AD0B8E" w:rsidR="00FD2E59" w:rsidRPr="0025532C" w:rsidRDefault="00097FD4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464DE923" wp14:editId="404E781E">
            <wp:extent cx="3528000" cy="210340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AD4" w14:textId="1E66A76B" w:rsidR="00FD2E59" w:rsidRPr="00B720D6" w:rsidRDefault="00FD2E59" w:rsidP="00FD2E59">
      <w:pPr>
        <w:pStyle w:val="BodyText"/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(a) Gross operating surplus of dwelling owners, with owner</w:t>
      </w:r>
      <w:r w:rsidR="003623BC">
        <w:rPr>
          <w:sz w:val="10"/>
        </w:rPr>
        <w:noBreakHyphen/>
      </w:r>
      <w:r>
        <w:rPr>
          <w:sz w:val="10"/>
        </w:rPr>
        <w:t>occupiers assigned a rent for their dwellings. (b) Repairs, maintenance and personal services</w:t>
      </w:r>
      <w:r w:rsidRPr="00B720D6">
        <w:rPr>
          <w:sz w:val="10"/>
        </w:rPr>
        <w:t>.</w:t>
      </w:r>
    </w:p>
    <w:p w14:paraId="3C2CF369" w14:textId="7BFF9530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CC5EDB" w:rsidRPr="00F1062C">
        <w:rPr>
          <w:sz w:val="10"/>
        </w:rPr>
        <w:t xml:space="preserve">Based on data from </w:t>
      </w:r>
      <w:r w:rsidRPr="00F1062C">
        <w:rPr>
          <w:sz w:val="10"/>
        </w:rPr>
        <w:t>ABS 5220</w:t>
      </w:r>
      <w:r>
        <w:rPr>
          <w:sz w:val="10"/>
        </w:rPr>
        <w:t>.0 Australian National Accounts: State Accounts (Annual)</w:t>
      </w:r>
      <w:r w:rsidRPr="00B720D6">
        <w:rPr>
          <w:sz w:val="10"/>
        </w:rPr>
        <w:t>.</w:t>
      </w:r>
    </w:p>
    <w:p w14:paraId="2382C60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AF4E8CA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0938831" w14:textId="0605308A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Goods-produ</w:t>
      </w:r>
      <w:r w:rsidR="00B110DE" w:rsidRPr="00565BD3">
        <w:rPr>
          <w:sz w:val="16"/>
        </w:rPr>
        <w:t xml:space="preserve">cing industries accounted for </w:t>
      </w:r>
      <w:r w:rsidR="00A425B4" w:rsidRPr="00565BD3">
        <w:rPr>
          <w:sz w:val="16"/>
        </w:rPr>
        <w:t>60</w:t>
      </w:r>
      <w:r w:rsidRPr="00565BD3">
        <w:rPr>
          <w:sz w:val="16"/>
        </w:rPr>
        <w:t>% ($</w:t>
      </w:r>
      <w:r w:rsidR="00B110DE" w:rsidRPr="00565BD3">
        <w:rPr>
          <w:sz w:val="16"/>
        </w:rPr>
        <w:t>2</w:t>
      </w:r>
      <w:r w:rsidR="00A425B4" w:rsidRPr="00565BD3">
        <w:rPr>
          <w:sz w:val="16"/>
        </w:rPr>
        <w:t>42.6</w:t>
      </w:r>
      <w:r w:rsidRPr="00565BD3">
        <w:rPr>
          <w:sz w:val="16"/>
        </w:rPr>
        <w:t> billion) of We</w:t>
      </w:r>
      <w:r w:rsidR="00B110DE" w:rsidRPr="00565BD3">
        <w:rPr>
          <w:sz w:val="16"/>
        </w:rPr>
        <w:t>stern Australia’s GSP in 202</w:t>
      </w:r>
      <w:r w:rsidR="00A518B5" w:rsidRPr="00565BD3">
        <w:rPr>
          <w:sz w:val="16"/>
        </w:rPr>
        <w:t>1</w:t>
      </w:r>
      <w:r w:rsidR="00B110DE" w:rsidRPr="00565BD3">
        <w:rPr>
          <w:sz w:val="16"/>
        </w:rPr>
        <w:t>-2</w:t>
      </w:r>
      <w:r w:rsidR="00A518B5" w:rsidRPr="00565BD3">
        <w:rPr>
          <w:sz w:val="16"/>
        </w:rPr>
        <w:t>2</w:t>
      </w:r>
      <w:r w:rsidRPr="00565BD3">
        <w:rPr>
          <w:sz w:val="16"/>
        </w:rPr>
        <w:t>, including:</w:t>
      </w:r>
    </w:p>
    <w:p w14:paraId="46DC8E8D" w14:textId="5C6DF936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</w:t>
      </w:r>
      <w:r w:rsidR="00FD2E59" w:rsidRPr="00565BD3">
        <w:rPr>
          <w:sz w:val="16"/>
        </w:rPr>
        <w:t xml:space="preserve">ining </w:t>
      </w:r>
      <w:r w:rsidR="006F3C0D" w:rsidRPr="00565BD3">
        <w:rPr>
          <w:sz w:val="16"/>
        </w:rPr>
        <w:t>(4</w:t>
      </w:r>
      <w:r w:rsidR="00A518B5" w:rsidRPr="00565BD3">
        <w:rPr>
          <w:sz w:val="16"/>
        </w:rPr>
        <w:t>6</w:t>
      </w:r>
      <w:r w:rsidR="00FD2E59" w:rsidRPr="00565BD3">
        <w:rPr>
          <w:sz w:val="16"/>
        </w:rPr>
        <w:t>% or $</w:t>
      </w:r>
      <w:r w:rsidR="00A518B5" w:rsidRPr="00565BD3">
        <w:rPr>
          <w:sz w:val="16"/>
        </w:rPr>
        <w:t>186.8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16558D65" w14:textId="6F48B730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c</w:t>
      </w:r>
      <w:r w:rsidR="00FD2E59" w:rsidRPr="00565BD3">
        <w:rPr>
          <w:sz w:val="16"/>
        </w:rPr>
        <w:t>onstruction (5% or $</w:t>
      </w:r>
      <w:r w:rsidR="00A518B5" w:rsidRPr="00565BD3">
        <w:rPr>
          <w:sz w:val="16"/>
        </w:rPr>
        <w:t>21.0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6B1E0AD2" w14:textId="39DA503E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</w:t>
      </w:r>
      <w:r w:rsidR="00FD2E59" w:rsidRPr="00565BD3">
        <w:rPr>
          <w:sz w:val="16"/>
        </w:rPr>
        <w:t>anufa</w:t>
      </w:r>
      <w:r w:rsidR="00A518B5" w:rsidRPr="00565BD3">
        <w:rPr>
          <w:sz w:val="16"/>
        </w:rPr>
        <w:t>cturing (5</w:t>
      </w:r>
      <w:r w:rsidR="00FD2E59" w:rsidRPr="00565BD3">
        <w:rPr>
          <w:sz w:val="16"/>
        </w:rPr>
        <w:t>% or $</w:t>
      </w:r>
      <w:r w:rsidR="00A518B5" w:rsidRPr="00565BD3">
        <w:rPr>
          <w:sz w:val="16"/>
        </w:rPr>
        <w:t>18.8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7A91FDCA" w14:textId="5CE8F8D7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a</w:t>
      </w:r>
      <w:r w:rsidR="00FD2E59" w:rsidRPr="00565BD3">
        <w:rPr>
          <w:sz w:val="16"/>
        </w:rPr>
        <w:t>griculture</w:t>
      </w:r>
      <w:proofErr w:type="gramEnd"/>
      <w:r w:rsidR="00A518B5" w:rsidRPr="00565BD3">
        <w:rPr>
          <w:sz w:val="16"/>
        </w:rPr>
        <w:t>, forestry and fishing (3</w:t>
      </w:r>
      <w:r w:rsidR="006F3C0D" w:rsidRPr="00565BD3">
        <w:rPr>
          <w:sz w:val="16"/>
        </w:rPr>
        <w:t>% or $</w:t>
      </w:r>
      <w:r w:rsidR="00A518B5" w:rsidRPr="00565BD3">
        <w:rPr>
          <w:sz w:val="16"/>
        </w:rPr>
        <w:t>10.8</w:t>
      </w:r>
      <w:r w:rsidR="00FD2E59" w:rsidRPr="00565BD3">
        <w:rPr>
          <w:sz w:val="16"/>
        </w:rPr>
        <w:t> billion).</w:t>
      </w:r>
    </w:p>
    <w:p w14:paraId="4DC236FA" w14:textId="20A3BDFC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Services industries accounted for 3</w:t>
      </w:r>
      <w:r w:rsidR="006342F9" w:rsidRPr="00565BD3">
        <w:rPr>
          <w:sz w:val="16"/>
        </w:rPr>
        <w:t>2</w:t>
      </w:r>
      <w:r w:rsidR="00FD3980" w:rsidRPr="00565BD3">
        <w:rPr>
          <w:sz w:val="16"/>
        </w:rPr>
        <w:t>% ($128.8</w:t>
      </w:r>
      <w:r w:rsidR="006342F9" w:rsidRPr="00565BD3">
        <w:rPr>
          <w:sz w:val="16"/>
        </w:rPr>
        <w:t> </w:t>
      </w:r>
      <w:r w:rsidR="00FD3980" w:rsidRPr="00565BD3">
        <w:rPr>
          <w:sz w:val="16"/>
        </w:rPr>
        <w:t>billion) of GSP in 2021</w:t>
      </w:r>
      <w:r w:rsidRPr="00565BD3">
        <w:rPr>
          <w:sz w:val="16"/>
        </w:rPr>
        <w:t>-2</w:t>
      </w:r>
      <w:r w:rsidR="00FD3980" w:rsidRPr="00565BD3">
        <w:rPr>
          <w:sz w:val="16"/>
        </w:rPr>
        <w:t>2</w:t>
      </w:r>
      <w:r w:rsidRPr="00565BD3">
        <w:rPr>
          <w:sz w:val="16"/>
        </w:rPr>
        <w:t>, including:</w:t>
      </w:r>
    </w:p>
    <w:p w14:paraId="2EC3F3C1" w14:textId="66C05ED9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h</w:t>
      </w:r>
      <w:r w:rsidR="00FD2E59" w:rsidRPr="00565BD3">
        <w:rPr>
          <w:sz w:val="16"/>
        </w:rPr>
        <w:t>ealthcare and social assistance (5% or $1</w:t>
      </w:r>
      <w:r w:rsidR="006577B0" w:rsidRPr="00565BD3">
        <w:rPr>
          <w:sz w:val="16"/>
        </w:rPr>
        <w:t>8.7</w:t>
      </w:r>
      <w:r w:rsidR="00FD2E59" w:rsidRPr="00565BD3">
        <w:rPr>
          <w:sz w:val="16"/>
        </w:rPr>
        <w:t> billion)</w:t>
      </w:r>
    </w:p>
    <w:p w14:paraId="2E6B1246" w14:textId="3CCE0AF6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</w:t>
      </w:r>
      <w:r w:rsidR="00FD2E59" w:rsidRPr="00565BD3">
        <w:rPr>
          <w:sz w:val="16"/>
        </w:rPr>
        <w:t>rofessional, scientific and technical services (</w:t>
      </w:r>
      <w:r w:rsidR="006342F9" w:rsidRPr="00565BD3">
        <w:rPr>
          <w:sz w:val="16"/>
        </w:rPr>
        <w:t>4</w:t>
      </w:r>
      <w:r w:rsidR="006577B0" w:rsidRPr="00565BD3">
        <w:rPr>
          <w:sz w:val="16"/>
        </w:rPr>
        <w:t>% or $17.6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5CA8D521" w14:textId="486655FC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f</w:t>
      </w:r>
      <w:r w:rsidR="006342F9" w:rsidRPr="00565BD3">
        <w:rPr>
          <w:sz w:val="16"/>
        </w:rPr>
        <w:t>inance</w:t>
      </w:r>
      <w:proofErr w:type="gramEnd"/>
      <w:r w:rsidR="006342F9" w:rsidRPr="00565BD3">
        <w:rPr>
          <w:sz w:val="16"/>
        </w:rPr>
        <w:t xml:space="preserve"> and insurance (3</w:t>
      </w:r>
      <w:r w:rsidR="006577B0" w:rsidRPr="00565BD3">
        <w:rPr>
          <w:sz w:val="16"/>
        </w:rPr>
        <w:t>% or $12.2</w:t>
      </w:r>
      <w:r w:rsidR="00FD2E59" w:rsidRPr="00565BD3">
        <w:rPr>
          <w:sz w:val="16"/>
        </w:rPr>
        <w:t> billion).</w:t>
      </w:r>
    </w:p>
    <w:p w14:paraId="54053AB0" w14:textId="365A2212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Dwelling ownership and other items accounted for</w:t>
      </w:r>
      <w:r w:rsidR="00FD3980" w:rsidRPr="00565BD3">
        <w:rPr>
          <w:sz w:val="16"/>
        </w:rPr>
        <w:t xml:space="preserve"> the remaining 8% of GSP in 2021</w:t>
      </w:r>
      <w:r w:rsidR="002F3EFC" w:rsidRPr="00565BD3">
        <w:rPr>
          <w:sz w:val="16"/>
        </w:rPr>
        <w:noBreakHyphen/>
      </w:r>
      <w:r w:rsidR="00FD3980" w:rsidRPr="00565BD3">
        <w:rPr>
          <w:sz w:val="16"/>
        </w:rPr>
        <w:t>22</w:t>
      </w:r>
      <w:r w:rsidRPr="00565BD3">
        <w:rPr>
          <w:sz w:val="16"/>
        </w:rPr>
        <w:t>.</w:t>
      </w:r>
    </w:p>
    <w:p w14:paraId="67A95AC3" w14:textId="77777777" w:rsidR="00FD2E59" w:rsidRPr="00D77CEC" w:rsidRDefault="00FD2E59" w:rsidP="00FD2E59">
      <w:pPr>
        <w:pStyle w:val="BodyText"/>
        <w:spacing w:after="0"/>
        <w:ind w:left="360"/>
        <w:jc w:val="both"/>
        <w:rPr>
          <w:sz w:val="16"/>
        </w:rPr>
        <w:sectPr w:rsidR="00FD2E59" w:rsidRPr="00D77CE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2EB14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C52D709" w14:textId="2316CAA3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CD6369">
        <w:rPr>
          <w:b/>
          <w:color w:val="92278F" w:themeColor="accent1"/>
          <w:sz w:val="20"/>
        </w:rPr>
        <w:t>in Western Australia’s GSP</w:t>
      </w:r>
      <w:r w:rsidR="005C4B66">
        <w:rPr>
          <w:b/>
          <w:color w:val="92278F" w:themeColor="accent1"/>
          <w:sz w:val="20"/>
        </w:rPr>
        <w:t xml:space="preserve">: </w:t>
      </w:r>
      <w:r w:rsidR="005C4B66" w:rsidRPr="00BA2CAB">
        <w:rPr>
          <w:b/>
          <w:color w:val="92278F" w:themeColor="accent1"/>
          <w:sz w:val="20"/>
        </w:rPr>
        <w:t>2021</w:t>
      </w:r>
      <w:r w:rsidR="00C00EC0" w:rsidRPr="00BA2CAB">
        <w:rPr>
          <w:b/>
          <w:color w:val="92278F" w:themeColor="accent1"/>
          <w:sz w:val="20"/>
        </w:rPr>
        <w:noBreakHyphen/>
      </w:r>
      <w:r w:rsidRPr="00BA2CAB">
        <w:rPr>
          <w:b/>
          <w:color w:val="92278F" w:themeColor="accent1"/>
          <w:sz w:val="20"/>
        </w:rPr>
        <w:t>2</w:t>
      </w:r>
      <w:r w:rsidR="005C4B66" w:rsidRPr="00BA2CAB">
        <w:rPr>
          <w:b/>
          <w:color w:val="92278F" w:themeColor="accent1"/>
          <w:sz w:val="20"/>
        </w:rPr>
        <w:t>2</w:t>
      </w:r>
      <w:r w:rsidRPr="00BA2CAB">
        <w:rPr>
          <w:b/>
          <w:color w:val="92278F" w:themeColor="accent1"/>
          <w:sz w:val="20"/>
        </w:rPr>
        <w:t xml:space="preserve"> </w:t>
      </w:r>
      <w:r w:rsidRPr="00C45D8E">
        <w:rPr>
          <w:b/>
          <w:color w:val="92278F" w:themeColor="accent1"/>
          <w:sz w:val="20"/>
        </w:rPr>
        <w:t xml:space="preserve">financial </w:t>
      </w:r>
      <w:r w:rsidRPr="00020369">
        <w:rPr>
          <w:b/>
          <w:color w:val="92278F" w:themeColor="accent1"/>
          <w:sz w:val="20"/>
        </w:rPr>
        <w:t>year</w:t>
      </w:r>
    </w:p>
    <w:p w14:paraId="11107EF7" w14:textId="42448F12" w:rsidR="00FD2E59" w:rsidRDefault="00097FD4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B68CFF3" wp14:editId="3C4E1B47">
            <wp:extent cx="3528000" cy="210340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8599" w14:textId="64CAF68E" w:rsidR="00FD2E59" w:rsidRPr="00873AA6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 xml:space="preserve">s. </w:t>
      </w:r>
      <w:r>
        <w:rPr>
          <w:sz w:val="10"/>
        </w:rPr>
        <w:t xml:space="preserve">Original series. </w:t>
      </w:r>
      <w:r w:rsidR="00386A71">
        <w:rPr>
          <w:sz w:val="10"/>
        </w:rPr>
        <w:t xml:space="preserve">pp = </w:t>
      </w:r>
      <w:r w:rsidR="00386A71" w:rsidRPr="00C45D8E">
        <w:rPr>
          <w:sz w:val="10"/>
        </w:rPr>
        <w:t>percentage point. (a) Gross operating surplus of dwelling owners, with owner-occupiers assigned a rent for their dwellings. (b</w:t>
      </w:r>
      <w:r w:rsidRPr="00C45D8E">
        <w:rPr>
          <w:sz w:val="10"/>
        </w:rPr>
        <w:t>) Repairs, maint</w:t>
      </w:r>
      <w:r w:rsidR="00386A71" w:rsidRPr="00C45D8E">
        <w:rPr>
          <w:sz w:val="10"/>
        </w:rPr>
        <w:t xml:space="preserve">enance and personal services. </w:t>
      </w:r>
    </w:p>
    <w:p w14:paraId="73891D70" w14:textId="25226010" w:rsidR="00FD2E59" w:rsidRPr="00F1062C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CC5EDB" w:rsidRPr="00F1062C">
        <w:rPr>
          <w:sz w:val="10"/>
        </w:rPr>
        <w:t xml:space="preserve">Based on data from </w:t>
      </w:r>
      <w:r w:rsidRPr="00F1062C">
        <w:rPr>
          <w:sz w:val="10"/>
        </w:rPr>
        <w:t>ABS 5220.0 Australian National Accounts: State Accounts (Annual).</w:t>
      </w:r>
    </w:p>
    <w:p w14:paraId="6E3B503D" w14:textId="2EB42352" w:rsidR="00FD2E59" w:rsidRPr="00097FD4" w:rsidRDefault="00FD2E59" w:rsidP="00FD2E59">
      <w:pPr>
        <w:spacing w:after="0"/>
        <w:jc w:val="both"/>
        <w:rPr>
          <w:sz w:val="16"/>
        </w:rPr>
      </w:pPr>
      <w:r>
        <w:br w:type="column"/>
      </w:r>
    </w:p>
    <w:p w14:paraId="4FBBCB91" w14:textId="77777777" w:rsidR="00097FD4" w:rsidRDefault="00097FD4" w:rsidP="00FD2E59">
      <w:pPr>
        <w:spacing w:after="0"/>
        <w:jc w:val="both"/>
        <w:rPr>
          <w:sz w:val="16"/>
        </w:rPr>
      </w:pPr>
    </w:p>
    <w:p w14:paraId="40EEF33E" w14:textId="6B021DDE" w:rsidR="00FD2E59" w:rsidRPr="00565BD3" w:rsidRDefault="005C4B6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Agriculture, forestry and fishing (up 30.3</w:t>
      </w:r>
      <w:r w:rsidR="00FD2E59" w:rsidRPr="00565BD3">
        <w:rPr>
          <w:sz w:val="16"/>
        </w:rPr>
        <w:t>%) made the largest contribution to Western Aus</w:t>
      </w:r>
      <w:r w:rsidRPr="00565BD3">
        <w:rPr>
          <w:sz w:val="16"/>
        </w:rPr>
        <w:t>tralia’s real GSP growth in 2021-22</w:t>
      </w:r>
      <w:r w:rsidR="00FD2E59" w:rsidRPr="00565BD3">
        <w:rPr>
          <w:sz w:val="16"/>
        </w:rPr>
        <w:t>, followed by:</w:t>
      </w:r>
    </w:p>
    <w:p w14:paraId="531D72BE" w14:textId="1E6CB7B8" w:rsidR="00C770B4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c</w:t>
      </w:r>
      <w:r w:rsidR="005C4B66" w:rsidRPr="00565BD3">
        <w:rPr>
          <w:sz w:val="16"/>
        </w:rPr>
        <w:t>onstruction</w:t>
      </w:r>
      <w:proofErr w:type="gramEnd"/>
      <w:r w:rsidR="005C4B66" w:rsidRPr="00565BD3">
        <w:rPr>
          <w:sz w:val="16"/>
        </w:rPr>
        <w:t xml:space="preserve"> </w:t>
      </w:r>
      <w:r w:rsidR="00C770B4" w:rsidRPr="00565BD3">
        <w:rPr>
          <w:sz w:val="16"/>
        </w:rPr>
        <w:t xml:space="preserve">(up </w:t>
      </w:r>
      <w:r w:rsidR="005C4B66" w:rsidRPr="00565BD3">
        <w:rPr>
          <w:sz w:val="16"/>
        </w:rPr>
        <w:t>9.6</w:t>
      </w:r>
      <w:r w:rsidR="00C770B4" w:rsidRPr="00565BD3">
        <w:rPr>
          <w:sz w:val="16"/>
        </w:rPr>
        <w:t>%)</w:t>
      </w:r>
    </w:p>
    <w:p w14:paraId="6AF7FDAF" w14:textId="64C77926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p</w:t>
      </w:r>
      <w:r w:rsidR="005C4B66" w:rsidRPr="00565BD3">
        <w:rPr>
          <w:sz w:val="16"/>
        </w:rPr>
        <w:t>rofessional</w:t>
      </w:r>
      <w:proofErr w:type="gramEnd"/>
      <w:r w:rsidR="005C4B66" w:rsidRPr="00565BD3">
        <w:rPr>
          <w:sz w:val="16"/>
        </w:rPr>
        <w:t>, scientific and technical services (up</w:t>
      </w:r>
      <w:r w:rsidR="00C0147C" w:rsidRPr="00565BD3">
        <w:rPr>
          <w:sz w:val="16"/>
        </w:rPr>
        <w:t> </w:t>
      </w:r>
      <w:r w:rsidR="005C4B66" w:rsidRPr="00565BD3">
        <w:rPr>
          <w:sz w:val="16"/>
        </w:rPr>
        <w:t>10.8</w:t>
      </w:r>
      <w:r w:rsidR="00FD2E59" w:rsidRPr="00565BD3">
        <w:rPr>
          <w:sz w:val="16"/>
        </w:rPr>
        <w:t>%)</w:t>
      </w:r>
    </w:p>
    <w:p w14:paraId="10FFD16D" w14:textId="03761EA9" w:rsidR="00C770B4" w:rsidRPr="00565BD3" w:rsidRDefault="00B11DBC" w:rsidP="00C770B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a</w:t>
      </w:r>
      <w:r w:rsidR="005C4B66" w:rsidRPr="00565BD3">
        <w:rPr>
          <w:sz w:val="16"/>
        </w:rPr>
        <w:t>dministrative</w:t>
      </w:r>
      <w:proofErr w:type="gramEnd"/>
      <w:r w:rsidR="005C4B66" w:rsidRPr="00565BD3">
        <w:rPr>
          <w:sz w:val="16"/>
        </w:rPr>
        <w:t xml:space="preserve"> and support services (up 18.9</w:t>
      </w:r>
      <w:r w:rsidR="00C770B4" w:rsidRPr="00565BD3">
        <w:rPr>
          <w:sz w:val="16"/>
        </w:rPr>
        <w:t>%)</w:t>
      </w:r>
    </w:p>
    <w:p w14:paraId="1E2B3E98" w14:textId="1E0C48E2" w:rsidR="00E9719B" w:rsidRPr="00565BD3" w:rsidRDefault="00B11DBC" w:rsidP="00E9719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t</w:t>
      </w:r>
      <w:r w:rsidR="005C4B66" w:rsidRPr="00565BD3">
        <w:rPr>
          <w:sz w:val="16"/>
        </w:rPr>
        <w:t>ransport</w:t>
      </w:r>
      <w:proofErr w:type="gramEnd"/>
      <w:r w:rsidR="005C4B66" w:rsidRPr="00565BD3">
        <w:rPr>
          <w:sz w:val="16"/>
        </w:rPr>
        <w:t>, postal and warehousing (up 11.5</w:t>
      </w:r>
      <w:r w:rsidR="00E9719B" w:rsidRPr="00565BD3">
        <w:rPr>
          <w:sz w:val="16"/>
        </w:rPr>
        <w:t>%)</w:t>
      </w:r>
    </w:p>
    <w:p w14:paraId="7FD91F19" w14:textId="4D41D781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h</w:t>
      </w:r>
      <w:r w:rsidR="005C4B66" w:rsidRPr="00565BD3">
        <w:rPr>
          <w:sz w:val="16"/>
        </w:rPr>
        <w:t>ealthcare</w:t>
      </w:r>
      <w:proofErr w:type="gramEnd"/>
      <w:r w:rsidR="005C4B66" w:rsidRPr="00565BD3">
        <w:rPr>
          <w:sz w:val="16"/>
        </w:rPr>
        <w:t xml:space="preserve"> and social assistance (up 5.6</w:t>
      </w:r>
      <w:r w:rsidR="00FD2E59" w:rsidRPr="00565BD3">
        <w:rPr>
          <w:sz w:val="16"/>
        </w:rPr>
        <w:t>%).</w:t>
      </w:r>
    </w:p>
    <w:p w14:paraId="4175BEED" w14:textId="48B5E538" w:rsidR="00E9045D" w:rsidRPr="00565BD3" w:rsidRDefault="00C0147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O</w:t>
      </w:r>
      <w:r w:rsidR="00696076" w:rsidRPr="00565BD3">
        <w:rPr>
          <w:sz w:val="16"/>
        </w:rPr>
        <w:t xml:space="preserve">utput from Western Australia’s </w:t>
      </w:r>
      <w:r w:rsidR="00DE53B1" w:rsidRPr="00565BD3">
        <w:rPr>
          <w:sz w:val="16"/>
        </w:rPr>
        <w:t xml:space="preserve">agriculture, forestry and fishing industry was particularly strong </w:t>
      </w:r>
      <w:r w:rsidRPr="00565BD3">
        <w:rPr>
          <w:sz w:val="16"/>
        </w:rPr>
        <w:t>in 2021</w:t>
      </w:r>
      <w:r w:rsidRPr="00565BD3">
        <w:rPr>
          <w:sz w:val="16"/>
        </w:rPr>
        <w:noBreakHyphen/>
        <w:t>22, with favourable growing conditions leading to high yields and</w:t>
      </w:r>
      <w:r w:rsidR="00DE53B1" w:rsidRPr="00565BD3">
        <w:rPr>
          <w:sz w:val="16"/>
        </w:rPr>
        <w:t xml:space="preserve"> record </w:t>
      </w:r>
      <w:r w:rsidR="00A85D54" w:rsidRPr="00565BD3">
        <w:rPr>
          <w:sz w:val="16"/>
        </w:rPr>
        <w:t>grain production</w:t>
      </w:r>
      <w:r w:rsidR="00696076" w:rsidRPr="00565BD3">
        <w:rPr>
          <w:sz w:val="16"/>
        </w:rPr>
        <w:t>.</w:t>
      </w:r>
    </w:p>
    <w:p w14:paraId="478AFF23" w14:textId="4D2331DF" w:rsidR="00FD2E59" w:rsidRPr="00565BD3" w:rsidRDefault="005C4B6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Mining</w:t>
      </w:r>
      <w:r w:rsidR="00D4575C" w:rsidRPr="00565BD3">
        <w:rPr>
          <w:sz w:val="16"/>
        </w:rPr>
        <w:t xml:space="preserve"> (down</w:t>
      </w:r>
      <w:r w:rsidR="00FC4B1E" w:rsidRPr="00565BD3">
        <w:rPr>
          <w:sz w:val="16"/>
        </w:rPr>
        <w:t xml:space="preserve"> </w:t>
      </w:r>
      <w:r w:rsidRPr="00565BD3">
        <w:rPr>
          <w:sz w:val="16"/>
        </w:rPr>
        <w:t>1.8</w:t>
      </w:r>
      <w:r w:rsidR="00D4575C" w:rsidRPr="00565BD3">
        <w:rPr>
          <w:sz w:val="16"/>
        </w:rPr>
        <w:t xml:space="preserve">%) </w:t>
      </w:r>
      <w:r w:rsidR="00FD2E59" w:rsidRPr="00565BD3">
        <w:rPr>
          <w:sz w:val="16"/>
        </w:rPr>
        <w:t xml:space="preserve">was the </w:t>
      </w:r>
      <w:r w:rsidRPr="00565BD3">
        <w:rPr>
          <w:sz w:val="16"/>
        </w:rPr>
        <w:t>only</w:t>
      </w:r>
      <w:r w:rsidR="00FD2E59" w:rsidRPr="00565BD3">
        <w:rPr>
          <w:sz w:val="16"/>
        </w:rPr>
        <w:t xml:space="preserve"> </w:t>
      </w:r>
      <w:r w:rsidR="00C0147C" w:rsidRPr="00565BD3">
        <w:rPr>
          <w:sz w:val="16"/>
        </w:rPr>
        <w:t xml:space="preserve">industry to </w:t>
      </w:r>
      <w:r w:rsidR="00FD2E59" w:rsidRPr="00565BD3">
        <w:rPr>
          <w:sz w:val="16"/>
        </w:rPr>
        <w:t>detract from Western Aus</w:t>
      </w:r>
      <w:r w:rsidRPr="00565BD3">
        <w:rPr>
          <w:sz w:val="16"/>
        </w:rPr>
        <w:t>tralia’s real GSP growth in 2021</w:t>
      </w:r>
      <w:r w:rsidR="00C0147C" w:rsidRPr="00565BD3">
        <w:rPr>
          <w:sz w:val="16"/>
        </w:rPr>
        <w:noBreakHyphen/>
      </w:r>
      <w:r w:rsidRPr="00565BD3">
        <w:rPr>
          <w:sz w:val="16"/>
        </w:rPr>
        <w:t>22</w:t>
      </w:r>
      <w:r w:rsidR="002F4625" w:rsidRPr="00565BD3">
        <w:rPr>
          <w:sz w:val="16"/>
        </w:rPr>
        <w:t>, which</w:t>
      </w:r>
      <w:r w:rsidR="00933CB7" w:rsidRPr="00565BD3">
        <w:rPr>
          <w:sz w:val="16"/>
        </w:rPr>
        <w:t xml:space="preserve"> was largely due to </w:t>
      </w:r>
      <w:r w:rsidR="00302055" w:rsidRPr="00565BD3">
        <w:rPr>
          <w:sz w:val="16"/>
        </w:rPr>
        <w:t xml:space="preserve">a fall in </w:t>
      </w:r>
      <w:r w:rsidR="002F4625" w:rsidRPr="00565BD3">
        <w:rPr>
          <w:sz w:val="16"/>
        </w:rPr>
        <w:t xml:space="preserve">the </w:t>
      </w:r>
      <w:r w:rsidR="008A30BE" w:rsidRPr="00565BD3">
        <w:rPr>
          <w:sz w:val="16"/>
        </w:rPr>
        <w:t>quality adjusted volume of iron ore</w:t>
      </w:r>
      <w:r w:rsidR="00031CAE" w:rsidRPr="00565BD3">
        <w:rPr>
          <w:sz w:val="16"/>
        </w:rPr>
        <w:t xml:space="preserve"> production.</w:t>
      </w:r>
    </w:p>
    <w:p w14:paraId="3A6AC1B3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2C95BDA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The Economy</w:t>
      </w:r>
    </w:p>
    <w:p w14:paraId="07999067" w14:textId="4D0FE71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on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f</w:t>
      </w:r>
      <w:r w:rsidRPr="00020369">
        <w:rPr>
          <w:b/>
          <w:color w:val="92278F" w:themeColor="accent1"/>
          <w:sz w:val="20"/>
        </w:rPr>
        <w:t>inancial years</w:t>
      </w:r>
    </w:p>
    <w:p w14:paraId="29458601" w14:textId="639FC262" w:rsidR="00FD2E59" w:rsidRDefault="002D284A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CC10DD3" wp14:editId="17C69678">
            <wp:extent cx="3528000" cy="210340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28BE2" w14:textId="2B24B9F7" w:rsidR="00FD2E59" w:rsidRPr="00D93280" w:rsidRDefault="00FD2E59" w:rsidP="003623BC">
      <w:pPr>
        <w:spacing w:after="0"/>
        <w:jc w:val="both"/>
        <w:rPr>
          <w:sz w:val="10"/>
        </w:rPr>
      </w:pPr>
      <w:r w:rsidRPr="0034763D">
        <w:rPr>
          <w:sz w:val="10"/>
          <w:vertAlign w:val="superscript"/>
        </w:rPr>
        <w:t>1</w:t>
      </w:r>
      <w:r w:rsidRPr="0034763D">
        <w:rPr>
          <w:sz w:val="10"/>
        </w:rPr>
        <w:t xml:space="preserve"> </w:t>
      </w:r>
      <w:r w:rsidRPr="00D93280">
        <w:rPr>
          <w:sz w:val="10"/>
        </w:rPr>
        <w:t xml:space="preserve">Nominal or not adjusted for price changes. Original series. (a) General government final consumption expenditure and public gross fixed capital formation. (b) Includes ownership transfer costs. </w:t>
      </w:r>
      <w:r w:rsidR="0034763D" w:rsidRPr="00D93280">
        <w:rPr>
          <w:sz w:val="10"/>
        </w:rPr>
        <w:t xml:space="preserve">(c) </w:t>
      </w:r>
      <w:r w:rsidR="002D284A">
        <w:rPr>
          <w:sz w:val="10"/>
        </w:rPr>
        <w:t>International imports of goods and services</w:t>
      </w:r>
      <w:r w:rsidR="002D284A" w:rsidRPr="00C45D8E">
        <w:rPr>
          <w:sz w:val="10"/>
        </w:rPr>
        <w:t>.</w:t>
      </w:r>
      <w:r w:rsidR="0034763D" w:rsidRPr="00D93280">
        <w:rPr>
          <w:sz w:val="10"/>
        </w:rPr>
        <w:t xml:space="preserve"> (d</w:t>
      </w:r>
      <w:r w:rsidRPr="00D93280">
        <w:rPr>
          <w:sz w:val="10"/>
        </w:rPr>
        <w:t>) Implicitly comprises net interstate trade in goods and services, changes in inventories, miscellaneous items and a balancing item that equates the sum of GSP across the states and territories to Australia’s GDP.</w:t>
      </w:r>
    </w:p>
    <w:p w14:paraId="0D2D4DCC" w14:textId="05F3FD9E" w:rsidR="00FD2E59" w:rsidRPr="000709E1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CC5EDB" w:rsidRPr="008711E1">
        <w:rPr>
          <w:sz w:val="10"/>
        </w:rPr>
        <w:t xml:space="preserve">Based on data from </w:t>
      </w:r>
      <w:r w:rsidRPr="008711E1">
        <w:rPr>
          <w:sz w:val="10"/>
        </w:rPr>
        <w:t xml:space="preserve">ABS </w:t>
      </w:r>
      <w:r w:rsidRPr="00A441A2">
        <w:rPr>
          <w:sz w:val="10"/>
        </w:rPr>
        <w:t>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2497C5C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D8A2426" w14:textId="77777777" w:rsidR="00FD2E59" w:rsidRDefault="00FD2E59" w:rsidP="00FD2E59">
      <w:pPr>
        <w:spacing w:after="0"/>
        <w:jc w:val="both"/>
        <w:rPr>
          <w:sz w:val="16"/>
        </w:rPr>
      </w:pPr>
    </w:p>
    <w:p w14:paraId="6799B7FE" w14:textId="6A3E06B1" w:rsidR="00FD2E59" w:rsidRPr="00565BD3" w:rsidRDefault="002F462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International g</w:t>
      </w:r>
      <w:r w:rsidR="0034763D" w:rsidRPr="00565BD3">
        <w:rPr>
          <w:sz w:val="16"/>
        </w:rPr>
        <w:t>oods exports acco</w:t>
      </w:r>
      <w:r w:rsidR="00894743" w:rsidRPr="00565BD3">
        <w:rPr>
          <w:sz w:val="16"/>
        </w:rPr>
        <w:t>unted for 61</w:t>
      </w:r>
      <w:r w:rsidR="00FD2E59" w:rsidRPr="00565BD3">
        <w:rPr>
          <w:sz w:val="16"/>
        </w:rPr>
        <w:t>% ($</w:t>
      </w:r>
      <w:r w:rsidR="00894743" w:rsidRPr="00565BD3">
        <w:rPr>
          <w:sz w:val="16"/>
        </w:rPr>
        <w:t>247.0</w:t>
      </w:r>
      <w:r w:rsidR="004F08D0" w:rsidRPr="00565BD3">
        <w:rPr>
          <w:sz w:val="16"/>
        </w:rPr>
        <w:t> </w:t>
      </w:r>
      <w:r w:rsidR="00FD2E59" w:rsidRPr="00565BD3">
        <w:rPr>
          <w:sz w:val="16"/>
        </w:rPr>
        <w:t>billion) of</w:t>
      </w:r>
      <w:r w:rsidR="00894743" w:rsidRPr="00565BD3">
        <w:rPr>
          <w:sz w:val="16"/>
        </w:rPr>
        <w:t xml:space="preserve"> Western Australia’s GSP in 2021</w:t>
      </w:r>
      <w:r w:rsidR="002F3EFC" w:rsidRPr="00565BD3">
        <w:rPr>
          <w:sz w:val="16"/>
        </w:rPr>
        <w:noBreakHyphen/>
      </w:r>
      <w:r w:rsidR="00894743" w:rsidRPr="00565BD3">
        <w:rPr>
          <w:sz w:val="16"/>
        </w:rPr>
        <w:t>22</w:t>
      </w:r>
      <w:r w:rsidR="00FD2E59" w:rsidRPr="00565BD3">
        <w:rPr>
          <w:sz w:val="16"/>
        </w:rPr>
        <w:t>, followed by:</w:t>
      </w:r>
    </w:p>
    <w:p w14:paraId="0F348496" w14:textId="6852DA31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h</w:t>
      </w:r>
      <w:r w:rsidR="00894743" w:rsidRPr="00565BD3">
        <w:rPr>
          <w:sz w:val="16"/>
        </w:rPr>
        <w:t>ousehold consumption (30</w:t>
      </w:r>
      <w:r w:rsidR="00FD2E59" w:rsidRPr="00565BD3">
        <w:rPr>
          <w:sz w:val="16"/>
        </w:rPr>
        <w:t>% or $</w:t>
      </w:r>
      <w:r w:rsidR="00894743" w:rsidRPr="00565BD3">
        <w:rPr>
          <w:sz w:val="16"/>
        </w:rPr>
        <w:t>120.8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6CCF24E3" w14:textId="4B6FF667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</w:t>
      </w:r>
      <w:r w:rsidR="0034763D" w:rsidRPr="00565BD3">
        <w:rPr>
          <w:sz w:val="16"/>
        </w:rPr>
        <w:t>ublic final demand (1</w:t>
      </w:r>
      <w:r w:rsidR="00894743" w:rsidRPr="00565BD3">
        <w:rPr>
          <w:sz w:val="16"/>
        </w:rPr>
        <w:t>6% or $62.8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61C713B8" w14:textId="19CB1DEE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b</w:t>
      </w:r>
      <w:r w:rsidR="00894743" w:rsidRPr="00565BD3">
        <w:rPr>
          <w:sz w:val="16"/>
        </w:rPr>
        <w:t>usiness investment (12</w:t>
      </w:r>
      <w:r w:rsidR="00FD2E59" w:rsidRPr="00565BD3">
        <w:rPr>
          <w:sz w:val="16"/>
        </w:rPr>
        <w:t>% or $</w:t>
      </w:r>
      <w:r w:rsidR="00894743" w:rsidRPr="00565BD3">
        <w:rPr>
          <w:sz w:val="16"/>
        </w:rPr>
        <w:t>46.6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2D4C7268" w14:textId="0222D420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d</w:t>
      </w:r>
      <w:r w:rsidR="00FD2E59" w:rsidRPr="00565BD3">
        <w:rPr>
          <w:sz w:val="16"/>
        </w:rPr>
        <w:t>welling investment and ownership transfer costs (3% or $</w:t>
      </w:r>
      <w:r w:rsidR="00894743" w:rsidRPr="00565BD3">
        <w:rPr>
          <w:sz w:val="16"/>
        </w:rPr>
        <w:t>13.8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68CDBD38" w14:textId="3FD439F6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i</w:t>
      </w:r>
      <w:r w:rsidR="002F4625" w:rsidRPr="00565BD3">
        <w:rPr>
          <w:sz w:val="16"/>
        </w:rPr>
        <w:t>nternational</w:t>
      </w:r>
      <w:proofErr w:type="gramEnd"/>
      <w:r w:rsidR="002F4625" w:rsidRPr="00565BD3">
        <w:rPr>
          <w:sz w:val="16"/>
        </w:rPr>
        <w:t xml:space="preserve"> s</w:t>
      </w:r>
      <w:r w:rsidR="0034763D" w:rsidRPr="00565BD3">
        <w:rPr>
          <w:sz w:val="16"/>
        </w:rPr>
        <w:t>ervices exports (1</w:t>
      </w:r>
      <w:r w:rsidR="00FD2E59" w:rsidRPr="00565BD3">
        <w:rPr>
          <w:sz w:val="16"/>
        </w:rPr>
        <w:t>% or $</w:t>
      </w:r>
      <w:r w:rsidR="00894743" w:rsidRPr="00565BD3">
        <w:rPr>
          <w:sz w:val="16"/>
        </w:rPr>
        <w:t>4.0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billion).</w:t>
      </w:r>
    </w:p>
    <w:p w14:paraId="37E10B73" w14:textId="2D3569DB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Imports of goods and services detract from Western Australia’s GSP because it is expenditure on goods and services produced out</w:t>
      </w:r>
      <w:r w:rsidR="0075320A" w:rsidRPr="00565BD3">
        <w:rPr>
          <w:sz w:val="16"/>
        </w:rPr>
        <w:t xml:space="preserve">side of the </w:t>
      </w:r>
      <w:r w:rsidR="002F4625" w:rsidRPr="00565BD3">
        <w:rPr>
          <w:sz w:val="16"/>
        </w:rPr>
        <w:t>S</w:t>
      </w:r>
      <w:r w:rsidR="0075320A" w:rsidRPr="00565BD3">
        <w:rPr>
          <w:sz w:val="16"/>
        </w:rPr>
        <w:t>tate’s economy</w:t>
      </w:r>
      <w:r w:rsidR="002F3EFC" w:rsidRPr="00565BD3">
        <w:rPr>
          <w:sz w:val="16"/>
        </w:rPr>
        <w:t xml:space="preserve">. </w:t>
      </w:r>
      <w:r w:rsidR="002F4625" w:rsidRPr="00565BD3">
        <w:rPr>
          <w:sz w:val="16"/>
        </w:rPr>
        <w:t>International i</w:t>
      </w:r>
      <w:r w:rsidR="002F3EFC" w:rsidRPr="00565BD3">
        <w:rPr>
          <w:sz w:val="16"/>
        </w:rPr>
        <w:t>mports of goods and services detracted</w:t>
      </w:r>
      <w:r w:rsidRPr="00565BD3">
        <w:rPr>
          <w:sz w:val="16"/>
        </w:rPr>
        <w:t xml:space="preserve"> $</w:t>
      </w:r>
      <w:r w:rsidR="00BD109C" w:rsidRPr="00565BD3">
        <w:rPr>
          <w:sz w:val="16"/>
        </w:rPr>
        <w:t>50.5</w:t>
      </w:r>
      <w:r w:rsidRPr="00565BD3">
        <w:rPr>
          <w:sz w:val="16"/>
        </w:rPr>
        <w:t xml:space="preserve"> billion </w:t>
      </w:r>
      <w:r w:rsidR="00BD109C" w:rsidRPr="00565BD3">
        <w:rPr>
          <w:sz w:val="16"/>
        </w:rPr>
        <w:t>(12</w:t>
      </w:r>
      <w:r w:rsidR="002F3EFC" w:rsidRPr="00565BD3">
        <w:rPr>
          <w:sz w:val="16"/>
        </w:rPr>
        <w:t xml:space="preserve">%) from Western Australia’s GSP </w:t>
      </w:r>
      <w:r w:rsidRPr="00565BD3">
        <w:rPr>
          <w:sz w:val="16"/>
        </w:rPr>
        <w:t>in 20</w:t>
      </w:r>
      <w:r w:rsidR="00912060" w:rsidRPr="00565BD3">
        <w:rPr>
          <w:sz w:val="16"/>
        </w:rPr>
        <w:t>21</w:t>
      </w:r>
      <w:r w:rsidR="002F3EFC" w:rsidRPr="00565BD3">
        <w:rPr>
          <w:sz w:val="16"/>
        </w:rPr>
        <w:noBreakHyphen/>
      </w:r>
      <w:r w:rsidR="00912060" w:rsidRPr="00565BD3">
        <w:rPr>
          <w:sz w:val="16"/>
        </w:rPr>
        <w:t>22</w:t>
      </w:r>
      <w:r w:rsidR="0093762F" w:rsidRPr="00565BD3">
        <w:rPr>
          <w:sz w:val="16"/>
        </w:rPr>
        <w:t>.</w:t>
      </w:r>
    </w:p>
    <w:p w14:paraId="4F810927" w14:textId="680CEC40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 xml:space="preserve">The </w:t>
      </w:r>
      <w:proofErr w:type="gramStart"/>
      <w:r w:rsidRPr="00565BD3">
        <w:rPr>
          <w:sz w:val="16"/>
        </w:rPr>
        <w:t>Other</w:t>
      </w:r>
      <w:r w:rsidR="002D284A">
        <w:rPr>
          <w:sz w:val="16"/>
          <w:vertAlign w:val="superscript"/>
        </w:rPr>
        <w:t>(</w:t>
      </w:r>
      <w:proofErr w:type="gramEnd"/>
      <w:r w:rsidR="002D284A">
        <w:rPr>
          <w:sz w:val="16"/>
          <w:vertAlign w:val="superscript"/>
        </w:rPr>
        <w:t>d</w:t>
      </w:r>
      <w:r w:rsidRPr="00565BD3">
        <w:rPr>
          <w:sz w:val="16"/>
          <w:vertAlign w:val="superscript"/>
        </w:rPr>
        <w:t>)</w:t>
      </w:r>
      <w:r w:rsidRPr="00565BD3">
        <w:rPr>
          <w:sz w:val="16"/>
        </w:rPr>
        <w:t xml:space="preserve"> category detracted $4</w:t>
      </w:r>
      <w:r w:rsidR="00912060" w:rsidRPr="00565BD3">
        <w:rPr>
          <w:sz w:val="16"/>
        </w:rPr>
        <w:t>0.1</w:t>
      </w:r>
      <w:r w:rsidR="002F3EFC" w:rsidRPr="00565BD3">
        <w:rPr>
          <w:sz w:val="16"/>
        </w:rPr>
        <w:t> </w:t>
      </w:r>
      <w:r w:rsidR="00912060" w:rsidRPr="00565BD3">
        <w:rPr>
          <w:sz w:val="16"/>
        </w:rPr>
        <w:t>billion (10</w:t>
      </w:r>
      <w:r w:rsidRPr="00565BD3">
        <w:rPr>
          <w:sz w:val="16"/>
        </w:rPr>
        <w:t>%) from Western Australia’s GSP in 20</w:t>
      </w:r>
      <w:r w:rsidR="00912060" w:rsidRPr="00565BD3">
        <w:rPr>
          <w:sz w:val="16"/>
        </w:rPr>
        <w:t>21-22</w:t>
      </w:r>
      <w:r w:rsidRPr="00565BD3">
        <w:rPr>
          <w:sz w:val="16"/>
        </w:rPr>
        <w:t>. Western Australia generally has a negative value for this category because of its interstate trade deficit.</w:t>
      </w:r>
    </w:p>
    <w:p w14:paraId="2448F6DC" w14:textId="77777777" w:rsidR="00FD2E59" w:rsidRPr="00495588" w:rsidRDefault="00FD2E59" w:rsidP="00FD2E59">
      <w:pPr>
        <w:pStyle w:val="BodyText"/>
        <w:spacing w:after="0"/>
        <w:jc w:val="both"/>
        <w:rPr>
          <w:sz w:val="16"/>
        </w:rPr>
        <w:sectPr w:rsidR="00FD2E59" w:rsidRPr="0049558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96C23AA" w14:textId="7D64BBB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D20D42">
        <w:rPr>
          <w:b/>
          <w:color w:val="92278F" w:themeColor="accent1"/>
          <w:sz w:val="20"/>
        </w:rPr>
        <w:t>in Western Australia’s GSP</w:t>
      </w:r>
      <w:r w:rsidR="00B973E0">
        <w:rPr>
          <w:b/>
          <w:color w:val="92278F" w:themeColor="accent1"/>
          <w:sz w:val="20"/>
        </w:rPr>
        <w:t xml:space="preserve">: </w:t>
      </w:r>
      <w:r w:rsidR="00B973E0" w:rsidRPr="00BA2CAB">
        <w:rPr>
          <w:b/>
          <w:color w:val="92278F" w:themeColor="accent1"/>
          <w:sz w:val="20"/>
        </w:rPr>
        <w:t>2021-22</w:t>
      </w:r>
      <w:r w:rsidRPr="00BA2CAB">
        <w:rPr>
          <w:b/>
          <w:color w:val="92278F" w:themeColor="accent1"/>
          <w:sz w:val="20"/>
        </w:rPr>
        <w:t xml:space="preserve"> </w:t>
      </w:r>
      <w:r w:rsidRPr="00C45D8E">
        <w:rPr>
          <w:b/>
          <w:color w:val="92278F" w:themeColor="accent1"/>
          <w:sz w:val="20"/>
        </w:rPr>
        <w:t xml:space="preserve">financial </w:t>
      </w:r>
      <w:r w:rsidRPr="00020369">
        <w:rPr>
          <w:b/>
          <w:color w:val="92278F" w:themeColor="accent1"/>
          <w:sz w:val="20"/>
        </w:rPr>
        <w:t>year</w:t>
      </w:r>
    </w:p>
    <w:p w14:paraId="34A0FE3C" w14:textId="1F346E59" w:rsidR="00FD2E59" w:rsidRDefault="004D747D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1D4495B" wp14:editId="45CB6C4C">
            <wp:extent cx="3528000" cy="210340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1698" w14:textId="7CC18787" w:rsidR="00FD2E59" w:rsidRPr="004E78EB" w:rsidRDefault="00FD2E59" w:rsidP="003623BC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</w:t>
      </w:r>
      <w:r>
        <w:rPr>
          <w:sz w:val="10"/>
        </w:rPr>
        <w:t>Real or adjusted for price changes</w:t>
      </w:r>
      <w:r w:rsidRPr="00C110AE">
        <w:rPr>
          <w:sz w:val="10"/>
        </w:rPr>
        <w:t xml:space="preserve">. </w:t>
      </w:r>
      <w:r>
        <w:rPr>
          <w:sz w:val="10"/>
        </w:rPr>
        <w:t>Original series. pp = percentage point</w:t>
      </w:r>
      <w:r w:rsidRPr="00873AA6">
        <w:rPr>
          <w:sz w:val="10"/>
        </w:rPr>
        <w:t>.</w:t>
      </w:r>
      <w:r>
        <w:rPr>
          <w:sz w:val="10"/>
        </w:rPr>
        <w:t xml:space="preserve"> (a) </w:t>
      </w:r>
      <w:r w:rsidR="002D284A" w:rsidRPr="00D93280">
        <w:rPr>
          <w:sz w:val="10"/>
        </w:rPr>
        <w:t>Implicitly comprises net interstate trade in goods and services, changes in inventories, miscellaneous items and a balancing item that equates the sum of GSP across the states and territories to Australia’s GDP.</w:t>
      </w:r>
      <w:r w:rsidR="004D747D">
        <w:rPr>
          <w:sz w:val="10"/>
        </w:rPr>
        <w:t xml:space="preserve"> (b) </w:t>
      </w:r>
      <w:r>
        <w:rPr>
          <w:sz w:val="10"/>
        </w:rPr>
        <w:t>General government final consumption expenditure and public gross fixed capital forma</w:t>
      </w:r>
      <w:r w:rsidR="004D747D">
        <w:rPr>
          <w:sz w:val="10"/>
        </w:rPr>
        <w:t xml:space="preserve">tion. </w:t>
      </w:r>
      <w:r w:rsidR="00793FDF" w:rsidRPr="00C45D8E">
        <w:rPr>
          <w:sz w:val="10"/>
        </w:rPr>
        <w:t>(c) Includes ownership transfer costs. (d</w:t>
      </w:r>
      <w:r w:rsidRPr="00C45D8E">
        <w:rPr>
          <w:sz w:val="10"/>
        </w:rPr>
        <w:t>)</w:t>
      </w:r>
      <w:r w:rsidR="004D747D">
        <w:rPr>
          <w:sz w:val="10"/>
        </w:rPr>
        <w:t xml:space="preserve"> International imports of goods and services</w:t>
      </w:r>
      <w:r w:rsidRPr="00C45D8E">
        <w:rPr>
          <w:sz w:val="10"/>
        </w:rPr>
        <w:t>.</w:t>
      </w:r>
    </w:p>
    <w:p w14:paraId="5EDD940B" w14:textId="25ACB3B7" w:rsidR="00FD2E59" w:rsidRPr="004E78EB" w:rsidRDefault="00FD2E59" w:rsidP="003623BC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="00CC5EDB" w:rsidRPr="008711E1">
        <w:rPr>
          <w:sz w:val="10"/>
        </w:rPr>
        <w:t xml:space="preserve">Based on data from </w:t>
      </w:r>
      <w:r w:rsidRPr="008711E1">
        <w:rPr>
          <w:sz w:val="10"/>
        </w:rPr>
        <w:t xml:space="preserve">ABS </w:t>
      </w:r>
      <w:r w:rsidRPr="00A441A2">
        <w:rPr>
          <w:sz w:val="10"/>
        </w:rPr>
        <w:t>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1506B4BA" w14:textId="5ADDC00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81CC615" w14:textId="77777777" w:rsidR="004D747D" w:rsidRDefault="004D747D" w:rsidP="00FD2E59">
      <w:pPr>
        <w:pStyle w:val="BodyText"/>
        <w:spacing w:after="0"/>
        <w:jc w:val="both"/>
        <w:rPr>
          <w:sz w:val="16"/>
        </w:rPr>
      </w:pPr>
    </w:p>
    <w:p w14:paraId="11E7EB2D" w14:textId="213B366C" w:rsidR="002F4625" w:rsidRPr="00565BD3" w:rsidRDefault="00B973E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Household consumption</w:t>
      </w:r>
      <w:r w:rsidR="00815F85" w:rsidRPr="00565BD3">
        <w:rPr>
          <w:sz w:val="16"/>
        </w:rPr>
        <w:t xml:space="preserve"> (up </w:t>
      </w:r>
      <w:r w:rsidRPr="00565BD3">
        <w:rPr>
          <w:sz w:val="16"/>
        </w:rPr>
        <w:t>5.5</w:t>
      </w:r>
      <w:r w:rsidR="00FD2E59" w:rsidRPr="00565BD3">
        <w:rPr>
          <w:sz w:val="16"/>
        </w:rPr>
        <w:t>%) made the largest contribution to Western Australia’s real GSP growth in 20</w:t>
      </w:r>
      <w:r w:rsidRPr="00565BD3">
        <w:rPr>
          <w:sz w:val="16"/>
        </w:rPr>
        <w:t>21-22</w:t>
      </w:r>
      <w:r w:rsidR="002F4625" w:rsidRPr="00565BD3">
        <w:rPr>
          <w:sz w:val="16"/>
        </w:rPr>
        <w:t>.</w:t>
      </w:r>
      <w:r w:rsidR="00FD2E59" w:rsidRPr="00565BD3">
        <w:rPr>
          <w:sz w:val="16"/>
        </w:rPr>
        <w:t xml:space="preserve"> </w:t>
      </w:r>
      <w:r w:rsidR="002F4625" w:rsidRPr="00565BD3">
        <w:rPr>
          <w:sz w:val="16"/>
        </w:rPr>
        <w:t>Household consumption was supported</w:t>
      </w:r>
      <w:r w:rsidR="00FD2E59" w:rsidRPr="00565BD3">
        <w:rPr>
          <w:sz w:val="16"/>
        </w:rPr>
        <w:t xml:space="preserve"> by</w:t>
      </w:r>
      <w:r w:rsidR="002F4625" w:rsidRPr="00565BD3">
        <w:rPr>
          <w:sz w:val="16"/>
        </w:rPr>
        <w:t xml:space="preserve"> strong growth in employment in 2021</w:t>
      </w:r>
      <w:r w:rsidR="002F4625" w:rsidRPr="00565BD3">
        <w:rPr>
          <w:sz w:val="16"/>
        </w:rPr>
        <w:noBreakHyphen/>
        <w:t>22.</w:t>
      </w:r>
    </w:p>
    <w:p w14:paraId="3D50013D" w14:textId="5B36B3A0" w:rsidR="00FD2E59" w:rsidRPr="00565BD3" w:rsidRDefault="002F462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The other contributors to Western Australia’s real GDP growth on an expenditure basis in 2021</w:t>
      </w:r>
      <w:r w:rsidRPr="00565BD3">
        <w:rPr>
          <w:sz w:val="16"/>
        </w:rPr>
        <w:noBreakHyphen/>
        <w:t>22 were</w:t>
      </w:r>
      <w:r w:rsidR="00FD2E59" w:rsidRPr="00565BD3">
        <w:rPr>
          <w:sz w:val="16"/>
        </w:rPr>
        <w:t>:</w:t>
      </w:r>
    </w:p>
    <w:p w14:paraId="2ECF3149" w14:textId="33178529" w:rsidR="00B973E0" w:rsidRPr="00565BD3" w:rsidRDefault="00B11DBC" w:rsidP="006609E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t</w:t>
      </w:r>
      <w:r w:rsidR="002F4625" w:rsidRPr="00565BD3">
        <w:rPr>
          <w:sz w:val="16"/>
        </w:rPr>
        <w:t>he</w:t>
      </w:r>
      <w:proofErr w:type="gramEnd"/>
      <w:r w:rsidR="002F4625" w:rsidRPr="00565BD3">
        <w:rPr>
          <w:sz w:val="16"/>
        </w:rPr>
        <w:t xml:space="preserve"> Other</w:t>
      </w:r>
      <w:r w:rsidR="004D747D">
        <w:rPr>
          <w:sz w:val="16"/>
          <w:vertAlign w:val="superscript"/>
        </w:rPr>
        <w:t>(a</w:t>
      </w:r>
      <w:r w:rsidR="002F4625" w:rsidRPr="00565BD3">
        <w:rPr>
          <w:sz w:val="16"/>
          <w:vertAlign w:val="superscript"/>
        </w:rPr>
        <w:t>)</w:t>
      </w:r>
      <w:r w:rsidR="002F4625" w:rsidRPr="00565BD3">
        <w:rPr>
          <w:sz w:val="16"/>
        </w:rPr>
        <w:t xml:space="preserve"> category</w:t>
      </w:r>
      <w:r w:rsidR="00B973E0" w:rsidRPr="00565BD3">
        <w:rPr>
          <w:sz w:val="16"/>
        </w:rPr>
        <w:t xml:space="preserve"> </w:t>
      </w:r>
      <w:r w:rsidR="006609E4" w:rsidRPr="00565BD3">
        <w:rPr>
          <w:sz w:val="16"/>
        </w:rPr>
        <w:t>(down 12.8</w:t>
      </w:r>
      <w:r w:rsidR="00145634" w:rsidRPr="00565BD3">
        <w:rPr>
          <w:sz w:val="16"/>
        </w:rPr>
        <w:t>%</w:t>
      </w:r>
      <w:r w:rsidR="002F4625" w:rsidRPr="00565BD3">
        <w:rPr>
          <w:sz w:val="16"/>
        </w:rPr>
        <w:t>)</w:t>
      </w:r>
    </w:p>
    <w:p w14:paraId="72B04439" w14:textId="420AC9A1" w:rsidR="00B973E0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p</w:t>
      </w:r>
      <w:r w:rsidR="00B973E0" w:rsidRPr="00565BD3">
        <w:rPr>
          <w:sz w:val="16"/>
        </w:rPr>
        <w:t>ublic</w:t>
      </w:r>
      <w:proofErr w:type="gramEnd"/>
      <w:r w:rsidR="00B973E0" w:rsidRPr="00565BD3">
        <w:rPr>
          <w:sz w:val="16"/>
        </w:rPr>
        <w:t xml:space="preserve"> final demand (up 6.6%)</w:t>
      </w:r>
    </w:p>
    <w:p w14:paraId="57916BD4" w14:textId="4A8D8B77" w:rsidR="00846D89" w:rsidRPr="00565BD3" w:rsidRDefault="00B11DBC" w:rsidP="00846D8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b</w:t>
      </w:r>
      <w:r w:rsidR="00846D89" w:rsidRPr="00565BD3">
        <w:rPr>
          <w:sz w:val="16"/>
        </w:rPr>
        <w:t>usiness</w:t>
      </w:r>
      <w:proofErr w:type="gramEnd"/>
      <w:r w:rsidR="00846D89" w:rsidRPr="00565BD3">
        <w:rPr>
          <w:sz w:val="16"/>
        </w:rPr>
        <w:t xml:space="preserve"> investment (up </w:t>
      </w:r>
      <w:r w:rsidR="006609E4" w:rsidRPr="00565BD3">
        <w:rPr>
          <w:sz w:val="16"/>
        </w:rPr>
        <w:t>3.1</w:t>
      </w:r>
      <w:r w:rsidR="00846D89" w:rsidRPr="00565BD3">
        <w:rPr>
          <w:sz w:val="16"/>
        </w:rPr>
        <w:t>%)</w:t>
      </w:r>
    </w:p>
    <w:p w14:paraId="712D0A68" w14:textId="7F530D3F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d</w:t>
      </w:r>
      <w:r w:rsidR="00815F85" w:rsidRPr="00565BD3">
        <w:rPr>
          <w:sz w:val="16"/>
        </w:rPr>
        <w:t>welling</w:t>
      </w:r>
      <w:proofErr w:type="gramEnd"/>
      <w:r w:rsidR="00815F85" w:rsidRPr="00565BD3">
        <w:rPr>
          <w:sz w:val="16"/>
        </w:rPr>
        <w:t xml:space="preserve"> investment and ownership transfer costs</w:t>
      </w:r>
      <w:r w:rsidR="00FD2E59" w:rsidRPr="00565BD3">
        <w:rPr>
          <w:sz w:val="16"/>
        </w:rPr>
        <w:t xml:space="preserve"> (up </w:t>
      </w:r>
      <w:r w:rsidR="006609E4" w:rsidRPr="00565BD3">
        <w:rPr>
          <w:sz w:val="16"/>
        </w:rPr>
        <w:t>6.8</w:t>
      </w:r>
      <w:r w:rsidR="00FD2E59" w:rsidRPr="00565BD3">
        <w:rPr>
          <w:sz w:val="16"/>
        </w:rPr>
        <w:t>%)</w:t>
      </w:r>
      <w:r w:rsidR="006609E4" w:rsidRPr="00565BD3">
        <w:rPr>
          <w:sz w:val="16"/>
        </w:rPr>
        <w:t>.</w:t>
      </w:r>
    </w:p>
    <w:p w14:paraId="6DA0DD4B" w14:textId="1AAA07C2" w:rsidR="00FD2E59" w:rsidRPr="00565BD3" w:rsidRDefault="002F462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International g</w:t>
      </w:r>
      <w:r w:rsidR="00505B9F" w:rsidRPr="00565BD3">
        <w:rPr>
          <w:sz w:val="16"/>
        </w:rPr>
        <w:t>oods</w:t>
      </w:r>
      <w:r w:rsidR="00815F85" w:rsidRPr="00565BD3">
        <w:rPr>
          <w:sz w:val="16"/>
        </w:rPr>
        <w:t xml:space="preserve"> exports</w:t>
      </w:r>
      <w:r w:rsidR="00FD2E59" w:rsidRPr="00565BD3">
        <w:rPr>
          <w:sz w:val="16"/>
        </w:rPr>
        <w:t xml:space="preserve"> (down </w:t>
      </w:r>
      <w:r w:rsidR="00505B9F" w:rsidRPr="00565BD3">
        <w:rPr>
          <w:sz w:val="16"/>
        </w:rPr>
        <w:t>2.7</w:t>
      </w:r>
      <w:r w:rsidR="00815F85" w:rsidRPr="00565BD3">
        <w:rPr>
          <w:sz w:val="16"/>
        </w:rPr>
        <w:t>%) was</w:t>
      </w:r>
      <w:r w:rsidR="00FD2E59" w:rsidRPr="00565BD3">
        <w:rPr>
          <w:sz w:val="16"/>
        </w:rPr>
        <w:t xml:space="preserve"> the largest detractor from Western Australia’s real GSP growth in 20</w:t>
      </w:r>
      <w:r w:rsidR="00505B9F" w:rsidRPr="00565BD3">
        <w:rPr>
          <w:sz w:val="16"/>
        </w:rPr>
        <w:t>21-22</w:t>
      </w:r>
      <w:r w:rsidR="004B3BF0" w:rsidRPr="00565BD3">
        <w:rPr>
          <w:sz w:val="16"/>
        </w:rPr>
        <w:t xml:space="preserve">, followed by </w:t>
      </w:r>
      <w:r w:rsidRPr="00565BD3">
        <w:rPr>
          <w:sz w:val="16"/>
        </w:rPr>
        <w:t xml:space="preserve">international </w:t>
      </w:r>
      <w:r w:rsidR="004B3BF0" w:rsidRPr="00565BD3">
        <w:rPr>
          <w:sz w:val="16"/>
        </w:rPr>
        <w:t>services exports (down 4.4%).</w:t>
      </w:r>
      <w:r w:rsidR="00CC3E8C" w:rsidRPr="00565BD3">
        <w:rPr>
          <w:sz w:val="16"/>
        </w:rPr>
        <w:t xml:space="preserve"> </w:t>
      </w:r>
      <w:r w:rsidR="00596CB4" w:rsidRPr="00565BD3">
        <w:rPr>
          <w:sz w:val="16"/>
        </w:rPr>
        <w:t>While the value of Western Australia’s international goods exports increased in 2021</w:t>
      </w:r>
      <w:r w:rsidR="00596CB4" w:rsidRPr="00565BD3">
        <w:rPr>
          <w:sz w:val="16"/>
        </w:rPr>
        <w:noBreakHyphen/>
        <w:t xml:space="preserve">22, the quality adjusted volume of some of Western Australia’s commodity exports fell, leading to international goods exports contracting from </w:t>
      </w:r>
      <w:r w:rsidR="00E346D8" w:rsidRPr="00565BD3">
        <w:rPr>
          <w:sz w:val="16"/>
        </w:rPr>
        <w:t>Western Australia’s real GSP growth in 2021</w:t>
      </w:r>
      <w:r w:rsidR="00E346D8" w:rsidRPr="00565BD3">
        <w:rPr>
          <w:sz w:val="16"/>
        </w:rPr>
        <w:noBreakHyphen/>
        <w:t>22.</w:t>
      </w:r>
    </w:p>
    <w:p w14:paraId="005923AD" w14:textId="77777777" w:rsidR="00CC3E8C" w:rsidRPr="00CC3E8C" w:rsidRDefault="00CC3E8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CC3E8C" w:rsidRPr="00CC3E8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199A7C1" w14:textId="0F52FC30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state final demand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Pr="00020369">
        <w:rPr>
          <w:b/>
          <w:color w:val="92278F" w:themeColor="accent1"/>
          <w:sz w:val="20"/>
        </w:rPr>
        <w:t xml:space="preserve">): </w:t>
      </w:r>
      <w:r w:rsidR="00C00EC0">
        <w:rPr>
          <w:b/>
          <w:color w:val="92278F" w:themeColor="accent1"/>
          <w:sz w:val="20"/>
        </w:rPr>
        <w:t>q</w:t>
      </w:r>
      <w:r w:rsidRPr="00020369">
        <w:rPr>
          <w:b/>
          <w:color w:val="92278F" w:themeColor="accent1"/>
          <w:sz w:val="20"/>
        </w:rPr>
        <w:t>uarters</w:t>
      </w:r>
    </w:p>
    <w:p w14:paraId="35A05C15" w14:textId="6FDF526C" w:rsidR="00A46FB0" w:rsidRPr="004D747D" w:rsidRDefault="004D747D" w:rsidP="00FD2E59">
      <w:pPr>
        <w:spacing w:after="0"/>
        <w:jc w:val="both"/>
        <w:rPr>
          <w:sz w:val="16"/>
          <w:szCs w:val="16"/>
        </w:rPr>
      </w:pPr>
      <w:r>
        <w:rPr>
          <w:noProof/>
          <w:sz w:val="10"/>
          <w:lang w:eastAsia="en-AU"/>
        </w:rPr>
        <w:drawing>
          <wp:inline distT="0" distB="0" distL="0" distR="0" wp14:anchorId="31CDE58D" wp14:editId="7BDD6710">
            <wp:extent cx="3528000" cy="2106563"/>
            <wp:effectExtent l="0" t="0" r="0" b="825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3F864" w14:textId="5D08CB34" w:rsidR="00FD2E59" w:rsidRPr="004E78EB" w:rsidRDefault="00FD2E59" w:rsidP="003623BC">
      <w:pPr>
        <w:spacing w:after="0"/>
        <w:jc w:val="both"/>
        <w:rPr>
          <w:sz w:val="10"/>
        </w:rPr>
      </w:pPr>
      <w:r>
        <w:rPr>
          <w:sz w:val="10"/>
          <w:vertAlign w:val="superscript"/>
        </w:rPr>
        <w:t>1</w:t>
      </w:r>
      <w:r w:rsidRPr="00E76806"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E76806">
        <w:rPr>
          <w:sz w:val="10"/>
        </w:rPr>
        <w:t xml:space="preserve"> </w:t>
      </w:r>
      <w:r>
        <w:rPr>
          <w:sz w:val="10"/>
        </w:rPr>
        <w:t xml:space="preserve">Real or adjusted for </w:t>
      </w:r>
      <w:r w:rsidRPr="00E76806">
        <w:rPr>
          <w:sz w:val="10"/>
        </w:rPr>
        <w:t>price</w:t>
      </w:r>
      <w:r>
        <w:rPr>
          <w:sz w:val="10"/>
        </w:rPr>
        <w:t xml:space="preserve"> change</w:t>
      </w:r>
      <w:r w:rsidRPr="00E76806">
        <w:rPr>
          <w:sz w:val="10"/>
        </w:rPr>
        <w:t xml:space="preserve">s. Note - </w:t>
      </w:r>
      <w:r>
        <w:rPr>
          <w:sz w:val="10"/>
        </w:rPr>
        <w:t>Changes in</w:t>
      </w:r>
      <w:r w:rsidRPr="00E76806">
        <w:rPr>
          <w:sz w:val="10"/>
        </w:rPr>
        <w:t xml:space="preserve"> SFD </w:t>
      </w:r>
      <w:r w:rsidR="00E65352">
        <w:rPr>
          <w:sz w:val="10"/>
        </w:rPr>
        <w:t>can be</w:t>
      </w:r>
      <w:r w:rsidR="00E65352" w:rsidRPr="00E76806">
        <w:rPr>
          <w:sz w:val="10"/>
        </w:rPr>
        <w:t xml:space="preserve"> </w:t>
      </w:r>
      <w:r w:rsidRPr="00E76806">
        <w:rPr>
          <w:sz w:val="10"/>
        </w:rPr>
        <w:t xml:space="preserve">exaggerated by large swings in business investment </w:t>
      </w:r>
      <w:r>
        <w:rPr>
          <w:sz w:val="10"/>
        </w:rPr>
        <w:t>without adjusting for the asso</w:t>
      </w:r>
      <w:r w:rsidRPr="00E76806">
        <w:rPr>
          <w:sz w:val="10"/>
        </w:rPr>
        <w:t>ciated changes in import</w:t>
      </w:r>
      <w:r>
        <w:rPr>
          <w:sz w:val="10"/>
        </w:rPr>
        <w:t>s</w:t>
      </w:r>
      <w:r w:rsidRPr="00E76806">
        <w:rPr>
          <w:sz w:val="10"/>
        </w:rPr>
        <w:t xml:space="preserve">. (a) Includes </w:t>
      </w:r>
      <w:r>
        <w:rPr>
          <w:sz w:val="10"/>
        </w:rPr>
        <w:t>ownership transfer costs. (b) General government final consumption expenditure and public gross fixed capital formation.</w:t>
      </w:r>
    </w:p>
    <w:p w14:paraId="2E5CEF98" w14:textId="5C7C16DD" w:rsidR="00FD2E59" w:rsidRDefault="00FD2E59" w:rsidP="00FD2E59">
      <w:pPr>
        <w:spacing w:after="0"/>
        <w:jc w:val="both"/>
        <w:rPr>
          <w:sz w:val="10"/>
        </w:rPr>
      </w:pPr>
      <w:r w:rsidRPr="004E78EB">
        <w:rPr>
          <w:sz w:val="10"/>
        </w:rPr>
        <w:t xml:space="preserve">Source: </w:t>
      </w:r>
      <w:r w:rsidR="00CC5EDB" w:rsidRPr="008711E1">
        <w:rPr>
          <w:sz w:val="10"/>
        </w:rPr>
        <w:t xml:space="preserve">Based on data from </w:t>
      </w:r>
      <w:r w:rsidRPr="008711E1">
        <w:rPr>
          <w:sz w:val="10"/>
        </w:rPr>
        <w:t xml:space="preserve">ABS </w:t>
      </w:r>
      <w:r w:rsidRPr="004E78EB">
        <w:rPr>
          <w:sz w:val="10"/>
        </w:rPr>
        <w:t>520</w:t>
      </w:r>
      <w:r>
        <w:rPr>
          <w:sz w:val="10"/>
        </w:rPr>
        <w:t>6</w:t>
      </w:r>
      <w:r w:rsidRPr="004E78EB">
        <w:rPr>
          <w:sz w:val="10"/>
        </w:rPr>
        <w:t>.0. Australian National Accounts: National Income, Expenditure and Product (Quarterly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3E6056D6" w14:textId="0E14A700" w:rsidR="00FD2E59" w:rsidRPr="004D747D" w:rsidRDefault="00FD2E59" w:rsidP="00FD2E59">
      <w:pPr>
        <w:spacing w:after="0"/>
        <w:jc w:val="both"/>
        <w:rPr>
          <w:sz w:val="16"/>
        </w:rPr>
      </w:pPr>
      <w:r>
        <w:rPr>
          <w:sz w:val="10"/>
        </w:rPr>
        <w:br w:type="column"/>
      </w:r>
    </w:p>
    <w:p w14:paraId="49576E23" w14:textId="77777777" w:rsidR="004D747D" w:rsidRDefault="004D747D" w:rsidP="00FD2E59">
      <w:pPr>
        <w:spacing w:after="0"/>
        <w:jc w:val="both"/>
        <w:rPr>
          <w:sz w:val="16"/>
        </w:rPr>
      </w:pPr>
    </w:p>
    <w:p w14:paraId="10F02790" w14:textId="3CBCB96E" w:rsidR="00FD2E59" w:rsidRPr="006F0AC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20727">
        <w:rPr>
          <w:sz w:val="16"/>
        </w:rPr>
        <w:t xml:space="preserve">State final demand (SFD) </w:t>
      </w:r>
      <w:r w:rsidR="00772DE1" w:rsidRPr="00520727">
        <w:rPr>
          <w:sz w:val="16"/>
        </w:rPr>
        <w:t xml:space="preserve">measures </w:t>
      </w:r>
      <w:r w:rsidR="000B70B1" w:rsidRPr="00520727">
        <w:rPr>
          <w:sz w:val="16"/>
        </w:rPr>
        <w:t xml:space="preserve">total </w:t>
      </w:r>
      <w:r w:rsidR="00F32B1E" w:rsidRPr="00520727">
        <w:rPr>
          <w:sz w:val="16"/>
        </w:rPr>
        <w:t xml:space="preserve">consumption and </w:t>
      </w:r>
      <w:r w:rsidR="00F32B1E" w:rsidRPr="006F0AC6">
        <w:rPr>
          <w:sz w:val="16"/>
        </w:rPr>
        <w:t>investment</w:t>
      </w:r>
      <w:r w:rsidR="00B60D82" w:rsidRPr="006F0AC6">
        <w:rPr>
          <w:sz w:val="16"/>
        </w:rPr>
        <w:t xml:space="preserve"> </w:t>
      </w:r>
      <w:r w:rsidR="00772DE1" w:rsidRPr="006F0AC6">
        <w:rPr>
          <w:sz w:val="16"/>
        </w:rPr>
        <w:t>by the private and public sectors</w:t>
      </w:r>
      <w:r w:rsidRPr="006F0AC6">
        <w:rPr>
          <w:sz w:val="16"/>
        </w:rPr>
        <w:t xml:space="preserve">. </w:t>
      </w:r>
      <w:r w:rsidR="00810C8F" w:rsidRPr="006F0AC6">
        <w:rPr>
          <w:sz w:val="16"/>
        </w:rPr>
        <w:t xml:space="preserve">SFD </w:t>
      </w:r>
      <w:r w:rsidR="000E4955" w:rsidRPr="006F0AC6">
        <w:rPr>
          <w:sz w:val="16"/>
        </w:rPr>
        <w:t>accounted for 60</w:t>
      </w:r>
      <w:r w:rsidRPr="006F0AC6">
        <w:rPr>
          <w:sz w:val="16"/>
        </w:rPr>
        <w:t>% ($2</w:t>
      </w:r>
      <w:r w:rsidR="000E4955" w:rsidRPr="006F0AC6">
        <w:rPr>
          <w:sz w:val="16"/>
        </w:rPr>
        <w:t>44.1</w:t>
      </w:r>
      <w:r w:rsidRPr="006F0AC6">
        <w:rPr>
          <w:sz w:val="16"/>
        </w:rPr>
        <w:t> billion) of</w:t>
      </w:r>
      <w:r w:rsidR="000E4955" w:rsidRPr="006F0AC6">
        <w:rPr>
          <w:sz w:val="16"/>
        </w:rPr>
        <w:t xml:space="preserve"> Western Australia’s GSP in 2021-22</w:t>
      </w:r>
      <w:r w:rsidRPr="006F0AC6">
        <w:rPr>
          <w:sz w:val="16"/>
        </w:rPr>
        <w:t>.</w:t>
      </w:r>
    </w:p>
    <w:p w14:paraId="13F07316" w14:textId="52E786F0" w:rsidR="008B1BE7" w:rsidRPr="006F0AC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F0AC6">
        <w:rPr>
          <w:sz w:val="16"/>
        </w:rPr>
        <w:t xml:space="preserve">Western </w:t>
      </w:r>
      <w:r w:rsidR="008657DC" w:rsidRPr="006F0AC6">
        <w:rPr>
          <w:sz w:val="16"/>
        </w:rPr>
        <w:t xml:space="preserve">Australia’s </w:t>
      </w:r>
      <w:r w:rsidR="00886410" w:rsidRPr="006F0AC6">
        <w:rPr>
          <w:sz w:val="16"/>
        </w:rPr>
        <w:t>SFD</w:t>
      </w:r>
      <w:r w:rsidR="00040A1A" w:rsidRPr="006F0AC6">
        <w:rPr>
          <w:sz w:val="16"/>
        </w:rPr>
        <w:t xml:space="preserve"> </w:t>
      </w:r>
      <w:r w:rsidR="00586AA3" w:rsidRPr="006F0AC6">
        <w:rPr>
          <w:sz w:val="16"/>
        </w:rPr>
        <w:t>grew</w:t>
      </w:r>
      <w:r w:rsidR="007B6333" w:rsidRPr="006F0AC6">
        <w:rPr>
          <w:sz w:val="16"/>
        </w:rPr>
        <w:t xml:space="preserve"> for </w:t>
      </w:r>
      <w:r w:rsidR="00586AA3" w:rsidRPr="006F0AC6">
        <w:rPr>
          <w:sz w:val="16"/>
        </w:rPr>
        <w:t xml:space="preserve">the </w:t>
      </w:r>
      <w:r w:rsidR="00885B1E" w:rsidRPr="006F0AC6">
        <w:rPr>
          <w:sz w:val="16"/>
        </w:rPr>
        <w:t>ninth</w:t>
      </w:r>
      <w:r w:rsidR="00586AA3" w:rsidRPr="006F0AC6">
        <w:rPr>
          <w:sz w:val="16"/>
        </w:rPr>
        <w:t xml:space="preserve"> consecutive quarter in the September quarter 2022</w:t>
      </w:r>
      <w:r w:rsidR="002D3D50" w:rsidRPr="006F0AC6">
        <w:rPr>
          <w:sz w:val="16"/>
        </w:rPr>
        <w:t>, following a sharp fall</w:t>
      </w:r>
      <w:r w:rsidR="007B6333" w:rsidRPr="006F0AC6">
        <w:rPr>
          <w:sz w:val="16"/>
        </w:rPr>
        <w:t xml:space="preserve"> in the </w:t>
      </w:r>
      <w:r w:rsidR="0045014C" w:rsidRPr="006F0AC6">
        <w:rPr>
          <w:sz w:val="16"/>
        </w:rPr>
        <w:t>June quarter 2020</w:t>
      </w:r>
      <w:r w:rsidR="007B6333" w:rsidRPr="006F0AC6">
        <w:rPr>
          <w:sz w:val="16"/>
        </w:rPr>
        <w:t xml:space="preserve"> </w:t>
      </w:r>
      <w:r w:rsidR="00885B1E" w:rsidRPr="006F0AC6">
        <w:rPr>
          <w:sz w:val="16"/>
        </w:rPr>
        <w:t>due to</w:t>
      </w:r>
      <w:r w:rsidR="007B6333" w:rsidRPr="006F0AC6">
        <w:rPr>
          <w:sz w:val="16"/>
        </w:rPr>
        <w:t xml:space="preserve"> </w:t>
      </w:r>
      <w:r w:rsidR="00885B1E" w:rsidRPr="006F0AC6">
        <w:rPr>
          <w:sz w:val="16"/>
        </w:rPr>
        <w:t>the COVID</w:t>
      </w:r>
      <w:r w:rsidR="00885B1E" w:rsidRPr="006F0AC6">
        <w:rPr>
          <w:sz w:val="16"/>
        </w:rPr>
        <w:noBreakHyphen/>
      </w:r>
      <w:r w:rsidR="0045014C" w:rsidRPr="006F0AC6">
        <w:rPr>
          <w:sz w:val="16"/>
        </w:rPr>
        <w:t>19 pandemic</w:t>
      </w:r>
      <w:r w:rsidR="00A243B7" w:rsidRPr="006F0AC6">
        <w:rPr>
          <w:sz w:val="16"/>
        </w:rPr>
        <w:t>.</w:t>
      </w:r>
    </w:p>
    <w:p w14:paraId="6F3A4A68" w14:textId="66F5434F" w:rsidR="00B92B0C" w:rsidRPr="006F0AC6" w:rsidRDefault="00820E52" w:rsidP="00B92B0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F0AC6">
        <w:rPr>
          <w:sz w:val="16"/>
        </w:rPr>
        <w:t>Western Australia’s r</w:t>
      </w:r>
      <w:r w:rsidR="00186B03" w:rsidRPr="006F0AC6">
        <w:rPr>
          <w:sz w:val="16"/>
        </w:rPr>
        <w:t xml:space="preserve">eal SFD rose </w:t>
      </w:r>
      <w:r w:rsidR="00DE112A" w:rsidRPr="006F0AC6">
        <w:rPr>
          <w:sz w:val="16"/>
        </w:rPr>
        <w:t>0.6</w:t>
      </w:r>
      <w:r w:rsidR="00186B03" w:rsidRPr="006F0AC6">
        <w:rPr>
          <w:sz w:val="16"/>
        </w:rPr>
        <w:t xml:space="preserve">% in the </w:t>
      </w:r>
      <w:r w:rsidR="00DE112A" w:rsidRPr="006F0AC6">
        <w:rPr>
          <w:sz w:val="16"/>
        </w:rPr>
        <w:t>September</w:t>
      </w:r>
      <w:r w:rsidR="001E508A" w:rsidRPr="006F0AC6">
        <w:rPr>
          <w:sz w:val="16"/>
        </w:rPr>
        <w:t xml:space="preserve"> </w:t>
      </w:r>
      <w:r w:rsidR="00FD2E59" w:rsidRPr="006F0AC6">
        <w:rPr>
          <w:sz w:val="16"/>
        </w:rPr>
        <w:t>quart</w:t>
      </w:r>
      <w:r w:rsidR="00A243B7" w:rsidRPr="006F0AC6">
        <w:rPr>
          <w:sz w:val="16"/>
        </w:rPr>
        <w:t>er</w:t>
      </w:r>
      <w:r w:rsidR="00186B03" w:rsidRPr="006F0AC6">
        <w:rPr>
          <w:sz w:val="16"/>
        </w:rPr>
        <w:t xml:space="preserve"> 202</w:t>
      </w:r>
      <w:r w:rsidR="007C2C9E" w:rsidRPr="006F0AC6">
        <w:rPr>
          <w:sz w:val="16"/>
        </w:rPr>
        <w:t>2</w:t>
      </w:r>
      <w:r w:rsidR="00186B03" w:rsidRPr="006F0AC6">
        <w:rPr>
          <w:sz w:val="16"/>
        </w:rPr>
        <w:t xml:space="preserve">, following growth of </w:t>
      </w:r>
      <w:r w:rsidR="00DE112A" w:rsidRPr="006F0AC6">
        <w:rPr>
          <w:sz w:val="16"/>
        </w:rPr>
        <w:t>0.2</w:t>
      </w:r>
      <w:r w:rsidR="00186B03" w:rsidRPr="006F0AC6">
        <w:rPr>
          <w:sz w:val="16"/>
        </w:rPr>
        <w:t xml:space="preserve">% in the </w:t>
      </w:r>
      <w:r w:rsidR="00DE112A" w:rsidRPr="006F0AC6">
        <w:rPr>
          <w:sz w:val="16"/>
        </w:rPr>
        <w:t>June</w:t>
      </w:r>
      <w:r w:rsidR="001E508A" w:rsidRPr="006F0AC6">
        <w:rPr>
          <w:sz w:val="16"/>
        </w:rPr>
        <w:t xml:space="preserve"> </w:t>
      </w:r>
      <w:r w:rsidR="00A243B7" w:rsidRPr="006F0AC6">
        <w:rPr>
          <w:sz w:val="16"/>
        </w:rPr>
        <w:t>quarter 202</w:t>
      </w:r>
      <w:r w:rsidR="001E508A" w:rsidRPr="006F0AC6">
        <w:rPr>
          <w:sz w:val="16"/>
        </w:rPr>
        <w:t>2</w:t>
      </w:r>
      <w:r w:rsidR="00FD2E59" w:rsidRPr="006F0AC6">
        <w:rPr>
          <w:sz w:val="16"/>
        </w:rPr>
        <w:t>.</w:t>
      </w:r>
    </w:p>
    <w:p w14:paraId="3ED608D1" w14:textId="4E014AD3" w:rsidR="00FD2E59" w:rsidRPr="006F0AC6" w:rsidRDefault="00820E52" w:rsidP="00820E5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F0AC6">
        <w:rPr>
          <w:sz w:val="16"/>
        </w:rPr>
        <w:t>H</w:t>
      </w:r>
      <w:r w:rsidR="001E508A" w:rsidRPr="006F0AC6">
        <w:rPr>
          <w:sz w:val="16"/>
        </w:rPr>
        <w:t>ousehold consumption</w:t>
      </w:r>
      <w:r w:rsidR="006B212C" w:rsidRPr="006F0AC6">
        <w:rPr>
          <w:sz w:val="16"/>
        </w:rPr>
        <w:t xml:space="preserve"> (up </w:t>
      </w:r>
      <w:r w:rsidR="00472714" w:rsidRPr="006F0AC6">
        <w:rPr>
          <w:sz w:val="16"/>
        </w:rPr>
        <w:t>2</w:t>
      </w:r>
      <w:r w:rsidR="00D93DDC" w:rsidRPr="006F0AC6">
        <w:rPr>
          <w:sz w:val="16"/>
        </w:rPr>
        <w:t>.</w:t>
      </w:r>
      <w:r w:rsidR="007B6333" w:rsidRPr="006F0AC6">
        <w:rPr>
          <w:sz w:val="16"/>
        </w:rPr>
        <w:t>0</w:t>
      </w:r>
      <w:r w:rsidR="006B212C" w:rsidRPr="006F0AC6">
        <w:rPr>
          <w:sz w:val="16"/>
        </w:rPr>
        <w:t>%)</w:t>
      </w:r>
      <w:r w:rsidR="00FD2E59" w:rsidRPr="006F0AC6">
        <w:rPr>
          <w:sz w:val="16"/>
        </w:rPr>
        <w:t xml:space="preserve"> </w:t>
      </w:r>
      <w:r w:rsidR="00472714" w:rsidRPr="006F0AC6">
        <w:rPr>
          <w:sz w:val="16"/>
        </w:rPr>
        <w:t>was the</w:t>
      </w:r>
      <w:r w:rsidR="001E508A" w:rsidRPr="006F0AC6">
        <w:rPr>
          <w:sz w:val="16"/>
        </w:rPr>
        <w:t xml:space="preserve"> </w:t>
      </w:r>
      <w:r w:rsidR="00472714" w:rsidRPr="006F0AC6">
        <w:rPr>
          <w:sz w:val="16"/>
        </w:rPr>
        <w:t xml:space="preserve">main contributor to </w:t>
      </w:r>
      <w:r w:rsidR="00FD2E59" w:rsidRPr="006F0AC6">
        <w:rPr>
          <w:sz w:val="16"/>
        </w:rPr>
        <w:t xml:space="preserve">Western Australia’s </w:t>
      </w:r>
      <w:r w:rsidR="00472714" w:rsidRPr="006F0AC6">
        <w:rPr>
          <w:sz w:val="16"/>
        </w:rPr>
        <w:t>SFD growth</w:t>
      </w:r>
      <w:r w:rsidRPr="006F0AC6">
        <w:rPr>
          <w:sz w:val="16"/>
        </w:rPr>
        <w:t xml:space="preserve"> in the September quarter 2022,</w:t>
      </w:r>
      <w:r w:rsidR="00472714" w:rsidRPr="006F0AC6">
        <w:rPr>
          <w:sz w:val="16"/>
        </w:rPr>
        <w:t xml:space="preserve"> while business investment (down 1.6</w:t>
      </w:r>
      <w:r w:rsidR="00D93DDC" w:rsidRPr="006F0AC6">
        <w:rPr>
          <w:sz w:val="16"/>
        </w:rPr>
        <w:t xml:space="preserve">%) </w:t>
      </w:r>
      <w:r w:rsidR="00472714" w:rsidRPr="006F0AC6">
        <w:rPr>
          <w:sz w:val="16"/>
        </w:rPr>
        <w:t>was the main detractor from growth</w:t>
      </w:r>
      <w:r w:rsidR="00D93DDC" w:rsidRPr="006F0AC6">
        <w:rPr>
          <w:sz w:val="16"/>
        </w:rPr>
        <w:t>.</w:t>
      </w:r>
    </w:p>
    <w:p w14:paraId="07363ADA" w14:textId="0F56109F" w:rsidR="00E97540" w:rsidRPr="006F0AC6" w:rsidRDefault="00E97540" w:rsidP="004417C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F0AC6">
        <w:rPr>
          <w:sz w:val="16"/>
        </w:rPr>
        <w:t>Weste</w:t>
      </w:r>
      <w:r w:rsidR="00472714" w:rsidRPr="006F0AC6">
        <w:rPr>
          <w:sz w:val="16"/>
        </w:rPr>
        <w:t>rn Australia’s real SFD rose 4.5</w:t>
      </w:r>
      <w:r w:rsidRPr="006F0AC6">
        <w:rPr>
          <w:sz w:val="16"/>
        </w:rPr>
        <w:t>% in 2021</w:t>
      </w:r>
      <w:r w:rsidR="002F3EFC" w:rsidRPr="006F0AC6">
        <w:rPr>
          <w:sz w:val="16"/>
        </w:rPr>
        <w:noBreakHyphen/>
      </w:r>
      <w:r w:rsidRPr="006F0AC6">
        <w:rPr>
          <w:sz w:val="16"/>
        </w:rPr>
        <w:t>22.</w:t>
      </w:r>
    </w:p>
    <w:p w14:paraId="341CFE09" w14:textId="2D2A2968" w:rsidR="00FD2E59" w:rsidRPr="006F0AC6" w:rsidRDefault="00A9546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F0AC6">
        <w:rPr>
          <w:sz w:val="16"/>
        </w:rPr>
        <w:t>The 2022</w:t>
      </w:r>
      <w:r w:rsidRPr="006F0AC6">
        <w:rPr>
          <w:sz w:val="16"/>
        </w:rPr>
        <w:noBreakHyphen/>
        <w:t xml:space="preserve">23 WA Government Mid-year Financial Projections Statement </w:t>
      </w:r>
      <w:r w:rsidR="00051128" w:rsidRPr="006F0AC6">
        <w:rPr>
          <w:sz w:val="16"/>
        </w:rPr>
        <w:t>forecast</w:t>
      </w:r>
      <w:r w:rsidRPr="006F0AC6">
        <w:rPr>
          <w:sz w:val="16"/>
        </w:rPr>
        <w:t>s</w:t>
      </w:r>
      <w:r w:rsidR="00FD2E59" w:rsidRPr="006F0AC6">
        <w:rPr>
          <w:sz w:val="16"/>
        </w:rPr>
        <w:t xml:space="preserve"> We</w:t>
      </w:r>
      <w:r w:rsidR="0092251B" w:rsidRPr="006F0AC6">
        <w:rPr>
          <w:sz w:val="16"/>
        </w:rPr>
        <w:t>stern Australia’s real SFD</w:t>
      </w:r>
      <w:r w:rsidR="00051128" w:rsidRPr="006F0AC6">
        <w:rPr>
          <w:sz w:val="16"/>
        </w:rPr>
        <w:t xml:space="preserve"> </w:t>
      </w:r>
      <w:r w:rsidR="008D2064" w:rsidRPr="006F0AC6">
        <w:rPr>
          <w:sz w:val="16"/>
        </w:rPr>
        <w:t>will</w:t>
      </w:r>
      <w:r w:rsidR="00051128" w:rsidRPr="006F0AC6">
        <w:rPr>
          <w:sz w:val="16"/>
        </w:rPr>
        <w:t xml:space="preserve"> rise</w:t>
      </w:r>
      <w:r w:rsidR="00B60D82" w:rsidRPr="006F0AC6">
        <w:rPr>
          <w:sz w:val="16"/>
        </w:rPr>
        <w:t xml:space="preserve"> </w:t>
      </w:r>
      <w:r w:rsidR="00FF35BB" w:rsidRPr="006F0AC6">
        <w:rPr>
          <w:sz w:val="16"/>
        </w:rPr>
        <w:t>4</w:t>
      </w:r>
      <w:r w:rsidR="008D2064" w:rsidRPr="006F0AC6">
        <w:rPr>
          <w:sz w:val="16"/>
        </w:rPr>
        <w:t>.5</w:t>
      </w:r>
      <w:r w:rsidR="00FD2E59" w:rsidRPr="006F0AC6">
        <w:rPr>
          <w:sz w:val="16"/>
        </w:rPr>
        <w:t>% in 202</w:t>
      </w:r>
      <w:r w:rsidR="00FF35BB" w:rsidRPr="006F0AC6">
        <w:rPr>
          <w:sz w:val="16"/>
        </w:rPr>
        <w:t>2</w:t>
      </w:r>
      <w:r w:rsidR="002F3EFC" w:rsidRPr="006F0AC6">
        <w:rPr>
          <w:sz w:val="16"/>
        </w:rPr>
        <w:noBreakHyphen/>
      </w:r>
      <w:r w:rsidR="00FD2E59" w:rsidRPr="006F0AC6">
        <w:rPr>
          <w:sz w:val="16"/>
        </w:rPr>
        <w:t>2</w:t>
      </w:r>
      <w:r w:rsidR="00FF35BB" w:rsidRPr="006F0AC6">
        <w:rPr>
          <w:sz w:val="16"/>
        </w:rPr>
        <w:t>3</w:t>
      </w:r>
      <w:r w:rsidR="00E75900" w:rsidRPr="006F0AC6">
        <w:rPr>
          <w:sz w:val="16"/>
        </w:rPr>
        <w:t xml:space="preserve"> and </w:t>
      </w:r>
      <w:r w:rsidR="00FF35BB" w:rsidRPr="006F0AC6">
        <w:rPr>
          <w:sz w:val="16"/>
        </w:rPr>
        <w:t>3</w:t>
      </w:r>
      <w:r w:rsidR="00E75900" w:rsidRPr="006F0AC6">
        <w:rPr>
          <w:sz w:val="16"/>
        </w:rPr>
        <w:t>.0</w:t>
      </w:r>
      <w:r w:rsidR="00051128" w:rsidRPr="006F0AC6">
        <w:rPr>
          <w:sz w:val="16"/>
        </w:rPr>
        <w:t>% in 202</w:t>
      </w:r>
      <w:r w:rsidR="00FF35BB" w:rsidRPr="006F0AC6">
        <w:rPr>
          <w:sz w:val="16"/>
        </w:rPr>
        <w:t>3</w:t>
      </w:r>
      <w:r w:rsidR="002F3EFC" w:rsidRPr="006F0AC6">
        <w:rPr>
          <w:sz w:val="16"/>
        </w:rPr>
        <w:noBreakHyphen/>
      </w:r>
      <w:r w:rsidR="00051128" w:rsidRPr="006F0AC6">
        <w:rPr>
          <w:sz w:val="16"/>
        </w:rPr>
        <w:t>2</w:t>
      </w:r>
      <w:r w:rsidR="00FF35BB" w:rsidRPr="006F0AC6">
        <w:rPr>
          <w:sz w:val="16"/>
        </w:rPr>
        <w:t>4</w:t>
      </w:r>
      <w:r w:rsidR="00FD2E59" w:rsidRPr="006F0AC6">
        <w:rPr>
          <w:sz w:val="16"/>
        </w:rPr>
        <w:t>.</w:t>
      </w:r>
    </w:p>
    <w:p w14:paraId="574A7D6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sz w:val="16"/>
        </w:rPr>
        <w:br w:type="page"/>
      </w:r>
    </w:p>
    <w:p w14:paraId="120BD8E1" w14:textId="77777777" w:rsidR="00EB3D9C" w:rsidRPr="00DD5DF4" w:rsidRDefault="00EB3D9C" w:rsidP="00EB3D9C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Population and income</w:t>
      </w:r>
    </w:p>
    <w:p w14:paraId="6B8BEF80" w14:textId="21076A57" w:rsidR="00EB3D9C" w:rsidRPr="00020369" w:rsidRDefault="00EB3D9C" w:rsidP="00EB3D9C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population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="00D86350">
        <w:rPr>
          <w:b/>
          <w:color w:val="92278F" w:themeColor="accent1"/>
          <w:sz w:val="20"/>
        </w:rPr>
        <w:t>): financial</w:t>
      </w:r>
      <w:r w:rsidRPr="00B83616">
        <w:rPr>
          <w:b/>
          <w:color w:val="92278F" w:themeColor="accent1"/>
          <w:sz w:val="20"/>
        </w:rPr>
        <w:t xml:space="preserve"> years</w:t>
      </w:r>
    </w:p>
    <w:p w14:paraId="726FF171" w14:textId="03647094" w:rsidR="00EB3D9C" w:rsidRDefault="0005138F" w:rsidP="00EB3D9C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2C51424" wp14:editId="325D6BE4">
            <wp:extent cx="3528000" cy="210340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E6447" w14:textId="73E6630E" w:rsidR="00EB3D9C" w:rsidRPr="00071966" w:rsidRDefault="00EB3D9C" w:rsidP="00EB3D9C">
      <w:pPr>
        <w:spacing w:after="0"/>
        <w:jc w:val="both"/>
        <w:rPr>
          <w:sz w:val="16"/>
        </w:rPr>
      </w:pPr>
      <w:r w:rsidRPr="0018341E">
        <w:rPr>
          <w:sz w:val="10"/>
        </w:rPr>
        <w:t xml:space="preserve">Note – Components </w:t>
      </w:r>
      <w:r w:rsidRPr="00B83616">
        <w:rPr>
          <w:sz w:val="10"/>
        </w:rPr>
        <w:t xml:space="preserve">of population change may not sum to total population growth due to </w:t>
      </w:r>
      <w:proofErr w:type="spellStart"/>
      <w:r w:rsidRPr="00B83616">
        <w:rPr>
          <w:sz w:val="10"/>
        </w:rPr>
        <w:t>intercensal</w:t>
      </w:r>
      <w:proofErr w:type="spellEnd"/>
      <w:r w:rsidRPr="00B83616">
        <w:rPr>
          <w:sz w:val="10"/>
        </w:rPr>
        <w:t xml:space="preserve"> difference. </w:t>
      </w:r>
      <w:r w:rsidRPr="00B83616">
        <w:rPr>
          <w:sz w:val="10"/>
          <w:vertAlign w:val="superscript"/>
        </w:rPr>
        <w:t>1</w:t>
      </w:r>
      <w:r w:rsidRPr="00B83616">
        <w:rPr>
          <w:sz w:val="10"/>
        </w:rPr>
        <w:t xml:space="preserve"> Original series. </w:t>
      </w:r>
      <w:r w:rsidRPr="00B83616">
        <w:rPr>
          <w:sz w:val="10"/>
          <w:vertAlign w:val="superscript"/>
        </w:rPr>
        <w:t>2</w:t>
      </w:r>
      <w:r w:rsidRPr="00B83616">
        <w:rPr>
          <w:sz w:val="10"/>
        </w:rPr>
        <w:t xml:space="preserve"> </w:t>
      </w:r>
      <w:r w:rsidRPr="00F24AFE">
        <w:rPr>
          <w:sz w:val="10"/>
        </w:rPr>
        <w:t>Change betwe</w:t>
      </w:r>
      <w:r w:rsidR="00000F31" w:rsidRPr="00F24AFE">
        <w:rPr>
          <w:sz w:val="10"/>
        </w:rPr>
        <w:t>en June</w:t>
      </w:r>
      <w:r w:rsidRPr="00F24AFE">
        <w:rPr>
          <w:sz w:val="10"/>
        </w:rPr>
        <w:t xml:space="preserve"> quarters of each year.</w:t>
      </w:r>
    </w:p>
    <w:p w14:paraId="30A9C4BF" w14:textId="42FD0522" w:rsidR="00EB3D9C" w:rsidRPr="004E78EB" w:rsidRDefault="00EB3D9C" w:rsidP="00EB3D9C">
      <w:pPr>
        <w:spacing w:after="0"/>
        <w:jc w:val="both"/>
        <w:rPr>
          <w:sz w:val="16"/>
        </w:rPr>
      </w:pPr>
      <w:r w:rsidRPr="00716C34">
        <w:rPr>
          <w:sz w:val="10"/>
        </w:rPr>
        <w:t xml:space="preserve">Source: </w:t>
      </w:r>
      <w:r w:rsidR="00CC5EDB" w:rsidRPr="007D0DC0">
        <w:rPr>
          <w:sz w:val="10"/>
        </w:rPr>
        <w:t xml:space="preserve">Based on data from </w:t>
      </w:r>
      <w:r w:rsidRPr="007D0DC0">
        <w:rPr>
          <w:sz w:val="10"/>
        </w:rPr>
        <w:t xml:space="preserve">ABS </w:t>
      </w:r>
      <w:r>
        <w:rPr>
          <w:sz w:val="10"/>
        </w:rPr>
        <w:t>3101.0 Australian Demographic Statistics (Quarterly</w:t>
      </w:r>
      <w:r w:rsidRPr="004E78EB">
        <w:rPr>
          <w:sz w:val="10"/>
        </w:rPr>
        <w:t>).</w:t>
      </w:r>
    </w:p>
    <w:p w14:paraId="7BED9BC4" w14:textId="77777777" w:rsidR="00EB3D9C" w:rsidRDefault="00EB3D9C" w:rsidP="00EB3D9C">
      <w:pPr>
        <w:spacing w:after="0"/>
        <w:jc w:val="both"/>
        <w:rPr>
          <w:sz w:val="16"/>
        </w:rPr>
      </w:pPr>
    </w:p>
    <w:p w14:paraId="657D99E0" w14:textId="77777777" w:rsidR="00EB3D9C" w:rsidRDefault="00EB3D9C" w:rsidP="00EB3D9C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E8500F7" w14:textId="77777777" w:rsidR="00EB3D9C" w:rsidRDefault="00EB3D9C" w:rsidP="00EB3D9C">
      <w:pPr>
        <w:spacing w:after="0"/>
        <w:jc w:val="both"/>
        <w:rPr>
          <w:sz w:val="16"/>
        </w:rPr>
      </w:pPr>
    </w:p>
    <w:p w14:paraId="6F82CE5B" w14:textId="2A45BF9E" w:rsidR="00EB3D9C" w:rsidRPr="00F24AFE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4AFE">
        <w:rPr>
          <w:sz w:val="16"/>
        </w:rPr>
        <w:t>Western</w:t>
      </w:r>
      <w:r w:rsidR="0061791A" w:rsidRPr="00F24AFE">
        <w:rPr>
          <w:sz w:val="16"/>
        </w:rPr>
        <w:t xml:space="preserve"> Australia’s population was 2.79</w:t>
      </w:r>
      <w:r w:rsidRPr="00F24AFE">
        <w:rPr>
          <w:sz w:val="16"/>
        </w:rPr>
        <w:t> million in 2021</w:t>
      </w:r>
      <w:r w:rsidR="0061791A" w:rsidRPr="00F24AFE">
        <w:rPr>
          <w:sz w:val="16"/>
        </w:rPr>
        <w:t>-22</w:t>
      </w:r>
      <w:r w:rsidRPr="00F24AFE">
        <w:rPr>
          <w:sz w:val="16"/>
        </w:rPr>
        <w:t>, which was 10.7% of Australia’s population</w:t>
      </w:r>
      <w:r w:rsidRPr="00F24AFE">
        <w:rPr>
          <w:b/>
          <w:sz w:val="16"/>
        </w:rPr>
        <w:t>.</w:t>
      </w:r>
    </w:p>
    <w:p w14:paraId="083375F8" w14:textId="60DDFF0B" w:rsidR="00EB3D9C" w:rsidRPr="00F24AFE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4AFE">
        <w:rPr>
          <w:sz w:val="16"/>
        </w:rPr>
        <w:t>Western Australia’s population rose 1.</w:t>
      </w:r>
      <w:r w:rsidR="0061791A" w:rsidRPr="00F24AFE">
        <w:rPr>
          <w:sz w:val="16"/>
        </w:rPr>
        <w:t>3</w:t>
      </w:r>
      <w:r w:rsidRPr="00F24AFE">
        <w:rPr>
          <w:sz w:val="16"/>
        </w:rPr>
        <w:t>% in 2021</w:t>
      </w:r>
      <w:r w:rsidR="00885B1E" w:rsidRPr="00F24AFE">
        <w:rPr>
          <w:sz w:val="16"/>
        </w:rPr>
        <w:noBreakHyphen/>
      </w:r>
      <w:r w:rsidR="0061791A" w:rsidRPr="00F24AFE">
        <w:rPr>
          <w:sz w:val="16"/>
        </w:rPr>
        <w:t>22, above growth of 1.2</w:t>
      </w:r>
      <w:r w:rsidRPr="00F24AFE">
        <w:rPr>
          <w:sz w:val="16"/>
        </w:rPr>
        <w:t>% in 2020</w:t>
      </w:r>
      <w:r w:rsidR="00885B1E" w:rsidRPr="00F24AFE">
        <w:rPr>
          <w:sz w:val="16"/>
        </w:rPr>
        <w:noBreakHyphen/>
      </w:r>
      <w:r w:rsidR="0061791A" w:rsidRPr="00F24AFE">
        <w:rPr>
          <w:sz w:val="16"/>
        </w:rPr>
        <w:t>21, but</w:t>
      </w:r>
      <w:r w:rsidRPr="00F24AFE">
        <w:rPr>
          <w:sz w:val="16"/>
        </w:rPr>
        <w:t xml:space="preserve"> bel</w:t>
      </w:r>
      <w:r w:rsidR="0061791A" w:rsidRPr="00F24AFE">
        <w:rPr>
          <w:sz w:val="16"/>
        </w:rPr>
        <w:t>ow compound annual growth of 1.4</w:t>
      </w:r>
      <w:r w:rsidRPr="00F24AFE">
        <w:rPr>
          <w:sz w:val="16"/>
        </w:rPr>
        <w:t>% over the past 10 years.</w:t>
      </w:r>
    </w:p>
    <w:p w14:paraId="394156C7" w14:textId="6A69E5BE" w:rsidR="00EB3D9C" w:rsidRPr="00F24AFE" w:rsidRDefault="004E24E2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4AFE">
        <w:rPr>
          <w:sz w:val="16"/>
        </w:rPr>
        <w:t>Western Australia’s higher</w:t>
      </w:r>
      <w:r w:rsidR="00EB3D9C" w:rsidRPr="00F24AFE">
        <w:rPr>
          <w:sz w:val="16"/>
        </w:rPr>
        <w:t xml:space="preserve"> population </w:t>
      </w:r>
      <w:r w:rsidR="00407462" w:rsidRPr="00F24AFE">
        <w:rPr>
          <w:sz w:val="16"/>
        </w:rPr>
        <w:t>growth</w:t>
      </w:r>
      <w:r w:rsidR="009436CD" w:rsidRPr="00F24AFE">
        <w:rPr>
          <w:sz w:val="16"/>
        </w:rPr>
        <w:t xml:space="preserve"> in 2021-22</w:t>
      </w:r>
      <w:r w:rsidR="00AB409E" w:rsidRPr="00F24AFE">
        <w:rPr>
          <w:sz w:val="16"/>
        </w:rPr>
        <w:t xml:space="preserve"> was </w:t>
      </w:r>
      <w:r w:rsidR="00BF1963" w:rsidRPr="00F24AFE">
        <w:rPr>
          <w:sz w:val="16"/>
        </w:rPr>
        <w:t xml:space="preserve">largely due to a turnaround in </w:t>
      </w:r>
      <w:r w:rsidR="00973A3D" w:rsidRPr="00F24AFE">
        <w:rPr>
          <w:sz w:val="16"/>
        </w:rPr>
        <w:t>net</w:t>
      </w:r>
      <w:r w:rsidR="00000F31" w:rsidRPr="00F24AFE">
        <w:rPr>
          <w:sz w:val="16"/>
        </w:rPr>
        <w:t xml:space="preserve"> overseas migration</w:t>
      </w:r>
      <w:r w:rsidR="00BF1963" w:rsidRPr="00F24AFE">
        <w:rPr>
          <w:sz w:val="16"/>
        </w:rPr>
        <w:t xml:space="preserve">, which was negative in </w:t>
      </w:r>
      <w:r w:rsidR="00AE2922" w:rsidRPr="00F24AFE">
        <w:rPr>
          <w:sz w:val="16"/>
        </w:rPr>
        <w:t xml:space="preserve">2020-21 </w:t>
      </w:r>
      <w:r w:rsidR="00BF1963" w:rsidRPr="00F24AFE">
        <w:rPr>
          <w:sz w:val="16"/>
        </w:rPr>
        <w:t xml:space="preserve">due to the effects of the </w:t>
      </w:r>
      <w:r w:rsidR="00AE2922" w:rsidRPr="00F24AFE">
        <w:rPr>
          <w:sz w:val="16"/>
        </w:rPr>
        <w:t>COVID</w:t>
      </w:r>
      <w:r w:rsidR="00AE2922" w:rsidRPr="00F24AFE">
        <w:rPr>
          <w:sz w:val="16"/>
        </w:rPr>
        <w:noBreakHyphen/>
        <w:t>19 pandemic</w:t>
      </w:r>
      <w:r w:rsidR="00EB3D9C" w:rsidRPr="00F24AFE">
        <w:rPr>
          <w:sz w:val="16"/>
        </w:rPr>
        <w:t>.</w:t>
      </w:r>
    </w:p>
    <w:p w14:paraId="1AAAE62A" w14:textId="1F0B9160" w:rsidR="00EB3D9C" w:rsidRPr="00F24AFE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4AFE">
        <w:rPr>
          <w:sz w:val="16"/>
        </w:rPr>
        <w:t>Western Au</w:t>
      </w:r>
      <w:r w:rsidR="00000F31" w:rsidRPr="00F24AFE">
        <w:rPr>
          <w:sz w:val="16"/>
        </w:rPr>
        <w:t>stralia’s population grew by 35,448</w:t>
      </w:r>
      <w:r w:rsidRPr="00F24AFE">
        <w:rPr>
          <w:sz w:val="16"/>
        </w:rPr>
        <w:t xml:space="preserve"> in 2021</w:t>
      </w:r>
      <w:r w:rsidR="00000F31" w:rsidRPr="00F24AFE">
        <w:rPr>
          <w:sz w:val="16"/>
        </w:rPr>
        <w:t>-22</w:t>
      </w:r>
      <w:r w:rsidRPr="00F24AFE">
        <w:rPr>
          <w:sz w:val="16"/>
        </w:rPr>
        <w:t>, comprising:</w:t>
      </w:r>
    </w:p>
    <w:p w14:paraId="294C92E1" w14:textId="6B67F429" w:rsidR="00EB3D9C" w:rsidRPr="00F24AFE" w:rsidRDefault="00B11DBC" w:rsidP="00EB3D9C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24AFE">
        <w:rPr>
          <w:sz w:val="16"/>
        </w:rPr>
        <w:t>n</w:t>
      </w:r>
      <w:r w:rsidR="00000F31" w:rsidRPr="00F24AFE">
        <w:rPr>
          <w:sz w:val="16"/>
        </w:rPr>
        <w:t>atural increase of 16</w:t>
      </w:r>
      <w:r w:rsidR="00EB3D9C" w:rsidRPr="00F24AFE">
        <w:rPr>
          <w:sz w:val="16"/>
        </w:rPr>
        <w:t>,</w:t>
      </w:r>
      <w:r w:rsidR="00000F31" w:rsidRPr="00F24AFE">
        <w:rPr>
          <w:sz w:val="16"/>
        </w:rPr>
        <w:t>179</w:t>
      </w:r>
    </w:p>
    <w:p w14:paraId="79AB8F5C" w14:textId="5794C9FD" w:rsidR="00EB3D9C" w:rsidRPr="00F24AFE" w:rsidRDefault="00B11DBC" w:rsidP="00EB3D9C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24AFE">
        <w:rPr>
          <w:sz w:val="16"/>
        </w:rPr>
        <w:t>n</w:t>
      </w:r>
      <w:r w:rsidR="00000F31" w:rsidRPr="00F24AFE">
        <w:rPr>
          <w:sz w:val="16"/>
        </w:rPr>
        <w:t>et interstate migration of 10,791</w:t>
      </w:r>
    </w:p>
    <w:p w14:paraId="45A7C384" w14:textId="73652F41" w:rsidR="00EB3D9C" w:rsidRPr="00F24AFE" w:rsidRDefault="00B11DBC" w:rsidP="00EB3D9C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F24AFE">
        <w:rPr>
          <w:sz w:val="16"/>
        </w:rPr>
        <w:t>n</w:t>
      </w:r>
      <w:r w:rsidR="00000F31" w:rsidRPr="00F24AFE">
        <w:rPr>
          <w:sz w:val="16"/>
        </w:rPr>
        <w:t>et</w:t>
      </w:r>
      <w:proofErr w:type="gramEnd"/>
      <w:r w:rsidR="00000F31" w:rsidRPr="00F24AFE">
        <w:rPr>
          <w:sz w:val="16"/>
        </w:rPr>
        <w:t xml:space="preserve"> overseas migration of 9,502</w:t>
      </w:r>
      <w:r w:rsidR="00EB3D9C" w:rsidRPr="00F24AFE">
        <w:rPr>
          <w:sz w:val="16"/>
        </w:rPr>
        <w:t>.</w:t>
      </w:r>
    </w:p>
    <w:p w14:paraId="50048BF9" w14:textId="7017B3FD" w:rsidR="00EB3D9C" w:rsidRPr="00F24AFE" w:rsidRDefault="00A95465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4AFE">
        <w:rPr>
          <w:sz w:val="16"/>
        </w:rPr>
        <w:t>The 2022</w:t>
      </w:r>
      <w:r w:rsidRPr="00F24AFE">
        <w:rPr>
          <w:sz w:val="16"/>
        </w:rPr>
        <w:noBreakHyphen/>
        <w:t>23 WA Government Mid-year Financial Projections Statement forecasts</w:t>
      </w:r>
      <w:r w:rsidR="00EB3D9C" w:rsidRPr="00F24AFE">
        <w:rPr>
          <w:sz w:val="16"/>
        </w:rPr>
        <w:t xml:space="preserve"> West</w:t>
      </w:r>
      <w:r w:rsidR="004606BD" w:rsidRPr="00F24AFE">
        <w:rPr>
          <w:sz w:val="16"/>
        </w:rPr>
        <w:t xml:space="preserve">ern Australia’s population will grow 1.5% in </w:t>
      </w:r>
      <w:r w:rsidR="006A3D19" w:rsidRPr="00F24AFE">
        <w:rPr>
          <w:sz w:val="16"/>
        </w:rPr>
        <w:t xml:space="preserve">both </w:t>
      </w:r>
      <w:r w:rsidR="004606BD" w:rsidRPr="00F24AFE">
        <w:rPr>
          <w:sz w:val="16"/>
        </w:rPr>
        <w:t>2022</w:t>
      </w:r>
      <w:r w:rsidR="004606BD" w:rsidRPr="00F24AFE">
        <w:rPr>
          <w:sz w:val="16"/>
        </w:rPr>
        <w:noBreakHyphen/>
        <w:t xml:space="preserve">23 and </w:t>
      </w:r>
      <w:r w:rsidR="00EB3D9C" w:rsidRPr="00F24AFE">
        <w:rPr>
          <w:sz w:val="16"/>
        </w:rPr>
        <w:t>2023-24.</w:t>
      </w:r>
    </w:p>
    <w:p w14:paraId="597AB44F" w14:textId="77777777" w:rsidR="00EB3D9C" w:rsidRPr="001F5528" w:rsidRDefault="00EB3D9C" w:rsidP="00EB3D9C">
      <w:pPr>
        <w:pStyle w:val="BodyText"/>
        <w:spacing w:after="0"/>
        <w:jc w:val="both"/>
        <w:rPr>
          <w:color w:val="0070C0"/>
          <w:sz w:val="16"/>
        </w:rPr>
        <w:sectPr w:rsidR="00EB3D9C" w:rsidRPr="001F552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3642745" w14:textId="77777777" w:rsidR="00EB3D9C" w:rsidRPr="004A7FCA" w:rsidRDefault="00EB3D9C" w:rsidP="00EB3D9C">
      <w:pPr>
        <w:pStyle w:val="BodyText"/>
        <w:spacing w:after="0"/>
        <w:jc w:val="both"/>
        <w:rPr>
          <w:sz w:val="16"/>
        </w:rPr>
      </w:pPr>
    </w:p>
    <w:p w14:paraId="44436379" w14:textId="77777777" w:rsidR="00EB3D9C" w:rsidRPr="00077C02" w:rsidRDefault="00EB3D9C" w:rsidP="00EB3D9C">
      <w:pPr>
        <w:pStyle w:val="BodyText"/>
        <w:spacing w:after="0"/>
        <w:rPr>
          <w:b/>
          <w:color w:val="92278F" w:themeColor="accent1"/>
          <w:sz w:val="20"/>
        </w:rPr>
      </w:pPr>
      <w:r w:rsidRPr="00077C02">
        <w:rPr>
          <w:b/>
          <w:color w:val="92278F" w:themeColor="accent1"/>
          <w:sz w:val="20"/>
        </w:rPr>
        <w:t>Western Australia’s gross state income and household income per capita (% change</w:t>
      </w:r>
      <w:proofErr w:type="gramStart"/>
      <w:r w:rsidRPr="00077C02">
        <w:rPr>
          <w:b/>
          <w:color w:val="92278F" w:themeColor="accent1"/>
          <w:sz w:val="20"/>
        </w:rPr>
        <w:t>)</w:t>
      </w:r>
      <w:r w:rsidRPr="00077C02">
        <w:rPr>
          <w:b/>
          <w:color w:val="92278F" w:themeColor="accent1"/>
          <w:sz w:val="20"/>
          <w:vertAlign w:val="superscript"/>
        </w:rPr>
        <w:t>1</w:t>
      </w:r>
      <w:proofErr w:type="gramEnd"/>
      <w:r>
        <w:rPr>
          <w:b/>
          <w:color w:val="92278F" w:themeColor="accent1"/>
          <w:sz w:val="20"/>
        </w:rPr>
        <w:t>: f</w:t>
      </w:r>
      <w:r w:rsidRPr="00077C02">
        <w:rPr>
          <w:b/>
          <w:color w:val="92278F" w:themeColor="accent1"/>
          <w:sz w:val="20"/>
        </w:rPr>
        <w:t>inancial years</w:t>
      </w:r>
    </w:p>
    <w:p w14:paraId="684BF7E4" w14:textId="3444C11A" w:rsidR="00EB3D9C" w:rsidRDefault="0005138F" w:rsidP="00EB3D9C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470F21A" wp14:editId="332F2C95">
            <wp:extent cx="3528000" cy="210340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C4FD" w14:textId="77777777" w:rsidR="00EB3D9C" w:rsidRDefault="00EB3D9C" w:rsidP="00EB3D9C">
      <w:pPr>
        <w:spacing w:after="0"/>
        <w:jc w:val="both"/>
        <w:rPr>
          <w:sz w:val="10"/>
        </w:rPr>
      </w:pPr>
      <w:r w:rsidRPr="00A20D14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 w:rsidRPr="00D80116">
        <w:rPr>
          <w:sz w:val="10"/>
        </w:rPr>
        <w:t>(a)</w:t>
      </w:r>
      <w:r w:rsidRPr="00E76806">
        <w:rPr>
          <w:sz w:val="10"/>
        </w:rPr>
        <w:t xml:space="preserve"> Real or </w:t>
      </w:r>
      <w:r>
        <w:rPr>
          <w:sz w:val="10"/>
        </w:rPr>
        <w:t>adjusted for price changes. (b) Nominal or not adjusted for price changes. Household income from wages and salaries, salary sacrifice, non-cash benefits, bonuses, termination payments, government pensions and allowances, profit/loss from own unincorporated business, net investment income and private transfers less income tax, the Medicare levy and the Medicare levy surcharge.</w:t>
      </w:r>
    </w:p>
    <w:p w14:paraId="389EEB9D" w14:textId="466D6502" w:rsidR="00EB3D9C" w:rsidRDefault="00EB3D9C" w:rsidP="00EB3D9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>Source</w:t>
      </w:r>
      <w:r w:rsidRPr="007D0DC0">
        <w:rPr>
          <w:sz w:val="10"/>
        </w:rPr>
        <w:t xml:space="preserve">: </w:t>
      </w:r>
      <w:r w:rsidR="00CC5EDB" w:rsidRPr="007D0DC0">
        <w:rPr>
          <w:sz w:val="10"/>
        </w:rPr>
        <w:t xml:space="preserve">Based on data from </w:t>
      </w:r>
      <w:r w:rsidRPr="007D0DC0">
        <w:rPr>
          <w:sz w:val="10"/>
        </w:rPr>
        <w:t xml:space="preserve">ABS 5220.0 Australian </w:t>
      </w:r>
      <w:r>
        <w:rPr>
          <w:sz w:val="10"/>
        </w:rPr>
        <w:t>National Accounts: State Accounts (Annual).</w:t>
      </w:r>
    </w:p>
    <w:p w14:paraId="773ED055" w14:textId="71F4EF83" w:rsidR="00EB3D9C" w:rsidRDefault="00EB3D9C" w:rsidP="00EB3D9C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C956535" w14:textId="133F2361" w:rsidR="0005138F" w:rsidRDefault="0005138F" w:rsidP="00EB3D9C">
      <w:pPr>
        <w:pStyle w:val="BodyText"/>
        <w:spacing w:after="0"/>
        <w:jc w:val="both"/>
        <w:rPr>
          <w:sz w:val="16"/>
        </w:rPr>
      </w:pPr>
    </w:p>
    <w:p w14:paraId="783CFB6E" w14:textId="77777777" w:rsidR="0005138F" w:rsidRDefault="0005138F" w:rsidP="00EB3D9C">
      <w:pPr>
        <w:pStyle w:val="BodyText"/>
        <w:spacing w:after="0"/>
        <w:jc w:val="both"/>
        <w:rPr>
          <w:sz w:val="16"/>
        </w:rPr>
      </w:pPr>
    </w:p>
    <w:p w14:paraId="3FCB5181" w14:textId="77777777" w:rsidR="00EB3D9C" w:rsidRPr="00495588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0D9C">
        <w:rPr>
          <w:sz w:val="16"/>
        </w:rPr>
        <w:t xml:space="preserve">Gross </w:t>
      </w:r>
      <w:r w:rsidRPr="00495588">
        <w:rPr>
          <w:sz w:val="16"/>
        </w:rPr>
        <w:t>state income (GSI) is an alternative measure of Western Australia’s economy that takes into account changes in the terms of trade (ratio of export prices to import prices).</w:t>
      </w:r>
    </w:p>
    <w:p w14:paraId="760288D1" w14:textId="60AAEC01" w:rsidR="00EB3D9C" w:rsidRPr="00565BD3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 xml:space="preserve">Western Australia’s real GSI </w:t>
      </w:r>
      <w:r w:rsidR="002137A2" w:rsidRPr="00565BD3">
        <w:rPr>
          <w:sz w:val="16"/>
        </w:rPr>
        <w:t>fell marginally in 2021-22</w:t>
      </w:r>
      <w:r w:rsidR="002C189A" w:rsidRPr="00565BD3">
        <w:rPr>
          <w:sz w:val="16"/>
        </w:rPr>
        <w:t xml:space="preserve">, </w:t>
      </w:r>
      <w:r w:rsidR="007F14DB" w:rsidRPr="00565BD3">
        <w:rPr>
          <w:sz w:val="16"/>
        </w:rPr>
        <w:t xml:space="preserve">compared to growth of </w:t>
      </w:r>
      <w:r w:rsidR="002C189A" w:rsidRPr="00565BD3">
        <w:rPr>
          <w:sz w:val="16"/>
        </w:rPr>
        <w:t>19.0% in 2020-21</w:t>
      </w:r>
      <w:r w:rsidRPr="00565BD3">
        <w:rPr>
          <w:sz w:val="16"/>
        </w:rPr>
        <w:t xml:space="preserve"> a</w:t>
      </w:r>
      <w:r w:rsidR="002C189A" w:rsidRPr="00565BD3">
        <w:rPr>
          <w:sz w:val="16"/>
        </w:rPr>
        <w:t>nd compound annual growth of 3.1</w:t>
      </w:r>
      <w:r w:rsidRPr="00565BD3">
        <w:rPr>
          <w:sz w:val="16"/>
        </w:rPr>
        <w:t>% over the past 10</w:t>
      </w:r>
      <w:r w:rsidR="00E346D8" w:rsidRPr="00565BD3">
        <w:rPr>
          <w:sz w:val="16"/>
        </w:rPr>
        <w:t> </w:t>
      </w:r>
      <w:r w:rsidRPr="00565BD3">
        <w:rPr>
          <w:sz w:val="16"/>
        </w:rPr>
        <w:t>years.</w:t>
      </w:r>
    </w:p>
    <w:p w14:paraId="5A47BAA7" w14:textId="73C08194" w:rsidR="00EB3D9C" w:rsidRPr="00565BD3" w:rsidRDefault="005875FA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While prices for some of Western Australia’s export commodities increased in 2021</w:t>
      </w:r>
      <w:r w:rsidRPr="00565BD3">
        <w:rPr>
          <w:sz w:val="16"/>
        </w:rPr>
        <w:noBreakHyphen/>
        <w:t>22, the average iron ore price fell and prices for a number of imports increased. This led to t</w:t>
      </w:r>
      <w:r w:rsidR="00EB3D9C" w:rsidRPr="00565BD3">
        <w:rPr>
          <w:sz w:val="16"/>
        </w:rPr>
        <w:t xml:space="preserve">he </w:t>
      </w:r>
      <w:r w:rsidR="002137A2" w:rsidRPr="00565BD3">
        <w:rPr>
          <w:sz w:val="16"/>
        </w:rPr>
        <w:t xml:space="preserve">slight </w:t>
      </w:r>
      <w:r w:rsidR="002C189A" w:rsidRPr="00565BD3">
        <w:rPr>
          <w:sz w:val="16"/>
        </w:rPr>
        <w:t>decline</w:t>
      </w:r>
      <w:r w:rsidR="00EB3D9C" w:rsidRPr="00565BD3">
        <w:rPr>
          <w:sz w:val="16"/>
        </w:rPr>
        <w:t xml:space="preserve"> in Western Australia’s </w:t>
      </w:r>
      <w:r w:rsidR="002C189A" w:rsidRPr="00565BD3">
        <w:rPr>
          <w:sz w:val="16"/>
        </w:rPr>
        <w:t>real GSI</w:t>
      </w:r>
      <w:r w:rsidRPr="00565BD3">
        <w:rPr>
          <w:sz w:val="16"/>
        </w:rPr>
        <w:t xml:space="preserve"> in 2021</w:t>
      </w:r>
      <w:r w:rsidRPr="00565BD3">
        <w:rPr>
          <w:sz w:val="16"/>
        </w:rPr>
        <w:noBreakHyphen/>
        <w:t>22, despite the increase in real GSP</w:t>
      </w:r>
      <w:r w:rsidR="002C189A" w:rsidRPr="00565BD3">
        <w:rPr>
          <w:sz w:val="16"/>
        </w:rPr>
        <w:t xml:space="preserve"> in 2021</w:t>
      </w:r>
      <w:r w:rsidR="002C189A" w:rsidRPr="00565BD3">
        <w:rPr>
          <w:sz w:val="16"/>
        </w:rPr>
        <w:noBreakHyphen/>
        <w:t>22</w:t>
      </w:r>
      <w:r w:rsidR="00EB3D9C" w:rsidRPr="00565BD3">
        <w:rPr>
          <w:sz w:val="16"/>
        </w:rPr>
        <w:t>.</w:t>
      </w:r>
    </w:p>
    <w:p w14:paraId="0CD074E8" w14:textId="25098F9F" w:rsidR="00EB3D9C" w:rsidRPr="00565BD3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 xml:space="preserve">Western Australia’s gross household disposable income per capita rose </w:t>
      </w:r>
      <w:r w:rsidR="003E1423" w:rsidRPr="00565BD3">
        <w:rPr>
          <w:sz w:val="16"/>
        </w:rPr>
        <w:t>7.8</w:t>
      </w:r>
      <w:r w:rsidRPr="00565BD3">
        <w:rPr>
          <w:sz w:val="16"/>
        </w:rPr>
        <w:t>% to $</w:t>
      </w:r>
      <w:r w:rsidR="003E1423" w:rsidRPr="00565BD3">
        <w:rPr>
          <w:sz w:val="16"/>
        </w:rPr>
        <w:t>60,913 in 2021-22, to be 9.0% ($5,014</w:t>
      </w:r>
      <w:r w:rsidRPr="00565BD3">
        <w:rPr>
          <w:sz w:val="16"/>
        </w:rPr>
        <w:t xml:space="preserve">) higher than </w:t>
      </w:r>
      <w:r w:rsidR="003E1423" w:rsidRPr="00565BD3">
        <w:rPr>
          <w:sz w:val="16"/>
        </w:rPr>
        <w:t>the Australian average of $55,899</w:t>
      </w:r>
      <w:r w:rsidRPr="00565BD3">
        <w:rPr>
          <w:sz w:val="16"/>
        </w:rPr>
        <w:t>.</w:t>
      </w:r>
    </w:p>
    <w:p w14:paraId="3421B2C3" w14:textId="77777777" w:rsidR="00EB3D9C" w:rsidRPr="001C66D2" w:rsidRDefault="00EB3D9C" w:rsidP="00EB3D9C">
      <w:pPr>
        <w:pStyle w:val="BodyText"/>
        <w:spacing w:after="0"/>
        <w:jc w:val="both"/>
        <w:rPr>
          <w:sz w:val="16"/>
        </w:rPr>
        <w:sectPr w:rsidR="00EB3D9C" w:rsidRPr="001C66D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006565A" w14:textId="77777777" w:rsidR="0005138F" w:rsidRPr="003D5BE8" w:rsidRDefault="0005138F" w:rsidP="00EB3D9C">
      <w:pPr>
        <w:pStyle w:val="BodyText"/>
        <w:spacing w:after="0"/>
        <w:jc w:val="both"/>
        <w:rPr>
          <w:sz w:val="16"/>
        </w:rPr>
      </w:pPr>
    </w:p>
    <w:p w14:paraId="52650EA0" w14:textId="77777777" w:rsidR="00EB3D9C" w:rsidRPr="00020369" w:rsidRDefault="00EB3D9C" w:rsidP="00EB3D9C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Australia’s exchange rate and commodity prices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>
        <w:rPr>
          <w:b/>
          <w:color w:val="92278F" w:themeColor="accent1"/>
          <w:sz w:val="20"/>
        </w:rPr>
        <w:t>m</w:t>
      </w:r>
      <w:r w:rsidRPr="00020369">
        <w:rPr>
          <w:b/>
          <w:color w:val="92278F" w:themeColor="accent1"/>
          <w:sz w:val="20"/>
        </w:rPr>
        <w:t>onths</w:t>
      </w:r>
    </w:p>
    <w:p w14:paraId="09EF04A4" w14:textId="2DF83A42" w:rsidR="00EB3D9C" w:rsidRDefault="00ED53F6" w:rsidP="00EB3D9C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21C17F1" wp14:editId="6A129A7E">
            <wp:extent cx="3408680" cy="2075570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708" cy="208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CC5D" w14:textId="6BB158E6" w:rsidR="00EB3D9C" w:rsidRDefault="00EB3D9C" w:rsidP="00EB3D9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250692">
        <w:rPr>
          <w:sz w:val="10"/>
          <w:vertAlign w:val="superscript"/>
        </w:rPr>
        <w:t>1</w:t>
      </w:r>
      <w:r>
        <w:rPr>
          <w:sz w:val="10"/>
        </w:rPr>
        <w:t xml:space="preserve"> Monthly index of Australia’s commodity prices. </w:t>
      </w:r>
      <w:r w:rsidRPr="009515A2">
        <w:rPr>
          <w:sz w:val="10"/>
        </w:rPr>
        <w:t>2020-21 = 100.0</w:t>
      </w:r>
      <w:r w:rsidRPr="00FB1106">
        <w:rPr>
          <w:sz w:val="10"/>
        </w:rPr>
        <w:t xml:space="preserve">. </w:t>
      </w:r>
      <w:r>
        <w:rPr>
          <w:sz w:val="10"/>
        </w:rPr>
        <w:t>Nominal or not adjusted for price changes. Original series.</w:t>
      </w:r>
      <w:r w:rsidR="00114BBD">
        <w:rPr>
          <w:sz w:val="10"/>
        </w:rPr>
        <w:t xml:space="preserve"> </w:t>
      </w:r>
      <w:r w:rsidR="00114BBD" w:rsidRPr="00114BBD">
        <w:rPr>
          <w:sz w:val="10"/>
          <w:vertAlign w:val="superscript"/>
        </w:rPr>
        <w:t>2</w:t>
      </w:r>
      <w:r w:rsidR="00114BBD">
        <w:rPr>
          <w:sz w:val="10"/>
        </w:rPr>
        <w:t> The benchmark (62% iron content</w:t>
      </w:r>
      <w:r w:rsidR="00114BBD" w:rsidRPr="00114BBD">
        <w:rPr>
          <w:sz w:val="10"/>
        </w:rPr>
        <w:t>) iron ore price delivered to China inclusive of cost and freight</w:t>
      </w:r>
      <w:r w:rsidR="00114BBD">
        <w:rPr>
          <w:sz w:val="10"/>
        </w:rPr>
        <w:t>.</w:t>
      </w:r>
    </w:p>
    <w:p w14:paraId="4159DBE2" w14:textId="77777777" w:rsidR="00EB3D9C" w:rsidRPr="00716C34" w:rsidRDefault="00EB3D9C" w:rsidP="00EB3D9C">
      <w:pPr>
        <w:spacing w:after="0"/>
        <w:jc w:val="both"/>
        <w:rPr>
          <w:sz w:val="10"/>
        </w:rPr>
      </w:pPr>
      <w:r>
        <w:rPr>
          <w:sz w:val="10"/>
        </w:rPr>
        <w:t>Source: Reserve Bank of Australia (RBA), Statistical Tables (Monthly)</w:t>
      </w:r>
      <w:r w:rsidRPr="00716C34">
        <w:rPr>
          <w:sz w:val="10"/>
        </w:rPr>
        <w:t>.</w:t>
      </w:r>
    </w:p>
    <w:p w14:paraId="2F554D9C" w14:textId="77777777" w:rsidR="00EB3D9C" w:rsidRDefault="00EB3D9C" w:rsidP="00EB3D9C">
      <w:pPr>
        <w:spacing w:after="0"/>
        <w:jc w:val="both"/>
        <w:rPr>
          <w:sz w:val="16"/>
        </w:rPr>
      </w:pPr>
    </w:p>
    <w:p w14:paraId="6E72FD5D" w14:textId="37CD82D2" w:rsidR="00EB3D9C" w:rsidRDefault="00EB3D9C" w:rsidP="00EB3D9C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22086A8" w14:textId="639F3F82" w:rsidR="0005138F" w:rsidRDefault="0005138F" w:rsidP="00EB3D9C">
      <w:pPr>
        <w:spacing w:after="0"/>
        <w:jc w:val="both"/>
        <w:rPr>
          <w:sz w:val="16"/>
        </w:rPr>
      </w:pPr>
    </w:p>
    <w:p w14:paraId="6F5459C8" w14:textId="77777777" w:rsidR="00B71328" w:rsidRDefault="00B71328" w:rsidP="00EB3D9C">
      <w:pPr>
        <w:spacing w:after="0"/>
        <w:jc w:val="both"/>
        <w:rPr>
          <w:sz w:val="16"/>
        </w:rPr>
      </w:pPr>
    </w:p>
    <w:p w14:paraId="4C6EC881" w14:textId="427E5930" w:rsidR="00EB3D9C" w:rsidRPr="009C4A61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4A61">
        <w:rPr>
          <w:sz w:val="16"/>
        </w:rPr>
        <w:t xml:space="preserve">The Australian dollar </w:t>
      </w:r>
      <w:r w:rsidR="00F36D15" w:rsidRPr="009C4A61">
        <w:rPr>
          <w:sz w:val="16"/>
        </w:rPr>
        <w:t>rose</w:t>
      </w:r>
      <w:r w:rsidR="00B75389" w:rsidRPr="009C4A61">
        <w:rPr>
          <w:sz w:val="16"/>
        </w:rPr>
        <w:t xml:space="preserve"> </w:t>
      </w:r>
      <w:r w:rsidR="0092737C" w:rsidRPr="009C4A61">
        <w:rPr>
          <w:sz w:val="16"/>
        </w:rPr>
        <w:t>1.1</w:t>
      </w:r>
      <w:r w:rsidRPr="009C4A61">
        <w:rPr>
          <w:sz w:val="16"/>
        </w:rPr>
        <w:t>% to average US</w:t>
      </w:r>
      <w:r w:rsidR="00B75389" w:rsidRPr="009C4A61">
        <w:rPr>
          <w:sz w:val="16"/>
        </w:rPr>
        <w:t>6</w:t>
      </w:r>
      <w:r w:rsidR="0092737C" w:rsidRPr="009C4A61">
        <w:rPr>
          <w:sz w:val="16"/>
        </w:rPr>
        <w:t>7.8</w:t>
      </w:r>
      <w:r w:rsidR="00407462" w:rsidRPr="009C4A61">
        <w:rPr>
          <w:sz w:val="16"/>
        </w:rPr>
        <w:t> </w:t>
      </w:r>
      <w:r w:rsidRPr="009C4A61">
        <w:rPr>
          <w:sz w:val="16"/>
        </w:rPr>
        <w:t xml:space="preserve">cents in </w:t>
      </w:r>
      <w:r w:rsidR="0092737C" w:rsidRPr="009C4A61">
        <w:rPr>
          <w:sz w:val="16"/>
        </w:rPr>
        <w:t>December</w:t>
      </w:r>
      <w:r w:rsidR="005E2341" w:rsidRPr="009C4A61">
        <w:rPr>
          <w:sz w:val="16"/>
        </w:rPr>
        <w:t> </w:t>
      </w:r>
      <w:r w:rsidRPr="009C4A61">
        <w:rPr>
          <w:sz w:val="16"/>
        </w:rPr>
        <w:t>2022.</w:t>
      </w:r>
    </w:p>
    <w:p w14:paraId="510ED01C" w14:textId="7D472801" w:rsidR="00EB3D9C" w:rsidRPr="009C4A61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rStyle w:val="CommentReference"/>
          <w:szCs w:val="24"/>
        </w:rPr>
      </w:pPr>
      <w:r w:rsidRPr="009C4A61">
        <w:rPr>
          <w:sz w:val="16"/>
        </w:rPr>
        <w:t>Th</w:t>
      </w:r>
      <w:r w:rsidR="0092737C" w:rsidRPr="009C4A61">
        <w:rPr>
          <w:sz w:val="16"/>
        </w:rPr>
        <w:t>e Au</w:t>
      </w:r>
      <w:r w:rsidR="00B71328" w:rsidRPr="009C4A61">
        <w:rPr>
          <w:sz w:val="16"/>
        </w:rPr>
        <w:t>stralian dollar averaged US69.3 </w:t>
      </w:r>
      <w:r w:rsidR="0092737C" w:rsidRPr="009C4A61">
        <w:rPr>
          <w:sz w:val="16"/>
        </w:rPr>
        <w:t>cents in 20</w:t>
      </w:r>
      <w:r w:rsidR="00C06E20" w:rsidRPr="009C4A61">
        <w:rPr>
          <w:sz w:val="16"/>
        </w:rPr>
        <w:t>22</w:t>
      </w:r>
      <w:r w:rsidRPr="009C4A61">
        <w:rPr>
          <w:sz w:val="16"/>
        </w:rPr>
        <w:t>.</w:t>
      </w:r>
    </w:p>
    <w:p w14:paraId="40529472" w14:textId="05FD38A2" w:rsidR="00EB3D9C" w:rsidRPr="009C4A61" w:rsidRDefault="00A95465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4A61">
        <w:rPr>
          <w:sz w:val="16"/>
        </w:rPr>
        <w:t>The 2022</w:t>
      </w:r>
      <w:r w:rsidRPr="009C4A61">
        <w:rPr>
          <w:sz w:val="16"/>
        </w:rPr>
        <w:noBreakHyphen/>
        <w:t>23 WA Government Mid-year Financial Projections Statement forecasts</w:t>
      </w:r>
      <w:r w:rsidR="0050759E" w:rsidRPr="009C4A61">
        <w:rPr>
          <w:sz w:val="16"/>
        </w:rPr>
        <w:t xml:space="preserve"> the Australian dollar will average US67.3 cents in 2022</w:t>
      </w:r>
      <w:r w:rsidR="0050759E" w:rsidRPr="009C4A61">
        <w:rPr>
          <w:sz w:val="16"/>
        </w:rPr>
        <w:noBreakHyphen/>
        <w:t>23 and US68.4</w:t>
      </w:r>
      <w:r w:rsidR="00EB3D9C" w:rsidRPr="009C4A61">
        <w:rPr>
          <w:sz w:val="16"/>
        </w:rPr>
        <w:t> cents in 2023</w:t>
      </w:r>
      <w:r w:rsidR="00EB3D9C" w:rsidRPr="009C4A61">
        <w:rPr>
          <w:sz w:val="16"/>
        </w:rPr>
        <w:noBreakHyphen/>
        <w:t>24.</w:t>
      </w:r>
    </w:p>
    <w:p w14:paraId="3B159DD3" w14:textId="15C6EFB0" w:rsidR="00EB3D9C" w:rsidRPr="009C4A61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4A61">
        <w:rPr>
          <w:sz w:val="16"/>
        </w:rPr>
        <w:t xml:space="preserve">The RBA’s Index of Commodity Prices </w:t>
      </w:r>
      <w:r w:rsidR="0092737C" w:rsidRPr="009C4A61">
        <w:rPr>
          <w:sz w:val="16"/>
        </w:rPr>
        <w:t>fell 3.3</w:t>
      </w:r>
      <w:r w:rsidRPr="009C4A61">
        <w:rPr>
          <w:sz w:val="16"/>
        </w:rPr>
        <w:t xml:space="preserve">% in Australian dollar terms in </w:t>
      </w:r>
      <w:r w:rsidR="0092737C" w:rsidRPr="009C4A61">
        <w:rPr>
          <w:sz w:val="16"/>
        </w:rPr>
        <w:t>December</w:t>
      </w:r>
      <w:r w:rsidR="005E2341" w:rsidRPr="009C4A61">
        <w:rPr>
          <w:sz w:val="16"/>
        </w:rPr>
        <w:t> </w:t>
      </w:r>
      <w:r w:rsidRPr="009C4A61">
        <w:rPr>
          <w:sz w:val="16"/>
        </w:rPr>
        <w:t>2022.</w:t>
      </w:r>
    </w:p>
    <w:p w14:paraId="47547B46" w14:textId="05CD3BAD" w:rsidR="00EB3D9C" w:rsidRPr="009C4A61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4A61">
        <w:rPr>
          <w:sz w:val="16"/>
        </w:rPr>
        <w:t xml:space="preserve">The </w:t>
      </w:r>
      <w:r w:rsidR="00114BBD" w:rsidRPr="009C4A61">
        <w:rPr>
          <w:sz w:val="16"/>
        </w:rPr>
        <w:t xml:space="preserve">iron ore </w:t>
      </w:r>
      <w:r w:rsidRPr="009C4A61">
        <w:rPr>
          <w:sz w:val="16"/>
        </w:rPr>
        <w:t>price</w:t>
      </w:r>
      <w:r w:rsidR="00114BBD" w:rsidRPr="009C4A61">
        <w:rPr>
          <w:sz w:val="16"/>
          <w:vertAlign w:val="superscript"/>
        </w:rPr>
        <w:t>2</w:t>
      </w:r>
      <w:r w:rsidRPr="009C4A61">
        <w:rPr>
          <w:sz w:val="16"/>
        </w:rPr>
        <w:t xml:space="preserve"> </w:t>
      </w:r>
      <w:r w:rsidR="00F36D15" w:rsidRPr="009C4A61">
        <w:rPr>
          <w:sz w:val="16"/>
        </w:rPr>
        <w:t>rose</w:t>
      </w:r>
      <w:r w:rsidR="007D0291" w:rsidRPr="009C4A61">
        <w:rPr>
          <w:sz w:val="16"/>
        </w:rPr>
        <w:t xml:space="preserve"> </w:t>
      </w:r>
      <w:r w:rsidR="00D53099" w:rsidRPr="009C4A61">
        <w:rPr>
          <w:sz w:val="16"/>
        </w:rPr>
        <w:t>19</w:t>
      </w:r>
      <w:r w:rsidR="00F36D15" w:rsidRPr="009C4A61">
        <w:rPr>
          <w:sz w:val="16"/>
        </w:rPr>
        <w:t>.8</w:t>
      </w:r>
      <w:r w:rsidRPr="009C4A61">
        <w:rPr>
          <w:sz w:val="16"/>
        </w:rPr>
        <w:t>% to average US$</w:t>
      </w:r>
      <w:r w:rsidR="00D53099" w:rsidRPr="009C4A61">
        <w:rPr>
          <w:sz w:val="16"/>
        </w:rPr>
        <w:t>111.8</w:t>
      </w:r>
      <w:r w:rsidRPr="009C4A61">
        <w:rPr>
          <w:sz w:val="16"/>
        </w:rPr>
        <w:t xml:space="preserve"> a tonne in </w:t>
      </w:r>
      <w:r w:rsidR="00D53099" w:rsidRPr="009C4A61">
        <w:rPr>
          <w:sz w:val="16"/>
        </w:rPr>
        <w:t>December</w:t>
      </w:r>
      <w:r w:rsidR="005E2341" w:rsidRPr="009C4A61">
        <w:rPr>
          <w:sz w:val="16"/>
        </w:rPr>
        <w:t> </w:t>
      </w:r>
      <w:r w:rsidRPr="009C4A61">
        <w:rPr>
          <w:sz w:val="16"/>
        </w:rPr>
        <w:t>2022</w:t>
      </w:r>
      <w:r w:rsidR="00F37F17" w:rsidRPr="009C4A61">
        <w:rPr>
          <w:sz w:val="16"/>
        </w:rPr>
        <w:t>.</w:t>
      </w:r>
    </w:p>
    <w:p w14:paraId="0F09FB2F" w14:textId="7DD85550" w:rsidR="00EB3D9C" w:rsidRPr="009C4A61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4A61">
        <w:rPr>
          <w:sz w:val="16"/>
        </w:rPr>
        <w:t xml:space="preserve">The iron ore </w:t>
      </w:r>
      <w:r w:rsidR="00114BBD" w:rsidRPr="009C4A61">
        <w:rPr>
          <w:sz w:val="16"/>
        </w:rPr>
        <w:t>price</w:t>
      </w:r>
      <w:r w:rsidR="00114BBD" w:rsidRPr="009C4A61">
        <w:rPr>
          <w:sz w:val="16"/>
          <w:vertAlign w:val="superscript"/>
        </w:rPr>
        <w:t>2</w:t>
      </w:r>
      <w:r w:rsidR="00114BBD" w:rsidRPr="009C4A61">
        <w:rPr>
          <w:sz w:val="16"/>
        </w:rPr>
        <w:t xml:space="preserve"> </w:t>
      </w:r>
      <w:r w:rsidRPr="009C4A61">
        <w:rPr>
          <w:sz w:val="16"/>
        </w:rPr>
        <w:t>averaged US$</w:t>
      </w:r>
      <w:r w:rsidR="00500980" w:rsidRPr="009C4A61">
        <w:rPr>
          <w:sz w:val="16"/>
        </w:rPr>
        <w:t>121.3</w:t>
      </w:r>
      <w:r w:rsidR="00C06E20" w:rsidRPr="009C4A61">
        <w:rPr>
          <w:sz w:val="16"/>
        </w:rPr>
        <w:t xml:space="preserve"> </w:t>
      </w:r>
      <w:r w:rsidR="00500980" w:rsidRPr="009C4A61">
        <w:rPr>
          <w:sz w:val="16"/>
        </w:rPr>
        <w:t>a tonne in 20</w:t>
      </w:r>
      <w:r w:rsidR="00C06E20" w:rsidRPr="009C4A61">
        <w:rPr>
          <w:sz w:val="16"/>
        </w:rPr>
        <w:t>22</w:t>
      </w:r>
      <w:r w:rsidRPr="009C4A61">
        <w:rPr>
          <w:sz w:val="16"/>
        </w:rPr>
        <w:t>.</w:t>
      </w:r>
    </w:p>
    <w:p w14:paraId="0CF5E9E2" w14:textId="5C68552B" w:rsidR="00EB3D9C" w:rsidRPr="00500980" w:rsidRDefault="00A95465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00980">
        <w:rPr>
          <w:sz w:val="16"/>
        </w:rPr>
        <w:t>The 2022</w:t>
      </w:r>
      <w:r w:rsidRPr="00500980">
        <w:rPr>
          <w:sz w:val="16"/>
        </w:rPr>
        <w:noBreakHyphen/>
        <w:t>23 WA Government Mid-year Financial Projections Statement forecasts</w:t>
      </w:r>
      <w:r w:rsidR="00EB3D9C" w:rsidRPr="00500980">
        <w:rPr>
          <w:sz w:val="16"/>
        </w:rPr>
        <w:t xml:space="preserve"> the </w:t>
      </w:r>
      <w:r w:rsidR="00114BBD" w:rsidRPr="00500980">
        <w:rPr>
          <w:sz w:val="16"/>
        </w:rPr>
        <w:t xml:space="preserve">iron ore </w:t>
      </w:r>
      <w:r w:rsidR="00EB3D9C" w:rsidRPr="00500980">
        <w:rPr>
          <w:sz w:val="16"/>
        </w:rPr>
        <w:t>price</w:t>
      </w:r>
      <w:r w:rsidR="00114BBD" w:rsidRPr="00500980">
        <w:rPr>
          <w:sz w:val="16"/>
          <w:vertAlign w:val="superscript"/>
        </w:rPr>
        <w:t>2</w:t>
      </w:r>
      <w:r w:rsidR="00114BBD" w:rsidRPr="00500980">
        <w:rPr>
          <w:sz w:val="16"/>
        </w:rPr>
        <w:t xml:space="preserve"> </w:t>
      </w:r>
      <w:r w:rsidR="0050759E" w:rsidRPr="00500980">
        <w:rPr>
          <w:sz w:val="16"/>
        </w:rPr>
        <w:t>will average US$87.4</w:t>
      </w:r>
      <w:r w:rsidR="00EB3D9C" w:rsidRPr="00500980">
        <w:rPr>
          <w:sz w:val="16"/>
        </w:rPr>
        <w:t> a tonne in 2022</w:t>
      </w:r>
      <w:r w:rsidR="00EB3D9C" w:rsidRPr="00500980">
        <w:rPr>
          <w:sz w:val="16"/>
        </w:rPr>
        <w:noBreakHyphen/>
        <w:t>23 and US$66.0 a tonne in 2023</w:t>
      </w:r>
      <w:r w:rsidR="00EB3D9C" w:rsidRPr="00500980">
        <w:rPr>
          <w:sz w:val="16"/>
        </w:rPr>
        <w:noBreakHyphen/>
        <w:t>24.</w:t>
      </w:r>
    </w:p>
    <w:p w14:paraId="279E6BE3" w14:textId="77777777" w:rsidR="00EB3D9C" w:rsidRDefault="00EB3D9C" w:rsidP="00FD2E59">
      <w:pPr>
        <w:spacing w:after="0"/>
        <w:jc w:val="both"/>
        <w:rPr>
          <w:b/>
          <w:color w:val="002060"/>
          <w:sz w:val="22"/>
        </w:rPr>
      </w:pPr>
      <w:r>
        <w:rPr>
          <w:b/>
          <w:color w:val="002060"/>
          <w:sz w:val="22"/>
        </w:rPr>
        <w:br w:type="page"/>
      </w:r>
    </w:p>
    <w:p w14:paraId="5FB8D178" w14:textId="768EC5EA" w:rsidR="00FD2E59" w:rsidRPr="00DD5DF4" w:rsidRDefault="00FC378B" w:rsidP="00FD2E59">
      <w:pPr>
        <w:spacing w:after="0"/>
        <w:jc w:val="both"/>
        <w:rPr>
          <w:b/>
          <w:color w:val="002060"/>
          <w:sz w:val="22"/>
        </w:rPr>
      </w:pPr>
      <w:r>
        <w:rPr>
          <w:b/>
          <w:color w:val="002060"/>
          <w:sz w:val="22"/>
        </w:rPr>
        <w:lastRenderedPageBreak/>
        <w:t>Consumer</w:t>
      </w:r>
      <w:r w:rsidR="00FD2E59" w:rsidRPr="00DD5DF4">
        <w:rPr>
          <w:b/>
          <w:color w:val="002060"/>
          <w:sz w:val="22"/>
        </w:rPr>
        <w:t xml:space="preserve"> and </w:t>
      </w:r>
      <w:r>
        <w:rPr>
          <w:b/>
          <w:color w:val="002060"/>
          <w:sz w:val="22"/>
        </w:rPr>
        <w:t>producer prices</w:t>
      </w:r>
    </w:p>
    <w:p w14:paraId="06BAE3BA" w14:textId="248C0BD3" w:rsidR="003430A9" w:rsidRPr="00020369" w:rsidRDefault="003430A9" w:rsidP="003430A9">
      <w:pPr>
        <w:spacing w:after="0"/>
        <w:rPr>
          <w:color w:val="92278F" w:themeColor="accent1"/>
          <w:sz w:val="22"/>
        </w:rPr>
      </w:pPr>
      <w:r>
        <w:rPr>
          <w:b/>
          <w:color w:val="92278F" w:themeColor="accent1"/>
          <w:sz w:val="20"/>
        </w:rPr>
        <w:t>Consumer</w:t>
      </w:r>
      <w:r w:rsidRPr="00020369">
        <w:rPr>
          <w:b/>
          <w:color w:val="92278F" w:themeColor="accent1"/>
          <w:sz w:val="20"/>
        </w:rPr>
        <w:t xml:space="preserve"> price index</w:t>
      </w:r>
      <w:r w:rsidRPr="003430A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(% change</w:t>
      </w:r>
      <w:r>
        <w:rPr>
          <w:b/>
          <w:color w:val="92278F" w:themeColor="accent1"/>
          <w:sz w:val="20"/>
          <w:vertAlign w:val="superscript"/>
        </w:rPr>
        <w:t>2</w:t>
      </w:r>
      <w:r>
        <w:rPr>
          <w:b/>
          <w:color w:val="92278F" w:themeColor="accent1"/>
          <w:sz w:val="20"/>
        </w:rPr>
        <w:t xml:space="preserve">): </w:t>
      </w:r>
      <w:r w:rsidRPr="0066755A">
        <w:rPr>
          <w:b/>
          <w:color w:val="92278F" w:themeColor="accent1"/>
          <w:sz w:val="20"/>
        </w:rPr>
        <w:t>quarters</w:t>
      </w:r>
    </w:p>
    <w:p w14:paraId="175154B5" w14:textId="7F98A2EA" w:rsidR="00FD2E59" w:rsidRDefault="0066755A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2D0B78B" wp14:editId="1D1C2CA8">
            <wp:extent cx="3424827" cy="2032000"/>
            <wp:effectExtent l="0" t="0" r="444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260" cy="203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3822" w14:textId="46F16E3E" w:rsidR="003430A9" w:rsidRPr="00F96E12" w:rsidRDefault="003430A9" w:rsidP="003623BC">
      <w:pPr>
        <w:spacing w:after="0"/>
        <w:jc w:val="both"/>
        <w:rPr>
          <w:sz w:val="10"/>
        </w:rPr>
      </w:pPr>
      <w:r w:rsidRPr="00F96E12">
        <w:rPr>
          <w:sz w:val="10"/>
          <w:vertAlign w:val="superscript"/>
        </w:rPr>
        <w:t>1</w:t>
      </w:r>
      <w:r w:rsidRPr="00F96E12">
        <w:rPr>
          <w:sz w:val="10"/>
        </w:rPr>
        <w:t xml:space="preserve"> All commodity groups.</w:t>
      </w:r>
      <w:r w:rsidR="00931632" w:rsidRPr="00F96E12">
        <w:rPr>
          <w:sz w:val="10"/>
        </w:rPr>
        <w:t xml:space="preserve"> Original series. Consumer price index 2011-12 = 100.0.</w:t>
      </w:r>
      <w:r w:rsidRPr="00F96E12">
        <w:rPr>
          <w:sz w:val="10"/>
        </w:rPr>
        <w:t xml:space="preserve"> </w:t>
      </w:r>
      <w:r w:rsidRPr="00F96E12">
        <w:rPr>
          <w:sz w:val="10"/>
          <w:vertAlign w:val="superscript"/>
        </w:rPr>
        <w:t>2</w:t>
      </w:r>
      <w:r w:rsidRPr="00F96E12">
        <w:rPr>
          <w:sz w:val="10"/>
        </w:rPr>
        <w:t xml:space="preserve"> Change from same quarter of previous year or year-on-year. </w:t>
      </w:r>
      <w:r w:rsidR="00D82D8C" w:rsidRPr="00F96E12">
        <w:rPr>
          <w:sz w:val="10"/>
        </w:rPr>
        <w:t>(a) Weighted average of 8 capital cities.</w:t>
      </w:r>
      <w:r w:rsidRPr="00F96E12">
        <w:rPr>
          <w:sz w:val="10"/>
        </w:rPr>
        <w:t xml:space="preserve"> </w:t>
      </w:r>
    </w:p>
    <w:p w14:paraId="57AA64C8" w14:textId="770C54D6" w:rsidR="00FD2E59" w:rsidRPr="00F96E12" w:rsidRDefault="00FD2E59" w:rsidP="00FD2E59">
      <w:pPr>
        <w:spacing w:after="0"/>
        <w:jc w:val="both"/>
        <w:rPr>
          <w:sz w:val="16"/>
        </w:rPr>
      </w:pPr>
      <w:r w:rsidRPr="00F96E12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F96E12">
        <w:rPr>
          <w:sz w:val="10"/>
        </w:rPr>
        <w:t xml:space="preserve">ABS </w:t>
      </w:r>
      <w:r w:rsidR="00BC5B88" w:rsidRPr="00F96E12">
        <w:rPr>
          <w:sz w:val="10"/>
        </w:rPr>
        <w:t>6401.0</w:t>
      </w:r>
      <w:r w:rsidRPr="00F96E12">
        <w:rPr>
          <w:sz w:val="10"/>
        </w:rPr>
        <w:t xml:space="preserve"> </w:t>
      </w:r>
      <w:r w:rsidR="00BC5B88" w:rsidRPr="00F96E12">
        <w:rPr>
          <w:sz w:val="10"/>
        </w:rPr>
        <w:t>Consumer Price Index, Australia</w:t>
      </w:r>
      <w:r w:rsidRPr="00F96E12">
        <w:rPr>
          <w:sz w:val="10"/>
        </w:rPr>
        <w:t xml:space="preserve"> (Quarterly).</w:t>
      </w:r>
    </w:p>
    <w:p w14:paraId="3EE94152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57BB983" w14:textId="77777777" w:rsidR="00FD2E59" w:rsidRDefault="00FD2E59" w:rsidP="00FD2E59">
      <w:pPr>
        <w:spacing w:after="0"/>
        <w:jc w:val="both"/>
        <w:rPr>
          <w:sz w:val="16"/>
        </w:rPr>
      </w:pPr>
    </w:p>
    <w:p w14:paraId="12CF33F1" w14:textId="2ABD3707" w:rsidR="009E7177" w:rsidRPr="00F96E12" w:rsidRDefault="009E7177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96E12">
        <w:rPr>
          <w:sz w:val="16"/>
        </w:rPr>
        <w:t xml:space="preserve">Consumer price </w:t>
      </w:r>
      <w:r w:rsidR="00417199" w:rsidRPr="00F96E12">
        <w:rPr>
          <w:sz w:val="16"/>
        </w:rPr>
        <w:t xml:space="preserve">index (CPI) </w:t>
      </w:r>
      <w:r w:rsidRPr="00F96E12">
        <w:rPr>
          <w:sz w:val="16"/>
        </w:rPr>
        <w:t>growth in Perth</w:t>
      </w:r>
      <w:r w:rsidR="003A0992" w:rsidRPr="00F96E12">
        <w:rPr>
          <w:sz w:val="16"/>
        </w:rPr>
        <w:t xml:space="preserve"> and Australia</w:t>
      </w:r>
      <w:r w:rsidRPr="00F96E12">
        <w:rPr>
          <w:sz w:val="16"/>
        </w:rPr>
        <w:t xml:space="preserve"> has increased</w:t>
      </w:r>
      <w:r w:rsidR="00417199" w:rsidRPr="00F96E12">
        <w:rPr>
          <w:sz w:val="16"/>
        </w:rPr>
        <w:t xml:space="preserve"> </w:t>
      </w:r>
      <w:r w:rsidR="003A0992" w:rsidRPr="00F96E12">
        <w:rPr>
          <w:sz w:val="16"/>
        </w:rPr>
        <w:t xml:space="preserve">significantly </w:t>
      </w:r>
      <w:r w:rsidR="00417199" w:rsidRPr="00F96E12">
        <w:rPr>
          <w:sz w:val="16"/>
        </w:rPr>
        <w:t>over the past year</w:t>
      </w:r>
      <w:r w:rsidRPr="00F96E12">
        <w:rPr>
          <w:sz w:val="16"/>
        </w:rPr>
        <w:t>.</w:t>
      </w:r>
    </w:p>
    <w:p w14:paraId="36FE3732" w14:textId="515A2006" w:rsidR="00407462" w:rsidRPr="009C4A61" w:rsidRDefault="00407462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4A61">
        <w:rPr>
          <w:sz w:val="16"/>
        </w:rPr>
        <w:t>Year</w:t>
      </w:r>
      <w:r w:rsidRPr="009C4A61">
        <w:rPr>
          <w:sz w:val="16"/>
        </w:rPr>
        <w:noBreakHyphen/>
        <w:t>on</w:t>
      </w:r>
      <w:r w:rsidRPr="009C4A61">
        <w:rPr>
          <w:sz w:val="16"/>
        </w:rPr>
        <w:noBreakHyphen/>
        <w:t xml:space="preserve">year growth in Perth’s CPI </w:t>
      </w:r>
      <w:r w:rsidR="0066755A" w:rsidRPr="009C4A61">
        <w:rPr>
          <w:sz w:val="16"/>
        </w:rPr>
        <w:t>rose from 6.0</w:t>
      </w:r>
      <w:r w:rsidRPr="009C4A61">
        <w:rPr>
          <w:sz w:val="16"/>
        </w:rPr>
        <w:t xml:space="preserve">% in the </w:t>
      </w:r>
      <w:r w:rsidR="0066755A" w:rsidRPr="009C4A61">
        <w:rPr>
          <w:sz w:val="16"/>
        </w:rPr>
        <w:t>September quarter 2022 to 8.3</w:t>
      </w:r>
      <w:r w:rsidRPr="009C4A61">
        <w:rPr>
          <w:sz w:val="16"/>
        </w:rPr>
        <w:t xml:space="preserve">% in the </w:t>
      </w:r>
      <w:r w:rsidR="0066755A" w:rsidRPr="009C4A61">
        <w:rPr>
          <w:sz w:val="16"/>
        </w:rPr>
        <w:t>December</w:t>
      </w:r>
      <w:r w:rsidRPr="009C4A61">
        <w:rPr>
          <w:sz w:val="16"/>
        </w:rPr>
        <w:t xml:space="preserve"> quarter 2022.</w:t>
      </w:r>
    </w:p>
    <w:p w14:paraId="03992811" w14:textId="63811C62" w:rsidR="009E7177" w:rsidRPr="009C4A61" w:rsidRDefault="009E7177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4A61">
        <w:rPr>
          <w:sz w:val="16"/>
        </w:rPr>
        <w:t>Austral</w:t>
      </w:r>
      <w:r w:rsidR="00417199" w:rsidRPr="009C4A61">
        <w:rPr>
          <w:sz w:val="16"/>
        </w:rPr>
        <w:t>ia’s CPI</w:t>
      </w:r>
      <w:r w:rsidR="002B1643" w:rsidRPr="009C4A61">
        <w:rPr>
          <w:sz w:val="16"/>
        </w:rPr>
        <w:t xml:space="preserve"> rose </w:t>
      </w:r>
      <w:r w:rsidR="00256ED8" w:rsidRPr="009C4A61">
        <w:rPr>
          <w:sz w:val="16"/>
        </w:rPr>
        <w:t>7.8</w:t>
      </w:r>
      <w:r w:rsidR="008E54B7" w:rsidRPr="009C4A61">
        <w:rPr>
          <w:sz w:val="16"/>
        </w:rPr>
        <w:t xml:space="preserve">% in the </w:t>
      </w:r>
      <w:r w:rsidR="00256ED8" w:rsidRPr="009C4A61">
        <w:rPr>
          <w:sz w:val="16"/>
        </w:rPr>
        <w:t>December</w:t>
      </w:r>
      <w:r w:rsidR="002B1643" w:rsidRPr="009C4A61">
        <w:rPr>
          <w:sz w:val="16"/>
        </w:rPr>
        <w:t xml:space="preserve"> quarter 2022 (year</w:t>
      </w:r>
      <w:r w:rsidR="00F94F31" w:rsidRPr="009C4A61">
        <w:rPr>
          <w:sz w:val="16"/>
        </w:rPr>
        <w:noBreakHyphen/>
      </w:r>
      <w:r w:rsidR="002B1643" w:rsidRPr="009C4A61">
        <w:rPr>
          <w:sz w:val="16"/>
        </w:rPr>
        <w:t>on</w:t>
      </w:r>
      <w:r w:rsidR="00F94F31" w:rsidRPr="009C4A61">
        <w:rPr>
          <w:sz w:val="16"/>
        </w:rPr>
        <w:noBreakHyphen/>
      </w:r>
      <w:r w:rsidR="002B1643" w:rsidRPr="009C4A61">
        <w:rPr>
          <w:sz w:val="16"/>
        </w:rPr>
        <w:t xml:space="preserve">year), </w:t>
      </w:r>
      <w:r w:rsidR="00F94F31" w:rsidRPr="009C4A61">
        <w:rPr>
          <w:sz w:val="16"/>
        </w:rPr>
        <w:t>higher than</w:t>
      </w:r>
      <w:r w:rsidR="002B1643" w:rsidRPr="009C4A61">
        <w:rPr>
          <w:sz w:val="16"/>
        </w:rPr>
        <w:t xml:space="preserve"> the </w:t>
      </w:r>
      <w:r w:rsidR="00256ED8" w:rsidRPr="009C4A61">
        <w:rPr>
          <w:sz w:val="16"/>
        </w:rPr>
        <w:t>7.3</w:t>
      </w:r>
      <w:r w:rsidR="002B1643" w:rsidRPr="009C4A61">
        <w:rPr>
          <w:sz w:val="16"/>
        </w:rPr>
        <w:t xml:space="preserve">% growth in the </w:t>
      </w:r>
      <w:r w:rsidR="00256ED8" w:rsidRPr="009C4A61">
        <w:rPr>
          <w:sz w:val="16"/>
        </w:rPr>
        <w:t>September</w:t>
      </w:r>
      <w:r w:rsidR="002B1643" w:rsidRPr="009C4A61">
        <w:rPr>
          <w:sz w:val="16"/>
        </w:rPr>
        <w:t xml:space="preserve"> quarter 2022.</w:t>
      </w:r>
    </w:p>
    <w:p w14:paraId="25A2C076" w14:textId="3C1380D3" w:rsidR="009E7177" w:rsidRPr="009C4A61" w:rsidRDefault="00742BBD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4A61">
        <w:rPr>
          <w:sz w:val="16"/>
        </w:rPr>
        <w:t>Perth</w:t>
      </w:r>
      <w:r w:rsidR="009E7177" w:rsidRPr="009C4A61">
        <w:rPr>
          <w:sz w:val="16"/>
        </w:rPr>
        <w:t>’</w:t>
      </w:r>
      <w:r w:rsidR="008E54B7" w:rsidRPr="009C4A61">
        <w:rPr>
          <w:sz w:val="16"/>
        </w:rPr>
        <w:t>s annual average consumer price index</w:t>
      </w:r>
      <w:r w:rsidR="009E7177" w:rsidRPr="009C4A61">
        <w:rPr>
          <w:sz w:val="16"/>
        </w:rPr>
        <w:t xml:space="preserve"> </w:t>
      </w:r>
      <w:r w:rsidR="00256ED8" w:rsidRPr="009C4A61">
        <w:rPr>
          <w:sz w:val="16"/>
        </w:rPr>
        <w:t>rose 7.3% in 20</w:t>
      </w:r>
      <w:r w:rsidR="00A93315" w:rsidRPr="009C4A61">
        <w:rPr>
          <w:sz w:val="16"/>
        </w:rPr>
        <w:t>22</w:t>
      </w:r>
      <w:r w:rsidR="00256ED8" w:rsidRPr="009C4A61">
        <w:rPr>
          <w:sz w:val="16"/>
        </w:rPr>
        <w:t>, up from 3.5% in 2021.</w:t>
      </w:r>
    </w:p>
    <w:p w14:paraId="1F338B2F" w14:textId="5B0E06D0" w:rsidR="00FD2E59" w:rsidRPr="00256ED8" w:rsidRDefault="00A95465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56ED8">
        <w:rPr>
          <w:sz w:val="16"/>
        </w:rPr>
        <w:t>The 2022</w:t>
      </w:r>
      <w:r w:rsidRPr="00256ED8">
        <w:rPr>
          <w:sz w:val="16"/>
        </w:rPr>
        <w:noBreakHyphen/>
        <w:t xml:space="preserve">23 WA Government Mid-year Financial Projections Statement </w:t>
      </w:r>
      <w:r w:rsidR="00742BBD" w:rsidRPr="00256ED8">
        <w:rPr>
          <w:sz w:val="16"/>
        </w:rPr>
        <w:t>for</w:t>
      </w:r>
      <w:r w:rsidRPr="00256ED8">
        <w:rPr>
          <w:sz w:val="16"/>
        </w:rPr>
        <w:t>ecasts</w:t>
      </w:r>
      <w:r w:rsidR="00742BBD" w:rsidRPr="00256ED8">
        <w:rPr>
          <w:sz w:val="16"/>
        </w:rPr>
        <w:t xml:space="preserve"> Perth</w:t>
      </w:r>
      <w:r w:rsidR="009E7177" w:rsidRPr="00256ED8">
        <w:rPr>
          <w:sz w:val="16"/>
        </w:rPr>
        <w:t xml:space="preserve">’s annual average </w:t>
      </w:r>
      <w:r w:rsidR="008E54B7" w:rsidRPr="00256ED8">
        <w:rPr>
          <w:sz w:val="16"/>
          <w:lang w:val="en-US"/>
        </w:rPr>
        <w:t>consumer price index</w:t>
      </w:r>
      <w:r w:rsidR="008B636E" w:rsidRPr="00256ED8">
        <w:rPr>
          <w:sz w:val="16"/>
          <w:lang w:val="en-US"/>
        </w:rPr>
        <w:t xml:space="preserve"> (excluding electricity)</w:t>
      </w:r>
      <w:r w:rsidR="00803674" w:rsidRPr="00256ED8">
        <w:rPr>
          <w:sz w:val="16"/>
          <w:lang w:val="en-US"/>
        </w:rPr>
        <w:t xml:space="preserve"> will</w:t>
      </w:r>
      <w:r w:rsidR="00A93315" w:rsidRPr="00256ED8">
        <w:rPr>
          <w:sz w:val="16"/>
          <w:lang w:val="en-US"/>
        </w:rPr>
        <w:t xml:space="preserve"> rise </w:t>
      </w:r>
      <w:r w:rsidR="00803674" w:rsidRPr="00256ED8">
        <w:rPr>
          <w:sz w:val="16"/>
          <w:lang w:val="en-US"/>
        </w:rPr>
        <w:t>5.25</w:t>
      </w:r>
      <w:r w:rsidR="008B636E" w:rsidRPr="00256ED8">
        <w:rPr>
          <w:sz w:val="16"/>
          <w:lang w:val="en-US"/>
        </w:rPr>
        <w:t>% in 2022</w:t>
      </w:r>
      <w:r w:rsidR="00407462" w:rsidRPr="00256ED8">
        <w:rPr>
          <w:sz w:val="16"/>
          <w:lang w:val="en-US"/>
        </w:rPr>
        <w:noBreakHyphen/>
      </w:r>
      <w:r w:rsidR="00803674" w:rsidRPr="00256ED8">
        <w:rPr>
          <w:sz w:val="16"/>
          <w:lang w:val="en-US"/>
        </w:rPr>
        <w:t>23 and 3</w:t>
      </w:r>
      <w:r w:rsidR="008B636E" w:rsidRPr="00256ED8">
        <w:rPr>
          <w:sz w:val="16"/>
          <w:lang w:val="en-US"/>
        </w:rPr>
        <w:t>.</w:t>
      </w:r>
      <w:r w:rsidR="00803674" w:rsidRPr="00256ED8">
        <w:rPr>
          <w:sz w:val="16"/>
          <w:lang w:val="en-US"/>
        </w:rPr>
        <w:t>2</w:t>
      </w:r>
      <w:r w:rsidR="008B636E" w:rsidRPr="00256ED8">
        <w:rPr>
          <w:sz w:val="16"/>
          <w:lang w:val="en-US"/>
        </w:rPr>
        <w:t>5</w:t>
      </w:r>
      <w:r w:rsidR="009E7177" w:rsidRPr="00256ED8">
        <w:rPr>
          <w:sz w:val="16"/>
          <w:lang w:val="en-US"/>
        </w:rPr>
        <w:t xml:space="preserve">% in </w:t>
      </w:r>
      <w:r w:rsidR="0060750B" w:rsidRPr="00256ED8">
        <w:rPr>
          <w:sz w:val="16"/>
        </w:rPr>
        <w:t>202</w:t>
      </w:r>
      <w:r w:rsidR="0040022E" w:rsidRPr="00256ED8">
        <w:rPr>
          <w:sz w:val="16"/>
        </w:rPr>
        <w:t>3</w:t>
      </w:r>
      <w:r w:rsidR="00F94F31" w:rsidRPr="00256ED8">
        <w:rPr>
          <w:sz w:val="16"/>
        </w:rPr>
        <w:noBreakHyphen/>
      </w:r>
      <w:r w:rsidR="0060750B" w:rsidRPr="00256ED8">
        <w:rPr>
          <w:sz w:val="16"/>
        </w:rPr>
        <w:t>2</w:t>
      </w:r>
      <w:r w:rsidR="0040022E" w:rsidRPr="00256ED8">
        <w:rPr>
          <w:sz w:val="16"/>
        </w:rPr>
        <w:t>4</w:t>
      </w:r>
      <w:r w:rsidR="00FD2E59" w:rsidRPr="00256ED8">
        <w:rPr>
          <w:sz w:val="16"/>
        </w:rPr>
        <w:t>.</w:t>
      </w:r>
    </w:p>
    <w:p w14:paraId="176F47D1" w14:textId="77777777" w:rsidR="00FD2E59" w:rsidRPr="001F5528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1F552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4CE4C3" w14:textId="77777777" w:rsidR="00DD2C2C" w:rsidRPr="004A7FCA" w:rsidRDefault="00DD2C2C" w:rsidP="00FD2E59">
      <w:pPr>
        <w:pStyle w:val="BodyText"/>
        <w:spacing w:after="0"/>
        <w:jc w:val="both"/>
        <w:rPr>
          <w:sz w:val="16"/>
        </w:rPr>
      </w:pPr>
    </w:p>
    <w:p w14:paraId="505508A7" w14:textId="0C3AE7DA" w:rsidR="00931632" w:rsidRPr="00020369" w:rsidRDefault="00417199" w:rsidP="00931632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</w:t>
      </w:r>
      <w:r w:rsidR="003C63D0">
        <w:rPr>
          <w:b/>
          <w:color w:val="92278F" w:themeColor="accent1"/>
          <w:sz w:val="20"/>
        </w:rPr>
        <w:t xml:space="preserve">ommodity </w:t>
      </w:r>
      <w:r w:rsidR="002D10F3" w:rsidRPr="00317DE2">
        <w:rPr>
          <w:b/>
          <w:color w:val="92278F" w:themeColor="accent1"/>
          <w:sz w:val="20"/>
        </w:rPr>
        <w:t>group</w:t>
      </w:r>
      <w:r w:rsidR="002D10F3">
        <w:rPr>
          <w:b/>
          <w:color w:val="92278F" w:themeColor="accent1"/>
          <w:sz w:val="20"/>
        </w:rPr>
        <w:t xml:space="preserve"> </w:t>
      </w:r>
      <w:r w:rsidR="003C63D0">
        <w:rPr>
          <w:b/>
          <w:color w:val="92278F" w:themeColor="accent1"/>
          <w:sz w:val="20"/>
        </w:rPr>
        <w:t xml:space="preserve">contribution to </w:t>
      </w:r>
      <w:r w:rsidR="003C63D0" w:rsidRPr="003C63D0">
        <w:rPr>
          <w:b/>
          <w:color w:val="92278F" w:themeColor="accent1"/>
          <w:sz w:val="20"/>
        </w:rPr>
        <w:t>change</w:t>
      </w:r>
      <w:r w:rsidR="003C63D0" w:rsidRPr="003C63D0">
        <w:rPr>
          <w:b/>
          <w:color w:val="92278F" w:themeColor="accent1"/>
          <w:sz w:val="20"/>
          <w:vertAlign w:val="superscript"/>
        </w:rPr>
        <w:t>1</w:t>
      </w:r>
      <w:r w:rsidR="003C63D0">
        <w:rPr>
          <w:b/>
          <w:color w:val="92278F" w:themeColor="accent1"/>
          <w:sz w:val="20"/>
        </w:rPr>
        <w:t xml:space="preserve"> in the c</w:t>
      </w:r>
      <w:r w:rsidRPr="003C63D0">
        <w:rPr>
          <w:b/>
          <w:color w:val="92278F" w:themeColor="accent1"/>
          <w:sz w:val="20"/>
        </w:rPr>
        <w:t>onsumer</w:t>
      </w:r>
      <w:r>
        <w:rPr>
          <w:b/>
          <w:color w:val="92278F" w:themeColor="accent1"/>
          <w:sz w:val="20"/>
        </w:rPr>
        <w:t xml:space="preserve"> price index</w:t>
      </w:r>
      <w:r w:rsidR="003C63D0">
        <w:rPr>
          <w:b/>
          <w:color w:val="92278F" w:themeColor="accent1"/>
          <w:sz w:val="20"/>
          <w:vertAlign w:val="superscript"/>
        </w:rPr>
        <w:t>2</w:t>
      </w:r>
      <w:r w:rsidR="00931632" w:rsidRPr="00020369">
        <w:rPr>
          <w:b/>
          <w:color w:val="92278F" w:themeColor="accent1"/>
          <w:sz w:val="20"/>
        </w:rPr>
        <w:t xml:space="preserve">: </w:t>
      </w:r>
      <w:r w:rsidR="00092E8F" w:rsidRPr="00AA57C4">
        <w:rPr>
          <w:b/>
          <w:color w:val="92278F" w:themeColor="accent1"/>
          <w:sz w:val="20"/>
        </w:rPr>
        <w:t>December</w:t>
      </w:r>
      <w:r w:rsidR="006841CA" w:rsidRPr="00AA57C4">
        <w:rPr>
          <w:b/>
          <w:color w:val="92278F" w:themeColor="accent1"/>
          <w:sz w:val="20"/>
        </w:rPr>
        <w:t xml:space="preserve"> </w:t>
      </w:r>
      <w:r w:rsidR="00931632" w:rsidRPr="00F33627">
        <w:rPr>
          <w:b/>
          <w:color w:val="92278F" w:themeColor="accent1"/>
          <w:sz w:val="20"/>
        </w:rPr>
        <w:t>q</w:t>
      </w:r>
      <w:r w:rsidR="003C63D0" w:rsidRPr="00F33627">
        <w:rPr>
          <w:b/>
          <w:color w:val="92278F" w:themeColor="accent1"/>
          <w:sz w:val="20"/>
        </w:rPr>
        <w:t xml:space="preserve">uarter </w:t>
      </w:r>
      <w:r w:rsidR="003C63D0">
        <w:rPr>
          <w:b/>
          <w:color w:val="92278F" w:themeColor="accent1"/>
          <w:sz w:val="20"/>
        </w:rPr>
        <w:t>2022</w:t>
      </w:r>
    </w:p>
    <w:p w14:paraId="4E7D8322" w14:textId="05F93532" w:rsidR="00FD2E59" w:rsidRDefault="00363328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090A9B3" wp14:editId="1D648E3F">
            <wp:extent cx="3492500" cy="2095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422" cy="209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7638C" w14:textId="2B655874" w:rsidR="00417199" w:rsidRPr="00F61874" w:rsidRDefault="003C63D0" w:rsidP="00417199">
      <w:pPr>
        <w:spacing w:after="0"/>
        <w:jc w:val="both"/>
        <w:rPr>
          <w:sz w:val="10"/>
        </w:rPr>
      </w:pPr>
      <w:r w:rsidRPr="00C96FA7">
        <w:rPr>
          <w:color w:val="0070C0"/>
          <w:sz w:val="10"/>
          <w:vertAlign w:val="superscript"/>
        </w:rPr>
        <w:t>1</w:t>
      </w:r>
      <w:r w:rsidRPr="00C96FA7">
        <w:rPr>
          <w:color w:val="0070C0"/>
          <w:sz w:val="10"/>
        </w:rPr>
        <w:t xml:space="preserve"> </w:t>
      </w:r>
      <w:r w:rsidRPr="00F61874">
        <w:rPr>
          <w:sz w:val="10"/>
        </w:rPr>
        <w:t xml:space="preserve">Contribution to change from same quarter of previous year or year-on-year. </w:t>
      </w:r>
      <w:r w:rsidRPr="00F61874">
        <w:rPr>
          <w:sz w:val="10"/>
          <w:vertAlign w:val="superscript"/>
        </w:rPr>
        <w:t>2</w:t>
      </w:r>
      <w:r w:rsidRPr="00F61874">
        <w:rPr>
          <w:sz w:val="10"/>
        </w:rPr>
        <w:t xml:space="preserve"> </w:t>
      </w:r>
      <w:r w:rsidR="00417199" w:rsidRPr="00F61874">
        <w:rPr>
          <w:sz w:val="10"/>
        </w:rPr>
        <w:t>Original series. Consumer price index 2011-12 = 100.0. (a) Weighted average of 8 capital cities. pp = percentage point.</w:t>
      </w:r>
    </w:p>
    <w:p w14:paraId="0C0E702E" w14:textId="5E3869E3" w:rsidR="00FD2E59" w:rsidRPr="00F61874" w:rsidRDefault="00417199" w:rsidP="00417199">
      <w:pPr>
        <w:spacing w:after="0"/>
        <w:jc w:val="both"/>
        <w:rPr>
          <w:sz w:val="16"/>
        </w:rPr>
      </w:pPr>
      <w:r w:rsidRPr="00F61874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 w:rsidRPr="00F61874">
        <w:rPr>
          <w:sz w:val="10"/>
        </w:rPr>
        <w:t>6401.0 Consumer Price Index, Australia (Quarterly).</w:t>
      </w:r>
    </w:p>
    <w:p w14:paraId="20F24771" w14:textId="60B73280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F193F00" w14:textId="33489BB3" w:rsidR="001B0480" w:rsidRDefault="001B0480" w:rsidP="00FD2E59">
      <w:pPr>
        <w:pStyle w:val="BodyText"/>
        <w:spacing w:after="0"/>
        <w:jc w:val="both"/>
        <w:rPr>
          <w:sz w:val="16"/>
        </w:rPr>
      </w:pPr>
    </w:p>
    <w:p w14:paraId="038A01B7" w14:textId="77777777" w:rsidR="00DD2C2C" w:rsidRDefault="00DD2C2C" w:rsidP="00FD2E59">
      <w:pPr>
        <w:pStyle w:val="BodyText"/>
        <w:spacing w:after="0"/>
        <w:jc w:val="both"/>
        <w:rPr>
          <w:sz w:val="16"/>
        </w:rPr>
      </w:pPr>
    </w:p>
    <w:p w14:paraId="35A489DD" w14:textId="7612D18F" w:rsidR="00CA097D" w:rsidRPr="00A33C22" w:rsidRDefault="00CA097D" w:rsidP="004171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3C22">
        <w:rPr>
          <w:sz w:val="16"/>
        </w:rPr>
        <w:t>The contribution to change in the CPI from commodity groups is a function of the changes in prices for individual commodity groups and the weight of each commodity group in the overall CPI.</w:t>
      </w:r>
    </w:p>
    <w:p w14:paraId="58C7A15C" w14:textId="3496C4D2" w:rsidR="00417199" w:rsidRPr="00AA57C4" w:rsidRDefault="00E13F0D" w:rsidP="004171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Recreation and culture</w:t>
      </w:r>
      <w:r w:rsidR="007F1883" w:rsidRPr="00AA57C4">
        <w:rPr>
          <w:sz w:val="16"/>
        </w:rPr>
        <w:t xml:space="preserve"> </w:t>
      </w:r>
      <w:r w:rsidR="002D10F3" w:rsidRPr="00AA57C4">
        <w:rPr>
          <w:sz w:val="16"/>
        </w:rPr>
        <w:t xml:space="preserve">(up </w:t>
      </w:r>
      <w:r w:rsidRPr="00AA57C4">
        <w:rPr>
          <w:sz w:val="16"/>
        </w:rPr>
        <w:t>10.2</w:t>
      </w:r>
      <w:r w:rsidR="00417199" w:rsidRPr="00AA57C4">
        <w:rPr>
          <w:sz w:val="16"/>
        </w:rPr>
        <w:t xml:space="preserve">%) made the largest contribution to Perth’s </w:t>
      </w:r>
      <w:r w:rsidR="00804DB6" w:rsidRPr="00AA57C4">
        <w:rPr>
          <w:sz w:val="16"/>
        </w:rPr>
        <w:t>year</w:t>
      </w:r>
      <w:r w:rsidR="00C06E20" w:rsidRPr="00AA57C4">
        <w:rPr>
          <w:sz w:val="16"/>
        </w:rPr>
        <w:noBreakHyphen/>
      </w:r>
      <w:r w:rsidR="00804DB6" w:rsidRPr="00AA57C4">
        <w:rPr>
          <w:sz w:val="16"/>
        </w:rPr>
        <w:t>on</w:t>
      </w:r>
      <w:r w:rsidR="00C06E20" w:rsidRPr="00AA57C4">
        <w:rPr>
          <w:sz w:val="16"/>
        </w:rPr>
        <w:noBreakHyphen/>
      </w:r>
      <w:r w:rsidR="00804DB6" w:rsidRPr="00AA57C4">
        <w:rPr>
          <w:sz w:val="16"/>
        </w:rPr>
        <w:t xml:space="preserve">year </w:t>
      </w:r>
      <w:r w:rsidR="002D10F3" w:rsidRPr="00AA57C4">
        <w:rPr>
          <w:sz w:val="16"/>
        </w:rPr>
        <w:t xml:space="preserve">CPI growth in the </w:t>
      </w:r>
      <w:r w:rsidRPr="00AA57C4">
        <w:rPr>
          <w:sz w:val="16"/>
        </w:rPr>
        <w:t>December</w:t>
      </w:r>
      <w:r w:rsidR="007F1883" w:rsidRPr="00AA57C4">
        <w:rPr>
          <w:sz w:val="16"/>
        </w:rPr>
        <w:t xml:space="preserve"> </w:t>
      </w:r>
      <w:r w:rsidR="0025151B" w:rsidRPr="00AA57C4">
        <w:rPr>
          <w:sz w:val="16"/>
        </w:rPr>
        <w:t>quarter 2022</w:t>
      </w:r>
      <w:r w:rsidR="00417199" w:rsidRPr="00AA57C4">
        <w:rPr>
          <w:sz w:val="16"/>
        </w:rPr>
        <w:t>, followed by:</w:t>
      </w:r>
    </w:p>
    <w:p w14:paraId="7D863863" w14:textId="28ECFA56" w:rsidR="00417199" w:rsidRPr="00AA57C4" w:rsidRDefault="0075212F" w:rsidP="0041719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f</w:t>
      </w:r>
      <w:r w:rsidR="00E13F0D" w:rsidRPr="00AA57C4">
        <w:rPr>
          <w:sz w:val="16"/>
        </w:rPr>
        <w:t>ood</w:t>
      </w:r>
      <w:proofErr w:type="gramEnd"/>
      <w:r w:rsidR="00E13F0D" w:rsidRPr="00AA57C4">
        <w:rPr>
          <w:sz w:val="16"/>
        </w:rPr>
        <w:t xml:space="preserve"> and non-alcoholic beverages</w:t>
      </w:r>
      <w:r w:rsidR="007F1883" w:rsidRPr="00AA57C4">
        <w:rPr>
          <w:sz w:val="16"/>
        </w:rPr>
        <w:t xml:space="preserve"> </w:t>
      </w:r>
      <w:r w:rsidR="002D10F3" w:rsidRPr="00AA57C4">
        <w:rPr>
          <w:sz w:val="16"/>
        </w:rPr>
        <w:t xml:space="preserve">(up </w:t>
      </w:r>
      <w:r w:rsidR="00E13F0D" w:rsidRPr="00AA57C4">
        <w:rPr>
          <w:sz w:val="16"/>
        </w:rPr>
        <w:t>9.2</w:t>
      </w:r>
      <w:r w:rsidR="00417199" w:rsidRPr="00AA57C4">
        <w:rPr>
          <w:sz w:val="16"/>
        </w:rPr>
        <w:t>%)</w:t>
      </w:r>
    </w:p>
    <w:p w14:paraId="20588691" w14:textId="62170543" w:rsidR="00761A17" w:rsidRPr="00AA57C4" w:rsidRDefault="00E13F0D" w:rsidP="0041719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transport</w:t>
      </w:r>
      <w:proofErr w:type="gramEnd"/>
      <w:r w:rsidR="00761A17" w:rsidRPr="00AA57C4">
        <w:rPr>
          <w:sz w:val="16"/>
        </w:rPr>
        <w:t xml:space="preserve"> (up </w:t>
      </w:r>
      <w:r w:rsidRPr="00AA57C4">
        <w:rPr>
          <w:sz w:val="16"/>
        </w:rPr>
        <w:t>7.7</w:t>
      </w:r>
      <w:r w:rsidR="00761A17" w:rsidRPr="00AA57C4">
        <w:rPr>
          <w:sz w:val="16"/>
        </w:rPr>
        <w:t>%)</w:t>
      </w:r>
    </w:p>
    <w:p w14:paraId="40E0D821" w14:textId="48F25AAE" w:rsidR="00417199" w:rsidRPr="00AA57C4" w:rsidRDefault="00B11DBC" w:rsidP="002D10F3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f</w:t>
      </w:r>
      <w:r w:rsidR="002D10F3" w:rsidRPr="00AA57C4">
        <w:rPr>
          <w:sz w:val="16"/>
        </w:rPr>
        <w:t>urnishings</w:t>
      </w:r>
      <w:proofErr w:type="gramEnd"/>
      <w:r w:rsidR="002D10F3" w:rsidRPr="00AA57C4">
        <w:rPr>
          <w:sz w:val="16"/>
        </w:rPr>
        <w:t xml:space="preserve">, household equipment and services (up </w:t>
      </w:r>
      <w:r w:rsidR="00E13F0D" w:rsidRPr="00AA57C4">
        <w:rPr>
          <w:sz w:val="16"/>
        </w:rPr>
        <w:t>9.3</w:t>
      </w:r>
      <w:r w:rsidR="00417199" w:rsidRPr="00AA57C4">
        <w:rPr>
          <w:sz w:val="16"/>
        </w:rPr>
        <w:t>%).</w:t>
      </w:r>
    </w:p>
    <w:p w14:paraId="2E9FD41C" w14:textId="5E044CF3" w:rsidR="00804DB6" w:rsidRPr="00AA57C4" w:rsidRDefault="00B71328" w:rsidP="00804D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R</w:t>
      </w:r>
      <w:r w:rsidR="00E13F0D" w:rsidRPr="00AA57C4">
        <w:rPr>
          <w:sz w:val="16"/>
        </w:rPr>
        <w:t xml:space="preserve">ecreation and culture </w:t>
      </w:r>
      <w:r w:rsidR="00804DB6" w:rsidRPr="00AA57C4">
        <w:rPr>
          <w:sz w:val="16"/>
        </w:rPr>
        <w:t xml:space="preserve">(up </w:t>
      </w:r>
      <w:r w:rsidR="00E13F0D" w:rsidRPr="00AA57C4">
        <w:rPr>
          <w:sz w:val="16"/>
        </w:rPr>
        <w:t>9.0</w:t>
      </w:r>
      <w:r w:rsidR="00804DB6" w:rsidRPr="00AA57C4">
        <w:rPr>
          <w:sz w:val="16"/>
        </w:rPr>
        <w:t xml:space="preserve">%) </w:t>
      </w:r>
      <w:r w:rsidR="001B0644" w:rsidRPr="00AA57C4">
        <w:rPr>
          <w:sz w:val="16"/>
        </w:rPr>
        <w:t xml:space="preserve">also </w:t>
      </w:r>
      <w:r w:rsidR="00804DB6" w:rsidRPr="00AA57C4">
        <w:rPr>
          <w:sz w:val="16"/>
        </w:rPr>
        <w:t>made the largest contribution to Australia’s year</w:t>
      </w:r>
      <w:r w:rsidR="00CA097D" w:rsidRPr="00AA57C4">
        <w:rPr>
          <w:sz w:val="16"/>
        </w:rPr>
        <w:noBreakHyphen/>
      </w:r>
      <w:r w:rsidR="00804DB6" w:rsidRPr="00AA57C4">
        <w:rPr>
          <w:sz w:val="16"/>
        </w:rPr>
        <w:t>on</w:t>
      </w:r>
      <w:r w:rsidR="00CA097D" w:rsidRPr="00AA57C4">
        <w:rPr>
          <w:sz w:val="16"/>
        </w:rPr>
        <w:noBreakHyphen/>
      </w:r>
      <w:r w:rsidR="00804DB6" w:rsidRPr="00AA57C4">
        <w:rPr>
          <w:sz w:val="16"/>
        </w:rPr>
        <w:t xml:space="preserve">year CPI growth in the </w:t>
      </w:r>
      <w:r w:rsidR="00E13F0D" w:rsidRPr="00AA57C4">
        <w:rPr>
          <w:sz w:val="16"/>
        </w:rPr>
        <w:t>December</w:t>
      </w:r>
      <w:r w:rsidR="003C09AB" w:rsidRPr="00AA57C4">
        <w:rPr>
          <w:sz w:val="16"/>
        </w:rPr>
        <w:t xml:space="preserve"> </w:t>
      </w:r>
      <w:r w:rsidR="00804DB6" w:rsidRPr="00AA57C4">
        <w:rPr>
          <w:sz w:val="16"/>
        </w:rPr>
        <w:t>quarter 2022, followed by:</w:t>
      </w:r>
    </w:p>
    <w:p w14:paraId="65C60FB6" w14:textId="48D027E2" w:rsidR="003C09AB" w:rsidRPr="00AA57C4" w:rsidRDefault="00B11DBC" w:rsidP="00804D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f</w:t>
      </w:r>
      <w:r w:rsidR="00761A17" w:rsidRPr="00AA57C4">
        <w:rPr>
          <w:sz w:val="16"/>
        </w:rPr>
        <w:t>ood</w:t>
      </w:r>
      <w:proofErr w:type="gramEnd"/>
      <w:r w:rsidR="00761A17" w:rsidRPr="00AA57C4">
        <w:rPr>
          <w:sz w:val="16"/>
        </w:rPr>
        <w:t xml:space="preserve"> and non-alcoholic beverages (</w:t>
      </w:r>
      <w:r w:rsidR="00804DB6" w:rsidRPr="00AA57C4">
        <w:rPr>
          <w:sz w:val="16"/>
        </w:rPr>
        <w:t xml:space="preserve">up </w:t>
      </w:r>
      <w:r w:rsidR="00E13F0D" w:rsidRPr="00AA57C4">
        <w:rPr>
          <w:sz w:val="16"/>
        </w:rPr>
        <w:t>9.2</w:t>
      </w:r>
      <w:r w:rsidR="00804DB6" w:rsidRPr="00AA57C4">
        <w:rPr>
          <w:sz w:val="16"/>
        </w:rPr>
        <w:t>%)</w:t>
      </w:r>
    </w:p>
    <w:p w14:paraId="39E3E8BF" w14:textId="7FD2EA71" w:rsidR="00761A17" w:rsidRPr="00AA57C4" w:rsidRDefault="00B11DBC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t</w:t>
      </w:r>
      <w:r w:rsidR="00E13F0D" w:rsidRPr="00AA57C4">
        <w:rPr>
          <w:sz w:val="16"/>
        </w:rPr>
        <w:t>ransport</w:t>
      </w:r>
      <w:proofErr w:type="gramEnd"/>
      <w:r w:rsidR="00E13F0D" w:rsidRPr="00AA57C4">
        <w:rPr>
          <w:sz w:val="16"/>
        </w:rPr>
        <w:t xml:space="preserve"> (</w:t>
      </w:r>
      <w:r w:rsidR="00B71328" w:rsidRPr="00AA57C4">
        <w:rPr>
          <w:sz w:val="16"/>
        </w:rPr>
        <w:t xml:space="preserve">up </w:t>
      </w:r>
      <w:r w:rsidR="00E13F0D" w:rsidRPr="00AA57C4">
        <w:rPr>
          <w:sz w:val="16"/>
        </w:rPr>
        <w:t>8.0</w:t>
      </w:r>
      <w:r w:rsidR="00761A17" w:rsidRPr="00AA57C4">
        <w:rPr>
          <w:sz w:val="16"/>
        </w:rPr>
        <w:t>%)</w:t>
      </w:r>
    </w:p>
    <w:p w14:paraId="6F1CB100" w14:textId="276255CB" w:rsidR="003C09AB" w:rsidRPr="00AA57C4" w:rsidRDefault="00E13F0D" w:rsidP="003C09A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housing</w:t>
      </w:r>
      <w:proofErr w:type="gramEnd"/>
      <w:r w:rsidR="003C09AB" w:rsidRPr="00AA57C4">
        <w:rPr>
          <w:sz w:val="16"/>
        </w:rPr>
        <w:t xml:space="preserve"> (up</w:t>
      </w:r>
      <w:r w:rsidR="00B71328" w:rsidRPr="00AA57C4">
        <w:rPr>
          <w:sz w:val="16"/>
        </w:rPr>
        <w:t xml:space="preserve"> </w:t>
      </w:r>
      <w:r w:rsidRPr="00AA57C4">
        <w:rPr>
          <w:sz w:val="16"/>
        </w:rPr>
        <w:t>10</w:t>
      </w:r>
      <w:r w:rsidR="00761A17" w:rsidRPr="00AA57C4">
        <w:rPr>
          <w:sz w:val="16"/>
        </w:rPr>
        <w:t>.7</w:t>
      </w:r>
      <w:r w:rsidR="003C09AB" w:rsidRPr="00AA57C4">
        <w:rPr>
          <w:sz w:val="16"/>
        </w:rPr>
        <w:t>%).</w:t>
      </w:r>
    </w:p>
    <w:p w14:paraId="6F19AFF0" w14:textId="17FCA061" w:rsidR="00F37F17" w:rsidRPr="00761A17" w:rsidRDefault="00F37F17" w:rsidP="0004608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70C0"/>
          <w:sz w:val="16"/>
        </w:rPr>
        <w:sectPr w:rsidR="00F37F17" w:rsidRPr="00761A1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DDABF9" w14:textId="77777777" w:rsidR="00DD2C2C" w:rsidRPr="003D5BE8" w:rsidRDefault="00DD2C2C" w:rsidP="00FD2E59">
      <w:pPr>
        <w:pStyle w:val="BodyText"/>
        <w:spacing w:after="0"/>
        <w:jc w:val="both"/>
        <w:rPr>
          <w:sz w:val="16"/>
        </w:rPr>
      </w:pPr>
    </w:p>
    <w:p w14:paraId="2F43EF60" w14:textId="7E4EC059" w:rsidR="008F6C4C" w:rsidRPr="00317DE2" w:rsidRDefault="00906087" w:rsidP="008F6C4C">
      <w:pPr>
        <w:spacing w:after="0"/>
        <w:rPr>
          <w:color w:val="92278F" w:themeColor="accent1"/>
          <w:sz w:val="22"/>
        </w:rPr>
      </w:pPr>
      <w:r w:rsidRPr="00317DE2">
        <w:rPr>
          <w:b/>
          <w:color w:val="92278F" w:themeColor="accent1"/>
          <w:sz w:val="20"/>
        </w:rPr>
        <w:t>Domestic g</w:t>
      </w:r>
      <w:r w:rsidR="00F72619" w:rsidRPr="00317DE2">
        <w:rPr>
          <w:b/>
          <w:color w:val="92278F" w:themeColor="accent1"/>
          <w:sz w:val="20"/>
        </w:rPr>
        <w:t>as</w:t>
      </w:r>
      <w:r w:rsidR="008F6C4C" w:rsidRPr="00317DE2">
        <w:rPr>
          <w:b/>
          <w:color w:val="92278F" w:themeColor="accent1"/>
          <w:sz w:val="20"/>
        </w:rPr>
        <w:t xml:space="preserve"> price index</w:t>
      </w:r>
      <w:r w:rsidR="008F6C4C" w:rsidRPr="00317DE2">
        <w:rPr>
          <w:b/>
          <w:color w:val="92278F" w:themeColor="accent1"/>
          <w:sz w:val="20"/>
          <w:vertAlign w:val="superscript"/>
        </w:rPr>
        <w:t>1</w:t>
      </w:r>
      <w:r w:rsidR="008F6C4C" w:rsidRPr="00317DE2">
        <w:rPr>
          <w:b/>
          <w:color w:val="92278F" w:themeColor="accent1"/>
          <w:sz w:val="20"/>
        </w:rPr>
        <w:t xml:space="preserve"> </w:t>
      </w:r>
      <w:r w:rsidR="0022139E" w:rsidRPr="00317DE2">
        <w:rPr>
          <w:b/>
          <w:color w:val="92278F" w:themeColor="accent1"/>
          <w:sz w:val="20"/>
        </w:rPr>
        <w:t xml:space="preserve">by market </w:t>
      </w:r>
      <w:r w:rsidR="008F6C4C" w:rsidRPr="00317DE2">
        <w:rPr>
          <w:b/>
          <w:color w:val="92278F" w:themeColor="accent1"/>
          <w:sz w:val="20"/>
        </w:rPr>
        <w:t>(% change</w:t>
      </w:r>
      <w:r w:rsidR="008F6C4C" w:rsidRPr="00317DE2">
        <w:rPr>
          <w:b/>
          <w:color w:val="92278F" w:themeColor="accent1"/>
          <w:sz w:val="20"/>
          <w:vertAlign w:val="superscript"/>
        </w:rPr>
        <w:t>2</w:t>
      </w:r>
      <w:r w:rsidR="008F6C4C" w:rsidRPr="00317DE2">
        <w:rPr>
          <w:b/>
          <w:color w:val="92278F" w:themeColor="accent1"/>
          <w:sz w:val="20"/>
        </w:rPr>
        <w:t xml:space="preserve">): </w:t>
      </w:r>
      <w:r w:rsidR="008F6C4C" w:rsidRPr="00A064EF">
        <w:rPr>
          <w:b/>
          <w:color w:val="92278F" w:themeColor="accent1"/>
          <w:sz w:val="20"/>
        </w:rPr>
        <w:t>quarters</w:t>
      </w:r>
    </w:p>
    <w:p w14:paraId="2B7A281D" w14:textId="75536E9A" w:rsidR="00FD2E59" w:rsidRDefault="00310B9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200B729" wp14:editId="3FD69F28">
            <wp:extent cx="3492000" cy="225145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225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7051" w14:textId="2C078EBE" w:rsidR="008F6C4C" w:rsidRPr="0065045F" w:rsidRDefault="008F6C4C" w:rsidP="008F6C4C">
      <w:pPr>
        <w:spacing w:after="0"/>
        <w:jc w:val="both"/>
        <w:rPr>
          <w:sz w:val="10"/>
        </w:rPr>
      </w:pPr>
      <w:r w:rsidRPr="00F61874">
        <w:rPr>
          <w:sz w:val="10"/>
          <w:vertAlign w:val="superscript"/>
        </w:rPr>
        <w:t>1</w:t>
      </w:r>
      <w:r w:rsidRPr="00F61874">
        <w:rPr>
          <w:sz w:val="10"/>
        </w:rPr>
        <w:t xml:space="preserve"> Output prices of the </w:t>
      </w:r>
      <w:r w:rsidR="00906087" w:rsidRPr="00F61874">
        <w:rPr>
          <w:sz w:val="10"/>
        </w:rPr>
        <w:t xml:space="preserve">domestic </w:t>
      </w:r>
      <w:r w:rsidRPr="00F61874">
        <w:rPr>
          <w:sz w:val="10"/>
        </w:rPr>
        <w:t>gas extraction industry. Original series. Producer</w:t>
      </w:r>
      <w:r w:rsidR="00906087" w:rsidRPr="00F61874">
        <w:rPr>
          <w:sz w:val="10"/>
        </w:rPr>
        <w:t xml:space="preserve"> price index 2015-16</w:t>
      </w:r>
      <w:r w:rsidRPr="00F61874">
        <w:rPr>
          <w:sz w:val="10"/>
        </w:rPr>
        <w:t xml:space="preserve"> = 100.0. </w:t>
      </w:r>
      <w:r w:rsidRPr="00F61874">
        <w:rPr>
          <w:sz w:val="10"/>
          <w:vertAlign w:val="superscript"/>
        </w:rPr>
        <w:t>2</w:t>
      </w:r>
      <w:r w:rsidRPr="00F61874">
        <w:rPr>
          <w:sz w:val="10"/>
        </w:rPr>
        <w:t xml:space="preserve"> Change from same quarter </w:t>
      </w:r>
      <w:r w:rsidRPr="0065045F">
        <w:rPr>
          <w:sz w:val="10"/>
        </w:rPr>
        <w:t>of previous year or year-on-year.</w:t>
      </w:r>
    </w:p>
    <w:p w14:paraId="0FA8B36A" w14:textId="0A57DC5A" w:rsidR="008F6C4C" w:rsidRPr="00F61874" w:rsidRDefault="008F6C4C" w:rsidP="008F6C4C">
      <w:pPr>
        <w:spacing w:after="0"/>
        <w:jc w:val="both"/>
        <w:rPr>
          <w:sz w:val="16"/>
        </w:rPr>
      </w:pPr>
      <w:r w:rsidRPr="0065045F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 w:rsidRPr="00F61874">
        <w:rPr>
          <w:sz w:val="10"/>
        </w:rPr>
        <w:t>6427.0 Producer Price Indexes, Australia (Quarterly).</w:t>
      </w:r>
    </w:p>
    <w:p w14:paraId="7F06FC76" w14:textId="77777777" w:rsidR="00FD2E59" w:rsidRDefault="00FD2E59" w:rsidP="00FD2E59">
      <w:pPr>
        <w:spacing w:after="0"/>
        <w:jc w:val="both"/>
        <w:rPr>
          <w:sz w:val="16"/>
        </w:rPr>
      </w:pPr>
    </w:p>
    <w:p w14:paraId="4A10251D" w14:textId="77777777" w:rsidR="00FD2E59" w:rsidRDefault="00FD2E59" w:rsidP="00FD2E59">
      <w:pPr>
        <w:spacing w:after="0"/>
        <w:jc w:val="both"/>
        <w:rPr>
          <w:sz w:val="16"/>
        </w:rPr>
      </w:pPr>
    </w:p>
    <w:p w14:paraId="686CB940" w14:textId="334785B0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9E08B60" w14:textId="4AE1555B" w:rsidR="00DD2C2C" w:rsidRDefault="00DD2C2C" w:rsidP="00FD2E59">
      <w:pPr>
        <w:spacing w:after="0"/>
        <w:jc w:val="both"/>
        <w:rPr>
          <w:sz w:val="16"/>
        </w:rPr>
      </w:pPr>
    </w:p>
    <w:p w14:paraId="41946BD6" w14:textId="77777777" w:rsidR="00DD2C2C" w:rsidRDefault="00DD2C2C" w:rsidP="00FD2E59">
      <w:pPr>
        <w:spacing w:after="0"/>
        <w:jc w:val="both"/>
        <w:rPr>
          <w:sz w:val="16"/>
        </w:rPr>
      </w:pPr>
    </w:p>
    <w:p w14:paraId="0FC88DCA" w14:textId="6FA3529B" w:rsidR="006C5492" w:rsidRPr="00AA57C4" w:rsidRDefault="006C5492" w:rsidP="0090608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Prices received for domestic gas extraction have grown at a much </w:t>
      </w:r>
      <w:r w:rsidR="004F0463" w:rsidRPr="00AA57C4">
        <w:rPr>
          <w:sz w:val="16"/>
        </w:rPr>
        <w:t>lower</w:t>
      </w:r>
      <w:r w:rsidRPr="00AA57C4">
        <w:rPr>
          <w:sz w:val="16"/>
        </w:rPr>
        <w:t xml:space="preserve"> rate </w:t>
      </w:r>
      <w:r w:rsidR="004F0463" w:rsidRPr="00AA57C4">
        <w:rPr>
          <w:sz w:val="16"/>
        </w:rPr>
        <w:t xml:space="preserve">in Western Australia compared to </w:t>
      </w:r>
      <w:r w:rsidRPr="00AA57C4">
        <w:rPr>
          <w:sz w:val="16"/>
        </w:rPr>
        <w:t>the East Coast of Australia since 2020.</w:t>
      </w:r>
    </w:p>
    <w:p w14:paraId="42DACA75" w14:textId="1167391B" w:rsidR="006C5492" w:rsidRPr="00AA57C4" w:rsidRDefault="004F0463" w:rsidP="004F046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price of domestic gas extraction in Western Australia rose 2.7% b</w:t>
      </w:r>
      <w:r w:rsidR="007A37D3" w:rsidRPr="00AA57C4">
        <w:rPr>
          <w:sz w:val="16"/>
        </w:rPr>
        <w:t xml:space="preserve">etween the December quarters of 2020 and 2021 and </w:t>
      </w:r>
      <w:r w:rsidRPr="00AA57C4">
        <w:rPr>
          <w:sz w:val="16"/>
        </w:rPr>
        <w:t xml:space="preserve">11.8% </w:t>
      </w:r>
      <w:r w:rsidR="007A37D3" w:rsidRPr="00AA57C4">
        <w:rPr>
          <w:sz w:val="16"/>
        </w:rPr>
        <w:t>between the December quarters of 2021 and 2022.</w:t>
      </w:r>
      <w:r w:rsidRPr="00AA57C4">
        <w:rPr>
          <w:sz w:val="16"/>
        </w:rPr>
        <w:t xml:space="preserve"> Over the sam</w:t>
      </w:r>
      <w:r w:rsidR="00F30ED7" w:rsidRPr="00AA57C4">
        <w:rPr>
          <w:sz w:val="16"/>
        </w:rPr>
        <w:t>e periods, the price increases i</w:t>
      </w:r>
      <w:r w:rsidRPr="00AA57C4">
        <w:rPr>
          <w:sz w:val="16"/>
        </w:rPr>
        <w:t xml:space="preserve">n </w:t>
      </w:r>
      <w:r w:rsidR="007A37D3" w:rsidRPr="00AA57C4">
        <w:rPr>
          <w:sz w:val="16"/>
        </w:rPr>
        <w:t xml:space="preserve">the East Coast </w:t>
      </w:r>
      <w:r w:rsidRPr="00AA57C4">
        <w:rPr>
          <w:sz w:val="16"/>
        </w:rPr>
        <w:t>market were 30.4% and 27.5%</w:t>
      </w:r>
      <w:r w:rsidR="007A37D3" w:rsidRPr="00AA57C4">
        <w:rPr>
          <w:sz w:val="16"/>
        </w:rPr>
        <w:t>.</w:t>
      </w:r>
    </w:p>
    <w:p w14:paraId="406E996B" w14:textId="49985D27" w:rsidR="00906087" w:rsidRPr="00AA57C4" w:rsidRDefault="007A37D3" w:rsidP="0090608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lower price increase</w:t>
      </w:r>
      <w:r w:rsidR="004F0463" w:rsidRPr="00AA57C4">
        <w:rPr>
          <w:sz w:val="16"/>
        </w:rPr>
        <w:t>s</w:t>
      </w:r>
      <w:r w:rsidRPr="00AA57C4">
        <w:rPr>
          <w:sz w:val="16"/>
        </w:rPr>
        <w:t xml:space="preserve"> in </w:t>
      </w:r>
      <w:r w:rsidR="00232206" w:rsidRPr="00AA57C4">
        <w:rPr>
          <w:sz w:val="16"/>
        </w:rPr>
        <w:t xml:space="preserve">Western Australia </w:t>
      </w:r>
      <w:r w:rsidR="00C06E20" w:rsidRPr="00AA57C4">
        <w:rPr>
          <w:sz w:val="16"/>
        </w:rPr>
        <w:t xml:space="preserve">indicates </w:t>
      </w:r>
      <w:r w:rsidR="00906087" w:rsidRPr="00AA57C4">
        <w:rPr>
          <w:sz w:val="16"/>
        </w:rPr>
        <w:t xml:space="preserve">that domestic supply </w:t>
      </w:r>
      <w:r w:rsidR="00C06E20" w:rsidRPr="00AA57C4">
        <w:rPr>
          <w:sz w:val="16"/>
        </w:rPr>
        <w:t xml:space="preserve">has </w:t>
      </w:r>
      <w:r w:rsidR="004F0463" w:rsidRPr="00AA57C4">
        <w:rPr>
          <w:sz w:val="16"/>
        </w:rPr>
        <w:t xml:space="preserve">largely </w:t>
      </w:r>
      <w:r w:rsidR="00C06E20" w:rsidRPr="00AA57C4">
        <w:rPr>
          <w:sz w:val="16"/>
        </w:rPr>
        <w:t xml:space="preserve">been </w:t>
      </w:r>
      <w:r w:rsidR="00906087" w:rsidRPr="00AA57C4">
        <w:rPr>
          <w:sz w:val="16"/>
        </w:rPr>
        <w:t>sufficient to meet demand</w:t>
      </w:r>
      <w:r w:rsidR="00232206" w:rsidRPr="00AA57C4">
        <w:rPr>
          <w:sz w:val="16"/>
        </w:rPr>
        <w:t xml:space="preserve">, while the </w:t>
      </w:r>
      <w:r w:rsidR="00456958" w:rsidRPr="00AA57C4">
        <w:rPr>
          <w:sz w:val="16"/>
        </w:rPr>
        <w:t xml:space="preserve">larger </w:t>
      </w:r>
      <w:r w:rsidR="00232206" w:rsidRPr="00AA57C4">
        <w:rPr>
          <w:sz w:val="16"/>
        </w:rPr>
        <w:t>price increase</w:t>
      </w:r>
      <w:r w:rsidR="004F0463" w:rsidRPr="00AA57C4">
        <w:rPr>
          <w:sz w:val="16"/>
        </w:rPr>
        <w:t>s</w:t>
      </w:r>
      <w:r w:rsidR="00232206" w:rsidRPr="00AA57C4">
        <w:rPr>
          <w:sz w:val="16"/>
        </w:rPr>
        <w:t xml:space="preserve"> in the East Coast </w:t>
      </w:r>
      <w:r w:rsidR="004F0463" w:rsidRPr="00AA57C4">
        <w:rPr>
          <w:sz w:val="16"/>
        </w:rPr>
        <w:t>market have been</w:t>
      </w:r>
      <w:r w:rsidR="00232206" w:rsidRPr="00AA57C4">
        <w:rPr>
          <w:sz w:val="16"/>
        </w:rPr>
        <w:t xml:space="preserve"> due to higher crude oil and LNG prices in international markets</w:t>
      </w:r>
      <w:r w:rsidRPr="00AA57C4">
        <w:rPr>
          <w:sz w:val="16"/>
        </w:rPr>
        <w:t xml:space="preserve"> flowing through to domestic </w:t>
      </w:r>
      <w:r w:rsidR="004F0463" w:rsidRPr="00AA57C4">
        <w:rPr>
          <w:sz w:val="16"/>
        </w:rPr>
        <w:t>prices</w:t>
      </w:r>
      <w:r w:rsidR="00232206" w:rsidRPr="00AA57C4">
        <w:rPr>
          <w:sz w:val="16"/>
        </w:rPr>
        <w:t>, strong domestic demand and a limited supply respo</w:t>
      </w:r>
      <w:r w:rsidR="00596C4A" w:rsidRPr="00AA57C4">
        <w:rPr>
          <w:sz w:val="16"/>
        </w:rPr>
        <w:t>n</w:t>
      </w:r>
      <w:r w:rsidR="00232206" w:rsidRPr="00AA57C4">
        <w:rPr>
          <w:sz w:val="16"/>
        </w:rPr>
        <w:t>se.</w:t>
      </w:r>
    </w:p>
    <w:p w14:paraId="27859CBD" w14:textId="77777777" w:rsidR="004F0463" w:rsidRPr="00AA57C4" w:rsidRDefault="007A37D3" w:rsidP="00B86C9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There was some reversal of this trend in the December quarter</w:t>
      </w:r>
      <w:r w:rsidR="004F0463" w:rsidRPr="00AA57C4">
        <w:rPr>
          <w:sz w:val="16"/>
        </w:rPr>
        <w:t xml:space="preserve"> 2022</w:t>
      </w:r>
      <w:r w:rsidRPr="00AA57C4">
        <w:rPr>
          <w:sz w:val="16"/>
        </w:rPr>
        <w:t xml:space="preserve">. </w:t>
      </w:r>
      <w:r w:rsidR="004F0463" w:rsidRPr="00AA57C4">
        <w:rPr>
          <w:sz w:val="16"/>
        </w:rPr>
        <w:t xml:space="preserve">Prices in </w:t>
      </w:r>
      <w:r w:rsidRPr="00AA57C4">
        <w:rPr>
          <w:sz w:val="16"/>
        </w:rPr>
        <w:t>West</w:t>
      </w:r>
      <w:r w:rsidR="004F0463" w:rsidRPr="00AA57C4">
        <w:rPr>
          <w:sz w:val="16"/>
        </w:rPr>
        <w:t>ern Australia increased by 5.6% in the quarter, whereas prices in the East coast market fell by 21.7% amid falling domestic and international demand and a fall in international crude oil prices.</w:t>
      </w:r>
    </w:p>
    <w:p w14:paraId="67B829B8" w14:textId="2CFAAB2D" w:rsidR="00FD2E59" w:rsidRPr="004F0463" w:rsidRDefault="00FD2E59" w:rsidP="00B86C9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RPr="004F0463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4F0463">
        <w:rPr>
          <w:sz w:val="16"/>
        </w:rPr>
        <w:br w:type="page"/>
      </w:r>
    </w:p>
    <w:p w14:paraId="1F2571D4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0" w:name="_JAPAN"/>
      <w:bookmarkEnd w:id="0"/>
      <w:r w:rsidRPr="00DD5DF4">
        <w:rPr>
          <w:b/>
          <w:color w:val="002060"/>
          <w:sz w:val="22"/>
        </w:rPr>
        <w:lastRenderedPageBreak/>
        <w:t>Labour market</w:t>
      </w:r>
    </w:p>
    <w:p w14:paraId="7A8CA0C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labour market summary</w:t>
      </w:r>
    </w:p>
    <w:tbl>
      <w:tblPr>
        <w:tblStyle w:val="ListTable3-Accent1"/>
        <w:tblW w:w="108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76"/>
        <w:gridCol w:w="1418"/>
        <w:gridCol w:w="987"/>
        <w:gridCol w:w="971"/>
        <w:gridCol w:w="877"/>
        <w:gridCol w:w="992"/>
        <w:gridCol w:w="1276"/>
        <w:gridCol w:w="964"/>
        <w:gridCol w:w="964"/>
      </w:tblGrid>
      <w:tr w:rsidR="00BC2E05" w:rsidRPr="00AD28BB" w14:paraId="19B61348" w14:textId="77777777" w:rsidTr="00C80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  <w:shd w:val="clear" w:color="auto" w:fill="002060"/>
            <w:vAlign w:val="center"/>
          </w:tcPr>
          <w:p w14:paraId="00005560" w14:textId="77777777" w:rsidR="00A91118" w:rsidRPr="007211AE" w:rsidRDefault="00A91118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002060"/>
            <w:vAlign w:val="center"/>
          </w:tcPr>
          <w:p w14:paraId="27D7F328" w14:textId="77777777" w:rsidR="00A91118" w:rsidRPr="007211AE" w:rsidRDefault="00A91118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Month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3827" w:type="dxa"/>
            <w:gridSpan w:val="4"/>
            <w:shd w:val="clear" w:color="auto" w:fill="002060"/>
            <w:vAlign w:val="center"/>
          </w:tcPr>
          <w:p w14:paraId="2298109D" w14:textId="77777777" w:rsidR="00A91118" w:rsidRDefault="00A91118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3EC21873" w14:textId="000176A6" w:rsidR="00A91118" w:rsidRPr="007211AE" w:rsidRDefault="00820D5D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Calendar</w:t>
            </w:r>
            <w:r w:rsidR="00A91118">
              <w:rPr>
                <w:rFonts w:cstheme="minorHAnsi"/>
                <w:b w:val="0"/>
                <w:sz w:val="14"/>
                <w:szCs w:val="14"/>
              </w:rPr>
              <w:t xml:space="preserve"> year</w:t>
            </w:r>
            <w:r w:rsidR="00A91118"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928" w:type="dxa"/>
            <w:gridSpan w:val="2"/>
            <w:shd w:val="clear" w:color="auto" w:fill="002060"/>
            <w:vAlign w:val="center"/>
          </w:tcPr>
          <w:p w14:paraId="3730BD35" w14:textId="77777777" w:rsidR="00A91118" w:rsidRDefault="00A91118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</w:tr>
      <w:tr w:rsidR="00BC2E05" w:rsidRPr="00AD28BB" w14:paraId="2B35E83F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790E80E0" w14:textId="77777777" w:rsidR="00A91118" w:rsidRPr="00AD28BB" w:rsidRDefault="00A91118" w:rsidP="00B03E06">
            <w:pPr>
              <w:pStyle w:val="BodyText"/>
              <w:spacing w:after="0"/>
              <w:ind w:right="-112"/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3C731BC5" w14:textId="095E7D1F" w:rsidR="00A91118" w:rsidRPr="00AA57C4" w:rsidRDefault="00785348" w:rsidP="00C80EF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December</w:t>
            </w:r>
            <w:r w:rsidR="00DE6459" w:rsidRPr="00AA57C4">
              <w:rPr>
                <w:rFonts w:cstheme="minorHAnsi"/>
                <w:b/>
                <w:sz w:val="14"/>
                <w:szCs w:val="14"/>
              </w:rPr>
              <w:t> </w:t>
            </w:r>
            <w:r w:rsidR="00A91118" w:rsidRPr="00AA57C4">
              <w:rPr>
                <w:rFonts w:cstheme="minorHAnsi"/>
                <w:b/>
                <w:sz w:val="14"/>
                <w:szCs w:val="14"/>
              </w:rPr>
              <w:t>2022</w:t>
            </w:r>
          </w:p>
        </w:tc>
        <w:tc>
          <w:tcPr>
            <w:tcW w:w="1958" w:type="dxa"/>
            <w:gridSpan w:val="2"/>
            <w:vAlign w:val="center"/>
          </w:tcPr>
          <w:p w14:paraId="26FD1AED" w14:textId="449C285C" w:rsidR="00A91118" w:rsidRPr="00AA57C4" w:rsidRDefault="00785348" w:rsidP="00C80EF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November</w:t>
            </w:r>
            <w:r w:rsidR="00DE6459" w:rsidRPr="00AA57C4">
              <w:rPr>
                <w:rFonts w:cstheme="minorHAnsi"/>
                <w:sz w:val="14"/>
                <w:szCs w:val="14"/>
              </w:rPr>
              <w:t> </w:t>
            </w:r>
            <w:r w:rsidR="00A91118" w:rsidRPr="00AA57C4">
              <w:rPr>
                <w:rFonts w:cstheme="minorHAnsi"/>
                <w:sz w:val="14"/>
                <w:szCs w:val="14"/>
              </w:rPr>
              <w:t>2022</w:t>
            </w:r>
          </w:p>
        </w:tc>
        <w:tc>
          <w:tcPr>
            <w:tcW w:w="1869" w:type="dxa"/>
            <w:gridSpan w:val="2"/>
            <w:vAlign w:val="center"/>
          </w:tcPr>
          <w:p w14:paraId="56FEBF14" w14:textId="7E1A8E4B" w:rsidR="00A91118" w:rsidRPr="00AA57C4" w:rsidRDefault="00785348" w:rsidP="00C80EF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December</w:t>
            </w:r>
            <w:r w:rsidR="00DE6459" w:rsidRPr="00AA57C4">
              <w:rPr>
                <w:rFonts w:cstheme="minorHAnsi"/>
                <w:sz w:val="14"/>
                <w:szCs w:val="14"/>
              </w:rPr>
              <w:t> </w:t>
            </w:r>
            <w:r w:rsidR="00A91118" w:rsidRPr="00AA57C4">
              <w:rPr>
                <w:rFonts w:cstheme="minorHAnsi"/>
                <w:sz w:val="14"/>
                <w:szCs w:val="14"/>
              </w:rPr>
              <w:t>2021</w:t>
            </w:r>
          </w:p>
        </w:tc>
        <w:tc>
          <w:tcPr>
            <w:tcW w:w="1276" w:type="dxa"/>
            <w:vAlign w:val="center"/>
          </w:tcPr>
          <w:p w14:paraId="05F538F6" w14:textId="510F9407" w:rsidR="00A91118" w:rsidRPr="00AA57C4" w:rsidRDefault="00820D5D" w:rsidP="006A014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20</w:t>
            </w:r>
            <w:r w:rsidR="00A91118" w:rsidRPr="00AA57C4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1928" w:type="dxa"/>
            <w:gridSpan w:val="2"/>
            <w:vAlign w:val="center"/>
          </w:tcPr>
          <w:p w14:paraId="2B96EEEA" w14:textId="730C67FD" w:rsidR="00A91118" w:rsidRPr="00AA57C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20</w:t>
            </w:r>
            <w:r w:rsidR="00A91118" w:rsidRPr="00AA57C4">
              <w:rPr>
                <w:rFonts w:cstheme="minorHAnsi"/>
                <w:sz w:val="14"/>
                <w:szCs w:val="14"/>
              </w:rPr>
              <w:t>21</w:t>
            </w:r>
          </w:p>
        </w:tc>
      </w:tr>
      <w:tr w:rsidR="00DE6459" w:rsidRPr="00AD28BB" w14:paraId="6F67F635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4E1B73EE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full-time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0E3B5066" w14:textId="0EBF8444" w:rsidR="00A91118" w:rsidRPr="00AA57C4" w:rsidRDefault="00516F13" w:rsidP="00650B4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1,</w:t>
            </w:r>
            <w:r w:rsidR="00785348" w:rsidRPr="00AA57C4">
              <w:rPr>
                <w:rFonts w:cstheme="minorHAnsi"/>
                <w:b/>
                <w:sz w:val="14"/>
                <w:szCs w:val="14"/>
              </w:rPr>
              <w:t>072,428</w:t>
            </w:r>
          </w:p>
        </w:tc>
        <w:tc>
          <w:tcPr>
            <w:tcW w:w="987" w:type="dxa"/>
            <w:vAlign w:val="center"/>
          </w:tcPr>
          <w:p w14:paraId="148811DA" w14:textId="080090DF" w:rsidR="00A91118" w:rsidRPr="00AA57C4" w:rsidRDefault="005071B2" w:rsidP="005F33A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785348" w:rsidRPr="00AA57C4">
              <w:rPr>
                <w:rFonts w:cstheme="minorHAnsi"/>
                <w:sz w:val="14"/>
                <w:szCs w:val="14"/>
              </w:rPr>
              <w:t>18,976</w:t>
            </w:r>
          </w:p>
        </w:tc>
        <w:tc>
          <w:tcPr>
            <w:tcW w:w="971" w:type="dxa"/>
            <w:vAlign w:val="center"/>
          </w:tcPr>
          <w:p w14:paraId="4321A5E5" w14:textId="5343D9BA" w:rsidR="00A91118" w:rsidRPr="00AA57C4" w:rsidRDefault="00484B2E" w:rsidP="00275C6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9A6FEA" w:rsidRPr="00AA57C4">
              <w:rPr>
                <w:rFonts w:cstheme="minorHAnsi"/>
                <w:sz w:val="14"/>
                <w:szCs w:val="14"/>
              </w:rPr>
              <w:t>1.8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7CE629E4" w14:textId="480CDE38" w:rsidR="00A91118" w:rsidRPr="00AA57C4" w:rsidRDefault="007446D2" w:rsidP="00650B4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AF6C1D" w:rsidRPr="00AA57C4">
              <w:rPr>
                <w:rFonts w:cstheme="minorHAnsi"/>
                <w:sz w:val="14"/>
                <w:szCs w:val="14"/>
              </w:rPr>
              <w:t>64,013</w:t>
            </w:r>
          </w:p>
        </w:tc>
        <w:tc>
          <w:tcPr>
            <w:tcW w:w="992" w:type="dxa"/>
            <w:vAlign w:val="center"/>
          </w:tcPr>
          <w:p w14:paraId="24E1F8A8" w14:textId="5A6C72AE" w:rsidR="00A91118" w:rsidRPr="00AA57C4" w:rsidRDefault="00DB7E35" w:rsidP="00816F9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1B4080" w:rsidRPr="00AA57C4">
              <w:rPr>
                <w:rFonts w:cstheme="minorHAnsi"/>
                <w:sz w:val="14"/>
                <w:szCs w:val="14"/>
              </w:rPr>
              <w:t>6.3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0C0CFD02" w14:textId="282DC8A5" w:rsidR="00A91118" w:rsidRPr="00AA57C4" w:rsidRDefault="00820D5D" w:rsidP="0034133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1,042,650</w:t>
            </w:r>
          </w:p>
        </w:tc>
        <w:tc>
          <w:tcPr>
            <w:tcW w:w="964" w:type="dxa"/>
            <w:vAlign w:val="center"/>
          </w:tcPr>
          <w:p w14:paraId="6952DD23" w14:textId="12CA3837" w:rsidR="00A91118" w:rsidRPr="00AA57C4" w:rsidRDefault="00A91118" w:rsidP="00C0048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820D5D" w:rsidRPr="00AA57C4">
              <w:rPr>
                <w:rFonts w:cstheme="minorHAnsi"/>
                <w:sz w:val="14"/>
                <w:szCs w:val="14"/>
              </w:rPr>
              <w:t>70,314</w:t>
            </w:r>
          </w:p>
        </w:tc>
        <w:tc>
          <w:tcPr>
            <w:tcW w:w="964" w:type="dxa"/>
            <w:vAlign w:val="center"/>
          </w:tcPr>
          <w:p w14:paraId="2AFA7663" w14:textId="0080226A" w:rsidR="00A91118" w:rsidRPr="00AA57C4" w:rsidRDefault="00A91118" w:rsidP="00C0048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+7.</w:t>
            </w:r>
            <w:r w:rsidR="00820D5D" w:rsidRPr="00AA57C4">
              <w:rPr>
                <w:rFonts w:cstheme="minorHAnsi"/>
                <w:sz w:val="14"/>
                <w:szCs w:val="14"/>
              </w:rPr>
              <w:t>2</w:t>
            </w:r>
            <w:r w:rsidRPr="00AA57C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DE6459" w:rsidRPr="00AD28BB" w14:paraId="4A15B3E4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025D3589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part-time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CDB79FF" w14:textId="771EAC36" w:rsidR="00A91118" w:rsidRPr="00AA57C4" w:rsidRDefault="00785348" w:rsidP="00F72A0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442,872</w:t>
            </w:r>
          </w:p>
        </w:tc>
        <w:tc>
          <w:tcPr>
            <w:tcW w:w="987" w:type="dxa"/>
            <w:vAlign w:val="center"/>
          </w:tcPr>
          <w:p w14:paraId="1AE41271" w14:textId="33C05821" w:rsidR="00A91118" w:rsidRPr="00AA57C4" w:rsidRDefault="00BC2E05" w:rsidP="00650B4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785348" w:rsidRPr="00AA57C4">
              <w:rPr>
                <w:rFonts w:cstheme="minorHAnsi"/>
                <w:sz w:val="14"/>
                <w:szCs w:val="14"/>
              </w:rPr>
              <w:t>14,946</w:t>
            </w:r>
          </w:p>
        </w:tc>
        <w:tc>
          <w:tcPr>
            <w:tcW w:w="971" w:type="dxa"/>
            <w:vAlign w:val="center"/>
          </w:tcPr>
          <w:p w14:paraId="3AA44B9F" w14:textId="2643BCEE" w:rsidR="00A91118" w:rsidRPr="00AA57C4" w:rsidRDefault="00BC2E05" w:rsidP="00275C6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9A6FEA" w:rsidRPr="00AA57C4">
              <w:rPr>
                <w:rFonts w:cstheme="minorHAnsi"/>
                <w:sz w:val="14"/>
                <w:szCs w:val="14"/>
              </w:rPr>
              <w:t>3.3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4BF5F30B" w14:textId="5D0A7CD3" w:rsidR="00A91118" w:rsidRPr="00AA57C4" w:rsidRDefault="00A91118" w:rsidP="00BC2E0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AF6C1D" w:rsidRPr="00AA57C4">
              <w:rPr>
                <w:rFonts w:cstheme="minorHAnsi"/>
                <w:sz w:val="14"/>
                <w:szCs w:val="14"/>
              </w:rPr>
              <w:t>36,993</w:t>
            </w:r>
          </w:p>
        </w:tc>
        <w:tc>
          <w:tcPr>
            <w:tcW w:w="992" w:type="dxa"/>
            <w:vAlign w:val="center"/>
          </w:tcPr>
          <w:p w14:paraId="3579D67F" w14:textId="03BEBAB9" w:rsidR="00A91118" w:rsidRPr="00AA57C4" w:rsidRDefault="00A91118" w:rsidP="00816F9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1B4080" w:rsidRPr="00AA57C4">
              <w:rPr>
                <w:rFonts w:cstheme="minorHAnsi"/>
                <w:sz w:val="14"/>
                <w:szCs w:val="14"/>
              </w:rPr>
              <w:t>7</w:t>
            </w:r>
            <w:r w:rsidR="005071B2" w:rsidRPr="00AA57C4">
              <w:rPr>
                <w:rFonts w:cstheme="minorHAnsi"/>
                <w:sz w:val="14"/>
                <w:szCs w:val="14"/>
              </w:rPr>
              <w:t>.7</w:t>
            </w:r>
            <w:r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1E269663" w14:textId="0B864701" w:rsidR="00A91118" w:rsidRPr="00AA57C4" w:rsidRDefault="00820D5D" w:rsidP="0034133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469,005</w:t>
            </w:r>
          </w:p>
        </w:tc>
        <w:tc>
          <w:tcPr>
            <w:tcW w:w="964" w:type="dxa"/>
            <w:vAlign w:val="center"/>
          </w:tcPr>
          <w:p w14:paraId="49641C0C" w14:textId="37BFD3C5" w:rsidR="00A91118" w:rsidRPr="00AA57C4" w:rsidRDefault="00820D5D" w:rsidP="00C004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-9,715</w:t>
            </w:r>
          </w:p>
        </w:tc>
        <w:tc>
          <w:tcPr>
            <w:tcW w:w="964" w:type="dxa"/>
            <w:vAlign w:val="center"/>
          </w:tcPr>
          <w:p w14:paraId="2094C829" w14:textId="3153189F" w:rsidR="00A91118" w:rsidRPr="00AA57C4" w:rsidRDefault="00820D5D" w:rsidP="00C004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-2.0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DE6459" w:rsidRPr="00AD28BB" w14:paraId="75364A66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3DA2FCC2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Total employed</w:t>
            </w:r>
          </w:p>
        </w:tc>
        <w:tc>
          <w:tcPr>
            <w:tcW w:w="1418" w:type="dxa"/>
            <w:vAlign w:val="center"/>
          </w:tcPr>
          <w:p w14:paraId="30C76A88" w14:textId="32C5F6DE" w:rsidR="00A91118" w:rsidRPr="00AA57C4" w:rsidRDefault="00516F13" w:rsidP="00BC2E0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1,</w:t>
            </w:r>
            <w:r w:rsidR="00785348" w:rsidRPr="00AA57C4">
              <w:rPr>
                <w:rFonts w:cstheme="minorHAnsi"/>
                <w:b/>
                <w:sz w:val="14"/>
                <w:szCs w:val="14"/>
              </w:rPr>
              <w:t>515,300</w:t>
            </w:r>
          </w:p>
        </w:tc>
        <w:tc>
          <w:tcPr>
            <w:tcW w:w="987" w:type="dxa"/>
            <w:vAlign w:val="center"/>
          </w:tcPr>
          <w:p w14:paraId="6D4EA4E4" w14:textId="00DE9E4E" w:rsidR="00A91118" w:rsidRPr="00AA57C4" w:rsidRDefault="00785348" w:rsidP="0078534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+4,030</w:t>
            </w:r>
          </w:p>
        </w:tc>
        <w:tc>
          <w:tcPr>
            <w:tcW w:w="971" w:type="dxa"/>
            <w:vAlign w:val="center"/>
          </w:tcPr>
          <w:p w14:paraId="7D18B596" w14:textId="359B8D40" w:rsidR="00A91118" w:rsidRPr="00AA57C4" w:rsidRDefault="005071B2" w:rsidP="00BC2E0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9A6FEA" w:rsidRPr="00AA57C4">
              <w:rPr>
                <w:rFonts w:cstheme="minorHAnsi"/>
                <w:sz w:val="14"/>
                <w:szCs w:val="14"/>
              </w:rPr>
              <w:t>0.3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37FB37F3" w14:textId="5F9A170E" w:rsidR="00A91118" w:rsidRPr="00AA57C4" w:rsidRDefault="00DB7E35" w:rsidP="00650B4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AF6C1D" w:rsidRPr="00AA57C4">
              <w:rPr>
                <w:rFonts w:cstheme="minorHAnsi"/>
                <w:sz w:val="14"/>
                <w:szCs w:val="14"/>
              </w:rPr>
              <w:t>27,020</w:t>
            </w:r>
          </w:p>
        </w:tc>
        <w:tc>
          <w:tcPr>
            <w:tcW w:w="992" w:type="dxa"/>
            <w:vAlign w:val="center"/>
          </w:tcPr>
          <w:p w14:paraId="3B9E33E1" w14:textId="43D3F727" w:rsidR="00A91118" w:rsidRPr="00AA57C4" w:rsidRDefault="00A91118" w:rsidP="00816F9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1B4080" w:rsidRPr="00AA57C4">
              <w:rPr>
                <w:rFonts w:cstheme="minorHAnsi"/>
                <w:sz w:val="14"/>
                <w:szCs w:val="14"/>
              </w:rPr>
              <w:t>1.8</w:t>
            </w:r>
            <w:r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3F3906F8" w14:textId="6347EF26" w:rsidR="00A91118" w:rsidRPr="00AA57C4" w:rsidRDefault="00A91118" w:rsidP="00820D5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1,</w:t>
            </w:r>
            <w:r w:rsidR="00820D5D" w:rsidRPr="00AA57C4">
              <w:rPr>
                <w:rFonts w:cstheme="minorHAnsi"/>
                <w:sz w:val="14"/>
                <w:szCs w:val="14"/>
              </w:rPr>
              <w:t>511,655</w:t>
            </w:r>
          </w:p>
        </w:tc>
        <w:tc>
          <w:tcPr>
            <w:tcW w:w="964" w:type="dxa"/>
            <w:vAlign w:val="center"/>
          </w:tcPr>
          <w:p w14:paraId="09CD35D5" w14:textId="143B2C60" w:rsidR="00A91118" w:rsidRPr="00AA57C4" w:rsidRDefault="00A91118" w:rsidP="00820D5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820D5D" w:rsidRPr="00AA57C4">
              <w:rPr>
                <w:rFonts w:cstheme="minorHAnsi"/>
                <w:sz w:val="14"/>
                <w:szCs w:val="14"/>
              </w:rPr>
              <w:t>60,599</w:t>
            </w:r>
          </w:p>
        </w:tc>
        <w:tc>
          <w:tcPr>
            <w:tcW w:w="964" w:type="dxa"/>
            <w:vAlign w:val="center"/>
          </w:tcPr>
          <w:p w14:paraId="2096E8C6" w14:textId="1945FC07" w:rsidR="00A91118" w:rsidRPr="00AA57C4" w:rsidRDefault="00A9111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820D5D" w:rsidRPr="00AA57C4">
              <w:rPr>
                <w:rFonts w:cstheme="minorHAnsi"/>
                <w:sz w:val="14"/>
                <w:szCs w:val="14"/>
              </w:rPr>
              <w:t>4.2</w:t>
            </w:r>
            <w:r w:rsidRPr="00AA57C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DE6459" w:rsidRPr="00AD28BB" w14:paraId="5EF2F954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3ED1209E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Total hours worked (millions)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77DD2716" w14:textId="44A5BEB6" w:rsidR="00A91118" w:rsidRPr="00AA57C4" w:rsidRDefault="00785348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211.6</w:t>
            </w:r>
          </w:p>
        </w:tc>
        <w:tc>
          <w:tcPr>
            <w:tcW w:w="987" w:type="dxa"/>
            <w:vAlign w:val="center"/>
          </w:tcPr>
          <w:p w14:paraId="7A316116" w14:textId="4C2FA9F3" w:rsidR="00A91118" w:rsidRPr="00AA57C4" w:rsidRDefault="00785348" w:rsidP="001116C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-0.1</w:t>
            </w:r>
          </w:p>
        </w:tc>
        <w:tc>
          <w:tcPr>
            <w:tcW w:w="971" w:type="dxa"/>
            <w:vAlign w:val="center"/>
          </w:tcPr>
          <w:p w14:paraId="536690FC" w14:textId="0C308CE9" w:rsidR="00A91118" w:rsidRPr="00AA57C4" w:rsidRDefault="009A6FEA" w:rsidP="00275C6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0.0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20D50777" w14:textId="630EF368" w:rsidR="00A91118" w:rsidRPr="00AA57C4" w:rsidRDefault="00DB7E35" w:rsidP="00AF6C1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AF6C1D" w:rsidRPr="00AA57C4">
              <w:rPr>
                <w:rFonts w:cstheme="minorHAnsi"/>
                <w:sz w:val="14"/>
                <w:szCs w:val="14"/>
              </w:rPr>
              <w:t>4.4</w:t>
            </w:r>
          </w:p>
        </w:tc>
        <w:tc>
          <w:tcPr>
            <w:tcW w:w="992" w:type="dxa"/>
            <w:vAlign w:val="center"/>
          </w:tcPr>
          <w:p w14:paraId="278C13A2" w14:textId="5B34604C" w:rsidR="00A91118" w:rsidRPr="00AA57C4" w:rsidRDefault="00DB7E35" w:rsidP="00816F9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1B4080" w:rsidRPr="00AA57C4">
              <w:rPr>
                <w:rFonts w:cstheme="minorHAnsi"/>
                <w:sz w:val="14"/>
                <w:szCs w:val="14"/>
              </w:rPr>
              <w:t>2.1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43D9F88E" w14:textId="48569A9B" w:rsidR="00A91118" w:rsidRPr="00AA57C4" w:rsidRDefault="00820D5D" w:rsidP="00BF1C7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209.5</w:t>
            </w:r>
          </w:p>
        </w:tc>
        <w:tc>
          <w:tcPr>
            <w:tcW w:w="964" w:type="dxa"/>
            <w:vAlign w:val="center"/>
          </w:tcPr>
          <w:p w14:paraId="1C213D19" w14:textId="36C96580" w:rsidR="00A91118" w:rsidRPr="00AA57C4" w:rsidRDefault="00820D5D" w:rsidP="00C004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+8.8</w:t>
            </w:r>
          </w:p>
        </w:tc>
        <w:tc>
          <w:tcPr>
            <w:tcW w:w="964" w:type="dxa"/>
            <w:vAlign w:val="center"/>
          </w:tcPr>
          <w:p w14:paraId="4231B5EF" w14:textId="64C6645E" w:rsidR="00A91118" w:rsidRPr="00AA57C4" w:rsidRDefault="00A91118" w:rsidP="00C004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820D5D" w:rsidRPr="00AA57C4">
              <w:rPr>
                <w:rFonts w:cstheme="minorHAnsi"/>
                <w:sz w:val="14"/>
                <w:szCs w:val="14"/>
              </w:rPr>
              <w:t>4.4</w:t>
            </w:r>
            <w:r w:rsidRPr="00AA57C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DE6459" w:rsidRPr="00AD28BB" w14:paraId="5F626DA9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2A53FB76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Participation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418" w:type="dxa"/>
            <w:vAlign w:val="center"/>
          </w:tcPr>
          <w:p w14:paraId="72E29F94" w14:textId="2C2E79EC" w:rsidR="00A91118" w:rsidRPr="00AA57C4" w:rsidRDefault="00785348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69.0</w:t>
            </w:r>
            <w:r w:rsidR="00A91118" w:rsidRPr="00AA57C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987" w:type="dxa"/>
            <w:vAlign w:val="center"/>
          </w:tcPr>
          <w:p w14:paraId="7B10D611" w14:textId="136B2E96" w:rsidR="00A91118" w:rsidRPr="00AA57C4" w:rsidRDefault="00631652" w:rsidP="003D25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A91118" w:rsidRPr="00AA57C4">
              <w:rPr>
                <w:rFonts w:cstheme="minorHAnsi"/>
                <w:sz w:val="14"/>
                <w:szCs w:val="14"/>
              </w:rPr>
              <w:t>0.</w:t>
            </w:r>
            <w:r w:rsidR="00785348" w:rsidRPr="00AA57C4">
              <w:rPr>
                <w:rFonts w:cstheme="minorHAnsi"/>
                <w:sz w:val="14"/>
                <w:szCs w:val="14"/>
              </w:rPr>
              <w:t>1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71" w:type="dxa"/>
            <w:vAlign w:val="center"/>
          </w:tcPr>
          <w:p w14:paraId="4FF13A31" w14:textId="77777777" w:rsidR="00A91118" w:rsidRPr="00AA57C4" w:rsidRDefault="00A9111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77" w:type="dxa"/>
            <w:vAlign w:val="center"/>
          </w:tcPr>
          <w:p w14:paraId="745258EB" w14:textId="2EC1C682" w:rsidR="00A91118" w:rsidRPr="00AA57C4" w:rsidRDefault="00631652" w:rsidP="00667D5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DB7E35" w:rsidRPr="00AA57C4">
              <w:rPr>
                <w:rFonts w:cstheme="minorHAnsi"/>
                <w:sz w:val="14"/>
                <w:szCs w:val="14"/>
              </w:rPr>
              <w:t>0.</w:t>
            </w:r>
            <w:r w:rsidR="00AF6C1D" w:rsidRPr="00AA57C4">
              <w:rPr>
                <w:rFonts w:cstheme="minorHAnsi"/>
                <w:sz w:val="14"/>
                <w:szCs w:val="14"/>
              </w:rPr>
              <w:t>1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92" w:type="dxa"/>
            <w:vAlign w:val="center"/>
          </w:tcPr>
          <w:p w14:paraId="162A1786" w14:textId="77777777" w:rsidR="00A91118" w:rsidRPr="00AA57C4" w:rsidRDefault="00A91118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67D535BC" w14:textId="40739925" w:rsidR="00A91118" w:rsidRPr="00AA57C4" w:rsidRDefault="00A91118" w:rsidP="00C0048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69.</w:t>
            </w:r>
            <w:r w:rsidR="00820D5D" w:rsidRPr="00AA57C4">
              <w:rPr>
                <w:rFonts w:cstheme="minorHAnsi"/>
                <w:sz w:val="14"/>
                <w:szCs w:val="14"/>
              </w:rPr>
              <w:t>5</w:t>
            </w:r>
            <w:r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64" w:type="dxa"/>
            <w:vAlign w:val="center"/>
          </w:tcPr>
          <w:p w14:paraId="797B6721" w14:textId="42B3CF1C" w:rsidR="00A91118" w:rsidRPr="00AA57C4" w:rsidRDefault="00820D5D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+0.7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64" w:type="dxa"/>
            <w:vAlign w:val="center"/>
          </w:tcPr>
          <w:p w14:paraId="0E30442B" w14:textId="77777777" w:rsidR="00A91118" w:rsidRPr="00AA57C4" w:rsidRDefault="00A9111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DE6459" w:rsidRPr="00AD28BB" w14:paraId="1A7A7E21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5E15C3FC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Employment to population ratio</w:t>
            </w:r>
          </w:p>
        </w:tc>
        <w:tc>
          <w:tcPr>
            <w:tcW w:w="1418" w:type="dxa"/>
            <w:vAlign w:val="center"/>
          </w:tcPr>
          <w:p w14:paraId="040C815A" w14:textId="1C80BD62" w:rsidR="00A91118" w:rsidRPr="00AA57C4" w:rsidRDefault="00785348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66.6</w:t>
            </w:r>
            <w:r w:rsidR="00A91118" w:rsidRPr="00AA57C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987" w:type="dxa"/>
            <w:vAlign w:val="center"/>
          </w:tcPr>
          <w:p w14:paraId="6ECB1543" w14:textId="4EAD05D3" w:rsidR="00A91118" w:rsidRPr="00AA57C4" w:rsidRDefault="0047661F" w:rsidP="004C2A6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A91118" w:rsidRPr="00AA57C4">
              <w:rPr>
                <w:rFonts w:cstheme="minorHAnsi"/>
                <w:sz w:val="14"/>
                <w:szCs w:val="14"/>
              </w:rPr>
              <w:t>0.</w:t>
            </w:r>
            <w:r w:rsidR="00785348" w:rsidRPr="00AA57C4">
              <w:rPr>
                <w:rFonts w:cstheme="minorHAnsi"/>
                <w:sz w:val="14"/>
                <w:szCs w:val="14"/>
              </w:rPr>
              <w:t>1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71" w:type="dxa"/>
            <w:vAlign w:val="center"/>
          </w:tcPr>
          <w:p w14:paraId="7FFB94AF" w14:textId="77777777" w:rsidR="00A91118" w:rsidRPr="00AA57C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77" w:type="dxa"/>
            <w:vAlign w:val="center"/>
          </w:tcPr>
          <w:p w14:paraId="71840CC2" w14:textId="3CE33273" w:rsidR="00A91118" w:rsidRPr="00AA57C4" w:rsidRDefault="00AF6C1D" w:rsidP="00667D5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-0.2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92" w:type="dxa"/>
            <w:vAlign w:val="center"/>
          </w:tcPr>
          <w:p w14:paraId="71EA732C" w14:textId="77777777" w:rsidR="00A91118" w:rsidRPr="00AA57C4" w:rsidRDefault="00A91118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4A515333" w14:textId="6ADFAC53" w:rsidR="00A91118" w:rsidRPr="00AA57C4" w:rsidRDefault="00820D5D" w:rsidP="00C004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67.1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64" w:type="dxa"/>
            <w:vAlign w:val="center"/>
          </w:tcPr>
          <w:p w14:paraId="2CF19AE1" w14:textId="23AD2E87" w:rsidR="00A91118" w:rsidRPr="00AA57C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+1.6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64" w:type="dxa"/>
            <w:vAlign w:val="center"/>
          </w:tcPr>
          <w:p w14:paraId="4BCF6AED" w14:textId="77777777" w:rsidR="00A91118" w:rsidRPr="00AA57C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DE6459" w:rsidRPr="00AD28BB" w14:paraId="678A9B8A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684578CD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Unemployed</w:t>
            </w:r>
          </w:p>
        </w:tc>
        <w:tc>
          <w:tcPr>
            <w:tcW w:w="1418" w:type="dxa"/>
            <w:vAlign w:val="center"/>
          </w:tcPr>
          <w:p w14:paraId="4C382EE2" w14:textId="378FFE7C" w:rsidR="00A91118" w:rsidRPr="00AA57C4" w:rsidRDefault="00785348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54,772</w:t>
            </w:r>
          </w:p>
        </w:tc>
        <w:tc>
          <w:tcPr>
            <w:tcW w:w="987" w:type="dxa"/>
            <w:vAlign w:val="center"/>
          </w:tcPr>
          <w:p w14:paraId="226B68D9" w14:textId="00CEFD74" w:rsidR="00A91118" w:rsidRPr="00AA57C4" w:rsidRDefault="00785348" w:rsidP="00650B4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+1,41</w:t>
            </w:r>
            <w:r w:rsidR="008114A6" w:rsidRPr="00AA57C4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971" w:type="dxa"/>
            <w:vAlign w:val="center"/>
          </w:tcPr>
          <w:p w14:paraId="0DA21105" w14:textId="5719A4EF" w:rsidR="00A91118" w:rsidRPr="00AA57C4" w:rsidRDefault="009A6FEA" w:rsidP="00275C6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+2.7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1D73AB89" w14:textId="2B49CE83" w:rsidR="00A91118" w:rsidRPr="00AA57C4" w:rsidRDefault="00AF6C1D" w:rsidP="00AF6C1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+2,264</w:t>
            </w:r>
          </w:p>
        </w:tc>
        <w:tc>
          <w:tcPr>
            <w:tcW w:w="992" w:type="dxa"/>
            <w:vAlign w:val="center"/>
          </w:tcPr>
          <w:p w14:paraId="79885B84" w14:textId="616FBBAA" w:rsidR="00A91118" w:rsidRPr="00AA57C4" w:rsidRDefault="001B4080" w:rsidP="00816F9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+4.3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7F2BD25B" w14:textId="6C6BC5B2" w:rsidR="00A91118" w:rsidRPr="00AA57C4" w:rsidRDefault="00A91118" w:rsidP="00C0048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5</w:t>
            </w:r>
            <w:r w:rsidR="00820D5D" w:rsidRPr="00AA57C4">
              <w:rPr>
                <w:rFonts w:cstheme="minorHAnsi"/>
                <w:sz w:val="14"/>
                <w:szCs w:val="14"/>
              </w:rPr>
              <w:t>3,523</w:t>
            </w:r>
          </w:p>
        </w:tc>
        <w:tc>
          <w:tcPr>
            <w:tcW w:w="964" w:type="dxa"/>
            <w:vAlign w:val="center"/>
          </w:tcPr>
          <w:p w14:paraId="4F31F38E" w14:textId="54BDF28B" w:rsidR="00A91118" w:rsidRPr="00AA57C4" w:rsidRDefault="00820D5D" w:rsidP="00820D5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-18,214</w:t>
            </w:r>
          </w:p>
        </w:tc>
        <w:tc>
          <w:tcPr>
            <w:tcW w:w="964" w:type="dxa"/>
            <w:vAlign w:val="center"/>
          </w:tcPr>
          <w:p w14:paraId="4A596A39" w14:textId="5C828461" w:rsidR="00A91118" w:rsidRPr="00AA57C4" w:rsidRDefault="00C0048B" w:rsidP="00C0048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820D5D" w:rsidRPr="00AA57C4">
              <w:rPr>
                <w:rFonts w:cstheme="minorHAnsi"/>
                <w:sz w:val="14"/>
                <w:szCs w:val="14"/>
              </w:rPr>
              <w:t>25</w:t>
            </w:r>
            <w:r w:rsidR="00A91118" w:rsidRPr="00AA57C4">
              <w:rPr>
                <w:rFonts w:cstheme="minorHAnsi"/>
                <w:sz w:val="14"/>
                <w:szCs w:val="14"/>
              </w:rPr>
              <w:t>.</w:t>
            </w:r>
            <w:r w:rsidRPr="00AA57C4">
              <w:rPr>
                <w:rFonts w:cstheme="minorHAnsi"/>
                <w:sz w:val="14"/>
                <w:szCs w:val="14"/>
              </w:rPr>
              <w:t>4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DE6459" w:rsidRPr="00AD28BB" w14:paraId="550A24ED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4B7DF3AB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1418" w:type="dxa"/>
            <w:vAlign w:val="center"/>
          </w:tcPr>
          <w:p w14:paraId="39F9CE99" w14:textId="4D609CA9" w:rsidR="00A91118" w:rsidRPr="00AA57C4" w:rsidRDefault="001F50C5" w:rsidP="00FD155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3.</w:t>
            </w:r>
            <w:r w:rsidR="00F2700D" w:rsidRPr="00AA57C4">
              <w:rPr>
                <w:rFonts w:cstheme="minorHAnsi"/>
                <w:b/>
                <w:sz w:val="14"/>
                <w:szCs w:val="14"/>
              </w:rPr>
              <w:t>5</w:t>
            </w:r>
            <w:r w:rsidR="00A91118" w:rsidRPr="00AA57C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987" w:type="dxa"/>
            <w:vAlign w:val="center"/>
          </w:tcPr>
          <w:p w14:paraId="3F779781" w14:textId="54BE3023" w:rsidR="00A91118" w:rsidRPr="00AA57C4" w:rsidRDefault="00785348" w:rsidP="004C2A6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</w:t>
            </w:r>
            <w:r w:rsidR="00650B42" w:rsidRPr="00AA57C4">
              <w:rPr>
                <w:rFonts w:cstheme="minorHAnsi"/>
                <w:sz w:val="14"/>
                <w:szCs w:val="14"/>
              </w:rPr>
              <w:t>0.1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71" w:type="dxa"/>
            <w:vAlign w:val="center"/>
          </w:tcPr>
          <w:p w14:paraId="69FBF41F" w14:textId="77777777" w:rsidR="00A91118" w:rsidRPr="00AA57C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77" w:type="dxa"/>
            <w:vAlign w:val="center"/>
          </w:tcPr>
          <w:p w14:paraId="01D13550" w14:textId="37B6D1D7" w:rsidR="00A91118" w:rsidRPr="00AA57C4" w:rsidRDefault="00AF6C1D" w:rsidP="00AF6C1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+0.1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92" w:type="dxa"/>
            <w:vAlign w:val="center"/>
          </w:tcPr>
          <w:p w14:paraId="51F6EEB1" w14:textId="77777777" w:rsidR="00A91118" w:rsidRPr="00AA57C4" w:rsidRDefault="00A91118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092FD1BA" w14:textId="40DEB717" w:rsidR="00A91118" w:rsidRPr="00AA57C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3.4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64" w:type="dxa"/>
            <w:vAlign w:val="center"/>
          </w:tcPr>
          <w:p w14:paraId="0A8D7363" w14:textId="5129732C" w:rsidR="00A91118" w:rsidRPr="00AA57C4" w:rsidRDefault="00820D5D" w:rsidP="00F75CF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-1</w:t>
            </w:r>
            <w:r w:rsidR="00A91118" w:rsidRPr="00AA57C4">
              <w:rPr>
                <w:rFonts w:cstheme="minorHAnsi"/>
                <w:sz w:val="14"/>
                <w:szCs w:val="14"/>
              </w:rPr>
              <w:t>.3pp</w:t>
            </w:r>
          </w:p>
        </w:tc>
        <w:tc>
          <w:tcPr>
            <w:tcW w:w="964" w:type="dxa"/>
            <w:vAlign w:val="center"/>
          </w:tcPr>
          <w:p w14:paraId="6F9053E2" w14:textId="77777777" w:rsidR="00A91118" w:rsidRPr="00AA57C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DE6459" w:rsidRPr="00AD28BB" w14:paraId="6A592692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01376F65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Underemployed</w:t>
            </w:r>
          </w:p>
        </w:tc>
        <w:tc>
          <w:tcPr>
            <w:tcW w:w="1418" w:type="dxa"/>
            <w:vAlign w:val="center"/>
          </w:tcPr>
          <w:p w14:paraId="46B91A42" w14:textId="655A8A09" w:rsidR="00A91118" w:rsidRPr="00AA57C4" w:rsidRDefault="00785348" w:rsidP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90,034</w:t>
            </w:r>
          </w:p>
        </w:tc>
        <w:tc>
          <w:tcPr>
            <w:tcW w:w="987" w:type="dxa"/>
            <w:vAlign w:val="center"/>
          </w:tcPr>
          <w:p w14:paraId="46312208" w14:textId="09250458" w:rsidR="00A91118" w:rsidRPr="00AA57C4" w:rsidRDefault="00785348" w:rsidP="00650B4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+3,145</w:t>
            </w:r>
          </w:p>
        </w:tc>
        <w:tc>
          <w:tcPr>
            <w:tcW w:w="971" w:type="dxa"/>
            <w:vAlign w:val="center"/>
          </w:tcPr>
          <w:p w14:paraId="65F359DB" w14:textId="0E6130D7" w:rsidR="00A91118" w:rsidRPr="00AA57C4" w:rsidRDefault="009A6FEA" w:rsidP="00DB7E3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+3.6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43CB154D" w14:textId="58C37917" w:rsidR="00A91118" w:rsidRPr="00AA57C4" w:rsidRDefault="00AF6C1D" w:rsidP="00667D5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-8,842</w:t>
            </w:r>
          </w:p>
        </w:tc>
        <w:tc>
          <w:tcPr>
            <w:tcW w:w="992" w:type="dxa"/>
            <w:vAlign w:val="center"/>
          </w:tcPr>
          <w:p w14:paraId="60FD16A5" w14:textId="6F44A7E2" w:rsidR="00A91118" w:rsidRPr="00AA57C4" w:rsidRDefault="00A91118" w:rsidP="00816F9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1B4080" w:rsidRPr="00AA57C4">
              <w:rPr>
                <w:rFonts w:cstheme="minorHAnsi"/>
                <w:sz w:val="14"/>
                <w:szCs w:val="14"/>
              </w:rPr>
              <w:t>8.9</w:t>
            </w:r>
            <w:r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685A9274" w14:textId="2CC78847" w:rsidR="00A91118" w:rsidRPr="00AA57C4" w:rsidRDefault="00820D5D" w:rsidP="0034133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93,331</w:t>
            </w:r>
          </w:p>
        </w:tc>
        <w:tc>
          <w:tcPr>
            <w:tcW w:w="964" w:type="dxa"/>
            <w:vAlign w:val="center"/>
          </w:tcPr>
          <w:p w14:paraId="75B15629" w14:textId="7C2C649D" w:rsidR="00A91118" w:rsidRPr="00AA57C4" w:rsidRDefault="00820D5D" w:rsidP="00C0048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-13,480</w:t>
            </w:r>
          </w:p>
        </w:tc>
        <w:tc>
          <w:tcPr>
            <w:tcW w:w="964" w:type="dxa"/>
            <w:vAlign w:val="center"/>
          </w:tcPr>
          <w:p w14:paraId="2F4363EC" w14:textId="254F4853" w:rsidR="00A91118" w:rsidRPr="00AA57C4" w:rsidRDefault="00A91118" w:rsidP="00C0048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820D5D" w:rsidRPr="00AA57C4">
              <w:rPr>
                <w:rFonts w:cstheme="minorHAnsi"/>
                <w:sz w:val="14"/>
                <w:szCs w:val="14"/>
                <w:shd w:val="clear" w:color="auto" w:fill="FFFFFF" w:themeFill="background1"/>
              </w:rPr>
              <w:t>12.6</w:t>
            </w:r>
            <w:r w:rsidRPr="00AA57C4">
              <w:rPr>
                <w:rFonts w:cstheme="minorHAnsi"/>
                <w:sz w:val="14"/>
                <w:szCs w:val="14"/>
                <w:shd w:val="clear" w:color="auto" w:fill="FFFFFF" w:themeFill="background1"/>
              </w:rPr>
              <w:t>%</w:t>
            </w:r>
          </w:p>
        </w:tc>
      </w:tr>
      <w:tr w:rsidR="00DE6459" w:rsidRPr="00AD28BB" w14:paraId="253EEA66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79299DDB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418" w:type="dxa"/>
            <w:vAlign w:val="center"/>
          </w:tcPr>
          <w:p w14:paraId="4C99CD33" w14:textId="0ADBAA3C" w:rsidR="00A91118" w:rsidRPr="00AA57C4" w:rsidRDefault="00785348" w:rsidP="00F72A0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A57C4">
              <w:rPr>
                <w:rFonts w:cstheme="minorHAnsi"/>
                <w:b/>
                <w:sz w:val="14"/>
                <w:szCs w:val="14"/>
              </w:rPr>
              <w:t>5.7</w:t>
            </w:r>
            <w:r w:rsidR="00F72A05" w:rsidRPr="00AA57C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987" w:type="dxa"/>
            <w:vAlign w:val="center"/>
          </w:tcPr>
          <w:p w14:paraId="4361F412" w14:textId="5E745E4D" w:rsidR="00A91118" w:rsidRPr="00AA57C4" w:rsidRDefault="00785348" w:rsidP="007B018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+0.2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71" w:type="dxa"/>
            <w:vAlign w:val="center"/>
          </w:tcPr>
          <w:p w14:paraId="1FDD2883" w14:textId="77777777" w:rsidR="00A91118" w:rsidRPr="00AA57C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77" w:type="dxa"/>
            <w:vAlign w:val="center"/>
          </w:tcPr>
          <w:p w14:paraId="0267F87E" w14:textId="0F17E01E" w:rsidR="00A91118" w:rsidRPr="00AA57C4" w:rsidRDefault="00A91118" w:rsidP="00667D5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</w:t>
            </w:r>
            <w:r w:rsidR="00AF6C1D" w:rsidRPr="00AA57C4">
              <w:rPr>
                <w:rFonts w:cstheme="minorHAnsi"/>
                <w:sz w:val="14"/>
                <w:szCs w:val="14"/>
              </w:rPr>
              <w:t>0.7</w:t>
            </w:r>
            <w:r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92" w:type="dxa"/>
            <w:vAlign w:val="center"/>
          </w:tcPr>
          <w:p w14:paraId="69B4B783" w14:textId="77777777" w:rsidR="00A91118" w:rsidRPr="00AA57C4" w:rsidRDefault="00A91118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54F11035" w14:textId="5696F476" w:rsidR="00A91118" w:rsidRPr="00AA57C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6.0</w:t>
            </w:r>
            <w:r w:rsidR="00A91118" w:rsidRPr="00AA57C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64" w:type="dxa"/>
            <w:vAlign w:val="center"/>
          </w:tcPr>
          <w:p w14:paraId="3F079626" w14:textId="08D3E05D" w:rsidR="00A91118" w:rsidRPr="00AA57C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A57C4">
              <w:rPr>
                <w:rFonts w:cstheme="minorHAnsi"/>
                <w:sz w:val="14"/>
                <w:szCs w:val="14"/>
              </w:rPr>
              <w:t>-1.1</w:t>
            </w:r>
            <w:r w:rsidR="00A91118" w:rsidRPr="00AA57C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64" w:type="dxa"/>
            <w:vAlign w:val="center"/>
          </w:tcPr>
          <w:p w14:paraId="211801EE" w14:textId="77777777" w:rsidR="00A91118" w:rsidRPr="00AA57C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AA57C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AA57C4">
              <w:rPr>
                <w:rFonts w:cstheme="minorHAnsi"/>
                <w:sz w:val="14"/>
                <w:szCs w:val="14"/>
              </w:rPr>
              <w:t>.</w:t>
            </w:r>
          </w:p>
        </w:tc>
      </w:tr>
    </w:tbl>
    <w:p w14:paraId="79B32364" w14:textId="77777777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applicable. pp = percentage point. </w:t>
      </w:r>
      <w:r w:rsidRPr="003379C5">
        <w:rPr>
          <w:sz w:val="10"/>
          <w:vertAlign w:val="superscript"/>
        </w:rPr>
        <w:t>1</w:t>
      </w:r>
      <w:r w:rsidRPr="003379C5">
        <w:rPr>
          <w:sz w:val="10"/>
        </w:rPr>
        <w:t xml:space="preserve"> Worked 35 hours or more a week. </w:t>
      </w:r>
      <w:r w:rsidRPr="003379C5">
        <w:rPr>
          <w:sz w:val="10"/>
          <w:vertAlign w:val="superscript"/>
        </w:rPr>
        <w:t>2</w:t>
      </w:r>
      <w:r w:rsidRPr="003379C5">
        <w:rPr>
          <w:sz w:val="10"/>
        </w:rPr>
        <w:t xml:space="preserve"> Worked less than 35 hours a week. </w:t>
      </w:r>
      <w:r w:rsidRPr="003379C5">
        <w:rPr>
          <w:sz w:val="10"/>
          <w:vertAlign w:val="superscript"/>
        </w:rPr>
        <w:t>3</w:t>
      </w:r>
      <w:r w:rsidRPr="003379C5">
        <w:rPr>
          <w:sz w:val="10"/>
        </w:rPr>
        <w:t xml:space="preserve"> </w:t>
      </w:r>
      <w:r w:rsidRPr="00382817">
        <w:rPr>
          <w:sz w:val="10"/>
        </w:rPr>
        <w:t>Total monthly hours worked in all jobs (full time and part time jobs</w:t>
      </w:r>
      <w:r>
        <w:rPr>
          <w:sz w:val="10"/>
        </w:rPr>
        <w:t xml:space="preserve">). </w:t>
      </w:r>
      <w:r w:rsidRPr="00382817">
        <w:rPr>
          <w:sz w:val="10"/>
          <w:vertAlign w:val="superscript"/>
        </w:rPr>
        <w:t>4</w:t>
      </w:r>
      <w:r>
        <w:rPr>
          <w:sz w:val="10"/>
        </w:rPr>
        <w:t xml:space="preserve"> </w:t>
      </w:r>
      <w:r w:rsidRPr="003379C5">
        <w:rPr>
          <w:sz w:val="10"/>
        </w:rPr>
        <w:t>The proportion of the civilian working age population (aged 15 and older) in the labo</w:t>
      </w:r>
      <w:r>
        <w:rPr>
          <w:sz w:val="10"/>
        </w:rPr>
        <w:t>ur force (</w:t>
      </w:r>
      <w:r w:rsidRPr="003379C5">
        <w:rPr>
          <w:sz w:val="10"/>
        </w:rPr>
        <w:t>employed or unemployed</w:t>
      </w:r>
      <w:r>
        <w:rPr>
          <w:sz w:val="10"/>
        </w:rPr>
        <w:t xml:space="preserve"> people</w:t>
      </w:r>
      <w:r w:rsidRPr="003379C5">
        <w:rPr>
          <w:sz w:val="10"/>
        </w:rPr>
        <w:t xml:space="preserve">). </w:t>
      </w:r>
      <w:r>
        <w:rPr>
          <w:sz w:val="10"/>
          <w:vertAlign w:val="superscript"/>
        </w:rPr>
        <w:t>5</w:t>
      </w:r>
      <w:r w:rsidRPr="003379C5">
        <w:rPr>
          <w:sz w:val="10"/>
        </w:rPr>
        <w:t xml:space="preserve"> The proport</w:t>
      </w:r>
      <w:r>
        <w:rPr>
          <w:sz w:val="10"/>
        </w:rPr>
        <w:t xml:space="preserve">ion of </w:t>
      </w:r>
      <w:r w:rsidRPr="003379C5">
        <w:rPr>
          <w:sz w:val="10"/>
        </w:rPr>
        <w:t>unemployed</w:t>
      </w:r>
      <w:r>
        <w:rPr>
          <w:sz w:val="10"/>
        </w:rPr>
        <w:t xml:space="preserve"> in the labour force</w:t>
      </w:r>
      <w:r w:rsidRPr="003379C5">
        <w:rPr>
          <w:sz w:val="10"/>
        </w:rPr>
        <w:t xml:space="preserve"> (people without a job who are actively looking for work). </w:t>
      </w:r>
      <w:r>
        <w:rPr>
          <w:sz w:val="10"/>
          <w:vertAlign w:val="superscript"/>
        </w:rPr>
        <w:t>6</w:t>
      </w:r>
      <w:r w:rsidRPr="003379C5">
        <w:rPr>
          <w:sz w:val="10"/>
          <w:vertAlign w:val="superscript"/>
        </w:rPr>
        <w:t xml:space="preserve"> </w:t>
      </w:r>
      <w:r w:rsidRPr="003379C5">
        <w:rPr>
          <w:sz w:val="10"/>
        </w:rPr>
        <w:t>The proport</w:t>
      </w:r>
      <w:r>
        <w:rPr>
          <w:sz w:val="10"/>
        </w:rPr>
        <w:t>ion of</w:t>
      </w:r>
      <w:r w:rsidRPr="003379C5">
        <w:rPr>
          <w:sz w:val="10"/>
        </w:rPr>
        <w:t xml:space="preserve"> underemployed </w:t>
      </w:r>
      <w:r>
        <w:rPr>
          <w:sz w:val="10"/>
        </w:rPr>
        <w:t xml:space="preserve">in the labour force </w:t>
      </w:r>
      <w:r w:rsidRPr="003379C5">
        <w:rPr>
          <w:sz w:val="10"/>
        </w:rPr>
        <w:t>(workers wanting more hours)</w:t>
      </w:r>
      <w:r>
        <w:rPr>
          <w:sz w:val="10"/>
        </w:rPr>
        <w:t xml:space="preserve">. </w:t>
      </w:r>
      <w:r>
        <w:rPr>
          <w:sz w:val="10"/>
          <w:vertAlign w:val="superscript"/>
        </w:rPr>
        <w:t xml:space="preserve">7 </w:t>
      </w:r>
      <w:r w:rsidRPr="003379C5">
        <w:rPr>
          <w:sz w:val="10"/>
        </w:rPr>
        <w:t>Seasonally adjusted</w:t>
      </w:r>
      <w:r>
        <w:rPr>
          <w:sz w:val="10"/>
        </w:rPr>
        <w:t xml:space="preserve"> series</w:t>
      </w:r>
      <w:r w:rsidRPr="003379C5">
        <w:rPr>
          <w:sz w:val="10"/>
        </w:rPr>
        <w:t xml:space="preserve">. </w:t>
      </w:r>
      <w:r>
        <w:rPr>
          <w:sz w:val="10"/>
          <w:vertAlign w:val="superscript"/>
        </w:rPr>
        <w:t>8</w:t>
      </w:r>
      <w:r w:rsidRPr="003379C5">
        <w:rPr>
          <w:sz w:val="10"/>
        </w:rPr>
        <w:t xml:space="preserve"> Original</w:t>
      </w:r>
      <w:r>
        <w:rPr>
          <w:sz w:val="10"/>
        </w:rPr>
        <w:t xml:space="preserve"> series (except for total hours worked in seasonally adjusted terms)</w:t>
      </w:r>
      <w:r w:rsidRPr="003379C5">
        <w:rPr>
          <w:sz w:val="10"/>
        </w:rPr>
        <w:t>.</w:t>
      </w:r>
    </w:p>
    <w:p w14:paraId="6861B973" w14:textId="38CCC0F1" w:rsidR="00FD2E59" w:rsidRPr="00001B6E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>
        <w:rPr>
          <w:sz w:val="10"/>
        </w:rPr>
        <w:t>6202.0 Labour Force, Australia (Monthly).</w:t>
      </w:r>
    </w:p>
    <w:p w14:paraId="08145004" w14:textId="77777777" w:rsidR="00FD2E59" w:rsidRDefault="00FD2E59" w:rsidP="00FD2E59">
      <w:pPr>
        <w:spacing w:after="0"/>
        <w:jc w:val="both"/>
        <w:rPr>
          <w:sz w:val="16"/>
        </w:rPr>
        <w:sectPr w:rsidR="00FD2E59" w:rsidSect="007B5658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0E4E57C3" w14:textId="77777777" w:rsidR="00FD2E59" w:rsidRDefault="00FD2E59" w:rsidP="00FD2E59">
      <w:pPr>
        <w:spacing w:after="0"/>
        <w:jc w:val="both"/>
        <w:rPr>
          <w:sz w:val="16"/>
        </w:rPr>
      </w:pPr>
    </w:p>
    <w:p w14:paraId="6E89910E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7B5658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4AB4537" w14:textId="77777777" w:rsidR="00C80EFB" w:rsidRDefault="00C80EFB" w:rsidP="00FD2E59">
      <w:pPr>
        <w:pStyle w:val="BodyText"/>
        <w:spacing w:after="0"/>
        <w:rPr>
          <w:b/>
          <w:color w:val="92278F" w:themeColor="accent1"/>
          <w:sz w:val="20"/>
        </w:rPr>
      </w:pPr>
    </w:p>
    <w:p w14:paraId="2E8EAF49" w14:textId="13B29282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m</w:t>
      </w:r>
      <w:r w:rsidRPr="00020369">
        <w:rPr>
          <w:b/>
          <w:color w:val="92278F" w:themeColor="accent1"/>
          <w:sz w:val="20"/>
        </w:rPr>
        <w:t>onths</w:t>
      </w:r>
    </w:p>
    <w:p w14:paraId="38BF3D7F" w14:textId="110F1DB0" w:rsidR="00D119AF" w:rsidRPr="00BF090B" w:rsidRDefault="0018316A" w:rsidP="00FD2E59">
      <w:pPr>
        <w:pStyle w:val="BodyText"/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inline distT="0" distB="0" distL="0" distR="0" wp14:anchorId="50B435DC" wp14:editId="31AA00AE">
            <wp:extent cx="3441700" cy="2063105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167" cy="20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E28A" w14:textId="1C7E7D58" w:rsidR="00FD2E59" w:rsidRPr="000F79FB" w:rsidRDefault="00FD2E59" w:rsidP="007F1C51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0F79FB">
        <w:rPr>
          <w:sz w:val="10"/>
        </w:rPr>
        <w:t>xis does not start at zero.</w:t>
      </w:r>
      <w:r>
        <w:rPr>
          <w:sz w:val="10"/>
        </w:rPr>
        <w:t xml:space="preserve"> </w:t>
      </w:r>
      <w:r w:rsidRPr="00D01563">
        <w:rPr>
          <w:sz w:val="10"/>
          <w:vertAlign w:val="superscript"/>
        </w:rPr>
        <w:t>1</w:t>
      </w:r>
      <w:r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0F79FB">
        <w:rPr>
          <w:sz w:val="10"/>
        </w:rPr>
        <w:t xml:space="preserve"> Worked 35 hours or more a week. </w:t>
      </w:r>
      <w:r>
        <w:rPr>
          <w:sz w:val="10"/>
          <w:vertAlign w:val="superscript"/>
        </w:rPr>
        <w:t>3</w:t>
      </w:r>
      <w:r w:rsidRPr="000F79FB">
        <w:rPr>
          <w:sz w:val="10"/>
        </w:rPr>
        <w:t xml:space="preserve"> Wo</w:t>
      </w:r>
      <w:r>
        <w:rPr>
          <w:sz w:val="10"/>
        </w:rPr>
        <w:t>rked less than 35 hours a week.</w:t>
      </w:r>
    </w:p>
    <w:p w14:paraId="3C5ABCCC" w14:textId="52A50A0D" w:rsidR="00FD2E59" w:rsidRDefault="00FD2E59" w:rsidP="00FD2E59">
      <w:pPr>
        <w:spacing w:after="0"/>
        <w:jc w:val="both"/>
        <w:rPr>
          <w:sz w:val="10"/>
        </w:rPr>
      </w:pPr>
      <w:r w:rsidRPr="000F79FB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0F79FB">
        <w:rPr>
          <w:sz w:val="10"/>
        </w:rPr>
        <w:t>ABS 6202.0 Labour Force, Australia</w:t>
      </w:r>
      <w:r>
        <w:rPr>
          <w:sz w:val="10"/>
        </w:rPr>
        <w:t xml:space="preserve"> (Monthly)</w:t>
      </w:r>
      <w:r w:rsidRPr="00B720D6">
        <w:rPr>
          <w:sz w:val="10"/>
        </w:rPr>
        <w:t>.</w:t>
      </w:r>
    </w:p>
    <w:p w14:paraId="050595F5" w14:textId="2116ACC4" w:rsidR="00A927B8" w:rsidRPr="00BF090B" w:rsidRDefault="00A927B8" w:rsidP="00BF090B">
      <w:pPr>
        <w:pStyle w:val="BodyText"/>
        <w:spacing w:after="0"/>
        <w:jc w:val="both"/>
        <w:rPr>
          <w:sz w:val="16"/>
        </w:rPr>
      </w:pPr>
    </w:p>
    <w:p w14:paraId="7DEE9126" w14:textId="77777777" w:rsidR="002965A5" w:rsidRPr="00BF090B" w:rsidRDefault="002965A5" w:rsidP="00BF090B">
      <w:pPr>
        <w:pStyle w:val="BodyText"/>
        <w:spacing w:after="0"/>
        <w:jc w:val="both"/>
        <w:rPr>
          <w:sz w:val="16"/>
        </w:rPr>
      </w:pPr>
    </w:p>
    <w:p w14:paraId="51C69C69" w14:textId="671F7CE2" w:rsidR="00C80EFB" w:rsidRDefault="00FD2E59" w:rsidP="00C80EFB">
      <w:pPr>
        <w:pStyle w:val="BodyText"/>
        <w:spacing w:after="0"/>
        <w:jc w:val="both"/>
        <w:rPr>
          <w:sz w:val="16"/>
        </w:rPr>
      </w:pPr>
      <w:r w:rsidRPr="0025604E">
        <w:rPr>
          <w:sz w:val="16"/>
        </w:rPr>
        <w:br w:type="column"/>
      </w:r>
    </w:p>
    <w:p w14:paraId="3E06EAC1" w14:textId="77777777" w:rsidR="00BF090B" w:rsidRDefault="00BF090B" w:rsidP="00C80EFB">
      <w:pPr>
        <w:pStyle w:val="BodyText"/>
        <w:spacing w:after="0"/>
        <w:jc w:val="both"/>
        <w:rPr>
          <w:sz w:val="16"/>
        </w:rPr>
      </w:pPr>
    </w:p>
    <w:p w14:paraId="09B67FF3" w14:textId="06BD2A38" w:rsidR="00FD2E59" w:rsidRPr="00AA57C4" w:rsidRDefault="00FD2E59" w:rsidP="009870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</w:t>
      </w:r>
      <w:r w:rsidR="008B5AF0" w:rsidRPr="00AA57C4">
        <w:rPr>
          <w:sz w:val="16"/>
        </w:rPr>
        <w:t xml:space="preserve"> Australia’s employm</w:t>
      </w:r>
      <w:r w:rsidR="00D6189A" w:rsidRPr="00AA57C4">
        <w:rPr>
          <w:sz w:val="16"/>
        </w:rPr>
        <w:t xml:space="preserve">ent </w:t>
      </w:r>
      <w:r w:rsidR="00220F57" w:rsidRPr="00AA57C4">
        <w:rPr>
          <w:sz w:val="16"/>
        </w:rPr>
        <w:t>rose</w:t>
      </w:r>
      <w:r w:rsidR="00142462" w:rsidRPr="00AA57C4">
        <w:rPr>
          <w:sz w:val="16"/>
        </w:rPr>
        <w:t xml:space="preserve"> </w:t>
      </w:r>
      <w:r w:rsidR="00724A9A" w:rsidRPr="00AA57C4">
        <w:rPr>
          <w:sz w:val="16"/>
        </w:rPr>
        <w:t>0.</w:t>
      </w:r>
      <w:r w:rsidR="00A055AE" w:rsidRPr="00AA57C4">
        <w:rPr>
          <w:sz w:val="16"/>
        </w:rPr>
        <w:t>3</w:t>
      </w:r>
      <w:r w:rsidR="00142462" w:rsidRPr="00AA57C4">
        <w:rPr>
          <w:sz w:val="16"/>
        </w:rPr>
        <w:t>%</w:t>
      </w:r>
      <w:r w:rsidR="00A6424F" w:rsidRPr="00AA57C4">
        <w:rPr>
          <w:sz w:val="16"/>
        </w:rPr>
        <w:t xml:space="preserve"> </w:t>
      </w:r>
      <w:r w:rsidR="009828DE" w:rsidRPr="00AA57C4">
        <w:rPr>
          <w:sz w:val="16"/>
        </w:rPr>
        <w:t>(</w:t>
      </w:r>
      <w:r w:rsidR="00A055AE" w:rsidRPr="00AA57C4">
        <w:rPr>
          <w:sz w:val="16"/>
        </w:rPr>
        <w:t>4,030</w:t>
      </w:r>
      <w:r w:rsidR="009828DE" w:rsidRPr="00AA57C4">
        <w:rPr>
          <w:sz w:val="16"/>
        </w:rPr>
        <w:t xml:space="preserve">) </w:t>
      </w:r>
      <w:r w:rsidR="00A6424F" w:rsidRPr="00AA57C4">
        <w:rPr>
          <w:sz w:val="16"/>
        </w:rPr>
        <w:t xml:space="preserve">to </w:t>
      </w:r>
      <w:r w:rsidRPr="00AA57C4">
        <w:rPr>
          <w:sz w:val="16"/>
        </w:rPr>
        <w:t>1</w:t>
      </w:r>
      <w:r w:rsidR="00A055AE" w:rsidRPr="00AA57C4">
        <w:rPr>
          <w:sz w:val="16"/>
        </w:rPr>
        <w:t>.52</w:t>
      </w:r>
      <w:r w:rsidR="002B38C4" w:rsidRPr="00AA57C4">
        <w:rPr>
          <w:sz w:val="16"/>
        </w:rPr>
        <w:t xml:space="preserve"> million in </w:t>
      </w:r>
      <w:r w:rsidR="00A055AE" w:rsidRPr="00AA57C4">
        <w:rPr>
          <w:sz w:val="16"/>
        </w:rPr>
        <w:t>December</w:t>
      </w:r>
      <w:r w:rsidR="00D26F5E" w:rsidRPr="00AA57C4">
        <w:rPr>
          <w:sz w:val="16"/>
        </w:rPr>
        <w:t> </w:t>
      </w:r>
      <w:r w:rsidR="009071DF" w:rsidRPr="00AA57C4">
        <w:rPr>
          <w:sz w:val="16"/>
        </w:rPr>
        <w:t>202</w:t>
      </w:r>
      <w:r w:rsidR="000708A0" w:rsidRPr="00AA57C4">
        <w:rPr>
          <w:sz w:val="16"/>
        </w:rPr>
        <w:t>2</w:t>
      </w:r>
      <w:r w:rsidRPr="00AA57C4">
        <w:rPr>
          <w:sz w:val="16"/>
        </w:rPr>
        <w:t>.</w:t>
      </w:r>
    </w:p>
    <w:p w14:paraId="395745F1" w14:textId="0E4D8F63" w:rsidR="00FD2E59" w:rsidRPr="00AA57C4" w:rsidRDefault="002654B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In </w:t>
      </w:r>
      <w:r w:rsidR="00A055AE" w:rsidRPr="00AA57C4">
        <w:rPr>
          <w:sz w:val="16"/>
        </w:rPr>
        <w:t>December</w:t>
      </w:r>
      <w:r w:rsidR="00D26F5E" w:rsidRPr="00AA57C4">
        <w:rPr>
          <w:sz w:val="16"/>
        </w:rPr>
        <w:t> </w:t>
      </w:r>
      <w:r w:rsidR="00FD2E59" w:rsidRPr="00AA57C4">
        <w:rPr>
          <w:sz w:val="16"/>
        </w:rPr>
        <w:t>202</w:t>
      </w:r>
      <w:r w:rsidR="000708A0" w:rsidRPr="00AA57C4">
        <w:rPr>
          <w:sz w:val="16"/>
        </w:rPr>
        <w:t>2</w:t>
      </w:r>
      <w:r w:rsidR="00FD2E59" w:rsidRPr="00AA57C4">
        <w:rPr>
          <w:sz w:val="16"/>
        </w:rPr>
        <w:t>, Western Australia’s:</w:t>
      </w:r>
    </w:p>
    <w:p w14:paraId="64230CD4" w14:textId="34A0A899" w:rsidR="00FD2E59" w:rsidRPr="00AA57C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f</w:t>
      </w:r>
      <w:r w:rsidR="00FD2E59" w:rsidRPr="00AA57C4">
        <w:rPr>
          <w:sz w:val="16"/>
        </w:rPr>
        <w:t>ull-time</w:t>
      </w:r>
      <w:r w:rsidR="00FD2E59" w:rsidRPr="00AA57C4">
        <w:rPr>
          <w:sz w:val="16"/>
          <w:vertAlign w:val="superscript"/>
        </w:rPr>
        <w:t>2</w:t>
      </w:r>
      <w:r w:rsidR="00001AE3" w:rsidRPr="00AA57C4">
        <w:rPr>
          <w:sz w:val="16"/>
        </w:rPr>
        <w:t xml:space="preserve"> employment </w:t>
      </w:r>
      <w:r w:rsidR="00A055AE" w:rsidRPr="00AA57C4">
        <w:rPr>
          <w:sz w:val="16"/>
        </w:rPr>
        <w:t>rose 1.8</w:t>
      </w:r>
      <w:r w:rsidR="002A0DE2" w:rsidRPr="00AA57C4">
        <w:rPr>
          <w:sz w:val="16"/>
        </w:rPr>
        <w:t>% (</w:t>
      </w:r>
      <w:r w:rsidR="00A055AE" w:rsidRPr="00AA57C4">
        <w:rPr>
          <w:sz w:val="16"/>
        </w:rPr>
        <w:t>18,976</w:t>
      </w:r>
      <w:r w:rsidR="00A6424F" w:rsidRPr="00AA57C4">
        <w:rPr>
          <w:sz w:val="16"/>
        </w:rPr>
        <w:t xml:space="preserve">) to </w:t>
      </w:r>
      <w:r w:rsidR="00A055AE" w:rsidRPr="00AA57C4">
        <w:rPr>
          <w:sz w:val="16"/>
        </w:rPr>
        <w:t>1,07</w:t>
      </w:r>
      <w:r w:rsidR="009B7F33" w:rsidRPr="00AA57C4">
        <w:rPr>
          <w:sz w:val="16"/>
        </w:rPr>
        <w:t>2</w:t>
      </w:r>
      <w:r w:rsidR="00A055AE" w:rsidRPr="00AA57C4">
        <w:rPr>
          <w:sz w:val="16"/>
        </w:rPr>
        <w:t>,428</w:t>
      </w:r>
    </w:p>
    <w:p w14:paraId="2FB00652" w14:textId="6F97352C" w:rsidR="00FD2E59" w:rsidRPr="00AA57C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p</w:t>
      </w:r>
      <w:r w:rsidR="00FD2E59" w:rsidRPr="00AA57C4">
        <w:rPr>
          <w:sz w:val="16"/>
        </w:rPr>
        <w:t>art-time</w:t>
      </w:r>
      <w:r w:rsidR="00FD2E59" w:rsidRPr="00AA57C4">
        <w:rPr>
          <w:sz w:val="16"/>
          <w:vertAlign w:val="superscript"/>
        </w:rPr>
        <w:t>3</w:t>
      </w:r>
      <w:proofErr w:type="gramEnd"/>
      <w:r w:rsidR="00A21C3B" w:rsidRPr="00AA57C4">
        <w:rPr>
          <w:sz w:val="16"/>
        </w:rPr>
        <w:t xml:space="preserve"> employment</w:t>
      </w:r>
      <w:r w:rsidR="00D6189A" w:rsidRPr="00AA57C4">
        <w:rPr>
          <w:sz w:val="16"/>
        </w:rPr>
        <w:t xml:space="preserve"> </w:t>
      </w:r>
      <w:r w:rsidR="00A055AE" w:rsidRPr="00AA57C4">
        <w:rPr>
          <w:sz w:val="16"/>
        </w:rPr>
        <w:t>fell 3.3</w:t>
      </w:r>
      <w:r w:rsidR="00FD2E59" w:rsidRPr="00AA57C4">
        <w:rPr>
          <w:sz w:val="16"/>
        </w:rPr>
        <w:t>% (</w:t>
      </w:r>
      <w:r w:rsidR="00A055AE" w:rsidRPr="00AA57C4">
        <w:rPr>
          <w:sz w:val="16"/>
        </w:rPr>
        <w:t>14,946</w:t>
      </w:r>
      <w:r w:rsidR="00FD2E59" w:rsidRPr="00AA57C4">
        <w:rPr>
          <w:sz w:val="16"/>
        </w:rPr>
        <w:t xml:space="preserve">) to </w:t>
      </w:r>
      <w:r w:rsidR="00724A9A" w:rsidRPr="00AA57C4">
        <w:rPr>
          <w:sz w:val="16"/>
        </w:rPr>
        <w:t>4</w:t>
      </w:r>
      <w:r w:rsidR="00A055AE" w:rsidRPr="00AA57C4">
        <w:rPr>
          <w:sz w:val="16"/>
        </w:rPr>
        <w:t>42,872</w:t>
      </w:r>
      <w:r w:rsidR="00FD2E59" w:rsidRPr="00AA57C4">
        <w:rPr>
          <w:sz w:val="16"/>
        </w:rPr>
        <w:t>.</w:t>
      </w:r>
    </w:p>
    <w:p w14:paraId="31B8BF95" w14:textId="4D9AC5F8" w:rsidR="001713AC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 Australia’s an</w:t>
      </w:r>
      <w:r w:rsidR="000B509C" w:rsidRPr="00AA57C4">
        <w:rPr>
          <w:sz w:val="16"/>
        </w:rPr>
        <w:t xml:space="preserve">nual average employment rose </w:t>
      </w:r>
      <w:r w:rsidR="00B86C9D" w:rsidRPr="00AA57C4">
        <w:rPr>
          <w:sz w:val="16"/>
        </w:rPr>
        <w:t>4.2</w:t>
      </w:r>
      <w:r w:rsidR="006D595C" w:rsidRPr="00AA57C4">
        <w:rPr>
          <w:sz w:val="16"/>
        </w:rPr>
        <w:t>% in 20</w:t>
      </w:r>
      <w:r w:rsidR="00BB141A" w:rsidRPr="00AA57C4">
        <w:rPr>
          <w:sz w:val="16"/>
        </w:rPr>
        <w:t>22</w:t>
      </w:r>
      <w:r w:rsidRPr="00AA57C4">
        <w:rPr>
          <w:sz w:val="16"/>
        </w:rPr>
        <w:t>.</w:t>
      </w:r>
    </w:p>
    <w:p w14:paraId="0BAE7B19" w14:textId="5F615273" w:rsidR="00FD2E59" w:rsidRPr="00092E8F" w:rsidRDefault="009A3397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92E8F">
        <w:rPr>
          <w:sz w:val="16"/>
        </w:rPr>
        <w:t>The 2022</w:t>
      </w:r>
      <w:r w:rsidRPr="00092E8F">
        <w:rPr>
          <w:sz w:val="16"/>
        </w:rPr>
        <w:noBreakHyphen/>
      </w:r>
      <w:r w:rsidR="00A95465" w:rsidRPr="00092E8F">
        <w:rPr>
          <w:sz w:val="16"/>
        </w:rPr>
        <w:t xml:space="preserve">23 WA Government Mid-year Financial Projections Statement </w:t>
      </w:r>
      <w:r w:rsidR="006D595C" w:rsidRPr="00092E8F">
        <w:rPr>
          <w:sz w:val="16"/>
        </w:rPr>
        <w:t>forecast</w:t>
      </w:r>
      <w:r w:rsidR="00A95465" w:rsidRPr="00092E8F">
        <w:rPr>
          <w:sz w:val="16"/>
        </w:rPr>
        <w:t>s</w:t>
      </w:r>
      <w:r w:rsidR="00FD2E59" w:rsidRPr="00092E8F">
        <w:rPr>
          <w:sz w:val="16"/>
        </w:rPr>
        <w:t xml:space="preserve"> Western Australia’s</w:t>
      </w:r>
      <w:r w:rsidR="006D595C" w:rsidRPr="00092E8F">
        <w:rPr>
          <w:sz w:val="16"/>
        </w:rPr>
        <w:t xml:space="preserve"> annua</w:t>
      </w:r>
      <w:r w:rsidR="0092251B" w:rsidRPr="00092E8F">
        <w:rPr>
          <w:sz w:val="16"/>
        </w:rPr>
        <w:t xml:space="preserve">l average employment </w:t>
      </w:r>
      <w:r w:rsidR="00450C8F" w:rsidRPr="00092E8F">
        <w:rPr>
          <w:sz w:val="16"/>
        </w:rPr>
        <w:t>will</w:t>
      </w:r>
      <w:r w:rsidR="0092251B" w:rsidRPr="00092E8F">
        <w:rPr>
          <w:sz w:val="16"/>
        </w:rPr>
        <w:t xml:space="preserve"> rise</w:t>
      </w:r>
      <w:r w:rsidR="007B52B6" w:rsidRPr="00092E8F">
        <w:rPr>
          <w:sz w:val="16"/>
        </w:rPr>
        <w:t xml:space="preserve"> </w:t>
      </w:r>
      <w:r w:rsidR="00450C8F" w:rsidRPr="00092E8F">
        <w:rPr>
          <w:sz w:val="16"/>
        </w:rPr>
        <w:t>1.75</w:t>
      </w:r>
      <w:r w:rsidR="006D595C" w:rsidRPr="00092E8F">
        <w:rPr>
          <w:sz w:val="16"/>
        </w:rPr>
        <w:t>% in</w:t>
      </w:r>
      <w:r w:rsidR="00FD2E59" w:rsidRPr="00092E8F">
        <w:rPr>
          <w:sz w:val="16"/>
        </w:rPr>
        <w:t xml:space="preserve"> 202</w:t>
      </w:r>
      <w:r w:rsidR="00695127" w:rsidRPr="00092E8F">
        <w:rPr>
          <w:sz w:val="16"/>
        </w:rPr>
        <w:t>2</w:t>
      </w:r>
      <w:r w:rsidRPr="00092E8F">
        <w:rPr>
          <w:sz w:val="16"/>
        </w:rPr>
        <w:noBreakHyphen/>
      </w:r>
      <w:r w:rsidR="00FD2E59" w:rsidRPr="00092E8F">
        <w:rPr>
          <w:sz w:val="16"/>
        </w:rPr>
        <w:t>2</w:t>
      </w:r>
      <w:r w:rsidR="00695127" w:rsidRPr="00092E8F">
        <w:rPr>
          <w:sz w:val="16"/>
        </w:rPr>
        <w:t>3</w:t>
      </w:r>
      <w:r w:rsidR="00E964EA" w:rsidRPr="00092E8F">
        <w:rPr>
          <w:sz w:val="16"/>
        </w:rPr>
        <w:t xml:space="preserve"> and 1.</w:t>
      </w:r>
      <w:r w:rsidR="00714515" w:rsidRPr="00092E8F">
        <w:rPr>
          <w:sz w:val="16"/>
        </w:rPr>
        <w:t>2</w:t>
      </w:r>
      <w:r w:rsidR="006D595C" w:rsidRPr="00092E8F">
        <w:rPr>
          <w:sz w:val="16"/>
        </w:rPr>
        <w:t>5% in 202</w:t>
      </w:r>
      <w:r w:rsidR="00695127" w:rsidRPr="00092E8F">
        <w:rPr>
          <w:sz w:val="16"/>
        </w:rPr>
        <w:t>3</w:t>
      </w:r>
      <w:r w:rsidRPr="00092E8F">
        <w:rPr>
          <w:sz w:val="16"/>
        </w:rPr>
        <w:noBreakHyphen/>
      </w:r>
      <w:r w:rsidR="006D595C" w:rsidRPr="00092E8F">
        <w:rPr>
          <w:sz w:val="16"/>
        </w:rPr>
        <w:t>2</w:t>
      </w:r>
      <w:r w:rsidR="00695127" w:rsidRPr="00092E8F">
        <w:rPr>
          <w:sz w:val="16"/>
        </w:rPr>
        <w:t>4</w:t>
      </w:r>
      <w:r w:rsidR="00FD2E59" w:rsidRPr="00092E8F">
        <w:rPr>
          <w:sz w:val="16"/>
        </w:rPr>
        <w:t>.</w:t>
      </w:r>
    </w:p>
    <w:p w14:paraId="3FB528E7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EEEFF3" w14:textId="594645B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</w:t>
      </w:r>
      <w:r w:rsidR="008F2433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by industry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 xml:space="preserve">: </w:t>
      </w:r>
      <w:r w:rsidR="00C00EC0" w:rsidRPr="001B0644">
        <w:rPr>
          <w:b/>
          <w:color w:val="92278F" w:themeColor="accent1"/>
          <w:sz w:val="20"/>
        </w:rPr>
        <w:t>q</w:t>
      </w:r>
      <w:r w:rsidRPr="001B0644">
        <w:rPr>
          <w:b/>
          <w:color w:val="92278F" w:themeColor="accent1"/>
          <w:sz w:val="20"/>
        </w:rPr>
        <w:t>uarters</w:t>
      </w:r>
      <w:r w:rsidRPr="001B0644">
        <w:rPr>
          <w:b/>
          <w:color w:val="92278F" w:themeColor="accent1"/>
          <w:sz w:val="20"/>
          <w:vertAlign w:val="superscript"/>
        </w:rPr>
        <w:t>2</w:t>
      </w:r>
    </w:p>
    <w:p w14:paraId="20780270" w14:textId="1B754EBB" w:rsidR="00FD2E59" w:rsidRDefault="00F2334F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FFC02ED" wp14:editId="0A0E5FBC">
            <wp:extent cx="3528000" cy="2104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4F44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0570EA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>
        <w:rPr>
          <w:sz w:val="10"/>
          <w:vertAlign w:val="superscript"/>
        </w:rPr>
        <w:t>2</w:t>
      </w:r>
      <w:r w:rsidRPr="00F652FD">
        <w:rPr>
          <w:sz w:val="10"/>
        </w:rPr>
        <w:t xml:space="preserve"> </w:t>
      </w:r>
      <w:r w:rsidRPr="00472592">
        <w:rPr>
          <w:sz w:val="10"/>
        </w:rPr>
        <w:t>Average over the past 4 quarters. Middle month of each quarter: February, May, August and November.</w:t>
      </w:r>
    </w:p>
    <w:p w14:paraId="6EA7AF9A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472592">
        <w:rPr>
          <w:sz w:val="10"/>
        </w:rPr>
        <w:t>(a) Repairs, maintenance and personal services.</w:t>
      </w:r>
    </w:p>
    <w:p w14:paraId="3208A739" w14:textId="42E2B762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715528">
        <w:rPr>
          <w:sz w:val="10"/>
        </w:rPr>
        <w:t xml:space="preserve">Source: </w:t>
      </w:r>
      <w:r w:rsidR="00304C2A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>
        <w:rPr>
          <w:sz w:val="10"/>
        </w:rPr>
        <w:t>6291.0.55.003 Labour Force, Australia, Detailed (Quarterly)</w:t>
      </w:r>
      <w:r w:rsidRPr="00715528">
        <w:rPr>
          <w:sz w:val="10"/>
        </w:rPr>
        <w:t>.</w:t>
      </w:r>
    </w:p>
    <w:p w14:paraId="11040E5A" w14:textId="0F90869A" w:rsidR="00FD2E59" w:rsidRPr="00092E8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092E8F">
        <w:rPr>
          <w:sz w:val="16"/>
        </w:rPr>
        <w:t>Services industries accounted for 73% of Western Australia’s averag</w:t>
      </w:r>
      <w:r w:rsidR="008A1318" w:rsidRPr="00092E8F">
        <w:rPr>
          <w:sz w:val="16"/>
        </w:rPr>
        <w:t xml:space="preserve">e employment over the </w:t>
      </w:r>
      <w:r w:rsidR="00994092" w:rsidRPr="00092E8F">
        <w:rPr>
          <w:sz w:val="16"/>
        </w:rPr>
        <w:t>four</w:t>
      </w:r>
      <w:r w:rsidR="002222FC" w:rsidRPr="00092E8F">
        <w:rPr>
          <w:sz w:val="16"/>
        </w:rPr>
        <w:t xml:space="preserve"> quarters </w:t>
      </w:r>
      <w:r w:rsidRPr="00092E8F">
        <w:rPr>
          <w:sz w:val="16"/>
        </w:rPr>
        <w:t xml:space="preserve">to </w:t>
      </w:r>
      <w:r w:rsidR="002D1EA6" w:rsidRPr="00092E8F">
        <w:rPr>
          <w:sz w:val="16"/>
        </w:rPr>
        <w:t xml:space="preserve">the </w:t>
      </w:r>
      <w:r w:rsidR="00D0614E" w:rsidRPr="00092E8F">
        <w:rPr>
          <w:sz w:val="16"/>
        </w:rPr>
        <w:t>Decem</w:t>
      </w:r>
      <w:r w:rsidR="000F0DE4" w:rsidRPr="00092E8F">
        <w:rPr>
          <w:sz w:val="16"/>
        </w:rPr>
        <w:t xml:space="preserve">ber </w:t>
      </w:r>
      <w:r w:rsidR="00D5288F" w:rsidRPr="00092E8F">
        <w:rPr>
          <w:sz w:val="16"/>
        </w:rPr>
        <w:t>quarter 2022</w:t>
      </w:r>
      <w:r w:rsidRPr="00092E8F">
        <w:rPr>
          <w:sz w:val="16"/>
        </w:rPr>
        <w:t>, including</w:t>
      </w:r>
      <w:r w:rsidR="005255E2" w:rsidRPr="00092E8F">
        <w:rPr>
          <w:sz w:val="16"/>
        </w:rPr>
        <w:t>:</w:t>
      </w:r>
    </w:p>
    <w:p w14:paraId="63A74199" w14:textId="4813ED65" w:rsidR="00FD2E59" w:rsidRPr="00092E8F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92E8F">
        <w:rPr>
          <w:sz w:val="16"/>
        </w:rPr>
        <w:t>h</w:t>
      </w:r>
      <w:r w:rsidR="00FD2E59" w:rsidRPr="00092E8F">
        <w:rPr>
          <w:sz w:val="16"/>
        </w:rPr>
        <w:t>ealthcare</w:t>
      </w:r>
      <w:proofErr w:type="gramEnd"/>
      <w:r w:rsidR="00FD2E59" w:rsidRPr="00092E8F">
        <w:rPr>
          <w:sz w:val="16"/>
        </w:rPr>
        <w:t xml:space="preserve"> and social assistance (</w:t>
      </w:r>
      <w:r w:rsidR="006D20E5" w:rsidRPr="00092E8F">
        <w:rPr>
          <w:sz w:val="16"/>
        </w:rPr>
        <w:t>13.</w:t>
      </w:r>
      <w:r w:rsidR="00D0614E" w:rsidRPr="00092E8F">
        <w:rPr>
          <w:sz w:val="16"/>
        </w:rPr>
        <w:t>3</w:t>
      </w:r>
      <w:r w:rsidR="00FD2E59" w:rsidRPr="00092E8F">
        <w:rPr>
          <w:sz w:val="16"/>
        </w:rPr>
        <w:t>%)</w:t>
      </w:r>
    </w:p>
    <w:p w14:paraId="228C7F8C" w14:textId="7BCD8F08" w:rsidR="00FD2E59" w:rsidRPr="00092E8F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92E8F">
        <w:rPr>
          <w:sz w:val="16"/>
        </w:rPr>
        <w:t>r</w:t>
      </w:r>
      <w:r w:rsidR="00D0614E" w:rsidRPr="00092E8F">
        <w:rPr>
          <w:sz w:val="16"/>
        </w:rPr>
        <w:t>etail</w:t>
      </w:r>
      <w:proofErr w:type="gramEnd"/>
      <w:r w:rsidR="00D0614E" w:rsidRPr="00092E8F">
        <w:rPr>
          <w:sz w:val="16"/>
        </w:rPr>
        <w:t xml:space="preserve"> trade (8.9</w:t>
      </w:r>
      <w:r w:rsidR="00FD2E59" w:rsidRPr="00092E8F">
        <w:rPr>
          <w:sz w:val="16"/>
        </w:rPr>
        <w:t>%)</w:t>
      </w:r>
    </w:p>
    <w:p w14:paraId="0305E618" w14:textId="5D2434D5" w:rsidR="00FD2E59" w:rsidRPr="00092E8F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92E8F">
        <w:rPr>
          <w:sz w:val="16"/>
        </w:rPr>
        <w:t>p</w:t>
      </w:r>
      <w:r w:rsidR="00830246" w:rsidRPr="00092E8F">
        <w:rPr>
          <w:sz w:val="16"/>
        </w:rPr>
        <w:t>rofessional</w:t>
      </w:r>
      <w:proofErr w:type="gramEnd"/>
      <w:r w:rsidR="00830246" w:rsidRPr="00092E8F">
        <w:rPr>
          <w:sz w:val="16"/>
        </w:rPr>
        <w:t>, scientific and technical services</w:t>
      </w:r>
      <w:r w:rsidR="006D20E5" w:rsidRPr="00092E8F">
        <w:rPr>
          <w:sz w:val="16"/>
        </w:rPr>
        <w:t xml:space="preserve"> (7.</w:t>
      </w:r>
      <w:r w:rsidR="00D0614E" w:rsidRPr="00092E8F">
        <w:rPr>
          <w:sz w:val="16"/>
        </w:rPr>
        <w:t>8</w:t>
      </w:r>
      <w:r w:rsidR="00FD2E59" w:rsidRPr="00092E8F">
        <w:rPr>
          <w:sz w:val="16"/>
        </w:rPr>
        <w:t>%).</w:t>
      </w:r>
    </w:p>
    <w:p w14:paraId="1458DE18" w14:textId="7DC28A62" w:rsidR="00FD2E59" w:rsidRPr="00092E8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92E8F">
        <w:rPr>
          <w:sz w:val="16"/>
        </w:rPr>
        <w:t>Goods-producing industries accounted for 27% of Western Australia’s average employment</w:t>
      </w:r>
      <w:r w:rsidR="008A1318" w:rsidRPr="00092E8F">
        <w:rPr>
          <w:sz w:val="16"/>
        </w:rPr>
        <w:t xml:space="preserve"> over the </w:t>
      </w:r>
      <w:r w:rsidR="00D15E4C" w:rsidRPr="00092E8F">
        <w:rPr>
          <w:sz w:val="16"/>
        </w:rPr>
        <w:t>four</w:t>
      </w:r>
      <w:r w:rsidR="002222FC" w:rsidRPr="00092E8F">
        <w:rPr>
          <w:sz w:val="16"/>
        </w:rPr>
        <w:t xml:space="preserve"> quarters</w:t>
      </w:r>
      <w:r w:rsidR="002D1EA6" w:rsidRPr="00092E8F">
        <w:rPr>
          <w:sz w:val="16"/>
        </w:rPr>
        <w:t xml:space="preserve"> to the </w:t>
      </w:r>
      <w:r w:rsidR="00D0614E" w:rsidRPr="00092E8F">
        <w:rPr>
          <w:sz w:val="16"/>
        </w:rPr>
        <w:t>Decem</w:t>
      </w:r>
      <w:r w:rsidR="000F0DE4" w:rsidRPr="00092E8F">
        <w:rPr>
          <w:sz w:val="16"/>
        </w:rPr>
        <w:t xml:space="preserve">ber </w:t>
      </w:r>
      <w:r w:rsidR="00675FE0" w:rsidRPr="00092E8F">
        <w:rPr>
          <w:sz w:val="16"/>
        </w:rPr>
        <w:t>quarter 2022</w:t>
      </w:r>
      <w:r w:rsidRPr="00092E8F">
        <w:rPr>
          <w:sz w:val="16"/>
        </w:rPr>
        <w:t>, including:</w:t>
      </w:r>
    </w:p>
    <w:p w14:paraId="6E3473F1" w14:textId="09E1F6C0" w:rsidR="006D20E5" w:rsidRPr="00092E8F" w:rsidRDefault="00B11DBC" w:rsidP="006D20E5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92E8F">
        <w:rPr>
          <w:sz w:val="16"/>
        </w:rPr>
        <w:t>m</w:t>
      </w:r>
      <w:r w:rsidR="006D20E5" w:rsidRPr="00092E8F">
        <w:rPr>
          <w:sz w:val="16"/>
        </w:rPr>
        <w:t>ining</w:t>
      </w:r>
      <w:proofErr w:type="gramEnd"/>
      <w:r w:rsidR="006D20E5" w:rsidRPr="00092E8F">
        <w:rPr>
          <w:sz w:val="16"/>
        </w:rPr>
        <w:t xml:space="preserve"> (9.</w:t>
      </w:r>
      <w:r w:rsidR="00D0614E" w:rsidRPr="00092E8F">
        <w:rPr>
          <w:sz w:val="16"/>
        </w:rPr>
        <w:t>6</w:t>
      </w:r>
      <w:r w:rsidR="006D20E5" w:rsidRPr="00092E8F">
        <w:rPr>
          <w:sz w:val="16"/>
        </w:rPr>
        <w:t>%)</w:t>
      </w:r>
    </w:p>
    <w:p w14:paraId="304CFB1D" w14:textId="2FE8E27A" w:rsidR="00FD2E59" w:rsidRPr="00092E8F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92E8F">
        <w:rPr>
          <w:sz w:val="16"/>
        </w:rPr>
        <w:t>c</w:t>
      </w:r>
      <w:r w:rsidR="00675FE0" w:rsidRPr="00092E8F">
        <w:rPr>
          <w:sz w:val="16"/>
        </w:rPr>
        <w:t>onstruction</w:t>
      </w:r>
      <w:proofErr w:type="gramEnd"/>
      <w:r w:rsidR="00675FE0" w:rsidRPr="00092E8F">
        <w:rPr>
          <w:sz w:val="16"/>
        </w:rPr>
        <w:t xml:space="preserve"> (8.</w:t>
      </w:r>
      <w:r w:rsidR="00D0614E" w:rsidRPr="00092E8F">
        <w:rPr>
          <w:sz w:val="16"/>
        </w:rPr>
        <w:t>9</w:t>
      </w:r>
      <w:r w:rsidR="00FD2E59" w:rsidRPr="00092E8F">
        <w:rPr>
          <w:sz w:val="16"/>
        </w:rPr>
        <w:t>%)</w:t>
      </w:r>
    </w:p>
    <w:p w14:paraId="0489516C" w14:textId="37079D2A" w:rsidR="00FD2E59" w:rsidRPr="00092E8F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92E8F">
        <w:rPr>
          <w:sz w:val="16"/>
        </w:rPr>
        <w:t>m</w:t>
      </w:r>
      <w:r w:rsidR="002D1EA6" w:rsidRPr="00092E8F">
        <w:rPr>
          <w:sz w:val="16"/>
        </w:rPr>
        <w:t>anufacturin</w:t>
      </w:r>
      <w:r w:rsidR="006D20E5" w:rsidRPr="00092E8F">
        <w:rPr>
          <w:sz w:val="16"/>
        </w:rPr>
        <w:t>g</w:t>
      </w:r>
      <w:proofErr w:type="gramEnd"/>
      <w:r w:rsidR="006D20E5" w:rsidRPr="00092E8F">
        <w:rPr>
          <w:sz w:val="16"/>
        </w:rPr>
        <w:t xml:space="preserve"> (5.</w:t>
      </w:r>
      <w:r w:rsidR="00D0614E" w:rsidRPr="00092E8F">
        <w:rPr>
          <w:sz w:val="16"/>
        </w:rPr>
        <w:t>3</w:t>
      </w:r>
      <w:r w:rsidR="00FD2E59" w:rsidRPr="00092E8F">
        <w:rPr>
          <w:sz w:val="16"/>
        </w:rPr>
        <w:t>%).</w:t>
      </w:r>
    </w:p>
    <w:p w14:paraId="23054B24" w14:textId="37083782" w:rsidR="00FD2E59" w:rsidRPr="00092E8F" w:rsidRDefault="000F0DE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92E8F">
        <w:rPr>
          <w:sz w:val="16"/>
        </w:rPr>
        <w:t xml:space="preserve">Mining </w:t>
      </w:r>
      <w:r w:rsidR="009F7183" w:rsidRPr="00092E8F">
        <w:rPr>
          <w:sz w:val="16"/>
        </w:rPr>
        <w:t xml:space="preserve">(up </w:t>
      </w:r>
      <w:r w:rsidR="00C90C72" w:rsidRPr="00092E8F">
        <w:rPr>
          <w:sz w:val="16"/>
        </w:rPr>
        <w:t>19,898</w:t>
      </w:r>
      <w:r w:rsidRPr="00092E8F">
        <w:rPr>
          <w:sz w:val="16"/>
        </w:rPr>
        <w:t xml:space="preserve"> </w:t>
      </w:r>
      <w:r w:rsidR="00B424CF" w:rsidRPr="00092E8F">
        <w:rPr>
          <w:sz w:val="16"/>
        </w:rPr>
        <w:t xml:space="preserve">or </w:t>
      </w:r>
      <w:r w:rsidR="00C90C72" w:rsidRPr="00092E8F">
        <w:rPr>
          <w:sz w:val="16"/>
        </w:rPr>
        <w:t>15.9</w:t>
      </w:r>
      <w:r w:rsidR="00FD2E59" w:rsidRPr="00092E8F">
        <w:rPr>
          <w:sz w:val="16"/>
        </w:rPr>
        <w:t>%) had the larg</w:t>
      </w:r>
      <w:r w:rsidR="008A5437" w:rsidRPr="00092E8F">
        <w:rPr>
          <w:sz w:val="16"/>
        </w:rPr>
        <w:t xml:space="preserve">est rise in </w:t>
      </w:r>
      <w:r w:rsidR="00D15E4C" w:rsidRPr="00092E8F">
        <w:rPr>
          <w:sz w:val="16"/>
        </w:rPr>
        <w:t xml:space="preserve">average </w:t>
      </w:r>
      <w:r w:rsidR="00FD2E59" w:rsidRPr="00092E8F">
        <w:rPr>
          <w:sz w:val="16"/>
        </w:rPr>
        <w:t>employme</w:t>
      </w:r>
      <w:r w:rsidR="008A1318" w:rsidRPr="00092E8F">
        <w:rPr>
          <w:sz w:val="16"/>
        </w:rPr>
        <w:t>nt</w:t>
      </w:r>
      <w:r w:rsidR="008A5437" w:rsidRPr="00092E8F">
        <w:rPr>
          <w:sz w:val="16"/>
          <w:vertAlign w:val="superscript"/>
        </w:rPr>
        <w:t>2</w:t>
      </w:r>
      <w:r w:rsidR="009F7183" w:rsidRPr="00092E8F">
        <w:rPr>
          <w:sz w:val="16"/>
        </w:rPr>
        <w:t xml:space="preserve"> between the </w:t>
      </w:r>
      <w:r w:rsidR="00DA531C" w:rsidRPr="00092E8F">
        <w:rPr>
          <w:sz w:val="16"/>
        </w:rPr>
        <w:t>Dec</w:t>
      </w:r>
      <w:r w:rsidRPr="00092E8F">
        <w:rPr>
          <w:sz w:val="16"/>
        </w:rPr>
        <w:t xml:space="preserve">ember </w:t>
      </w:r>
      <w:r w:rsidR="006213EC" w:rsidRPr="00092E8F">
        <w:rPr>
          <w:sz w:val="16"/>
        </w:rPr>
        <w:t>quarters of 2021 and 2022</w:t>
      </w:r>
      <w:r w:rsidR="00FD2E59" w:rsidRPr="00092E8F">
        <w:rPr>
          <w:sz w:val="16"/>
        </w:rPr>
        <w:t>, followed by</w:t>
      </w:r>
      <w:r w:rsidR="009F7183" w:rsidRPr="00092E8F">
        <w:rPr>
          <w:sz w:val="16"/>
        </w:rPr>
        <w:t xml:space="preserve"> </w:t>
      </w:r>
      <w:r w:rsidR="00C90C72" w:rsidRPr="00092E8F">
        <w:rPr>
          <w:sz w:val="16"/>
        </w:rPr>
        <w:t>professionals, scientific and technical services</w:t>
      </w:r>
      <w:r w:rsidRPr="00092E8F">
        <w:rPr>
          <w:sz w:val="16"/>
        </w:rPr>
        <w:t xml:space="preserve"> </w:t>
      </w:r>
      <w:r w:rsidR="00B424CF" w:rsidRPr="00092E8F">
        <w:rPr>
          <w:sz w:val="16"/>
        </w:rPr>
        <w:t xml:space="preserve">(up </w:t>
      </w:r>
      <w:r w:rsidR="00C90C72" w:rsidRPr="00092E8F">
        <w:rPr>
          <w:sz w:val="16"/>
        </w:rPr>
        <w:t>9,877</w:t>
      </w:r>
      <w:r w:rsidRPr="00092E8F">
        <w:rPr>
          <w:sz w:val="16"/>
        </w:rPr>
        <w:t xml:space="preserve"> </w:t>
      </w:r>
      <w:r w:rsidR="00C90C72" w:rsidRPr="00092E8F">
        <w:rPr>
          <w:sz w:val="16"/>
        </w:rPr>
        <w:t>or 9.1</w:t>
      </w:r>
      <w:r w:rsidR="00FD2E59" w:rsidRPr="00092E8F">
        <w:rPr>
          <w:sz w:val="16"/>
        </w:rPr>
        <w:t>%).</w:t>
      </w:r>
    </w:p>
    <w:p w14:paraId="00DC4572" w14:textId="5374D157" w:rsidR="00FD2E59" w:rsidRPr="00736640" w:rsidRDefault="00C90C72" w:rsidP="004417C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92E8F">
        <w:rPr>
          <w:sz w:val="16"/>
        </w:rPr>
        <w:t>Manufacturing</w:t>
      </w:r>
      <w:r w:rsidR="009F7183" w:rsidRPr="00092E8F">
        <w:rPr>
          <w:sz w:val="16"/>
        </w:rPr>
        <w:t xml:space="preserve"> (down</w:t>
      </w:r>
      <w:r w:rsidR="00B424CF" w:rsidRPr="00092E8F">
        <w:rPr>
          <w:sz w:val="16"/>
        </w:rPr>
        <w:t xml:space="preserve"> </w:t>
      </w:r>
      <w:r w:rsidR="000F0DE4" w:rsidRPr="00092E8F">
        <w:rPr>
          <w:sz w:val="16"/>
        </w:rPr>
        <w:t>8</w:t>
      </w:r>
      <w:r w:rsidR="00B424CF" w:rsidRPr="00092E8F">
        <w:rPr>
          <w:sz w:val="16"/>
        </w:rPr>
        <w:t>,</w:t>
      </w:r>
      <w:r w:rsidRPr="00092E8F">
        <w:rPr>
          <w:sz w:val="16"/>
        </w:rPr>
        <w:t>821</w:t>
      </w:r>
      <w:r w:rsidR="00A470D6" w:rsidRPr="00092E8F">
        <w:rPr>
          <w:sz w:val="16"/>
        </w:rPr>
        <w:t xml:space="preserve"> or </w:t>
      </w:r>
      <w:r w:rsidRPr="00092E8F">
        <w:rPr>
          <w:sz w:val="16"/>
        </w:rPr>
        <w:t>9.8</w:t>
      </w:r>
      <w:r w:rsidR="00FD2E59" w:rsidRPr="00092E8F">
        <w:rPr>
          <w:sz w:val="16"/>
        </w:rPr>
        <w:t>%) had the larg</w:t>
      </w:r>
      <w:r w:rsidR="008A5437" w:rsidRPr="00092E8F">
        <w:rPr>
          <w:sz w:val="16"/>
        </w:rPr>
        <w:t xml:space="preserve">est fall in </w:t>
      </w:r>
      <w:r w:rsidR="00D15E4C" w:rsidRPr="00092E8F">
        <w:rPr>
          <w:sz w:val="16"/>
        </w:rPr>
        <w:t xml:space="preserve">average </w:t>
      </w:r>
      <w:r w:rsidR="00FD2E59" w:rsidRPr="00092E8F">
        <w:rPr>
          <w:sz w:val="16"/>
        </w:rPr>
        <w:t>employme</w:t>
      </w:r>
      <w:r w:rsidR="008A1318" w:rsidRPr="00092E8F">
        <w:rPr>
          <w:sz w:val="16"/>
        </w:rPr>
        <w:t>nt</w:t>
      </w:r>
      <w:r w:rsidR="008A5437" w:rsidRPr="00092E8F">
        <w:rPr>
          <w:sz w:val="16"/>
          <w:vertAlign w:val="superscript"/>
        </w:rPr>
        <w:t>2</w:t>
      </w:r>
      <w:r w:rsidR="009F7183" w:rsidRPr="00092E8F">
        <w:rPr>
          <w:sz w:val="16"/>
        </w:rPr>
        <w:t xml:space="preserve"> between the </w:t>
      </w:r>
      <w:r w:rsidR="00DA531C" w:rsidRPr="00092E8F">
        <w:rPr>
          <w:sz w:val="16"/>
        </w:rPr>
        <w:t>Dec</w:t>
      </w:r>
      <w:r w:rsidR="004E64DA" w:rsidRPr="00092E8F">
        <w:rPr>
          <w:sz w:val="16"/>
        </w:rPr>
        <w:t xml:space="preserve">ember </w:t>
      </w:r>
      <w:r w:rsidR="00FD2E59" w:rsidRPr="00092E8F">
        <w:rPr>
          <w:sz w:val="16"/>
        </w:rPr>
        <w:t>quarters</w:t>
      </w:r>
      <w:r w:rsidR="00A470D6" w:rsidRPr="00092E8F">
        <w:rPr>
          <w:sz w:val="16"/>
        </w:rPr>
        <w:t xml:space="preserve"> of 2021 and 2022</w:t>
      </w:r>
      <w:r w:rsidR="00547DF5" w:rsidRPr="00092E8F">
        <w:rPr>
          <w:sz w:val="16"/>
        </w:rPr>
        <w:t xml:space="preserve">, followed by </w:t>
      </w:r>
      <w:r w:rsidRPr="00092E8F">
        <w:rPr>
          <w:sz w:val="16"/>
        </w:rPr>
        <w:t>education and training (down 4,391</w:t>
      </w:r>
      <w:r w:rsidR="004E64DA" w:rsidRPr="00092E8F">
        <w:rPr>
          <w:sz w:val="16"/>
        </w:rPr>
        <w:t xml:space="preserve"> </w:t>
      </w:r>
      <w:r w:rsidR="00B424CF" w:rsidRPr="00092E8F">
        <w:rPr>
          <w:sz w:val="16"/>
        </w:rPr>
        <w:t xml:space="preserve">or </w:t>
      </w:r>
      <w:r w:rsidRPr="00092E8F">
        <w:rPr>
          <w:sz w:val="16"/>
        </w:rPr>
        <w:t>3.6</w:t>
      </w:r>
      <w:r w:rsidR="00FD2E59" w:rsidRPr="00092E8F">
        <w:rPr>
          <w:sz w:val="16"/>
        </w:rPr>
        <w:t>%).</w:t>
      </w:r>
      <w:r w:rsidR="00FD2E59" w:rsidRPr="00736640">
        <w:rPr>
          <w:sz w:val="16"/>
        </w:rPr>
        <w:br w:type="page"/>
      </w:r>
    </w:p>
    <w:p w14:paraId="1D60DDCA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Labour market</w:t>
      </w:r>
    </w:p>
    <w:p w14:paraId="28294AC7" w14:textId="384A156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 xml:space="preserve">Western Australia’s total </w:t>
      </w:r>
      <w:proofErr w:type="gramStart"/>
      <w:r w:rsidRPr="00020369">
        <w:rPr>
          <w:b/>
          <w:color w:val="92278F" w:themeColor="accent1"/>
          <w:sz w:val="20"/>
        </w:rPr>
        <w:t>hours</w:t>
      </w:r>
      <w:proofErr w:type="gramEnd"/>
      <w:r w:rsidRPr="00020369">
        <w:rPr>
          <w:b/>
          <w:color w:val="92278F" w:themeColor="accent1"/>
          <w:sz w:val="20"/>
        </w:rPr>
        <w:t xml:space="preserve"> worked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m</w:t>
      </w:r>
      <w:r w:rsidRPr="00020369">
        <w:rPr>
          <w:b/>
          <w:color w:val="92278F" w:themeColor="accent1"/>
          <w:sz w:val="20"/>
        </w:rPr>
        <w:t>onths</w:t>
      </w:r>
    </w:p>
    <w:p w14:paraId="210BCA33" w14:textId="60F0428E" w:rsidR="00C14E76" w:rsidRPr="00BF090B" w:rsidRDefault="0018316A" w:rsidP="00FD2E59">
      <w:pPr>
        <w:spacing w:after="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inline distT="0" distB="0" distL="0" distR="0" wp14:anchorId="3D8E8C12" wp14:editId="338C1185">
            <wp:extent cx="3439583" cy="206375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400" cy="20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23C0" w14:textId="107985B9" w:rsidR="00FD2E59" w:rsidRPr="00CA619B" w:rsidRDefault="00FD2E59" w:rsidP="00FD2E59">
      <w:pPr>
        <w:spacing w:after="0"/>
        <w:jc w:val="both"/>
        <w:rPr>
          <w:sz w:val="10"/>
        </w:rPr>
      </w:pPr>
      <w:r w:rsidRPr="00CA619B">
        <w:rPr>
          <w:sz w:val="10"/>
        </w:rPr>
        <w:t xml:space="preserve">Note – Axis does not start at zero. </w:t>
      </w:r>
      <w:r w:rsidRPr="00CA619B">
        <w:rPr>
          <w:sz w:val="10"/>
          <w:vertAlign w:val="superscript"/>
        </w:rPr>
        <w:t>1</w:t>
      </w:r>
      <w:r w:rsidRPr="00CA619B">
        <w:rPr>
          <w:sz w:val="10"/>
        </w:rPr>
        <w:t xml:space="preserve"> Total monthly hours worked in all jobs (full time and part time jobs). Seasonally adjusted series.</w:t>
      </w:r>
    </w:p>
    <w:p w14:paraId="1A752B35" w14:textId="300A3E73" w:rsidR="00FD2E59" w:rsidRPr="00CA619B" w:rsidRDefault="00FD2E59" w:rsidP="00FD2E59">
      <w:pPr>
        <w:spacing w:after="0"/>
        <w:jc w:val="both"/>
        <w:rPr>
          <w:sz w:val="16"/>
        </w:rPr>
      </w:pPr>
      <w:r w:rsidRPr="00CA619B">
        <w:rPr>
          <w:sz w:val="10"/>
        </w:rPr>
        <w:t xml:space="preserve">Source: </w:t>
      </w:r>
      <w:r w:rsidR="00304C2A" w:rsidRPr="0065045F">
        <w:rPr>
          <w:sz w:val="10"/>
        </w:rPr>
        <w:t xml:space="preserve">Based on data from </w:t>
      </w:r>
      <w:r w:rsidRPr="0065045F">
        <w:rPr>
          <w:sz w:val="10"/>
        </w:rPr>
        <w:t>ABS 6202</w:t>
      </w:r>
      <w:r w:rsidRPr="00CA619B">
        <w:rPr>
          <w:sz w:val="10"/>
        </w:rPr>
        <w:t>.0 Labour Force, Australia (Monthly).</w:t>
      </w:r>
    </w:p>
    <w:p w14:paraId="1C075B69" w14:textId="77777777" w:rsidR="00FD2E59" w:rsidRDefault="00FD2E59" w:rsidP="00FD2E59">
      <w:pPr>
        <w:spacing w:after="0"/>
        <w:jc w:val="both"/>
        <w:rPr>
          <w:sz w:val="16"/>
        </w:rPr>
      </w:pPr>
    </w:p>
    <w:p w14:paraId="614A85BD" w14:textId="77777777" w:rsidR="00FD2E59" w:rsidRDefault="00FD2E59" w:rsidP="00FD2E59">
      <w:pPr>
        <w:spacing w:after="0"/>
        <w:jc w:val="both"/>
        <w:rPr>
          <w:sz w:val="16"/>
        </w:rPr>
      </w:pPr>
    </w:p>
    <w:p w14:paraId="02F97F2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88FA654" w14:textId="77777777" w:rsidR="00FD2E59" w:rsidRDefault="00FD2E59" w:rsidP="00FD2E59">
      <w:pPr>
        <w:spacing w:after="0"/>
        <w:jc w:val="both"/>
        <w:rPr>
          <w:sz w:val="16"/>
        </w:rPr>
      </w:pPr>
    </w:p>
    <w:p w14:paraId="0827AA91" w14:textId="0E6298B6" w:rsidR="00FD2E59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 Australia’s total h</w:t>
      </w:r>
      <w:r w:rsidR="00A94665" w:rsidRPr="00AA57C4">
        <w:rPr>
          <w:sz w:val="16"/>
        </w:rPr>
        <w:t xml:space="preserve">ours worked in </w:t>
      </w:r>
      <w:r w:rsidR="001F1DA2" w:rsidRPr="00AA57C4">
        <w:rPr>
          <w:sz w:val="16"/>
        </w:rPr>
        <w:t xml:space="preserve">all jobs </w:t>
      </w:r>
      <w:r w:rsidR="00336200" w:rsidRPr="00AA57C4">
        <w:rPr>
          <w:sz w:val="16"/>
        </w:rPr>
        <w:t>remained unchanged at 211.6 </w:t>
      </w:r>
      <w:r w:rsidR="001F1DA2" w:rsidRPr="00AA57C4">
        <w:rPr>
          <w:sz w:val="16"/>
        </w:rPr>
        <w:t>million hours</w:t>
      </w:r>
      <w:r w:rsidR="00D63C24" w:rsidRPr="00AA57C4">
        <w:rPr>
          <w:sz w:val="16"/>
        </w:rPr>
        <w:t>, following</w:t>
      </w:r>
      <w:r w:rsidR="0064691D" w:rsidRPr="00AA57C4">
        <w:rPr>
          <w:sz w:val="16"/>
        </w:rPr>
        <w:t xml:space="preserve"> a </w:t>
      </w:r>
      <w:r w:rsidR="0018316A" w:rsidRPr="00AA57C4">
        <w:rPr>
          <w:sz w:val="16"/>
        </w:rPr>
        <w:t>fall</w:t>
      </w:r>
      <w:r w:rsidR="007C75E4" w:rsidRPr="00AA57C4">
        <w:rPr>
          <w:sz w:val="16"/>
        </w:rPr>
        <w:t xml:space="preserve"> </w:t>
      </w:r>
      <w:r w:rsidR="0064691D" w:rsidRPr="00AA57C4">
        <w:rPr>
          <w:sz w:val="16"/>
        </w:rPr>
        <w:t xml:space="preserve">of </w:t>
      </w:r>
      <w:r w:rsidR="0018316A" w:rsidRPr="00AA57C4">
        <w:rPr>
          <w:sz w:val="16"/>
        </w:rPr>
        <w:t>0.5</w:t>
      </w:r>
      <w:r w:rsidR="00A94665" w:rsidRPr="00AA57C4">
        <w:rPr>
          <w:sz w:val="16"/>
        </w:rPr>
        <w:t>%</w:t>
      </w:r>
      <w:r w:rsidR="001F1DA2" w:rsidRPr="00AA57C4">
        <w:rPr>
          <w:sz w:val="16"/>
        </w:rPr>
        <w:t xml:space="preserve"> </w:t>
      </w:r>
      <w:r w:rsidR="00936D7F" w:rsidRPr="00AA57C4">
        <w:rPr>
          <w:sz w:val="16"/>
        </w:rPr>
        <w:t xml:space="preserve">in </w:t>
      </w:r>
      <w:r w:rsidR="0018316A" w:rsidRPr="00AA57C4">
        <w:rPr>
          <w:sz w:val="16"/>
        </w:rPr>
        <w:t>November</w:t>
      </w:r>
      <w:r w:rsidR="007C75E4" w:rsidRPr="00AA57C4">
        <w:rPr>
          <w:sz w:val="16"/>
        </w:rPr>
        <w:t> </w:t>
      </w:r>
      <w:r w:rsidRPr="00AA57C4">
        <w:rPr>
          <w:sz w:val="16"/>
        </w:rPr>
        <w:t>202</w:t>
      </w:r>
      <w:r w:rsidR="00C14E76" w:rsidRPr="00AA57C4">
        <w:rPr>
          <w:sz w:val="16"/>
        </w:rPr>
        <w:t>2</w:t>
      </w:r>
      <w:r w:rsidRPr="00AA57C4">
        <w:rPr>
          <w:sz w:val="16"/>
        </w:rPr>
        <w:t>.</w:t>
      </w:r>
    </w:p>
    <w:p w14:paraId="4A001E1B" w14:textId="4E9F44B3" w:rsidR="008711E4" w:rsidRPr="00AA57C4" w:rsidRDefault="008711E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Western Australia’s total hours worked in all jobs rose </w:t>
      </w:r>
      <w:r w:rsidR="00283C1B" w:rsidRPr="00AA57C4">
        <w:rPr>
          <w:sz w:val="16"/>
        </w:rPr>
        <w:t>4.4% in 20</w:t>
      </w:r>
      <w:r w:rsidR="00AE5381" w:rsidRPr="00AA57C4">
        <w:rPr>
          <w:sz w:val="16"/>
        </w:rPr>
        <w:t>22</w:t>
      </w:r>
      <w:r w:rsidRPr="00AA57C4">
        <w:rPr>
          <w:sz w:val="16"/>
        </w:rPr>
        <w:t>.</w:t>
      </w:r>
    </w:p>
    <w:p w14:paraId="563B6548" w14:textId="5CDDA1F1" w:rsidR="00FD2E59" w:rsidRPr="00AA57C4" w:rsidRDefault="003B77F4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 Australia’s</w:t>
      </w:r>
      <w:r w:rsidR="00634D13" w:rsidRPr="00AA57C4">
        <w:rPr>
          <w:sz w:val="16"/>
        </w:rPr>
        <w:t xml:space="preserve"> monthly</w:t>
      </w:r>
      <w:r w:rsidRPr="00AA57C4">
        <w:rPr>
          <w:sz w:val="16"/>
        </w:rPr>
        <w:t xml:space="preserve"> </w:t>
      </w:r>
      <w:r w:rsidR="00FD2E59" w:rsidRPr="00AA57C4">
        <w:rPr>
          <w:sz w:val="16"/>
        </w:rPr>
        <w:t>average hours wor</w:t>
      </w:r>
      <w:r w:rsidR="00A32597" w:rsidRPr="00AA57C4">
        <w:rPr>
          <w:sz w:val="16"/>
        </w:rPr>
        <w:t>ked per</w:t>
      </w:r>
      <w:r w:rsidR="00EA740C" w:rsidRPr="00AA57C4">
        <w:rPr>
          <w:sz w:val="16"/>
        </w:rPr>
        <w:t> </w:t>
      </w:r>
      <w:r w:rsidR="00A32597" w:rsidRPr="00AA57C4">
        <w:rPr>
          <w:sz w:val="16"/>
        </w:rPr>
        <w:t xml:space="preserve">employed person </w:t>
      </w:r>
      <w:r w:rsidR="00780021" w:rsidRPr="00AA57C4">
        <w:rPr>
          <w:sz w:val="16"/>
        </w:rPr>
        <w:t>fell 0.3</w:t>
      </w:r>
      <w:r w:rsidR="00571637" w:rsidRPr="00AA57C4">
        <w:rPr>
          <w:sz w:val="16"/>
        </w:rPr>
        <w:t xml:space="preserve">% to </w:t>
      </w:r>
      <w:r w:rsidR="00780021" w:rsidRPr="00AA57C4">
        <w:rPr>
          <w:sz w:val="16"/>
        </w:rPr>
        <w:t>139.7</w:t>
      </w:r>
      <w:r w:rsidR="009828DE" w:rsidRPr="00AA57C4">
        <w:rPr>
          <w:sz w:val="16"/>
        </w:rPr>
        <w:t> </w:t>
      </w:r>
      <w:r w:rsidR="00571637" w:rsidRPr="00AA57C4">
        <w:rPr>
          <w:sz w:val="16"/>
        </w:rPr>
        <w:t xml:space="preserve">hours in </w:t>
      </w:r>
      <w:r w:rsidR="00780021" w:rsidRPr="00AA57C4">
        <w:rPr>
          <w:sz w:val="16"/>
        </w:rPr>
        <w:t>December</w:t>
      </w:r>
      <w:r w:rsidR="007C75E4" w:rsidRPr="00AA57C4">
        <w:rPr>
          <w:sz w:val="16"/>
        </w:rPr>
        <w:t> </w:t>
      </w:r>
      <w:r w:rsidR="003D15F1" w:rsidRPr="00AA57C4">
        <w:rPr>
          <w:sz w:val="16"/>
        </w:rPr>
        <w:t>202</w:t>
      </w:r>
      <w:r w:rsidR="003E7B82" w:rsidRPr="00AA57C4">
        <w:rPr>
          <w:sz w:val="16"/>
        </w:rPr>
        <w:t>2</w:t>
      </w:r>
      <w:r w:rsidRPr="00AA57C4">
        <w:rPr>
          <w:sz w:val="16"/>
        </w:rPr>
        <w:t>.</w:t>
      </w:r>
    </w:p>
    <w:p w14:paraId="7D97A593" w14:textId="77777777" w:rsidR="00994092" w:rsidRPr="009B327C" w:rsidRDefault="00994092" w:rsidP="00994092">
      <w:pPr>
        <w:pStyle w:val="BodyText"/>
        <w:spacing w:after="0"/>
        <w:ind w:left="284"/>
        <w:jc w:val="both"/>
        <w:rPr>
          <w:color w:val="0070C0"/>
          <w:sz w:val="16"/>
        </w:rPr>
        <w:sectPr w:rsidR="00994092" w:rsidRPr="009B327C" w:rsidSect="00A929D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59" w:space="272"/>
            <w:col w:w="4536"/>
          </w:cols>
          <w:docGrid w:linePitch="360"/>
        </w:sectPr>
      </w:pPr>
    </w:p>
    <w:p w14:paraId="3FA96BB3" w14:textId="0F599796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participation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m</w:t>
      </w:r>
      <w:r w:rsidRPr="00020369">
        <w:rPr>
          <w:b/>
          <w:color w:val="92278F" w:themeColor="accent1"/>
          <w:sz w:val="20"/>
        </w:rPr>
        <w:t>onths</w:t>
      </w:r>
    </w:p>
    <w:p w14:paraId="6195851F" w14:textId="6306DCB2" w:rsidR="00FD2E59" w:rsidRDefault="00FE43E8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904E221" wp14:editId="0B9E96F7">
            <wp:extent cx="3422650" cy="2053590"/>
            <wp:effectExtent l="0" t="0" r="635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38" cy="205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E0F6" w14:textId="77777777" w:rsidR="00FD2E59" w:rsidRPr="0065045F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 xml:space="preserve">Note – Axis </w:t>
      </w:r>
      <w:r w:rsidRPr="0065045F">
        <w:rPr>
          <w:sz w:val="10"/>
        </w:rPr>
        <w:t xml:space="preserve">does not start at zero. </w:t>
      </w:r>
      <w:r w:rsidRPr="0065045F">
        <w:rPr>
          <w:sz w:val="10"/>
          <w:vertAlign w:val="superscript"/>
        </w:rPr>
        <w:t xml:space="preserve">1 </w:t>
      </w:r>
      <w:r w:rsidRPr="0065045F">
        <w:rPr>
          <w:sz w:val="10"/>
        </w:rPr>
        <w:t>Seasonally adjusted series.</w:t>
      </w:r>
    </w:p>
    <w:p w14:paraId="48630A05" w14:textId="5CEB9E25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65045F">
        <w:rPr>
          <w:sz w:val="10"/>
        </w:rPr>
        <w:t xml:space="preserve">Source: </w:t>
      </w:r>
      <w:r w:rsidR="00304C2A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 w:rsidRPr="000C0C45">
        <w:rPr>
          <w:sz w:val="10"/>
        </w:rPr>
        <w:t>6202.0 Labour Force, Australia (Monthly).</w:t>
      </w:r>
    </w:p>
    <w:p w14:paraId="1A8434B1" w14:textId="77777777" w:rsidR="00FD2E59" w:rsidRDefault="00FD2E59" w:rsidP="00FD2E59">
      <w:pPr>
        <w:spacing w:after="0"/>
        <w:jc w:val="both"/>
        <w:rPr>
          <w:sz w:val="16"/>
        </w:rPr>
      </w:pPr>
    </w:p>
    <w:p w14:paraId="5CE619BB" w14:textId="77777777" w:rsidR="00FD2E59" w:rsidRDefault="00FD2E59" w:rsidP="00FD2E59">
      <w:pPr>
        <w:spacing w:after="0"/>
        <w:jc w:val="both"/>
        <w:rPr>
          <w:sz w:val="16"/>
        </w:rPr>
      </w:pPr>
    </w:p>
    <w:p w14:paraId="08CF4689" w14:textId="77777777" w:rsidR="00BF090B" w:rsidRPr="00BF090B" w:rsidRDefault="00FD2E59" w:rsidP="00BF090B">
      <w:pPr>
        <w:pStyle w:val="BodyText"/>
        <w:spacing w:after="0"/>
        <w:jc w:val="both"/>
        <w:rPr>
          <w:color w:val="00B0F0"/>
          <w:sz w:val="16"/>
        </w:rPr>
      </w:pPr>
      <w:r>
        <w:rPr>
          <w:sz w:val="16"/>
        </w:rPr>
        <w:br w:type="column"/>
      </w:r>
    </w:p>
    <w:p w14:paraId="1ED5D9D7" w14:textId="15C125A7" w:rsidR="00FE4101" w:rsidRPr="00AA57C4" w:rsidRDefault="008D6CC2" w:rsidP="00D706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 Australia’s par</w:t>
      </w:r>
      <w:r w:rsidR="001431D1" w:rsidRPr="00AA57C4">
        <w:rPr>
          <w:sz w:val="16"/>
        </w:rPr>
        <w:t xml:space="preserve">ticipation rate </w:t>
      </w:r>
      <w:r w:rsidR="00631652" w:rsidRPr="00AA57C4">
        <w:rPr>
          <w:sz w:val="16"/>
        </w:rPr>
        <w:t>rose</w:t>
      </w:r>
      <w:r w:rsidR="004C1511" w:rsidRPr="00AA57C4">
        <w:rPr>
          <w:sz w:val="16"/>
        </w:rPr>
        <w:t xml:space="preserve"> </w:t>
      </w:r>
      <w:r w:rsidR="00FE43E8" w:rsidRPr="00AA57C4">
        <w:rPr>
          <w:sz w:val="16"/>
        </w:rPr>
        <w:t>to 69.0</w:t>
      </w:r>
      <w:r w:rsidR="00631652" w:rsidRPr="00AA57C4">
        <w:rPr>
          <w:sz w:val="16"/>
        </w:rPr>
        <w:t xml:space="preserve">% in </w:t>
      </w:r>
      <w:r w:rsidR="00336200" w:rsidRPr="00AA57C4">
        <w:rPr>
          <w:sz w:val="16"/>
        </w:rPr>
        <w:t>December </w:t>
      </w:r>
      <w:r w:rsidR="00631652" w:rsidRPr="00AA57C4">
        <w:rPr>
          <w:sz w:val="16"/>
        </w:rPr>
        <w:t xml:space="preserve">2022, </w:t>
      </w:r>
      <w:r w:rsidR="00D7064B" w:rsidRPr="00AA57C4">
        <w:rPr>
          <w:sz w:val="16"/>
        </w:rPr>
        <w:t xml:space="preserve">from </w:t>
      </w:r>
      <w:r w:rsidR="00FE43E8" w:rsidRPr="00AA57C4">
        <w:rPr>
          <w:sz w:val="16"/>
        </w:rPr>
        <w:t>68.9</w:t>
      </w:r>
      <w:r w:rsidR="00097BBE" w:rsidRPr="00AA57C4">
        <w:rPr>
          <w:sz w:val="16"/>
        </w:rPr>
        <w:t>%</w:t>
      </w:r>
      <w:r w:rsidR="00D7064B" w:rsidRPr="00AA57C4">
        <w:rPr>
          <w:sz w:val="16"/>
        </w:rPr>
        <w:t xml:space="preserve"> in </w:t>
      </w:r>
      <w:r w:rsidR="00FE43E8" w:rsidRPr="00AA57C4">
        <w:rPr>
          <w:sz w:val="16"/>
        </w:rPr>
        <w:t>November</w:t>
      </w:r>
      <w:r w:rsidR="007838AB" w:rsidRPr="00AA57C4">
        <w:rPr>
          <w:sz w:val="16"/>
        </w:rPr>
        <w:t> </w:t>
      </w:r>
      <w:r w:rsidR="00631652" w:rsidRPr="00AA57C4">
        <w:rPr>
          <w:sz w:val="16"/>
        </w:rPr>
        <w:t>2022</w:t>
      </w:r>
      <w:r w:rsidRPr="00AA57C4">
        <w:rPr>
          <w:sz w:val="16"/>
        </w:rPr>
        <w:t>.</w:t>
      </w:r>
    </w:p>
    <w:p w14:paraId="2F6CBA68" w14:textId="3138B5BE" w:rsidR="00EF7AB8" w:rsidRPr="00AA57C4" w:rsidRDefault="00EF7AB8" w:rsidP="00EF7AB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Austra</w:t>
      </w:r>
      <w:r w:rsidR="00FD015A" w:rsidRPr="00AA57C4">
        <w:rPr>
          <w:sz w:val="16"/>
        </w:rPr>
        <w:t>l</w:t>
      </w:r>
      <w:r w:rsidR="0057061C" w:rsidRPr="00AA57C4">
        <w:rPr>
          <w:sz w:val="16"/>
        </w:rPr>
        <w:t xml:space="preserve">ia’s participation rate </w:t>
      </w:r>
      <w:r w:rsidR="00FE43E8" w:rsidRPr="00AA57C4">
        <w:rPr>
          <w:sz w:val="16"/>
        </w:rPr>
        <w:t>decreased</w:t>
      </w:r>
      <w:r w:rsidR="00B53C07" w:rsidRPr="00AA57C4">
        <w:rPr>
          <w:sz w:val="16"/>
        </w:rPr>
        <w:t xml:space="preserve"> to</w:t>
      </w:r>
      <w:r w:rsidR="0057061C" w:rsidRPr="00AA57C4">
        <w:rPr>
          <w:sz w:val="16"/>
        </w:rPr>
        <w:t xml:space="preserve"> </w:t>
      </w:r>
      <w:r w:rsidR="00097BBE" w:rsidRPr="00AA57C4">
        <w:rPr>
          <w:sz w:val="16"/>
        </w:rPr>
        <w:t>66.</w:t>
      </w:r>
      <w:r w:rsidR="00C12540" w:rsidRPr="00AA57C4">
        <w:rPr>
          <w:sz w:val="16"/>
        </w:rPr>
        <w:t>7</w:t>
      </w:r>
      <w:r w:rsidRPr="00AA57C4">
        <w:rPr>
          <w:sz w:val="16"/>
        </w:rPr>
        <w:t xml:space="preserve">% in </w:t>
      </w:r>
      <w:r w:rsidR="00FE43E8" w:rsidRPr="00AA57C4">
        <w:rPr>
          <w:sz w:val="16"/>
        </w:rPr>
        <w:t>December</w:t>
      </w:r>
      <w:r w:rsidR="007838AB" w:rsidRPr="00AA57C4">
        <w:rPr>
          <w:sz w:val="16"/>
        </w:rPr>
        <w:t> </w:t>
      </w:r>
      <w:r w:rsidRPr="00AA57C4">
        <w:rPr>
          <w:sz w:val="16"/>
        </w:rPr>
        <w:t>2022.</w:t>
      </w:r>
    </w:p>
    <w:p w14:paraId="096CA72E" w14:textId="311D732A" w:rsidR="0096187F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Western Australia’s participation </w:t>
      </w:r>
      <w:r w:rsidR="00E91513" w:rsidRPr="00AA57C4">
        <w:rPr>
          <w:sz w:val="16"/>
        </w:rPr>
        <w:t>rate averaged 6</w:t>
      </w:r>
      <w:r w:rsidR="00C8753D" w:rsidRPr="00AA57C4">
        <w:rPr>
          <w:sz w:val="16"/>
        </w:rPr>
        <w:t>9</w:t>
      </w:r>
      <w:r w:rsidR="00E91513" w:rsidRPr="00AA57C4">
        <w:rPr>
          <w:sz w:val="16"/>
        </w:rPr>
        <w:t>.</w:t>
      </w:r>
      <w:r w:rsidR="00283C1B" w:rsidRPr="00AA57C4">
        <w:rPr>
          <w:sz w:val="16"/>
        </w:rPr>
        <w:t>5</w:t>
      </w:r>
      <w:r w:rsidR="00D7064B" w:rsidRPr="00AA57C4">
        <w:rPr>
          <w:sz w:val="16"/>
        </w:rPr>
        <w:t>% in 20</w:t>
      </w:r>
      <w:r w:rsidR="00C8753D" w:rsidRPr="00AA57C4">
        <w:rPr>
          <w:sz w:val="16"/>
        </w:rPr>
        <w:t>22</w:t>
      </w:r>
      <w:r w:rsidR="004411DB" w:rsidRPr="00AA57C4">
        <w:rPr>
          <w:sz w:val="16"/>
        </w:rPr>
        <w:t>.</w:t>
      </w:r>
    </w:p>
    <w:p w14:paraId="6CA0583C" w14:textId="4A5136E4" w:rsidR="00FD2E59" w:rsidRPr="00E77377" w:rsidRDefault="00A95465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</w:pPr>
      <w:r w:rsidRPr="00092E8F">
        <w:rPr>
          <w:sz w:val="16"/>
        </w:rPr>
        <w:t>The 2022</w:t>
      </w:r>
      <w:r w:rsidRPr="00092E8F">
        <w:rPr>
          <w:sz w:val="16"/>
        </w:rPr>
        <w:noBreakHyphen/>
        <w:t xml:space="preserve">23 WA Government Mid-year Financial Projections Statement </w:t>
      </w:r>
      <w:r w:rsidR="00F62727" w:rsidRPr="00092E8F">
        <w:rPr>
          <w:sz w:val="16"/>
        </w:rPr>
        <w:t>forecast</w:t>
      </w:r>
      <w:r w:rsidRPr="00092E8F">
        <w:rPr>
          <w:sz w:val="16"/>
        </w:rPr>
        <w:t>s</w:t>
      </w:r>
      <w:r w:rsidR="00FD2E59" w:rsidRPr="00092E8F">
        <w:rPr>
          <w:sz w:val="16"/>
        </w:rPr>
        <w:t xml:space="preserve"> Western Aust</w:t>
      </w:r>
      <w:r w:rsidR="00F62727" w:rsidRPr="00092E8F">
        <w:rPr>
          <w:sz w:val="16"/>
        </w:rPr>
        <w:t xml:space="preserve">ralia’s participation rate </w:t>
      </w:r>
      <w:r w:rsidR="00E77377" w:rsidRPr="00092E8F">
        <w:rPr>
          <w:sz w:val="16"/>
        </w:rPr>
        <w:t>will</w:t>
      </w:r>
      <w:r w:rsidR="00714515" w:rsidRPr="00092E8F">
        <w:rPr>
          <w:sz w:val="16"/>
        </w:rPr>
        <w:t xml:space="preserve"> average</w:t>
      </w:r>
      <w:r w:rsidR="00851EB0" w:rsidRPr="00092E8F">
        <w:rPr>
          <w:sz w:val="16"/>
        </w:rPr>
        <w:t xml:space="preserve"> </w:t>
      </w:r>
      <w:r w:rsidR="00714515" w:rsidRPr="00092E8F">
        <w:rPr>
          <w:sz w:val="16"/>
        </w:rPr>
        <w:t>6</w:t>
      </w:r>
      <w:r w:rsidR="009D3A90" w:rsidRPr="00092E8F">
        <w:rPr>
          <w:sz w:val="16"/>
        </w:rPr>
        <w:t>9</w:t>
      </w:r>
      <w:r w:rsidR="00714515" w:rsidRPr="00092E8F">
        <w:rPr>
          <w:sz w:val="16"/>
        </w:rPr>
        <w:t>.</w:t>
      </w:r>
      <w:r w:rsidR="00E77377" w:rsidRPr="00092E8F">
        <w:rPr>
          <w:sz w:val="16"/>
        </w:rPr>
        <w:t>1</w:t>
      </w:r>
      <w:r w:rsidR="00714515" w:rsidRPr="00092E8F">
        <w:rPr>
          <w:sz w:val="16"/>
        </w:rPr>
        <w:t>% in</w:t>
      </w:r>
      <w:r w:rsidR="00F62727" w:rsidRPr="00092E8F">
        <w:rPr>
          <w:sz w:val="16"/>
        </w:rPr>
        <w:t xml:space="preserve"> </w:t>
      </w:r>
      <w:r w:rsidR="00115A48" w:rsidRPr="00092E8F">
        <w:rPr>
          <w:sz w:val="16"/>
        </w:rPr>
        <w:t xml:space="preserve">both </w:t>
      </w:r>
      <w:r w:rsidR="00FD2E59" w:rsidRPr="00092E8F">
        <w:rPr>
          <w:sz w:val="16"/>
        </w:rPr>
        <w:t>202</w:t>
      </w:r>
      <w:r w:rsidR="009D3A90" w:rsidRPr="00092E8F">
        <w:rPr>
          <w:sz w:val="16"/>
        </w:rPr>
        <w:t>2</w:t>
      </w:r>
      <w:r w:rsidR="00FD2E59" w:rsidRPr="00092E8F">
        <w:rPr>
          <w:sz w:val="16"/>
        </w:rPr>
        <w:t>-2</w:t>
      </w:r>
      <w:r w:rsidR="009D3A90" w:rsidRPr="00092E8F">
        <w:rPr>
          <w:sz w:val="16"/>
        </w:rPr>
        <w:t>3</w:t>
      </w:r>
      <w:r w:rsidR="00F62727" w:rsidRPr="00092E8F">
        <w:rPr>
          <w:sz w:val="16"/>
        </w:rPr>
        <w:t xml:space="preserve"> and </w:t>
      </w:r>
      <w:r w:rsidR="00714515" w:rsidRPr="00092E8F">
        <w:rPr>
          <w:sz w:val="16"/>
        </w:rPr>
        <w:t>202</w:t>
      </w:r>
      <w:r w:rsidR="009D3A90" w:rsidRPr="00092E8F">
        <w:rPr>
          <w:sz w:val="16"/>
        </w:rPr>
        <w:t>3</w:t>
      </w:r>
      <w:r w:rsidR="00714515" w:rsidRPr="00092E8F">
        <w:rPr>
          <w:sz w:val="16"/>
        </w:rPr>
        <w:noBreakHyphen/>
      </w:r>
      <w:r w:rsidR="00F62727" w:rsidRPr="00092E8F">
        <w:rPr>
          <w:sz w:val="16"/>
        </w:rPr>
        <w:t>2</w:t>
      </w:r>
      <w:r w:rsidR="009D3A90" w:rsidRPr="00092E8F">
        <w:rPr>
          <w:sz w:val="16"/>
        </w:rPr>
        <w:t>4</w:t>
      </w:r>
      <w:r w:rsidR="00FD2E59" w:rsidRPr="00E77377">
        <w:rPr>
          <w:color w:val="FF0000"/>
          <w:sz w:val="16"/>
        </w:rPr>
        <w:t>.</w:t>
      </w:r>
    </w:p>
    <w:p w14:paraId="5E65D794" w14:textId="77777777" w:rsidR="00FD2E59" w:rsidRPr="00801E9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801E9F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40C2442" w14:textId="50C91367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m</w:t>
      </w:r>
      <w:r w:rsidRPr="00020369">
        <w:rPr>
          <w:b/>
          <w:color w:val="92278F" w:themeColor="accent1"/>
          <w:sz w:val="20"/>
        </w:rPr>
        <w:t>onths</w:t>
      </w:r>
    </w:p>
    <w:p w14:paraId="30395713" w14:textId="7E7A7480" w:rsidR="00E67974" w:rsidRPr="009B5AB5" w:rsidRDefault="007C6B26" w:rsidP="00FD2E59">
      <w:pPr>
        <w:pStyle w:val="BodyText"/>
        <w:spacing w:after="0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9B5DB71" wp14:editId="63FD1A2A">
            <wp:extent cx="3407833" cy="20447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832" cy="204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412B" w14:textId="77777777" w:rsidR="00FD2E59" w:rsidRPr="00ED55E2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  <w:vertAlign w:val="superscript"/>
        </w:rPr>
        <w:t xml:space="preserve">1 </w:t>
      </w:r>
      <w:r>
        <w:rPr>
          <w:sz w:val="10"/>
        </w:rPr>
        <w:t>Seasonally adjusted series</w:t>
      </w:r>
      <w:r w:rsidRPr="00ED55E2">
        <w:rPr>
          <w:sz w:val="10"/>
        </w:rPr>
        <w:t>.</w:t>
      </w:r>
    </w:p>
    <w:p w14:paraId="77C2E516" w14:textId="7682F1B8" w:rsidR="00FD2E59" w:rsidRPr="00716C34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</w:rPr>
        <w:t xml:space="preserve">Source: </w:t>
      </w:r>
      <w:r w:rsidR="00304C2A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 w:rsidRPr="00ED55E2">
        <w:rPr>
          <w:sz w:val="10"/>
        </w:rPr>
        <w:t>6202.0 Labour Force, Australia (Monthly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0ADB6E5D" w14:textId="77777777" w:rsidR="00FD2E59" w:rsidRDefault="00FD2E59" w:rsidP="00FD2E59">
      <w:pPr>
        <w:spacing w:after="0"/>
        <w:jc w:val="both"/>
        <w:rPr>
          <w:sz w:val="16"/>
        </w:rPr>
      </w:pPr>
    </w:p>
    <w:p w14:paraId="50BEBC4C" w14:textId="77777777" w:rsidR="00BF090B" w:rsidRPr="00BF090B" w:rsidRDefault="00FD2E59" w:rsidP="00BF090B">
      <w:pPr>
        <w:pStyle w:val="BodyText"/>
        <w:spacing w:after="0"/>
        <w:jc w:val="both"/>
        <w:rPr>
          <w:color w:val="0070C0"/>
          <w:sz w:val="16"/>
        </w:rPr>
      </w:pPr>
      <w:r w:rsidRPr="009828DE">
        <w:rPr>
          <w:sz w:val="16"/>
        </w:rPr>
        <w:br w:type="column"/>
      </w:r>
    </w:p>
    <w:p w14:paraId="5FE5CB31" w14:textId="250429D0" w:rsidR="00437CAF" w:rsidRPr="00AA57C4" w:rsidRDefault="00437CAF" w:rsidP="009828D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 Australia’s unemployment rate</w:t>
      </w:r>
      <w:r w:rsidR="00C70CA0" w:rsidRPr="00AA57C4">
        <w:rPr>
          <w:sz w:val="16"/>
        </w:rPr>
        <w:t xml:space="preserve"> </w:t>
      </w:r>
      <w:r w:rsidR="00832B4E" w:rsidRPr="00AA57C4">
        <w:rPr>
          <w:sz w:val="16"/>
        </w:rPr>
        <w:t>rose</w:t>
      </w:r>
      <w:r w:rsidR="009828DE" w:rsidRPr="00AA57C4">
        <w:rPr>
          <w:sz w:val="16"/>
        </w:rPr>
        <w:t xml:space="preserve"> </w:t>
      </w:r>
      <w:r w:rsidR="00C70CA0" w:rsidRPr="00AA57C4">
        <w:rPr>
          <w:sz w:val="16"/>
        </w:rPr>
        <w:t xml:space="preserve">to </w:t>
      </w:r>
      <w:r w:rsidR="0083572B" w:rsidRPr="00AA57C4">
        <w:rPr>
          <w:sz w:val="16"/>
        </w:rPr>
        <w:t>3.</w:t>
      </w:r>
      <w:r w:rsidR="008452D0" w:rsidRPr="00AA57C4">
        <w:rPr>
          <w:sz w:val="16"/>
        </w:rPr>
        <w:t>5</w:t>
      </w:r>
      <w:r w:rsidR="00C70CA0" w:rsidRPr="00AA57C4">
        <w:rPr>
          <w:sz w:val="16"/>
        </w:rPr>
        <w:t xml:space="preserve">% in </w:t>
      </w:r>
      <w:r w:rsidR="00832B4E" w:rsidRPr="00AA57C4">
        <w:rPr>
          <w:sz w:val="16"/>
        </w:rPr>
        <w:t>December</w:t>
      </w:r>
      <w:r w:rsidR="005165FD" w:rsidRPr="00AA57C4">
        <w:rPr>
          <w:sz w:val="16"/>
        </w:rPr>
        <w:t> </w:t>
      </w:r>
      <w:r w:rsidR="00C70CA0" w:rsidRPr="00AA57C4">
        <w:rPr>
          <w:sz w:val="16"/>
        </w:rPr>
        <w:t>2022</w:t>
      </w:r>
      <w:r w:rsidR="00832B4E" w:rsidRPr="00AA57C4">
        <w:rPr>
          <w:sz w:val="16"/>
        </w:rPr>
        <w:t>, from 3.4</w:t>
      </w:r>
      <w:r w:rsidR="008452D0" w:rsidRPr="00AA57C4">
        <w:rPr>
          <w:sz w:val="16"/>
        </w:rPr>
        <w:t xml:space="preserve">% in </w:t>
      </w:r>
      <w:r w:rsidR="00832B4E" w:rsidRPr="00AA57C4">
        <w:rPr>
          <w:sz w:val="16"/>
        </w:rPr>
        <w:t>November</w:t>
      </w:r>
      <w:r w:rsidR="008452D0" w:rsidRPr="00AA57C4">
        <w:rPr>
          <w:sz w:val="16"/>
        </w:rPr>
        <w:t xml:space="preserve"> 2022</w:t>
      </w:r>
      <w:r w:rsidR="009828DE" w:rsidRPr="00AA57C4">
        <w:rPr>
          <w:sz w:val="16"/>
        </w:rPr>
        <w:t>.</w:t>
      </w:r>
    </w:p>
    <w:p w14:paraId="6FBC1F51" w14:textId="76F45F4E" w:rsidR="00FD2E59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Austr</w:t>
      </w:r>
      <w:r w:rsidR="005456A4" w:rsidRPr="00AA57C4">
        <w:rPr>
          <w:sz w:val="16"/>
        </w:rPr>
        <w:t xml:space="preserve">alia’s </w:t>
      </w:r>
      <w:r w:rsidR="002C5DE9" w:rsidRPr="00AA57C4">
        <w:rPr>
          <w:sz w:val="16"/>
        </w:rPr>
        <w:t xml:space="preserve">unemployment rate </w:t>
      </w:r>
      <w:r w:rsidR="008452D0" w:rsidRPr="00AA57C4">
        <w:rPr>
          <w:sz w:val="16"/>
        </w:rPr>
        <w:t>remained at</w:t>
      </w:r>
      <w:r w:rsidR="00144098" w:rsidRPr="00AA57C4">
        <w:rPr>
          <w:sz w:val="16"/>
        </w:rPr>
        <w:t xml:space="preserve"> </w:t>
      </w:r>
      <w:r w:rsidR="0083572B" w:rsidRPr="00AA57C4">
        <w:rPr>
          <w:sz w:val="16"/>
        </w:rPr>
        <w:t>3.</w:t>
      </w:r>
      <w:r w:rsidR="00832B4E" w:rsidRPr="00AA57C4">
        <w:rPr>
          <w:sz w:val="16"/>
        </w:rPr>
        <w:t>5</w:t>
      </w:r>
      <w:r w:rsidR="00FC35DF" w:rsidRPr="00AA57C4">
        <w:rPr>
          <w:sz w:val="16"/>
        </w:rPr>
        <w:t>%</w:t>
      </w:r>
      <w:r w:rsidR="005165FD" w:rsidRPr="00AA57C4">
        <w:rPr>
          <w:sz w:val="16"/>
        </w:rPr>
        <w:t xml:space="preserve"> </w:t>
      </w:r>
      <w:r w:rsidR="00FC35DF" w:rsidRPr="00AA57C4">
        <w:rPr>
          <w:sz w:val="16"/>
        </w:rPr>
        <w:t xml:space="preserve">in </w:t>
      </w:r>
      <w:r w:rsidR="00832B4E" w:rsidRPr="00AA57C4">
        <w:rPr>
          <w:sz w:val="16"/>
        </w:rPr>
        <w:t>December</w:t>
      </w:r>
      <w:r w:rsidR="00EA740C" w:rsidRPr="00AA57C4">
        <w:rPr>
          <w:sz w:val="16"/>
        </w:rPr>
        <w:t> </w:t>
      </w:r>
      <w:r w:rsidRPr="00AA57C4">
        <w:rPr>
          <w:sz w:val="16"/>
        </w:rPr>
        <w:t>202</w:t>
      </w:r>
      <w:r w:rsidR="003110C8" w:rsidRPr="00AA57C4">
        <w:rPr>
          <w:sz w:val="16"/>
        </w:rPr>
        <w:t>2</w:t>
      </w:r>
      <w:r w:rsidRPr="00AA57C4">
        <w:rPr>
          <w:sz w:val="16"/>
        </w:rPr>
        <w:t>.</w:t>
      </w:r>
    </w:p>
    <w:p w14:paraId="1F0A5FBD" w14:textId="4DA86D70" w:rsidR="00FD2E59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number of unemployed p</w:t>
      </w:r>
      <w:r w:rsidR="00B62A76" w:rsidRPr="00AA57C4">
        <w:rPr>
          <w:sz w:val="16"/>
        </w:rPr>
        <w:t>erson</w:t>
      </w:r>
      <w:r w:rsidR="0093088F" w:rsidRPr="00AA57C4">
        <w:rPr>
          <w:sz w:val="16"/>
        </w:rPr>
        <w:t xml:space="preserve">s in Western Australia </w:t>
      </w:r>
      <w:r w:rsidR="00832B4E" w:rsidRPr="00AA57C4">
        <w:rPr>
          <w:sz w:val="16"/>
        </w:rPr>
        <w:t>rose 2.7</w:t>
      </w:r>
      <w:r w:rsidR="00C201D7" w:rsidRPr="00AA57C4">
        <w:rPr>
          <w:sz w:val="16"/>
        </w:rPr>
        <w:t>% (</w:t>
      </w:r>
      <w:r w:rsidR="00832B4E" w:rsidRPr="00AA57C4">
        <w:rPr>
          <w:sz w:val="16"/>
        </w:rPr>
        <w:t>1,41</w:t>
      </w:r>
      <w:r w:rsidR="002B36C5" w:rsidRPr="00AA57C4">
        <w:rPr>
          <w:sz w:val="16"/>
        </w:rPr>
        <w:t>5</w:t>
      </w:r>
      <w:r w:rsidR="000D45DD" w:rsidRPr="00AA57C4">
        <w:rPr>
          <w:sz w:val="16"/>
        </w:rPr>
        <w:t xml:space="preserve">) to </w:t>
      </w:r>
      <w:r w:rsidR="002B36C5" w:rsidRPr="00AA57C4">
        <w:rPr>
          <w:sz w:val="16"/>
        </w:rPr>
        <w:t>54</w:t>
      </w:r>
      <w:r w:rsidR="005165FD" w:rsidRPr="00AA57C4">
        <w:rPr>
          <w:sz w:val="16"/>
        </w:rPr>
        <w:t>,</w:t>
      </w:r>
      <w:r w:rsidR="00832B4E" w:rsidRPr="00AA57C4">
        <w:rPr>
          <w:sz w:val="16"/>
        </w:rPr>
        <w:t>772</w:t>
      </w:r>
      <w:r w:rsidR="00972792" w:rsidRPr="00AA57C4">
        <w:rPr>
          <w:sz w:val="16"/>
        </w:rPr>
        <w:t xml:space="preserve"> </w:t>
      </w:r>
      <w:r w:rsidR="00C201D7" w:rsidRPr="00AA57C4">
        <w:rPr>
          <w:sz w:val="16"/>
        </w:rPr>
        <w:t xml:space="preserve">in </w:t>
      </w:r>
      <w:r w:rsidR="00832B4E" w:rsidRPr="00AA57C4">
        <w:rPr>
          <w:sz w:val="16"/>
        </w:rPr>
        <w:t>December</w:t>
      </w:r>
      <w:r w:rsidR="005165FD" w:rsidRPr="00AA57C4">
        <w:rPr>
          <w:sz w:val="16"/>
        </w:rPr>
        <w:t> </w:t>
      </w:r>
      <w:r w:rsidR="00C975EF" w:rsidRPr="00AA57C4">
        <w:rPr>
          <w:sz w:val="16"/>
        </w:rPr>
        <w:t>202</w:t>
      </w:r>
      <w:r w:rsidR="008C3B8C" w:rsidRPr="00AA57C4">
        <w:rPr>
          <w:sz w:val="16"/>
        </w:rPr>
        <w:t>2</w:t>
      </w:r>
      <w:r w:rsidR="00C975EF" w:rsidRPr="00AA57C4">
        <w:rPr>
          <w:sz w:val="16"/>
        </w:rPr>
        <w:t>.</w:t>
      </w:r>
    </w:p>
    <w:p w14:paraId="6019DF20" w14:textId="48A6F0FE" w:rsidR="0096187F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 Australia’s unemployme</w:t>
      </w:r>
      <w:r w:rsidR="00C975EF" w:rsidRPr="00AA57C4">
        <w:rPr>
          <w:sz w:val="16"/>
        </w:rPr>
        <w:t xml:space="preserve">nt rate averaged </w:t>
      </w:r>
      <w:r w:rsidR="00DC6456" w:rsidRPr="00AA57C4">
        <w:rPr>
          <w:sz w:val="16"/>
        </w:rPr>
        <w:t>3</w:t>
      </w:r>
      <w:r w:rsidR="00283C1B" w:rsidRPr="00AA57C4">
        <w:rPr>
          <w:sz w:val="16"/>
        </w:rPr>
        <w:t>.4</w:t>
      </w:r>
      <w:r w:rsidR="00C975EF" w:rsidRPr="00AA57C4">
        <w:rPr>
          <w:sz w:val="16"/>
        </w:rPr>
        <w:t>% i</w:t>
      </w:r>
      <w:r w:rsidR="00283C1B" w:rsidRPr="00AA57C4">
        <w:rPr>
          <w:sz w:val="16"/>
        </w:rPr>
        <w:t>n 20</w:t>
      </w:r>
      <w:r w:rsidR="00DC6456" w:rsidRPr="00AA57C4">
        <w:rPr>
          <w:sz w:val="16"/>
        </w:rPr>
        <w:t>22</w:t>
      </w:r>
      <w:r w:rsidR="00C975EF" w:rsidRPr="00AA57C4">
        <w:rPr>
          <w:sz w:val="16"/>
        </w:rPr>
        <w:t>.</w:t>
      </w:r>
    </w:p>
    <w:p w14:paraId="6C078C21" w14:textId="6398588F" w:rsidR="00FD2E59" w:rsidRPr="001865B5" w:rsidRDefault="00A95465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</w:pPr>
      <w:r w:rsidRPr="00092E8F">
        <w:rPr>
          <w:sz w:val="16"/>
        </w:rPr>
        <w:t>The 2022</w:t>
      </w:r>
      <w:r w:rsidRPr="00092E8F">
        <w:rPr>
          <w:sz w:val="16"/>
        </w:rPr>
        <w:noBreakHyphen/>
        <w:t xml:space="preserve">23 WA Government Mid-year Financial Projections Statement </w:t>
      </w:r>
      <w:r w:rsidR="00B62A76" w:rsidRPr="00092E8F">
        <w:rPr>
          <w:sz w:val="16"/>
        </w:rPr>
        <w:t>forecast</w:t>
      </w:r>
      <w:r w:rsidRPr="00092E8F">
        <w:rPr>
          <w:sz w:val="16"/>
        </w:rPr>
        <w:t>s</w:t>
      </w:r>
      <w:r w:rsidR="00FD2E59" w:rsidRPr="00092E8F">
        <w:rPr>
          <w:sz w:val="16"/>
        </w:rPr>
        <w:t xml:space="preserve"> Western Aus</w:t>
      </w:r>
      <w:r w:rsidR="00B62A76" w:rsidRPr="00092E8F">
        <w:rPr>
          <w:sz w:val="16"/>
        </w:rPr>
        <w:t xml:space="preserve">tralia’s unemployment rate </w:t>
      </w:r>
      <w:r w:rsidR="001865B5" w:rsidRPr="00092E8F">
        <w:rPr>
          <w:sz w:val="16"/>
        </w:rPr>
        <w:t>will</w:t>
      </w:r>
      <w:r w:rsidR="00714515" w:rsidRPr="00092E8F">
        <w:rPr>
          <w:sz w:val="16"/>
        </w:rPr>
        <w:t xml:space="preserve"> average </w:t>
      </w:r>
      <w:r w:rsidR="001865B5" w:rsidRPr="00092E8F">
        <w:rPr>
          <w:sz w:val="16"/>
        </w:rPr>
        <w:t>3.</w:t>
      </w:r>
      <w:r w:rsidR="00AB0CE2" w:rsidRPr="00092E8F">
        <w:rPr>
          <w:sz w:val="16"/>
        </w:rPr>
        <w:t>5</w:t>
      </w:r>
      <w:r w:rsidR="00FD2E59" w:rsidRPr="00092E8F">
        <w:rPr>
          <w:sz w:val="16"/>
        </w:rPr>
        <w:t>% in 202</w:t>
      </w:r>
      <w:r w:rsidR="0047583F" w:rsidRPr="00092E8F">
        <w:rPr>
          <w:sz w:val="16"/>
        </w:rPr>
        <w:t>2</w:t>
      </w:r>
      <w:r w:rsidR="008F4538" w:rsidRPr="00092E8F">
        <w:rPr>
          <w:sz w:val="16"/>
        </w:rPr>
        <w:noBreakHyphen/>
      </w:r>
      <w:r w:rsidR="00FD2E59" w:rsidRPr="00092E8F">
        <w:rPr>
          <w:sz w:val="16"/>
        </w:rPr>
        <w:t>2</w:t>
      </w:r>
      <w:r w:rsidR="0047583F" w:rsidRPr="00092E8F">
        <w:rPr>
          <w:sz w:val="16"/>
        </w:rPr>
        <w:t>3</w:t>
      </w:r>
      <w:r w:rsidR="00714515" w:rsidRPr="00092E8F">
        <w:rPr>
          <w:sz w:val="16"/>
        </w:rPr>
        <w:t xml:space="preserve"> and</w:t>
      </w:r>
      <w:r w:rsidR="001865B5" w:rsidRPr="00092E8F">
        <w:rPr>
          <w:sz w:val="16"/>
        </w:rPr>
        <w:t xml:space="preserve"> 4.0% in</w:t>
      </w:r>
      <w:r w:rsidR="00B62A76" w:rsidRPr="00092E8F">
        <w:rPr>
          <w:sz w:val="16"/>
        </w:rPr>
        <w:t xml:space="preserve"> 202</w:t>
      </w:r>
      <w:r w:rsidR="0047583F" w:rsidRPr="00092E8F">
        <w:rPr>
          <w:sz w:val="16"/>
        </w:rPr>
        <w:t>3</w:t>
      </w:r>
      <w:r w:rsidR="008F4538" w:rsidRPr="00092E8F">
        <w:rPr>
          <w:sz w:val="16"/>
        </w:rPr>
        <w:noBreakHyphen/>
      </w:r>
      <w:r w:rsidR="00B62A76" w:rsidRPr="00092E8F">
        <w:rPr>
          <w:sz w:val="16"/>
        </w:rPr>
        <w:t>2</w:t>
      </w:r>
      <w:r w:rsidR="0047583F" w:rsidRPr="00092E8F">
        <w:rPr>
          <w:sz w:val="16"/>
        </w:rPr>
        <w:t>4</w:t>
      </w:r>
      <w:r w:rsidR="00FD2E59" w:rsidRPr="001865B5">
        <w:rPr>
          <w:color w:val="FF0000"/>
          <w:sz w:val="16"/>
        </w:rPr>
        <w:t>.</w:t>
      </w:r>
    </w:p>
    <w:p w14:paraId="7897D036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731B9C2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1" w:name="_UNITED_KINGDOM"/>
      <w:bookmarkEnd w:id="1"/>
      <w:r w:rsidRPr="00DD5DF4">
        <w:rPr>
          <w:b/>
          <w:color w:val="002060"/>
          <w:sz w:val="22"/>
        </w:rPr>
        <w:lastRenderedPageBreak/>
        <w:t>Labour market</w:t>
      </w:r>
    </w:p>
    <w:p w14:paraId="05418937" w14:textId="7E612D55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underemployment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m</w:t>
      </w:r>
      <w:r w:rsidRPr="00020369">
        <w:rPr>
          <w:b/>
          <w:color w:val="92278F" w:themeColor="accent1"/>
          <w:sz w:val="20"/>
        </w:rPr>
        <w:t>onths</w:t>
      </w:r>
    </w:p>
    <w:p w14:paraId="3E39B3C2" w14:textId="65E07409" w:rsidR="00FD2E59" w:rsidRDefault="007F553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B7264B5" wp14:editId="6C8905D3">
            <wp:extent cx="3481917" cy="2089150"/>
            <wp:effectExtent l="0" t="0" r="4445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350" cy="20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FCD5" w14:textId="77777777" w:rsidR="00FD2E59" w:rsidRPr="002F15F9" w:rsidRDefault="00FD2E59" w:rsidP="00FD2E59">
      <w:pPr>
        <w:pStyle w:val="BodyText"/>
        <w:spacing w:after="0"/>
        <w:jc w:val="both"/>
        <w:rPr>
          <w:sz w:val="10"/>
        </w:rPr>
      </w:pPr>
      <w:r w:rsidRPr="002F15F9">
        <w:rPr>
          <w:sz w:val="10"/>
          <w:vertAlign w:val="superscript"/>
        </w:rPr>
        <w:t xml:space="preserve">1 </w:t>
      </w:r>
      <w:r>
        <w:rPr>
          <w:sz w:val="10"/>
        </w:rPr>
        <w:t>Seasonally adjusted series.</w:t>
      </w:r>
    </w:p>
    <w:p w14:paraId="353D4BAD" w14:textId="3496636B" w:rsidR="00FD2E59" w:rsidRPr="00FE23FA" w:rsidRDefault="00FD2E59" w:rsidP="00FD2E59">
      <w:pPr>
        <w:spacing w:after="0"/>
        <w:jc w:val="both"/>
        <w:rPr>
          <w:sz w:val="16"/>
        </w:rPr>
      </w:pPr>
      <w:r w:rsidRPr="002F15F9">
        <w:rPr>
          <w:sz w:val="10"/>
        </w:rPr>
        <w:t>Source:</w:t>
      </w:r>
      <w:r w:rsidR="002D4109" w:rsidRPr="002D4109">
        <w:rPr>
          <w:color w:val="0070C0"/>
          <w:sz w:val="10"/>
        </w:rPr>
        <w:t xml:space="preserve"> </w:t>
      </w:r>
      <w:r w:rsidR="002D4109" w:rsidRPr="0065045F">
        <w:rPr>
          <w:sz w:val="10"/>
        </w:rPr>
        <w:t>Based on data from</w:t>
      </w:r>
      <w:r w:rsidRPr="0065045F">
        <w:rPr>
          <w:sz w:val="10"/>
        </w:rPr>
        <w:t xml:space="preserve"> ABS </w:t>
      </w:r>
      <w:r w:rsidRPr="002F15F9">
        <w:rPr>
          <w:sz w:val="10"/>
        </w:rPr>
        <w:t>6202.0 Labour Force, Australia</w:t>
      </w:r>
      <w:r>
        <w:rPr>
          <w:sz w:val="10"/>
        </w:rPr>
        <w:t xml:space="preserve"> (Monthly).</w:t>
      </w:r>
    </w:p>
    <w:p w14:paraId="0B8CEC97" w14:textId="2A79B664" w:rsidR="00FD2E59" w:rsidRDefault="00FD2E59" w:rsidP="00FD2E59">
      <w:pPr>
        <w:spacing w:after="0"/>
        <w:jc w:val="both"/>
        <w:rPr>
          <w:sz w:val="16"/>
        </w:rPr>
      </w:pPr>
    </w:p>
    <w:p w14:paraId="1A56EB54" w14:textId="77777777" w:rsidR="009B5AB5" w:rsidRDefault="009B5AB5" w:rsidP="00FD2E59">
      <w:pPr>
        <w:spacing w:after="0"/>
        <w:jc w:val="both"/>
        <w:rPr>
          <w:sz w:val="16"/>
        </w:rPr>
      </w:pPr>
    </w:p>
    <w:p w14:paraId="64EC62B0" w14:textId="77777777" w:rsidR="00FD2E59" w:rsidRPr="00D94010" w:rsidRDefault="00FD2E59" w:rsidP="00FD2E59">
      <w:pPr>
        <w:spacing w:after="0"/>
        <w:jc w:val="both"/>
        <w:rPr>
          <w:sz w:val="16"/>
        </w:rPr>
      </w:pPr>
      <w:r w:rsidRPr="00D94010">
        <w:rPr>
          <w:sz w:val="16"/>
        </w:rPr>
        <w:br w:type="column"/>
      </w:r>
    </w:p>
    <w:p w14:paraId="5B92E41C" w14:textId="77777777" w:rsidR="00FD2E59" w:rsidRPr="00D94010" w:rsidRDefault="00FD2E59" w:rsidP="00FD2E59">
      <w:pPr>
        <w:spacing w:after="0"/>
        <w:jc w:val="both"/>
        <w:rPr>
          <w:sz w:val="16"/>
        </w:rPr>
      </w:pPr>
    </w:p>
    <w:p w14:paraId="6EE5EB48" w14:textId="7580495D" w:rsidR="00FD2E59" w:rsidRPr="00AA57C4" w:rsidRDefault="00FD2E59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 Australia’s underemployment r</w:t>
      </w:r>
      <w:r w:rsidR="007C45C6" w:rsidRPr="00AA57C4">
        <w:rPr>
          <w:sz w:val="16"/>
        </w:rPr>
        <w:t xml:space="preserve">ate </w:t>
      </w:r>
      <w:r w:rsidR="007F5530" w:rsidRPr="00AA57C4">
        <w:rPr>
          <w:sz w:val="16"/>
        </w:rPr>
        <w:t>rose</w:t>
      </w:r>
      <w:r w:rsidR="008A12D5" w:rsidRPr="00AA57C4">
        <w:rPr>
          <w:sz w:val="16"/>
        </w:rPr>
        <w:t xml:space="preserve"> </w:t>
      </w:r>
      <w:r w:rsidR="007B5840" w:rsidRPr="00AA57C4">
        <w:rPr>
          <w:sz w:val="16"/>
        </w:rPr>
        <w:t xml:space="preserve">to </w:t>
      </w:r>
      <w:r w:rsidR="007F5530" w:rsidRPr="00AA57C4">
        <w:rPr>
          <w:sz w:val="16"/>
        </w:rPr>
        <w:t>5.7</w:t>
      </w:r>
      <w:r w:rsidR="000B6C9C" w:rsidRPr="00AA57C4">
        <w:rPr>
          <w:sz w:val="16"/>
        </w:rPr>
        <w:t>% in</w:t>
      </w:r>
      <w:r w:rsidR="009D547C" w:rsidRPr="00AA57C4">
        <w:rPr>
          <w:sz w:val="16"/>
        </w:rPr>
        <w:t xml:space="preserve"> </w:t>
      </w:r>
      <w:r w:rsidR="007F5530" w:rsidRPr="00AA57C4">
        <w:rPr>
          <w:sz w:val="16"/>
        </w:rPr>
        <w:t>December 2022, from 5.6</w:t>
      </w:r>
      <w:r w:rsidR="009D547C" w:rsidRPr="00AA57C4">
        <w:rPr>
          <w:sz w:val="16"/>
        </w:rPr>
        <w:t>% in</w:t>
      </w:r>
      <w:r w:rsidR="000B6C9C" w:rsidRPr="00AA57C4">
        <w:rPr>
          <w:sz w:val="16"/>
        </w:rPr>
        <w:t xml:space="preserve"> </w:t>
      </w:r>
      <w:r w:rsidR="007F5530" w:rsidRPr="00AA57C4">
        <w:rPr>
          <w:sz w:val="16"/>
        </w:rPr>
        <w:t>November</w:t>
      </w:r>
      <w:r w:rsidR="005E68EB" w:rsidRPr="00AA57C4">
        <w:rPr>
          <w:sz w:val="16"/>
        </w:rPr>
        <w:t> </w:t>
      </w:r>
      <w:r w:rsidR="000B6C9C" w:rsidRPr="00AA57C4">
        <w:rPr>
          <w:sz w:val="16"/>
        </w:rPr>
        <w:t>202</w:t>
      </w:r>
      <w:r w:rsidR="00523861" w:rsidRPr="00AA57C4">
        <w:rPr>
          <w:sz w:val="16"/>
        </w:rPr>
        <w:t>2</w:t>
      </w:r>
      <w:r w:rsidR="00E03C0D" w:rsidRPr="00AA57C4">
        <w:rPr>
          <w:sz w:val="16"/>
        </w:rPr>
        <w:t>.</w:t>
      </w:r>
    </w:p>
    <w:p w14:paraId="058022B2" w14:textId="05C70014" w:rsidR="00FD2E59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number of underemployed perso</w:t>
      </w:r>
      <w:r w:rsidR="001772C9" w:rsidRPr="00AA57C4">
        <w:rPr>
          <w:sz w:val="16"/>
        </w:rPr>
        <w:t>ns in Western Austral</w:t>
      </w:r>
      <w:r w:rsidR="00DE4F66" w:rsidRPr="00AA57C4">
        <w:rPr>
          <w:sz w:val="16"/>
        </w:rPr>
        <w:t xml:space="preserve">ia </w:t>
      </w:r>
      <w:r w:rsidR="007F5530" w:rsidRPr="00AA57C4">
        <w:rPr>
          <w:sz w:val="16"/>
        </w:rPr>
        <w:t>rose</w:t>
      </w:r>
      <w:r w:rsidR="008A12D5" w:rsidRPr="00AA57C4">
        <w:rPr>
          <w:sz w:val="16"/>
        </w:rPr>
        <w:t xml:space="preserve"> </w:t>
      </w:r>
      <w:r w:rsidR="007F5530" w:rsidRPr="00AA57C4">
        <w:rPr>
          <w:sz w:val="16"/>
        </w:rPr>
        <w:t>3.6</w:t>
      </w:r>
      <w:r w:rsidR="00A03F68" w:rsidRPr="00AA57C4">
        <w:rPr>
          <w:sz w:val="16"/>
        </w:rPr>
        <w:t>% (</w:t>
      </w:r>
      <w:r w:rsidR="007F5530" w:rsidRPr="00AA57C4">
        <w:rPr>
          <w:sz w:val="16"/>
        </w:rPr>
        <w:t>3,145</w:t>
      </w:r>
      <w:r w:rsidR="00CA38C0" w:rsidRPr="00AA57C4">
        <w:rPr>
          <w:sz w:val="16"/>
        </w:rPr>
        <w:t xml:space="preserve">) to </w:t>
      </w:r>
      <w:r w:rsidR="007F5530" w:rsidRPr="00AA57C4">
        <w:rPr>
          <w:sz w:val="16"/>
        </w:rPr>
        <w:t>90,034</w:t>
      </w:r>
      <w:r w:rsidR="00A03F68" w:rsidRPr="00AA57C4">
        <w:rPr>
          <w:sz w:val="16"/>
        </w:rPr>
        <w:t xml:space="preserve"> in </w:t>
      </w:r>
      <w:r w:rsidR="007F5530" w:rsidRPr="00AA57C4">
        <w:rPr>
          <w:sz w:val="16"/>
        </w:rPr>
        <w:t>December</w:t>
      </w:r>
      <w:r w:rsidR="00AB6CB2" w:rsidRPr="00AA57C4">
        <w:rPr>
          <w:sz w:val="16"/>
        </w:rPr>
        <w:t> </w:t>
      </w:r>
      <w:r w:rsidR="000B6C9C" w:rsidRPr="00AA57C4">
        <w:rPr>
          <w:sz w:val="16"/>
        </w:rPr>
        <w:t>202</w:t>
      </w:r>
      <w:r w:rsidR="00DE7124" w:rsidRPr="00AA57C4">
        <w:rPr>
          <w:sz w:val="16"/>
        </w:rPr>
        <w:t>2</w:t>
      </w:r>
      <w:r w:rsidR="000B6C9C" w:rsidRPr="00AA57C4">
        <w:rPr>
          <w:sz w:val="16"/>
        </w:rPr>
        <w:t xml:space="preserve">, following a </w:t>
      </w:r>
      <w:r w:rsidR="000A35C7" w:rsidRPr="00AA57C4">
        <w:rPr>
          <w:sz w:val="16"/>
        </w:rPr>
        <w:t>fall</w:t>
      </w:r>
      <w:r w:rsidR="005E68EB" w:rsidRPr="00AA57C4">
        <w:rPr>
          <w:sz w:val="16"/>
        </w:rPr>
        <w:t xml:space="preserve"> </w:t>
      </w:r>
      <w:r w:rsidR="002649EE" w:rsidRPr="00AA57C4">
        <w:rPr>
          <w:sz w:val="16"/>
        </w:rPr>
        <w:t xml:space="preserve">of </w:t>
      </w:r>
      <w:r w:rsidR="007F5530" w:rsidRPr="00AA57C4">
        <w:rPr>
          <w:sz w:val="16"/>
        </w:rPr>
        <w:t>1.6</w:t>
      </w:r>
      <w:r w:rsidR="00A03F68" w:rsidRPr="00AA57C4">
        <w:rPr>
          <w:sz w:val="16"/>
        </w:rPr>
        <w:t>% (</w:t>
      </w:r>
      <w:r w:rsidR="007F5530" w:rsidRPr="00AA57C4">
        <w:rPr>
          <w:sz w:val="16"/>
        </w:rPr>
        <w:t>1,446</w:t>
      </w:r>
      <w:r w:rsidR="00A03F68" w:rsidRPr="00AA57C4">
        <w:rPr>
          <w:sz w:val="16"/>
        </w:rPr>
        <w:t xml:space="preserve">) in </w:t>
      </w:r>
      <w:r w:rsidR="007F5530" w:rsidRPr="00AA57C4">
        <w:rPr>
          <w:sz w:val="16"/>
        </w:rPr>
        <w:t>November</w:t>
      </w:r>
      <w:r w:rsidR="005E68EB" w:rsidRPr="00AA57C4">
        <w:rPr>
          <w:sz w:val="16"/>
        </w:rPr>
        <w:t> </w:t>
      </w:r>
      <w:r w:rsidR="00F82613" w:rsidRPr="00AA57C4">
        <w:rPr>
          <w:sz w:val="16"/>
        </w:rPr>
        <w:t>2022</w:t>
      </w:r>
      <w:r w:rsidRPr="00AA57C4">
        <w:rPr>
          <w:sz w:val="16"/>
        </w:rPr>
        <w:t>.</w:t>
      </w:r>
    </w:p>
    <w:p w14:paraId="1FBFABC2" w14:textId="322DA76D" w:rsidR="00FD2E59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Western Australia’s u</w:t>
      </w:r>
      <w:r w:rsidR="00CA38C0" w:rsidRPr="00AA57C4">
        <w:rPr>
          <w:sz w:val="16"/>
        </w:rPr>
        <w:t xml:space="preserve">nderemployment rate averaged </w:t>
      </w:r>
      <w:r w:rsidR="00283C1B" w:rsidRPr="00AA57C4">
        <w:rPr>
          <w:sz w:val="16"/>
        </w:rPr>
        <w:t>6.0</w:t>
      </w:r>
      <w:r w:rsidR="00B82231" w:rsidRPr="00AA57C4">
        <w:rPr>
          <w:sz w:val="16"/>
        </w:rPr>
        <w:t>% in</w:t>
      </w:r>
      <w:r w:rsidR="001772C9" w:rsidRPr="00AA57C4">
        <w:rPr>
          <w:sz w:val="16"/>
        </w:rPr>
        <w:t xml:space="preserve"> </w:t>
      </w:r>
      <w:r w:rsidR="00CA38C0" w:rsidRPr="00AA57C4">
        <w:rPr>
          <w:sz w:val="16"/>
        </w:rPr>
        <w:t>20</w:t>
      </w:r>
      <w:r w:rsidR="00206083" w:rsidRPr="00AA57C4">
        <w:rPr>
          <w:sz w:val="16"/>
        </w:rPr>
        <w:t>22</w:t>
      </w:r>
      <w:r w:rsidR="00E03C0D" w:rsidRPr="00AA57C4">
        <w:rPr>
          <w:sz w:val="16"/>
        </w:rPr>
        <w:t>.</w:t>
      </w:r>
    </w:p>
    <w:p w14:paraId="172CE195" w14:textId="77777777" w:rsidR="00FD2E59" w:rsidRPr="00D94010" w:rsidRDefault="00FD2E59" w:rsidP="00FD2E59">
      <w:pPr>
        <w:spacing w:after="0"/>
        <w:jc w:val="both"/>
        <w:rPr>
          <w:sz w:val="16"/>
        </w:rPr>
        <w:sectPr w:rsidR="00FD2E59" w:rsidRPr="00D9401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D6DC22" w14:textId="02BBEB08" w:rsidR="00FD2E59" w:rsidRPr="00C00EC0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 xml:space="preserve">Western Australia’s </w:t>
      </w:r>
      <w:r w:rsidR="008B3000" w:rsidRPr="00C00EC0">
        <w:rPr>
          <w:b/>
          <w:color w:val="92278F" w:themeColor="accent1"/>
          <w:sz w:val="20"/>
        </w:rPr>
        <w:t>online job advertisements</w:t>
      </w:r>
      <w:r w:rsidRPr="00C00EC0">
        <w:rPr>
          <w:b/>
          <w:color w:val="92278F" w:themeColor="accent1"/>
          <w:sz w:val="20"/>
          <w:vertAlign w:val="superscript"/>
        </w:rPr>
        <w:t>1</w:t>
      </w:r>
      <w:r w:rsidRPr="00C00EC0">
        <w:rPr>
          <w:b/>
          <w:color w:val="92278F" w:themeColor="accent1"/>
          <w:sz w:val="20"/>
        </w:rPr>
        <w:t xml:space="preserve">: </w:t>
      </w:r>
      <w:r w:rsidR="00C00EC0" w:rsidRPr="00C00EC0">
        <w:rPr>
          <w:b/>
          <w:color w:val="92278F" w:themeColor="accent1"/>
          <w:sz w:val="20"/>
        </w:rPr>
        <w:t>m</w:t>
      </w:r>
      <w:r w:rsidRPr="00C00EC0">
        <w:rPr>
          <w:b/>
          <w:color w:val="92278F" w:themeColor="accent1"/>
          <w:sz w:val="20"/>
        </w:rPr>
        <w:t>onths</w:t>
      </w:r>
    </w:p>
    <w:p w14:paraId="60C7D75F" w14:textId="40045920" w:rsidR="00FD2E59" w:rsidRDefault="00080F2D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06CD503" wp14:editId="7E47B31A">
            <wp:extent cx="3505200" cy="21031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389" cy="210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3B3D" w14:textId="77777777" w:rsidR="00FD2E59" w:rsidRPr="007520AC" w:rsidRDefault="00FD2E59" w:rsidP="00FD2E59">
      <w:pPr>
        <w:pStyle w:val="BodyText"/>
        <w:spacing w:after="0"/>
        <w:jc w:val="both"/>
        <w:rPr>
          <w:sz w:val="10"/>
        </w:rPr>
      </w:pPr>
      <w:r w:rsidRPr="007520AC">
        <w:rPr>
          <w:sz w:val="10"/>
          <w:vertAlign w:val="superscript"/>
        </w:rPr>
        <w:t>1</w:t>
      </w:r>
      <w:r w:rsidRPr="007520AC">
        <w:rPr>
          <w:sz w:val="10"/>
        </w:rPr>
        <w:t xml:space="preserve"> Online job advertisements on SEEK, </w:t>
      </w:r>
      <w:proofErr w:type="spellStart"/>
      <w:r w:rsidRPr="007520AC">
        <w:rPr>
          <w:sz w:val="10"/>
        </w:rPr>
        <w:t>CareerOne</w:t>
      </w:r>
      <w:proofErr w:type="spellEnd"/>
      <w:r w:rsidRPr="007520AC">
        <w:rPr>
          <w:sz w:val="10"/>
        </w:rPr>
        <w:t xml:space="preserve"> and Australian </w:t>
      </w:r>
      <w:proofErr w:type="spellStart"/>
      <w:r w:rsidRPr="007520AC">
        <w:rPr>
          <w:sz w:val="10"/>
        </w:rPr>
        <w:t>JobSearch</w:t>
      </w:r>
      <w:proofErr w:type="spellEnd"/>
      <w:r w:rsidRPr="007520AC">
        <w:rPr>
          <w:sz w:val="10"/>
        </w:rPr>
        <w:t>. Excludes job advertisements on other online job boards, employer web sites, newspapers and word of mouth.</w:t>
      </w:r>
      <w:r>
        <w:rPr>
          <w:sz w:val="10"/>
        </w:rPr>
        <w:t xml:space="preserve"> Seasonally adjusted series. </w:t>
      </w:r>
      <w:r w:rsidRPr="00F947B0">
        <w:rPr>
          <w:sz w:val="10"/>
          <w:vertAlign w:val="superscript"/>
        </w:rPr>
        <w:t>2</w:t>
      </w:r>
      <w:r>
        <w:rPr>
          <w:sz w:val="10"/>
        </w:rPr>
        <w:t xml:space="preserve"> Recruitment through on site and online j</w:t>
      </w:r>
      <w:r w:rsidRPr="000F715D">
        <w:rPr>
          <w:sz w:val="10"/>
        </w:rPr>
        <w:t>ob advertisements</w:t>
      </w:r>
      <w:r>
        <w:rPr>
          <w:sz w:val="10"/>
        </w:rPr>
        <w:t xml:space="preserve">, by notifying employment agencies or </w:t>
      </w:r>
      <w:r w:rsidRPr="000F715D">
        <w:rPr>
          <w:sz w:val="10"/>
        </w:rPr>
        <w:t>trade union</w:t>
      </w:r>
      <w:r>
        <w:rPr>
          <w:sz w:val="10"/>
        </w:rPr>
        <w:t>s, and from internal job registers</w:t>
      </w:r>
      <w:r w:rsidRPr="000F715D">
        <w:rPr>
          <w:sz w:val="10"/>
        </w:rPr>
        <w:t>.</w:t>
      </w:r>
      <w:r>
        <w:rPr>
          <w:sz w:val="10"/>
        </w:rPr>
        <w:t xml:space="preserve"> Original series.</w:t>
      </w:r>
    </w:p>
    <w:p w14:paraId="6A538A4B" w14:textId="12A9DB24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D1714">
        <w:rPr>
          <w:sz w:val="10"/>
        </w:rPr>
        <w:t xml:space="preserve">Source: </w:t>
      </w:r>
      <w:r w:rsidR="0063031B" w:rsidRPr="006D1714">
        <w:rPr>
          <w:sz w:val="10"/>
        </w:rPr>
        <w:t>Jobs and Skills Australia, Internet Vacancy Index</w:t>
      </w:r>
      <w:r w:rsidRPr="006D1714">
        <w:rPr>
          <w:sz w:val="10"/>
        </w:rPr>
        <w:t xml:space="preserve"> (Monthly</w:t>
      </w:r>
      <w:r>
        <w:rPr>
          <w:sz w:val="10"/>
        </w:rPr>
        <w:t>).</w:t>
      </w:r>
    </w:p>
    <w:p w14:paraId="21ED5842" w14:textId="77777777" w:rsidR="00FD2E59" w:rsidRDefault="00FD2E59" w:rsidP="00FD2E59">
      <w:pPr>
        <w:spacing w:after="0"/>
        <w:jc w:val="both"/>
        <w:rPr>
          <w:sz w:val="16"/>
        </w:rPr>
      </w:pPr>
    </w:p>
    <w:p w14:paraId="295F9CDE" w14:textId="77777777" w:rsidR="00FD2E59" w:rsidRDefault="00FD2E59" w:rsidP="00FD2E59">
      <w:pPr>
        <w:spacing w:after="0"/>
        <w:jc w:val="both"/>
        <w:rPr>
          <w:sz w:val="16"/>
        </w:rPr>
      </w:pPr>
    </w:p>
    <w:p w14:paraId="458CDD61" w14:textId="05A0D4C6" w:rsidR="00FD2E59" w:rsidRDefault="00FD2E59" w:rsidP="009B5AB5">
      <w:pPr>
        <w:pStyle w:val="BodyText"/>
        <w:spacing w:after="0"/>
        <w:jc w:val="both"/>
        <w:rPr>
          <w:sz w:val="16"/>
        </w:rPr>
      </w:pPr>
      <w:r w:rsidRPr="003A18A2">
        <w:rPr>
          <w:sz w:val="16"/>
        </w:rPr>
        <w:br w:type="column"/>
      </w:r>
    </w:p>
    <w:p w14:paraId="0D6790D2" w14:textId="332CDC2A" w:rsidR="001E5802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According to the ABS Job Vacancy Survey</w:t>
      </w:r>
      <w:r w:rsidRPr="00AA57C4">
        <w:rPr>
          <w:sz w:val="16"/>
          <w:vertAlign w:val="superscript"/>
        </w:rPr>
        <w:t>2</w:t>
      </w:r>
      <w:r w:rsidR="00774541" w:rsidRPr="00AA57C4">
        <w:rPr>
          <w:sz w:val="16"/>
        </w:rPr>
        <w:t xml:space="preserve">, Western Australia had </w:t>
      </w:r>
      <w:r w:rsidR="00591797" w:rsidRPr="00AA57C4">
        <w:rPr>
          <w:sz w:val="16"/>
        </w:rPr>
        <w:t>61,9</w:t>
      </w:r>
      <w:r w:rsidR="00E630DE" w:rsidRPr="00AA57C4">
        <w:rPr>
          <w:sz w:val="16"/>
        </w:rPr>
        <w:t>00</w:t>
      </w:r>
      <w:r w:rsidR="004A3CB8" w:rsidRPr="00AA57C4">
        <w:rPr>
          <w:sz w:val="16"/>
        </w:rPr>
        <w:t xml:space="preserve"> job vacancies in the </w:t>
      </w:r>
      <w:r w:rsidR="00591797" w:rsidRPr="00AA57C4">
        <w:rPr>
          <w:sz w:val="16"/>
        </w:rPr>
        <w:t>December</w:t>
      </w:r>
      <w:r w:rsidR="00E630DE" w:rsidRPr="00AA57C4">
        <w:rPr>
          <w:sz w:val="16"/>
        </w:rPr>
        <w:t xml:space="preserve"> </w:t>
      </w:r>
      <w:r w:rsidR="004A3CB8" w:rsidRPr="00AA57C4">
        <w:rPr>
          <w:sz w:val="16"/>
        </w:rPr>
        <w:t xml:space="preserve">quarter </w:t>
      </w:r>
      <w:r w:rsidR="00A11194" w:rsidRPr="00AA57C4">
        <w:rPr>
          <w:sz w:val="16"/>
        </w:rPr>
        <w:t>2022</w:t>
      </w:r>
      <w:r w:rsidR="004A3CB8" w:rsidRPr="00AA57C4">
        <w:rPr>
          <w:sz w:val="16"/>
        </w:rPr>
        <w:t xml:space="preserve">, </w:t>
      </w:r>
      <w:r w:rsidR="00591797" w:rsidRPr="00AA57C4">
        <w:rPr>
          <w:sz w:val="16"/>
        </w:rPr>
        <w:t>1,200</w:t>
      </w:r>
      <w:r w:rsidR="004A3CB8" w:rsidRPr="00AA57C4">
        <w:rPr>
          <w:sz w:val="16"/>
        </w:rPr>
        <w:t xml:space="preserve"> </w:t>
      </w:r>
      <w:r w:rsidR="00591797" w:rsidRPr="00AA57C4">
        <w:rPr>
          <w:sz w:val="16"/>
        </w:rPr>
        <w:t>more</w:t>
      </w:r>
      <w:r w:rsidR="004A3CB8" w:rsidRPr="00AA57C4">
        <w:rPr>
          <w:sz w:val="16"/>
        </w:rPr>
        <w:t xml:space="preserve"> than in the previous quarter</w:t>
      </w:r>
      <w:r w:rsidR="000C2AD1" w:rsidRPr="00AA57C4">
        <w:rPr>
          <w:sz w:val="16"/>
        </w:rPr>
        <w:t xml:space="preserve">, </w:t>
      </w:r>
      <w:r w:rsidR="00591797" w:rsidRPr="00AA57C4">
        <w:rPr>
          <w:sz w:val="16"/>
        </w:rPr>
        <w:t>and</w:t>
      </w:r>
      <w:r w:rsidR="000C2AD1" w:rsidRPr="00AA57C4">
        <w:rPr>
          <w:sz w:val="16"/>
        </w:rPr>
        <w:t xml:space="preserve"> </w:t>
      </w:r>
      <w:r w:rsidR="00591797" w:rsidRPr="00AA57C4">
        <w:rPr>
          <w:sz w:val="16"/>
        </w:rPr>
        <w:t>1,100</w:t>
      </w:r>
      <w:r w:rsidR="009248E1" w:rsidRPr="00AA57C4">
        <w:rPr>
          <w:sz w:val="16"/>
        </w:rPr>
        <w:t xml:space="preserve"> </w:t>
      </w:r>
      <w:r w:rsidR="004A3CB8" w:rsidRPr="00AA57C4">
        <w:rPr>
          <w:sz w:val="16"/>
        </w:rPr>
        <w:t>more than a year ago</w:t>
      </w:r>
      <w:r w:rsidR="009248E1" w:rsidRPr="00AA57C4">
        <w:rPr>
          <w:sz w:val="16"/>
        </w:rPr>
        <w:t>.</w:t>
      </w:r>
    </w:p>
    <w:p w14:paraId="4815BD29" w14:textId="1099672D" w:rsidR="00FD2E59" w:rsidRPr="00AA57C4" w:rsidRDefault="001E5802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Western Australia’s online job advertisements </w:t>
      </w:r>
      <w:r w:rsidR="00344F22" w:rsidRPr="00AA57C4">
        <w:rPr>
          <w:sz w:val="16"/>
        </w:rPr>
        <w:t>remained unchanged at 30,750</w:t>
      </w:r>
      <w:r w:rsidRPr="00AA57C4">
        <w:rPr>
          <w:sz w:val="16"/>
        </w:rPr>
        <w:t xml:space="preserve"> in </w:t>
      </w:r>
      <w:r w:rsidR="00591797" w:rsidRPr="00AA57C4">
        <w:rPr>
          <w:sz w:val="16"/>
        </w:rPr>
        <w:t>December</w:t>
      </w:r>
      <w:r w:rsidR="008067CF" w:rsidRPr="00AA57C4">
        <w:rPr>
          <w:sz w:val="16"/>
        </w:rPr>
        <w:t> </w:t>
      </w:r>
      <w:r w:rsidRPr="00AA57C4">
        <w:rPr>
          <w:sz w:val="16"/>
        </w:rPr>
        <w:t>2022</w:t>
      </w:r>
      <w:r w:rsidR="008067CF" w:rsidRPr="00AA57C4">
        <w:rPr>
          <w:sz w:val="16"/>
        </w:rPr>
        <w:t>.</w:t>
      </w:r>
    </w:p>
    <w:p w14:paraId="17FEB0F8" w14:textId="77777777" w:rsidR="00F45A4B" w:rsidRPr="00F45A4B" w:rsidRDefault="00F45A4B" w:rsidP="004F5A1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45A4B" w:rsidRPr="00F45A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7CA638" w14:textId="47BBC699" w:rsidR="00FD2E59" w:rsidRPr="00020369" w:rsidRDefault="00FD2E59" w:rsidP="00FD2E59">
      <w:pPr>
        <w:spacing w:after="0"/>
        <w:rPr>
          <w:color w:val="92278F" w:themeColor="accent1"/>
          <w:sz w:val="22"/>
        </w:rPr>
      </w:pPr>
      <w:r w:rsidRPr="00020369">
        <w:rPr>
          <w:b/>
          <w:color w:val="92278F" w:themeColor="accent1"/>
          <w:sz w:val="20"/>
        </w:rPr>
        <w:t>Wage price index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): q</w:t>
      </w:r>
      <w:r w:rsidRPr="00020369">
        <w:rPr>
          <w:b/>
          <w:color w:val="92278F" w:themeColor="accent1"/>
          <w:sz w:val="20"/>
        </w:rPr>
        <w:t>uarters</w:t>
      </w:r>
    </w:p>
    <w:p w14:paraId="0601A729" w14:textId="6DE6AA1D" w:rsidR="00FD2E59" w:rsidRDefault="009B5AB5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6B38C9F" wp14:editId="62504696">
            <wp:extent cx="3528000" cy="2103405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8A31" w14:textId="295DF5B6" w:rsidR="00FD2E59" w:rsidRPr="00E06068" w:rsidRDefault="00FD2E59" w:rsidP="003623BC">
      <w:pPr>
        <w:spacing w:after="0"/>
        <w:jc w:val="both"/>
        <w:rPr>
          <w:sz w:val="10"/>
        </w:rPr>
      </w:pPr>
      <w:r w:rsidRPr="00044565">
        <w:rPr>
          <w:sz w:val="10"/>
          <w:vertAlign w:val="superscript"/>
        </w:rPr>
        <w:t xml:space="preserve">1 </w:t>
      </w:r>
      <w:r w:rsidRPr="00044565">
        <w:rPr>
          <w:sz w:val="10"/>
        </w:rPr>
        <w:t>Change from same quarter of previous year</w:t>
      </w:r>
      <w:r w:rsidR="001C02F1" w:rsidRPr="00044565">
        <w:rPr>
          <w:sz w:val="10"/>
        </w:rPr>
        <w:t xml:space="preserve"> or year-on-year</w:t>
      </w:r>
      <w:r w:rsidRPr="00044565">
        <w:rPr>
          <w:sz w:val="10"/>
        </w:rPr>
        <w:t xml:space="preserve">. Original series. Wage price index 2008-09 = 100.0. Note - Changes in the wage price index and average </w:t>
      </w:r>
      <w:r w:rsidRPr="00E06068">
        <w:rPr>
          <w:sz w:val="10"/>
        </w:rPr>
        <w:t>weekly earnings differ because labour quality (job specifications and employee performance and experience) and labour quantity (hours worked and employee numbers) is held constant by the wage price index.</w:t>
      </w:r>
    </w:p>
    <w:p w14:paraId="0BC77984" w14:textId="2E8F1DDB" w:rsidR="00FD2E59" w:rsidRPr="009B5AB5" w:rsidRDefault="00FD2E59" w:rsidP="00FD2E59">
      <w:pPr>
        <w:spacing w:after="0"/>
        <w:jc w:val="both"/>
        <w:rPr>
          <w:sz w:val="10"/>
        </w:rPr>
      </w:pPr>
      <w:r w:rsidRPr="00E06068">
        <w:rPr>
          <w:sz w:val="10"/>
        </w:rPr>
        <w:t xml:space="preserve">Source: </w:t>
      </w:r>
      <w:r w:rsidR="00637898" w:rsidRPr="0065045F">
        <w:rPr>
          <w:sz w:val="10"/>
        </w:rPr>
        <w:t xml:space="preserve">Based on data from </w:t>
      </w:r>
      <w:r w:rsidRPr="0065045F">
        <w:rPr>
          <w:sz w:val="10"/>
        </w:rPr>
        <w:t>ABS 6345.</w:t>
      </w:r>
      <w:r w:rsidRPr="00E06068">
        <w:rPr>
          <w:sz w:val="10"/>
        </w:rPr>
        <w:t>0 Wage Price Index, Australia (Quarterly).</w:t>
      </w:r>
    </w:p>
    <w:p w14:paraId="495FD48B" w14:textId="77777777" w:rsidR="009B5AB5" w:rsidRDefault="00FD2E59" w:rsidP="009B5AB5">
      <w:pPr>
        <w:pStyle w:val="BodyText"/>
        <w:spacing w:after="0"/>
        <w:jc w:val="both"/>
        <w:rPr>
          <w:sz w:val="16"/>
        </w:rPr>
      </w:pPr>
      <w:r w:rsidRPr="006A2E95">
        <w:rPr>
          <w:sz w:val="16"/>
        </w:rPr>
        <w:br w:type="column"/>
      </w:r>
    </w:p>
    <w:p w14:paraId="167D56D7" w14:textId="7C22428B" w:rsidR="00FD2E59" w:rsidRPr="00565BD3" w:rsidRDefault="008F4538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Year</w:t>
      </w:r>
      <w:r w:rsidRPr="00565BD3">
        <w:rPr>
          <w:sz w:val="16"/>
        </w:rPr>
        <w:noBreakHyphen/>
        <w:t>on</w:t>
      </w:r>
      <w:r w:rsidRPr="00565BD3">
        <w:rPr>
          <w:sz w:val="16"/>
        </w:rPr>
        <w:noBreakHyphen/>
      </w:r>
      <w:r w:rsidR="000C2AD1" w:rsidRPr="00565BD3">
        <w:rPr>
          <w:sz w:val="16"/>
        </w:rPr>
        <w:t xml:space="preserve">year growth in </w:t>
      </w:r>
      <w:r w:rsidR="00FD2E59" w:rsidRPr="00565BD3">
        <w:rPr>
          <w:sz w:val="16"/>
        </w:rPr>
        <w:t>Western</w:t>
      </w:r>
      <w:r w:rsidR="001C02F1" w:rsidRPr="00565BD3">
        <w:rPr>
          <w:sz w:val="16"/>
        </w:rPr>
        <w:t xml:space="preserve"> Australia’s wage price </w:t>
      </w:r>
      <w:r w:rsidR="009B075E" w:rsidRPr="00565BD3">
        <w:rPr>
          <w:sz w:val="16"/>
        </w:rPr>
        <w:t xml:space="preserve">index </w:t>
      </w:r>
      <w:r w:rsidR="000C2AD1" w:rsidRPr="00565BD3">
        <w:rPr>
          <w:sz w:val="16"/>
        </w:rPr>
        <w:t xml:space="preserve">was </w:t>
      </w:r>
      <w:r w:rsidR="00141CE6" w:rsidRPr="00565BD3">
        <w:rPr>
          <w:sz w:val="16"/>
        </w:rPr>
        <w:t>3.3</w:t>
      </w:r>
      <w:r w:rsidR="000C2AD1" w:rsidRPr="00565BD3">
        <w:rPr>
          <w:sz w:val="16"/>
        </w:rPr>
        <w:t xml:space="preserve">% in the </w:t>
      </w:r>
      <w:r w:rsidR="00141CE6" w:rsidRPr="00565BD3">
        <w:rPr>
          <w:sz w:val="16"/>
        </w:rPr>
        <w:t>September</w:t>
      </w:r>
      <w:r w:rsidR="000C2AD1" w:rsidRPr="00565BD3">
        <w:rPr>
          <w:sz w:val="16"/>
        </w:rPr>
        <w:t xml:space="preserve"> quarter 2022, higher than the</w:t>
      </w:r>
      <w:r w:rsidR="00EC49C6" w:rsidRPr="00565BD3">
        <w:rPr>
          <w:sz w:val="16"/>
        </w:rPr>
        <w:t xml:space="preserve"> </w:t>
      </w:r>
      <w:r w:rsidR="00141CE6" w:rsidRPr="00565BD3">
        <w:rPr>
          <w:sz w:val="16"/>
        </w:rPr>
        <w:t>2.7</w:t>
      </w:r>
      <w:r w:rsidR="00FD2E59" w:rsidRPr="00565BD3">
        <w:rPr>
          <w:sz w:val="16"/>
        </w:rPr>
        <w:t xml:space="preserve">% </w:t>
      </w:r>
      <w:r w:rsidR="000C2AD1" w:rsidRPr="00565BD3">
        <w:rPr>
          <w:sz w:val="16"/>
        </w:rPr>
        <w:t xml:space="preserve">growth </w:t>
      </w:r>
      <w:r w:rsidR="001C02F1" w:rsidRPr="00565BD3">
        <w:rPr>
          <w:sz w:val="16"/>
        </w:rPr>
        <w:t xml:space="preserve">in the </w:t>
      </w:r>
      <w:r w:rsidR="00141CE6" w:rsidRPr="00565BD3">
        <w:rPr>
          <w:sz w:val="16"/>
        </w:rPr>
        <w:t>June</w:t>
      </w:r>
      <w:r w:rsidR="002D2EB0" w:rsidRPr="00565BD3">
        <w:rPr>
          <w:sz w:val="16"/>
        </w:rPr>
        <w:t xml:space="preserve"> </w:t>
      </w:r>
      <w:r w:rsidR="001C02F1" w:rsidRPr="00565BD3">
        <w:rPr>
          <w:sz w:val="16"/>
        </w:rPr>
        <w:t xml:space="preserve">quarter </w:t>
      </w:r>
      <w:r w:rsidR="00D304D0" w:rsidRPr="00565BD3">
        <w:rPr>
          <w:sz w:val="16"/>
        </w:rPr>
        <w:t>20</w:t>
      </w:r>
      <w:r w:rsidR="005F4C48" w:rsidRPr="00565BD3">
        <w:rPr>
          <w:sz w:val="16"/>
        </w:rPr>
        <w:t>22</w:t>
      </w:r>
      <w:r w:rsidR="00FD2E59" w:rsidRPr="00565BD3">
        <w:rPr>
          <w:sz w:val="16"/>
        </w:rPr>
        <w:t>.</w:t>
      </w:r>
    </w:p>
    <w:p w14:paraId="61792097" w14:textId="06DF2FF1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Austral</w:t>
      </w:r>
      <w:r w:rsidR="00EC49C6" w:rsidRPr="00565BD3">
        <w:rPr>
          <w:sz w:val="16"/>
        </w:rPr>
        <w:t xml:space="preserve">ia’s wage price index rose </w:t>
      </w:r>
      <w:r w:rsidR="00141CE6" w:rsidRPr="00565BD3">
        <w:rPr>
          <w:sz w:val="16"/>
        </w:rPr>
        <w:t>3.2</w:t>
      </w:r>
      <w:r w:rsidR="00EC49C6" w:rsidRPr="00565BD3">
        <w:rPr>
          <w:sz w:val="16"/>
        </w:rPr>
        <w:t xml:space="preserve">% in the </w:t>
      </w:r>
      <w:r w:rsidR="00141CE6" w:rsidRPr="00565BD3">
        <w:rPr>
          <w:sz w:val="16"/>
        </w:rPr>
        <w:t>September</w:t>
      </w:r>
      <w:r w:rsidR="00EA38FF" w:rsidRPr="00565BD3">
        <w:rPr>
          <w:sz w:val="16"/>
        </w:rPr>
        <w:t xml:space="preserve"> </w:t>
      </w:r>
      <w:r w:rsidR="00D304D0" w:rsidRPr="00565BD3">
        <w:rPr>
          <w:sz w:val="16"/>
        </w:rPr>
        <w:t>quarter 202</w:t>
      </w:r>
      <w:r w:rsidR="00EA38FF" w:rsidRPr="00565BD3">
        <w:rPr>
          <w:sz w:val="16"/>
        </w:rPr>
        <w:t>2</w:t>
      </w:r>
      <w:r w:rsidR="00D304D0" w:rsidRPr="00565BD3">
        <w:rPr>
          <w:sz w:val="16"/>
        </w:rPr>
        <w:t xml:space="preserve"> (year-on-year)</w:t>
      </w:r>
      <w:r w:rsidRPr="00565BD3">
        <w:rPr>
          <w:sz w:val="16"/>
        </w:rPr>
        <w:t>.</w:t>
      </w:r>
    </w:p>
    <w:p w14:paraId="60D3EE73" w14:textId="4B51A04B" w:rsidR="00D655AA" w:rsidRPr="0065045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5045F">
        <w:rPr>
          <w:sz w:val="16"/>
        </w:rPr>
        <w:t>Western Australia</w:t>
      </w:r>
      <w:r w:rsidR="004B74EF" w:rsidRPr="0065045F">
        <w:rPr>
          <w:sz w:val="16"/>
        </w:rPr>
        <w:t xml:space="preserve">’s annual average wages rose 2.2% in </w:t>
      </w:r>
      <w:r w:rsidR="008F4538" w:rsidRPr="0065045F">
        <w:rPr>
          <w:sz w:val="16"/>
        </w:rPr>
        <w:t>2021</w:t>
      </w:r>
      <w:r w:rsidR="008F4538" w:rsidRPr="0065045F">
        <w:rPr>
          <w:sz w:val="16"/>
        </w:rPr>
        <w:noBreakHyphen/>
      </w:r>
      <w:r w:rsidR="004B74EF" w:rsidRPr="0065045F">
        <w:rPr>
          <w:sz w:val="16"/>
        </w:rPr>
        <w:t>22.</w:t>
      </w:r>
    </w:p>
    <w:p w14:paraId="7EE41A51" w14:textId="50665ADF" w:rsidR="00FD2E59" w:rsidRPr="00B75C4D" w:rsidRDefault="00A9546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75C4D">
        <w:rPr>
          <w:sz w:val="16"/>
        </w:rPr>
        <w:t>The 2022</w:t>
      </w:r>
      <w:r w:rsidRPr="00B75C4D">
        <w:rPr>
          <w:sz w:val="16"/>
        </w:rPr>
        <w:noBreakHyphen/>
        <w:t xml:space="preserve">23 WA Government Mid-year Financial Projections Statement </w:t>
      </w:r>
      <w:r w:rsidR="00FD526E" w:rsidRPr="00B75C4D">
        <w:rPr>
          <w:sz w:val="16"/>
        </w:rPr>
        <w:t>forecast</w:t>
      </w:r>
      <w:r w:rsidRPr="00B75C4D">
        <w:rPr>
          <w:sz w:val="16"/>
        </w:rPr>
        <w:t>s</w:t>
      </w:r>
      <w:r w:rsidR="00FD2E59" w:rsidRPr="00B75C4D">
        <w:rPr>
          <w:sz w:val="16"/>
        </w:rPr>
        <w:t xml:space="preserve"> Western Australia’s annual average </w:t>
      </w:r>
      <w:r w:rsidR="00FD2E59" w:rsidRPr="00B75C4D">
        <w:rPr>
          <w:sz w:val="16"/>
          <w:lang w:val="en-US"/>
        </w:rPr>
        <w:t>wage</w:t>
      </w:r>
      <w:r w:rsidR="00FD526E" w:rsidRPr="00B75C4D">
        <w:rPr>
          <w:sz w:val="16"/>
          <w:lang w:val="en-US"/>
        </w:rPr>
        <w:t xml:space="preserve">s </w:t>
      </w:r>
      <w:r w:rsidR="005868BC" w:rsidRPr="00B75C4D">
        <w:rPr>
          <w:sz w:val="16"/>
          <w:lang w:val="en-US"/>
        </w:rPr>
        <w:t>will</w:t>
      </w:r>
      <w:r w:rsidR="00D304D0" w:rsidRPr="00B75C4D">
        <w:rPr>
          <w:sz w:val="16"/>
          <w:lang w:val="en-US"/>
        </w:rPr>
        <w:t xml:space="preserve"> rise</w:t>
      </w:r>
      <w:r w:rsidR="00851EB0" w:rsidRPr="00B75C4D">
        <w:rPr>
          <w:sz w:val="16"/>
          <w:lang w:val="en-US"/>
        </w:rPr>
        <w:t xml:space="preserve"> </w:t>
      </w:r>
      <w:r w:rsidR="005868BC" w:rsidRPr="00B75C4D">
        <w:rPr>
          <w:sz w:val="16"/>
          <w:lang w:val="en-US"/>
        </w:rPr>
        <w:t>3</w:t>
      </w:r>
      <w:r w:rsidR="007A336E" w:rsidRPr="00B75C4D">
        <w:rPr>
          <w:sz w:val="16"/>
          <w:lang w:val="en-US"/>
        </w:rPr>
        <w:t>.5% in</w:t>
      </w:r>
      <w:r w:rsidR="00FD526E" w:rsidRPr="00B75C4D">
        <w:rPr>
          <w:sz w:val="16"/>
          <w:lang w:val="en-US"/>
        </w:rPr>
        <w:t xml:space="preserve"> </w:t>
      </w:r>
      <w:r w:rsidR="00FD2E59" w:rsidRPr="00B75C4D">
        <w:rPr>
          <w:sz w:val="16"/>
          <w:lang w:val="en-US"/>
        </w:rPr>
        <w:t>202</w:t>
      </w:r>
      <w:r w:rsidR="00EA38FF" w:rsidRPr="00B75C4D">
        <w:rPr>
          <w:sz w:val="16"/>
          <w:lang w:val="en-US"/>
        </w:rPr>
        <w:t>2</w:t>
      </w:r>
      <w:r w:rsidR="00FD2E59" w:rsidRPr="00B75C4D">
        <w:rPr>
          <w:sz w:val="16"/>
          <w:lang w:val="en-US"/>
        </w:rPr>
        <w:t>-2</w:t>
      </w:r>
      <w:r w:rsidR="00EA38FF" w:rsidRPr="00B75C4D">
        <w:rPr>
          <w:sz w:val="16"/>
          <w:lang w:val="en-US"/>
        </w:rPr>
        <w:t>3</w:t>
      </w:r>
      <w:r w:rsidR="00FD526E" w:rsidRPr="00B75C4D">
        <w:rPr>
          <w:sz w:val="16"/>
          <w:lang w:val="en-US"/>
        </w:rPr>
        <w:t xml:space="preserve"> and</w:t>
      </w:r>
      <w:r w:rsidR="00D304D0" w:rsidRPr="00B75C4D">
        <w:rPr>
          <w:sz w:val="16"/>
          <w:lang w:val="en-US"/>
        </w:rPr>
        <w:t xml:space="preserve"> </w:t>
      </w:r>
      <w:r w:rsidR="005868BC" w:rsidRPr="00B75C4D">
        <w:rPr>
          <w:sz w:val="16"/>
          <w:lang w:val="en-US"/>
        </w:rPr>
        <w:t>3.75</w:t>
      </w:r>
      <w:r w:rsidR="007A336E" w:rsidRPr="00B75C4D">
        <w:rPr>
          <w:sz w:val="16"/>
          <w:lang w:val="en-US"/>
        </w:rPr>
        <w:t xml:space="preserve">% in </w:t>
      </w:r>
      <w:r w:rsidR="00D304D0" w:rsidRPr="00B75C4D">
        <w:rPr>
          <w:sz w:val="16"/>
          <w:lang w:val="en-US"/>
        </w:rPr>
        <w:t>202</w:t>
      </w:r>
      <w:r w:rsidR="00EA38FF" w:rsidRPr="00B75C4D">
        <w:rPr>
          <w:sz w:val="16"/>
          <w:lang w:val="en-US"/>
        </w:rPr>
        <w:t>3</w:t>
      </w:r>
      <w:r w:rsidR="00D304D0" w:rsidRPr="00B75C4D">
        <w:rPr>
          <w:sz w:val="16"/>
          <w:lang w:val="en-US"/>
        </w:rPr>
        <w:t>-2</w:t>
      </w:r>
      <w:r w:rsidR="00EA38FF" w:rsidRPr="00B75C4D">
        <w:rPr>
          <w:sz w:val="16"/>
          <w:lang w:val="en-US"/>
        </w:rPr>
        <w:t>4</w:t>
      </w:r>
      <w:r w:rsidR="00FD2E59" w:rsidRPr="00B75C4D">
        <w:rPr>
          <w:sz w:val="16"/>
          <w:lang w:val="en-US"/>
        </w:rPr>
        <w:t>.</w:t>
      </w:r>
    </w:p>
    <w:p w14:paraId="0FD290FC" w14:textId="03119BF0" w:rsidR="00FD2E59" w:rsidRPr="0065045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5045F">
        <w:rPr>
          <w:sz w:val="16"/>
        </w:rPr>
        <w:t>Western Australia’s annual adult full-time total earnings averaged $</w:t>
      </w:r>
      <w:r w:rsidR="000226B5" w:rsidRPr="0065045F">
        <w:rPr>
          <w:sz w:val="16"/>
        </w:rPr>
        <w:t>10</w:t>
      </w:r>
      <w:r w:rsidR="004B74EF" w:rsidRPr="0065045F">
        <w:rPr>
          <w:sz w:val="16"/>
        </w:rPr>
        <w:t>3</w:t>
      </w:r>
      <w:r w:rsidR="000226B5" w:rsidRPr="0065045F">
        <w:rPr>
          <w:sz w:val="16"/>
        </w:rPr>
        <w:t>,</w:t>
      </w:r>
      <w:r w:rsidR="004B74EF" w:rsidRPr="0065045F">
        <w:rPr>
          <w:sz w:val="16"/>
        </w:rPr>
        <w:t>766</w:t>
      </w:r>
      <w:r w:rsidRPr="0065045F">
        <w:rPr>
          <w:sz w:val="16"/>
        </w:rPr>
        <w:t xml:space="preserve"> in 20</w:t>
      </w:r>
      <w:r w:rsidR="000226B5" w:rsidRPr="0065045F">
        <w:rPr>
          <w:sz w:val="16"/>
        </w:rPr>
        <w:t>21</w:t>
      </w:r>
      <w:r w:rsidR="004B74EF" w:rsidRPr="0065045F">
        <w:rPr>
          <w:sz w:val="16"/>
        </w:rPr>
        <w:t>-22</w:t>
      </w:r>
      <w:r w:rsidR="000226B5" w:rsidRPr="0065045F">
        <w:rPr>
          <w:sz w:val="16"/>
        </w:rPr>
        <w:t xml:space="preserve">, </w:t>
      </w:r>
      <w:r w:rsidR="004B74EF" w:rsidRPr="0065045F">
        <w:rPr>
          <w:sz w:val="16"/>
        </w:rPr>
        <w:t>9.4</w:t>
      </w:r>
      <w:r w:rsidR="000226B5" w:rsidRPr="0065045F">
        <w:rPr>
          <w:sz w:val="16"/>
        </w:rPr>
        <w:t>% ($</w:t>
      </w:r>
      <w:r w:rsidR="004B74EF" w:rsidRPr="0065045F">
        <w:rPr>
          <w:sz w:val="16"/>
        </w:rPr>
        <w:t>8,910</w:t>
      </w:r>
      <w:r w:rsidRPr="0065045F">
        <w:rPr>
          <w:sz w:val="16"/>
        </w:rPr>
        <w:t>) above t</w:t>
      </w:r>
      <w:r w:rsidR="000226B5" w:rsidRPr="0065045F">
        <w:rPr>
          <w:sz w:val="16"/>
        </w:rPr>
        <w:t>he Australian average of $9</w:t>
      </w:r>
      <w:r w:rsidR="004B74EF" w:rsidRPr="0065045F">
        <w:rPr>
          <w:sz w:val="16"/>
        </w:rPr>
        <w:t>4,856</w:t>
      </w:r>
      <w:r w:rsidRPr="0065045F">
        <w:rPr>
          <w:sz w:val="16"/>
        </w:rPr>
        <w:t>.</w:t>
      </w:r>
    </w:p>
    <w:p w14:paraId="4DB81FEF" w14:textId="77777777" w:rsidR="00FD2E59" w:rsidRDefault="00FD2E59" w:rsidP="00FD2E59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br w:type="page"/>
      </w:r>
    </w:p>
    <w:p w14:paraId="2BADED1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Consumption</w:t>
      </w:r>
    </w:p>
    <w:p w14:paraId="4A6C6577" w14:textId="352FCB19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household consumption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 xml:space="preserve">): </w:t>
      </w:r>
      <w:r w:rsidR="003F5BC2" w:rsidRPr="00A5645B">
        <w:rPr>
          <w:b/>
          <w:color w:val="92278F" w:themeColor="accent1"/>
          <w:sz w:val="20"/>
        </w:rPr>
        <w:t xml:space="preserve">financial </w:t>
      </w:r>
      <w:r w:rsidRPr="00020369">
        <w:rPr>
          <w:b/>
          <w:color w:val="92278F" w:themeColor="accent1"/>
          <w:sz w:val="20"/>
        </w:rPr>
        <w:t>years</w:t>
      </w:r>
    </w:p>
    <w:p w14:paraId="3B7D5A3A" w14:textId="11EB631A" w:rsidR="00FD2E59" w:rsidRDefault="00250273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ADA5366" wp14:editId="679564E8">
            <wp:extent cx="3528000" cy="2103405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2E4C" w14:textId="31A66766" w:rsidR="00FD2E59" w:rsidRPr="00643B76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  <w:vertAlign w:val="superscript"/>
        </w:rPr>
        <w:t>1</w:t>
      </w:r>
      <w:r w:rsidRPr="00643B76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643B76">
        <w:rPr>
          <w:sz w:val="10"/>
        </w:rPr>
        <w:t>price</w:t>
      </w:r>
      <w:r>
        <w:rPr>
          <w:sz w:val="10"/>
        </w:rPr>
        <w:t xml:space="preserve"> change</w:t>
      </w:r>
      <w:r w:rsidRPr="00643B76">
        <w:rPr>
          <w:sz w:val="10"/>
        </w:rPr>
        <w:t>s.</w:t>
      </w:r>
      <w:r>
        <w:rPr>
          <w:sz w:val="10"/>
        </w:rPr>
        <w:t xml:space="preserve"> Original series.</w:t>
      </w:r>
    </w:p>
    <w:p w14:paraId="092C018A" w14:textId="5F6C6A92" w:rsidR="00FD2E59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="00637898" w:rsidRPr="0065045F">
        <w:rPr>
          <w:sz w:val="10"/>
        </w:rPr>
        <w:t xml:space="preserve">Based on data from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7843BC22" w14:textId="77777777" w:rsidR="00FD2E59" w:rsidRDefault="00FD2E59" w:rsidP="00FD2E59">
      <w:pPr>
        <w:spacing w:after="0"/>
        <w:jc w:val="both"/>
        <w:rPr>
          <w:sz w:val="16"/>
        </w:rPr>
      </w:pPr>
    </w:p>
    <w:p w14:paraId="520EBB0A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  <w:r w:rsidRPr="006C7C4F">
        <w:rPr>
          <w:color w:val="0070C0"/>
          <w:sz w:val="16"/>
        </w:rPr>
        <w:br w:type="column"/>
      </w:r>
    </w:p>
    <w:p w14:paraId="1A2A5DD4" w14:textId="77777777" w:rsidR="00FD2E59" w:rsidRPr="00A97CAD" w:rsidRDefault="00FD2E59" w:rsidP="00FD2E59">
      <w:pPr>
        <w:spacing w:after="0"/>
        <w:jc w:val="both"/>
        <w:rPr>
          <w:color w:val="92D050"/>
          <w:sz w:val="16"/>
        </w:rPr>
      </w:pPr>
    </w:p>
    <w:p w14:paraId="6E3D0628" w14:textId="749A9C37" w:rsidR="00AC736E" w:rsidRPr="00A5645B" w:rsidRDefault="00AC73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5645B">
        <w:rPr>
          <w:sz w:val="16"/>
        </w:rPr>
        <w:t xml:space="preserve">Household consumption in Western Australia recovered strongly in </w:t>
      </w:r>
      <w:r w:rsidR="00032FBF" w:rsidRPr="00A5645B">
        <w:rPr>
          <w:sz w:val="16"/>
        </w:rPr>
        <w:t xml:space="preserve">2020-21 and </w:t>
      </w:r>
      <w:r w:rsidRPr="00A5645B">
        <w:rPr>
          <w:sz w:val="16"/>
        </w:rPr>
        <w:t>2021</w:t>
      </w:r>
      <w:r w:rsidR="00A97CAD" w:rsidRPr="00A5645B">
        <w:rPr>
          <w:sz w:val="16"/>
        </w:rPr>
        <w:t>-22</w:t>
      </w:r>
      <w:r w:rsidRPr="00A5645B">
        <w:rPr>
          <w:sz w:val="16"/>
        </w:rPr>
        <w:t>, following the negative effect</w:t>
      </w:r>
      <w:r w:rsidR="001E5802" w:rsidRPr="00A5645B">
        <w:rPr>
          <w:sz w:val="16"/>
        </w:rPr>
        <w:t>s</w:t>
      </w:r>
      <w:r w:rsidRPr="00A5645B">
        <w:rPr>
          <w:sz w:val="16"/>
        </w:rPr>
        <w:t xml:space="preserve"> of the COVID</w:t>
      </w:r>
      <w:r w:rsidR="00F53C57" w:rsidRPr="00A5645B">
        <w:rPr>
          <w:sz w:val="16"/>
        </w:rPr>
        <w:noBreakHyphen/>
      </w:r>
      <w:r w:rsidRPr="00A5645B">
        <w:rPr>
          <w:sz w:val="16"/>
        </w:rPr>
        <w:t>19 pandemic in 20</w:t>
      </w:r>
      <w:r w:rsidR="00032FBF" w:rsidRPr="00A5645B">
        <w:rPr>
          <w:sz w:val="16"/>
        </w:rPr>
        <w:t>19-</w:t>
      </w:r>
      <w:r w:rsidRPr="00A5645B">
        <w:rPr>
          <w:sz w:val="16"/>
        </w:rPr>
        <w:t>20.</w:t>
      </w:r>
    </w:p>
    <w:p w14:paraId="665E56C5" w14:textId="0A35F090" w:rsidR="00FD2E59" w:rsidRPr="0026531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531C">
        <w:rPr>
          <w:sz w:val="16"/>
        </w:rPr>
        <w:t>West</w:t>
      </w:r>
      <w:r w:rsidR="003F6CB6" w:rsidRPr="0026531C">
        <w:rPr>
          <w:sz w:val="16"/>
        </w:rPr>
        <w:t>ern Australia accounted for 10.</w:t>
      </w:r>
      <w:r w:rsidR="00A97CAD" w:rsidRPr="0026531C">
        <w:rPr>
          <w:sz w:val="16"/>
        </w:rPr>
        <w:t>7</w:t>
      </w:r>
      <w:r w:rsidRPr="0026531C">
        <w:rPr>
          <w:sz w:val="16"/>
        </w:rPr>
        <w:t>% of Australi</w:t>
      </w:r>
      <w:r w:rsidR="004F306F" w:rsidRPr="0026531C">
        <w:rPr>
          <w:sz w:val="16"/>
        </w:rPr>
        <w:t>a’s household consumption in 2021</w:t>
      </w:r>
      <w:r w:rsidR="00A97CAD" w:rsidRPr="0026531C">
        <w:rPr>
          <w:sz w:val="16"/>
        </w:rPr>
        <w:t>-22</w:t>
      </w:r>
      <w:r w:rsidRPr="0026531C">
        <w:rPr>
          <w:sz w:val="16"/>
        </w:rPr>
        <w:t>.</w:t>
      </w:r>
    </w:p>
    <w:p w14:paraId="4C33ABB7" w14:textId="7F51B195" w:rsidR="00FD2E59" w:rsidRPr="0026531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531C">
        <w:rPr>
          <w:sz w:val="16"/>
        </w:rPr>
        <w:t>Western Australia’s rea</w:t>
      </w:r>
      <w:r w:rsidR="004F306F" w:rsidRPr="0026531C">
        <w:rPr>
          <w:sz w:val="16"/>
        </w:rPr>
        <w:t xml:space="preserve">l household consumption rose </w:t>
      </w:r>
      <w:r w:rsidR="00CC61A2" w:rsidRPr="0026531C">
        <w:rPr>
          <w:sz w:val="16"/>
        </w:rPr>
        <w:t>5.5</w:t>
      </w:r>
      <w:r w:rsidRPr="0026531C">
        <w:rPr>
          <w:sz w:val="16"/>
        </w:rPr>
        <w:t>% in 20</w:t>
      </w:r>
      <w:r w:rsidR="004F306F" w:rsidRPr="0026531C">
        <w:rPr>
          <w:sz w:val="16"/>
        </w:rPr>
        <w:t>21</w:t>
      </w:r>
      <w:r w:rsidR="00A97CAD" w:rsidRPr="0026531C">
        <w:rPr>
          <w:sz w:val="16"/>
        </w:rPr>
        <w:t>-22</w:t>
      </w:r>
      <w:r w:rsidR="004F306F" w:rsidRPr="0026531C">
        <w:rPr>
          <w:sz w:val="16"/>
        </w:rPr>
        <w:t xml:space="preserve">, following a </w:t>
      </w:r>
      <w:r w:rsidR="00A97CAD" w:rsidRPr="0026531C">
        <w:rPr>
          <w:sz w:val="16"/>
        </w:rPr>
        <w:t xml:space="preserve">rise </w:t>
      </w:r>
      <w:r w:rsidR="004F306F" w:rsidRPr="0026531C">
        <w:rPr>
          <w:sz w:val="16"/>
        </w:rPr>
        <w:t>of</w:t>
      </w:r>
      <w:r w:rsidR="00C172F8" w:rsidRPr="0026531C">
        <w:rPr>
          <w:sz w:val="16"/>
        </w:rPr>
        <w:t xml:space="preserve"> </w:t>
      </w:r>
      <w:r w:rsidR="00CC61A2" w:rsidRPr="0026531C">
        <w:rPr>
          <w:sz w:val="16"/>
        </w:rPr>
        <w:t>3.1</w:t>
      </w:r>
      <w:r w:rsidRPr="0026531C">
        <w:rPr>
          <w:sz w:val="16"/>
        </w:rPr>
        <w:t>% in 20</w:t>
      </w:r>
      <w:r w:rsidR="00CC61A2" w:rsidRPr="0026531C">
        <w:rPr>
          <w:sz w:val="16"/>
        </w:rPr>
        <w:t>21-22</w:t>
      </w:r>
      <w:r w:rsidRPr="0026531C">
        <w:rPr>
          <w:sz w:val="16"/>
        </w:rPr>
        <w:t>.</w:t>
      </w:r>
    </w:p>
    <w:p w14:paraId="754F77C0" w14:textId="231587BE" w:rsidR="00FD2E59" w:rsidRPr="00B75C4D" w:rsidRDefault="00A9546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75C4D">
        <w:rPr>
          <w:sz w:val="16"/>
        </w:rPr>
        <w:t>The 2022</w:t>
      </w:r>
      <w:r w:rsidRPr="00B75C4D">
        <w:rPr>
          <w:sz w:val="16"/>
        </w:rPr>
        <w:noBreakHyphen/>
        <w:t xml:space="preserve">23 WA Government Mid-year Financial Projections Statement </w:t>
      </w:r>
      <w:r w:rsidR="000C2AD1" w:rsidRPr="00B75C4D">
        <w:rPr>
          <w:sz w:val="16"/>
        </w:rPr>
        <w:t>forecast</w:t>
      </w:r>
      <w:r w:rsidRPr="00B75C4D">
        <w:rPr>
          <w:sz w:val="16"/>
        </w:rPr>
        <w:t>s</w:t>
      </w:r>
      <w:r w:rsidR="00FD2E59" w:rsidRPr="00B75C4D">
        <w:rPr>
          <w:sz w:val="16"/>
        </w:rPr>
        <w:t xml:space="preserve"> Western Australia’s </w:t>
      </w:r>
      <w:r w:rsidR="005C4244" w:rsidRPr="00B75C4D">
        <w:rPr>
          <w:sz w:val="16"/>
        </w:rPr>
        <w:t>real</w:t>
      </w:r>
      <w:r w:rsidR="000729FA" w:rsidRPr="00B75C4D">
        <w:rPr>
          <w:sz w:val="16"/>
        </w:rPr>
        <w:t xml:space="preserve"> household consumption </w:t>
      </w:r>
      <w:r w:rsidR="00774FE4" w:rsidRPr="00B75C4D">
        <w:rPr>
          <w:sz w:val="16"/>
        </w:rPr>
        <w:t>will</w:t>
      </w:r>
      <w:r w:rsidR="000729FA" w:rsidRPr="00B75C4D">
        <w:rPr>
          <w:sz w:val="16"/>
        </w:rPr>
        <w:t xml:space="preserve"> rise</w:t>
      </w:r>
      <w:r w:rsidR="001670A2" w:rsidRPr="00B75C4D">
        <w:rPr>
          <w:sz w:val="16"/>
        </w:rPr>
        <w:t xml:space="preserve"> </w:t>
      </w:r>
      <w:r w:rsidR="005C4244" w:rsidRPr="00B75C4D">
        <w:rPr>
          <w:sz w:val="16"/>
        </w:rPr>
        <w:t>2.</w:t>
      </w:r>
      <w:r w:rsidR="0090395D" w:rsidRPr="00B75C4D">
        <w:rPr>
          <w:sz w:val="16"/>
        </w:rPr>
        <w:t>5% in 202</w:t>
      </w:r>
      <w:r w:rsidR="0098478E" w:rsidRPr="00B75C4D">
        <w:rPr>
          <w:sz w:val="16"/>
        </w:rPr>
        <w:t>2</w:t>
      </w:r>
      <w:r w:rsidR="0090395D" w:rsidRPr="00B75C4D">
        <w:rPr>
          <w:sz w:val="16"/>
        </w:rPr>
        <w:noBreakHyphen/>
        <w:t>2</w:t>
      </w:r>
      <w:r w:rsidR="0098478E" w:rsidRPr="00B75C4D">
        <w:rPr>
          <w:sz w:val="16"/>
        </w:rPr>
        <w:t>3</w:t>
      </w:r>
      <w:r w:rsidR="0090395D" w:rsidRPr="00B75C4D">
        <w:rPr>
          <w:sz w:val="16"/>
        </w:rPr>
        <w:t xml:space="preserve"> and 2.</w:t>
      </w:r>
      <w:r w:rsidR="00774FE4" w:rsidRPr="00B75C4D">
        <w:rPr>
          <w:sz w:val="16"/>
        </w:rPr>
        <w:t>0</w:t>
      </w:r>
      <w:r w:rsidR="0090395D" w:rsidRPr="00B75C4D">
        <w:rPr>
          <w:sz w:val="16"/>
        </w:rPr>
        <w:t>% in 202</w:t>
      </w:r>
      <w:r w:rsidR="0098478E" w:rsidRPr="00B75C4D">
        <w:rPr>
          <w:sz w:val="16"/>
        </w:rPr>
        <w:t>3</w:t>
      </w:r>
      <w:r w:rsidR="0090395D" w:rsidRPr="00B75C4D">
        <w:rPr>
          <w:sz w:val="16"/>
        </w:rPr>
        <w:noBreakHyphen/>
      </w:r>
      <w:r w:rsidR="005C4244" w:rsidRPr="00B75C4D">
        <w:rPr>
          <w:sz w:val="16"/>
        </w:rPr>
        <w:t>2</w:t>
      </w:r>
      <w:r w:rsidR="0098478E" w:rsidRPr="00B75C4D">
        <w:rPr>
          <w:sz w:val="16"/>
        </w:rPr>
        <w:t>4</w:t>
      </w:r>
      <w:r w:rsidR="00FD2E59" w:rsidRPr="00B75C4D">
        <w:rPr>
          <w:sz w:val="16"/>
        </w:rPr>
        <w:t>.</w:t>
      </w:r>
    </w:p>
    <w:p w14:paraId="04B1ECA7" w14:textId="77777777" w:rsidR="00FD2E59" w:rsidRPr="00CC7800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CC780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8D0655C" w14:textId="65800378" w:rsidR="00FD2E59" w:rsidRPr="0098478E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98478E">
        <w:rPr>
          <w:b/>
          <w:color w:val="92278F" w:themeColor="accent1"/>
          <w:sz w:val="20"/>
        </w:rPr>
        <w:t>Western Australia’s household consumption by industry sector</w:t>
      </w:r>
      <w:r w:rsidRPr="0098478E">
        <w:rPr>
          <w:b/>
          <w:color w:val="92278F" w:themeColor="accent1"/>
          <w:sz w:val="20"/>
          <w:vertAlign w:val="superscript"/>
        </w:rPr>
        <w:t>1</w:t>
      </w:r>
      <w:r w:rsidR="0015523C" w:rsidRPr="0098478E">
        <w:rPr>
          <w:b/>
          <w:color w:val="92278F" w:themeColor="accent1"/>
          <w:sz w:val="20"/>
        </w:rPr>
        <w:t xml:space="preserve">: </w:t>
      </w:r>
      <w:r w:rsidR="001670A2" w:rsidRPr="00A5645B">
        <w:rPr>
          <w:b/>
          <w:color w:val="92278F" w:themeColor="accent1"/>
          <w:sz w:val="20"/>
        </w:rPr>
        <w:t xml:space="preserve">financial </w:t>
      </w:r>
      <w:r w:rsidRPr="0098478E">
        <w:rPr>
          <w:b/>
          <w:color w:val="92278F" w:themeColor="accent1"/>
          <w:sz w:val="20"/>
        </w:rPr>
        <w:t>years</w:t>
      </w:r>
    </w:p>
    <w:p w14:paraId="2DCD5815" w14:textId="4FACD99F" w:rsidR="00FD2E59" w:rsidRPr="00250273" w:rsidRDefault="00250273" w:rsidP="00250273">
      <w:pPr>
        <w:spacing w:after="0"/>
        <w:jc w:val="both"/>
        <w:rPr>
          <w:sz w:val="16"/>
        </w:rPr>
      </w:pPr>
      <w:r>
        <w:rPr>
          <w:noProof/>
          <w:color w:val="0070C0"/>
          <w:sz w:val="16"/>
          <w:vertAlign w:val="superscript"/>
          <w:lang w:eastAsia="en-AU"/>
        </w:rPr>
        <w:drawing>
          <wp:inline distT="0" distB="0" distL="0" distR="0" wp14:anchorId="7E049AFD" wp14:editId="6C40DAAB">
            <wp:extent cx="3528000" cy="2103405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8F96B" w14:textId="7D53B995" w:rsidR="00FD2E59" w:rsidRPr="00A5645B" w:rsidRDefault="00FD2E59" w:rsidP="00FD2E59">
      <w:pPr>
        <w:spacing w:after="0"/>
        <w:jc w:val="both"/>
        <w:rPr>
          <w:sz w:val="10"/>
        </w:rPr>
      </w:pPr>
      <w:r w:rsidRPr="006C7C4F">
        <w:rPr>
          <w:color w:val="0070C0"/>
          <w:sz w:val="10"/>
          <w:vertAlign w:val="superscript"/>
        </w:rPr>
        <w:t>1</w:t>
      </w:r>
      <w:r w:rsidRPr="006C7C4F">
        <w:rPr>
          <w:color w:val="0070C0"/>
          <w:sz w:val="10"/>
        </w:rPr>
        <w:t xml:space="preserve"> </w:t>
      </w:r>
      <w:r w:rsidRPr="00FF26FD">
        <w:rPr>
          <w:sz w:val="10"/>
        </w:rPr>
        <w:t xml:space="preserve">Nominal or not adjusted for </w:t>
      </w:r>
      <w:r w:rsidRPr="00A5645B">
        <w:rPr>
          <w:sz w:val="10"/>
        </w:rPr>
        <w:t xml:space="preserve">price changes. Original </w:t>
      </w:r>
      <w:r w:rsidR="00AD4C00" w:rsidRPr="00A5645B">
        <w:rPr>
          <w:sz w:val="10"/>
        </w:rPr>
        <w:t>series</w:t>
      </w:r>
      <w:r w:rsidR="006504A0" w:rsidRPr="00A5645B">
        <w:rPr>
          <w:sz w:val="10"/>
        </w:rPr>
        <w:t>.</w:t>
      </w:r>
    </w:p>
    <w:p w14:paraId="31A459DA" w14:textId="29BC751B" w:rsidR="0021478C" w:rsidRPr="00A5645B" w:rsidRDefault="0021478C" w:rsidP="00FD2E59">
      <w:pPr>
        <w:spacing w:after="0"/>
        <w:jc w:val="both"/>
        <w:rPr>
          <w:sz w:val="10"/>
        </w:rPr>
      </w:pPr>
      <w:r w:rsidRPr="00A5645B">
        <w:rPr>
          <w:sz w:val="10"/>
        </w:rPr>
        <w:t xml:space="preserve">(a) </w:t>
      </w:r>
      <w:r w:rsidR="00817A6D" w:rsidRPr="00A5645B">
        <w:rPr>
          <w:sz w:val="10"/>
        </w:rPr>
        <w:t>Water, electricity and gas.</w:t>
      </w:r>
    </w:p>
    <w:p w14:paraId="084544E8" w14:textId="58BEFAB2" w:rsidR="00FD2E59" w:rsidRPr="00FF26FD" w:rsidRDefault="00FD2E59" w:rsidP="00FD2E59">
      <w:pPr>
        <w:spacing w:after="0"/>
        <w:jc w:val="both"/>
        <w:rPr>
          <w:sz w:val="10"/>
        </w:rPr>
      </w:pPr>
      <w:r w:rsidRPr="00FF26FD">
        <w:rPr>
          <w:sz w:val="10"/>
        </w:rPr>
        <w:t xml:space="preserve">Source: </w:t>
      </w:r>
      <w:r w:rsidR="00637898" w:rsidRPr="001670A2">
        <w:rPr>
          <w:color w:val="000000" w:themeColor="text1"/>
          <w:sz w:val="10"/>
        </w:rPr>
        <w:t xml:space="preserve">Based on data from </w:t>
      </w:r>
      <w:r w:rsidRPr="00FF26FD">
        <w:rPr>
          <w:sz w:val="10"/>
        </w:rPr>
        <w:t>ABS 5220.0 Australian National Accounts: State Accounts (Annual); and ABS 5206.0. Australian National Accounts: National Income, Expenditure and Product (Quarterly).</w:t>
      </w:r>
    </w:p>
    <w:p w14:paraId="6471333F" w14:textId="77777777" w:rsidR="00FD2E59" w:rsidRPr="00250273" w:rsidRDefault="00FD2E59" w:rsidP="00250273">
      <w:pPr>
        <w:spacing w:after="0"/>
        <w:jc w:val="both"/>
        <w:rPr>
          <w:sz w:val="16"/>
        </w:rPr>
      </w:pPr>
    </w:p>
    <w:p w14:paraId="65C7F637" w14:textId="77777777" w:rsidR="00FD2E59" w:rsidRPr="00250273" w:rsidRDefault="00FD2E59" w:rsidP="00250273">
      <w:pPr>
        <w:spacing w:after="0"/>
        <w:jc w:val="both"/>
        <w:rPr>
          <w:sz w:val="16"/>
        </w:rPr>
      </w:pPr>
    </w:p>
    <w:p w14:paraId="51501D27" w14:textId="77777777" w:rsidR="00250273" w:rsidRPr="00250273" w:rsidRDefault="00FD2E59" w:rsidP="00250273">
      <w:pPr>
        <w:pStyle w:val="BodyText"/>
        <w:spacing w:after="0"/>
        <w:jc w:val="both"/>
        <w:rPr>
          <w:sz w:val="16"/>
        </w:rPr>
      </w:pPr>
      <w:r w:rsidRPr="006C7C4F">
        <w:rPr>
          <w:color w:val="0070C0"/>
          <w:sz w:val="16"/>
        </w:rPr>
        <w:br w:type="column"/>
      </w:r>
    </w:p>
    <w:p w14:paraId="433D7F43" w14:textId="18856A6A" w:rsidR="00FD2E59" w:rsidRPr="0026531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531C">
        <w:rPr>
          <w:sz w:val="16"/>
        </w:rPr>
        <w:t>The value of Western Australia’s</w:t>
      </w:r>
      <w:r w:rsidRPr="0026531C">
        <w:rPr>
          <w:rFonts w:ascii="Arial" w:hAnsi="Arial" w:cs="Times New Roman"/>
          <w:sz w:val="20"/>
          <w:szCs w:val="20"/>
        </w:rPr>
        <w:t xml:space="preserve"> </w:t>
      </w:r>
      <w:r w:rsidR="00DB63CF" w:rsidRPr="0026531C">
        <w:rPr>
          <w:sz w:val="16"/>
        </w:rPr>
        <w:t xml:space="preserve">household consumption rose </w:t>
      </w:r>
      <w:r w:rsidR="00F74F8B" w:rsidRPr="0026531C">
        <w:rPr>
          <w:sz w:val="16"/>
        </w:rPr>
        <w:t>9.9</w:t>
      </w:r>
      <w:r w:rsidRPr="0026531C">
        <w:rPr>
          <w:sz w:val="16"/>
        </w:rPr>
        <w:t>% to $</w:t>
      </w:r>
      <w:r w:rsidR="00F74F8B" w:rsidRPr="0026531C">
        <w:rPr>
          <w:sz w:val="16"/>
        </w:rPr>
        <w:t>120.8</w:t>
      </w:r>
      <w:r w:rsidR="002C159F" w:rsidRPr="0026531C">
        <w:rPr>
          <w:sz w:val="16"/>
        </w:rPr>
        <w:t> </w:t>
      </w:r>
      <w:r w:rsidRPr="0026531C">
        <w:rPr>
          <w:sz w:val="16"/>
        </w:rPr>
        <w:t>billion in 202</w:t>
      </w:r>
      <w:r w:rsidR="002959BA" w:rsidRPr="0026531C">
        <w:rPr>
          <w:sz w:val="16"/>
        </w:rPr>
        <w:t>1</w:t>
      </w:r>
      <w:r w:rsidR="00C332E7" w:rsidRPr="0026531C">
        <w:rPr>
          <w:sz w:val="16"/>
        </w:rPr>
        <w:t>-22</w:t>
      </w:r>
      <w:r w:rsidRPr="0026531C">
        <w:rPr>
          <w:sz w:val="16"/>
        </w:rPr>
        <w:t>.</w:t>
      </w:r>
    </w:p>
    <w:p w14:paraId="2947FAAB" w14:textId="62705554" w:rsidR="00FD2E59" w:rsidRPr="0026531C" w:rsidRDefault="000C64F2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531C">
        <w:rPr>
          <w:sz w:val="16"/>
        </w:rPr>
        <w:t>Rent and other dwelling services</w:t>
      </w:r>
      <w:r w:rsidR="00BB5614" w:rsidRPr="0026531C">
        <w:rPr>
          <w:sz w:val="16"/>
        </w:rPr>
        <w:t xml:space="preserve"> accounted for 2</w:t>
      </w:r>
      <w:r w:rsidRPr="0026531C">
        <w:rPr>
          <w:sz w:val="16"/>
        </w:rPr>
        <w:t>1.0</w:t>
      </w:r>
      <w:r w:rsidR="00FD2E59" w:rsidRPr="0026531C">
        <w:rPr>
          <w:sz w:val="16"/>
        </w:rPr>
        <w:t>% of Western Australia’s household consumption in 20</w:t>
      </w:r>
      <w:r w:rsidR="00A619CA" w:rsidRPr="0026531C">
        <w:rPr>
          <w:sz w:val="16"/>
        </w:rPr>
        <w:t>21</w:t>
      </w:r>
      <w:r w:rsidR="00C332E7" w:rsidRPr="0026531C">
        <w:rPr>
          <w:sz w:val="16"/>
        </w:rPr>
        <w:t>-22</w:t>
      </w:r>
      <w:r w:rsidR="00FD2E59" w:rsidRPr="0026531C">
        <w:rPr>
          <w:sz w:val="16"/>
        </w:rPr>
        <w:t xml:space="preserve">, followed by </w:t>
      </w:r>
      <w:r w:rsidR="00BB5614" w:rsidRPr="0026531C">
        <w:rPr>
          <w:sz w:val="16"/>
        </w:rPr>
        <w:t>insurance, finance and other (14</w:t>
      </w:r>
      <w:r w:rsidR="009C5C55" w:rsidRPr="0026531C">
        <w:rPr>
          <w:sz w:val="16"/>
        </w:rPr>
        <w:t>.</w:t>
      </w:r>
      <w:r w:rsidRPr="0026531C">
        <w:rPr>
          <w:sz w:val="16"/>
        </w:rPr>
        <w:t>8</w:t>
      </w:r>
      <w:r w:rsidR="00A619CA" w:rsidRPr="0026531C">
        <w:rPr>
          <w:sz w:val="16"/>
        </w:rPr>
        <w:t>%)</w:t>
      </w:r>
      <w:r w:rsidR="00AD7969" w:rsidRPr="0026531C">
        <w:rPr>
          <w:sz w:val="16"/>
        </w:rPr>
        <w:t xml:space="preserve">, </w:t>
      </w:r>
      <w:r w:rsidRPr="0026531C">
        <w:rPr>
          <w:sz w:val="16"/>
        </w:rPr>
        <w:t xml:space="preserve">and </w:t>
      </w:r>
      <w:r w:rsidR="00A619CA" w:rsidRPr="0026531C">
        <w:rPr>
          <w:sz w:val="16"/>
        </w:rPr>
        <w:t>food (1</w:t>
      </w:r>
      <w:r w:rsidR="00207066" w:rsidRPr="0026531C">
        <w:rPr>
          <w:sz w:val="16"/>
        </w:rPr>
        <w:t>0.</w:t>
      </w:r>
      <w:r w:rsidRPr="0026531C">
        <w:rPr>
          <w:sz w:val="16"/>
        </w:rPr>
        <w:t>7</w:t>
      </w:r>
      <w:r w:rsidR="00FD2E59" w:rsidRPr="0026531C">
        <w:rPr>
          <w:sz w:val="16"/>
        </w:rPr>
        <w:t>%).</w:t>
      </w:r>
    </w:p>
    <w:p w14:paraId="496836FB" w14:textId="4BDBD73A" w:rsidR="00FD2E59" w:rsidRPr="0026531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531C">
        <w:rPr>
          <w:sz w:val="16"/>
        </w:rPr>
        <w:t>The largest increases in Western Australia’s household consumption in 20</w:t>
      </w:r>
      <w:r w:rsidR="00A619CA" w:rsidRPr="0026531C">
        <w:rPr>
          <w:sz w:val="16"/>
        </w:rPr>
        <w:t>21</w:t>
      </w:r>
      <w:r w:rsidR="00C332E7" w:rsidRPr="0026531C">
        <w:rPr>
          <w:sz w:val="16"/>
        </w:rPr>
        <w:t>-22</w:t>
      </w:r>
      <w:r w:rsidRPr="0026531C">
        <w:rPr>
          <w:sz w:val="16"/>
        </w:rPr>
        <w:t xml:space="preserve"> were in:</w:t>
      </w:r>
    </w:p>
    <w:p w14:paraId="11F0F87A" w14:textId="451ED231" w:rsidR="009B7354" w:rsidRPr="0026531C" w:rsidRDefault="00B11DBC" w:rsidP="009B7354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t</w:t>
      </w:r>
      <w:r w:rsidR="009B7354" w:rsidRPr="0026531C">
        <w:rPr>
          <w:sz w:val="16"/>
        </w:rPr>
        <w:t>ransport</w:t>
      </w:r>
      <w:proofErr w:type="gramEnd"/>
      <w:r w:rsidR="009B7354" w:rsidRPr="0026531C">
        <w:rPr>
          <w:sz w:val="16"/>
        </w:rPr>
        <w:t xml:space="preserve"> (up $2.3 billion or 23.9%)</w:t>
      </w:r>
    </w:p>
    <w:p w14:paraId="08CE06E2" w14:textId="336958D9" w:rsidR="00994BC7" w:rsidRPr="0026531C" w:rsidRDefault="00B11DBC" w:rsidP="00994BC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r</w:t>
      </w:r>
      <w:r w:rsidR="009B7354" w:rsidRPr="0026531C">
        <w:rPr>
          <w:sz w:val="16"/>
        </w:rPr>
        <w:t>ent</w:t>
      </w:r>
      <w:proofErr w:type="gramEnd"/>
      <w:r w:rsidR="009B7354" w:rsidRPr="0026531C">
        <w:rPr>
          <w:sz w:val="16"/>
        </w:rPr>
        <w:t xml:space="preserve"> and other dwelling services </w:t>
      </w:r>
      <w:r w:rsidR="00A63335" w:rsidRPr="0026531C">
        <w:rPr>
          <w:sz w:val="16"/>
        </w:rPr>
        <w:t>(up $</w:t>
      </w:r>
      <w:r w:rsidR="009B7354" w:rsidRPr="0026531C">
        <w:rPr>
          <w:sz w:val="16"/>
        </w:rPr>
        <w:t>2.3</w:t>
      </w:r>
      <w:r w:rsidR="00C77319" w:rsidRPr="0026531C">
        <w:rPr>
          <w:sz w:val="16"/>
        </w:rPr>
        <w:t> </w:t>
      </w:r>
      <w:r w:rsidR="00A63335" w:rsidRPr="0026531C">
        <w:rPr>
          <w:sz w:val="16"/>
        </w:rPr>
        <w:t xml:space="preserve">billion or </w:t>
      </w:r>
      <w:r w:rsidR="009B7354" w:rsidRPr="0026531C">
        <w:rPr>
          <w:sz w:val="16"/>
        </w:rPr>
        <w:t>9.7</w:t>
      </w:r>
      <w:r w:rsidR="00994BC7" w:rsidRPr="0026531C">
        <w:rPr>
          <w:sz w:val="16"/>
        </w:rPr>
        <w:t>%)</w:t>
      </w:r>
    </w:p>
    <w:p w14:paraId="5652FDA3" w14:textId="4F51C6CD" w:rsidR="00FD2E59" w:rsidRPr="0026531C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i</w:t>
      </w:r>
      <w:r w:rsidR="00A75E6F" w:rsidRPr="0026531C">
        <w:rPr>
          <w:sz w:val="16"/>
        </w:rPr>
        <w:t>nsurance</w:t>
      </w:r>
      <w:proofErr w:type="gramEnd"/>
      <w:r w:rsidR="00A75E6F" w:rsidRPr="0026531C">
        <w:rPr>
          <w:sz w:val="16"/>
        </w:rPr>
        <w:t>, finance and other</w:t>
      </w:r>
      <w:r w:rsidR="00FD2E59" w:rsidRPr="0026531C">
        <w:rPr>
          <w:sz w:val="16"/>
        </w:rPr>
        <w:t xml:space="preserve"> (up </w:t>
      </w:r>
      <w:r w:rsidR="009C5C55" w:rsidRPr="0026531C">
        <w:rPr>
          <w:sz w:val="16"/>
        </w:rPr>
        <w:t>$</w:t>
      </w:r>
      <w:r w:rsidR="00A75E6F" w:rsidRPr="0026531C">
        <w:rPr>
          <w:sz w:val="16"/>
        </w:rPr>
        <w:t>1.</w:t>
      </w:r>
      <w:r w:rsidR="009B7354" w:rsidRPr="0026531C">
        <w:rPr>
          <w:sz w:val="16"/>
        </w:rPr>
        <w:t>5</w:t>
      </w:r>
      <w:r w:rsidR="00A75E6F" w:rsidRPr="0026531C">
        <w:rPr>
          <w:sz w:val="16"/>
        </w:rPr>
        <w:t xml:space="preserve"> b</w:t>
      </w:r>
      <w:r w:rsidR="00FD2E59" w:rsidRPr="0026531C">
        <w:rPr>
          <w:sz w:val="16"/>
        </w:rPr>
        <w:t xml:space="preserve">illion or </w:t>
      </w:r>
      <w:r w:rsidR="009B7354" w:rsidRPr="0026531C">
        <w:rPr>
          <w:sz w:val="16"/>
        </w:rPr>
        <w:t>9.2</w:t>
      </w:r>
      <w:r w:rsidR="00FD2E59" w:rsidRPr="0026531C">
        <w:rPr>
          <w:sz w:val="16"/>
        </w:rPr>
        <w:t>%).</w:t>
      </w:r>
    </w:p>
    <w:p w14:paraId="25A4C2BF" w14:textId="0E879980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03187A6D" w14:textId="4F3161D4" w:rsidR="00994BC7" w:rsidRPr="00994BC7" w:rsidRDefault="00994BC7" w:rsidP="00FD2E59">
      <w:pPr>
        <w:pStyle w:val="BodyText"/>
        <w:spacing w:after="0"/>
        <w:jc w:val="both"/>
        <w:rPr>
          <w:color w:val="FF0000"/>
          <w:sz w:val="16"/>
        </w:rPr>
        <w:sectPr w:rsidR="00994BC7" w:rsidRPr="00994BC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CFD6AE" w14:textId="6F0CE023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retail turnover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m</w:t>
      </w:r>
      <w:r w:rsidRPr="00020369">
        <w:rPr>
          <w:b/>
          <w:color w:val="92278F" w:themeColor="accent1"/>
          <w:sz w:val="20"/>
        </w:rPr>
        <w:t>onths</w:t>
      </w:r>
    </w:p>
    <w:p w14:paraId="0C6B9B05" w14:textId="71EE716E" w:rsidR="00FD2E59" w:rsidRDefault="0024092A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C45F2F3" wp14:editId="4D1DF8EB">
            <wp:extent cx="3454400" cy="20726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85" cy="207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BF13" w14:textId="77777777" w:rsidR="00FD2E59" w:rsidRPr="0082080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820809">
        <w:rPr>
          <w:sz w:val="10"/>
        </w:rPr>
        <w:t xml:space="preserve">xis does not start at zero. </w:t>
      </w:r>
      <w:r w:rsidRPr="0082080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</w:t>
      </w:r>
      <w:r w:rsidRPr="00820809">
        <w:rPr>
          <w:sz w:val="10"/>
        </w:rPr>
        <w:t>.</w:t>
      </w:r>
      <w:r>
        <w:rPr>
          <w:sz w:val="10"/>
        </w:rPr>
        <w:t xml:space="preserve"> Seasonally adjusted series</w:t>
      </w:r>
      <w:r w:rsidRPr="00820809">
        <w:rPr>
          <w:sz w:val="10"/>
        </w:rPr>
        <w:t xml:space="preserve"> </w:t>
      </w:r>
      <w:r w:rsidRPr="00820809">
        <w:rPr>
          <w:sz w:val="10"/>
          <w:vertAlign w:val="superscript"/>
        </w:rPr>
        <w:t>2</w:t>
      </w:r>
      <w:r w:rsidRPr="00820809">
        <w:rPr>
          <w:sz w:val="10"/>
        </w:rPr>
        <w:t xml:space="preserve"> Includes newspapers and books; other recreational goods; pharmaceutical, cosmetic and toiletry goods; and other retailing.</w:t>
      </w:r>
    </w:p>
    <w:p w14:paraId="447CEE7B" w14:textId="1BF89F56" w:rsidR="00FD2E59" w:rsidRPr="00715528" w:rsidRDefault="00FD2E59" w:rsidP="00FD2E59">
      <w:pPr>
        <w:spacing w:after="0"/>
        <w:jc w:val="both"/>
        <w:rPr>
          <w:sz w:val="10"/>
        </w:rPr>
      </w:pPr>
      <w:r w:rsidRPr="00820809">
        <w:rPr>
          <w:sz w:val="10"/>
        </w:rPr>
        <w:t xml:space="preserve">Source: </w:t>
      </w:r>
      <w:r w:rsidR="00637898" w:rsidRPr="00C65751">
        <w:rPr>
          <w:sz w:val="10"/>
        </w:rPr>
        <w:t xml:space="preserve">Based on data from </w:t>
      </w:r>
      <w:r w:rsidRPr="00820809">
        <w:rPr>
          <w:sz w:val="10"/>
        </w:rPr>
        <w:t>ABS 8501.0 Retail Trade, Australia</w:t>
      </w:r>
      <w:r>
        <w:rPr>
          <w:sz w:val="10"/>
        </w:rPr>
        <w:t xml:space="preserve"> (Monthly).</w:t>
      </w:r>
    </w:p>
    <w:p w14:paraId="3C896CBB" w14:textId="77777777" w:rsidR="00250273" w:rsidRPr="00250273" w:rsidRDefault="00FD2E59" w:rsidP="00250273">
      <w:pPr>
        <w:pStyle w:val="BodyText"/>
        <w:spacing w:after="0"/>
        <w:jc w:val="both"/>
        <w:rPr>
          <w:color w:val="FF0000"/>
          <w:sz w:val="16"/>
        </w:rPr>
      </w:pPr>
      <w:r w:rsidRPr="009A3397">
        <w:rPr>
          <w:sz w:val="16"/>
        </w:rPr>
        <w:br w:type="column"/>
      </w:r>
    </w:p>
    <w:p w14:paraId="33D7679B" w14:textId="764C0D93" w:rsidR="00C01DAD" w:rsidRPr="00AA57C4" w:rsidRDefault="00FD2E59" w:rsidP="009A339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value of Western Aust</w:t>
      </w:r>
      <w:r w:rsidR="006746C7" w:rsidRPr="00AA57C4">
        <w:rPr>
          <w:sz w:val="16"/>
        </w:rPr>
        <w:t>ralia’s retail turnov</w:t>
      </w:r>
      <w:r w:rsidR="00FF303A" w:rsidRPr="00AA57C4">
        <w:rPr>
          <w:sz w:val="16"/>
        </w:rPr>
        <w:t xml:space="preserve">er </w:t>
      </w:r>
      <w:r w:rsidR="00E10605" w:rsidRPr="00AA57C4">
        <w:rPr>
          <w:sz w:val="16"/>
        </w:rPr>
        <w:t>rose 1.7% to $4.0</w:t>
      </w:r>
      <w:r w:rsidR="00C77319" w:rsidRPr="00AA57C4">
        <w:rPr>
          <w:sz w:val="16"/>
        </w:rPr>
        <w:t> </w:t>
      </w:r>
      <w:r w:rsidR="00D12655" w:rsidRPr="00AA57C4">
        <w:rPr>
          <w:sz w:val="16"/>
        </w:rPr>
        <w:t xml:space="preserve">billion in </w:t>
      </w:r>
      <w:r w:rsidR="00E5373D" w:rsidRPr="00AA57C4">
        <w:rPr>
          <w:sz w:val="16"/>
        </w:rPr>
        <w:t>November</w:t>
      </w:r>
      <w:r w:rsidR="00336200" w:rsidRPr="00AA57C4">
        <w:rPr>
          <w:sz w:val="16"/>
        </w:rPr>
        <w:t> </w:t>
      </w:r>
      <w:r w:rsidR="00CC1C44" w:rsidRPr="00AA57C4">
        <w:rPr>
          <w:sz w:val="16"/>
        </w:rPr>
        <w:t>202</w:t>
      </w:r>
      <w:r w:rsidR="004D1204" w:rsidRPr="00AA57C4">
        <w:rPr>
          <w:sz w:val="16"/>
        </w:rPr>
        <w:t>2</w:t>
      </w:r>
      <w:r w:rsidR="00485329" w:rsidRPr="00AA57C4">
        <w:rPr>
          <w:sz w:val="16"/>
        </w:rPr>
        <w:t>, following a</w:t>
      </w:r>
      <w:r w:rsidR="00AF23DC" w:rsidRPr="00AA57C4">
        <w:rPr>
          <w:sz w:val="16"/>
        </w:rPr>
        <w:t xml:space="preserve"> </w:t>
      </w:r>
      <w:r w:rsidR="00C01DAD" w:rsidRPr="00AA57C4">
        <w:rPr>
          <w:sz w:val="16"/>
        </w:rPr>
        <w:t>rise</w:t>
      </w:r>
      <w:r w:rsidR="00AF23DC" w:rsidRPr="00AA57C4">
        <w:rPr>
          <w:sz w:val="16"/>
        </w:rPr>
        <w:t xml:space="preserve"> </w:t>
      </w:r>
      <w:r w:rsidR="00485329" w:rsidRPr="00AA57C4">
        <w:rPr>
          <w:sz w:val="16"/>
        </w:rPr>
        <w:t xml:space="preserve">of </w:t>
      </w:r>
      <w:r w:rsidR="00E10605" w:rsidRPr="00AA57C4">
        <w:rPr>
          <w:sz w:val="16"/>
        </w:rPr>
        <w:t>0.3</w:t>
      </w:r>
      <w:r w:rsidR="00485329" w:rsidRPr="00AA57C4">
        <w:rPr>
          <w:sz w:val="16"/>
        </w:rPr>
        <w:t xml:space="preserve">% in </w:t>
      </w:r>
      <w:r w:rsidR="00E10605" w:rsidRPr="00AA57C4">
        <w:rPr>
          <w:sz w:val="16"/>
        </w:rPr>
        <w:t>October</w:t>
      </w:r>
      <w:r w:rsidR="00AF23DC" w:rsidRPr="00AA57C4">
        <w:rPr>
          <w:sz w:val="16"/>
        </w:rPr>
        <w:t> </w:t>
      </w:r>
      <w:r w:rsidR="00485329" w:rsidRPr="00AA57C4">
        <w:rPr>
          <w:sz w:val="16"/>
        </w:rPr>
        <w:t>2022</w:t>
      </w:r>
      <w:r w:rsidRPr="00AA57C4">
        <w:rPr>
          <w:sz w:val="16"/>
        </w:rPr>
        <w:t>.</w:t>
      </w:r>
    </w:p>
    <w:p w14:paraId="64A5EB10" w14:textId="5B6C8E50" w:rsidR="00A466EC" w:rsidRPr="00AA57C4" w:rsidRDefault="00A466EC" w:rsidP="001C2FD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A </w:t>
      </w:r>
      <w:r w:rsidR="00D210F4" w:rsidRPr="00AA57C4">
        <w:rPr>
          <w:sz w:val="16"/>
        </w:rPr>
        <w:t>decline</w:t>
      </w:r>
      <w:r w:rsidRPr="00AA57C4">
        <w:rPr>
          <w:sz w:val="16"/>
        </w:rPr>
        <w:t xml:space="preserve"> in turnover for food (down </w:t>
      </w:r>
      <w:r w:rsidR="00856945" w:rsidRPr="00AA57C4">
        <w:rPr>
          <w:sz w:val="16"/>
        </w:rPr>
        <w:t xml:space="preserve">0.3% </w:t>
      </w:r>
      <w:r w:rsidR="00336200" w:rsidRPr="00AA57C4">
        <w:rPr>
          <w:sz w:val="16"/>
        </w:rPr>
        <w:t>to $1.5 </w:t>
      </w:r>
      <w:r w:rsidRPr="00AA57C4">
        <w:rPr>
          <w:sz w:val="16"/>
        </w:rPr>
        <w:t xml:space="preserve">billion) in November 2022 was </w:t>
      </w:r>
      <w:r w:rsidR="00336200" w:rsidRPr="00AA57C4">
        <w:rPr>
          <w:sz w:val="16"/>
        </w:rPr>
        <w:t xml:space="preserve">more than </w:t>
      </w:r>
      <w:r w:rsidRPr="00AA57C4">
        <w:rPr>
          <w:sz w:val="16"/>
        </w:rPr>
        <w:t>offset by increases in turnover for:</w:t>
      </w:r>
    </w:p>
    <w:p w14:paraId="30C53D08" w14:textId="5E7E69D6" w:rsidR="006406D3" w:rsidRPr="00AA57C4" w:rsidRDefault="006406D3" w:rsidP="006406D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 xml:space="preserve">household goods </w:t>
      </w:r>
      <w:r w:rsidR="00336200" w:rsidRPr="00AA57C4">
        <w:rPr>
          <w:sz w:val="16"/>
        </w:rPr>
        <w:t>(up 3.3% to $679 </w:t>
      </w:r>
      <w:r w:rsidRPr="00AA57C4">
        <w:rPr>
          <w:sz w:val="16"/>
        </w:rPr>
        <w:t>million)</w:t>
      </w:r>
    </w:p>
    <w:p w14:paraId="7BD6B0FF" w14:textId="33CED244" w:rsidR="00A466EC" w:rsidRPr="00AA57C4" w:rsidRDefault="00A466EC" w:rsidP="00F3362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cafes, restaurants and takeaway (up 2.7% to $693</w:t>
      </w:r>
      <w:r w:rsidR="00336200" w:rsidRPr="00AA57C4">
        <w:rPr>
          <w:sz w:val="16"/>
        </w:rPr>
        <w:t> </w:t>
      </w:r>
      <w:r w:rsidRPr="00AA57C4">
        <w:rPr>
          <w:sz w:val="16"/>
        </w:rPr>
        <w:t>million)</w:t>
      </w:r>
    </w:p>
    <w:p w14:paraId="2AE7D2BF" w14:textId="3F798D54" w:rsidR="00A466EC" w:rsidRPr="00AA57C4" w:rsidRDefault="00A466EC" w:rsidP="00A466EC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other retailing, which includes recreational goods, pharmaceuticals, cosmetics and toiletries (up 2.4% to $621 million)</w:t>
      </w:r>
    </w:p>
    <w:p w14:paraId="14B8AF13" w14:textId="77777777" w:rsidR="006406D3" w:rsidRPr="00AA57C4" w:rsidRDefault="006406D3" w:rsidP="006406D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department stores (up 5.6% to $226 million)</w:t>
      </w:r>
    </w:p>
    <w:p w14:paraId="7FD31646" w14:textId="7AFA1B52" w:rsidR="000C4021" w:rsidRPr="00AA57C4" w:rsidRDefault="001C2FDD" w:rsidP="006406D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c</w:t>
      </w:r>
      <w:r w:rsidR="00CD7DF7" w:rsidRPr="00AA57C4">
        <w:rPr>
          <w:sz w:val="16"/>
        </w:rPr>
        <w:t>lothing</w:t>
      </w:r>
      <w:proofErr w:type="gramEnd"/>
      <w:r w:rsidR="00CD7DF7" w:rsidRPr="00AA57C4">
        <w:rPr>
          <w:sz w:val="16"/>
        </w:rPr>
        <w:t>, footwear and personal accessories (</w:t>
      </w:r>
      <w:r w:rsidR="00A466EC" w:rsidRPr="00AA57C4">
        <w:rPr>
          <w:sz w:val="16"/>
        </w:rPr>
        <w:t>up 2.0% to $</w:t>
      </w:r>
      <w:r w:rsidR="00856945" w:rsidRPr="00AA57C4">
        <w:rPr>
          <w:sz w:val="16"/>
        </w:rPr>
        <w:t>233</w:t>
      </w:r>
      <w:r w:rsidR="009A3397" w:rsidRPr="00AA57C4">
        <w:rPr>
          <w:sz w:val="16"/>
        </w:rPr>
        <w:t> </w:t>
      </w:r>
      <w:r w:rsidR="00A466EC" w:rsidRPr="00AA57C4">
        <w:rPr>
          <w:sz w:val="16"/>
        </w:rPr>
        <w:t>million)</w:t>
      </w:r>
      <w:r w:rsidR="00336200" w:rsidRPr="00AA57C4">
        <w:rPr>
          <w:sz w:val="16"/>
        </w:rPr>
        <w:t>.</w:t>
      </w:r>
    </w:p>
    <w:p w14:paraId="7C4943DB" w14:textId="50938AEF" w:rsidR="00FD2E59" w:rsidRPr="00AF23DC" w:rsidRDefault="00FD2E59" w:rsidP="00AF23DC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F23DC">
        <w:rPr>
          <w:sz w:val="16"/>
        </w:rPr>
        <w:br w:type="page"/>
      </w:r>
    </w:p>
    <w:p w14:paraId="21BD2E75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Investment</w:t>
      </w:r>
    </w:p>
    <w:p w14:paraId="71AC08C1" w14:textId="6B66ADD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 xml:space="preserve">: </w:t>
      </w:r>
      <w:r w:rsidR="001C7D06" w:rsidRPr="00A5645B">
        <w:rPr>
          <w:b/>
          <w:color w:val="92278F" w:themeColor="accent1"/>
          <w:sz w:val="20"/>
        </w:rPr>
        <w:t xml:space="preserve">financial </w:t>
      </w:r>
      <w:r w:rsidRPr="00020369">
        <w:rPr>
          <w:b/>
          <w:color w:val="92278F" w:themeColor="accent1"/>
          <w:sz w:val="20"/>
        </w:rPr>
        <w:t>years</w:t>
      </w:r>
      <w:r w:rsidR="00513391">
        <w:rPr>
          <w:b/>
          <w:color w:val="92278F" w:themeColor="accent1"/>
          <w:sz w:val="20"/>
        </w:rPr>
        <w:t xml:space="preserve"> </w:t>
      </w:r>
    </w:p>
    <w:p w14:paraId="6FD8D48A" w14:textId="6B470D46" w:rsidR="00FD2E59" w:rsidRDefault="00250273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6B83C18" wp14:editId="1AC8AACE">
            <wp:extent cx="3528000" cy="2106559"/>
            <wp:effectExtent l="0" t="0" r="0" b="825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98DB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</w:t>
      </w:r>
    </w:p>
    <w:p w14:paraId="041B0AF7" w14:textId="5387C8B5" w:rsidR="00FD2E59" w:rsidRPr="00241CBD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="00637898" w:rsidRPr="00544CB6">
        <w:rPr>
          <w:sz w:val="10"/>
        </w:rPr>
        <w:t xml:space="preserve">Based on data from </w:t>
      </w:r>
      <w:r w:rsidRPr="00544CB6">
        <w:rPr>
          <w:sz w:val="10"/>
        </w:rPr>
        <w:t>ABS 5220</w:t>
      </w:r>
      <w:r w:rsidRPr="00BF3151">
        <w:rPr>
          <w:sz w:val="10"/>
        </w:rPr>
        <w:t>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012AAC1B" w14:textId="77777777" w:rsidR="00FD2E59" w:rsidRDefault="00FD2E59" w:rsidP="00FD2E59">
      <w:pPr>
        <w:spacing w:after="0"/>
        <w:jc w:val="both"/>
        <w:rPr>
          <w:sz w:val="16"/>
        </w:rPr>
      </w:pPr>
    </w:p>
    <w:p w14:paraId="5D19318B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A8E8202" w14:textId="77777777" w:rsidR="00FD2E59" w:rsidRDefault="00FD2E59" w:rsidP="00FD2E59">
      <w:pPr>
        <w:spacing w:after="0"/>
        <w:jc w:val="both"/>
        <w:rPr>
          <w:sz w:val="16"/>
        </w:rPr>
      </w:pPr>
    </w:p>
    <w:p w14:paraId="77454011" w14:textId="373FDD9F" w:rsidR="00815242" w:rsidRPr="00A5645B" w:rsidRDefault="0024417B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5645B">
        <w:rPr>
          <w:sz w:val="16"/>
        </w:rPr>
        <w:t>Nominal b</w:t>
      </w:r>
      <w:r w:rsidR="00815242" w:rsidRPr="00A5645B">
        <w:rPr>
          <w:sz w:val="16"/>
        </w:rPr>
        <w:t xml:space="preserve">usiness investment in Western Australia has grown over the past </w:t>
      </w:r>
      <w:r w:rsidR="000B272E" w:rsidRPr="00A5645B">
        <w:rPr>
          <w:sz w:val="16"/>
        </w:rPr>
        <w:t xml:space="preserve">three financial </w:t>
      </w:r>
      <w:r w:rsidR="00815242" w:rsidRPr="00A5645B">
        <w:rPr>
          <w:sz w:val="16"/>
        </w:rPr>
        <w:t>years, following six years of decline</w:t>
      </w:r>
      <w:r w:rsidR="00462A6D" w:rsidRPr="00A5645B">
        <w:rPr>
          <w:sz w:val="16"/>
        </w:rPr>
        <w:t xml:space="preserve"> from </w:t>
      </w:r>
      <w:r w:rsidR="00C65241" w:rsidRPr="00A5645B">
        <w:rPr>
          <w:sz w:val="16"/>
        </w:rPr>
        <w:t xml:space="preserve">a </w:t>
      </w:r>
      <w:r w:rsidR="00462A6D" w:rsidRPr="00A5645B">
        <w:rPr>
          <w:sz w:val="16"/>
        </w:rPr>
        <w:t>peak of</w:t>
      </w:r>
      <w:r w:rsidR="00B803B7" w:rsidRPr="00A5645B">
        <w:rPr>
          <w:sz w:val="16"/>
        </w:rPr>
        <w:t xml:space="preserve"> </w:t>
      </w:r>
      <w:r w:rsidR="00815242" w:rsidRPr="00A5645B">
        <w:rPr>
          <w:sz w:val="16"/>
        </w:rPr>
        <w:t>$</w:t>
      </w:r>
      <w:r w:rsidR="000B272E" w:rsidRPr="00A5645B">
        <w:rPr>
          <w:sz w:val="16"/>
        </w:rPr>
        <w:t>76.6</w:t>
      </w:r>
      <w:r w:rsidR="002C159F" w:rsidRPr="00A5645B">
        <w:rPr>
          <w:sz w:val="16"/>
        </w:rPr>
        <w:t> </w:t>
      </w:r>
      <w:r w:rsidR="00815242" w:rsidRPr="00A5645B">
        <w:rPr>
          <w:sz w:val="16"/>
        </w:rPr>
        <w:t>billion in 2012</w:t>
      </w:r>
      <w:r w:rsidR="00187CBD">
        <w:rPr>
          <w:sz w:val="16"/>
        </w:rPr>
        <w:noBreakHyphen/>
      </w:r>
      <w:r w:rsidR="000B272E" w:rsidRPr="00A5645B">
        <w:rPr>
          <w:sz w:val="16"/>
        </w:rPr>
        <w:t>13</w:t>
      </w:r>
      <w:r w:rsidR="00B803B7" w:rsidRPr="00A5645B">
        <w:rPr>
          <w:sz w:val="16"/>
        </w:rPr>
        <w:t>.</w:t>
      </w:r>
    </w:p>
    <w:p w14:paraId="381E43DE" w14:textId="44A96B12" w:rsidR="00FD2E59" w:rsidRPr="006A1BF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1BFD">
        <w:rPr>
          <w:sz w:val="16"/>
        </w:rPr>
        <w:t>West</w:t>
      </w:r>
      <w:r w:rsidR="00B803B7" w:rsidRPr="006A1BFD">
        <w:rPr>
          <w:sz w:val="16"/>
        </w:rPr>
        <w:t>ern Australia accounted for 1</w:t>
      </w:r>
      <w:r w:rsidR="009036A0" w:rsidRPr="006A1BFD">
        <w:rPr>
          <w:sz w:val="16"/>
        </w:rPr>
        <w:t>8.</w:t>
      </w:r>
      <w:r w:rsidR="00AB5885" w:rsidRPr="006A1BFD">
        <w:rPr>
          <w:sz w:val="16"/>
        </w:rPr>
        <w:t>9</w:t>
      </w:r>
      <w:r w:rsidRPr="006A1BFD">
        <w:rPr>
          <w:sz w:val="16"/>
        </w:rPr>
        <w:t>% of Austra</w:t>
      </w:r>
      <w:r w:rsidR="001D5A28" w:rsidRPr="006A1BFD">
        <w:rPr>
          <w:sz w:val="16"/>
        </w:rPr>
        <w:t>lia’s business investment in 2021</w:t>
      </w:r>
      <w:r w:rsidR="000B272E" w:rsidRPr="006A1BFD">
        <w:rPr>
          <w:sz w:val="16"/>
        </w:rPr>
        <w:t>-22</w:t>
      </w:r>
      <w:r w:rsidRPr="006A1BFD">
        <w:rPr>
          <w:sz w:val="16"/>
        </w:rPr>
        <w:t>.</w:t>
      </w:r>
    </w:p>
    <w:p w14:paraId="7C1E7DE0" w14:textId="3F01C184" w:rsidR="00FD2E59" w:rsidRPr="006A1BF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1BFD">
        <w:rPr>
          <w:sz w:val="16"/>
        </w:rPr>
        <w:t>In 20</w:t>
      </w:r>
      <w:r w:rsidR="001D5A28" w:rsidRPr="006A1BFD">
        <w:rPr>
          <w:sz w:val="16"/>
        </w:rPr>
        <w:t>21</w:t>
      </w:r>
      <w:r w:rsidR="000B272E" w:rsidRPr="006A1BFD">
        <w:rPr>
          <w:sz w:val="16"/>
        </w:rPr>
        <w:t>-22</w:t>
      </w:r>
      <w:r w:rsidRPr="006A1BFD">
        <w:rPr>
          <w:sz w:val="16"/>
        </w:rPr>
        <w:t>, the value of Western Australia’s:</w:t>
      </w:r>
    </w:p>
    <w:p w14:paraId="38CFFF99" w14:textId="641AC840" w:rsidR="00FD2E59" w:rsidRPr="006A1BFD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b</w:t>
      </w:r>
      <w:r w:rsidR="00B803B7" w:rsidRPr="006A1BFD">
        <w:rPr>
          <w:sz w:val="16"/>
        </w:rPr>
        <w:t xml:space="preserve">usiness investment rose </w:t>
      </w:r>
      <w:r w:rsidR="00AB5885" w:rsidRPr="006A1BFD">
        <w:rPr>
          <w:sz w:val="16"/>
        </w:rPr>
        <w:t>9.9</w:t>
      </w:r>
      <w:r w:rsidR="00B803B7" w:rsidRPr="006A1BFD">
        <w:rPr>
          <w:sz w:val="16"/>
        </w:rPr>
        <w:t>% to $4</w:t>
      </w:r>
      <w:r w:rsidR="00AB5885" w:rsidRPr="006A1BFD">
        <w:rPr>
          <w:sz w:val="16"/>
        </w:rPr>
        <w:t>6.6</w:t>
      </w:r>
      <w:r w:rsidR="00187CBD" w:rsidRPr="006A1BFD">
        <w:rPr>
          <w:sz w:val="16"/>
        </w:rPr>
        <w:t> </w:t>
      </w:r>
      <w:r w:rsidR="00FD2E59" w:rsidRPr="006A1BFD">
        <w:rPr>
          <w:sz w:val="16"/>
        </w:rPr>
        <w:t>billion</w:t>
      </w:r>
    </w:p>
    <w:p w14:paraId="1E8D68ED" w14:textId="0C1A3EA8" w:rsidR="00FD2E59" w:rsidRPr="006A1BFD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d</w:t>
      </w:r>
      <w:r w:rsidR="001D5A28" w:rsidRPr="006A1BFD">
        <w:rPr>
          <w:sz w:val="16"/>
        </w:rPr>
        <w:t xml:space="preserve">welling investment rose </w:t>
      </w:r>
      <w:r w:rsidR="000B272E" w:rsidRPr="006A1BFD">
        <w:rPr>
          <w:sz w:val="16"/>
        </w:rPr>
        <w:t>19</w:t>
      </w:r>
      <w:r w:rsidR="009036A0" w:rsidRPr="006A1BFD">
        <w:rPr>
          <w:sz w:val="16"/>
        </w:rPr>
        <w:t>.1</w:t>
      </w:r>
      <w:r w:rsidR="00FD2E59" w:rsidRPr="006A1BFD">
        <w:rPr>
          <w:sz w:val="16"/>
        </w:rPr>
        <w:t>% to $</w:t>
      </w:r>
      <w:r w:rsidR="009036A0" w:rsidRPr="006A1BFD">
        <w:rPr>
          <w:sz w:val="16"/>
        </w:rPr>
        <w:t>9.</w:t>
      </w:r>
      <w:r w:rsidR="000B272E" w:rsidRPr="006A1BFD">
        <w:rPr>
          <w:sz w:val="16"/>
        </w:rPr>
        <w:t>8</w:t>
      </w:r>
      <w:r w:rsidR="00187CBD" w:rsidRPr="006A1BFD">
        <w:rPr>
          <w:sz w:val="16"/>
        </w:rPr>
        <w:t> </w:t>
      </w:r>
      <w:r w:rsidR="00FD2E59" w:rsidRPr="006A1BFD">
        <w:rPr>
          <w:sz w:val="16"/>
        </w:rPr>
        <w:t>billion</w:t>
      </w:r>
    </w:p>
    <w:p w14:paraId="31FF057E" w14:textId="229C76F1" w:rsidR="00FD2E59" w:rsidRPr="006A1BFD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p</w:t>
      </w:r>
      <w:r w:rsidR="00B803B7" w:rsidRPr="006A1BFD">
        <w:rPr>
          <w:sz w:val="16"/>
        </w:rPr>
        <w:t>ublic</w:t>
      </w:r>
      <w:proofErr w:type="gramEnd"/>
      <w:r w:rsidR="00B803B7" w:rsidRPr="006A1BFD">
        <w:rPr>
          <w:sz w:val="16"/>
        </w:rPr>
        <w:t xml:space="preserve"> investment rose </w:t>
      </w:r>
      <w:r w:rsidR="00AB5885" w:rsidRPr="006A1BFD">
        <w:rPr>
          <w:sz w:val="16"/>
        </w:rPr>
        <w:t>18.7</w:t>
      </w:r>
      <w:r w:rsidR="00FD2E59" w:rsidRPr="006A1BFD">
        <w:rPr>
          <w:sz w:val="16"/>
        </w:rPr>
        <w:t>% to $</w:t>
      </w:r>
      <w:r w:rsidR="00AB5885" w:rsidRPr="006A1BFD">
        <w:rPr>
          <w:sz w:val="16"/>
        </w:rPr>
        <w:t>10.7</w:t>
      </w:r>
      <w:r w:rsidR="00187CBD" w:rsidRPr="006A1BFD">
        <w:rPr>
          <w:sz w:val="16"/>
        </w:rPr>
        <w:t> </w:t>
      </w:r>
      <w:r w:rsidR="00FD2E59" w:rsidRPr="006A1BFD">
        <w:rPr>
          <w:sz w:val="16"/>
        </w:rPr>
        <w:t>billion</w:t>
      </w:r>
      <w:r w:rsidR="002B6B30" w:rsidRPr="006A1BFD">
        <w:rPr>
          <w:sz w:val="16"/>
        </w:rPr>
        <w:t>.</w:t>
      </w:r>
    </w:p>
    <w:p w14:paraId="63F9D8DC" w14:textId="2D4E2DA7" w:rsidR="00D655AA" w:rsidRPr="006A1BF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1BFD">
        <w:rPr>
          <w:sz w:val="16"/>
        </w:rPr>
        <w:t>Western Australia’s r</w:t>
      </w:r>
      <w:r w:rsidR="00B803B7" w:rsidRPr="006A1BFD">
        <w:rPr>
          <w:sz w:val="16"/>
        </w:rPr>
        <w:t xml:space="preserve">eal business investment </w:t>
      </w:r>
      <w:r w:rsidR="00AB5885" w:rsidRPr="006A1BFD">
        <w:rPr>
          <w:sz w:val="16"/>
        </w:rPr>
        <w:t>rose 3.1</w:t>
      </w:r>
      <w:r w:rsidR="00A123C7" w:rsidRPr="006A1BFD">
        <w:rPr>
          <w:sz w:val="16"/>
        </w:rPr>
        <w:t>% in</w:t>
      </w:r>
      <w:r w:rsidR="0015523C" w:rsidRPr="006A1BFD">
        <w:rPr>
          <w:sz w:val="16"/>
        </w:rPr>
        <w:t xml:space="preserve"> 2021</w:t>
      </w:r>
      <w:r w:rsidR="000B272E" w:rsidRPr="006A1BFD">
        <w:rPr>
          <w:sz w:val="16"/>
        </w:rPr>
        <w:t>-22</w:t>
      </w:r>
      <w:r w:rsidRPr="006A1BFD">
        <w:rPr>
          <w:sz w:val="16"/>
        </w:rPr>
        <w:t>.</w:t>
      </w:r>
    </w:p>
    <w:p w14:paraId="6F226BA7" w14:textId="3254704F" w:rsidR="00FD2E59" w:rsidRPr="001F6538" w:rsidRDefault="00A9546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6538">
        <w:rPr>
          <w:sz w:val="16"/>
        </w:rPr>
        <w:t>The 2022</w:t>
      </w:r>
      <w:r w:rsidRPr="001F6538">
        <w:rPr>
          <w:sz w:val="16"/>
        </w:rPr>
        <w:noBreakHyphen/>
        <w:t xml:space="preserve">23 WA Government Mid-year Financial Projections Statement </w:t>
      </w:r>
      <w:r w:rsidR="003B391B" w:rsidRPr="001F6538">
        <w:rPr>
          <w:sz w:val="16"/>
        </w:rPr>
        <w:t>forecast</w:t>
      </w:r>
      <w:r w:rsidRPr="001F6538">
        <w:rPr>
          <w:sz w:val="16"/>
        </w:rPr>
        <w:t>s</w:t>
      </w:r>
      <w:r w:rsidR="00FD2E59" w:rsidRPr="001F6538">
        <w:rPr>
          <w:sz w:val="16"/>
        </w:rPr>
        <w:t xml:space="preserve"> Western Australia’</w:t>
      </w:r>
      <w:r w:rsidR="003B391B" w:rsidRPr="001F6538">
        <w:rPr>
          <w:sz w:val="16"/>
        </w:rPr>
        <w:t>s re</w:t>
      </w:r>
      <w:r w:rsidR="000729FA" w:rsidRPr="001F6538">
        <w:rPr>
          <w:sz w:val="16"/>
        </w:rPr>
        <w:t xml:space="preserve">al business investment </w:t>
      </w:r>
      <w:r w:rsidR="009B7614" w:rsidRPr="001F6538">
        <w:rPr>
          <w:sz w:val="16"/>
        </w:rPr>
        <w:t>will</w:t>
      </w:r>
      <w:r w:rsidR="000729FA" w:rsidRPr="001F6538">
        <w:rPr>
          <w:sz w:val="16"/>
        </w:rPr>
        <w:t xml:space="preserve"> rise</w:t>
      </w:r>
      <w:r w:rsidR="00F36863" w:rsidRPr="001F6538">
        <w:rPr>
          <w:sz w:val="16"/>
        </w:rPr>
        <w:t xml:space="preserve"> </w:t>
      </w:r>
      <w:r w:rsidR="009B7614" w:rsidRPr="001F6538">
        <w:rPr>
          <w:sz w:val="16"/>
        </w:rPr>
        <w:t>9.7</w:t>
      </w:r>
      <w:r w:rsidR="003B391B" w:rsidRPr="001F6538">
        <w:rPr>
          <w:sz w:val="16"/>
        </w:rPr>
        <w:t>5</w:t>
      </w:r>
      <w:r w:rsidR="003B391B" w:rsidRPr="001F6538">
        <w:rPr>
          <w:sz w:val="16"/>
          <w:lang w:val="en-US"/>
        </w:rPr>
        <w:t>% in 202</w:t>
      </w:r>
      <w:r w:rsidR="005861EA" w:rsidRPr="001F6538">
        <w:rPr>
          <w:sz w:val="16"/>
          <w:lang w:val="en-US"/>
        </w:rPr>
        <w:t>2</w:t>
      </w:r>
      <w:r w:rsidR="001D5A28" w:rsidRPr="001F6538">
        <w:rPr>
          <w:sz w:val="16"/>
          <w:lang w:val="en-US"/>
        </w:rPr>
        <w:noBreakHyphen/>
      </w:r>
      <w:r w:rsidR="003B391B" w:rsidRPr="001F6538">
        <w:rPr>
          <w:sz w:val="16"/>
          <w:lang w:val="en-US"/>
        </w:rPr>
        <w:t>2</w:t>
      </w:r>
      <w:r w:rsidR="005861EA" w:rsidRPr="001F6538">
        <w:rPr>
          <w:sz w:val="16"/>
          <w:lang w:val="en-US"/>
        </w:rPr>
        <w:t>3</w:t>
      </w:r>
      <w:r w:rsidR="00FD2E59" w:rsidRPr="001F6538">
        <w:rPr>
          <w:sz w:val="16"/>
          <w:lang w:val="en-US"/>
        </w:rPr>
        <w:t xml:space="preserve"> and </w:t>
      </w:r>
      <w:r w:rsidR="009B7614" w:rsidRPr="001F6538">
        <w:rPr>
          <w:sz w:val="16"/>
          <w:lang w:val="en-US"/>
        </w:rPr>
        <w:t>6.25</w:t>
      </w:r>
      <w:r w:rsidR="003B391B" w:rsidRPr="001F6538">
        <w:rPr>
          <w:sz w:val="16"/>
          <w:lang w:val="en-US"/>
        </w:rPr>
        <w:t>% in 202</w:t>
      </w:r>
      <w:r w:rsidR="005861EA" w:rsidRPr="001F6538">
        <w:rPr>
          <w:sz w:val="16"/>
          <w:lang w:val="en-US"/>
        </w:rPr>
        <w:t>3</w:t>
      </w:r>
      <w:r w:rsidR="00FD2E59" w:rsidRPr="001F6538">
        <w:rPr>
          <w:sz w:val="16"/>
          <w:lang w:val="en-US"/>
        </w:rPr>
        <w:t>-</w:t>
      </w:r>
      <w:r w:rsidR="003B391B" w:rsidRPr="001F6538">
        <w:rPr>
          <w:sz w:val="16"/>
          <w:lang w:val="en-US"/>
        </w:rPr>
        <w:t>2</w:t>
      </w:r>
      <w:r w:rsidR="005861EA" w:rsidRPr="001F6538">
        <w:rPr>
          <w:sz w:val="16"/>
          <w:lang w:val="en-US"/>
        </w:rPr>
        <w:t>4</w:t>
      </w:r>
      <w:r w:rsidR="00FD2E59" w:rsidRPr="001F6538">
        <w:rPr>
          <w:sz w:val="16"/>
        </w:rPr>
        <w:t>.</w:t>
      </w:r>
    </w:p>
    <w:p w14:paraId="1688D17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9D990F0" w14:textId="40803E96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private new capital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744D6" w:rsidRPr="00020369">
        <w:rPr>
          <w:b/>
          <w:color w:val="92278F" w:themeColor="accent1"/>
          <w:sz w:val="20"/>
        </w:rPr>
        <w:t xml:space="preserve">: </w:t>
      </w:r>
      <w:r w:rsidR="00E87632" w:rsidRPr="00D419DC">
        <w:rPr>
          <w:b/>
          <w:color w:val="92278F" w:themeColor="accent1"/>
          <w:sz w:val="20"/>
        </w:rPr>
        <w:t xml:space="preserve">financial </w:t>
      </w:r>
      <w:r w:rsidRPr="00D419DC">
        <w:rPr>
          <w:b/>
          <w:color w:val="92278F" w:themeColor="accent1"/>
          <w:sz w:val="20"/>
        </w:rPr>
        <w:t>years</w:t>
      </w:r>
    </w:p>
    <w:p w14:paraId="4A9A0993" w14:textId="03A067A7" w:rsidR="00FD2E59" w:rsidRDefault="00250273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7074464" wp14:editId="298DB615">
            <wp:extent cx="3528000" cy="210340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4E1B2" w14:textId="0A391AF1" w:rsidR="00EF72D8" w:rsidRPr="00764646" w:rsidRDefault="00FD2E59" w:rsidP="00FD2E59">
      <w:pPr>
        <w:spacing w:after="0"/>
        <w:jc w:val="both"/>
        <w:rPr>
          <w:sz w:val="10"/>
        </w:rPr>
      </w:pPr>
      <w:r w:rsidRPr="00560188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</w:t>
      </w:r>
      <w:r w:rsidRPr="00560188">
        <w:rPr>
          <w:sz w:val="10"/>
        </w:rPr>
        <w:t xml:space="preserve">(a) All industries </w:t>
      </w:r>
      <w:r>
        <w:rPr>
          <w:sz w:val="10"/>
        </w:rPr>
        <w:t xml:space="preserve">other than </w:t>
      </w:r>
      <w:r w:rsidRPr="00560188">
        <w:rPr>
          <w:sz w:val="10"/>
        </w:rPr>
        <w:t>mining; agriculture, forestry and fishing; public administration and s</w:t>
      </w:r>
      <w:r w:rsidR="00630672">
        <w:rPr>
          <w:sz w:val="10"/>
        </w:rPr>
        <w:t>afety; and superannuation funds</w:t>
      </w:r>
      <w:r w:rsidR="00630672" w:rsidRPr="00764646">
        <w:rPr>
          <w:sz w:val="10"/>
        </w:rPr>
        <w:t>. (b) Source: WA Department of Mines, Industry Regulation and Safety</w:t>
      </w:r>
      <w:r w:rsidR="00A3222E" w:rsidRPr="00764646">
        <w:rPr>
          <w:sz w:val="10"/>
        </w:rPr>
        <w:t>.</w:t>
      </w:r>
    </w:p>
    <w:p w14:paraId="265C2E98" w14:textId="1D522629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637898" w:rsidRPr="004B69DE">
        <w:rPr>
          <w:sz w:val="10"/>
        </w:rPr>
        <w:t xml:space="preserve">Based on data from </w:t>
      </w:r>
      <w:r w:rsidRPr="004B69DE">
        <w:rPr>
          <w:sz w:val="10"/>
        </w:rPr>
        <w:t xml:space="preserve">ABS </w:t>
      </w:r>
      <w:r>
        <w:rPr>
          <w:sz w:val="10"/>
        </w:rPr>
        <w:t>5625.0 Private New Capital Expenditure and Expected Expenditure, Australia (Quarterly).</w:t>
      </w:r>
    </w:p>
    <w:p w14:paraId="5B4543E0" w14:textId="77777777" w:rsidR="00250273" w:rsidRDefault="00FD2E59" w:rsidP="00250273">
      <w:pPr>
        <w:pStyle w:val="BodyText"/>
        <w:spacing w:after="0"/>
        <w:jc w:val="both"/>
        <w:rPr>
          <w:sz w:val="16"/>
        </w:rPr>
      </w:pPr>
      <w:r w:rsidRPr="00756762">
        <w:rPr>
          <w:sz w:val="16"/>
        </w:rPr>
        <w:br w:type="column"/>
      </w:r>
    </w:p>
    <w:p w14:paraId="5307DEC5" w14:textId="5E1EB652" w:rsidR="00FD2E59" w:rsidRPr="0029588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95880">
        <w:rPr>
          <w:sz w:val="16"/>
        </w:rPr>
        <w:t>We</w:t>
      </w:r>
      <w:r w:rsidR="005D5860" w:rsidRPr="00295880">
        <w:rPr>
          <w:sz w:val="16"/>
        </w:rPr>
        <w:t>stern Australia accounted for 24</w:t>
      </w:r>
      <w:r w:rsidRPr="00295880">
        <w:rPr>
          <w:sz w:val="16"/>
        </w:rPr>
        <w:t>% of Australia’s private new capital expenditure in 20</w:t>
      </w:r>
      <w:r w:rsidR="00EF4522" w:rsidRPr="00295880">
        <w:rPr>
          <w:sz w:val="16"/>
        </w:rPr>
        <w:t>21</w:t>
      </w:r>
      <w:r w:rsidR="008D5C71" w:rsidRPr="00295880">
        <w:rPr>
          <w:sz w:val="16"/>
        </w:rPr>
        <w:t>-22</w:t>
      </w:r>
      <w:r w:rsidRPr="00295880">
        <w:rPr>
          <w:sz w:val="16"/>
        </w:rPr>
        <w:t>, including:</w:t>
      </w:r>
    </w:p>
    <w:p w14:paraId="6FFA0195" w14:textId="342D2331" w:rsidR="00FD2E59" w:rsidRPr="0029588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95880">
        <w:rPr>
          <w:sz w:val="16"/>
        </w:rPr>
        <w:t>5</w:t>
      </w:r>
      <w:r w:rsidR="008D5C71" w:rsidRPr="00295880">
        <w:rPr>
          <w:sz w:val="16"/>
        </w:rPr>
        <w:t>9</w:t>
      </w:r>
      <w:r w:rsidRPr="00295880">
        <w:rPr>
          <w:sz w:val="16"/>
        </w:rPr>
        <w:t>% of Australia’s mining industry new capital expenditure</w:t>
      </w:r>
    </w:p>
    <w:p w14:paraId="651B9F0C" w14:textId="2009E90B" w:rsidR="00FD2E59" w:rsidRPr="00295880" w:rsidRDefault="00EF4522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95880">
        <w:rPr>
          <w:sz w:val="16"/>
        </w:rPr>
        <w:t>10</w:t>
      </w:r>
      <w:r w:rsidR="00FD2E59" w:rsidRPr="00295880">
        <w:rPr>
          <w:sz w:val="16"/>
        </w:rPr>
        <w:t xml:space="preserve">% of Australia’s </w:t>
      </w:r>
      <w:r w:rsidR="008F4538" w:rsidRPr="00295880">
        <w:rPr>
          <w:sz w:val="16"/>
        </w:rPr>
        <w:t>non</w:t>
      </w:r>
      <w:r w:rsidR="008F4538" w:rsidRPr="00295880">
        <w:rPr>
          <w:sz w:val="16"/>
        </w:rPr>
        <w:noBreakHyphen/>
      </w:r>
      <w:r w:rsidR="00FD2E59" w:rsidRPr="00295880">
        <w:rPr>
          <w:sz w:val="16"/>
        </w:rPr>
        <w:t>mining industries new capital expenditure.</w:t>
      </w:r>
    </w:p>
    <w:p w14:paraId="6FB17B2E" w14:textId="4CF76FE9" w:rsidR="00FD2E59" w:rsidRPr="0029588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95880">
        <w:rPr>
          <w:sz w:val="16"/>
        </w:rPr>
        <w:t xml:space="preserve">The </w:t>
      </w:r>
      <w:r w:rsidR="006A0A76" w:rsidRPr="00295880">
        <w:rPr>
          <w:sz w:val="16"/>
        </w:rPr>
        <w:t xml:space="preserve">mining industry accounted for </w:t>
      </w:r>
      <w:r w:rsidR="005D5860" w:rsidRPr="00295880">
        <w:rPr>
          <w:sz w:val="16"/>
        </w:rPr>
        <w:t>7</w:t>
      </w:r>
      <w:r w:rsidR="008D5C71" w:rsidRPr="00295880">
        <w:rPr>
          <w:sz w:val="16"/>
        </w:rPr>
        <w:t>1</w:t>
      </w:r>
      <w:r w:rsidRPr="00295880">
        <w:rPr>
          <w:sz w:val="16"/>
        </w:rPr>
        <w:t>% of Western Australia’s private new capital expenditure in 20</w:t>
      </w:r>
      <w:r w:rsidR="006A0A76" w:rsidRPr="00295880">
        <w:rPr>
          <w:sz w:val="16"/>
        </w:rPr>
        <w:t>21</w:t>
      </w:r>
      <w:r w:rsidR="008D5C71" w:rsidRPr="00295880">
        <w:rPr>
          <w:sz w:val="16"/>
        </w:rPr>
        <w:t>-22</w:t>
      </w:r>
      <w:r w:rsidRPr="00295880">
        <w:rPr>
          <w:sz w:val="16"/>
        </w:rPr>
        <w:t>.</w:t>
      </w:r>
    </w:p>
    <w:p w14:paraId="06CF7C2A" w14:textId="1AF52287" w:rsidR="00FD2E59" w:rsidRPr="0029588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95880">
        <w:rPr>
          <w:sz w:val="16"/>
        </w:rPr>
        <w:t>In 20</w:t>
      </w:r>
      <w:r w:rsidR="006A0A76" w:rsidRPr="00295880">
        <w:rPr>
          <w:sz w:val="16"/>
        </w:rPr>
        <w:t>21</w:t>
      </w:r>
      <w:r w:rsidR="008F4538" w:rsidRPr="00295880">
        <w:rPr>
          <w:sz w:val="16"/>
        </w:rPr>
        <w:noBreakHyphen/>
      </w:r>
      <w:r w:rsidR="00E87632" w:rsidRPr="00295880">
        <w:rPr>
          <w:sz w:val="16"/>
        </w:rPr>
        <w:t>22</w:t>
      </w:r>
      <w:r w:rsidRPr="00295880">
        <w:rPr>
          <w:sz w:val="16"/>
        </w:rPr>
        <w:t>, the value of Western Australia’s new capital expenditure in the:</w:t>
      </w:r>
    </w:p>
    <w:p w14:paraId="60DB12D3" w14:textId="6F5D9A9B" w:rsidR="00FD2E59" w:rsidRPr="00295880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</w:t>
      </w:r>
      <w:r w:rsidR="006A0A76" w:rsidRPr="00295880">
        <w:rPr>
          <w:sz w:val="16"/>
        </w:rPr>
        <w:t xml:space="preserve">ining industry rose </w:t>
      </w:r>
      <w:r w:rsidR="005D5860" w:rsidRPr="00295880">
        <w:rPr>
          <w:sz w:val="16"/>
        </w:rPr>
        <w:t>1</w:t>
      </w:r>
      <w:r w:rsidR="00E87632" w:rsidRPr="00295880">
        <w:rPr>
          <w:sz w:val="16"/>
        </w:rPr>
        <w:t>8.4</w:t>
      </w:r>
      <w:r w:rsidR="00FD2E59" w:rsidRPr="00295880">
        <w:rPr>
          <w:sz w:val="16"/>
        </w:rPr>
        <w:t>% to $2</w:t>
      </w:r>
      <w:r w:rsidR="00E87632" w:rsidRPr="00295880">
        <w:rPr>
          <w:sz w:val="16"/>
        </w:rPr>
        <w:t>4.5</w:t>
      </w:r>
      <w:r w:rsidR="002C159F" w:rsidRPr="00295880">
        <w:rPr>
          <w:sz w:val="16"/>
        </w:rPr>
        <w:t> </w:t>
      </w:r>
      <w:r w:rsidR="00FD2E59" w:rsidRPr="00295880">
        <w:rPr>
          <w:sz w:val="16"/>
        </w:rPr>
        <w:t>billion</w:t>
      </w:r>
    </w:p>
    <w:p w14:paraId="4F6E1200" w14:textId="6C2D368D" w:rsidR="00FD2E59" w:rsidRPr="00295880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n</w:t>
      </w:r>
      <w:r w:rsidR="008F4538" w:rsidRPr="00295880">
        <w:rPr>
          <w:sz w:val="16"/>
        </w:rPr>
        <w:t>on</w:t>
      </w:r>
      <w:r w:rsidR="008F4538" w:rsidRPr="00295880">
        <w:rPr>
          <w:sz w:val="16"/>
        </w:rPr>
        <w:noBreakHyphen/>
      </w:r>
      <w:r w:rsidR="006A0A76" w:rsidRPr="00295880">
        <w:rPr>
          <w:sz w:val="16"/>
        </w:rPr>
        <w:t>mining</w:t>
      </w:r>
      <w:proofErr w:type="gramEnd"/>
      <w:r w:rsidR="006A0A76" w:rsidRPr="00295880">
        <w:rPr>
          <w:sz w:val="16"/>
        </w:rPr>
        <w:t xml:space="preserve"> industries rose </w:t>
      </w:r>
      <w:r w:rsidR="00E87632" w:rsidRPr="00295880">
        <w:rPr>
          <w:sz w:val="16"/>
        </w:rPr>
        <w:t>13.3</w:t>
      </w:r>
      <w:r w:rsidR="00FD2E59" w:rsidRPr="00295880">
        <w:rPr>
          <w:sz w:val="16"/>
        </w:rPr>
        <w:t>% to $</w:t>
      </w:r>
      <w:r w:rsidR="00674919" w:rsidRPr="00295880">
        <w:rPr>
          <w:sz w:val="16"/>
        </w:rPr>
        <w:t>9.</w:t>
      </w:r>
      <w:r w:rsidR="00E87632" w:rsidRPr="00295880">
        <w:rPr>
          <w:sz w:val="16"/>
        </w:rPr>
        <w:t>8</w:t>
      </w:r>
      <w:r w:rsidR="002C159F" w:rsidRPr="00295880">
        <w:rPr>
          <w:sz w:val="16"/>
        </w:rPr>
        <w:t> </w:t>
      </w:r>
      <w:r w:rsidR="00FD2E59" w:rsidRPr="00295880">
        <w:rPr>
          <w:sz w:val="16"/>
        </w:rPr>
        <w:t>billion.</w:t>
      </w:r>
    </w:p>
    <w:p w14:paraId="4CB572AD" w14:textId="55A367B6" w:rsidR="00FD2E59" w:rsidRPr="003D28D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D28DD">
        <w:rPr>
          <w:sz w:val="16"/>
        </w:rPr>
        <w:t>Western Australia had $</w:t>
      </w:r>
      <w:r w:rsidR="006827BA" w:rsidRPr="003D28DD">
        <w:rPr>
          <w:sz w:val="16"/>
        </w:rPr>
        <w:t>5</w:t>
      </w:r>
      <w:r w:rsidR="00D40CF7" w:rsidRPr="003D28DD">
        <w:rPr>
          <w:sz w:val="16"/>
        </w:rPr>
        <w:t>7</w:t>
      </w:r>
      <w:r w:rsidRPr="003D28DD">
        <w:rPr>
          <w:sz w:val="16"/>
        </w:rPr>
        <w:t> billion of major resource projects under construction or committed and $</w:t>
      </w:r>
      <w:r w:rsidR="006827BA" w:rsidRPr="003D28DD">
        <w:rPr>
          <w:sz w:val="16"/>
        </w:rPr>
        <w:t>8</w:t>
      </w:r>
      <w:r w:rsidR="00D40CF7" w:rsidRPr="003D28DD">
        <w:rPr>
          <w:sz w:val="16"/>
        </w:rPr>
        <w:t>7</w:t>
      </w:r>
      <w:r w:rsidRPr="003D28DD">
        <w:rPr>
          <w:sz w:val="16"/>
        </w:rPr>
        <w:t> bill</w:t>
      </w:r>
      <w:r w:rsidR="009E1914" w:rsidRPr="003D28DD">
        <w:rPr>
          <w:sz w:val="16"/>
        </w:rPr>
        <w:t xml:space="preserve">ion under consideration in </w:t>
      </w:r>
      <w:r w:rsidR="00D40CF7" w:rsidRPr="003D28DD">
        <w:rPr>
          <w:sz w:val="16"/>
        </w:rPr>
        <w:t>September </w:t>
      </w:r>
      <w:r w:rsidR="006827BA" w:rsidRPr="003D28DD">
        <w:rPr>
          <w:sz w:val="16"/>
        </w:rPr>
        <w:t>2022</w:t>
      </w:r>
      <w:r w:rsidR="00630672" w:rsidRPr="003D28DD">
        <w:rPr>
          <w:sz w:val="16"/>
        </w:rPr>
        <w:t>.</w:t>
      </w:r>
      <w:r w:rsidR="00C76027" w:rsidRPr="003D28DD">
        <w:rPr>
          <w:sz w:val="16"/>
          <w:vertAlign w:val="superscript"/>
        </w:rPr>
        <w:t>(</w:t>
      </w:r>
      <w:r w:rsidR="00630672" w:rsidRPr="003D28DD">
        <w:rPr>
          <w:sz w:val="16"/>
          <w:vertAlign w:val="superscript"/>
        </w:rPr>
        <w:t>b</w:t>
      </w:r>
      <w:r w:rsidR="00C76027" w:rsidRPr="003D28DD">
        <w:rPr>
          <w:sz w:val="16"/>
          <w:vertAlign w:val="superscript"/>
        </w:rPr>
        <w:t>)</w:t>
      </w:r>
    </w:p>
    <w:p w14:paraId="67FD272B" w14:textId="7B47EF6B" w:rsidR="00FD2E59" w:rsidRPr="003718D7" w:rsidRDefault="00FD2E59" w:rsidP="008A4D73">
      <w:pPr>
        <w:pStyle w:val="BodyText"/>
        <w:spacing w:after="0"/>
        <w:ind w:left="284"/>
        <w:jc w:val="both"/>
        <w:rPr>
          <w:color w:val="FF0000"/>
          <w:sz w:val="16"/>
        </w:rPr>
        <w:sectPr w:rsidR="00FD2E59" w:rsidRPr="003718D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5D49208" w14:textId="1719F148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f</w:t>
      </w:r>
      <w:r w:rsidRPr="00020369">
        <w:rPr>
          <w:b/>
          <w:color w:val="92278F" w:themeColor="accent1"/>
          <w:sz w:val="20"/>
        </w:rPr>
        <w:t>inancial years</w:t>
      </w:r>
    </w:p>
    <w:p w14:paraId="76F32EF2" w14:textId="1B873AFE" w:rsidR="00FD2E59" w:rsidRDefault="00250273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94D558B" wp14:editId="77FD5F8F">
            <wp:extent cx="3528000" cy="2106560"/>
            <wp:effectExtent l="0" t="0" r="0" b="825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C658" w14:textId="1744932B" w:rsidR="00FD2E59" w:rsidRPr="00716C34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 </w:t>
      </w:r>
      <w:r w:rsidRPr="00F652FD">
        <w:rPr>
          <w:sz w:val="10"/>
        </w:rPr>
        <w:t>(a) Repairs, maintenance and personal services</w:t>
      </w:r>
      <w:r w:rsidRPr="00764646">
        <w:rPr>
          <w:sz w:val="10"/>
        </w:rPr>
        <w:t>.</w:t>
      </w:r>
      <w:r w:rsidR="000A6ECE" w:rsidRPr="00764646">
        <w:rPr>
          <w:sz w:val="10"/>
        </w:rPr>
        <w:t xml:space="preserve"> (b) </w:t>
      </w:r>
      <w:r w:rsidR="00CE1538" w:rsidRPr="00764646">
        <w:rPr>
          <w:sz w:val="10"/>
        </w:rPr>
        <w:t xml:space="preserve">Sum of private </w:t>
      </w:r>
      <w:r w:rsidR="00497328" w:rsidRPr="00764646">
        <w:rPr>
          <w:sz w:val="10"/>
        </w:rPr>
        <w:t>spending on fixed assets (</w:t>
      </w:r>
      <w:r w:rsidR="00953904" w:rsidRPr="00764646">
        <w:rPr>
          <w:sz w:val="10"/>
        </w:rPr>
        <w:t xml:space="preserve">including </w:t>
      </w:r>
      <w:r w:rsidR="00497328" w:rsidRPr="00764646">
        <w:rPr>
          <w:sz w:val="10"/>
        </w:rPr>
        <w:t>dwellings, non-dwelling</w:t>
      </w:r>
      <w:r w:rsidR="00953904" w:rsidRPr="00764646">
        <w:rPr>
          <w:sz w:val="10"/>
        </w:rPr>
        <w:t xml:space="preserve"> construction</w:t>
      </w:r>
      <w:r w:rsidR="00497328" w:rsidRPr="00764646">
        <w:rPr>
          <w:sz w:val="10"/>
        </w:rPr>
        <w:t xml:space="preserve">, machinery and equipment, </w:t>
      </w:r>
      <w:r w:rsidR="00953904" w:rsidRPr="00764646">
        <w:rPr>
          <w:sz w:val="10"/>
        </w:rPr>
        <w:t xml:space="preserve">agricultural assets, </w:t>
      </w:r>
      <w:r w:rsidR="00497328" w:rsidRPr="00764646">
        <w:rPr>
          <w:sz w:val="10"/>
        </w:rPr>
        <w:t xml:space="preserve">intellectual property products and transfer costs) </w:t>
      </w:r>
      <w:r w:rsidR="00CE1538" w:rsidRPr="00764646">
        <w:rPr>
          <w:sz w:val="10"/>
        </w:rPr>
        <w:t>and general government and public corporations spending</w:t>
      </w:r>
      <w:r w:rsidR="00497328" w:rsidRPr="00764646">
        <w:rPr>
          <w:sz w:val="10"/>
        </w:rPr>
        <w:t xml:space="preserve"> on </w:t>
      </w:r>
      <w:r w:rsidR="00EF72D8" w:rsidRPr="00764646">
        <w:rPr>
          <w:sz w:val="10"/>
        </w:rPr>
        <w:t xml:space="preserve">new fixed assets, </w:t>
      </w:r>
      <w:r w:rsidR="00CE1538" w:rsidRPr="00764646">
        <w:rPr>
          <w:sz w:val="10"/>
        </w:rPr>
        <w:t>net spending on second</w:t>
      </w:r>
      <w:r w:rsidR="00CE1538" w:rsidRPr="00764646">
        <w:rPr>
          <w:sz w:val="10"/>
        </w:rPr>
        <w:noBreakHyphen/>
        <w:t xml:space="preserve">hand fixed assets </w:t>
      </w:r>
      <w:r w:rsidR="00EF72D8" w:rsidRPr="00764646">
        <w:rPr>
          <w:sz w:val="10"/>
        </w:rPr>
        <w:t xml:space="preserve">and </w:t>
      </w:r>
      <w:r w:rsidR="00953904" w:rsidRPr="00764646">
        <w:rPr>
          <w:sz w:val="10"/>
        </w:rPr>
        <w:t>employee</w:t>
      </w:r>
      <w:r w:rsidR="00CE1538" w:rsidRPr="00764646">
        <w:rPr>
          <w:sz w:val="10"/>
        </w:rPr>
        <w:t xml:space="preserve"> compensation </w:t>
      </w:r>
      <w:r w:rsidR="00EF72D8" w:rsidRPr="00764646">
        <w:rPr>
          <w:sz w:val="10"/>
        </w:rPr>
        <w:t xml:space="preserve">for </w:t>
      </w:r>
      <w:r w:rsidR="000C09FE" w:rsidRPr="00764646">
        <w:rPr>
          <w:sz w:val="10"/>
        </w:rPr>
        <w:t xml:space="preserve">capital </w:t>
      </w:r>
      <w:r w:rsidR="000C09FE" w:rsidRPr="00FE56E9">
        <w:rPr>
          <w:sz w:val="10"/>
        </w:rPr>
        <w:t>works</w:t>
      </w:r>
      <w:r w:rsidR="000C09FE">
        <w:rPr>
          <w:color w:val="0070C0"/>
          <w:sz w:val="10"/>
        </w:rPr>
        <w:t xml:space="preserve">. </w:t>
      </w:r>
      <w:r w:rsidRPr="00643B76">
        <w:rPr>
          <w:sz w:val="10"/>
        </w:rPr>
        <w:t xml:space="preserve">Source: </w:t>
      </w:r>
      <w:r w:rsidR="00637898" w:rsidRPr="00533DAB">
        <w:rPr>
          <w:sz w:val="10"/>
        </w:rPr>
        <w:t xml:space="preserve">Based on data from </w:t>
      </w:r>
      <w:r w:rsidRPr="00533DAB">
        <w:rPr>
          <w:sz w:val="10"/>
        </w:rPr>
        <w:t xml:space="preserve">ABS </w:t>
      </w:r>
      <w:r w:rsidRPr="00BF3151">
        <w:rPr>
          <w:sz w:val="10"/>
        </w:rPr>
        <w:t>5220.0 Australian National Ac</w:t>
      </w:r>
      <w:r>
        <w:rPr>
          <w:sz w:val="10"/>
        </w:rPr>
        <w:t>counts: State Accounts (Annual)</w:t>
      </w:r>
      <w:r w:rsidRPr="00716C34">
        <w:rPr>
          <w:sz w:val="10"/>
        </w:rPr>
        <w:t>.</w:t>
      </w:r>
    </w:p>
    <w:p w14:paraId="4BF7CA7A" w14:textId="77777777" w:rsidR="00FD2E59" w:rsidRDefault="00FD2E59" w:rsidP="00FD2E59">
      <w:pPr>
        <w:spacing w:after="0"/>
        <w:jc w:val="both"/>
        <w:rPr>
          <w:sz w:val="16"/>
        </w:rPr>
      </w:pPr>
    </w:p>
    <w:p w14:paraId="2B583753" w14:textId="77777777" w:rsidR="00250273" w:rsidRPr="00250273" w:rsidRDefault="00FD2E59" w:rsidP="00250273">
      <w:pPr>
        <w:pStyle w:val="BodyText"/>
        <w:spacing w:after="0"/>
        <w:jc w:val="both"/>
        <w:rPr>
          <w:color w:val="000000" w:themeColor="text1"/>
          <w:sz w:val="16"/>
        </w:rPr>
      </w:pPr>
      <w:r w:rsidRPr="00263AEC">
        <w:rPr>
          <w:sz w:val="16"/>
        </w:rPr>
        <w:br w:type="column"/>
      </w:r>
    </w:p>
    <w:p w14:paraId="7C1F801C" w14:textId="6887586D" w:rsidR="00FD2E59" w:rsidRPr="00A82A2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A82A2C">
        <w:rPr>
          <w:color w:val="000000" w:themeColor="text1"/>
          <w:sz w:val="16"/>
        </w:rPr>
        <w:t xml:space="preserve">The </w:t>
      </w:r>
      <w:r w:rsidR="00DB5C79" w:rsidRPr="00A82A2C">
        <w:rPr>
          <w:color w:val="000000" w:themeColor="text1"/>
          <w:sz w:val="16"/>
        </w:rPr>
        <w:t>mining industry accounted for 43</w:t>
      </w:r>
      <w:r w:rsidRPr="00A82A2C">
        <w:rPr>
          <w:color w:val="000000" w:themeColor="text1"/>
          <w:sz w:val="16"/>
        </w:rPr>
        <w:t>% ($</w:t>
      </w:r>
      <w:r w:rsidR="00DB5C79" w:rsidRPr="00A82A2C">
        <w:rPr>
          <w:color w:val="000000" w:themeColor="text1"/>
          <w:sz w:val="16"/>
        </w:rPr>
        <w:t>30.8</w:t>
      </w:r>
      <w:r w:rsidR="00C96929" w:rsidRPr="00A82A2C">
        <w:rPr>
          <w:color w:val="000000" w:themeColor="text1"/>
          <w:sz w:val="16"/>
        </w:rPr>
        <w:t> </w:t>
      </w:r>
      <w:r w:rsidRPr="00A82A2C">
        <w:rPr>
          <w:color w:val="000000" w:themeColor="text1"/>
          <w:sz w:val="16"/>
        </w:rPr>
        <w:t>billion) of Western Australia’s gross</w:t>
      </w:r>
      <w:r w:rsidR="00645E9F" w:rsidRPr="00A82A2C">
        <w:rPr>
          <w:color w:val="000000" w:themeColor="text1"/>
          <w:sz w:val="16"/>
        </w:rPr>
        <w:t xml:space="preserve"> fixed capital formation</w:t>
      </w:r>
      <w:r w:rsidR="0018503B" w:rsidRPr="00A82A2C">
        <w:rPr>
          <w:color w:val="000000" w:themeColor="text1"/>
          <w:sz w:val="16"/>
          <w:vertAlign w:val="superscript"/>
        </w:rPr>
        <w:t>(</w:t>
      </w:r>
      <w:r w:rsidR="000A6ECE" w:rsidRPr="00A82A2C">
        <w:rPr>
          <w:color w:val="000000" w:themeColor="text1"/>
          <w:sz w:val="16"/>
          <w:vertAlign w:val="superscript"/>
        </w:rPr>
        <w:t>b</w:t>
      </w:r>
      <w:r w:rsidR="0018503B" w:rsidRPr="00A82A2C">
        <w:rPr>
          <w:color w:val="000000" w:themeColor="text1"/>
          <w:sz w:val="16"/>
          <w:vertAlign w:val="superscript"/>
        </w:rPr>
        <w:t>)</w:t>
      </w:r>
      <w:r w:rsidR="00645E9F" w:rsidRPr="00A82A2C">
        <w:rPr>
          <w:color w:val="000000" w:themeColor="text1"/>
          <w:sz w:val="16"/>
        </w:rPr>
        <w:t xml:space="preserve"> in </w:t>
      </w:r>
      <w:r w:rsidR="00DB5C79" w:rsidRPr="00A82A2C">
        <w:rPr>
          <w:color w:val="000000" w:themeColor="text1"/>
          <w:sz w:val="16"/>
        </w:rPr>
        <w:t>2021</w:t>
      </w:r>
      <w:r w:rsidR="00DB5C79" w:rsidRPr="00A82A2C">
        <w:rPr>
          <w:color w:val="000000" w:themeColor="text1"/>
          <w:sz w:val="16"/>
        </w:rPr>
        <w:noBreakHyphen/>
        <w:t>22</w:t>
      </w:r>
      <w:r w:rsidRPr="00A82A2C">
        <w:rPr>
          <w:color w:val="000000" w:themeColor="text1"/>
          <w:sz w:val="16"/>
        </w:rPr>
        <w:t>, followed by:</w:t>
      </w:r>
    </w:p>
    <w:p w14:paraId="5F82B18C" w14:textId="584293FB" w:rsidR="00FD2E59" w:rsidRPr="00A82A2C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t</w:t>
      </w:r>
      <w:r w:rsidR="00FD2E59" w:rsidRPr="00A82A2C">
        <w:rPr>
          <w:color w:val="000000" w:themeColor="text1"/>
          <w:sz w:val="16"/>
        </w:rPr>
        <w:t>ransport, postal and warehousing (</w:t>
      </w:r>
      <w:r w:rsidR="00B26E61" w:rsidRPr="00A82A2C">
        <w:rPr>
          <w:color w:val="000000" w:themeColor="text1"/>
          <w:sz w:val="16"/>
        </w:rPr>
        <w:t>8</w:t>
      </w:r>
      <w:r w:rsidR="00FD2E59" w:rsidRPr="00A82A2C">
        <w:rPr>
          <w:color w:val="000000" w:themeColor="text1"/>
          <w:sz w:val="16"/>
        </w:rPr>
        <w:t>% or $</w:t>
      </w:r>
      <w:r w:rsidR="00B26E61" w:rsidRPr="00A82A2C">
        <w:rPr>
          <w:color w:val="000000" w:themeColor="text1"/>
          <w:sz w:val="16"/>
        </w:rPr>
        <w:t>5.6</w:t>
      </w:r>
      <w:r w:rsidR="00FD2E59" w:rsidRPr="00A82A2C">
        <w:rPr>
          <w:color w:val="000000" w:themeColor="text1"/>
          <w:sz w:val="16"/>
        </w:rPr>
        <w:t> billion)</w:t>
      </w:r>
    </w:p>
    <w:p w14:paraId="09BCED75" w14:textId="599A508A" w:rsidR="00FD2E59" w:rsidRPr="00A82A2C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  <w:sz w:val="16"/>
        </w:rPr>
        <w:t>e</w:t>
      </w:r>
      <w:r w:rsidR="00FD2E59" w:rsidRPr="00A82A2C">
        <w:rPr>
          <w:color w:val="000000" w:themeColor="text1"/>
          <w:sz w:val="16"/>
        </w:rPr>
        <w:t>lectricity</w:t>
      </w:r>
      <w:proofErr w:type="gramEnd"/>
      <w:r w:rsidR="00FD2E59" w:rsidRPr="00A82A2C">
        <w:rPr>
          <w:color w:val="000000" w:themeColor="text1"/>
          <w:sz w:val="16"/>
        </w:rPr>
        <w:t>, ga</w:t>
      </w:r>
      <w:r w:rsidR="00645E9F" w:rsidRPr="00A82A2C">
        <w:rPr>
          <w:color w:val="000000" w:themeColor="text1"/>
          <w:sz w:val="16"/>
        </w:rPr>
        <w:t>s, water and waste services (4% or $2.7</w:t>
      </w:r>
      <w:r w:rsidR="00C96929" w:rsidRPr="00A82A2C">
        <w:rPr>
          <w:color w:val="000000" w:themeColor="text1"/>
          <w:sz w:val="16"/>
        </w:rPr>
        <w:t> </w:t>
      </w:r>
      <w:r w:rsidR="00FD2E59" w:rsidRPr="00A82A2C">
        <w:rPr>
          <w:color w:val="000000" w:themeColor="text1"/>
          <w:sz w:val="16"/>
        </w:rPr>
        <w:t>billion).</w:t>
      </w:r>
    </w:p>
    <w:p w14:paraId="6C8A4DF3" w14:textId="4A24820F" w:rsidR="00645E9F" w:rsidRPr="00A82A2C" w:rsidRDefault="00B11DBC" w:rsidP="00645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  <w:sz w:val="16"/>
        </w:rPr>
        <w:t>p</w:t>
      </w:r>
      <w:r w:rsidR="00645E9F" w:rsidRPr="00A82A2C">
        <w:rPr>
          <w:color w:val="000000" w:themeColor="text1"/>
          <w:sz w:val="16"/>
        </w:rPr>
        <w:t>ublic</w:t>
      </w:r>
      <w:proofErr w:type="gramEnd"/>
      <w:r w:rsidR="00645E9F" w:rsidRPr="00A82A2C">
        <w:rPr>
          <w:color w:val="000000" w:themeColor="text1"/>
          <w:sz w:val="16"/>
        </w:rPr>
        <w:t xml:space="preserve"> administration and safety (4% </w:t>
      </w:r>
      <w:r w:rsidR="00B26E61" w:rsidRPr="00A82A2C">
        <w:rPr>
          <w:color w:val="000000" w:themeColor="text1"/>
          <w:sz w:val="16"/>
        </w:rPr>
        <w:t>or $2.7</w:t>
      </w:r>
      <w:r w:rsidR="00645E9F" w:rsidRPr="00A82A2C">
        <w:rPr>
          <w:color w:val="000000" w:themeColor="text1"/>
          <w:sz w:val="16"/>
        </w:rPr>
        <w:t> billion).</w:t>
      </w:r>
    </w:p>
    <w:p w14:paraId="2FEE453F" w14:textId="1A891C98" w:rsidR="00FD2E59" w:rsidRPr="00A82A2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A82A2C">
        <w:rPr>
          <w:color w:val="000000" w:themeColor="text1"/>
          <w:sz w:val="16"/>
        </w:rPr>
        <w:t>The largest increase in Western Australia’s gross fixed capital formation in 20</w:t>
      </w:r>
      <w:r w:rsidR="00B26E61" w:rsidRPr="00A82A2C">
        <w:rPr>
          <w:color w:val="000000" w:themeColor="text1"/>
          <w:sz w:val="16"/>
        </w:rPr>
        <w:t>21</w:t>
      </w:r>
      <w:r w:rsidR="002C159F" w:rsidRPr="00A82A2C">
        <w:rPr>
          <w:color w:val="000000" w:themeColor="text1"/>
          <w:sz w:val="16"/>
        </w:rPr>
        <w:noBreakHyphen/>
      </w:r>
      <w:r w:rsidR="00B26E61" w:rsidRPr="00A82A2C">
        <w:rPr>
          <w:color w:val="000000" w:themeColor="text1"/>
          <w:sz w:val="16"/>
        </w:rPr>
        <w:t>22</w:t>
      </w:r>
      <w:r w:rsidRPr="00A82A2C">
        <w:rPr>
          <w:color w:val="000000" w:themeColor="text1"/>
          <w:sz w:val="16"/>
        </w:rPr>
        <w:t xml:space="preserve"> was in mining (up $</w:t>
      </w:r>
      <w:r w:rsidR="00B26E61" w:rsidRPr="00A82A2C">
        <w:rPr>
          <w:color w:val="000000" w:themeColor="text1"/>
          <w:sz w:val="16"/>
        </w:rPr>
        <w:t>3.0</w:t>
      </w:r>
      <w:r w:rsidR="00C96929" w:rsidRPr="00A82A2C">
        <w:rPr>
          <w:color w:val="000000" w:themeColor="text1"/>
          <w:sz w:val="16"/>
        </w:rPr>
        <w:t> </w:t>
      </w:r>
      <w:r w:rsidR="00B26E61" w:rsidRPr="00A82A2C">
        <w:rPr>
          <w:color w:val="000000" w:themeColor="text1"/>
          <w:sz w:val="16"/>
        </w:rPr>
        <w:t>billion or 10.9</w:t>
      </w:r>
      <w:r w:rsidRPr="00A82A2C">
        <w:rPr>
          <w:color w:val="000000" w:themeColor="text1"/>
          <w:sz w:val="16"/>
        </w:rPr>
        <w:t xml:space="preserve">%), followed by </w:t>
      </w:r>
      <w:r w:rsidR="00B26E61" w:rsidRPr="00A82A2C">
        <w:rPr>
          <w:color w:val="000000" w:themeColor="text1"/>
          <w:sz w:val="16"/>
        </w:rPr>
        <w:t>transport, postal and warehousing</w:t>
      </w:r>
      <w:r w:rsidRPr="00A82A2C">
        <w:rPr>
          <w:color w:val="000000" w:themeColor="text1"/>
          <w:sz w:val="16"/>
        </w:rPr>
        <w:t xml:space="preserve"> (up $</w:t>
      </w:r>
      <w:r w:rsidR="00B26E61" w:rsidRPr="00A82A2C">
        <w:rPr>
          <w:color w:val="000000" w:themeColor="text1"/>
          <w:sz w:val="16"/>
        </w:rPr>
        <w:t>1 billion or 22</w:t>
      </w:r>
      <w:r w:rsidR="00645E9F" w:rsidRPr="00A82A2C">
        <w:rPr>
          <w:color w:val="000000" w:themeColor="text1"/>
          <w:sz w:val="16"/>
        </w:rPr>
        <w:t>.5</w:t>
      </w:r>
      <w:r w:rsidRPr="00A82A2C">
        <w:rPr>
          <w:color w:val="000000" w:themeColor="text1"/>
          <w:sz w:val="16"/>
        </w:rPr>
        <w:t>%).</w:t>
      </w:r>
    </w:p>
    <w:p w14:paraId="62E34E03" w14:textId="00EDCC1F" w:rsidR="00FD2E59" w:rsidRPr="00A82A2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A82A2C">
        <w:rPr>
          <w:color w:val="000000" w:themeColor="text1"/>
          <w:sz w:val="16"/>
        </w:rPr>
        <w:t>The largest decrease in Western Australia’s gross fixed capital formation in 20</w:t>
      </w:r>
      <w:r w:rsidR="00645E9F" w:rsidRPr="00A82A2C">
        <w:rPr>
          <w:color w:val="000000" w:themeColor="text1"/>
          <w:sz w:val="16"/>
        </w:rPr>
        <w:t>2</w:t>
      </w:r>
      <w:r w:rsidR="00B26E61" w:rsidRPr="00A82A2C">
        <w:rPr>
          <w:color w:val="000000" w:themeColor="text1"/>
          <w:sz w:val="16"/>
        </w:rPr>
        <w:t>1-22</w:t>
      </w:r>
      <w:r w:rsidRPr="00A82A2C">
        <w:rPr>
          <w:color w:val="000000" w:themeColor="text1"/>
          <w:sz w:val="16"/>
        </w:rPr>
        <w:t xml:space="preserve"> was in </w:t>
      </w:r>
      <w:r w:rsidR="00B26E61" w:rsidRPr="00A82A2C">
        <w:rPr>
          <w:color w:val="000000" w:themeColor="text1"/>
          <w:sz w:val="16"/>
        </w:rPr>
        <w:t>construction</w:t>
      </w:r>
      <w:r w:rsidRPr="00A82A2C">
        <w:rPr>
          <w:color w:val="000000" w:themeColor="text1"/>
          <w:sz w:val="16"/>
        </w:rPr>
        <w:t xml:space="preserve"> (down $</w:t>
      </w:r>
      <w:r w:rsidR="00B26E61" w:rsidRPr="00A82A2C">
        <w:rPr>
          <w:color w:val="000000" w:themeColor="text1"/>
          <w:sz w:val="16"/>
        </w:rPr>
        <w:t>67</w:t>
      </w:r>
      <w:r w:rsidR="00C96929" w:rsidRPr="00A82A2C">
        <w:rPr>
          <w:color w:val="000000" w:themeColor="text1"/>
          <w:sz w:val="16"/>
        </w:rPr>
        <w:t> </w:t>
      </w:r>
      <w:r w:rsidRPr="00A82A2C">
        <w:rPr>
          <w:color w:val="000000" w:themeColor="text1"/>
          <w:sz w:val="16"/>
        </w:rPr>
        <w:t xml:space="preserve">million or </w:t>
      </w:r>
      <w:r w:rsidR="00B26E61" w:rsidRPr="00A82A2C">
        <w:rPr>
          <w:color w:val="000000" w:themeColor="text1"/>
          <w:sz w:val="16"/>
        </w:rPr>
        <w:t>5.9</w:t>
      </w:r>
      <w:r w:rsidRPr="00A82A2C">
        <w:rPr>
          <w:color w:val="000000" w:themeColor="text1"/>
          <w:sz w:val="16"/>
        </w:rPr>
        <w:t xml:space="preserve">%), followed by </w:t>
      </w:r>
      <w:r w:rsidR="00B26E61" w:rsidRPr="00A82A2C">
        <w:rPr>
          <w:color w:val="000000" w:themeColor="text1"/>
          <w:sz w:val="16"/>
        </w:rPr>
        <w:t>information, media and telecommunication</w:t>
      </w:r>
      <w:r w:rsidRPr="00A82A2C">
        <w:rPr>
          <w:color w:val="000000" w:themeColor="text1"/>
          <w:sz w:val="16"/>
        </w:rPr>
        <w:t xml:space="preserve"> (down $</w:t>
      </w:r>
      <w:r w:rsidR="00B26E61" w:rsidRPr="00A82A2C">
        <w:rPr>
          <w:color w:val="000000" w:themeColor="text1"/>
          <w:sz w:val="16"/>
        </w:rPr>
        <w:t>27</w:t>
      </w:r>
      <w:r w:rsidR="00C96929" w:rsidRPr="00A82A2C">
        <w:rPr>
          <w:color w:val="000000" w:themeColor="text1"/>
          <w:sz w:val="16"/>
        </w:rPr>
        <w:t> </w:t>
      </w:r>
      <w:r w:rsidRPr="00A82A2C">
        <w:rPr>
          <w:color w:val="000000" w:themeColor="text1"/>
          <w:sz w:val="16"/>
        </w:rPr>
        <w:t xml:space="preserve">million or </w:t>
      </w:r>
      <w:r w:rsidR="00B26E61" w:rsidRPr="00A82A2C">
        <w:rPr>
          <w:color w:val="000000" w:themeColor="text1"/>
          <w:sz w:val="16"/>
        </w:rPr>
        <w:t>4.8</w:t>
      </w:r>
      <w:r w:rsidR="00645E9F" w:rsidRPr="00A82A2C">
        <w:rPr>
          <w:color w:val="000000" w:themeColor="text1"/>
          <w:sz w:val="16"/>
        </w:rPr>
        <w:t>%</w:t>
      </w:r>
      <w:r w:rsidRPr="00A82A2C">
        <w:rPr>
          <w:color w:val="000000" w:themeColor="text1"/>
          <w:sz w:val="16"/>
        </w:rPr>
        <w:t>).</w:t>
      </w:r>
    </w:p>
    <w:p w14:paraId="4534B7E9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28031ED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2" w:name="_SOUTH_KOREA"/>
      <w:bookmarkEnd w:id="2"/>
      <w:r w:rsidRPr="00DD5DF4">
        <w:rPr>
          <w:b/>
          <w:color w:val="002060"/>
          <w:sz w:val="22"/>
        </w:rPr>
        <w:lastRenderedPageBreak/>
        <w:t>Investment</w:t>
      </w:r>
    </w:p>
    <w:p w14:paraId="5B080120" w14:textId="77777777" w:rsidR="00FD2E59" w:rsidRPr="00020369" w:rsidRDefault="00FD2E59" w:rsidP="00FD2E59">
      <w:pPr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exploration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5D201306" w14:textId="1F3725AC" w:rsidR="00FD2E59" w:rsidRPr="00020369" w:rsidRDefault="003D7D9A" w:rsidP="00FD2E59">
      <w:pPr>
        <w:spacing w:after="0"/>
        <w:rPr>
          <w:color w:val="92278F" w:themeColor="accent1"/>
          <w:sz w:val="22"/>
        </w:rPr>
      </w:pPr>
      <w:proofErr w:type="gramStart"/>
      <w:r w:rsidRPr="00BE752F">
        <w:rPr>
          <w:b/>
          <w:color w:val="92278F" w:themeColor="accent1"/>
          <w:sz w:val="20"/>
        </w:rPr>
        <w:t>financial</w:t>
      </w:r>
      <w:proofErr w:type="gramEnd"/>
      <w:r w:rsidR="00731D76" w:rsidRPr="003D7D9A">
        <w:rPr>
          <w:b/>
          <w:color w:val="0070C0"/>
          <w:sz w:val="20"/>
        </w:rPr>
        <w:t xml:space="preserve"> </w:t>
      </w:r>
      <w:r w:rsidR="00FD2E59" w:rsidRPr="00020369">
        <w:rPr>
          <w:b/>
          <w:color w:val="92278F" w:themeColor="accent1"/>
          <w:sz w:val="20"/>
        </w:rPr>
        <w:t>years</w:t>
      </w:r>
    </w:p>
    <w:p w14:paraId="3286A453" w14:textId="42589394" w:rsidR="00FD2E59" w:rsidRDefault="00432DF3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ED518B2" wp14:editId="597FA9C2">
            <wp:extent cx="3528000" cy="210340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C124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1EB07CBD" w14:textId="70AB5CF0" w:rsidR="00FD2E59" w:rsidRPr="00560188" w:rsidRDefault="00FD2E59" w:rsidP="00FD2E59">
      <w:pPr>
        <w:spacing w:after="0"/>
        <w:jc w:val="both"/>
        <w:rPr>
          <w:sz w:val="10"/>
        </w:rPr>
      </w:pPr>
      <w:r w:rsidRPr="00716C34">
        <w:rPr>
          <w:sz w:val="10"/>
        </w:rPr>
        <w:t xml:space="preserve">Source: </w:t>
      </w:r>
      <w:r w:rsidR="00637898" w:rsidRPr="00BE752F">
        <w:rPr>
          <w:sz w:val="10"/>
        </w:rPr>
        <w:t xml:space="preserve">Based on data from </w:t>
      </w:r>
      <w:r w:rsidRPr="00BE752F">
        <w:rPr>
          <w:sz w:val="10"/>
        </w:rPr>
        <w:t>ABS 8412</w:t>
      </w:r>
      <w:r>
        <w:rPr>
          <w:sz w:val="10"/>
        </w:rPr>
        <w:t>.0 Mineral and Petroleum Exploration, Australia (Quarterly</w:t>
      </w:r>
      <w:r w:rsidRPr="00560188">
        <w:rPr>
          <w:sz w:val="10"/>
        </w:rPr>
        <w:t>).</w:t>
      </w:r>
    </w:p>
    <w:p w14:paraId="73AE1F78" w14:textId="77777777" w:rsidR="00FD2E59" w:rsidRDefault="00FD2E59" w:rsidP="00FD2E59">
      <w:pPr>
        <w:spacing w:after="0"/>
        <w:jc w:val="both"/>
        <w:rPr>
          <w:sz w:val="16"/>
        </w:rPr>
      </w:pPr>
    </w:p>
    <w:p w14:paraId="79FA43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10F741E5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8A7B273" w14:textId="77777777" w:rsidR="00FD2E59" w:rsidRDefault="00FD2E59" w:rsidP="00FD2E59">
      <w:pPr>
        <w:spacing w:after="0"/>
        <w:jc w:val="both"/>
        <w:rPr>
          <w:sz w:val="16"/>
        </w:rPr>
      </w:pPr>
    </w:p>
    <w:p w14:paraId="5475D1D3" w14:textId="77777777" w:rsidR="00FD2E59" w:rsidRPr="00CF037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037E">
        <w:rPr>
          <w:sz w:val="16"/>
        </w:rPr>
        <w:t>Exploration expenditure can be a leading indicator for investment in minerals and petroleum projects.</w:t>
      </w:r>
    </w:p>
    <w:p w14:paraId="46FF62CB" w14:textId="11BA7B0F" w:rsidR="00FD2E59" w:rsidRPr="00CF037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037E">
        <w:rPr>
          <w:sz w:val="16"/>
        </w:rPr>
        <w:t>We</w:t>
      </w:r>
      <w:r w:rsidR="003D7D9A" w:rsidRPr="00CF037E">
        <w:rPr>
          <w:sz w:val="16"/>
        </w:rPr>
        <w:t>stern Australia accounted for 64.2</w:t>
      </w:r>
      <w:r w:rsidRPr="00CF037E">
        <w:rPr>
          <w:sz w:val="16"/>
        </w:rPr>
        <w:t>% of Australia’s minerals exploration expenditure in 20</w:t>
      </w:r>
      <w:r w:rsidR="00281E20" w:rsidRPr="00CF037E">
        <w:rPr>
          <w:sz w:val="16"/>
        </w:rPr>
        <w:t>21</w:t>
      </w:r>
      <w:r w:rsidR="00835C44" w:rsidRPr="00CF037E">
        <w:rPr>
          <w:sz w:val="16"/>
        </w:rPr>
        <w:t>-22</w:t>
      </w:r>
      <w:r w:rsidRPr="00CF037E">
        <w:rPr>
          <w:sz w:val="16"/>
        </w:rPr>
        <w:t>.</w:t>
      </w:r>
    </w:p>
    <w:p w14:paraId="4E7DE91A" w14:textId="3514A5AF" w:rsidR="00FD2E59" w:rsidRPr="00CF037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037E">
        <w:rPr>
          <w:sz w:val="16"/>
        </w:rPr>
        <w:t>The value of minerals exploration expendi</w:t>
      </w:r>
      <w:r w:rsidR="00281E20" w:rsidRPr="00CF037E">
        <w:rPr>
          <w:sz w:val="16"/>
        </w:rPr>
        <w:t xml:space="preserve">ture in Western Australia rose </w:t>
      </w:r>
      <w:r w:rsidR="00EE0DB6" w:rsidRPr="00CF037E">
        <w:rPr>
          <w:sz w:val="16"/>
        </w:rPr>
        <w:t>20.7</w:t>
      </w:r>
      <w:r w:rsidR="00281E20" w:rsidRPr="00CF037E">
        <w:rPr>
          <w:sz w:val="16"/>
        </w:rPr>
        <w:t>% to $2.</w:t>
      </w:r>
      <w:r w:rsidR="00EE0DB6" w:rsidRPr="00CF037E">
        <w:rPr>
          <w:sz w:val="16"/>
        </w:rPr>
        <w:t>5</w:t>
      </w:r>
      <w:r w:rsidR="002C159F" w:rsidRPr="00CF037E">
        <w:rPr>
          <w:sz w:val="16"/>
        </w:rPr>
        <w:t> </w:t>
      </w:r>
      <w:r w:rsidRPr="00CF037E">
        <w:rPr>
          <w:sz w:val="16"/>
        </w:rPr>
        <w:t>billion in 20</w:t>
      </w:r>
      <w:r w:rsidR="00281E20" w:rsidRPr="00CF037E">
        <w:rPr>
          <w:sz w:val="16"/>
        </w:rPr>
        <w:t>21</w:t>
      </w:r>
      <w:r w:rsidR="00C263B0" w:rsidRPr="00CF037E">
        <w:rPr>
          <w:sz w:val="16"/>
        </w:rPr>
        <w:noBreakHyphen/>
      </w:r>
      <w:r w:rsidR="00835C44" w:rsidRPr="00CF037E">
        <w:rPr>
          <w:sz w:val="16"/>
        </w:rPr>
        <w:t>22</w:t>
      </w:r>
      <w:r w:rsidRPr="00CF037E">
        <w:rPr>
          <w:sz w:val="16"/>
        </w:rPr>
        <w:t>, mainly due to increases in iron ore</w:t>
      </w:r>
      <w:r w:rsidR="00BF2F83" w:rsidRPr="00CF037E">
        <w:rPr>
          <w:sz w:val="16"/>
        </w:rPr>
        <w:t xml:space="preserve"> and copper </w:t>
      </w:r>
      <w:r w:rsidRPr="00CF037E">
        <w:rPr>
          <w:sz w:val="16"/>
        </w:rPr>
        <w:t>exploration.</w:t>
      </w:r>
    </w:p>
    <w:p w14:paraId="4F645EBD" w14:textId="690CE464" w:rsidR="00FD2E59" w:rsidRPr="00CF037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037E">
        <w:rPr>
          <w:sz w:val="16"/>
        </w:rPr>
        <w:t>In 20</w:t>
      </w:r>
      <w:r w:rsidR="00281E20" w:rsidRPr="00CF037E">
        <w:rPr>
          <w:sz w:val="16"/>
        </w:rPr>
        <w:t>21</w:t>
      </w:r>
      <w:r w:rsidR="00C263B0" w:rsidRPr="00CF037E">
        <w:rPr>
          <w:sz w:val="16"/>
        </w:rPr>
        <w:noBreakHyphen/>
      </w:r>
      <w:r w:rsidR="00835C44" w:rsidRPr="00CF037E">
        <w:rPr>
          <w:sz w:val="16"/>
        </w:rPr>
        <w:t>22</w:t>
      </w:r>
      <w:r w:rsidRPr="00CF037E">
        <w:rPr>
          <w:sz w:val="16"/>
        </w:rPr>
        <w:t xml:space="preserve">, the value of exploration expenditure </w:t>
      </w:r>
      <w:r w:rsidR="002B4436">
        <w:rPr>
          <w:sz w:val="16"/>
        </w:rPr>
        <w:t xml:space="preserve">in Western Australia </w:t>
      </w:r>
      <w:r w:rsidR="00C263B0" w:rsidRPr="00CF037E">
        <w:rPr>
          <w:sz w:val="16"/>
        </w:rPr>
        <w:t>o</w:t>
      </w:r>
      <w:r w:rsidRPr="00CF037E">
        <w:rPr>
          <w:sz w:val="16"/>
        </w:rPr>
        <w:t>n:</w:t>
      </w:r>
    </w:p>
    <w:p w14:paraId="6E81D36D" w14:textId="6512E81B" w:rsidR="00BF2F83" w:rsidRPr="00CF037E" w:rsidRDefault="00B11DBC" w:rsidP="00BF2F8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i</w:t>
      </w:r>
      <w:r w:rsidR="00BF2F83" w:rsidRPr="00CF037E">
        <w:rPr>
          <w:sz w:val="16"/>
        </w:rPr>
        <w:t>ron ore rose 30.0% to $592 million</w:t>
      </w:r>
    </w:p>
    <w:p w14:paraId="0598DFF5" w14:textId="75B50E50" w:rsidR="00BF2F83" w:rsidRPr="00CF037E" w:rsidRDefault="00B11DBC" w:rsidP="00BF2F8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c</w:t>
      </w:r>
      <w:r w:rsidR="00BF2F83" w:rsidRPr="00CF037E">
        <w:rPr>
          <w:sz w:val="16"/>
        </w:rPr>
        <w:t>opper rose 72.8% to $255 million</w:t>
      </w:r>
    </w:p>
    <w:p w14:paraId="49DDC3B6" w14:textId="6AEDE4C1" w:rsidR="001E1380" w:rsidRPr="00CF037E" w:rsidRDefault="00B11DBC" w:rsidP="00BF2F8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o</w:t>
      </w:r>
      <w:r w:rsidR="001E1380" w:rsidRPr="00CF037E">
        <w:rPr>
          <w:sz w:val="16"/>
        </w:rPr>
        <w:t>ther</w:t>
      </w:r>
      <w:proofErr w:type="gramEnd"/>
      <w:r w:rsidR="001E1380" w:rsidRPr="00CF037E">
        <w:rPr>
          <w:sz w:val="16"/>
        </w:rPr>
        <w:t xml:space="preserve"> minerals (include lithium, rare earths an</w:t>
      </w:r>
      <w:r w:rsidR="00C263B0" w:rsidRPr="00CF037E">
        <w:rPr>
          <w:sz w:val="16"/>
        </w:rPr>
        <w:t>d manganese) rose 36.7% to $264 </w:t>
      </w:r>
      <w:r w:rsidR="001E1380" w:rsidRPr="00CF037E">
        <w:rPr>
          <w:sz w:val="16"/>
        </w:rPr>
        <w:t>million.</w:t>
      </w:r>
    </w:p>
    <w:p w14:paraId="70C54BFD" w14:textId="29D2B3B0" w:rsidR="00FD2E59" w:rsidRPr="00CF037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037E">
        <w:rPr>
          <w:sz w:val="16"/>
        </w:rPr>
        <w:t>We</w:t>
      </w:r>
      <w:r w:rsidR="00281E20" w:rsidRPr="00CF037E">
        <w:rPr>
          <w:sz w:val="16"/>
        </w:rPr>
        <w:t>stern Australia accounted for 4</w:t>
      </w:r>
      <w:r w:rsidR="006D6416" w:rsidRPr="00CF037E">
        <w:rPr>
          <w:sz w:val="16"/>
        </w:rPr>
        <w:t>9.4</w:t>
      </w:r>
      <w:r w:rsidRPr="00CF037E">
        <w:rPr>
          <w:sz w:val="16"/>
        </w:rPr>
        <w:t>% of Australia’s petroleum exploration expenditure in 20</w:t>
      </w:r>
      <w:r w:rsidR="00281E20" w:rsidRPr="00CF037E">
        <w:rPr>
          <w:sz w:val="16"/>
        </w:rPr>
        <w:t>21</w:t>
      </w:r>
      <w:r w:rsidR="00C263B0" w:rsidRPr="00CF037E">
        <w:rPr>
          <w:sz w:val="16"/>
        </w:rPr>
        <w:noBreakHyphen/>
      </w:r>
      <w:r w:rsidR="00835C44" w:rsidRPr="00CF037E">
        <w:rPr>
          <w:sz w:val="16"/>
        </w:rPr>
        <w:t>22</w:t>
      </w:r>
      <w:r w:rsidRPr="00CF037E">
        <w:rPr>
          <w:sz w:val="16"/>
        </w:rPr>
        <w:t>.</w:t>
      </w:r>
    </w:p>
    <w:p w14:paraId="5C011195" w14:textId="2BEEEC15" w:rsidR="00FD2E59" w:rsidRPr="00CF037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037E">
        <w:rPr>
          <w:sz w:val="16"/>
        </w:rPr>
        <w:t xml:space="preserve">The value of petroleum exploration expenditure in Western Australia </w:t>
      </w:r>
      <w:r w:rsidR="00F66870" w:rsidRPr="00CF037E">
        <w:rPr>
          <w:sz w:val="16"/>
        </w:rPr>
        <w:t xml:space="preserve">rose </w:t>
      </w:r>
      <w:r w:rsidR="006D6416" w:rsidRPr="00CF037E">
        <w:rPr>
          <w:sz w:val="16"/>
        </w:rPr>
        <w:t>28.3% to $567</w:t>
      </w:r>
      <w:r w:rsidR="00C96929" w:rsidRPr="00CF037E">
        <w:rPr>
          <w:sz w:val="16"/>
        </w:rPr>
        <w:t> </w:t>
      </w:r>
      <w:r w:rsidRPr="00CF037E">
        <w:rPr>
          <w:sz w:val="16"/>
        </w:rPr>
        <w:t>million in 20</w:t>
      </w:r>
      <w:r w:rsidR="00281E20" w:rsidRPr="00CF037E">
        <w:rPr>
          <w:sz w:val="16"/>
        </w:rPr>
        <w:t>21</w:t>
      </w:r>
      <w:r w:rsidR="00C263B0" w:rsidRPr="00CF037E">
        <w:rPr>
          <w:sz w:val="16"/>
        </w:rPr>
        <w:noBreakHyphen/>
      </w:r>
      <w:r w:rsidR="00835C44" w:rsidRPr="00CF037E">
        <w:rPr>
          <w:sz w:val="16"/>
        </w:rPr>
        <w:t>22</w:t>
      </w:r>
      <w:r w:rsidRPr="00CF037E">
        <w:rPr>
          <w:sz w:val="16"/>
        </w:rPr>
        <w:t>.</w:t>
      </w:r>
    </w:p>
    <w:p w14:paraId="300C77E4" w14:textId="7CA19B71" w:rsidR="00FD2E59" w:rsidRPr="005864F8" w:rsidRDefault="00BF2F83" w:rsidP="00FD2E59">
      <w:pPr>
        <w:pStyle w:val="BodyText"/>
        <w:spacing w:after="0"/>
        <w:jc w:val="both"/>
        <w:rPr>
          <w:color w:val="FF0000"/>
          <w:sz w:val="16"/>
        </w:rPr>
        <w:sectPr w:rsidR="00FD2E59" w:rsidRPr="005864F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color w:val="FF0000"/>
          <w:sz w:val="16"/>
        </w:rPr>
        <w:t xml:space="preserve">  </w:t>
      </w:r>
    </w:p>
    <w:p w14:paraId="69603BD8" w14:textId="0783574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engineering construction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C00EC0">
        <w:rPr>
          <w:b/>
          <w:color w:val="92278F" w:themeColor="accent1"/>
          <w:sz w:val="20"/>
        </w:rPr>
        <w:t>q</w:t>
      </w:r>
      <w:r w:rsidRPr="00020369">
        <w:rPr>
          <w:b/>
          <w:color w:val="92278F" w:themeColor="accent1"/>
          <w:sz w:val="20"/>
        </w:rPr>
        <w:t>uarters</w:t>
      </w:r>
    </w:p>
    <w:p w14:paraId="2BE4BB64" w14:textId="701F042A" w:rsidR="00FD2E59" w:rsidRPr="00432DF3" w:rsidRDefault="00D210F4" w:rsidP="00432DF3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CD93C15" wp14:editId="6715373D">
            <wp:extent cx="3429000" cy="2057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07" cy="206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5B0B7" w14:textId="77777777" w:rsidR="00FD2E59" w:rsidRPr="00AD38D1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Note –The large value of engineering construction activity in the September quarter 2017 was mainly due to the arrival of the Prelude Floating LNG Plant. </w:t>
      </w: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Seasonally adjusted series.</w:t>
      </w:r>
    </w:p>
    <w:p w14:paraId="6C891799" w14:textId="242ED9B9" w:rsidR="00FD2E59" w:rsidRPr="00AF0787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 xml:space="preserve">Source: </w:t>
      </w:r>
      <w:r w:rsidR="00637898" w:rsidRPr="00332C9E">
        <w:rPr>
          <w:sz w:val="10"/>
        </w:rPr>
        <w:t xml:space="preserve">Based on data from </w:t>
      </w:r>
      <w:r w:rsidRPr="00AD38D1">
        <w:rPr>
          <w:sz w:val="10"/>
        </w:rPr>
        <w:t>ABS 8762.0 Engineering Construction A</w:t>
      </w:r>
      <w:r>
        <w:rPr>
          <w:sz w:val="10"/>
        </w:rPr>
        <w:t>ctivity, Australia (Quarterly</w:t>
      </w:r>
      <w:r w:rsidRPr="00AD38D1">
        <w:rPr>
          <w:sz w:val="10"/>
        </w:rPr>
        <w:t>).</w:t>
      </w:r>
    </w:p>
    <w:p w14:paraId="625B2E7C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4ECE1722" w14:textId="77777777" w:rsidR="00432DF3" w:rsidRDefault="00FD2E59" w:rsidP="00432DF3">
      <w:pPr>
        <w:pStyle w:val="BodyText"/>
        <w:spacing w:after="0"/>
        <w:jc w:val="both"/>
        <w:rPr>
          <w:sz w:val="16"/>
        </w:rPr>
      </w:pPr>
      <w:r w:rsidRPr="0019392F">
        <w:rPr>
          <w:sz w:val="16"/>
        </w:rPr>
        <w:br w:type="column"/>
      </w:r>
    </w:p>
    <w:p w14:paraId="67CC45EA" w14:textId="5ACCCACD" w:rsidR="0019392F" w:rsidRPr="00AA57C4" w:rsidRDefault="00FD2E59" w:rsidP="0019392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value of engineerin</w:t>
      </w:r>
      <w:r w:rsidR="00047CD3" w:rsidRPr="00AA57C4">
        <w:rPr>
          <w:sz w:val="16"/>
        </w:rPr>
        <w:t xml:space="preserve">g construction </w:t>
      </w:r>
      <w:r w:rsidR="002B4436" w:rsidRPr="00AA57C4">
        <w:rPr>
          <w:sz w:val="16"/>
        </w:rPr>
        <w:t xml:space="preserve">activity in Western Australia </w:t>
      </w:r>
      <w:r w:rsidR="0007503F" w:rsidRPr="00AA57C4">
        <w:rPr>
          <w:sz w:val="16"/>
        </w:rPr>
        <w:t>rose</w:t>
      </w:r>
      <w:r w:rsidR="00EB48B0" w:rsidRPr="00AA57C4">
        <w:rPr>
          <w:sz w:val="16"/>
        </w:rPr>
        <w:t xml:space="preserve"> </w:t>
      </w:r>
      <w:r w:rsidR="0019392F" w:rsidRPr="00AA57C4">
        <w:rPr>
          <w:sz w:val="16"/>
        </w:rPr>
        <w:t xml:space="preserve">by </w:t>
      </w:r>
      <w:r w:rsidR="0007503F" w:rsidRPr="00AA57C4">
        <w:rPr>
          <w:sz w:val="16"/>
        </w:rPr>
        <w:t>7.8</w:t>
      </w:r>
      <w:r w:rsidR="00456CE4" w:rsidRPr="00AA57C4">
        <w:rPr>
          <w:sz w:val="16"/>
        </w:rPr>
        <w:t>% to $</w:t>
      </w:r>
      <w:r w:rsidR="0007503F" w:rsidRPr="00AA57C4">
        <w:rPr>
          <w:sz w:val="16"/>
        </w:rPr>
        <w:t>5.5</w:t>
      </w:r>
      <w:r w:rsidR="00C96929" w:rsidRPr="00AA57C4">
        <w:rPr>
          <w:sz w:val="16"/>
        </w:rPr>
        <w:t> </w:t>
      </w:r>
      <w:r w:rsidR="00EB6967" w:rsidRPr="00AA57C4">
        <w:rPr>
          <w:sz w:val="16"/>
        </w:rPr>
        <w:t xml:space="preserve">billion in the </w:t>
      </w:r>
      <w:r w:rsidR="003C4E45" w:rsidRPr="00AA57C4">
        <w:rPr>
          <w:sz w:val="16"/>
        </w:rPr>
        <w:t>September</w:t>
      </w:r>
      <w:r w:rsidR="00EB48B0" w:rsidRPr="00AA57C4">
        <w:rPr>
          <w:sz w:val="16"/>
        </w:rPr>
        <w:t xml:space="preserve"> </w:t>
      </w:r>
      <w:r w:rsidR="00EB6967" w:rsidRPr="00AA57C4">
        <w:rPr>
          <w:sz w:val="16"/>
        </w:rPr>
        <w:t>quarter 202</w:t>
      </w:r>
      <w:r w:rsidR="00456CE4" w:rsidRPr="00AA57C4">
        <w:rPr>
          <w:sz w:val="16"/>
        </w:rPr>
        <w:t>2</w:t>
      </w:r>
      <w:r w:rsidR="00EB6967" w:rsidRPr="00AA57C4">
        <w:rPr>
          <w:sz w:val="16"/>
        </w:rPr>
        <w:t xml:space="preserve">, following a </w:t>
      </w:r>
      <w:r w:rsidR="0007503F" w:rsidRPr="00AA57C4">
        <w:rPr>
          <w:sz w:val="16"/>
        </w:rPr>
        <w:t>rise of 2.3</w:t>
      </w:r>
      <w:r w:rsidR="00EB6967" w:rsidRPr="00AA57C4">
        <w:rPr>
          <w:sz w:val="16"/>
        </w:rPr>
        <w:t xml:space="preserve">% in the </w:t>
      </w:r>
      <w:r w:rsidR="0007503F" w:rsidRPr="00AA57C4">
        <w:rPr>
          <w:sz w:val="16"/>
        </w:rPr>
        <w:t>June</w:t>
      </w:r>
      <w:r w:rsidR="00EB48B0" w:rsidRPr="00AA57C4">
        <w:rPr>
          <w:sz w:val="16"/>
        </w:rPr>
        <w:t xml:space="preserve"> </w:t>
      </w:r>
      <w:r w:rsidR="00EB6967" w:rsidRPr="00AA57C4">
        <w:rPr>
          <w:sz w:val="16"/>
        </w:rPr>
        <w:t>quarter 202</w:t>
      </w:r>
      <w:r w:rsidR="00EB48B0" w:rsidRPr="00AA57C4">
        <w:rPr>
          <w:sz w:val="16"/>
        </w:rPr>
        <w:t>2</w:t>
      </w:r>
      <w:r w:rsidRPr="00AA57C4">
        <w:rPr>
          <w:sz w:val="16"/>
        </w:rPr>
        <w:t>.</w:t>
      </w:r>
    </w:p>
    <w:p w14:paraId="4D376B84" w14:textId="06B8BE01" w:rsidR="00FD2E59" w:rsidRPr="00AA57C4" w:rsidRDefault="00FD2E59" w:rsidP="0019392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In 20</w:t>
      </w:r>
      <w:r w:rsidR="00EB6967" w:rsidRPr="00AA57C4">
        <w:rPr>
          <w:sz w:val="16"/>
        </w:rPr>
        <w:t>21</w:t>
      </w:r>
      <w:r w:rsidR="00EB48B0" w:rsidRPr="00AA57C4">
        <w:rPr>
          <w:sz w:val="16"/>
        </w:rPr>
        <w:t>-22</w:t>
      </w:r>
      <w:r w:rsidRPr="00AA57C4">
        <w:rPr>
          <w:sz w:val="16"/>
        </w:rPr>
        <w:t xml:space="preserve">, the value of engineering </w:t>
      </w:r>
      <w:r w:rsidR="00EB6967" w:rsidRPr="00AA57C4">
        <w:rPr>
          <w:sz w:val="16"/>
        </w:rPr>
        <w:t xml:space="preserve">construction activity </w:t>
      </w:r>
      <w:r w:rsidR="002B4436" w:rsidRPr="00AA57C4">
        <w:rPr>
          <w:sz w:val="16"/>
        </w:rPr>
        <w:t xml:space="preserve">in Western Australia </w:t>
      </w:r>
      <w:r w:rsidR="00BF51E6" w:rsidRPr="00AA57C4">
        <w:rPr>
          <w:sz w:val="16"/>
        </w:rPr>
        <w:t>fell by 2.2</w:t>
      </w:r>
      <w:r w:rsidRPr="00AA57C4">
        <w:rPr>
          <w:sz w:val="16"/>
        </w:rPr>
        <w:t>% to $</w:t>
      </w:r>
      <w:r w:rsidR="00BF51E6" w:rsidRPr="00AA57C4">
        <w:rPr>
          <w:sz w:val="16"/>
        </w:rPr>
        <w:t>19.8</w:t>
      </w:r>
      <w:r w:rsidR="00C96929" w:rsidRPr="00AA57C4">
        <w:rPr>
          <w:sz w:val="16"/>
        </w:rPr>
        <w:t> </w:t>
      </w:r>
      <w:r w:rsidRPr="00AA57C4">
        <w:rPr>
          <w:sz w:val="16"/>
        </w:rPr>
        <w:t>billion</w:t>
      </w:r>
      <w:r w:rsidR="0019392F" w:rsidRPr="00AA57C4">
        <w:rPr>
          <w:sz w:val="16"/>
        </w:rPr>
        <w:t xml:space="preserve">. </w:t>
      </w:r>
      <w:r w:rsidR="00424726" w:rsidRPr="00AA57C4">
        <w:rPr>
          <w:sz w:val="16"/>
        </w:rPr>
        <w:t xml:space="preserve">This </w:t>
      </w:r>
      <w:r w:rsidR="002B4436" w:rsidRPr="00AA57C4">
        <w:rPr>
          <w:sz w:val="16"/>
        </w:rPr>
        <w:t xml:space="preserve">was </w:t>
      </w:r>
      <w:r w:rsidR="00424726" w:rsidRPr="00AA57C4">
        <w:rPr>
          <w:sz w:val="16"/>
        </w:rPr>
        <w:t>due to</w:t>
      </w:r>
      <w:r w:rsidRPr="00AA57C4">
        <w:rPr>
          <w:sz w:val="16"/>
        </w:rPr>
        <w:t>:</w:t>
      </w:r>
    </w:p>
    <w:p w14:paraId="21D5FE16" w14:textId="2ECA1368" w:rsidR="00424726" w:rsidRPr="00AA57C4" w:rsidRDefault="00B11DBC" w:rsidP="0042472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h</w:t>
      </w:r>
      <w:r w:rsidR="00424726" w:rsidRPr="00AA57C4">
        <w:rPr>
          <w:sz w:val="16"/>
        </w:rPr>
        <w:t xml:space="preserve">eavy industry falling </w:t>
      </w:r>
      <w:r w:rsidR="00BF51E6" w:rsidRPr="00AA57C4">
        <w:rPr>
          <w:sz w:val="16"/>
        </w:rPr>
        <w:t>16.0% to $11.5</w:t>
      </w:r>
      <w:r w:rsidR="00424726" w:rsidRPr="00AA57C4">
        <w:rPr>
          <w:sz w:val="16"/>
        </w:rPr>
        <w:t> billion</w:t>
      </w:r>
    </w:p>
    <w:p w14:paraId="33739EA2" w14:textId="74CD6879" w:rsidR="00424726" w:rsidRPr="00AA57C4" w:rsidRDefault="00B11DBC" w:rsidP="0042472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r</w:t>
      </w:r>
      <w:r w:rsidR="00424726" w:rsidRPr="00AA57C4">
        <w:rPr>
          <w:sz w:val="16"/>
        </w:rPr>
        <w:t>ecreation</w:t>
      </w:r>
      <w:proofErr w:type="gramEnd"/>
      <w:r w:rsidR="00424726" w:rsidRPr="00AA57C4">
        <w:rPr>
          <w:sz w:val="16"/>
        </w:rPr>
        <w:t xml:space="preserve"> and other falling 9.2% to $404 million.</w:t>
      </w:r>
    </w:p>
    <w:p w14:paraId="73BBE219" w14:textId="6D1D067C" w:rsidR="00424726" w:rsidRPr="00AA57C4" w:rsidRDefault="00424726" w:rsidP="0042472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value of engineering construction</w:t>
      </w:r>
      <w:r w:rsidR="002B4436" w:rsidRPr="00AA57C4">
        <w:rPr>
          <w:sz w:val="16"/>
        </w:rPr>
        <w:t xml:space="preserve"> activity</w:t>
      </w:r>
      <w:r w:rsidRPr="00AA57C4">
        <w:rPr>
          <w:sz w:val="16"/>
        </w:rPr>
        <w:t xml:space="preserve"> </w:t>
      </w:r>
      <w:r w:rsidR="002B4436" w:rsidRPr="00AA57C4">
        <w:rPr>
          <w:sz w:val="16"/>
        </w:rPr>
        <w:t xml:space="preserve">in Western Australia </w:t>
      </w:r>
      <w:r w:rsidRPr="00AA57C4">
        <w:rPr>
          <w:sz w:val="16"/>
        </w:rPr>
        <w:t>activity in 2021-22</w:t>
      </w:r>
      <w:r w:rsidR="006F6B44" w:rsidRPr="00AA57C4">
        <w:rPr>
          <w:sz w:val="16"/>
        </w:rPr>
        <w:t xml:space="preserve"> rose for</w:t>
      </w:r>
      <w:r w:rsidRPr="00AA57C4">
        <w:rPr>
          <w:sz w:val="16"/>
        </w:rPr>
        <w:t>:</w:t>
      </w:r>
    </w:p>
    <w:p w14:paraId="51701E71" w14:textId="4A2EFC7E" w:rsidR="006B74CF" w:rsidRPr="00AA57C4" w:rsidRDefault="00B11DBC" w:rsidP="006B74CF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r</w:t>
      </w:r>
      <w:r w:rsidR="006B74CF" w:rsidRPr="00AA57C4">
        <w:rPr>
          <w:sz w:val="16"/>
        </w:rPr>
        <w:t xml:space="preserve">oads, highways and subdivisions </w:t>
      </w:r>
      <w:r w:rsidR="00424726" w:rsidRPr="00AA57C4">
        <w:rPr>
          <w:sz w:val="16"/>
        </w:rPr>
        <w:t xml:space="preserve">(up </w:t>
      </w:r>
      <w:r w:rsidR="006B74CF" w:rsidRPr="00AA57C4">
        <w:rPr>
          <w:sz w:val="16"/>
        </w:rPr>
        <w:t>32.8% to $2.1 billion</w:t>
      </w:r>
      <w:r w:rsidR="00424726" w:rsidRPr="00AA57C4">
        <w:rPr>
          <w:sz w:val="16"/>
        </w:rPr>
        <w:t>)</w:t>
      </w:r>
    </w:p>
    <w:p w14:paraId="69ABD37D" w14:textId="54D23A8A" w:rsidR="006B74CF" w:rsidRPr="00AA57C4" w:rsidRDefault="00B11DBC" w:rsidP="006B74CF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w</w:t>
      </w:r>
      <w:r w:rsidR="006B74CF" w:rsidRPr="00AA57C4">
        <w:rPr>
          <w:sz w:val="16"/>
        </w:rPr>
        <w:t xml:space="preserve">ater storage and supply, sewerage and drainage </w:t>
      </w:r>
      <w:r w:rsidR="00424726" w:rsidRPr="00AA57C4">
        <w:rPr>
          <w:sz w:val="16"/>
        </w:rPr>
        <w:t>(up</w:t>
      </w:r>
      <w:r w:rsidR="006B74CF" w:rsidRPr="00AA57C4">
        <w:rPr>
          <w:sz w:val="16"/>
        </w:rPr>
        <w:t xml:space="preserve"> 73.7% to $1.1 billion</w:t>
      </w:r>
      <w:r w:rsidR="00424726" w:rsidRPr="00AA57C4">
        <w:rPr>
          <w:sz w:val="16"/>
        </w:rPr>
        <w:t>)</w:t>
      </w:r>
    </w:p>
    <w:p w14:paraId="77F8B803" w14:textId="49BF09B7" w:rsidR="006B74CF" w:rsidRPr="00AA57C4" w:rsidRDefault="00B11DBC" w:rsidP="00C4653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e</w:t>
      </w:r>
      <w:r w:rsidR="006B74CF" w:rsidRPr="00AA57C4">
        <w:rPr>
          <w:sz w:val="16"/>
        </w:rPr>
        <w:t xml:space="preserve">lectricity generation, transmission and distribution and pipelines </w:t>
      </w:r>
      <w:r w:rsidR="00424726" w:rsidRPr="00AA57C4">
        <w:rPr>
          <w:sz w:val="16"/>
        </w:rPr>
        <w:t>(up</w:t>
      </w:r>
      <w:r w:rsidR="006B74CF" w:rsidRPr="00AA57C4">
        <w:rPr>
          <w:sz w:val="16"/>
        </w:rPr>
        <w:t xml:space="preserve"> </w:t>
      </w:r>
      <w:r w:rsidR="00BF51E6" w:rsidRPr="00AA57C4">
        <w:rPr>
          <w:sz w:val="16"/>
        </w:rPr>
        <w:t>21.6</w:t>
      </w:r>
      <w:r w:rsidR="006B74CF" w:rsidRPr="00AA57C4">
        <w:rPr>
          <w:sz w:val="16"/>
        </w:rPr>
        <w:t>% to $2.3</w:t>
      </w:r>
      <w:r w:rsidR="00C76027" w:rsidRPr="00AA57C4">
        <w:rPr>
          <w:sz w:val="16"/>
        </w:rPr>
        <w:t> </w:t>
      </w:r>
      <w:r w:rsidR="006B74CF" w:rsidRPr="00AA57C4">
        <w:rPr>
          <w:sz w:val="16"/>
        </w:rPr>
        <w:t>billion</w:t>
      </w:r>
      <w:r w:rsidR="00424726" w:rsidRPr="00AA57C4">
        <w:rPr>
          <w:sz w:val="16"/>
        </w:rPr>
        <w:t>)</w:t>
      </w:r>
    </w:p>
    <w:p w14:paraId="7478A19B" w14:textId="591AD3EC" w:rsidR="006B74CF" w:rsidRPr="00AA57C4" w:rsidRDefault="00B11DBC" w:rsidP="006B74CF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b</w:t>
      </w:r>
      <w:r w:rsidR="006B74CF" w:rsidRPr="00AA57C4">
        <w:rPr>
          <w:sz w:val="16"/>
        </w:rPr>
        <w:t xml:space="preserve">ridges, railways and harbours </w:t>
      </w:r>
      <w:r w:rsidR="00424726" w:rsidRPr="00AA57C4">
        <w:rPr>
          <w:sz w:val="16"/>
        </w:rPr>
        <w:t xml:space="preserve">(up </w:t>
      </w:r>
      <w:r w:rsidR="00BF51E6" w:rsidRPr="00AA57C4">
        <w:rPr>
          <w:sz w:val="16"/>
        </w:rPr>
        <w:t>16.5</w:t>
      </w:r>
      <w:r w:rsidR="006B74CF" w:rsidRPr="00AA57C4">
        <w:rPr>
          <w:sz w:val="16"/>
        </w:rPr>
        <w:t>% to $1.6 billion</w:t>
      </w:r>
      <w:r w:rsidR="00424726" w:rsidRPr="00AA57C4">
        <w:rPr>
          <w:sz w:val="16"/>
        </w:rPr>
        <w:t>)</w:t>
      </w:r>
    </w:p>
    <w:p w14:paraId="520336E4" w14:textId="3EBA0173" w:rsidR="00FD2E59" w:rsidRPr="00AA57C4" w:rsidRDefault="00B11DBC" w:rsidP="00387DE0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RPr="00AA57C4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proofErr w:type="gramStart"/>
      <w:r w:rsidRPr="00AA57C4">
        <w:rPr>
          <w:sz w:val="16"/>
        </w:rPr>
        <w:t>t</w:t>
      </w:r>
      <w:r w:rsidR="006B74CF" w:rsidRPr="00AA57C4">
        <w:rPr>
          <w:sz w:val="16"/>
        </w:rPr>
        <w:t>elecommunications</w:t>
      </w:r>
      <w:proofErr w:type="gramEnd"/>
      <w:r w:rsidR="006B74CF" w:rsidRPr="00AA57C4">
        <w:rPr>
          <w:sz w:val="16"/>
        </w:rPr>
        <w:t xml:space="preserve"> </w:t>
      </w:r>
      <w:r w:rsidR="00424726" w:rsidRPr="00AA57C4">
        <w:rPr>
          <w:sz w:val="16"/>
        </w:rPr>
        <w:t>(up</w:t>
      </w:r>
      <w:r w:rsidR="00BF51E6" w:rsidRPr="00AA57C4">
        <w:rPr>
          <w:sz w:val="16"/>
        </w:rPr>
        <w:t xml:space="preserve"> 32.5% to $666</w:t>
      </w:r>
      <w:r w:rsidR="00C76027" w:rsidRPr="00AA57C4">
        <w:rPr>
          <w:sz w:val="16"/>
        </w:rPr>
        <w:t> </w:t>
      </w:r>
      <w:r w:rsidR="006B74CF" w:rsidRPr="00AA57C4">
        <w:rPr>
          <w:sz w:val="16"/>
        </w:rPr>
        <w:t>million</w:t>
      </w:r>
      <w:r w:rsidR="00424726" w:rsidRPr="00AA57C4">
        <w:rPr>
          <w:sz w:val="16"/>
        </w:rPr>
        <w:t>)</w:t>
      </w:r>
      <w:r w:rsidR="00A5645B" w:rsidRPr="00AA57C4">
        <w:rPr>
          <w:sz w:val="16"/>
        </w:rPr>
        <w:t>.</w:t>
      </w:r>
    </w:p>
    <w:p w14:paraId="605DB745" w14:textId="153EA591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building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C00EC0">
        <w:rPr>
          <w:b/>
          <w:color w:val="92278F" w:themeColor="accent1"/>
          <w:sz w:val="20"/>
        </w:rPr>
        <w:t>q</w:t>
      </w:r>
      <w:r w:rsidRPr="00020369">
        <w:rPr>
          <w:b/>
          <w:color w:val="92278F" w:themeColor="accent1"/>
          <w:sz w:val="20"/>
        </w:rPr>
        <w:t>uarters</w:t>
      </w:r>
    </w:p>
    <w:p w14:paraId="064CC83B" w14:textId="205A6F68" w:rsidR="00FD2E59" w:rsidRDefault="0007131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F436E75" wp14:editId="2D5628E0">
            <wp:extent cx="3418417" cy="20510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313" cy="205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E504" w14:textId="158D63DC" w:rsidR="00125AEF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  <w:vertAlign w:val="superscript"/>
        </w:rPr>
        <w:t>1</w:t>
      </w:r>
      <w:r w:rsidRPr="00ED3DB7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ED3DB7">
        <w:rPr>
          <w:sz w:val="10"/>
        </w:rPr>
        <w:t>. Seasonally adjusted series (except for total building activity in the pipeline).</w:t>
      </w:r>
    </w:p>
    <w:p w14:paraId="4AAA4411" w14:textId="312C355C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(a) Total residential and non-residential building activity in the pipeline. Original series.</w:t>
      </w:r>
    </w:p>
    <w:p w14:paraId="010228B4" w14:textId="1F3C1958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 xml:space="preserve">Source: </w:t>
      </w:r>
      <w:r w:rsidR="00637898" w:rsidRPr="00D74050">
        <w:rPr>
          <w:sz w:val="10"/>
        </w:rPr>
        <w:t xml:space="preserve">Based on data from </w:t>
      </w:r>
      <w:r w:rsidRPr="00332C9E">
        <w:rPr>
          <w:sz w:val="10"/>
        </w:rPr>
        <w:t xml:space="preserve">ABS </w:t>
      </w:r>
      <w:r w:rsidRPr="00ED3DB7">
        <w:rPr>
          <w:sz w:val="10"/>
        </w:rPr>
        <w:t>8752.0 Building Activity, Australia (Quarterly).</w:t>
      </w:r>
    </w:p>
    <w:p w14:paraId="4AE043C7" w14:textId="77777777" w:rsidR="00FD2E59" w:rsidRDefault="00FD2E59" w:rsidP="00FD2E59">
      <w:pPr>
        <w:spacing w:after="0"/>
        <w:jc w:val="both"/>
        <w:rPr>
          <w:sz w:val="16"/>
        </w:rPr>
      </w:pPr>
    </w:p>
    <w:p w14:paraId="18950097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7A53E796" w14:textId="77777777" w:rsidR="00432DF3" w:rsidRDefault="00FD2E59" w:rsidP="00432DF3">
      <w:pPr>
        <w:pStyle w:val="BodyText"/>
        <w:spacing w:after="0"/>
        <w:jc w:val="both"/>
        <w:rPr>
          <w:sz w:val="16"/>
        </w:rPr>
      </w:pPr>
      <w:r w:rsidRPr="00ED3DB7">
        <w:rPr>
          <w:sz w:val="16"/>
        </w:rPr>
        <w:br w:type="column"/>
      </w:r>
    </w:p>
    <w:p w14:paraId="274450E3" w14:textId="084A503F" w:rsidR="00FD2E59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The value of </w:t>
      </w:r>
      <w:r w:rsidR="002B4436" w:rsidRPr="00AA57C4">
        <w:rPr>
          <w:sz w:val="16"/>
        </w:rPr>
        <w:t xml:space="preserve">building activity in </w:t>
      </w:r>
      <w:r w:rsidRPr="00AA57C4">
        <w:rPr>
          <w:sz w:val="16"/>
        </w:rPr>
        <w:t xml:space="preserve">Western Australia </w:t>
      </w:r>
      <w:r w:rsidR="00071319" w:rsidRPr="00AA57C4">
        <w:rPr>
          <w:sz w:val="16"/>
        </w:rPr>
        <w:t>fell</w:t>
      </w:r>
      <w:r w:rsidRPr="00AA57C4">
        <w:rPr>
          <w:sz w:val="16"/>
        </w:rPr>
        <w:t xml:space="preserve"> </w:t>
      </w:r>
      <w:r w:rsidR="00071319" w:rsidRPr="00AA57C4">
        <w:rPr>
          <w:sz w:val="16"/>
        </w:rPr>
        <w:t>5.7</w:t>
      </w:r>
      <w:r w:rsidR="00B337AB" w:rsidRPr="00AA57C4">
        <w:rPr>
          <w:sz w:val="16"/>
        </w:rPr>
        <w:t>% to $</w:t>
      </w:r>
      <w:r w:rsidR="00071319" w:rsidRPr="00AA57C4">
        <w:rPr>
          <w:sz w:val="16"/>
        </w:rPr>
        <w:t>2.8</w:t>
      </w:r>
      <w:r w:rsidR="00C96929" w:rsidRPr="00AA57C4">
        <w:rPr>
          <w:sz w:val="16"/>
        </w:rPr>
        <w:t> </w:t>
      </w:r>
      <w:r w:rsidR="000A31DF" w:rsidRPr="00AA57C4">
        <w:rPr>
          <w:sz w:val="16"/>
        </w:rPr>
        <w:t xml:space="preserve">billion in the </w:t>
      </w:r>
      <w:r w:rsidR="00231C8A" w:rsidRPr="00AA57C4">
        <w:rPr>
          <w:sz w:val="16"/>
        </w:rPr>
        <w:t>September</w:t>
      </w:r>
      <w:r w:rsidR="00431410" w:rsidRPr="00AA57C4">
        <w:rPr>
          <w:sz w:val="16"/>
        </w:rPr>
        <w:t xml:space="preserve"> quarter 2022</w:t>
      </w:r>
      <w:r w:rsidRPr="00AA57C4">
        <w:rPr>
          <w:sz w:val="16"/>
        </w:rPr>
        <w:t>, with:</w:t>
      </w:r>
    </w:p>
    <w:p w14:paraId="02DFD881" w14:textId="795E9CDD" w:rsidR="00FD2E59" w:rsidRPr="00AA57C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r</w:t>
      </w:r>
      <w:r w:rsidR="00FD2E59" w:rsidRPr="00AA57C4">
        <w:rPr>
          <w:sz w:val="16"/>
        </w:rPr>
        <w:t>esident</w:t>
      </w:r>
      <w:r w:rsidR="00B337AB" w:rsidRPr="00AA57C4">
        <w:rPr>
          <w:sz w:val="16"/>
        </w:rPr>
        <w:t>i</w:t>
      </w:r>
      <w:r w:rsidR="006D3788" w:rsidRPr="00AA57C4">
        <w:rPr>
          <w:sz w:val="16"/>
        </w:rPr>
        <w:t xml:space="preserve">al building activity </w:t>
      </w:r>
      <w:r w:rsidR="00071319" w:rsidRPr="00AA57C4">
        <w:rPr>
          <w:sz w:val="16"/>
        </w:rPr>
        <w:t>down 6.8</w:t>
      </w:r>
      <w:r w:rsidR="00B337AB" w:rsidRPr="00AA57C4">
        <w:rPr>
          <w:sz w:val="16"/>
        </w:rPr>
        <w:t>% to $1.</w:t>
      </w:r>
      <w:r w:rsidR="00071319" w:rsidRPr="00AA57C4">
        <w:rPr>
          <w:sz w:val="16"/>
        </w:rPr>
        <w:t>6</w:t>
      </w:r>
      <w:r w:rsidR="00FD2E59" w:rsidRPr="00AA57C4">
        <w:rPr>
          <w:sz w:val="16"/>
        </w:rPr>
        <w:t> billion</w:t>
      </w:r>
    </w:p>
    <w:p w14:paraId="60817DA4" w14:textId="5E4C1136" w:rsidR="00FD2E59" w:rsidRPr="00AA57C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n</w:t>
      </w:r>
      <w:r w:rsidR="00FD2E59" w:rsidRPr="00AA57C4">
        <w:rPr>
          <w:sz w:val="16"/>
        </w:rPr>
        <w:t>on-resident</w:t>
      </w:r>
      <w:r w:rsidR="000A31DF" w:rsidRPr="00AA57C4">
        <w:rPr>
          <w:sz w:val="16"/>
        </w:rPr>
        <w:t>ial</w:t>
      </w:r>
      <w:proofErr w:type="gramEnd"/>
      <w:r w:rsidR="000A31DF" w:rsidRPr="00AA57C4">
        <w:rPr>
          <w:sz w:val="16"/>
        </w:rPr>
        <w:t xml:space="preserve"> building activity </w:t>
      </w:r>
      <w:r w:rsidR="00071319" w:rsidRPr="00AA57C4">
        <w:rPr>
          <w:sz w:val="16"/>
        </w:rPr>
        <w:t>down 4.3</w:t>
      </w:r>
      <w:r w:rsidR="00FD2E59" w:rsidRPr="00AA57C4">
        <w:rPr>
          <w:sz w:val="16"/>
        </w:rPr>
        <w:t>% to $</w:t>
      </w:r>
      <w:r w:rsidR="00200002" w:rsidRPr="00AA57C4">
        <w:rPr>
          <w:sz w:val="16"/>
        </w:rPr>
        <w:t>1.</w:t>
      </w:r>
      <w:r w:rsidR="00071319" w:rsidRPr="00AA57C4">
        <w:rPr>
          <w:sz w:val="16"/>
        </w:rPr>
        <w:t>2</w:t>
      </w:r>
      <w:r w:rsidR="00C65241" w:rsidRPr="00AA57C4">
        <w:rPr>
          <w:sz w:val="16"/>
        </w:rPr>
        <w:t> </w:t>
      </w:r>
      <w:r w:rsidR="006D3788" w:rsidRPr="00AA57C4">
        <w:rPr>
          <w:sz w:val="16"/>
        </w:rPr>
        <w:t>b</w:t>
      </w:r>
      <w:r w:rsidR="00FD2E59" w:rsidRPr="00AA57C4">
        <w:rPr>
          <w:sz w:val="16"/>
        </w:rPr>
        <w:t>illion.</w:t>
      </w:r>
    </w:p>
    <w:p w14:paraId="62BDDFEF" w14:textId="677B7375" w:rsidR="00FD2E59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value of buildi</w:t>
      </w:r>
      <w:r w:rsidR="00B337AB" w:rsidRPr="00AA57C4">
        <w:rPr>
          <w:sz w:val="16"/>
        </w:rPr>
        <w:t>n</w:t>
      </w:r>
      <w:r w:rsidR="0075640F" w:rsidRPr="00AA57C4">
        <w:rPr>
          <w:sz w:val="16"/>
        </w:rPr>
        <w:t xml:space="preserve">g work in the pipeline </w:t>
      </w:r>
      <w:r w:rsidR="002B4436" w:rsidRPr="00AA57C4">
        <w:rPr>
          <w:sz w:val="16"/>
        </w:rPr>
        <w:t xml:space="preserve">in Western Australia </w:t>
      </w:r>
      <w:r w:rsidR="002C24FB" w:rsidRPr="00AA57C4">
        <w:rPr>
          <w:sz w:val="16"/>
        </w:rPr>
        <w:t>rose</w:t>
      </w:r>
      <w:r w:rsidR="00D462E2" w:rsidRPr="00AA57C4">
        <w:rPr>
          <w:sz w:val="16"/>
        </w:rPr>
        <w:t xml:space="preserve"> </w:t>
      </w:r>
      <w:r w:rsidR="00071319" w:rsidRPr="00AA57C4">
        <w:rPr>
          <w:sz w:val="16"/>
        </w:rPr>
        <w:t>0.2</w:t>
      </w:r>
      <w:r w:rsidRPr="00AA57C4">
        <w:rPr>
          <w:sz w:val="16"/>
        </w:rPr>
        <w:t>% to $</w:t>
      </w:r>
      <w:r w:rsidR="00D462E2" w:rsidRPr="00AA57C4">
        <w:rPr>
          <w:sz w:val="16"/>
        </w:rPr>
        <w:t>1</w:t>
      </w:r>
      <w:r w:rsidR="00336200" w:rsidRPr="00AA57C4">
        <w:rPr>
          <w:sz w:val="16"/>
        </w:rPr>
        <w:t>2.0 </w:t>
      </w:r>
      <w:r w:rsidR="000A31DF" w:rsidRPr="00AA57C4">
        <w:rPr>
          <w:sz w:val="16"/>
        </w:rPr>
        <w:t xml:space="preserve">billion in the </w:t>
      </w:r>
      <w:r w:rsidR="00071319" w:rsidRPr="00AA57C4">
        <w:rPr>
          <w:sz w:val="16"/>
        </w:rPr>
        <w:t>September q</w:t>
      </w:r>
      <w:r w:rsidR="00431410" w:rsidRPr="00AA57C4">
        <w:rPr>
          <w:sz w:val="16"/>
        </w:rPr>
        <w:t>uarter 2022</w:t>
      </w:r>
      <w:r w:rsidR="0075640F" w:rsidRPr="00AA57C4">
        <w:rPr>
          <w:sz w:val="16"/>
        </w:rPr>
        <w:t xml:space="preserve">, </w:t>
      </w:r>
      <w:r w:rsidR="00071319" w:rsidRPr="00AA57C4">
        <w:rPr>
          <w:sz w:val="16"/>
        </w:rPr>
        <w:t>17.0</w:t>
      </w:r>
      <w:r w:rsidR="000A31DF" w:rsidRPr="00AA57C4">
        <w:rPr>
          <w:sz w:val="16"/>
        </w:rPr>
        <w:t xml:space="preserve">% higher than in the </w:t>
      </w:r>
      <w:r w:rsidR="00071319" w:rsidRPr="00AA57C4">
        <w:rPr>
          <w:sz w:val="16"/>
        </w:rPr>
        <w:t>September</w:t>
      </w:r>
      <w:r w:rsidR="00431410" w:rsidRPr="00AA57C4">
        <w:rPr>
          <w:sz w:val="16"/>
        </w:rPr>
        <w:t xml:space="preserve"> quarter 2021</w:t>
      </w:r>
      <w:r w:rsidRPr="00AA57C4">
        <w:rPr>
          <w:sz w:val="16"/>
        </w:rPr>
        <w:t>.</w:t>
      </w:r>
    </w:p>
    <w:p w14:paraId="2944BF20" w14:textId="75788E6F" w:rsidR="00FD2E59" w:rsidRPr="00AA57C4" w:rsidRDefault="006111F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In 20</w:t>
      </w:r>
      <w:r w:rsidR="000A31DF" w:rsidRPr="00AA57C4">
        <w:rPr>
          <w:sz w:val="16"/>
        </w:rPr>
        <w:t>21</w:t>
      </w:r>
      <w:r w:rsidR="00C76027" w:rsidRPr="00AA57C4">
        <w:rPr>
          <w:sz w:val="16"/>
        </w:rPr>
        <w:noBreakHyphen/>
      </w:r>
      <w:r w:rsidR="002C24FB" w:rsidRPr="00AA57C4">
        <w:rPr>
          <w:sz w:val="16"/>
        </w:rPr>
        <w:t>22</w:t>
      </w:r>
      <w:r w:rsidR="00FD2E59" w:rsidRPr="00AA57C4">
        <w:rPr>
          <w:sz w:val="16"/>
        </w:rPr>
        <w:t xml:space="preserve">, the value of </w:t>
      </w:r>
      <w:r w:rsidRPr="00AA57C4">
        <w:rPr>
          <w:sz w:val="16"/>
        </w:rPr>
        <w:t xml:space="preserve">building activity </w:t>
      </w:r>
      <w:r w:rsidR="002B4436" w:rsidRPr="00AA57C4">
        <w:rPr>
          <w:sz w:val="16"/>
        </w:rPr>
        <w:t xml:space="preserve">in Western Australia </w:t>
      </w:r>
      <w:r w:rsidRPr="00AA57C4">
        <w:rPr>
          <w:sz w:val="16"/>
        </w:rPr>
        <w:t xml:space="preserve">rose </w:t>
      </w:r>
      <w:r w:rsidR="003A5BF7" w:rsidRPr="00AA57C4">
        <w:rPr>
          <w:sz w:val="16"/>
        </w:rPr>
        <w:t>23.1</w:t>
      </w:r>
      <w:r w:rsidR="00FD2E59" w:rsidRPr="00AA57C4">
        <w:rPr>
          <w:sz w:val="16"/>
        </w:rPr>
        <w:t>% to $</w:t>
      </w:r>
      <w:r w:rsidRPr="00AA57C4">
        <w:rPr>
          <w:sz w:val="16"/>
        </w:rPr>
        <w:t>1</w:t>
      </w:r>
      <w:r w:rsidR="003A5BF7" w:rsidRPr="00AA57C4">
        <w:rPr>
          <w:sz w:val="16"/>
        </w:rPr>
        <w:t>1.3</w:t>
      </w:r>
      <w:r w:rsidR="002C159F" w:rsidRPr="00AA57C4">
        <w:rPr>
          <w:sz w:val="16"/>
        </w:rPr>
        <w:t> </w:t>
      </w:r>
      <w:r w:rsidR="00FD2E59" w:rsidRPr="00AA57C4">
        <w:rPr>
          <w:sz w:val="16"/>
        </w:rPr>
        <w:t>billion, with:</w:t>
      </w:r>
    </w:p>
    <w:p w14:paraId="4D64E64C" w14:textId="74D638DE" w:rsidR="00FD2E59" w:rsidRPr="00AA57C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r</w:t>
      </w:r>
      <w:r w:rsidR="00FD2E59" w:rsidRPr="00AA57C4">
        <w:rPr>
          <w:sz w:val="16"/>
        </w:rPr>
        <w:t xml:space="preserve">esidential </w:t>
      </w:r>
      <w:r w:rsidR="006111F9" w:rsidRPr="00AA57C4">
        <w:rPr>
          <w:sz w:val="16"/>
        </w:rPr>
        <w:t xml:space="preserve">building rising </w:t>
      </w:r>
      <w:r w:rsidR="003A5BF7" w:rsidRPr="00AA57C4">
        <w:rPr>
          <w:sz w:val="16"/>
        </w:rPr>
        <w:t>21.1</w:t>
      </w:r>
      <w:r w:rsidR="00B337AB" w:rsidRPr="00AA57C4">
        <w:rPr>
          <w:sz w:val="16"/>
        </w:rPr>
        <w:t>% to $</w:t>
      </w:r>
      <w:r w:rsidR="006111F9" w:rsidRPr="00AA57C4">
        <w:rPr>
          <w:sz w:val="16"/>
        </w:rPr>
        <w:t>6.</w:t>
      </w:r>
      <w:r w:rsidR="003A5BF7" w:rsidRPr="00AA57C4">
        <w:rPr>
          <w:sz w:val="16"/>
        </w:rPr>
        <w:t>7</w:t>
      </w:r>
      <w:r w:rsidR="00C96929" w:rsidRPr="00AA57C4">
        <w:rPr>
          <w:sz w:val="16"/>
        </w:rPr>
        <w:t> </w:t>
      </w:r>
      <w:r w:rsidR="00FD2E59" w:rsidRPr="00AA57C4">
        <w:rPr>
          <w:sz w:val="16"/>
        </w:rPr>
        <w:t>billion</w:t>
      </w:r>
    </w:p>
    <w:p w14:paraId="32E3C9E0" w14:textId="3D32BBC1" w:rsidR="00FD2E59" w:rsidRPr="00AA57C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n</w:t>
      </w:r>
      <w:r w:rsidR="00FD2E59" w:rsidRPr="00AA57C4">
        <w:rPr>
          <w:sz w:val="16"/>
        </w:rPr>
        <w:t>on-</w:t>
      </w:r>
      <w:r w:rsidR="000A31DF" w:rsidRPr="00AA57C4">
        <w:rPr>
          <w:sz w:val="16"/>
        </w:rPr>
        <w:t>residential</w:t>
      </w:r>
      <w:proofErr w:type="gramEnd"/>
      <w:r w:rsidR="000A31DF" w:rsidRPr="00AA57C4">
        <w:rPr>
          <w:sz w:val="16"/>
        </w:rPr>
        <w:t xml:space="preserve"> building </w:t>
      </w:r>
      <w:r w:rsidR="006111F9" w:rsidRPr="00AA57C4">
        <w:rPr>
          <w:sz w:val="16"/>
        </w:rPr>
        <w:t xml:space="preserve">rising </w:t>
      </w:r>
      <w:r w:rsidR="003A5BF7" w:rsidRPr="00AA57C4">
        <w:rPr>
          <w:sz w:val="16"/>
        </w:rPr>
        <w:t>26.1</w:t>
      </w:r>
      <w:r w:rsidR="006111F9" w:rsidRPr="00AA57C4">
        <w:rPr>
          <w:sz w:val="16"/>
        </w:rPr>
        <w:t>% to $4.</w:t>
      </w:r>
      <w:r w:rsidR="002C24FB" w:rsidRPr="00AA57C4">
        <w:rPr>
          <w:sz w:val="16"/>
        </w:rPr>
        <w:t>6</w:t>
      </w:r>
      <w:r w:rsidR="00C96929" w:rsidRPr="00AA57C4">
        <w:rPr>
          <w:sz w:val="16"/>
        </w:rPr>
        <w:t> </w:t>
      </w:r>
      <w:r w:rsidR="00FD2E59" w:rsidRPr="00AA57C4">
        <w:rPr>
          <w:sz w:val="16"/>
        </w:rPr>
        <w:t>billion.</w:t>
      </w:r>
    </w:p>
    <w:p w14:paraId="67C46F2A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5E98176" w14:textId="54AA7AB9" w:rsidR="00FD2E59" w:rsidRPr="00780E56" w:rsidRDefault="00DD5DF4" w:rsidP="00FD2E59">
      <w:pPr>
        <w:pStyle w:val="BodyText"/>
        <w:spacing w:after="0"/>
        <w:rPr>
          <w:b/>
          <w:color w:val="002060"/>
          <w:sz w:val="22"/>
        </w:rPr>
      </w:pPr>
      <w:r w:rsidRPr="00780E56">
        <w:rPr>
          <w:b/>
          <w:color w:val="002060"/>
          <w:sz w:val="22"/>
        </w:rPr>
        <w:lastRenderedPageBreak/>
        <w:t>Investment</w:t>
      </w:r>
    </w:p>
    <w:p w14:paraId="1A187897" w14:textId="0A88F91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housing finance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m</w:t>
      </w:r>
      <w:r w:rsidRPr="00020369">
        <w:rPr>
          <w:b/>
          <w:color w:val="92278F" w:themeColor="accent1"/>
          <w:sz w:val="20"/>
        </w:rPr>
        <w:t>onths</w:t>
      </w:r>
    </w:p>
    <w:p w14:paraId="37D701E9" w14:textId="35FF8244" w:rsidR="00FD2E59" w:rsidRPr="002B4436" w:rsidRDefault="00C3570D" w:rsidP="00FD2E59">
      <w:pPr>
        <w:pStyle w:val="BodyText"/>
        <w:spacing w:after="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inline distT="0" distB="0" distL="0" distR="0" wp14:anchorId="796A1C23" wp14:editId="57B30434">
            <wp:extent cx="3462020" cy="2077212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610" cy="208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254E" w14:textId="5878930B" w:rsidR="00FD2E59" w:rsidRPr="00DB5DAA" w:rsidRDefault="00FD2E59" w:rsidP="003623BC">
      <w:pPr>
        <w:spacing w:after="0"/>
        <w:jc w:val="both"/>
        <w:rPr>
          <w:rFonts w:cs="Arial"/>
          <w:sz w:val="10"/>
          <w:szCs w:val="20"/>
        </w:rPr>
      </w:pPr>
      <w:r w:rsidRPr="00DB5DAA">
        <w:rPr>
          <w:sz w:val="10"/>
          <w:vertAlign w:val="superscript"/>
        </w:rPr>
        <w:t>1</w:t>
      </w:r>
      <w:r w:rsidRPr="00DB5DAA">
        <w:rPr>
          <w:sz w:val="10"/>
        </w:rPr>
        <w:t xml:space="preserve"> </w:t>
      </w:r>
      <w:r w:rsidRPr="00DB5DAA">
        <w:rPr>
          <w:rFonts w:cs="Arial"/>
          <w:sz w:val="10"/>
          <w:szCs w:val="20"/>
        </w:rPr>
        <w:t>Value of new loan commitments for housing by owner-occupiers and investors</w:t>
      </w:r>
      <w:r w:rsidR="00CE080E">
        <w:rPr>
          <w:rFonts w:cs="Arial"/>
          <w:sz w:val="10"/>
          <w:szCs w:val="20"/>
        </w:rPr>
        <w:t xml:space="preserve">, </w:t>
      </w:r>
      <w:r w:rsidR="00CE080E" w:rsidRPr="00026B7E">
        <w:rPr>
          <w:rFonts w:cs="Arial"/>
          <w:sz w:val="10"/>
          <w:szCs w:val="20"/>
        </w:rPr>
        <w:t>including for dwellings already built</w:t>
      </w:r>
      <w:r w:rsidRPr="00026B7E">
        <w:rPr>
          <w:rFonts w:cs="Arial"/>
          <w:sz w:val="10"/>
          <w:szCs w:val="20"/>
        </w:rPr>
        <w:t xml:space="preserve">. Nominal </w:t>
      </w:r>
      <w:r w:rsidRPr="00DB5DAA">
        <w:rPr>
          <w:rFonts w:cs="Arial"/>
          <w:sz w:val="10"/>
          <w:szCs w:val="20"/>
        </w:rPr>
        <w:t>or not adjusted for price changes. Seasonally adjusted series.</w:t>
      </w:r>
    </w:p>
    <w:p w14:paraId="65B0FD1F" w14:textId="4C1ED48A" w:rsidR="00FD2E59" w:rsidRPr="00A019D0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ED3DB7">
        <w:rPr>
          <w:rFonts w:cs="Arial"/>
          <w:sz w:val="10"/>
          <w:szCs w:val="20"/>
        </w:rPr>
        <w:t xml:space="preserve">Source: </w:t>
      </w:r>
      <w:r w:rsidR="00637898" w:rsidRPr="00D74050">
        <w:rPr>
          <w:sz w:val="10"/>
        </w:rPr>
        <w:t xml:space="preserve">Based on data from </w:t>
      </w:r>
      <w:r w:rsidRPr="00332C9E">
        <w:rPr>
          <w:rFonts w:cs="Arial"/>
          <w:sz w:val="10"/>
          <w:szCs w:val="20"/>
        </w:rPr>
        <w:t xml:space="preserve">ABS </w:t>
      </w:r>
      <w:r w:rsidRPr="00ED3DB7">
        <w:rPr>
          <w:rFonts w:cs="Arial"/>
          <w:sz w:val="10"/>
          <w:szCs w:val="20"/>
        </w:rPr>
        <w:t>5601.0 Lending Indicators,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1EB7BA8" w14:textId="77777777" w:rsidR="00FD2E59" w:rsidRDefault="00FD2E59" w:rsidP="00FD2E59">
      <w:pPr>
        <w:spacing w:after="0"/>
        <w:jc w:val="both"/>
        <w:rPr>
          <w:sz w:val="16"/>
        </w:rPr>
      </w:pPr>
    </w:p>
    <w:p w14:paraId="51F3BD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0EB470C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565908" w14:textId="77777777" w:rsidR="00FD2E59" w:rsidRPr="005A0FBA" w:rsidRDefault="00FD2E59" w:rsidP="00FD2E59">
      <w:pPr>
        <w:spacing w:after="0"/>
        <w:jc w:val="both"/>
        <w:rPr>
          <w:color w:val="00B0F0"/>
          <w:sz w:val="16"/>
        </w:rPr>
      </w:pPr>
    </w:p>
    <w:p w14:paraId="7AA2553B" w14:textId="7000F4C5" w:rsidR="00FD2E59" w:rsidRPr="00C3570D" w:rsidRDefault="00AF10A1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C3570D">
        <w:rPr>
          <w:sz w:val="16"/>
        </w:rPr>
        <w:t>The value of monthly</w:t>
      </w:r>
      <w:r w:rsidR="00EC06B8" w:rsidRPr="00C3570D">
        <w:rPr>
          <w:sz w:val="16"/>
        </w:rPr>
        <w:t xml:space="preserve"> h</w:t>
      </w:r>
      <w:r w:rsidR="00D12362" w:rsidRPr="00C3570D">
        <w:rPr>
          <w:sz w:val="16"/>
        </w:rPr>
        <w:t xml:space="preserve">ousing finance </w:t>
      </w:r>
      <w:r w:rsidR="0076451E" w:rsidRPr="00C3570D">
        <w:rPr>
          <w:sz w:val="16"/>
        </w:rPr>
        <w:t>commitments</w:t>
      </w:r>
      <w:r w:rsidR="005724AE" w:rsidRPr="00C3570D">
        <w:rPr>
          <w:sz w:val="16"/>
        </w:rPr>
        <w:t xml:space="preserve"> </w:t>
      </w:r>
      <w:r w:rsidR="002B4436" w:rsidRPr="00C3570D">
        <w:rPr>
          <w:sz w:val="16"/>
        </w:rPr>
        <w:t xml:space="preserve">in Western Australia </w:t>
      </w:r>
      <w:r w:rsidR="00D50864" w:rsidRPr="00C3570D">
        <w:rPr>
          <w:sz w:val="16"/>
        </w:rPr>
        <w:t>remain</w:t>
      </w:r>
      <w:r w:rsidR="00432DF3" w:rsidRPr="00C3570D">
        <w:rPr>
          <w:sz w:val="16"/>
        </w:rPr>
        <w:t>s</w:t>
      </w:r>
      <w:r w:rsidR="005724AE" w:rsidRPr="00C3570D">
        <w:rPr>
          <w:sz w:val="16"/>
        </w:rPr>
        <w:t xml:space="preserve"> </w:t>
      </w:r>
      <w:r w:rsidR="008F004A" w:rsidRPr="00C3570D">
        <w:rPr>
          <w:sz w:val="16"/>
        </w:rPr>
        <w:t xml:space="preserve">well above </w:t>
      </w:r>
      <w:r w:rsidR="00EC06B8" w:rsidRPr="00C3570D">
        <w:rPr>
          <w:sz w:val="16"/>
        </w:rPr>
        <w:t>pre</w:t>
      </w:r>
      <w:r w:rsidR="00EC06B8" w:rsidRPr="00C3570D">
        <w:rPr>
          <w:sz w:val="16"/>
        </w:rPr>
        <w:noBreakHyphen/>
        <w:t>COVID</w:t>
      </w:r>
      <w:r w:rsidR="00EC06B8" w:rsidRPr="00C3570D">
        <w:rPr>
          <w:sz w:val="16"/>
        </w:rPr>
        <w:noBreakHyphen/>
        <w:t>19</w:t>
      </w:r>
      <w:r w:rsidR="00D12362" w:rsidRPr="00C3570D">
        <w:rPr>
          <w:sz w:val="16"/>
        </w:rPr>
        <w:t xml:space="preserve"> levels</w:t>
      </w:r>
      <w:r w:rsidR="005724AE" w:rsidRPr="00C3570D">
        <w:rPr>
          <w:sz w:val="16"/>
        </w:rPr>
        <w:t xml:space="preserve">, despite </w:t>
      </w:r>
      <w:r w:rsidR="00A17296" w:rsidRPr="00C3570D">
        <w:rPr>
          <w:sz w:val="16"/>
        </w:rPr>
        <w:t>declining over 2022</w:t>
      </w:r>
      <w:r w:rsidR="00646478" w:rsidRPr="00C3570D">
        <w:rPr>
          <w:sz w:val="16"/>
        </w:rPr>
        <w:t>.</w:t>
      </w:r>
    </w:p>
    <w:p w14:paraId="3A0F3B2C" w14:textId="2C145BDB" w:rsidR="00FD2E59" w:rsidRPr="00AA57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value of housing finance commitme</w:t>
      </w:r>
      <w:r w:rsidR="00574C80" w:rsidRPr="00AA57C4">
        <w:rPr>
          <w:sz w:val="16"/>
        </w:rPr>
        <w:t xml:space="preserve">nts </w:t>
      </w:r>
      <w:r w:rsidR="002B4436" w:rsidRPr="00AA57C4">
        <w:rPr>
          <w:sz w:val="16"/>
        </w:rPr>
        <w:t xml:space="preserve">in Western Australia </w:t>
      </w:r>
      <w:r w:rsidR="00C3570D" w:rsidRPr="00AA57C4">
        <w:rPr>
          <w:sz w:val="16"/>
        </w:rPr>
        <w:t>fell</w:t>
      </w:r>
      <w:r w:rsidR="00FC7FDF" w:rsidRPr="00AA57C4">
        <w:rPr>
          <w:sz w:val="16"/>
        </w:rPr>
        <w:t xml:space="preserve"> </w:t>
      </w:r>
      <w:r w:rsidR="00C3570D" w:rsidRPr="00AA57C4">
        <w:rPr>
          <w:sz w:val="16"/>
        </w:rPr>
        <w:t>2.8</w:t>
      </w:r>
      <w:r w:rsidR="004C6FF6" w:rsidRPr="00AA57C4">
        <w:rPr>
          <w:sz w:val="16"/>
        </w:rPr>
        <w:t xml:space="preserve">% to </w:t>
      </w:r>
      <w:r w:rsidR="00C3570D" w:rsidRPr="00AA57C4">
        <w:rPr>
          <w:sz w:val="16"/>
        </w:rPr>
        <w:t>$2.3</w:t>
      </w:r>
      <w:r w:rsidR="00C96929" w:rsidRPr="00AA57C4">
        <w:rPr>
          <w:sz w:val="16"/>
        </w:rPr>
        <w:t> </w:t>
      </w:r>
      <w:r w:rsidR="00646478" w:rsidRPr="00AA57C4">
        <w:rPr>
          <w:sz w:val="16"/>
        </w:rPr>
        <w:t xml:space="preserve">billion in </w:t>
      </w:r>
      <w:r w:rsidR="00026B7E" w:rsidRPr="00AA57C4">
        <w:rPr>
          <w:sz w:val="16"/>
        </w:rPr>
        <w:t>November</w:t>
      </w:r>
      <w:r w:rsidR="00FC7FDF" w:rsidRPr="00AA57C4">
        <w:rPr>
          <w:sz w:val="16"/>
        </w:rPr>
        <w:t> </w:t>
      </w:r>
      <w:r w:rsidR="00983724" w:rsidRPr="00AA57C4">
        <w:rPr>
          <w:sz w:val="16"/>
        </w:rPr>
        <w:t>202</w:t>
      </w:r>
      <w:r w:rsidR="00684130" w:rsidRPr="00AA57C4">
        <w:rPr>
          <w:sz w:val="16"/>
        </w:rPr>
        <w:t>2</w:t>
      </w:r>
      <w:r w:rsidR="00983724" w:rsidRPr="00AA57C4">
        <w:rPr>
          <w:sz w:val="16"/>
        </w:rPr>
        <w:t xml:space="preserve">, following a </w:t>
      </w:r>
      <w:r w:rsidR="00C3570D" w:rsidRPr="00AA57C4">
        <w:rPr>
          <w:sz w:val="16"/>
        </w:rPr>
        <w:t>rise</w:t>
      </w:r>
      <w:r w:rsidR="00FC7FDF" w:rsidRPr="00AA57C4">
        <w:rPr>
          <w:sz w:val="16"/>
        </w:rPr>
        <w:t xml:space="preserve"> </w:t>
      </w:r>
      <w:r w:rsidR="00646478" w:rsidRPr="00AA57C4">
        <w:rPr>
          <w:sz w:val="16"/>
        </w:rPr>
        <w:t xml:space="preserve">of </w:t>
      </w:r>
      <w:r w:rsidR="00C3570D" w:rsidRPr="00AA57C4">
        <w:rPr>
          <w:sz w:val="16"/>
        </w:rPr>
        <w:t>0.8</w:t>
      </w:r>
      <w:r w:rsidR="002C159F" w:rsidRPr="00AA57C4">
        <w:rPr>
          <w:sz w:val="16"/>
        </w:rPr>
        <w:t>%</w:t>
      </w:r>
      <w:r w:rsidR="00983724" w:rsidRPr="00AA57C4">
        <w:rPr>
          <w:sz w:val="16"/>
        </w:rPr>
        <w:t xml:space="preserve"> in </w:t>
      </w:r>
      <w:r w:rsidR="00C3570D" w:rsidRPr="00AA57C4">
        <w:rPr>
          <w:sz w:val="16"/>
        </w:rPr>
        <w:t>October</w:t>
      </w:r>
      <w:r w:rsidR="00FC7FDF" w:rsidRPr="00AA57C4">
        <w:rPr>
          <w:sz w:val="16"/>
        </w:rPr>
        <w:t> </w:t>
      </w:r>
      <w:r w:rsidR="00092FF8" w:rsidRPr="00AA57C4">
        <w:rPr>
          <w:sz w:val="16"/>
        </w:rPr>
        <w:t>2022</w:t>
      </w:r>
      <w:r w:rsidRPr="00AA57C4">
        <w:rPr>
          <w:sz w:val="16"/>
        </w:rPr>
        <w:t>.</w:t>
      </w:r>
    </w:p>
    <w:p w14:paraId="755DEA56" w14:textId="661A5EF4" w:rsidR="00FD2E59" w:rsidRPr="00AA57C4" w:rsidRDefault="0098372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In </w:t>
      </w:r>
      <w:r w:rsidR="00C3570D" w:rsidRPr="00AA57C4">
        <w:rPr>
          <w:sz w:val="16"/>
        </w:rPr>
        <w:t>November</w:t>
      </w:r>
      <w:r w:rsidR="00FC7FDF" w:rsidRPr="00AA57C4">
        <w:rPr>
          <w:sz w:val="16"/>
        </w:rPr>
        <w:t> </w:t>
      </w:r>
      <w:r w:rsidR="00FD2E59" w:rsidRPr="00AA57C4">
        <w:rPr>
          <w:sz w:val="16"/>
        </w:rPr>
        <w:t>202</w:t>
      </w:r>
      <w:r w:rsidR="00487EE4" w:rsidRPr="00AA57C4">
        <w:rPr>
          <w:sz w:val="16"/>
        </w:rPr>
        <w:t>2</w:t>
      </w:r>
      <w:r w:rsidR="00FD2E59" w:rsidRPr="00AA57C4">
        <w:rPr>
          <w:sz w:val="16"/>
        </w:rPr>
        <w:t xml:space="preserve">, the value of housing finance commitments </w:t>
      </w:r>
      <w:r w:rsidR="002B4436" w:rsidRPr="00AA57C4">
        <w:rPr>
          <w:sz w:val="16"/>
        </w:rPr>
        <w:t xml:space="preserve">in Western Australia </w:t>
      </w:r>
      <w:r w:rsidR="00FD2E59" w:rsidRPr="00AA57C4">
        <w:rPr>
          <w:sz w:val="16"/>
        </w:rPr>
        <w:t>for:</w:t>
      </w:r>
    </w:p>
    <w:p w14:paraId="2EF3DFE7" w14:textId="08E75110" w:rsidR="00FD2E59" w:rsidRPr="00AA57C4" w:rsidRDefault="001719C1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o</w:t>
      </w:r>
      <w:r w:rsidR="00FC1919" w:rsidRPr="00AA57C4">
        <w:rPr>
          <w:sz w:val="16"/>
        </w:rPr>
        <w:t>wner</w:t>
      </w:r>
      <w:r w:rsidR="00C76027" w:rsidRPr="00AA57C4">
        <w:rPr>
          <w:sz w:val="16"/>
        </w:rPr>
        <w:noBreakHyphen/>
      </w:r>
      <w:r w:rsidR="00FC1919" w:rsidRPr="00AA57C4">
        <w:rPr>
          <w:sz w:val="16"/>
        </w:rPr>
        <w:t xml:space="preserve">occupiers </w:t>
      </w:r>
      <w:r w:rsidR="00C3570D" w:rsidRPr="00AA57C4">
        <w:rPr>
          <w:sz w:val="16"/>
        </w:rPr>
        <w:t>fell</w:t>
      </w:r>
      <w:r w:rsidR="00FC7FDF" w:rsidRPr="00AA57C4">
        <w:rPr>
          <w:sz w:val="16"/>
        </w:rPr>
        <w:t xml:space="preserve"> </w:t>
      </w:r>
      <w:r w:rsidR="00C3570D" w:rsidRPr="00AA57C4">
        <w:rPr>
          <w:sz w:val="16"/>
        </w:rPr>
        <w:t>3.9</w:t>
      </w:r>
      <w:r w:rsidR="00723FB7" w:rsidRPr="00AA57C4">
        <w:rPr>
          <w:sz w:val="16"/>
        </w:rPr>
        <w:t>% to $1.</w:t>
      </w:r>
      <w:r w:rsidR="00C3570D" w:rsidRPr="00AA57C4">
        <w:rPr>
          <w:sz w:val="16"/>
        </w:rPr>
        <w:t>7</w:t>
      </w:r>
      <w:r w:rsidR="0090395D" w:rsidRPr="00AA57C4">
        <w:rPr>
          <w:sz w:val="16"/>
        </w:rPr>
        <w:t> </w:t>
      </w:r>
      <w:r w:rsidR="00FD2E59" w:rsidRPr="00AA57C4">
        <w:rPr>
          <w:sz w:val="16"/>
        </w:rPr>
        <w:t>billion</w:t>
      </w:r>
    </w:p>
    <w:p w14:paraId="5CE161BB" w14:textId="7EAD0782" w:rsidR="00FD2E59" w:rsidRPr="0082387B" w:rsidRDefault="001719C1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FF0000"/>
          <w:sz w:val="16"/>
        </w:rPr>
      </w:pPr>
      <w:proofErr w:type="gramStart"/>
      <w:r w:rsidRPr="00AA57C4">
        <w:rPr>
          <w:sz w:val="16"/>
        </w:rPr>
        <w:t>i</w:t>
      </w:r>
      <w:r w:rsidR="00FC1919" w:rsidRPr="00AA57C4">
        <w:rPr>
          <w:sz w:val="16"/>
        </w:rPr>
        <w:t>nvestors</w:t>
      </w:r>
      <w:proofErr w:type="gramEnd"/>
      <w:r w:rsidR="00FC1919" w:rsidRPr="00AA57C4">
        <w:rPr>
          <w:sz w:val="16"/>
        </w:rPr>
        <w:t xml:space="preserve"> </w:t>
      </w:r>
      <w:r w:rsidR="00C3570D" w:rsidRPr="00AA57C4">
        <w:rPr>
          <w:sz w:val="16"/>
        </w:rPr>
        <w:t>remained unchanged at</w:t>
      </w:r>
      <w:r w:rsidR="00FD2E59" w:rsidRPr="00AA57C4">
        <w:rPr>
          <w:sz w:val="16"/>
        </w:rPr>
        <w:t xml:space="preserve"> $</w:t>
      </w:r>
      <w:r w:rsidR="00723FB7" w:rsidRPr="00AA57C4">
        <w:rPr>
          <w:sz w:val="16"/>
        </w:rPr>
        <w:t>6</w:t>
      </w:r>
      <w:r w:rsidR="00C3570D" w:rsidRPr="00AA57C4">
        <w:rPr>
          <w:sz w:val="16"/>
        </w:rPr>
        <w:t>35</w:t>
      </w:r>
      <w:r w:rsidR="0090395D" w:rsidRPr="00AA57C4">
        <w:rPr>
          <w:sz w:val="16"/>
        </w:rPr>
        <w:t> </w:t>
      </w:r>
      <w:r w:rsidR="00FD2E59" w:rsidRPr="00AA57C4">
        <w:rPr>
          <w:sz w:val="16"/>
        </w:rPr>
        <w:t>million</w:t>
      </w:r>
      <w:r w:rsidR="00FD2E59" w:rsidRPr="0082387B">
        <w:rPr>
          <w:color w:val="FF0000"/>
          <w:sz w:val="16"/>
        </w:rPr>
        <w:t>.</w:t>
      </w:r>
    </w:p>
    <w:p w14:paraId="4D6F2158" w14:textId="77777777" w:rsidR="00FD2E59" w:rsidRPr="005A0FBA" w:rsidRDefault="00FD2E59" w:rsidP="00FD2E59">
      <w:pPr>
        <w:pStyle w:val="BodyText"/>
        <w:spacing w:after="0"/>
        <w:jc w:val="both"/>
        <w:rPr>
          <w:color w:val="00B0F0"/>
          <w:sz w:val="16"/>
        </w:rPr>
        <w:sectPr w:rsidR="00FD2E59" w:rsidRPr="005A0FB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5F01B7" w14:textId="29D9B07A" w:rsidR="00FD2E59" w:rsidRPr="005A0FBA" w:rsidRDefault="00FD2E59" w:rsidP="00FD2E59">
      <w:pPr>
        <w:pStyle w:val="BodyText"/>
        <w:spacing w:after="0"/>
        <w:rPr>
          <w:b/>
          <w:color w:val="00B0F0"/>
          <w:sz w:val="20"/>
        </w:rPr>
      </w:pPr>
      <w:r w:rsidRPr="005A0FBA">
        <w:rPr>
          <w:rFonts w:ascii="Arial" w:hAnsi="Arial" w:cs="Times New Roman"/>
          <w:b/>
          <w:color w:val="92278F" w:themeColor="accent1"/>
          <w:sz w:val="20"/>
        </w:rPr>
        <w:t>Western Australia’s dwelling approvals</w:t>
      </w:r>
      <w:r w:rsidRPr="005A0FBA">
        <w:rPr>
          <w:rFonts w:ascii="Arial" w:hAnsi="Arial" w:cs="Times New Roman"/>
          <w:b/>
          <w:color w:val="92278F" w:themeColor="accent1"/>
          <w:sz w:val="20"/>
          <w:vertAlign w:val="superscript"/>
        </w:rPr>
        <w:t>1</w:t>
      </w:r>
      <w:r w:rsidR="00C00EC0" w:rsidRPr="005A0FBA">
        <w:rPr>
          <w:rFonts w:ascii="Arial" w:hAnsi="Arial" w:cs="Times New Roman"/>
          <w:b/>
          <w:color w:val="92278F" w:themeColor="accent1"/>
          <w:sz w:val="20"/>
        </w:rPr>
        <w:t>: m</w:t>
      </w:r>
      <w:r w:rsidRPr="005A0FBA">
        <w:rPr>
          <w:rFonts w:ascii="Arial" w:hAnsi="Arial" w:cs="Times New Roman"/>
          <w:b/>
          <w:color w:val="92278F" w:themeColor="accent1"/>
          <w:sz w:val="20"/>
        </w:rPr>
        <w:t>onths</w:t>
      </w:r>
    </w:p>
    <w:p w14:paraId="46D18DAA" w14:textId="29042CB8" w:rsidR="00FD2E59" w:rsidRPr="005A0FBA" w:rsidRDefault="0058114C" w:rsidP="00FD2E59">
      <w:pPr>
        <w:pStyle w:val="BodyText"/>
        <w:spacing w:after="0"/>
        <w:jc w:val="both"/>
        <w:rPr>
          <w:color w:val="00B0F0"/>
          <w:sz w:val="16"/>
        </w:rPr>
      </w:pPr>
      <w:r>
        <w:rPr>
          <w:noProof/>
          <w:color w:val="00B0F0"/>
          <w:sz w:val="16"/>
          <w:lang w:eastAsia="en-AU"/>
        </w:rPr>
        <w:drawing>
          <wp:inline distT="0" distB="0" distL="0" distR="0" wp14:anchorId="0E20202B" wp14:editId="7C4B0BAC">
            <wp:extent cx="3462076" cy="2072640"/>
            <wp:effectExtent l="0" t="0" r="508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849" cy="207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97D5" w14:textId="77777777" w:rsidR="00FD2E59" w:rsidRPr="005A0FBA" w:rsidRDefault="00FD2E59" w:rsidP="00FD2E59">
      <w:pPr>
        <w:pStyle w:val="BodyText"/>
        <w:spacing w:after="0"/>
        <w:jc w:val="both"/>
        <w:rPr>
          <w:sz w:val="10"/>
        </w:rPr>
      </w:pPr>
      <w:r w:rsidRPr="005A0FBA">
        <w:rPr>
          <w:sz w:val="10"/>
          <w:vertAlign w:val="superscript"/>
        </w:rPr>
        <w:t>1</w:t>
      </w:r>
      <w:r w:rsidRPr="005A0FBA">
        <w:rPr>
          <w:sz w:val="10"/>
        </w:rPr>
        <w:t xml:space="preserve"> House and other dwelling approvals. Seasonally adjusted series. </w:t>
      </w:r>
      <w:r w:rsidRPr="005A0FBA">
        <w:rPr>
          <w:sz w:val="10"/>
          <w:vertAlign w:val="superscript"/>
        </w:rPr>
        <w:t>2</w:t>
      </w:r>
      <w:r w:rsidRPr="005A0FBA">
        <w:rPr>
          <w:sz w:val="10"/>
        </w:rPr>
        <w:t xml:space="preserve"> Residential and non-residential building approvals.</w:t>
      </w:r>
    </w:p>
    <w:p w14:paraId="2CB1C7DB" w14:textId="351932BC" w:rsidR="00FD2E59" w:rsidRPr="005A0FBA" w:rsidRDefault="00FD2E59" w:rsidP="00FD2E59">
      <w:pPr>
        <w:pStyle w:val="BodyText"/>
        <w:spacing w:after="0"/>
        <w:jc w:val="both"/>
        <w:rPr>
          <w:sz w:val="10"/>
        </w:rPr>
      </w:pPr>
      <w:r w:rsidRPr="005A0FBA">
        <w:rPr>
          <w:sz w:val="10"/>
        </w:rPr>
        <w:t xml:space="preserve">Source: </w:t>
      </w:r>
      <w:r w:rsidR="00637898" w:rsidRPr="005A0FBA">
        <w:rPr>
          <w:sz w:val="10"/>
        </w:rPr>
        <w:t xml:space="preserve">Based on data from </w:t>
      </w:r>
      <w:r w:rsidRPr="005A0FBA">
        <w:rPr>
          <w:sz w:val="10"/>
        </w:rPr>
        <w:t>ABS 8731.0 Building Approvals, Australia (Monthly).</w:t>
      </w:r>
    </w:p>
    <w:p w14:paraId="57498769" w14:textId="77777777" w:rsidR="002B4436" w:rsidRPr="002B4436" w:rsidRDefault="00FD2E59" w:rsidP="002B4436">
      <w:pPr>
        <w:spacing w:after="0"/>
        <w:jc w:val="both"/>
        <w:rPr>
          <w:color w:val="FF0000"/>
          <w:sz w:val="16"/>
        </w:rPr>
      </w:pPr>
      <w:r w:rsidRPr="002B4436">
        <w:rPr>
          <w:color w:val="00B0F0"/>
          <w:sz w:val="16"/>
        </w:rPr>
        <w:br w:type="column"/>
      </w:r>
    </w:p>
    <w:p w14:paraId="11DD8102" w14:textId="4F060D06" w:rsidR="00FD2E59" w:rsidRPr="00AA57C4" w:rsidRDefault="00FD2E59" w:rsidP="00C9692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AA57C4">
        <w:rPr>
          <w:sz w:val="16"/>
        </w:rPr>
        <w:t>T</w:t>
      </w:r>
      <w:r w:rsidRPr="00AA57C4">
        <w:rPr>
          <w:sz w:val="16"/>
          <w:lang w:val="en"/>
        </w:rPr>
        <w:t>he</w:t>
      </w:r>
      <w:r w:rsidRPr="00AA57C4">
        <w:rPr>
          <w:sz w:val="16"/>
        </w:rPr>
        <w:t xml:space="preserve"> number of </w:t>
      </w:r>
      <w:r w:rsidR="00D2599C" w:rsidRPr="00AA57C4">
        <w:rPr>
          <w:sz w:val="16"/>
        </w:rPr>
        <w:t xml:space="preserve">monthly </w:t>
      </w:r>
      <w:r w:rsidRPr="00AA57C4">
        <w:rPr>
          <w:sz w:val="16"/>
        </w:rPr>
        <w:t>dwelling approva</w:t>
      </w:r>
      <w:r w:rsidR="00AE6047" w:rsidRPr="00AA57C4">
        <w:rPr>
          <w:sz w:val="16"/>
        </w:rPr>
        <w:t>l</w:t>
      </w:r>
      <w:r w:rsidR="00715E2B" w:rsidRPr="00AA57C4">
        <w:rPr>
          <w:sz w:val="16"/>
        </w:rPr>
        <w:t xml:space="preserve">s in </w:t>
      </w:r>
      <w:r w:rsidR="00692E6E" w:rsidRPr="00AA57C4">
        <w:rPr>
          <w:sz w:val="16"/>
        </w:rPr>
        <w:t xml:space="preserve">Western Australia </w:t>
      </w:r>
      <w:r w:rsidR="00D2599C" w:rsidRPr="00AA57C4">
        <w:rPr>
          <w:sz w:val="16"/>
        </w:rPr>
        <w:t xml:space="preserve">has been falling </w:t>
      </w:r>
      <w:r w:rsidR="002E0778" w:rsidRPr="00AA57C4">
        <w:rPr>
          <w:sz w:val="16"/>
        </w:rPr>
        <w:t xml:space="preserve">in recent months and </w:t>
      </w:r>
      <w:r w:rsidR="007A5A6D" w:rsidRPr="00AA57C4">
        <w:rPr>
          <w:sz w:val="16"/>
        </w:rPr>
        <w:t>has now fallen</w:t>
      </w:r>
      <w:r w:rsidR="002E0778" w:rsidRPr="00AA57C4">
        <w:rPr>
          <w:sz w:val="16"/>
        </w:rPr>
        <w:t xml:space="preserve"> below </w:t>
      </w:r>
      <w:r w:rsidR="00D2599C" w:rsidRPr="00AA57C4">
        <w:rPr>
          <w:sz w:val="16"/>
        </w:rPr>
        <w:t>pre-</w:t>
      </w:r>
      <w:r w:rsidR="00852AC7" w:rsidRPr="00AA57C4">
        <w:rPr>
          <w:sz w:val="16"/>
        </w:rPr>
        <w:t>C</w:t>
      </w:r>
      <w:r w:rsidR="002E0778" w:rsidRPr="00AA57C4">
        <w:rPr>
          <w:sz w:val="16"/>
        </w:rPr>
        <w:t>OVID</w:t>
      </w:r>
      <w:r w:rsidR="00D2599C" w:rsidRPr="00AA57C4">
        <w:rPr>
          <w:sz w:val="16"/>
        </w:rPr>
        <w:t>-19 levels</w:t>
      </w:r>
      <w:r w:rsidR="004804DB" w:rsidRPr="00AA57C4">
        <w:rPr>
          <w:sz w:val="16"/>
        </w:rPr>
        <w:t>.</w:t>
      </w:r>
    </w:p>
    <w:p w14:paraId="1DB822CF" w14:textId="799D81C4" w:rsidR="00D2599C" w:rsidRPr="00AA57C4" w:rsidRDefault="00D2599C" w:rsidP="00D2599C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AA57C4">
        <w:rPr>
          <w:sz w:val="16"/>
        </w:rPr>
        <w:t>T</w:t>
      </w:r>
      <w:r w:rsidRPr="00AA57C4">
        <w:rPr>
          <w:sz w:val="16"/>
          <w:lang w:val="en"/>
        </w:rPr>
        <w:t>he</w:t>
      </w:r>
      <w:r w:rsidRPr="00AA57C4">
        <w:rPr>
          <w:sz w:val="16"/>
        </w:rPr>
        <w:t xml:space="preserve"> number of dwelling approvals in Western Australia fell 17.5% to 1,061 in November 2022.</w:t>
      </w:r>
    </w:p>
    <w:p w14:paraId="5C8BE118" w14:textId="2CEE415B" w:rsidR="005A48FE" w:rsidRPr="00AA57C4" w:rsidRDefault="005A48FE" w:rsidP="005A48FE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AA57C4">
        <w:rPr>
          <w:sz w:val="16"/>
        </w:rPr>
        <w:t>The value of residential building approvals in Western Australia remain</w:t>
      </w:r>
      <w:r w:rsidR="00FB4E35" w:rsidRPr="00AA57C4">
        <w:rPr>
          <w:sz w:val="16"/>
        </w:rPr>
        <w:t>s</w:t>
      </w:r>
      <w:r w:rsidRPr="00AA57C4">
        <w:rPr>
          <w:sz w:val="16"/>
        </w:rPr>
        <w:t xml:space="preserve"> above pre-COVID-19 levels, although not by as much as the value of housing finance commitments </w:t>
      </w:r>
      <w:r w:rsidR="00FB4E35" w:rsidRPr="00AA57C4">
        <w:rPr>
          <w:sz w:val="16"/>
        </w:rPr>
        <w:t>(which in</w:t>
      </w:r>
      <w:r w:rsidRPr="00AA57C4">
        <w:rPr>
          <w:sz w:val="16"/>
        </w:rPr>
        <w:t>clude</w:t>
      </w:r>
      <w:r w:rsidR="0082387B" w:rsidRPr="00AA57C4">
        <w:rPr>
          <w:sz w:val="16"/>
        </w:rPr>
        <w:t xml:space="preserve">s </w:t>
      </w:r>
      <w:r w:rsidRPr="00AA57C4">
        <w:rPr>
          <w:sz w:val="16"/>
        </w:rPr>
        <w:t>new loans for dwellings already built</w:t>
      </w:r>
      <w:r w:rsidR="00FB4E35" w:rsidRPr="00AA57C4">
        <w:rPr>
          <w:sz w:val="16"/>
        </w:rPr>
        <w:t>)</w:t>
      </w:r>
      <w:r w:rsidRPr="00AA57C4">
        <w:rPr>
          <w:sz w:val="16"/>
        </w:rPr>
        <w:t>.</w:t>
      </w:r>
    </w:p>
    <w:p w14:paraId="6744FE92" w14:textId="540C5F47" w:rsidR="00C96929" w:rsidRPr="00AA57C4" w:rsidRDefault="00FD2E59" w:rsidP="005A48F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>The value of building approvals</w:t>
      </w:r>
      <w:r w:rsidR="00FB4E35" w:rsidRPr="00AA57C4">
        <w:rPr>
          <w:sz w:val="16"/>
        </w:rPr>
        <w:t xml:space="preserve"> in Western Australia</w:t>
      </w:r>
      <w:r w:rsidRPr="00AA57C4">
        <w:rPr>
          <w:sz w:val="16"/>
          <w:vertAlign w:val="superscript"/>
        </w:rPr>
        <w:t>2</w:t>
      </w:r>
      <w:r w:rsidR="00287BB0" w:rsidRPr="00AA57C4">
        <w:rPr>
          <w:sz w:val="16"/>
        </w:rPr>
        <w:t xml:space="preserve"> </w:t>
      </w:r>
      <w:r w:rsidR="0040366B" w:rsidRPr="00AA57C4">
        <w:rPr>
          <w:sz w:val="16"/>
        </w:rPr>
        <w:t>fell</w:t>
      </w:r>
      <w:r w:rsidR="00FA3029" w:rsidRPr="00AA57C4">
        <w:rPr>
          <w:sz w:val="16"/>
        </w:rPr>
        <w:t xml:space="preserve"> </w:t>
      </w:r>
      <w:r w:rsidR="0040366B" w:rsidRPr="00AA57C4">
        <w:rPr>
          <w:sz w:val="16"/>
        </w:rPr>
        <w:t>5.3</w:t>
      </w:r>
      <w:r w:rsidR="007A002B" w:rsidRPr="00AA57C4">
        <w:rPr>
          <w:sz w:val="16"/>
        </w:rPr>
        <w:t>%</w:t>
      </w:r>
      <w:r w:rsidR="00D719D8" w:rsidRPr="00AA57C4">
        <w:rPr>
          <w:sz w:val="16"/>
        </w:rPr>
        <w:t xml:space="preserve"> to $</w:t>
      </w:r>
      <w:r w:rsidR="0040366B" w:rsidRPr="00AA57C4">
        <w:rPr>
          <w:sz w:val="16"/>
        </w:rPr>
        <w:t>960</w:t>
      </w:r>
      <w:r w:rsidR="005C4D0A" w:rsidRPr="00AA57C4">
        <w:rPr>
          <w:sz w:val="16"/>
        </w:rPr>
        <w:t> </w:t>
      </w:r>
      <w:r w:rsidR="0040366B" w:rsidRPr="00AA57C4">
        <w:rPr>
          <w:sz w:val="16"/>
        </w:rPr>
        <w:t>m</w:t>
      </w:r>
      <w:r w:rsidRPr="00AA57C4">
        <w:rPr>
          <w:sz w:val="16"/>
        </w:rPr>
        <w:t xml:space="preserve">illion in </w:t>
      </w:r>
      <w:r w:rsidR="0040366B" w:rsidRPr="00AA57C4">
        <w:rPr>
          <w:sz w:val="16"/>
        </w:rPr>
        <w:t>November</w:t>
      </w:r>
      <w:r w:rsidR="005C4D0A" w:rsidRPr="00AA57C4">
        <w:rPr>
          <w:sz w:val="16"/>
        </w:rPr>
        <w:t> </w:t>
      </w:r>
      <w:r w:rsidR="00287BB0" w:rsidRPr="00AA57C4">
        <w:rPr>
          <w:sz w:val="16"/>
        </w:rPr>
        <w:t>202</w:t>
      </w:r>
      <w:r w:rsidR="004A6E1C" w:rsidRPr="00AA57C4">
        <w:rPr>
          <w:sz w:val="16"/>
        </w:rPr>
        <w:t>2</w:t>
      </w:r>
      <w:r w:rsidR="00287BB0" w:rsidRPr="00AA57C4">
        <w:rPr>
          <w:sz w:val="16"/>
        </w:rPr>
        <w:t xml:space="preserve">, following a </w:t>
      </w:r>
      <w:r w:rsidR="00B553C5" w:rsidRPr="00AA57C4">
        <w:rPr>
          <w:sz w:val="16"/>
        </w:rPr>
        <w:t>rise</w:t>
      </w:r>
      <w:r w:rsidR="00FB2845" w:rsidRPr="00AA57C4">
        <w:rPr>
          <w:sz w:val="16"/>
        </w:rPr>
        <w:t xml:space="preserve"> </w:t>
      </w:r>
      <w:r w:rsidR="00287BB0" w:rsidRPr="00AA57C4">
        <w:rPr>
          <w:sz w:val="16"/>
        </w:rPr>
        <w:t xml:space="preserve">of </w:t>
      </w:r>
      <w:r w:rsidR="0040366B" w:rsidRPr="00AA57C4">
        <w:rPr>
          <w:sz w:val="16"/>
        </w:rPr>
        <w:t>2.7</w:t>
      </w:r>
      <w:r w:rsidR="00AE6047" w:rsidRPr="00AA57C4">
        <w:rPr>
          <w:sz w:val="16"/>
        </w:rPr>
        <w:t xml:space="preserve">% </w:t>
      </w:r>
      <w:r w:rsidR="00287BB0" w:rsidRPr="00AA57C4">
        <w:rPr>
          <w:sz w:val="16"/>
        </w:rPr>
        <w:t xml:space="preserve">in </w:t>
      </w:r>
      <w:r w:rsidR="0040366B" w:rsidRPr="00AA57C4">
        <w:rPr>
          <w:sz w:val="16"/>
        </w:rPr>
        <w:t>October</w:t>
      </w:r>
      <w:r w:rsidR="005C4D0A" w:rsidRPr="00AA57C4">
        <w:rPr>
          <w:sz w:val="16"/>
        </w:rPr>
        <w:t> </w:t>
      </w:r>
      <w:r w:rsidR="00F821A5" w:rsidRPr="00AA57C4">
        <w:rPr>
          <w:sz w:val="16"/>
        </w:rPr>
        <w:t>2022</w:t>
      </w:r>
      <w:r w:rsidR="00C96929" w:rsidRPr="00AA57C4">
        <w:rPr>
          <w:sz w:val="16"/>
        </w:rPr>
        <w:t>.</w:t>
      </w:r>
    </w:p>
    <w:p w14:paraId="79AAD7F4" w14:textId="50288F5D" w:rsidR="00FD2E59" w:rsidRPr="00AA57C4" w:rsidRDefault="00D719D8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57C4">
        <w:rPr>
          <w:sz w:val="16"/>
        </w:rPr>
        <w:t xml:space="preserve">In </w:t>
      </w:r>
      <w:r w:rsidR="001F5BA8" w:rsidRPr="00AA57C4">
        <w:rPr>
          <w:sz w:val="16"/>
        </w:rPr>
        <w:t>November</w:t>
      </w:r>
      <w:r w:rsidR="005C4D0A" w:rsidRPr="00AA57C4">
        <w:rPr>
          <w:sz w:val="16"/>
        </w:rPr>
        <w:t> </w:t>
      </w:r>
      <w:r w:rsidR="00FD2E59" w:rsidRPr="00AA57C4">
        <w:rPr>
          <w:sz w:val="16"/>
        </w:rPr>
        <w:t>202</w:t>
      </w:r>
      <w:r w:rsidR="004A6E1C" w:rsidRPr="00AA57C4">
        <w:rPr>
          <w:sz w:val="16"/>
        </w:rPr>
        <w:t>2</w:t>
      </w:r>
      <w:r w:rsidR="00FD2E59" w:rsidRPr="00AA57C4">
        <w:rPr>
          <w:sz w:val="16"/>
        </w:rPr>
        <w:t>, the value of approvals for:</w:t>
      </w:r>
    </w:p>
    <w:p w14:paraId="2A2BAE9E" w14:textId="070EB278" w:rsidR="00FD2E59" w:rsidRPr="00AA57C4" w:rsidRDefault="00CE171F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A57C4">
        <w:rPr>
          <w:sz w:val="16"/>
        </w:rPr>
        <w:t>r</w:t>
      </w:r>
      <w:r w:rsidR="00287BB0" w:rsidRPr="00AA57C4">
        <w:rPr>
          <w:sz w:val="16"/>
        </w:rPr>
        <w:t xml:space="preserve">esidential building </w:t>
      </w:r>
      <w:r w:rsidR="001F5BA8" w:rsidRPr="00AA57C4">
        <w:rPr>
          <w:sz w:val="16"/>
        </w:rPr>
        <w:t>fell</w:t>
      </w:r>
      <w:r w:rsidR="005C4D0A" w:rsidRPr="00AA57C4">
        <w:rPr>
          <w:sz w:val="16"/>
        </w:rPr>
        <w:t xml:space="preserve"> </w:t>
      </w:r>
      <w:r w:rsidR="001F5BA8" w:rsidRPr="00AA57C4">
        <w:rPr>
          <w:sz w:val="16"/>
        </w:rPr>
        <w:t>8.3</w:t>
      </w:r>
      <w:r w:rsidR="00D719D8" w:rsidRPr="00AA57C4">
        <w:rPr>
          <w:sz w:val="16"/>
        </w:rPr>
        <w:t>% to $</w:t>
      </w:r>
      <w:r w:rsidR="005C4D0A" w:rsidRPr="00AA57C4">
        <w:rPr>
          <w:sz w:val="16"/>
        </w:rPr>
        <w:t>5</w:t>
      </w:r>
      <w:r w:rsidR="001F5BA8" w:rsidRPr="00AA57C4">
        <w:rPr>
          <w:sz w:val="16"/>
        </w:rPr>
        <w:t>10</w:t>
      </w:r>
      <w:r w:rsidR="005C4D0A" w:rsidRPr="00AA57C4">
        <w:rPr>
          <w:sz w:val="16"/>
        </w:rPr>
        <w:t> </w:t>
      </w:r>
      <w:r w:rsidR="00FD2E59" w:rsidRPr="00AA57C4">
        <w:rPr>
          <w:sz w:val="16"/>
        </w:rPr>
        <w:t>million</w:t>
      </w:r>
    </w:p>
    <w:p w14:paraId="68D6AA5A" w14:textId="7BDC2F3C" w:rsidR="00FD2E59" w:rsidRPr="00AA57C4" w:rsidRDefault="00CE171F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AA57C4">
        <w:rPr>
          <w:sz w:val="16"/>
        </w:rPr>
        <w:t>n</w:t>
      </w:r>
      <w:r w:rsidR="00FD2E59" w:rsidRPr="00AA57C4">
        <w:rPr>
          <w:sz w:val="16"/>
        </w:rPr>
        <w:t>on-residential</w:t>
      </w:r>
      <w:proofErr w:type="gramEnd"/>
      <w:r w:rsidR="00FD2E59" w:rsidRPr="00AA57C4">
        <w:rPr>
          <w:sz w:val="16"/>
        </w:rPr>
        <w:t xml:space="preserve"> building </w:t>
      </w:r>
      <w:r w:rsidR="00B553C5" w:rsidRPr="00AA57C4">
        <w:rPr>
          <w:sz w:val="16"/>
        </w:rPr>
        <w:t>fell</w:t>
      </w:r>
      <w:r w:rsidR="005C4D0A" w:rsidRPr="00AA57C4">
        <w:rPr>
          <w:sz w:val="16"/>
        </w:rPr>
        <w:t xml:space="preserve"> </w:t>
      </w:r>
      <w:r w:rsidR="001F5BA8" w:rsidRPr="00AA57C4">
        <w:rPr>
          <w:sz w:val="16"/>
        </w:rPr>
        <w:t>1.7</w:t>
      </w:r>
      <w:r w:rsidR="00FD2E59" w:rsidRPr="00AA57C4">
        <w:rPr>
          <w:sz w:val="16"/>
        </w:rPr>
        <w:t>% to $</w:t>
      </w:r>
      <w:r w:rsidR="005C4D0A" w:rsidRPr="00AA57C4">
        <w:rPr>
          <w:sz w:val="16"/>
        </w:rPr>
        <w:t>4</w:t>
      </w:r>
      <w:r w:rsidR="001F5BA8" w:rsidRPr="00AA57C4">
        <w:rPr>
          <w:sz w:val="16"/>
        </w:rPr>
        <w:t>50</w:t>
      </w:r>
      <w:r w:rsidR="00FB2845" w:rsidRPr="00AA57C4">
        <w:rPr>
          <w:sz w:val="16"/>
        </w:rPr>
        <w:t> </w:t>
      </w:r>
      <w:r w:rsidR="001310FF" w:rsidRPr="00AA57C4">
        <w:rPr>
          <w:sz w:val="16"/>
        </w:rPr>
        <w:t>m</w:t>
      </w:r>
      <w:r w:rsidR="00FD2E59" w:rsidRPr="00AA57C4">
        <w:rPr>
          <w:sz w:val="16"/>
        </w:rPr>
        <w:t>illion.</w:t>
      </w:r>
    </w:p>
    <w:p w14:paraId="0457EE53" w14:textId="6C9952E2" w:rsidR="00FD2E59" w:rsidRPr="00937B30" w:rsidRDefault="00A95465" w:rsidP="000E149E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937B30">
        <w:rPr>
          <w:sz w:val="16"/>
        </w:rPr>
        <w:t>The 2022</w:t>
      </w:r>
      <w:r w:rsidRPr="00937B30">
        <w:rPr>
          <w:sz w:val="16"/>
        </w:rPr>
        <w:noBreakHyphen/>
        <w:t xml:space="preserve">23 WA Government Mid-year Financial Projections Statement </w:t>
      </w:r>
      <w:r w:rsidR="0081750C" w:rsidRPr="00937B30">
        <w:rPr>
          <w:sz w:val="16"/>
        </w:rPr>
        <w:t>forecast</w:t>
      </w:r>
      <w:r w:rsidRPr="00937B30">
        <w:rPr>
          <w:sz w:val="16"/>
        </w:rPr>
        <w:t>s</w:t>
      </w:r>
      <w:r w:rsidR="0081750C" w:rsidRPr="00937B30">
        <w:rPr>
          <w:sz w:val="16"/>
        </w:rPr>
        <w:t xml:space="preserve"> Western Australia’s real dwelling investment </w:t>
      </w:r>
      <w:r w:rsidR="001D3A51" w:rsidRPr="00937B30">
        <w:rPr>
          <w:sz w:val="16"/>
        </w:rPr>
        <w:t>will</w:t>
      </w:r>
      <w:r w:rsidR="0081750C" w:rsidRPr="00937B30">
        <w:rPr>
          <w:sz w:val="16"/>
        </w:rPr>
        <w:t xml:space="preserve"> rise</w:t>
      </w:r>
      <w:r w:rsidR="00F36863" w:rsidRPr="00937B30">
        <w:rPr>
          <w:sz w:val="16"/>
        </w:rPr>
        <w:t xml:space="preserve"> </w:t>
      </w:r>
      <w:r w:rsidR="001D3A51" w:rsidRPr="00937B30">
        <w:rPr>
          <w:sz w:val="16"/>
        </w:rPr>
        <w:t>6.0</w:t>
      </w:r>
      <w:r w:rsidR="0081750C" w:rsidRPr="00937B30">
        <w:rPr>
          <w:sz w:val="16"/>
        </w:rPr>
        <w:t>% in 202</w:t>
      </w:r>
      <w:r w:rsidR="000E149E" w:rsidRPr="00937B30">
        <w:rPr>
          <w:sz w:val="16"/>
        </w:rPr>
        <w:t>2</w:t>
      </w:r>
      <w:r w:rsidR="0081750C" w:rsidRPr="00937B30">
        <w:rPr>
          <w:sz w:val="16"/>
        </w:rPr>
        <w:t>-2</w:t>
      </w:r>
      <w:r w:rsidR="001D3A51" w:rsidRPr="00937B30">
        <w:rPr>
          <w:sz w:val="16"/>
        </w:rPr>
        <w:t>3 and 5</w:t>
      </w:r>
      <w:r w:rsidR="000E149E" w:rsidRPr="00937B30">
        <w:rPr>
          <w:sz w:val="16"/>
        </w:rPr>
        <w:t>.0% in 2023-24.</w:t>
      </w:r>
    </w:p>
    <w:p w14:paraId="079D7ADA" w14:textId="77777777" w:rsidR="00F36863" w:rsidRPr="000E149E" w:rsidRDefault="00F36863" w:rsidP="000E149E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  <w:sectPr w:rsidR="00F36863" w:rsidRPr="000E149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5EA2B2" w14:textId="15B2B655" w:rsidR="00FD2E59" w:rsidRDefault="00FD2E59" w:rsidP="00FD2E59">
      <w:pPr>
        <w:pStyle w:val="BodyText"/>
        <w:spacing w:after="0"/>
        <w:rPr>
          <w:sz w:val="16"/>
        </w:rPr>
      </w:pPr>
    </w:p>
    <w:p w14:paraId="04098631" w14:textId="77777777" w:rsidR="0012447E" w:rsidRDefault="0012447E" w:rsidP="00FD2E59">
      <w:pPr>
        <w:pStyle w:val="BodyText"/>
        <w:spacing w:after="0"/>
        <w:rPr>
          <w:sz w:val="16"/>
        </w:rPr>
      </w:pPr>
    </w:p>
    <w:p w14:paraId="76EE160D" w14:textId="5AC13EDC" w:rsidR="00FD2E59" w:rsidRPr="00020369" w:rsidRDefault="003F3815" w:rsidP="00FD2E59">
      <w:pPr>
        <w:spacing w:after="0"/>
        <w:rPr>
          <w:rFonts w:ascii="Arial" w:hAnsi="Arial" w:cs="Times New Roman"/>
          <w:b/>
          <w:color w:val="92278F" w:themeColor="accent1"/>
          <w:sz w:val="20"/>
        </w:rPr>
      </w:pPr>
      <w:r>
        <w:rPr>
          <w:rFonts w:ascii="Arial" w:hAnsi="Arial" w:cs="Times New Roman"/>
          <w:b/>
          <w:color w:val="92278F" w:themeColor="accent1"/>
          <w:sz w:val="20"/>
        </w:rPr>
        <w:t xml:space="preserve">Perth’s </w:t>
      </w:r>
      <w:r w:rsidR="00FD2E59" w:rsidRPr="00020369">
        <w:rPr>
          <w:rFonts w:ascii="Arial" w:hAnsi="Arial" w:cs="Times New Roman"/>
          <w:b/>
          <w:color w:val="92278F" w:themeColor="accent1"/>
          <w:sz w:val="20"/>
        </w:rPr>
        <w:t>housing prices</w:t>
      </w:r>
      <w:r w:rsidR="00FD2E59" w:rsidRPr="00020369">
        <w:rPr>
          <w:rFonts w:ascii="Arial" w:hAnsi="Arial" w:cs="Times New Roman"/>
          <w:b/>
          <w:color w:val="92278F" w:themeColor="accent1"/>
          <w:sz w:val="20"/>
          <w:vertAlign w:val="superscript"/>
        </w:rPr>
        <w:t>1</w:t>
      </w:r>
      <w:r w:rsidR="00FD2E59" w:rsidRPr="00020369">
        <w:rPr>
          <w:rFonts w:ascii="Arial" w:hAnsi="Arial" w:cs="Times New Roman"/>
          <w:b/>
          <w:color w:val="92278F" w:themeColor="accent1"/>
          <w:sz w:val="20"/>
        </w:rPr>
        <w:t xml:space="preserve">: </w:t>
      </w:r>
      <w:r w:rsidR="00C00EC0" w:rsidRPr="00E15DE7">
        <w:rPr>
          <w:rFonts w:ascii="Arial" w:hAnsi="Arial" w:cs="Times New Roman"/>
          <w:b/>
          <w:color w:val="92278F" w:themeColor="accent1"/>
          <w:sz w:val="20"/>
        </w:rPr>
        <w:t>q</w:t>
      </w:r>
      <w:r w:rsidR="00FD2E59" w:rsidRPr="00E15DE7">
        <w:rPr>
          <w:rFonts w:ascii="Arial" w:hAnsi="Arial" w:cs="Times New Roman"/>
          <w:b/>
          <w:color w:val="92278F" w:themeColor="accent1"/>
          <w:sz w:val="20"/>
        </w:rPr>
        <w:t>uarters</w:t>
      </w:r>
    </w:p>
    <w:p w14:paraId="26D0EC48" w14:textId="5A86B5FF" w:rsidR="00FD2E59" w:rsidRDefault="00D223EF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56F2946" wp14:editId="244A5472">
            <wp:extent cx="3533768" cy="2171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670" cy="219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4DDD" w14:textId="7D9F7E3D" w:rsidR="00FD2E59" w:rsidRPr="00993D3C" w:rsidRDefault="00FD2E59" w:rsidP="003623BC">
      <w:pPr>
        <w:spacing w:after="0"/>
        <w:jc w:val="both"/>
        <w:rPr>
          <w:rFonts w:ascii="Arial" w:hAnsi="Arial" w:cs="Times New Roman"/>
          <w:sz w:val="10"/>
        </w:rPr>
      </w:pPr>
      <w:r w:rsidRPr="00993D3C">
        <w:rPr>
          <w:rFonts w:ascii="Arial" w:hAnsi="Arial" w:cs="Times New Roman"/>
          <w:sz w:val="10"/>
        </w:rPr>
        <w:t xml:space="preserve">Note – Axis does not start at zero. </w:t>
      </w:r>
      <w:r w:rsidRPr="00993D3C">
        <w:rPr>
          <w:rFonts w:ascii="Arial" w:hAnsi="Arial" w:cs="Times New Roman"/>
          <w:sz w:val="10"/>
          <w:vertAlign w:val="superscript"/>
        </w:rPr>
        <w:t>1</w:t>
      </w:r>
      <w:r w:rsidRPr="00993D3C">
        <w:rPr>
          <w:rFonts w:ascii="Arial" w:hAnsi="Arial" w:cs="Times New Roman"/>
          <w:sz w:val="10"/>
        </w:rPr>
        <w:t xml:space="preserve"> Nominal or not adjusted for price changes. Original se</w:t>
      </w:r>
      <w:r w:rsidR="003623BC">
        <w:rPr>
          <w:rFonts w:ascii="Arial" w:hAnsi="Arial" w:cs="Times New Roman"/>
          <w:sz w:val="10"/>
        </w:rPr>
        <w:t>ries. Consumer price index 2011</w:t>
      </w:r>
      <w:r w:rsidR="003623BC">
        <w:rPr>
          <w:rFonts w:ascii="Arial" w:hAnsi="Arial" w:cs="Times New Roman"/>
          <w:sz w:val="10"/>
        </w:rPr>
        <w:noBreakHyphen/>
      </w:r>
      <w:r w:rsidRPr="00993D3C">
        <w:rPr>
          <w:rFonts w:ascii="Arial" w:hAnsi="Arial" w:cs="Times New Roman"/>
          <w:sz w:val="10"/>
        </w:rPr>
        <w:t>12 = 100.0. (a) Index of prices for new dwellings purchased by owner-occupiers in Perth. (b) Index of prices for rents in Perth.</w:t>
      </w:r>
    </w:p>
    <w:p w14:paraId="3E88EA9B" w14:textId="47F0E03E" w:rsidR="00FD2E59" w:rsidRPr="00AD38D1" w:rsidRDefault="00FD2E59" w:rsidP="00FD2E59">
      <w:pPr>
        <w:pStyle w:val="BodyText"/>
        <w:spacing w:after="0"/>
        <w:jc w:val="both"/>
        <w:rPr>
          <w:sz w:val="10"/>
        </w:rPr>
      </w:pPr>
      <w:r w:rsidRPr="00993D3C">
        <w:rPr>
          <w:rFonts w:ascii="Arial" w:hAnsi="Arial" w:cs="Times New Roman"/>
          <w:sz w:val="10"/>
        </w:rPr>
        <w:t>Source</w:t>
      </w:r>
      <w:r w:rsidRPr="009B72DB">
        <w:rPr>
          <w:rFonts w:ascii="Arial" w:hAnsi="Arial" w:cs="Times New Roman"/>
          <w:sz w:val="10"/>
        </w:rPr>
        <w:t>:</w:t>
      </w:r>
      <w:r w:rsidR="00637898" w:rsidRPr="009B72DB">
        <w:rPr>
          <w:sz w:val="10"/>
        </w:rPr>
        <w:t xml:space="preserve"> Based on data from</w:t>
      </w:r>
      <w:r w:rsidRPr="009B72DB">
        <w:rPr>
          <w:rFonts w:ascii="Arial" w:hAnsi="Arial" w:cs="Times New Roman"/>
          <w:sz w:val="10"/>
        </w:rPr>
        <w:t xml:space="preserve"> </w:t>
      </w:r>
      <w:r w:rsidRPr="00993D3C">
        <w:rPr>
          <w:rFonts w:ascii="Arial" w:hAnsi="Arial" w:cs="Times New Roman"/>
          <w:sz w:val="10"/>
        </w:rPr>
        <w:t>ABS 6401.0 Consumer Price Index, Australia (Quarterly</w:t>
      </w:r>
      <w:r w:rsidRPr="00AD38D1">
        <w:rPr>
          <w:sz w:val="10"/>
        </w:rPr>
        <w:t>).</w:t>
      </w:r>
    </w:p>
    <w:p w14:paraId="259D158D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6508284" w14:textId="655C9562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BDBAE90" w14:textId="77777777" w:rsidR="0012447E" w:rsidRDefault="0012447E" w:rsidP="00FD2E59">
      <w:pPr>
        <w:pStyle w:val="BodyText"/>
        <w:spacing w:after="0"/>
        <w:jc w:val="both"/>
        <w:rPr>
          <w:sz w:val="16"/>
        </w:rPr>
      </w:pPr>
    </w:p>
    <w:p w14:paraId="1B037F7D" w14:textId="565E6DD0" w:rsidR="00A441D0" w:rsidRPr="00E15DE7" w:rsidRDefault="00A441D0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E15DE7">
        <w:rPr>
          <w:rFonts w:ascii="Arial" w:hAnsi="Arial" w:cs="Times New Roman"/>
          <w:sz w:val="16"/>
        </w:rPr>
        <w:t>Perth’s</w:t>
      </w:r>
      <w:r w:rsidR="00626C6C" w:rsidRPr="00E15DE7">
        <w:rPr>
          <w:rFonts w:ascii="Arial" w:hAnsi="Arial" w:cs="Times New Roman"/>
          <w:sz w:val="16"/>
        </w:rPr>
        <w:t xml:space="preserve"> </w:t>
      </w:r>
      <w:r w:rsidRPr="00E15DE7">
        <w:rPr>
          <w:rFonts w:ascii="Arial" w:hAnsi="Arial" w:cs="Times New Roman"/>
          <w:sz w:val="16"/>
        </w:rPr>
        <w:t xml:space="preserve">house </w:t>
      </w:r>
      <w:r w:rsidR="00E05229" w:rsidRPr="00E15DE7">
        <w:rPr>
          <w:rFonts w:ascii="Arial" w:hAnsi="Arial" w:cs="Times New Roman"/>
          <w:sz w:val="16"/>
        </w:rPr>
        <w:t xml:space="preserve">and rental </w:t>
      </w:r>
      <w:r w:rsidRPr="00E15DE7">
        <w:rPr>
          <w:rFonts w:ascii="Arial" w:hAnsi="Arial" w:cs="Times New Roman"/>
          <w:sz w:val="16"/>
        </w:rPr>
        <w:t xml:space="preserve">prices </w:t>
      </w:r>
      <w:r w:rsidR="003F3815" w:rsidRPr="00E15DE7">
        <w:rPr>
          <w:rFonts w:ascii="Arial" w:hAnsi="Arial" w:cs="Times New Roman"/>
          <w:sz w:val="16"/>
        </w:rPr>
        <w:t>rose</w:t>
      </w:r>
      <w:r w:rsidR="00150B77" w:rsidRPr="00E15DE7">
        <w:rPr>
          <w:rFonts w:ascii="Arial" w:hAnsi="Arial" w:cs="Times New Roman"/>
          <w:sz w:val="16"/>
        </w:rPr>
        <w:t xml:space="preserve"> in the </w:t>
      </w:r>
      <w:r w:rsidR="00F36EBE" w:rsidRPr="00E15DE7">
        <w:rPr>
          <w:rFonts w:ascii="Arial" w:hAnsi="Arial" w:cs="Times New Roman"/>
          <w:sz w:val="16"/>
        </w:rPr>
        <w:t>December</w:t>
      </w:r>
      <w:r w:rsidR="00E05229" w:rsidRPr="00E15DE7">
        <w:rPr>
          <w:rFonts w:ascii="Arial" w:hAnsi="Arial" w:cs="Times New Roman"/>
          <w:sz w:val="16"/>
        </w:rPr>
        <w:t xml:space="preserve"> qu</w:t>
      </w:r>
      <w:r w:rsidR="009E2978" w:rsidRPr="00E15DE7">
        <w:rPr>
          <w:rFonts w:ascii="Arial" w:hAnsi="Arial" w:cs="Times New Roman"/>
          <w:sz w:val="16"/>
        </w:rPr>
        <w:t>arter 2022</w:t>
      </w:r>
      <w:r w:rsidR="000C3195" w:rsidRPr="00E15DE7">
        <w:rPr>
          <w:rFonts w:ascii="Arial" w:hAnsi="Arial" w:cs="Times New Roman"/>
          <w:sz w:val="16"/>
        </w:rPr>
        <w:t>.</w:t>
      </w:r>
    </w:p>
    <w:p w14:paraId="29ABAF96" w14:textId="572A04F3" w:rsidR="00FD2E59" w:rsidRPr="00E15DE7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E15DE7">
        <w:rPr>
          <w:rFonts w:ascii="Arial" w:hAnsi="Arial" w:cs="Times New Roman"/>
          <w:sz w:val="16"/>
        </w:rPr>
        <w:t>Prices for new dwellings purchased by o</w:t>
      </w:r>
      <w:r w:rsidR="00150B77" w:rsidRPr="00E15DE7">
        <w:rPr>
          <w:rFonts w:ascii="Arial" w:hAnsi="Arial" w:cs="Times New Roman"/>
          <w:sz w:val="16"/>
        </w:rPr>
        <w:t xml:space="preserve">wner-occupiers in Perth </w:t>
      </w:r>
      <w:r w:rsidR="00E528A1" w:rsidRPr="00E15DE7">
        <w:rPr>
          <w:rFonts w:ascii="Arial" w:hAnsi="Arial" w:cs="Times New Roman"/>
          <w:sz w:val="16"/>
        </w:rPr>
        <w:t xml:space="preserve">rose </w:t>
      </w:r>
      <w:r w:rsidR="00F36EBE" w:rsidRPr="00E15DE7">
        <w:rPr>
          <w:rFonts w:ascii="Arial" w:hAnsi="Arial" w:cs="Times New Roman"/>
          <w:sz w:val="16"/>
        </w:rPr>
        <w:t>1.4</w:t>
      </w:r>
      <w:r w:rsidR="00A441D0" w:rsidRPr="00E15DE7">
        <w:rPr>
          <w:rFonts w:ascii="Arial" w:hAnsi="Arial" w:cs="Times New Roman"/>
          <w:sz w:val="16"/>
        </w:rPr>
        <w:t xml:space="preserve">% in the </w:t>
      </w:r>
      <w:r w:rsidR="00F36EBE" w:rsidRPr="00E15DE7">
        <w:rPr>
          <w:rFonts w:ascii="Arial" w:hAnsi="Arial" w:cs="Times New Roman"/>
          <w:sz w:val="16"/>
        </w:rPr>
        <w:t>December</w:t>
      </w:r>
      <w:r w:rsidR="009C62AC" w:rsidRPr="00E15DE7">
        <w:rPr>
          <w:rFonts w:ascii="Arial" w:hAnsi="Arial" w:cs="Times New Roman"/>
          <w:sz w:val="16"/>
        </w:rPr>
        <w:t xml:space="preserve"> quarter 2022</w:t>
      </w:r>
      <w:r w:rsidR="00A441D0" w:rsidRPr="00E15DE7">
        <w:rPr>
          <w:rFonts w:ascii="Arial" w:hAnsi="Arial" w:cs="Times New Roman"/>
          <w:sz w:val="16"/>
        </w:rPr>
        <w:t xml:space="preserve">, </w:t>
      </w:r>
      <w:r w:rsidR="00406882" w:rsidRPr="00E15DE7">
        <w:rPr>
          <w:rFonts w:ascii="Arial" w:hAnsi="Arial" w:cs="Times New Roman"/>
          <w:sz w:val="16"/>
        </w:rPr>
        <w:t xml:space="preserve">to be </w:t>
      </w:r>
      <w:r w:rsidR="00F36EBE" w:rsidRPr="00E15DE7">
        <w:rPr>
          <w:rFonts w:ascii="Arial" w:hAnsi="Arial" w:cs="Times New Roman"/>
          <w:sz w:val="16"/>
        </w:rPr>
        <w:t>26.4</w:t>
      </w:r>
      <w:r w:rsidR="003F157D" w:rsidRPr="00E15DE7">
        <w:rPr>
          <w:rFonts w:ascii="Arial" w:hAnsi="Arial" w:cs="Times New Roman"/>
          <w:sz w:val="16"/>
        </w:rPr>
        <w:t>%</w:t>
      </w:r>
      <w:r w:rsidR="00EB3CA6" w:rsidRPr="00E15DE7">
        <w:rPr>
          <w:rFonts w:ascii="Arial" w:hAnsi="Arial" w:cs="Times New Roman"/>
          <w:sz w:val="16"/>
        </w:rPr>
        <w:t xml:space="preserve"> </w:t>
      </w:r>
      <w:r w:rsidRPr="00E15DE7">
        <w:rPr>
          <w:rFonts w:ascii="Arial" w:hAnsi="Arial" w:cs="Times New Roman"/>
          <w:sz w:val="16"/>
        </w:rPr>
        <w:t>h</w:t>
      </w:r>
      <w:r w:rsidR="00150B77" w:rsidRPr="00E15DE7">
        <w:rPr>
          <w:rFonts w:ascii="Arial" w:hAnsi="Arial" w:cs="Times New Roman"/>
          <w:sz w:val="16"/>
        </w:rPr>
        <w:t xml:space="preserve">igher than in the </w:t>
      </w:r>
      <w:r w:rsidR="00F36EBE" w:rsidRPr="00E15DE7">
        <w:rPr>
          <w:rFonts w:ascii="Arial" w:hAnsi="Arial" w:cs="Times New Roman"/>
          <w:sz w:val="16"/>
        </w:rPr>
        <w:t>December</w:t>
      </w:r>
      <w:r w:rsidR="009C62AC" w:rsidRPr="00E15DE7">
        <w:rPr>
          <w:rFonts w:ascii="Arial" w:hAnsi="Arial" w:cs="Times New Roman"/>
          <w:sz w:val="16"/>
        </w:rPr>
        <w:t xml:space="preserve"> quarter 2021</w:t>
      </w:r>
      <w:r w:rsidRPr="00E15DE7">
        <w:rPr>
          <w:rFonts w:ascii="Arial" w:hAnsi="Arial" w:cs="Times New Roman"/>
          <w:sz w:val="16"/>
        </w:rPr>
        <w:t>.</w:t>
      </w:r>
    </w:p>
    <w:p w14:paraId="3A7BD8B9" w14:textId="392A58CF" w:rsidR="00FD2E59" w:rsidRPr="00E15DE7" w:rsidRDefault="00F36EBE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E15DE7">
        <w:rPr>
          <w:rFonts w:ascii="Arial" w:hAnsi="Arial" w:cs="Times New Roman"/>
          <w:sz w:val="16"/>
        </w:rPr>
        <w:t>Perth’s rents rose 1.3</w:t>
      </w:r>
      <w:r w:rsidR="00150B77" w:rsidRPr="00E15DE7">
        <w:rPr>
          <w:rFonts w:ascii="Arial" w:hAnsi="Arial" w:cs="Times New Roman"/>
          <w:sz w:val="16"/>
        </w:rPr>
        <w:t xml:space="preserve">% in the </w:t>
      </w:r>
      <w:r w:rsidRPr="00E15DE7">
        <w:rPr>
          <w:rFonts w:ascii="Arial" w:hAnsi="Arial" w:cs="Times New Roman"/>
          <w:sz w:val="16"/>
        </w:rPr>
        <w:t>December</w:t>
      </w:r>
      <w:r w:rsidR="00022306" w:rsidRPr="00E15DE7">
        <w:rPr>
          <w:rFonts w:ascii="Arial" w:hAnsi="Arial" w:cs="Times New Roman"/>
          <w:sz w:val="16"/>
        </w:rPr>
        <w:t xml:space="preserve"> </w:t>
      </w:r>
      <w:r w:rsidR="009C62AC" w:rsidRPr="00E15DE7">
        <w:rPr>
          <w:rFonts w:ascii="Arial" w:hAnsi="Arial" w:cs="Times New Roman"/>
          <w:sz w:val="16"/>
        </w:rPr>
        <w:t>quarter 2022</w:t>
      </w:r>
      <w:r w:rsidR="00FD2E59" w:rsidRPr="00E15DE7">
        <w:rPr>
          <w:rFonts w:ascii="Arial" w:hAnsi="Arial" w:cs="Times New Roman"/>
          <w:sz w:val="16"/>
        </w:rPr>
        <w:t xml:space="preserve">, to be </w:t>
      </w:r>
      <w:r w:rsidRPr="00E15DE7">
        <w:rPr>
          <w:rFonts w:ascii="Arial" w:hAnsi="Arial" w:cs="Times New Roman"/>
          <w:sz w:val="16"/>
        </w:rPr>
        <w:t>8.0</w:t>
      </w:r>
      <w:r w:rsidR="00150B77" w:rsidRPr="00E15DE7">
        <w:rPr>
          <w:rFonts w:ascii="Arial" w:hAnsi="Arial" w:cs="Times New Roman"/>
          <w:sz w:val="16"/>
        </w:rPr>
        <w:t xml:space="preserve">% higher than in the </w:t>
      </w:r>
      <w:r w:rsidRPr="00E15DE7">
        <w:rPr>
          <w:rFonts w:ascii="Arial" w:hAnsi="Arial" w:cs="Times New Roman"/>
          <w:sz w:val="16"/>
        </w:rPr>
        <w:t>December</w:t>
      </w:r>
      <w:r w:rsidR="009C62AC" w:rsidRPr="00E15DE7">
        <w:rPr>
          <w:rFonts w:ascii="Arial" w:hAnsi="Arial" w:cs="Times New Roman"/>
          <w:sz w:val="16"/>
        </w:rPr>
        <w:t xml:space="preserve"> quarter 2021</w:t>
      </w:r>
      <w:r w:rsidR="00FD2E59" w:rsidRPr="00E15DE7">
        <w:rPr>
          <w:rFonts w:ascii="Arial" w:hAnsi="Arial" w:cs="Times New Roman"/>
          <w:sz w:val="16"/>
        </w:rPr>
        <w:t>.</w:t>
      </w:r>
    </w:p>
    <w:p w14:paraId="3C35F2C5" w14:textId="2FF60D09" w:rsidR="00FD2E59" w:rsidRPr="00DA56C4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DA56C4">
        <w:rPr>
          <w:rFonts w:ascii="Arial" w:hAnsi="Arial" w:cs="Times New Roman"/>
          <w:sz w:val="16"/>
        </w:rPr>
        <w:t xml:space="preserve">Perth’s median </w:t>
      </w:r>
      <w:r w:rsidR="00400017" w:rsidRPr="00DA56C4">
        <w:rPr>
          <w:rFonts w:ascii="Arial" w:hAnsi="Arial" w:cs="Times New Roman"/>
          <w:sz w:val="16"/>
        </w:rPr>
        <w:t xml:space="preserve">established house price </w:t>
      </w:r>
      <w:r w:rsidR="00511C6B" w:rsidRPr="00DA56C4">
        <w:rPr>
          <w:rFonts w:ascii="Arial" w:hAnsi="Arial" w:cs="Times New Roman"/>
          <w:sz w:val="16"/>
        </w:rPr>
        <w:t>fell</w:t>
      </w:r>
      <w:r w:rsidR="00294391" w:rsidRPr="00DA56C4">
        <w:rPr>
          <w:rFonts w:ascii="Arial" w:hAnsi="Arial" w:cs="Times New Roman"/>
          <w:sz w:val="16"/>
        </w:rPr>
        <w:t xml:space="preserve"> </w:t>
      </w:r>
      <w:r w:rsidR="00511C6B" w:rsidRPr="00DA56C4">
        <w:rPr>
          <w:rFonts w:ascii="Arial" w:hAnsi="Arial" w:cs="Times New Roman"/>
          <w:sz w:val="16"/>
        </w:rPr>
        <w:t>2.8</w:t>
      </w:r>
      <w:r w:rsidR="003E3985" w:rsidRPr="00DA56C4">
        <w:rPr>
          <w:rFonts w:ascii="Arial" w:hAnsi="Arial" w:cs="Times New Roman"/>
          <w:sz w:val="16"/>
        </w:rPr>
        <w:t>% to $5</w:t>
      </w:r>
      <w:r w:rsidR="00511C6B" w:rsidRPr="00DA56C4">
        <w:rPr>
          <w:rFonts w:ascii="Arial" w:hAnsi="Arial" w:cs="Times New Roman"/>
          <w:sz w:val="16"/>
        </w:rPr>
        <w:t>52</w:t>
      </w:r>
      <w:r w:rsidR="004158EC" w:rsidRPr="00DA56C4">
        <w:rPr>
          <w:rFonts w:ascii="Arial" w:hAnsi="Arial" w:cs="Times New Roman"/>
          <w:sz w:val="16"/>
        </w:rPr>
        <w:t>,</w:t>
      </w:r>
      <w:r w:rsidR="00511C6B" w:rsidRPr="00DA56C4">
        <w:rPr>
          <w:rFonts w:ascii="Arial" w:hAnsi="Arial" w:cs="Times New Roman"/>
          <w:sz w:val="16"/>
        </w:rPr>
        <w:t>0</w:t>
      </w:r>
      <w:r w:rsidR="00400017" w:rsidRPr="00DA56C4">
        <w:rPr>
          <w:rFonts w:ascii="Arial" w:hAnsi="Arial" w:cs="Times New Roman"/>
          <w:sz w:val="16"/>
        </w:rPr>
        <w:t xml:space="preserve">00 in the </w:t>
      </w:r>
      <w:r w:rsidR="00511C6B" w:rsidRPr="00DA56C4">
        <w:rPr>
          <w:rFonts w:ascii="Arial" w:hAnsi="Arial" w:cs="Times New Roman"/>
          <w:sz w:val="16"/>
        </w:rPr>
        <w:t>September</w:t>
      </w:r>
      <w:r w:rsidR="00294391" w:rsidRPr="00DA56C4">
        <w:rPr>
          <w:rFonts w:ascii="Arial" w:hAnsi="Arial" w:cs="Times New Roman"/>
          <w:sz w:val="16"/>
        </w:rPr>
        <w:t xml:space="preserve"> </w:t>
      </w:r>
      <w:r w:rsidR="003E3985" w:rsidRPr="00DA56C4">
        <w:rPr>
          <w:rFonts w:ascii="Arial" w:hAnsi="Arial" w:cs="Times New Roman"/>
          <w:sz w:val="16"/>
        </w:rPr>
        <w:t>quarter 2022.</w:t>
      </w:r>
    </w:p>
    <w:p w14:paraId="7CAF46EE" w14:textId="2563F12E" w:rsidR="00FD2E59" w:rsidRPr="00DA56C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A56C4">
        <w:rPr>
          <w:rFonts w:ascii="Arial" w:hAnsi="Arial" w:cs="Times New Roman"/>
          <w:sz w:val="16"/>
        </w:rPr>
        <w:t>The median established house price for the rest of Western Austra</w:t>
      </w:r>
      <w:r w:rsidR="00400017" w:rsidRPr="00DA56C4">
        <w:rPr>
          <w:rFonts w:ascii="Arial" w:hAnsi="Arial" w:cs="Times New Roman"/>
          <w:sz w:val="16"/>
        </w:rPr>
        <w:t xml:space="preserve">lia (excluding Perth) </w:t>
      </w:r>
      <w:r w:rsidR="00511C6B" w:rsidRPr="00DA56C4">
        <w:rPr>
          <w:rFonts w:ascii="Arial" w:hAnsi="Arial" w:cs="Times New Roman"/>
          <w:sz w:val="16"/>
        </w:rPr>
        <w:t>rose 2.4% to $435,000</w:t>
      </w:r>
      <w:r w:rsidR="00400017" w:rsidRPr="00DA56C4">
        <w:rPr>
          <w:rFonts w:ascii="Arial" w:hAnsi="Arial" w:cs="Times New Roman"/>
          <w:sz w:val="16"/>
        </w:rPr>
        <w:t xml:space="preserve"> in the </w:t>
      </w:r>
      <w:r w:rsidR="00511C6B" w:rsidRPr="00DA56C4">
        <w:rPr>
          <w:rFonts w:ascii="Arial" w:hAnsi="Arial" w:cs="Times New Roman"/>
          <w:sz w:val="16"/>
        </w:rPr>
        <w:t>September</w:t>
      </w:r>
      <w:r w:rsidR="00294391" w:rsidRPr="00DA56C4">
        <w:rPr>
          <w:rFonts w:ascii="Arial" w:hAnsi="Arial" w:cs="Times New Roman"/>
          <w:sz w:val="16"/>
        </w:rPr>
        <w:t xml:space="preserve"> </w:t>
      </w:r>
      <w:r w:rsidR="003E3985" w:rsidRPr="00DA56C4">
        <w:rPr>
          <w:rFonts w:ascii="Arial" w:hAnsi="Arial" w:cs="Times New Roman"/>
          <w:sz w:val="16"/>
        </w:rPr>
        <w:t>quarter 2022</w:t>
      </w:r>
      <w:r w:rsidR="003E3985" w:rsidRPr="00DA56C4">
        <w:rPr>
          <w:sz w:val="16"/>
        </w:rPr>
        <w:t>.</w:t>
      </w:r>
    </w:p>
    <w:p w14:paraId="062830F5" w14:textId="6FFA17D4" w:rsidR="006C342C" w:rsidRPr="00DA56C4" w:rsidRDefault="006C342C" w:rsidP="006C342C">
      <w:pPr>
        <w:pStyle w:val="ListParagraph"/>
        <w:numPr>
          <w:ilvl w:val="0"/>
          <w:numId w:val="9"/>
        </w:numPr>
        <w:spacing w:after="0"/>
        <w:jc w:val="both"/>
        <w:rPr>
          <w:sz w:val="16"/>
        </w:rPr>
      </w:pPr>
      <w:r w:rsidRPr="00DA56C4">
        <w:rPr>
          <w:sz w:val="16"/>
        </w:rPr>
        <w:t>The 2022</w:t>
      </w:r>
      <w:r w:rsidRPr="00DA56C4">
        <w:rPr>
          <w:sz w:val="16"/>
        </w:rPr>
        <w:noBreakHyphen/>
        <w:t>23 WA Government Mid-year Financial Projections Statement forecasts Western Australia’s median house price will rise 1.5% in 2022-23 and 2.0% in 2023-24.</w:t>
      </w:r>
    </w:p>
    <w:p w14:paraId="6B4110B8" w14:textId="77777777" w:rsidR="00FD2E59" w:rsidRPr="00AF078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F0787">
        <w:rPr>
          <w:sz w:val="16"/>
        </w:rPr>
        <w:br w:type="page"/>
      </w:r>
    </w:p>
    <w:p w14:paraId="3A2B513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2AD773E3" w14:textId="0808409C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84A63" w:rsidRPr="00020369">
        <w:rPr>
          <w:b/>
          <w:color w:val="92278F" w:themeColor="accent1"/>
          <w:sz w:val="20"/>
        </w:rPr>
        <w:t>:</w:t>
      </w:r>
      <w:r w:rsidR="00C84A63" w:rsidRPr="00803C45">
        <w:rPr>
          <w:b/>
          <w:color w:val="0070C0"/>
          <w:sz w:val="20"/>
        </w:rPr>
        <w:t xml:space="preserve"> </w:t>
      </w:r>
      <w:r w:rsidR="00803C45" w:rsidRPr="007409BC">
        <w:rPr>
          <w:b/>
          <w:color w:val="92278F" w:themeColor="accent1"/>
          <w:sz w:val="20"/>
        </w:rPr>
        <w:t>financial</w:t>
      </w:r>
      <w:r w:rsidR="003F4F89" w:rsidRPr="007409BC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26859B31" w14:textId="5D315AEA" w:rsidR="00FD2E59" w:rsidRDefault="0012447E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3F953CB" wp14:editId="77F0A1A2">
            <wp:extent cx="3528000" cy="2106559"/>
            <wp:effectExtent l="0" t="0" r="0" b="825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6477" w14:textId="7DB51E51" w:rsidR="00FD2E59" w:rsidRDefault="00FD2E59" w:rsidP="00FD2E59">
      <w:pPr>
        <w:spacing w:after="0"/>
        <w:jc w:val="both"/>
        <w:rPr>
          <w:sz w:val="10"/>
        </w:rPr>
      </w:pP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Free on board.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Original series.</w:t>
      </w:r>
    </w:p>
    <w:p w14:paraId="73DE15E0" w14:textId="46B56C57" w:rsidR="00FD2E59" w:rsidRPr="00D614FB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AD38D1">
        <w:rPr>
          <w:sz w:val="10"/>
        </w:rPr>
        <w:t xml:space="preserve">Source: </w:t>
      </w:r>
      <w:r w:rsidR="00637898" w:rsidRPr="007409BC">
        <w:rPr>
          <w:sz w:val="10"/>
        </w:rPr>
        <w:t xml:space="preserve">Based on data from </w:t>
      </w:r>
      <w:r w:rsidRPr="007409BC">
        <w:rPr>
          <w:sz w:val="10"/>
        </w:rPr>
        <w:t>ABS 5368.</w:t>
      </w:r>
      <w:r w:rsidRPr="00AD38D1">
        <w:rPr>
          <w:sz w:val="10"/>
        </w:rPr>
        <w:t>0 International Trade in Goods and Services, Australia (Monthly</w:t>
      </w:r>
      <w:r>
        <w:rPr>
          <w:sz w:val="10"/>
        </w:rPr>
        <w:t>).</w:t>
      </w:r>
    </w:p>
    <w:p w14:paraId="29FA1AE7" w14:textId="6F01F2BF" w:rsidR="00FD2E59" w:rsidRDefault="00FD2E59" w:rsidP="00FD2E59">
      <w:pPr>
        <w:spacing w:after="0"/>
        <w:jc w:val="both"/>
        <w:rPr>
          <w:sz w:val="16"/>
        </w:rPr>
      </w:pPr>
    </w:p>
    <w:p w14:paraId="38CA70B7" w14:textId="77777777" w:rsidR="009D3B14" w:rsidRDefault="009D3B14" w:rsidP="00FD2E59">
      <w:pPr>
        <w:spacing w:after="0"/>
        <w:jc w:val="both"/>
        <w:rPr>
          <w:sz w:val="16"/>
        </w:rPr>
      </w:pPr>
    </w:p>
    <w:p w14:paraId="0421B18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BA34276" w14:textId="77777777" w:rsidR="00FD2E59" w:rsidRDefault="00FD2E59" w:rsidP="00FD2E59">
      <w:pPr>
        <w:spacing w:after="0"/>
        <w:jc w:val="both"/>
        <w:rPr>
          <w:sz w:val="16"/>
        </w:rPr>
      </w:pPr>
    </w:p>
    <w:p w14:paraId="61395CDE" w14:textId="6033E692" w:rsidR="00FD2E59" w:rsidRPr="007409B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409BC">
        <w:rPr>
          <w:sz w:val="16"/>
        </w:rPr>
        <w:t>We</w:t>
      </w:r>
      <w:r w:rsidR="00531497" w:rsidRPr="007409BC">
        <w:rPr>
          <w:sz w:val="16"/>
        </w:rPr>
        <w:t xml:space="preserve">stern Australia accounted </w:t>
      </w:r>
      <w:r w:rsidR="00531497" w:rsidRPr="001A4395">
        <w:rPr>
          <w:sz w:val="16"/>
        </w:rPr>
        <w:t xml:space="preserve">for </w:t>
      </w:r>
      <w:r w:rsidR="00DA6CD3" w:rsidRPr="0087192C">
        <w:rPr>
          <w:sz w:val="16"/>
        </w:rPr>
        <w:t>45</w:t>
      </w:r>
      <w:r w:rsidRPr="0087192C">
        <w:rPr>
          <w:sz w:val="16"/>
        </w:rPr>
        <w:t xml:space="preserve">% </w:t>
      </w:r>
      <w:r w:rsidRPr="007409BC">
        <w:rPr>
          <w:sz w:val="16"/>
        </w:rPr>
        <w:t xml:space="preserve">of </w:t>
      </w:r>
      <w:r w:rsidR="0007015D" w:rsidRPr="007409BC">
        <w:rPr>
          <w:sz w:val="16"/>
        </w:rPr>
        <w:t>Australia’s goods exports in</w:t>
      </w:r>
      <w:r w:rsidRPr="007409BC">
        <w:rPr>
          <w:sz w:val="16"/>
        </w:rPr>
        <w:t xml:space="preserve"> 20</w:t>
      </w:r>
      <w:r w:rsidR="0007015D" w:rsidRPr="007409BC">
        <w:rPr>
          <w:sz w:val="16"/>
        </w:rPr>
        <w:t>21</w:t>
      </w:r>
      <w:r w:rsidR="00055232" w:rsidRPr="007409BC">
        <w:rPr>
          <w:sz w:val="16"/>
        </w:rPr>
        <w:t>-22</w:t>
      </w:r>
      <w:r w:rsidRPr="007409BC">
        <w:rPr>
          <w:sz w:val="16"/>
        </w:rPr>
        <w:t>.</w:t>
      </w:r>
    </w:p>
    <w:p w14:paraId="70AC8CBC" w14:textId="39D451AC" w:rsidR="00FD2E59" w:rsidRPr="0002075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72C66">
        <w:rPr>
          <w:sz w:val="16"/>
        </w:rPr>
        <w:t>The value of Western Au</w:t>
      </w:r>
      <w:r w:rsidR="0007015D" w:rsidRPr="00C72C66">
        <w:rPr>
          <w:sz w:val="16"/>
        </w:rPr>
        <w:t xml:space="preserve">stralia’s goods exports </w:t>
      </w:r>
      <w:r w:rsidR="0007015D" w:rsidRPr="0002075F">
        <w:rPr>
          <w:sz w:val="16"/>
        </w:rPr>
        <w:t xml:space="preserve">rose </w:t>
      </w:r>
      <w:r w:rsidR="003A3DAB" w:rsidRPr="0002075F">
        <w:rPr>
          <w:sz w:val="16"/>
        </w:rPr>
        <w:t>8.</w:t>
      </w:r>
      <w:r w:rsidR="0002075F" w:rsidRPr="0002075F">
        <w:rPr>
          <w:sz w:val="16"/>
        </w:rPr>
        <w:t>2</w:t>
      </w:r>
      <w:r w:rsidR="0007015D" w:rsidRPr="0002075F">
        <w:rPr>
          <w:sz w:val="16"/>
        </w:rPr>
        <w:t>% to $2</w:t>
      </w:r>
      <w:r w:rsidR="003A3DAB" w:rsidRPr="0002075F">
        <w:rPr>
          <w:sz w:val="16"/>
        </w:rPr>
        <w:t>41.</w:t>
      </w:r>
      <w:r w:rsidR="0002075F" w:rsidRPr="0002075F">
        <w:rPr>
          <w:sz w:val="16"/>
        </w:rPr>
        <w:t>3</w:t>
      </w:r>
      <w:r w:rsidR="00C76027" w:rsidRPr="0002075F">
        <w:rPr>
          <w:sz w:val="16"/>
        </w:rPr>
        <w:t> </w:t>
      </w:r>
      <w:r w:rsidRPr="0002075F">
        <w:rPr>
          <w:sz w:val="16"/>
        </w:rPr>
        <w:t>billion in 202</w:t>
      </w:r>
      <w:r w:rsidR="0007015D" w:rsidRPr="0002075F">
        <w:rPr>
          <w:sz w:val="16"/>
        </w:rPr>
        <w:t>1</w:t>
      </w:r>
      <w:r w:rsidR="00055232" w:rsidRPr="0002075F">
        <w:rPr>
          <w:sz w:val="16"/>
        </w:rPr>
        <w:t>-22</w:t>
      </w:r>
      <w:r w:rsidRPr="0002075F">
        <w:rPr>
          <w:sz w:val="16"/>
        </w:rPr>
        <w:t>, with:</w:t>
      </w:r>
    </w:p>
    <w:p w14:paraId="269FEB34" w14:textId="1B93F2EF" w:rsidR="00FD2E59" w:rsidRPr="0002075F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i</w:t>
      </w:r>
      <w:r w:rsidR="0007015D" w:rsidRPr="0002075F">
        <w:rPr>
          <w:sz w:val="16"/>
        </w:rPr>
        <w:t xml:space="preserve">ron ore exports </w:t>
      </w:r>
      <w:r w:rsidR="003A3DAB" w:rsidRPr="0002075F">
        <w:rPr>
          <w:sz w:val="16"/>
        </w:rPr>
        <w:t xml:space="preserve">falling </w:t>
      </w:r>
      <w:r w:rsidR="0002075F" w:rsidRPr="0002075F">
        <w:rPr>
          <w:sz w:val="16"/>
        </w:rPr>
        <w:t>12.4</w:t>
      </w:r>
      <w:r w:rsidR="0007015D" w:rsidRPr="0002075F">
        <w:rPr>
          <w:sz w:val="16"/>
        </w:rPr>
        <w:t>% to $</w:t>
      </w:r>
      <w:r w:rsidR="0002075F" w:rsidRPr="0002075F">
        <w:rPr>
          <w:sz w:val="16"/>
        </w:rPr>
        <w:t>132</w:t>
      </w:r>
      <w:r w:rsidR="003A3DAB" w:rsidRPr="0002075F">
        <w:rPr>
          <w:sz w:val="16"/>
        </w:rPr>
        <w:t>.4</w:t>
      </w:r>
      <w:r w:rsidR="00C263B0" w:rsidRPr="0002075F">
        <w:rPr>
          <w:sz w:val="16"/>
        </w:rPr>
        <w:t> </w:t>
      </w:r>
      <w:r w:rsidR="00FD2E59" w:rsidRPr="0002075F">
        <w:rPr>
          <w:sz w:val="16"/>
        </w:rPr>
        <w:t>billion</w:t>
      </w:r>
    </w:p>
    <w:p w14:paraId="600EFABD" w14:textId="426AF3C1" w:rsidR="00FD2E59" w:rsidRPr="00B04F77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B0F0"/>
          <w:sz w:val="16"/>
        </w:rPr>
      </w:pPr>
      <w:proofErr w:type="gramStart"/>
      <w:r>
        <w:rPr>
          <w:sz w:val="16"/>
        </w:rPr>
        <w:t>n</w:t>
      </w:r>
      <w:r w:rsidR="0007015D" w:rsidRPr="0002075F">
        <w:rPr>
          <w:sz w:val="16"/>
        </w:rPr>
        <w:t>on-iron</w:t>
      </w:r>
      <w:proofErr w:type="gramEnd"/>
      <w:r w:rsidR="0007015D" w:rsidRPr="0002075F">
        <w:rPr>
          <w:sz w:val="16"/>
        </w:rPr>
        <w:t xml:space="preserve"> ore exports </w:t>
      </w:r>
      <w:r w:rsidR="00156162" w:rsidRPr="0002075F">
        <w:rPr>
          <w:sz w:val="16"/>
        </w:rPr>
        <w:t xml:space="preserve">rising </w:t>
      </w:r>
      <w:r w:rsidR="003A3DAB" w:rsidRPr="0002075F">
        <w:rPr>
          <w:sz w:val="16"/>
        </w:rPr>
        <w:t>5</w:t>
      </w:r>
      <w:r w:rsidR="0002075F" w:rsidRPr="0002075F">
        <w:rPr>
          <w:sz w:val="16"/>
        </w:rPr>
        <w:t>1</w:t>
      </w:r>
      <w:r w:rsidR="00083829" w:rsidRPr="0002075F">
        <w:rPr>
          <w:sz w:val="16"/>
        </w:rPr>
        <w:t>.7</w:t>
      </w:r>
      <w:r w:rsidR="0007015D" w:rsidRPr="0002075F">
        <w:rPr>
          <w:sz w:val="16"/>
        </w:rPr>
        <w:t>% to $</w:t>
      </w:r>
      <w:r w:rsidR="0002075F" w:rsidRPr="0002075F">
        <w:rPr>
          <w:sz w:val="16"/>
        </w:rPr>
        <w:t>108.9</w:t>
      </w:r>
      <w:r w:rsidR="00C263B0" w:rsidRPr="0002075F">
        <w:rPr>
          <w:sz w:val="16"/>
        </w:rPr>
        <w:t> </w:t>
      </w:r>
      <w:r w:rsidR="00FD2E59" w:rsidRPr="0002075F">
        <w:rPr>
          <w:sz w:val="16"/>
        </w:rPr>
        <w:t>billion.</w:t>
      </w:r>
    </w:p>
    <w:p w14:paraId="39B5FE20" w14:textId="5A160D1C" w:rsidR="00FD2E59" w:rsidRPr="00E15DE7" w:rsidRDefault="00A33413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E15DE7">
        <w:rPr>
          <w:rFonts w:ascii="Arial" w:hAnsi="Arial" w:cs="Times New Roman"/>
          <w:sz w:val="16"/>
        </w:rPr>
        <w:t>Western Australia exporte</w:t>
      </w:r>
      <w:r w:rsidR="009152B0" w:rsidRPr="00E15DE7">
        <w:rPr>
          <w:rFonts w:ascii="Arial" w:hAnsi="Arial" w:cs="Times New Roman"/>
          <w:sz w:val="16"/>
        </w:rPr>
        <w:t xml:space="preserve">d </w:t>
      </w:r>
      <w:r w:rsidR="0087446E" w:rsidRPr="00E15DE7">
        <w:rPr>
          <w:rFonts w:ascii="Arial" w:hAnsi="Arial" w:cs="Times New Roman"/>
          <w:sz w:val="16"/>
        </w:rPr>
        <w:t>$</w:t>
      </w:r>
      <w:r w:rsidR="00D50864" w:rsidRPr="00E15DE7">
        <w:rPr>
          <w:rFonts w:ascii="Arial" w:hAnsi="Arial" w:cs="Times New Roman"/>
          <w:sz w:val="16"/>
        </w:rPr>
        <w:t>2</w:t>
      </w:r>
      <w:r w:rsidR="0036029D" w:rsidRPr="00E15DE7">
        <w:rPr>
          <w:rFonts w:ascii="Arial" w:hAnsi="Arial" w:cs="Times New Roman"/>
          <w:sz w:val="16"/>
        </w:rPr>
        <w:t>2.6</w:t>
      </w:r>
      <w:r w:rsidR="00C263B0" w:rsidRPr="00E15DE7">
        <w:rPr>
          <w:rFonts w:ascii="Arial" w:hAnsi="Arial" w:cs="Times New Roman"/>
          <w:sz w:val="16"/>
        </w:rPr>
        <w:t> </w:t>
      </w:r>
      <w:r w:rsidR="007A0CCC" w:rsidRPr="00E15DE7">
        <w:rPr>
          <w:rFonts w:ascii="Arial" w:hAnsi="Arial" w:cs="Times New Roman"/>
          <w:sz w:val="16"/>
        </w:rPr>
        <w:t xml:space="preserve">billion of goods in </w:t>
      </w:r>
      <w:r w:rsidR="00DA56C4" w:rsidRPr="00E15DE7">
        <w:rPr>
          <w:rFonts w:ascii="Arial" w:hAnsi="Arial" w:cs="Times New Roman"/>
          <w:sz w:val="16"/>
        </w:rPr>
        <w:t>November</w:t>
      </w:r>
      <w:r w:rsidR="0087192C" w:rsidRPr="00E15DE7">
        <w:rPr>
          <w:rFonts w:ascii="Arial" w:hAnsi="Arial" w:cs="Times New Roman"/>
          <w:sz w:val="16"/>
        </w:rPr>
        <w:t> </w:t>
      </w:r>
      <w:r w:rsidR="004426DE" w:rsidRPr="00E15DE7">
        <w:rPr>
          <w:rFonts w:ascii="Arial" w:hAnsi="Arial" w:cs="Times New Roman"/>
          <w:sz w:val="16"/>
        </w:rPr>
        <w:t>202</w:t>
      </w:r>
      <w:r w:rsidR="00952E6A" w:rsidRPr="00E15DE7">
        <w:rPr>
          <w:rFonts w:ascii="Arial" w:hAnsi="Arial" w:cs="Times New Roman"/>
          <w:sz w:val="16"/>
        </w:rPr>
        <w:t>2</w:t>
      </w:r>
      <w:r w:rsidR="004426DE" w:rsidRPr="00E15DE7">
        <w:rPr>
          <w:rFonts w:ascii="Arial" w:hAnsi="Arial" w:cs="Times New Roman"/>
          <w:sz w:val="16"/>
        </w:rPr>
        <w:t xml:space="preserve">, </w:t>
      </w:r>
      <w:r w:rsidR="0036029D" w:rsidRPr="00E15DE7">
        <w:rPr>
          <w:rFonts w:ascii="Arial" w:hAnsi="Arial" w:cs="Times New Roman"/>
          <w:sz w:val="16"/>
        </w:rPr>
        <w:t>1.6</w:t>
      </w:r>
      <w:r w:rsidR="005660F8" w:rsidRPr="00E15DE7">
        <w:rPr>
          <w:rFonts w:ascii="Arial" w:hAnsi="Arial" w:cs="Times New Roman"/>
          <w:sz w:val="16"/>
        </w:rPr>
        <w:t xml:space="preserve">% </w:t>
      </w:r>
      <w:r w:rsidR="00D50864" w:rsidRPr="00E15DE7">
        <w:rPr>
          <w:rFonts w:ascii="Arial" w:hAnsi="Arial" w:cs="Times New Roman"/>
          <w:sz w:val="16"/>
        </w:rPr>
        <w:t>less</w:t>
      </w:r>
      <w:r w:rsidR="00DA6CD3" w:rsidRPr="00E15DE7">
        <w:rPr>
          <w:rFonts w:ascii="Arial" w:hAnsi="Arial" w:cs="Times New Roman"/>
          <w:sz w:val="16"/>
        </w:rPr>
        <w:t xml:space="preserve"> </w:t>
      </w:r>
      <w:r w:rsidR="005660F8" w:rsidRPr="00E15DE7">
        <w:rPr>
          <w:rFonts w:ascii="Arial" w:hAnsi="Arial" w:cs="Times New Roman"/>
          <w:sz w:val="16"/>
        </w:rPr>
        <w:t>than in the previous month (</w:t>
      </w:r>
      <w:r w:rsidR="004277F6" w:rsidRPr="00E15DE7">
        <w:rPr>
          <w:rFonts w:ascii="Arial" w:hAnsi="Arial" w:cs="Times New Roman"/>
          <w:sz w:val="16"/>
        </w:rPr>
        <w:t>not</w:t>
      </w:r>
      <w:r w:rsidR="007A0CCC" w:rsidRPr="00E15DE7">
        <w:rPr>
          <w:rFonts w:ascii="Arial" w:hAnsi="Arial" w:cs="Times New Roman"/>
          <w:sz w:val="16"/>
        </w:rPr>
        <w:t xml:space="preserve"> seasonally</w:t>
      </w:r>
      <w:r w:rsidR="004277F6" w:rsidRPr="00E15DE7">
        <w:rPr>
          <w:rFonts w:ascii="Arial" w:hAnsi="Arial" w:cs="Times New Roman"/>
          <w:sz w:val="16"/>
        </w:rPr>
        <w:t xml:space="preserve"> adjusted</w:t>
      </w:r>
      <w:r w:rsidR="005660F8" w:rsidRPr="00E15DE7">
        <w:rPr>
          <w:rFonts w:ascii="Arial" w:hAnsi="Arial" w:cs="Times New Roman"/>
          <w:sz w:val="16"/>
        </w:rPr>
        <w:t>)</w:t>
      </w:r>
      <w:r w:rsidR="00D50864" w:rsidRPr="00E15DE7">
        <w:rPr>
          <w:rFonts w:ascii="Arial" w:hAnsi="Arial" w:cs="Times New Roman"/>
          <w:sz w:val="16"/>
        </w:rPr>
        <w:t xml:space="preserve">, </w:t>
      </w:r>
      <w:r w:rsidR="0036029D" w:rsidRPr="00E15DE7">
        <w:rPr>
          <w:rFonts w:ascii="Arial" w:hAnsi="Arial" w:cs="Times New Roman"/>
          <w:sz w:val="16"/>
        </w:rPr>
        <w:t>but 34.3</w:t>
      </w:r>
      <w:r w:rsidR="00952E6A" w:rsidRPr="00E15DE7">
        <w:rPr>
          <w:rFonts w:ascii="Arial" w:hAnsi="Arial" w:cs="Times New Roman"/>
          <w:sz w:val="16"/>
        </w:rPr>
        <w:t xml:space="preserve">% </w:t>
      </w:r>
      <w:r w:rsidR="00DA6CD3" w:rsidRPr="00E15DE7">
        <w:rPr>
          <w:rFonts w:ascii="Arial" w:hAnsi="Arial" w:cs="Times New Roman"/>
          <w:sz w:val="16"/>
        </w:rPr>
        <w:t xml:space="preserve">more </w:t>
      </w:r>
      <w:r w:rsidR="00D50864" w:rsidRPr="00E15DE7">
        <w:rPr>
          <w:rFonts w:ascii="Arial" w:hAnsi="Arial" w:cs="Times New Roman"/>
          <w:sz w:val="16"/>
        </w:rPr>
        <w:t xml:space="preserve">than a year </w:t>
      </w:r>
      <w:r w:rsidR="0036029D" w:rsidRPr="00E15DE7">
        <w:rPr>
          <w:rFonts w:ascii="Arial" w:hAnsi="Arial" w:cs="Times New Roman"/>
          <w:sz w:val="16"/>
        </w:rPr>
        <w:t>earlier.</w:t>
      </w:r>
    </w:p>
    <w:p w14:paraId="01F5F6E8" w14:textId="5CCF1E8B" w:rsidR="0096187F" w:rsidRPr="00E15DE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15DE7">
        <w:rPr>
          <w:sz w:val="16"/>
        </w:rPr>
        <w:t>Western Austral</w:t>
      </w:r>
      <w:r w:rsidR="00EC7A09" w:rsidRPr="00E15DE7">
        <w:rPr>
          <w:sz w:val="16"/>
        </w:rPr>
        <w:t xml:space="preserve">ia’s real goods exports </w:t>
      </w:r>
      <w:r w:rsidR="00083829" w:rsidRPr="00E15DE7">
        <w:rPr>
          <w:sz w:val="16"/>
        </w:rPr>
        <w:t>fell</w:t>
      </w:r>
      <w:r w:rsidR="00A034DD" w:rsidRPr="00E15DE7">
        <w:rPr>
          <w:sz w:val="16"/>
        </w:rPr>
        <w:t xml:space="preserve"> </w:t>
      </w:r>
      <w:r w:rsidR="00083829" w:rsidRPr="00E15DE7">
        <w:rPr>
          <w:sz w:val="16"/>
        </w:rPr>
        <w:t>2.7</w:t>
      </w:r>
      <w:r w:rsidR="00B0490A" w:rsidRPr="00E15DE7">
        <w:rPr>
          <w:sz w:val="16"/>
        </w:rPr>
        <w:t>% in 202</w:t>
      </w:r>
      <w:r w:rsidR="00A034DD" w:rsidRPr="00E15DE7">
        <w:rPr>
          <w:sz w:val="16"/>
        </w:rPr>
        <w:t>1</w:t>
      </w:r>
      <w:r w:rsidR="00083829" w:rsidRPr="00E15DE7">
        <w:rPr>
          <w:sz w:val="16"/>
        </w:rPr>
        <w:t>-22</w:t>
      </w:r>
      <w:r w:rsidRPr="00E15DE7">
        <w:rPr>
          <w:sz w:val="16"/>
        </w:rPr>
        <w:t>.</w:t>
      </w:r>
    </w:p>
    <w:p w14:paraId="02BF42FA" w14:textId="291C6994" w:rsidR="00BA7AF7" w:rsidRPr="00DA56C4" w:rsidRDefault="00A95465" w:rsidP="001F55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A56C4">
        <w:rPr>
          <w:sz w:val="16"/>
        </w:rPr>
        <w:t>The 2022</w:t>
      </w:r>
      <w:r w:rsidRPr="00DA56C4">
        <w:rPr>
          <w:sz w:val="16"/>
        </w:rPr>
        <w:noBreakHyphen/>
        <w:t>23 WA Government Mid-year Financial Projections Statement forecasts</w:t>
      </w:r>
      <w:r w:rsidR="00FD2E59" w:rsidRPr="00DA56C4">
        <w:rPr>
          <w:sz w:val="16"/>
        </w:rPr>
        <w:t xml:space="preserve"> Western Australia’s real </w:t>
      </w:r>
      <w:r w:rsidR="00E21CD0" w:rsidRPr="00DA56C4">
        <w:rPr>
          <w:sz w:val="16"/>
        </w:rPr>
        <w:t xml:space="preserve">goods exports </w:t>
      </w:r>
      <w:r w:rsidR="00F40326" w:rsidRPr="00DA56C4">
        <w:rPr>
          <w:sz w:val="16"/>
        </w:rPr>
        <w:t>will</w:t>
      </w:r>
      <w:r w:rsidR="00E21CD0" w:rsidRPr="00DA56C4">
        <w:rPr>
          <w:sz w:val="16"/>
        </w:rPr>
        <w:t xml:space="preserve"> rise</w:t>
      </w:r>
      <w:r w:rsidR="00F40326" w:rsidRPr="00DA56C4">
        <w:rPr>
          <w:sz w:val="16"/>
        </w:rPr>
        <w:t xml:space="preserve"> 3</w:t>
      </w:r>
      <w:r w:rsidR="00650744" w:rsidRPr="00DA56C4">
        <w:rPr>
          <w:sz w:val="16"/>
        </w:rPr>
        <w:t>.0</w:t>
      </w:r>
      <w:r w:rsidR="00366620" w:rsidRPr="00DA56C4">
        <w:rPr>
          <w:sz w:val="16"/>
        </w:rPr>
        <w:t>% in 2022</w:t>
      </w:r>
      <w:r w:rsidR="00650744" w:rsidRPr="00DA56C4">
        <w:rPr>
          <w:sz w:val="16"/>
        </w:rPr>
        <w:noBreakHyphen/>
      </w:r>
      <w:r w:rsidR="00366620" w:rsidRPr="00DA56C4">
        <w:rPr>
          <w:sz w:val="16"/>
        </w:rPr>
        <w:t>23</w:t>
      </w:r>
      <w:r w:rsidR="00EE7D9F" w:rsidRPr="00DA56C4">
        <w:rPr>
          <w:rFonts w:ascii="Arial" w:hAnsi="Arial" w:cs="Times New Roman"/>
          <w:sz w:val="16"/>
        </w:rPr>
        <w:t xml:space="preserve"> </w:t>
      </w:r>
      <w:r w:rsidR="00425F05" w:rsidRPr="00DA56C4">
        <w:rPr>
          <w:sz w:val="16"/>
        </w:rPr>
        <w:t>and 0.</w:t>
      </w:r>
      <w:r w:rsidR="00F40326" w:rsidRPr="00DA56C4">
        <w:rPr>
          <w:sz w:val="16"/>
        </w:rPr>
        <w:t>2</w:t>
      </w:r>
      <w:r w:rsidR="00425F05" w:rsidRPr="00DA56C4">
        <w:rPr>
          <w:sz w:val="16"/>
        </w:rPr>
        <w:t>5</w:t>
      </w:r>
      <w:r w:rsidR="00EE7D9F" w:rsidRPr="00DA56C4">
        <w:rPr>
          <w:sz w:val="16"/>
        </w:rPr>
        <w:t>% in 2023</w:t>
      </w:r>
      <w:r w:rsidR="00F40326" w:rsidRPr="00DA56C4">
        <w:rPr>
          <w:sz w:val="16"/>
        </w:rPr>
        <w:noBreakHyphen/>
      </w:r>
      <w:r w:rsidR="00EE7D9F" w:rsidRPr="00DA56C4">
        <w:rPr>
          <w:sz w:val="16"/>
        </w:rPr>
        <w:t>24.</w:t>
      </w:r>
    </w:p>
    <w:p w14:paraId="6A86AEC3" w14:textId="5061C6EC" w:rsidR="0001250A" w:rsidRPr="00AD7660" w:rsidRDefault="0001250A" w:rsidP="001F5528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01250A" w:rsidRPr="00AD766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7921F8" w14:textId="57D297F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exports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7338EA" w:rsidRPr="00020369">
        <w:rPr>
          <w:b/>
          <w:color w:val="92278F" w:themeColor="accent1"/>
          <w:sz w:val="20"/>
        </w:rPr>
        <w:t xml:space="preserve">: </w:t>
      </w:r>
      <w:r w:rsidR="00BD2E3B" w:rsidRPr="007409BC">
        <w:rPr>
          <w:b/>
          <w:color w:val="92278F" w:themeColor="accent1"/>
          <w:sz w:val="20"/>
        </w:rPr>
        <w:t>financial</w:t>
      </w:r>
      <w:r w:rsidRPr="007409BC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8192D4C" w14:textId="0AAA19CC" w:rsidR="00FD2E59" w:rsidRDefault="009D3B1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B79722E" wp14:editId="784EEF1D">
            <wp:extent cx="3528000" cy="2103405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6CF0" w14:textId="46AD7D92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9537D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0ABF1319" w14:textId="1EB89BB6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637898" w:rsidRPr="007409BC">
        <w:rPr>
          <w:sz w:val="10"/>
        </w:rPr>
        <w:t xml:space="preserve">Based on data from </w:t>
      </w:r>
      <w:r>
        <w:rPr>
          <w:sz w:val="10"/>
        </w:rPr>
        <w:t>ABS 5368.0 International Trade in Goods and Services, Australia (Monthly).</w:t>
      </w:r>
    </w:p>
    <w:p w14:paraId="5F4C6CBD" w14:textId="77777777" w:rsidR="00FD2E59" w:rsidRDefault="00FD2E59" w:rsidP="00FD2E59">
      <w:pPr>
        <w:spacing w:after="0"/>
        <w:jc w:val="both"/>
        <w:rPr>
          <w:sz w:val="16"/>
        </w:rPr>
      </w:pPr>
    </w:p>
    <w:p w14:paraId="2661F705" w14:textId="7ECCBF4F" w:rsidR="009D3B14" w:rsidRDefault="00FD2E59" w:rsidP="009D3B14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9CFE74E" w14:textId="215A75B2" w:rsidR="00FD2E59" w:rsidRPr="005405B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405BE">
        <w:rPr>
          <w:sz w:val="16"/>
        </w:rPr>
        <w:t>In 20</w:t>
      </w:r>
      <w:r w:rsidR="00024E16" w:rsidRPr="005405BE">
        <w:rPr>
          <w:sz w:val="16"/>
        </w:rPr>
        <w:t>21</w:t>
      </w:r>
      <w:r w:rsidR="00930F4E" w:rsidRPr="005405BE">
        <w:rPr>
          <w:sz w:val="16"/>
        </w:rPr>
        <w:t>-22</w:t>
      </w:r>
      <w:r w:rsidRPr="005405BE">
        <w:rPr>
          <w:sz w:val="16"/>
        </w:rPr>
        <w:t>, Western Australia’s largest market for</w:t>
      </w:r>
      <w:r w:rsidR="00024E16" w:rsidRPr="005405BE">
        <w:rPr>
          <w:sz w:val="16"/>
        </w:rPr>
        <w:t xml:space="preserve"> goods exports was China ($1</w:t>
      </w:r>
      <w:r w:rsidR="007927FA" w:rsidRPr="005405BE">
        <w:rPr>
          <w:sz w:val="16"/>
        </w:rPr>
        <w:t>35.6</w:t>
      </w:r>
      <w:r w:rsidR="00C96929" w:rsidRPr="005405BE">
        <w:rPr>
          <w:sz w:val="16"/>
        </w:rPr>
        <w:t> </w:t>
      </w:r>
      <w:r w:rsidR="00647700">
        <w:rPr>
          <w:sz w:val="16"/>
        </w:rPr>
        <w:t xml:space="preserve">billion or </w:t>
      </w:r>
      <w:r w:rsidR="00647700" w:rsidRPr="009F2800">
        <w:rPr>
          <w:sz w:val="16"/>
        </w:rPr>
        <w:t>56.</w:t>
      </w:r>
      <w:r w:rsidR="009F2800" w:rsidRPr="009F2800">
        <w:rPr>
          <w:sz w:val="16"/>
        </w:rPr>
        <w:t>1</w:t>
      </w:r>
      <w:r w:rsidR="00024E16" w:rsidRPr="009F2800">
        <w:rPr>
          <w:sz w:val="16"/>
        </w:rPr>
        <w:t xml:space="preserve">%), </w:t>
      </w:r>
      <w:r w:rsidR="00024E16" w:rsidRPr="005405BE">
        <w:rPr>
          <w:sz w:val="16"/>
        </w:rPr>
        <w:t>followed by Japan ($</w:t>
      </w:r>
      <w:r w:rsidR="007927FA" w:rsidRPr="005405BE">
        <w:rPr>
          <w:sz w:val="16"/>
        </w:rPr>
        <w:t>30.3</w:t>
      </w:r>
      <w:r w:rsidR="00C96929" w:rsidRPr="005405BE">
        <w:rPr>
          <w:sz w:val="16"/>
        </w:rPr>
        <w:t> </w:t>
      </w:r>
      <w:r w:rsidR="00024E16" w:rsidRPr="005405BE">
        <w:rPr>
          <w:sz w:val="16"/>
        </w:rPr>
        <w:t xml:space="preserve">billion or </w:t>
      </w:r>
      <w:r w:rsidR="007927FA" w:rsidRPr="009F2800">
        <w:rPr>
          <w:sz w:val="16"/>
        </w:rPr>
        <w:t>12.</w:t>
      </w:r>
      <w:r w:rsidR="009F2800" w:rsidRPr="009F2800">
        <w:rPr>
          <w:sz w:val="16"/>
        </w:rPr>
        <w:t>5</w:t>
      </w:r>
      <w:r w:rsidR="00C96929" w:rsidRPr="009F2800">
        <w:rPr>
          <w:sz w:val="16"/>
        </w:rPr>
        <w:t xml:space="preserve">%) </w:t>
      </w:r>
      <w:r w:rsidR="00C96929" w:rsidRPr="005405BE">
        <w:rPr>
          <w:sz w:val="16"/>
        </w:rPr>
        <w:t>and South </w:t>
      </w:r>
      <w:r w:rsidR="00024E16" w:rsidRPr="005405BE">
        <w:rPr>
          <w:sz w:val="16"/>
        </w:rPr>
        <w:t>Korea ($1</w:t>
      </w:r>
      <w:r w:rsidR="007927FA" w:rsidRPr="005405BE">
        <w:rPr>
          <w:sz w:val="16"/>
        </w:rPr>
        <w:t>6</w:t>
      </w:r>
      <w:r w:rsidR="00A72F27" w:rsidRPr="005405BE">
        <w:rPr>
          <w:sz w:val="16"/>
        </w:rPr>
        <w:t>.8</w:t>
      </w:r>
      <w:r w:rsidRPr="005405BE">
        <w:rPr>
          <w:sz w:val="16"/>
        </w:rPr>
        <w:t xml:space="preserve"> billion or </w:t>
      </w:r>
      <w:r w:rsidR="005405BE" w:rsidRPr="005405BE">
        <w:rPr>
          <w:sz w:val="16"/>
        </w:rPr>
        <w:t>7.0</w:t>
      </w:r>
      <w:r w:rsidRPr="005405BE">
        <w:rPr>
          <w:sz w:val="16"/>
        </w:rPr>
        <w:t>%).</w:t>
      </w:r>
    </w:p>
    <w:p w14:paraId="27E953E9" w14:textId="0D7256B0" w:rsidR="00FD2E59" w:rsidRPr="005405B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405BE">
        <w:rPr>
          <w:sz w:val="16"/>
        </w:rPr>
        <w:t xml:space="preserve">Western Australia had majority shares of </w:t>
      </w:r>
      <w:r w:rsidR="00C865F2" w:rsidRPr="005405BE">
        <w:rPr>
          <w:sz w:val="16"/>
        </w:rPr>
        <w:t xml:space="preserve">the value of </w:t>
      </w:r>
      <w:r w:rsidRPr="005405BE">
        <w:rPr>
          <w:sz w:val="16"/>
        </w:rPr>
        <w:t>Australia’s goo</w:t>
      </w:r>
      <w:r w:rsidR="00DF2BA7" w:rsidRPr="005405BE">
        <w:rPr>
          <w:sz w:val="16"/>
        </w:rPr>
        <w:t>ds exports to China (8</w:t>
      </w:r>
      <w:r w:rsidR="007927FA" w:rsidRPr="005405BE">
        <w:rPr>
          <w:sz w:val="16"/>
        </w:rPr>
        <w:t>0</w:t>
      </w:r>
      <w:r w:rsidR="00DF2BA7" w:rsidRPr="005405BE">
        <w:rPr>
          <w:sz w:val="16"/>
        </w:rPr>
        <w:t xml:space="preserve">%), </w:t>
      </w:r>
      <w:r w:rsidR="00E62212" w:rsidRPr="005405BE">
        <w:rPr>
          <w:sz w:val="16"/>
        </w:rPr>
        <w:t>Hong Kong</w:t>
      </w:r>
      <w:r w:rsidR="00DF2BA7" w:rsidRPr="005405BE">
        <w:rPr>
          <w:sz w:val="16"/>
        </w:rPr>
        <w:t xml:space="preserve"> </w:t>
      </w:r>
      <w:r w:rsidR="00BB5A7C" w:rsidRPr="005405BE">
        <w:rPr>
          <w:sz w:val="16"/>
        </w:rPr>
        <w:t xml:space="preserve">SAR of China </w:t>
      </w:r>
      <w:r w:rsidR="00DF2BA7" w:rsidRPr="005405BE">
        <w:rPr>
          <w:sz w:val="16"/>
        </w:rPr>
        <w:t>(</w:t>
      </w:r>
      <w:r w:rsidR="00114DD5" w:rsidRPr="005405BE">
        <w:rPr>
          <w:sz w:val="16"/>
        </w:rPr>
        <w:t>65</w:t>
      </w:r>
      <w:r w:rsidRPr="005405BE">
        <w:rPr>
          <w:sz w:val="16"/>
        </w:rPr>
        <w:t xml:space="preserve">%) </w:t>
      </w:r>
      <w:r w:rsidR="001E3211" w:rsidRPr="005405BE">
        <w:rPr>
          <w:sz w:val="16"/>
        </w:rPr>
        <w:t xml:space="preserve">and Singapore (61%) </w:t>
      </w:r>
      <w:r w:rsidRPr="005405BE">
        <w:rPr>
          <w:sz w:val="16"/>
        </w:rPr>
        <w:t>in 202</w:t>
      </w:r>
      <w:r w:rsidR="00A9214A" w:rsidRPr="005405BE">
        <w:rPr>
          <w:sz w:val="16"/>
        </w:rPr>
        <w:t>1</w:t>
      </w:r>
      <w:r w:rsidR="00C263B0" w:rsidRPr="005405BE">
        <w:rPr>
          <w:sz w:val="16"/>
        </w:rPr>
        <w:noBreakHyphen/>
      </w:r>
      <w:r w:rsidR="00930F4E" w:rsidRPr="005405BE">
        <w:rPr>
          <w:sz w:val="16"/>
        </w:rPr>
        <w:t>22</w:t>
      </w:r>
      <w:r w:rsidR="00A9214A" w:rsidRPr="005405BE">
        <w:rPr>
          <w:sz w:val="16"/>
        </w:rPr>
        <w:t>.</w:t>
      </w:r>
    </w:p>
    <w:p w14:paraId="3D44CA71" w14:textId="528427A2" w:rsidR="00FD2E59" w:rsidRPr="005405B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405BE">
        <w:rPr>
          <w:sz w:val="16"/>
        </w:rPr>
        <w:t>The largest increases in Western Australia’s goods export</w:t>
      </w:r>
      <w:r w:rsidR="00EE5E60" w:rsidRPr="005405BE">
        <w:rPr>
          <w:sz w:val="16"/>
        </w:rPr>
        <w:t>s in 20</w:t>
      </w:r>
      <w:r w:rsidR="00C10BE5" w:rsidRPr="005405BE">
        <w:rPr>
          <w:sz w:val="16"/>
        </w:rPr>
        <w:t>21</w:t>
      </w:r>
      <w:r w:rsidR="00C263B0" w:rsidRPr="005405BE">
        <w:rPr>
          <w:sz w:val="16"/>
        </w:rPr>
        <w:noBreakHyphen/>
      </w:r>
      <w:r w:rsidR="00930F4E" w:rsidRPr="005405BE">
        <w:rPr>
          <w:sz w:val="16"/>
        </w:rPr>
        <w:t>22</w:t>
      </w:r>
      <w:r w:rsidR="00EE5E60" w:rsidRPr="005405BE">
        <w:rPr>
          <w:sz w:val="16"/>
        </w:rPr>
        <w:t xml:space="preserve"> were to </w:t>
      </w:r>
      <w:r w:rsidR="00517C6F" w:rsidRPr="005405BE">
        <w:rPr>
          <w:sz w:val="16"/>
        </w:rPr>
        <w:t>Japan</w:t>
      </w:r>
      <w:r w:rsidR="004E4BFF" w:rsidRPr="005405BE">
        <w:rPr>
          <w:sz w:val="16"/>
        </w:rPr>
        <w:t xml:space="preserve"> (up $11.1</w:t>
      </w:r>
      <w:r w:rsidR="00C263B0" w:rsidRPr="005405BE">
        <w:rPr>
          <w:sz w:val="16"/>
        </w:rPr>
        <w:t> </w:t>
      </w:r>
      <w:r w:rsidR="00EE5E60" w:rsidRPr="005405BE">
        <w:rPr>
          <w:sz w:val="16"/>
        </w:rPr>
        <w:t>billion</w:t>
      </w:r>
      <w:r w:rsidR="004E4BFF" w:rsidRPr="005405BE">
        <w:rPr>
          <w:sz w:val="16"/>
        </w:rPr>
        <w:t xml:space="preserve"> or 57.9</w:t>
      </w:r>
      <w:r w:rsidR="000D3E57" w:rsidRPr="005405BE">
        <w:rPr>
          <w:sz w:val="16"/>
        </w:rPr>
        <w:t>%</w:t>
      </w:r>
      <w:r w:rsidR="00EE5E60" w:rsidRPr="005405BE">
        <w:rPr>
          <w:sz w:val="16"/>
        </w:rPr>
        <w:t xml:space="preserve">), </w:t>
      </w:r>
      <w:r w:rsidR="004E4BFF" w:rsidRPr="005405BE">
        <w:rPr>
          <w:sz w:val="16"/>
        </w:rPr>
        <w:t>Taiwan</w:t>
      </w:r>
      <w:r w:rsidR="00905AAF" w:rsidRPr="005405BE">
        <w:rPr>
          <w:sz w:val="16"/>
        </w:rPr>
        <w:t xml:space="preserve"> </w:t>
      </w:r>
      <w:r w:rsidR="00EE5E60" w:rsidRPr="005405BE">
        <w:rPr>
          <w:sz w:val="16"/>
        </w:rPr>
        <w:t>(up $</w:t>
      </w:r>
      <w:r w:rsidR="004E4BFF" w:rsidRPr="005405BE">
        <w:rPr>
          <w:sz w:val="16"/>
        </w:rPr>
        <w:t>3.6</w:t>
      </w:r>
      <w:r w:rsidR="00C263B0" w:rsidRPr="005405BE">
        <w:rPr>
          <w:sz w:val="16"/>
        </w:rPr>
        <w:t> </w:t>
      </w:r>
      <w:r w:rsidR="00EE5E60" w:rsidRPr="005405BE">
        <w:rPr>
          <w:sz w:val="16"/>
        </w:rPr>
        <w:t>billion</w:t>
      </w:r>
      <w:r w:rsidR="000D3E57" w:rsidRPr="005405BE">
        <w:rPr>
          <w:sz w:val="16"/>
        </w:rPr>
        <w:t xml:space="preserve"> or </w:t>
      </w:r>
      <w:r w:rsidR="004E4BFF" w:rsidRPr="005405BE">
        <w:rPr>
          <w:sz w:val="16"/>
        </w:rPr>
        <w:t>82.9</w:t>
      </w:r>
      <w:r w:rsidR="000D3E57" w:rsidRPr="005405BE">
        <w:rPr>
          <w:sz w:val="16"/>
        </w:rPr>
        <w:t>%</w:t>
      </w:r>
      <w:r w:rsidR="00EE5E60" w:rsidRPr="005405BE">
        <w:rPr>
          <w:sz w:val="16"/>
        </w:rPr>
        <w:t xml:space="preserve">) and </w:t>
      </w:r>
      <w:r w:rsidR="00905AAF" w:rsidRPr="005405BE">
        <w:rPr>
          <w:sz w:val="16"/>
        </w:rPr>
        <w:t xml:space="preserve">South Korea </w:t>
      </w:r>
      <w:r w:rsidRPr="005405BE">
        <w:rPr>
          <w:sz w:val="16"/>
        </w:rPr>
        <w:t>(up $</w:t>
      </w:r>
      <w:r w:rsidR="004E4BFF" w:rsidRPr="005405BE">
        <w:rPr>
          <w:sz w:val="16"/>
        </w:rPr>
        <w:t>3.6</w:t>
      </w:r>
      <w:r w:rsidR="00D156F3" w:rsidRPr="005405BE">
        <w:rPr>
          <w:sz w:val="16"/>
        </w:rPr>
        <w:t> </w:t>
      </w:r>
      <w:r w:rsidR="00EE5E60" w:rsidRPr="005405BE">
        <w:rPr>
          <w:sz w:val="16"/>
        </w:rPr>
        <w:t>b</w:t>
      </w:r>
      <w:r w:rsidRPr="005405BE">
        <w:rPr>
          <w:sz w:val="16"/>
        </w:rPr>
        <w:t>illion</w:t>
      </w:r>
      <w:r w:rsidR="000D3E57" w:rsidRPr="005405BE">
        <w:rPr>
          <w:sz w:val="16"/>
        </w:rPr>
        <w:t xml:space="preserve"> or </w:t>
      </w:r>
      <w:r w:rsidR="004E4BFF" w:rsidRPr="005405BE">
        <w:rPr>
          <w:sz w:val="16"/>
        </w:rPr>
        <w:t>26.8</w:t>
      </w:r>
      <w:r w:rsidR="000D3E57" w:rsidRPr="005405BE">
        <w:rPr>
          <w:sz w:val="16"/>
        </w:rPr>
        <w:t>%</w:t>
      </w:r>
      <w:r w:rsidRPr="005405BE">
        <w:rPr>
          <w:sz w:val="16"/>
        </w:rPr>
        <w:t>).</w:t>
      </w:r>
    </w:p>
    <w:p w14:paraId="13171EC1" w14:textId="6D97A9AD" w:rsidR="00FD2E59" w:rsidRPr="005405B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405BE">
        <w:rPr>
          <w:sz w:val="16"/>
        </w:rPr>
        <w:t>The largest decreases in Western Australia’s goods exports in 202</w:t>
      </w:r>
      <w:r w:rsidR="00C10BE5" w:rsidRPr="005405BE">
        <w:rPr>
          <w:sz w:val="16"/>
        </w:rPr>
        <w:t>1</w:t>
      </w:r>
      <w:r w:rsidR="00C263B0" w:rsidRPr="005405BE">
        <w:rPr>
          <w:sz w:val="16"/>
        </w:rPr>
        <w:noBreakHyphen/>
      </w:r>
      <w:r w:rsidR="00930F4E" w:rsidRPr="005405BE">
        <w:rPr>
          <w:sz w:val="16"/>
        </w:rPr>
        <w:t>22</w:t>
      </w:r>
      <w:r w:rsidR="00C10BE5" w:rsidRPr="005405BE">
        <w:rPr>
          <w:sz w:val="16"/>
        </w:rPr>
        <w:t xml:space="preserve"> were to United Kingdom (down $</w:t>
      </w:r>
      <w:r w:rsidR="00BC6EF7" w:rsidRPr="005405BE">
        <w:rPr>
          <w:sz w:val="16"/>
        </w:rPr>
        <w:t>8.6</w:t>
      </w:r>
      <w:r w:rsidR="00C96929" w:rsidRPr="005405BE">
        <w:rPr>
          <w:sz w:val="16"/>
        </w:rPr>
        <w:t> </w:t>
      </w:r>
      <w:r w:rsidR="00C10BE5" w:rsidRPr="005405BE">
        <w:rPr>
          <w:sz w:val="16"/>
        </w:rPr>
        <w:t>billion</w:t>
      </w:r>
      <w:r w:rsidR="000D3E57" w:rsidRPr="005405BE">
        <w:rPr>
          <w:sz w:val="16"/>
        </w:rPr>
        <w:t xml:space="preserve"> or </w:t>
      </w:r>
      <w:r w:rsidR="00BC6EF7" w:rsidRPr="005405BE">
        <w:rPr>
          <w:sz w:val="16"/>
        </w:rPr>
        <w:t>95.0</w:t>
      </w:r>
      <w:r w:rsidR="000D3E57" w:rsidRPr="005405BE">
        <w:rPr>
          <w:sz w:val="16"/>
        </w:rPr>
        <w:t>%</w:t>
      </w:r>
      <w:r w:rsidR="00C57197" w:rsidRPr="005405BE">
        <w:rPr>
          <w:sz w:val="16"/>
        </w:rPr>
        <w:t>)</w:t>
      </w:r>
      <w:r w:rsidR="00C10BE5" w:rsidRPr="005405BE">
        <w:rPr>
          <w:sz w:val="16"/>
        </w:rPr>
        <w:t xml:space="preserve">, </w:t>
      </w:r>
      <w:r w:rsidR="00905AAF" w:rsidRPr="005405BE">
        <w:rPr>
          <w:sz w:val="16"/>
        </w:rPr>
        <w:t xml:space="preserve">United States </w:t>
      </w:r>
      <w:r w:rsidRPr="005405BE">
        <w:rPr>
          <w:sz w:val="16"/>
        </w:rPr>
        <w:t>(down $</w:t>
      </w:r>
      <w:r w:rsidR="00BC6EF7" w:rsidRPr="005405BE">
        <w:rPr>
          <w:sz w:val="16"/>
        </w:rPr>
        <w:t>1.7</w:t>
      </w:r>
      <w:r w:rsidR="00D156F3" w:rsidRPr="005405BE">
        <w:rPr>
          <w:sz w:val="16"/>
        </w:rPr>
        <w:t> </w:t>
      </w:r>
      <w:r w:rsidR="00C10BE5" w:rsidRPr="005405BE">
        <w:rPr>
          <w:sz w:val="16"/>
        </w:rPr>
        <w:t>b</w:t>
      </w:r>
      <w:r w:rsidRPr="005405BE">
        <w:rPr>
          <w:sz w:val="16"/>
        </w:rPr>
        <w:t>illion</w:t>
      </w:r>
      <w:r w:rsidR="000D3E57" w:rsidRPr="005405BE">
        <w:rPr>
          <w:sz w:val="16"/>
        </w:rPr>
        <w:t xml:space="preserve"> or </w:t>
      </w:r>
      <w:r w:rsidR="00BC6EF7" w:rsidRPr="005405BE">
        <w:rPr>
          <w:sz w:val="16"/>
        </w:rPr>
        <w:t>33.5</w:t>
      </w:r>
      <w:r w:rsidR="000D3E57" w:rsidRPr="005405BE">
        <w:rPr>
          <w:sz w:val="16"/>
        </w:rPr>
        <w:t>%</w:t>
      </w:r>
      <w:r w:rsidR="002E1495" w:rsidRPr="005405BE">
        <w:rPr>
          <w:sz w:val="16"/>
        </w:rPr>
        <w:t xml:space="preserve">) </w:t>
      </w:r>
      <w:r w:rsidRPr="005405BE">
        <w:rPr>
          <w:sz w:val="16"/>
        </w:rPr>
        <w:t xml:space="preserve">and </w:t>
      </w:r>
      <w:r w:rsidR="00BC6EF7" w:rsidRPr="005405BE">
        <w:rPr>
          <w:sz w:val="16"/>
        </w:rPr>
        <w:t>France</w:t>
      </w:r>
      <w:r w:rsidRPr="005405BE">
        <w:rPr>
          <w:sz w:val="16"/>
        </w:rPr>
        <w:t xml:space="preserve"> (down</w:t>
      </w:r>
      <w:r w:rsidR="00C57197" w:rsidRPr="005405BE">
        <w:rPr>
          <w:sz w:val="16"/>
        </w:rPr>
        <w:t xml:space="preserve"> </w:t>
      </w:r>
      <w:r w:rsidRPr="005405BE">
        <w:rPr>
          <w:sz w:val="16"/>
        </w:rPr>
        <w:t>$</w:t>
      </w:r>
      <w:r w:rsidR="007B1BBA" w:rsidRPr="005405BE">
        <w:rPr>
          <w:sz w:val="16"/>
        </w:rPr>
        <w:t>523</w:t>
      </w:r>
      <w:r w:rsidRPr="005405BE">
        <w:rPr>
          <w:sz w:val="16"/>
        </w:rPr>
        <w:t> million</w:t>
      </w:r>
      <w:r w:rsidR="000D3E57" w:rsidRPr="005405BE">
        <w:rPr>
          <w:sz w:val="16"/>
        </w:rPr>
        <w:t xml:space="preserve"> or </w:t>
      </w:r>
      <w:r w:rsidR="00BC6EF7" w:rsidRPr="005405BE">
        <w:rPr>
          <w:sz w:val="16"/>
        </w:rPr>
        <w:t>57.5</w:t>
      </w:r>
      <w:r w:rsidR="000D3E57" w:rsidRPr="005405BE">
        <w:rPr>
          <w:sz w:val="16"/>
        </w:rPr>
        <w:t>%</w:t>
      </w:r>
      <w:r w:rsidRPr="005405BE">
        <w:rPr>
          <w:sz w:val="16"/>
        </w:rPr>
        <w:t>).</w:t>
      </w:r>
    </w:p>
    <w:p w14:paraId="6BF5AF55" w14:textId="77777777" w:rsidR="00D156F3" w:rsidRPr="00485EE5" w:rsidRDefault="00D156F3" w:rsidP="00701C0A">
      <w:pPr>
        <w:pStyle w:val="BodyText"/>
        <w:spacing w:after="0"/>
        <w:ind w:left="284"/>
        <w:jc w:val="both"/>
        <w:rPr>
          <w:color w:val="FF0000"/>
          <w:sz w:val="16"/>
        </w:rPr>
      </w:pPr>
    </w:p>
    <w:p w14:paraId="42C47148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53AA4F0" w14:textId="4EC500BC" w:rsidR="00FD2E59" w:rsidRPr="00366146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export commodities by market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680F7B" w:rsidRPr="0056438B">
        <w:rPr>
          <w:b/>
          <w:color w:val="92278F" w:themeColor="accent1"/>
          <w:sz w:val="20"/>
        </w:rPr>
        <w:t>20</w:t>
      </w:r>
      <w:r w:rsidR="00EA4E7E" w:rsidRPr="0056438B">
        <w:rPr>
          <w:b/>
          <w:color w:val="92278F" w:themeColor="accent1"/>
          <w:sz w:val="20"/>
        </w:rPr>
        <w:t>21</w:t>
      </w:r>
      <w:r w:rsidR="00FF4976" w:rsidRPr="003527AA">
        <w:rPr>
          <w:b/>
          <w:color w:val="92278F" w:themeColor="accent1"/>
          <w:sz w:val="20"/>
        </w:rPr>
        <w:noBreakHyphen/>
      </w:r>
      <w:r w:rsidR="0056438B" w:rsidRPr="003527AA">
        <w:rPr>
          <w:b/>
          <w:color w:val="92278F" w:themeColor="accent1"/>
          <w:sz w:val="20"/>
        </w:rPr>
        <w:t>22</w:t>
      </w:r>
      <w:r w:rsidR="00EA4E7E" w:rsidRPr="003527AA">
        <w:rPr>
          <w:b/>
          <w:color w:val="92278F" w:themeColor="accent1"/>
          <w:sz w:val="20"/>
        </w:rPr>
        <w:t xml:space="preserve"> </w:t>
      </w:r>
      <w:r w:rsidR="0056438B" w:rsidRPr="003527AA">
        <w:rPr>
          <w:b/>
          <w:color w:val="92278F" w:themeColor="accent1"/>
          <w:sz w:val="20"/>
        </w:rPr>
        <w:t xml:space="preserve">financial </w:t>
      </w:r>
      <w:r w:rsidRPr="00780E56">
        <w:rPr>
          <w:b/>
          <w:color w:val="92278F" w:themeColor="accent1"/>
          <w:sz w:val="20"/>
        </w:rPr>
        <w:t>year</w:t>
      </w: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99"/>
        <w:gridCol w:w="725"/>
        <w:gridCol w:w="451"/>
        <w:gridCol w:w="999"/>
        <w:gridCol w:w="645"/>
        <w:gridCol w:w="451"/>
        <w:gridCol w:w="1031"/>
        <w:gridCol w:w="646"/>
        <w:gridCol w:w="452"/>
        <w:gridCol w:w="1018"/>
        <w:gridCol w:w="569"/>
        <w:gridCol w:w="452"/>
        <w:gridCol w:w="1000"/>
        <w:gridCol w:w="569"/>
        <w:gridCol w:w="450"/>
      </w:tblGrid>
      <w:tr w:rsidR="007B018A" w:rsidRPr="00AF5DB7" w14:paraId="6CECE881" w14:textId="77777777" w:rsidTr="00E25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9" w:type="pct"/>
            <w:shd w:val="clear" w:color="auto" w:fill="002060"/>
          </w:tcPr>
          <w:p w14:paraId="35D62D22" w14:textId="77777777" w:rsidR="005D4EE8" w:rsidRPr="00FA2DA3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348" w:type="pct"/>
            <w:shd w:val="clear" w:color="auto" w:fill="002060"/>
          </w:tcPr>
          <w:p w14:paraId="748E2FB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C877F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5EADF58C" w14:textId="7B8E5879" w:rsidR="005D4EE8" w:rsidRPr="00780E56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Petroleum</w:t>
            </w:r>
            <w:r w:rsidRPr="00780E56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310" w:type="pct"/>
            <w:shd w:val="clear" w:color="auto" w:fill="002060"/>
          </w:tcPr>
          <w:p w14:paraId="52B1E103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12122D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4" w:type="pct"/>
            <w:shd w:val="clear" w:color="auto" w:fill="002060"/>
          </w:tcPr>
          <w:p w14:paraId="094FF2E9" w14:textId="28A7FE15" w:rsidR="005D4EE8" w:rsidRPr="00E257BF" w:rsidRDefault="00FD714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Gold</w:t>
            </w:r>
            <w:r w:rsidR="00D30AD7" w:rsidRPr="00FD7148">
              <w:rPr>
                <w:rFonts w:cstheme="minorHAnsi"/>
                <w:sz w:val="14"/>
                <w:szCs w:val="14"/>
                <w:highlight w:val="black"/>
                <w:vertAlign w:val="superscript"/>
              </w:rPr>
              <w:t>3</w:t>
            </w:r>
          </w:p>
        </w:tc>
        <w:tc>
          <w:tcPr>
            <w:tcW w:w="310" w:type="pct"/>
            <w:shd w:val="clear" w:color="auto" w:fill="002060"/>
          </w:tcPr>
          <w:p w14:paraId="5B268EB6" w14:textId="244E3FD6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713DD38D" w14:textId="6C239D7B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1" w:type="pct"/>
            <w:shd w:val="clear" w:color="auto" w:fill="002060"/>
          </w:tcPr>
          <w:p w14:paraId="6BE9B697" w14:textId="62EF67D4" w:rsidR="005D4EE8" w:rsidRPr="00FA2DA3" w:rsidRDefault="00D30AD7" w:rsidP="00D30AD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9D268C">
              <w:rPr>
                <w:rFonts w:cstheme="minorHAnsi"/>
                <w:b w:val="0"/>
                <w:sz w:val="14"/>
                <w:szCs w:val="14"/>
              </w:rPr>
              <w:t>Alumina</w:t>
            </w:r>
            <w:r w:rsidRPr="009D268C"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273" w:type="pct"/>
            <w:shd w:val="clear" w:color="auto" w:fill="002060"/>
          </w:tcPr>
          <w:p w14:paraId="000EAE21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4E3AD16C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4181073C" w14:textId="075E985C" w:rsidR="005D4EE8" w:rsidRPr="00FA2DA3" w:rsidRDefault="00AC4205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>Lithium</w:t>
            </w:r>
            <w:r w:rsidR="00C37D77" w:rsidRPr="00F122CB">
              <w:rPr>
                <w:rFonts w:cstheme="minorHAnsi"/>
                <w:b w:val="0"/>
                <w:sz w:val="14"/>
                <w:szCs w:val="14"/>
                <w:highlight w:val="darkBlue"/>
                <w:vertAlign w:val="superscript"/>
              </w:rPr>
              <w:t>5</w:t>
            </w:r>
          </w:p>
        </w:tc>
        <w:tc>
          <w:tcPr>
            <w:tcW w:w="273" w:type="pct"/>
            <w:shd w:val="clear" w:color="auto" w:fill="002060"/>
          </w:tcPr>
          <w:p w14:paraId="0DFF5899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7F6AA38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3411CF" w:rsidRPr="008536A7" w14:paraId="730096F1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57A0859D" w14:textId="2756BBDA" w:rsidR="00250E8E" w:rsidRPr="00790E2B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90E2B">
              <w:rPr>
                <w:rFonts w:cstheme="minorHAnsi"/>
                <w:b w:val="0"/>
                <w:sz w:val="14"/>
                <w:szCs w:val="14"/>
              </w:rPr>
              <w:t>China</w:t>
            </w:r>
            <w:r w:rsidRPr="00790E2B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48" w:type="pct"/>
          </w:tcPr>
          <w:p w14:paraId="4432AF7A" w14:textId="39D8E14E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710FA0" w:rsidRPr="003527AA">
              <w:rPr>
                <w:rFonts w:cstheme="minorHAnsi"/>
                <w:color w:val="000000" w:themeColor="text1"/>
                <w:sz w:val="14"/>
                <w:szCs w:val="14"/>
              </w:rPr>
              <w:t>08,568</w:t>
            </w:r>
          </w:p>
        </w:tc>
        <w:tc>
          <w:tcPr>
            <w:tcW w:w="217" w:type="pct"/>
          </w:tcPr>
          <w:p w14:paraId="6782B42F" w14:textId="10344BC8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479" w:type="pct"/>
          </w:tcPr>
          <w:p w14:paraId="1C475940" w14:textId="5BF4609F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Japan</w:t>
            </w:r>
          </w:p>
        </w:tc>
        <w:tc>
          <w:tcPr>
            <w:tcW w:w="310" w:type="pct"/>
          </w:tcPr>
          <w:p w14:paraId="7837AE7C" w14:textId="15E36E0F" w:rsidR="00250E8E" w:rsidRPr="003527AA" w:rsidRDefault="00790E2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16,528</w:t>
            </w:r>
          </w:p>
        </w:tc>
        <w:tc>
          <w:tcPr>
            <w:tcW w:w="217" w:type="pct"/>
          </w:tcPr>
          <w:p w14:paraId="0B2DBAC5" w14:textId="6BF209F3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3</w:t>
            </w:r>
            <w:r w:rsidR="00C73B9B" w:rsidRPr="003527AA">
              <w:rPr>
                <w:rFonts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94" w:type="pct"/>
          </w:tcPr>
          <w:p w14:paraId="7462C472" w14:textId="0B95D2BC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China</w:t>
            </w:r>
            <w:r w:rsidRPr="003527AA">
              <w:rPr>
                <w:rFonts w:cstheme="minorHAnsi"/>
                <w:color w:val="000000" w:themeColor="text1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0C17420D" w14:textId="79F2526B" w:rsidR="00250E8E" w:rsidRPr="003527AA" w:rsidRDefault="00A43E8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8,177</w:t>
            </w:r>
          </w:p>
        </w:tc>
        <w:tc>
          <w:tcPr>
            <w:tcW w:w="217" w:type="pct"/>
          </w:tcPr>
          <w:p w14:paraId="734DB147" w14:textId="6050CAFB" w:rsidR="00250E8E" w:rsidRPr="003527AA" w:rsidRDefault="00A43E8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471" w:type="pct"/>
          </w:tcPr>
          <w:p w14:paraId="0696F8B7" w14:textId="64140775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Bahrain</w:t>
            </w:r>
          </w:p>
        </w:tc>
        <w:tc>
          <w:tcPr>
            <w:tcW w:w="273" w:type="pct"/>
          </w:tcPr>
          <w:p w14:paraId="68D04B23" w14:textId="4D56138B" w:rsidR="00250E8E" w:rsidRPr="003527AA" w:rsidRDefault="0059639F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1,345</w:t>
            </w:r>
          </w:p>
        </w:tc>
        <w:tc>
          <w:tcPr>
            <w:tcW w:w="217" w:type="pct"/>
          </w:tcPr>
          <w:p w14:paraId="19DF6292" w14:textId="6278A610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479" w:type="pct"/>
          </w:tcPr>
          <w:p w14:paraId="29D54140" w14:textId="14003F46" w:rsidR="00250E8E" w:rsidRPr="003527AA" w:rsidRDefault="0059639F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China</w:t>
            </w:r>
            <w:r w:rsidRPr="003527AA">
              <w:rPr>
                <w:rFonts w:cstheme="minorHAnsi"/>
                <w:color w:val="000000" w:themeColor="text1"/>
                <w:sz w:val="14"/>
                <w:szCs w:val="14"/>
                <w:vertAlign w:val="superscript"/>
              </w:rPr>
              <w:t>(a</w:t>
            </w: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273" w:type="pct"/>
          </w:tcPr>
          <w:p w14:paraId="7534EF4A" w14:textId="29B26BF7" w:rsidR="00250E8E" w:rsidRPr="003527AA" w:rsidRDefault="00C73B9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4,734</w:t>
            </w:r>
          </w:p>
        </w:tc>
        <w:tc>
          <w:tcPr>
            <w:tcW w:w="217" w:type="pct"/>
          </w:tcPr>
          <w:p w14:paraId="0ACCEF2F" w14:textId="3DCC0683" w:rsidR="00250E8E" w:rsidRPr="003527AA" w:rsidRDefault="00C73B9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96</w:t>
            </w:r>
          </w:p>
        </w:tc>
      </w:tr>
      <w:tr w:rsidR="003411CF" w:rsidRPr="008536A7" w14:paraId="11D754C8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78AB9694" w14:textId="44817BD0" w:rsidR="00250E8E" w:rsidRPr="00790E2B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90E2B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348" w:type="pct"/>
          </w:tcPr>
          <w:p w14:paraId="69BCB5DB" w14:textId="504849A6" w:rsidR="00250E8E" w:rsidRPr="003527AA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710FA0" w:rsidRPr="003527AA">
              <w:rPr>
                <w:rFonts w:cstheme="minorHAnsi"/>
                <w:color w:val="000000" w:themeColor="text1"/>
                <w:sz w:val="14"/>
                <w:szCs w:val="14"/>
              </w:rPr>
              <w:t>0,158</w:t>
            </w:r>
          </w:p>
        </w:tc>
        <w:tc>
          <w:tcPr>
            <w:tcW w:w="217" w:type="pct"/>
          </w:tcPr>
          <w:p w14:paraId="079989C6" w14:textId="7D157101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479" w:type="pct"/>
          </w:tcPr>
          <w:p w14:paraId="28472408" w14:textId="4889ED4B" w:rsidR="00250E8E" w:rsidRPr="003527AA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China</w:t>
            </w:r>
            <w:r w:rsidRPr="003527AA">
              <w:rPr>
                <w:rFonts w:cstheme="minorHAnsi"/>
                <w:color w:val="000000" w:themeColor="text1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4C3E1C19" w14:textId="5101FD61" w:rsidR="00250E8E" w:rsidRPr="003527AA" w:rsidRDefault="00790E2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9,335</w:t>
            </w:r>
          </w:p>
        </w:tc>
        <w:tc>
          <w:tcPr>
            <w:tcW w:w="217" w:type="pct"/>
          </w:tcPr>
          <w:p w14:paraId="05C8D915" w14:textId="1BC81B3A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494" w:type="pct"/>
          </w:tcPr>
          <w:p w14:paraId="053CA09F" w14:textId="7B98097C" w:rsidR="00250E8E" w:rsidRPr="003527AA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Hong Kong</w:t>
            </w:r>
            <w:r w:rsidRPr="003527AA">
              <w:rPr>
                <w:rFonts w:cstheme="minorHAnsi"/>
                <w:color w:val="000000" w:themeColor="text1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310" w:type="pct"/>
          </w:tcPr>
          <w:p w14:paraId="01EAAAC3" w14:textId="1687DF9F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4,719</w:t>
            </w:r>
          </w:p>
        </w:tc>
        <w:tc>
          <w:tcPr>
            <w:tcW w:w="217" w:type="pct"/>
          </w:tcPr>
          <w:p w14:paraId="22A5BAC1" w14:textId="759A8178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471" w:type="pct"/>
          </w:tcPr>
          <w:p w14:paraId="4AFA55A2" w14:textId="1EAF4ECA" w:rsidR="00250E8E" w:rsidRPr="003527AA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UAE</w:t>
            </w:r>
          </w:p>
        </w:tc>
        <w:tc>
          <w:tcPr>
            <w:tcW w:w="273" w:type="pct"/>
          </w:tcPr>
          <w:p w14:paraId="00B3F854" w14:textId="7A388F6A" w:rsidR="00250E8E" w:rsidRPr="003527AA" w:rsidRDefault="0059639F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1,111</w:t>
            </w:r>
          </w:p>
        </w:tc>
        <w:tc>
          <w:tcPr>
            <w:tcW w:w="217" w:type="pct"/>
          </w:tcPr>
          <w:p w14:paraId="134A6524" w14:textId="0AEF5538" w:rsidR="00250E8E" w:rsidRPr="003527AA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479" w:type="pct"/>
          </w:tcPr>
          <w:p w14:paraId="2816D984" w14:textId="07C13CF0" w:rsidR="00250E8E" w:rsidRPr="003527AA" w:rsidRDefault="0059639F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Belgium</w:t>
            </w:r>
          </w:p>
        </w:tc>
        <w:tc>
          <w:tcPr>
            <w:tcW w:w="273" w:type="pct"/>
          </w:tcPr>
          <w:p w14:paraId="0FA36E37" w14:textId="36CFFE97" w:rsidR="00250E8E" w:rsidRPr="003527AA" w:rsidRDefault="00C73B9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217" w:type="pct"/>
          </w:tcPr>
          <w:p w14:paraId="0BC7FA3B" w14:textId="1A774514" w:rsidR="00250E8E" w:rsidRPr="003527AA" w:rsidRDefault="00C73B9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</w:p>
        </w:tc>
      </w:tr>
      <w:tr w:rsidR="003411CF" w:rsidRPr="008536A7" w14:paraId="0CBB500E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CDC465A" w14:textId="5F7079D0" w:rsidR="00250E8E" w:rsidRPr="00790E2B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90E2B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348" w:type="pct"/>
          </w:tcPr>
          <w:p w14:paraId="7983A3AD" w14:textId="003E36C2" w:rsidR="00250E8E" w:rsidRPr="003527AA" w:rsidRDefault="00710FA0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8,072</w:t>
            </w:r>
          </w:p>
        </w:tc>
        <w:tc>
          <w:tcPr>
            <w:tcW w:w="217" w:type="pct"/>
          </w:tcPr>
          <w:p w14:paraId="4A2B1627" w14:textId="77777777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479" w:type="pct"/>
          </w:tcPr>
          <w:p w14:paraId="71FDA06B" w14:textId="00681CC4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2A00294D" w14:textId="54625A76" w:rsidR="00250E8E" w:rsidRPr="003527AA" w:rsidRDefault="00790E2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9,271</w:t>
            </w:r>
          </w:p>
        </w:tc>
        <w:tc>
          <w:tcPr>
            <w:tcW w:w="217" w:type="pct"/>
          </w:tcPr>
          <w:p w14:paraId="633D2F56" w14:textId="66C94873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A43E8D" w:rsidRPr="003527AA">
              <w:rPr>
                <w:rFonts w:cstheme="minorHAns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494" w:type="pct"/>
          </w:tcPr>
          <w:p w14:paraId="3D4DD135" w14:textId="62B690A7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India</w:t>
            </w:r>
          </w:p>
        </w:tc>
        <w:tc>
          <w:tcPr>
            <w:tcW w:w="310" w:type="pct"/>
          </w:tcPr>
          <w:p w14:paraId="6D5FA55C" w14:textId="4365C6F7" w:rsidR="00250E8E" w:rsidRPr="003527AA" w:rsidRDefault="00A43E8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1,803</w:t>
            </w:r>
          </w:p>
        </w:tc>
        <w:tc>
          <w:tcPr>
            <w:tcW w:w="217" w:type="pct"/>
          </w:tcPr>
          <w:p w14:paraId="0957A2BA" w14:textId="328EBAA3" w:rsidR="00250E8E" w:rsidRPr="003527AA" w:rsidRDefault="00A43E8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471" w:type="pct"/>
          </w:tcPr>
          <w:p w14:paraId="020A670E" w14:textId="5E5AEE32" w:rsidR="00250E8E" w:rsidRPr="003527AA" w:rsidRDefault="0059639F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South Africa</w:t>
            </w:r>
          </w:p>
        </w:tc>
        <w:tc>
          <w:tcPr>
            <w:tcW w:w="273" w:type="pct"/>
          </w:tcPr>
          <w:p w14:paraId="64204160" w14:textId="22613F4A" w:rsidR="00250E8E" w:rsidRPr="003527AA" w:rsidRDefault="0059639F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806</w:t>
            </w:r>
          </w:p>
        </w:tc>
        <w:tc>
          <w:tcPr>
            <w:tcW w:w="217" w:type="pct"/>
          </w:tcPr>
          <w:p w14:paraId="4478F00C" w14:textId="2718713C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59639F" w:rsidRPr="003527AA">
              <w:rPr>
                <w:rFonts w:cstheme="minorHAnsi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479" w:type="pct"/>
          </w:tcPr>
          <w:p w14:paraId="6E9DC39D" w14:textId="22847342" w:rsidR="00250E8E" w:rsidRPr="003527AA" w:rsidRDefault="0059639F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South Korea</w:t>
            </w:r>
          </w:p>
        </w:tc>
        <w:tc>
          <w:tcPr>
            <w:tcW w:w="273" w:type="pct"/>
          </w:tcPr>
          <w:p w14:paraId="35665446" w14:textId="1ECD5304" w:rsidR="00250E8E" w:rsidRPr="003527AA" w:rsidRDefault="00C73B9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217" w:type="pct"/>
          </w:tcPr>
          <w:p w14:paraId="31BBCD2F" w14:textId="5E1FD04E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</w:p>
        </w:tc>
      </w:tr>
      <w:tr w:rsidR="003411CF" w:rsidRPr="008536A7" w14:paraId="393A441B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8FAE39C" w14:textId="53C65B29" w:rsidR="00250E8E" w:rsidRPr="00790E2B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90E2B">
              <w:rPr>
                <w:rFonts w:cstheme="minorHAnsi"/>
                <w:b w:val="0"/>
                <w:sz w:val="14"/>
                <w:szCs w:val="14"/>
              </w:rPr>
              <w:t>Taiwan</w:t>
            </w:r>
          </w:p>
        </w:tc>
        <w:tc>
          <w:tcPr>
            <w:tcW w:w="348" w:type="pct"/>
          </w:tcPr>
          <w:p w14:paraId="1BFA85D5" w14:textId="6DC74E98" w:rsidR="00250E8E" w:rsidRPr="003527AA" w:rsidRDefault="00710FA0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2,826</w:t>
            </w:r>
          </w:p>
        </w:tc>
        <w:tc>
          <w:tcPr>
            <w:tcW w:w="217" w:type="pct"/>
          </w:tcPr>
          <w:p w14:paraId="74ECEBA8" w14:textId="6C7AAD90" w:rsidR="00250E8E" w:rsidRPr="003527AA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9" w:type="pct"/>
          </w:tcPr>
          <w:p w14:paraId="40197D79" w14:textId="35BFEA8E" w:rsidR="00250E8E" w:rsidRPr="003527AA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South Korea</w:t>
            </w:r>
          </w:p>
        </w:tc>
        <w:tc>
          <w:tcPr>
            <w:tcW w:w="310" w:type="pct"/>
          </w:tcPr>
          <w:p w14:paraId="2CEF6519" w14:textId="5C35541B" w:rsidR="00250E8E" w:rsidRPr="003527AA" w:rsidRDefault="00790E2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5,485</w:t>
            </w:r>
          </w:p>
        </w:tc>
        <w:tc>
          <w:tcPr>
            <w:tcW w:w="217" w:type="pct"/>
          </w:tcPr>
          <w:p w14:paraId="77063743" w14:textId="52ED4F73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494" w:type="pct"/>
          </w:tcPr>
          <w:p w14:paraId="4482F49C" w14:textId="79540595" w:rsidR="00250E8E" w:rsidRPr="003527AA" w:rsidRDefault="00500020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USA</w:t>
            </w:r>
          </w:p>
        </w:tc>
        <w:tc>
          <w:tcPr>
            <w:tcW w:w="310" w:type="pct"/>
          </w:tcPr>
          <w:p w14:paraId="6EEED478" w14:textId="2ED7D525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1,289</w:t>
            </w:r>
          </w:p>
        </w:tc>
        <w:tc>
          <w:tcPr>
            <w:tcW w:w="217" w:type="pct"/>
          </w:tcPr>
          <w:p w14:paraId="5B59EA97" w14:textId="2918C070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471" w:type="pct"/>
          </w:tcPr>
          <w:p w14:paraId="23898B62" w14:textId="4375C1AD" w:rsidR="00250E8E" w:rsidRPr="003527AA" w:rsidRDefault="0059639F" w:rsidP="0059639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Mozambique</w:t>
            </w:r>
          </w:p>
        </w:tc>
        <w:tc>
          <w:tcPr>
            <w:tcW w:w="273" w:type="pct"/>
          </w:tcPr>
          <w:p w14:paraId="6EB4F0FC" w14:textId="362AF76E" w:rsidR="00250E8E" w:rsidRPr="003527AA" w:rsidRDefault="0059639F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691</w:t>
            </w:r>
          </w:p>
        </w:tc>
        <w:tc>
          <w:tcPr>
            <w:tcW w:w="217" w:type="pct"/>
          </w:tcPr>
          <w:p w14:paraId="2E8DF134" w14:textId="412DA749" w:rsidR="00250E8E" w:rsidRPr="003527AA" w:rsidRDefault="0059639F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479" w:type="pct"/>
          </w:tcPr>
          <w:p w14:paraId="166B22E6" w14:textId="1679EA04" w:rsidR="00250E8E" w:rsidRPr="003527AA" w:rsidRDefault="00500020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27267E37" w14:textId="4EDCCC10" w:rsidR="00250E8E" w:rsidRPr="003527AA" w:rsidRDefault="00C73B9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217" w:type="pct"/>
          </w:tcPr>
          <w:p w14:paraId="0AC4C15A" w14:textId="62BD3134" w:rsidR="00250E8E" w:rsidRPr="003527AA" w:rsidRDefault="00C73B9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</w:p>
        </w:tc>
      </w:tr>
      <w:tr w:rsidR="003411CF" w:rsidRPr="008536A7" w14:paraId="725DF84A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B53924F" w14:textId="4F984AEE" w:rsidR="00250E8E" w:rsidRPr="00790E2B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90E2B">
              <w:rPr>
                <w:rFonts w:cstheme="minorHAnsi"/>
                <w:b w:val="0"/>
                <w:sz w:val="14"/>
                <w:szCs w:val="14"/>
              </w:rPr>
              <w:t>Vietnam</w:t>
            </w:r>
          </w:p>
        </w:tc>
        <w:tc>
          <w:tcPr>
            <w:tcW w:w="348" w:type="pct"/>
          </w:tcPr>
          <w:p w14:paraId="202093A7" w14:textId="121F1E2D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</w:t>
            </w:r>
            <w:r w:rsidR="00710FA0" w:rsidRPr="003527AA">
              <w:rPr>
                <w:rFonts w:cstheme="minorHAnsi"/>
                <w:color w:val="000000" w:themeColor="text1"/>
                <w:sz w:val="14"/>
                <w:szCs w:val="14"/>
              </w:rPr>
              <w:t>584</w:t>
            </w:r>
          </w:p>
        </w:tc>
        <w:tc>
          <w:tcPr>
            <w:tcW w:w="217" w:type="pct"/>
          </w:tcPr>
          <w:p w14:paraId="1CCD34ED" w14:textId="5A66E84E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077437FA" w14:textId="440FA7EA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Taiwan</w:t>
            </w:r>
          </w:p>
        </w:tc>
        <w:tc>
          <w:tcPr>
            <w:tcW w:w="310" w:type="pct"/>
          </w:tcPr>
          <w:p w14:paraId="10941710" w14:textId="04E87797" w:rsidR="00250E8E" w:rsidRPr="003527AA" w:rsidRDefault="00790E2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4,294</w:t>
            </w:r>
          </w:p>
        </w:tc>
        <w:tc>
          <w:tcPr>
            <w:tcW w:w="217" w:type="pct"/>
          </w:tcPr>
          <w:p w14:paraId="1C457EDB" w14:textId="750DC94A" w:rsidR="00250E8E" w:rsidRPr="003527AA" w:rsidRDefault="00A43E8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494" w:type="pct"/>
          </w:tcPr>
          <w:p w14:paraId="31205A52" w14:textId="359B53EB" w:rsidR="00250E8E" w:rsidRPr="003527AA" w:rsidRDefault="00A43E8D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4135CF8F" w14:textId="4AA8EB31" w:rsidR="00250E8E" w:rsidRPr="003527AA" w:rsidRDefault="00A43E8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1,216</w:t>
            </w:r>
          </w:p>
        </w:tc>
        <w:tc>
          <w:tcPr>
            <w:tcW w:w="217" w:type="pct"/>
          </w:tcPr>
          <w:p w14:paraId="48687DA3" w14:textId="4D5388B2" w:rsidR="00250E8E" w:rsidRPr="003527AA" w:rsidRDefault="00A43E8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471" w:type="pct"/>
          </w:tcPr>
          <w:p w14:paraId="6BA8A423" w14:textId="77377405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Qatar</w:t>
            </w:r>
          </w:p>
        </w:tc>
        <w:tc>
          <w:tcPr>
            <w:tcW w:w="273" w:type="pct"/>
          </w:tcPr>
          <w:p w14:paraId="3FADCF52" w14:textId="4D0B976E" w:rsidR="00250E8E" w:rsidRPr="003527AA" w:rsidRDefault="0059639F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646</w:t>
            </w:r>
          </w:p>
        </w:tc>
        <w:tc>
          <w:tcPr>
            <w:tcW w:w="217" w:type="pct"/>
          </w:tcPr>
          <w:p w14:paraId="09F75954" w14:textId="35E83F97" w:rsidR="00250E8E" w:rsidRPr="003527AA" w:rsidRDefault="0059639F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479" w:type="pct"/>
          </w:tcPr>
          <w:p w14:paraId="712AAB80" w14:textId="541366B0" w:rsidR="00250E8E" w:rsidRPr="003527AA" w:rsidRDefault="0059639F" w:rsidP="00D5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Ne</w:t>
            </w:r>
            <w:r w:rsidR="001055D6">
              <w:rPr>
                <w:rFonts w:cstheme="minorHAnsi"/>
                <w:color w:val="000000" w:themeColor="text1"/>
                <w:sz w:val="14"/>
                <w:szCs w:val="14"/>
              </w:rPr>
              <w:t>t</w:t>
            </w: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herlands</w:t>
            </w:r>
          </w:p>
        </w:tc>
        <w:tc>
          <w:tcPr>
            <w:tcW w:w="273" w:type="pct"/>
          </w:tcPr>
          <w:p w14:paraId="0D02525A" w14:textId="68143D82" w:rsidR="00250E8E" w:rsidRPr="003527AA" w:rsidRDefault="00C73B9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17" w:type="pct"/>
          </w:tcPr>
          <w:p w14:paraId="2D1DFC1F" w14:textId="62A26AB9" w:rsidR="00250E8E" w:rsidRPr="003527AA" w:rsidRDefault="00C73B9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0</w:t>
            </w:r>
            <w:r w:rsidR="00C373D8" w:rsidRPr="003527AA">
              <w:rPr>
                <w:rFonts w:cstheme="minorHAnsi"/>
                <w:color w:val="000000" w:themeColor="text1"/>
                <w:sz w:val="14"/>
                <w:szCs w:val="14"/>
              </w:rPr>
              <w:t>.2</w:t>
            </w:r>
          </w:p>
        </w:tc>
      </w:tr>
      <w:tr w:rsidR="003411CF" w:rsidRPr="008536A7" w14:paraId="4E7A282A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1A0B3695" w14:textId="1FFA46EF" w:rsidR="00250E8E" w:rsidRPr="00790E2B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90E2B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348" w:type="pct"/>
          </w:tcPr>
          <w:p w14:paraId="3B39A3CF" w14:textId="697A4C9E" w:rsidR="00250E8E" w:rsidRPr="003527AA" w:rsidRDefault="00250E8E" w:rsidP="00710FA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710FA0" w:rsidRPr="003527AA">
              <w:rPr>
                <w:rFonts w:cstheme="minorHAnsi"/>
                <w:color w:val="000000" w:themeColor="text1"/>
                <w:sz w:val="14"/>
                <w:szCs w:val="14"/>
              </w:rPr>
              <w:t>,238</w:t>
            </w:r>
          </w:p>
        </w:tc>
        <w:tc>
          <w:tcPr>
            <w:tcW w:w="217" w:type="pct"/>
          </w:tcPr>
          <w:p w14:paraId="2D4E0016" w14:textId="59652FC1" w:rsidR="00250E8E" w:rsidRPr="003527AA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24661533" w14:textId="0CB0DF3F" w:rsidR="00250E8E" w:rsidRPr="003527AA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7B480AC2" w14:textId="65407EEC" w:rsidR="00250E8E" w:rsidRPr="003527AA" w:rsidRDefault="00790E2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5,531</w:t>
            </w:r>
          </w:p>
        </w:tc>
        <w:tc>
          <w:tcPr>
            <w:tcW w:w="217" w:type="pct"/>
          </w:tcPr>
          <w:p w14:paraId="15D1AE63" w14:textId="2CF005E8" w:rsidR="00250E8E" w:rsidRPr="003527AA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A43E8D"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94" w:type="pct"/>
          </w:tcPr>
          <w:p w14:paraId="281BD3D3" w14:textId="29C5A5AF" w:rsidR="00250E8E" w:rsidRPr="003527AA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4E9A008C" w14:textId="2326BFD9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1,551</w:t>
            </w:r>
          </w:p>
        </w:tc>
        <w:tc>
          <w:tcPr>
            <w:tcW w:w="217" w:type="pct"/>
          </w:tcPr>
          <w:p w14:paraId="0513CBDC" w14:textId="209ABAB4" w:rsidR="00250E8E" w:rsidRPr="003527AA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471" w:type="pct"/>
          </w:tcPr>
          <w:p w14:paraId="638077F5" w14:textId="77777777" w:rsidR="00250E8E" w:rsidRPr="003527AA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5286E551" w14:textId="139B0838" w:rsidR="00250E8E" w:rsidRPr="003527AA" w:rsidRDefault="0059639F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3,264</w:t>
            </w:r>
          </w:p>
        </w:tc>
        <w:tc>
          <w:tcPr>
            <w:tcW w:w="217" w:type="pct"/>
          </w:tcPr>
          <w:p w14:paraId="1C18432C" w14:textId="4EE1E1A5" w:rsidR="00250E8E" w:rsidRPr="003527AA" w:rsidRDefault="0059639F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479" w:type="pct"/>
          </w:tcPr>
          <w:p w14:paraId="69D5B44A" w14:textId="2BEDE034" w:rsidR="00250E8E" w:rsidRPr="003527AA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46727BC2" w14:textId="573278EA" w:rsidR="00250E8E" w:rsidRPr="003527AA" w:rsidRDefault="00C73B9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17" w:type="pct"/>
          </w:tcPr>
          <w:p w14:paraId="3102AB80" w14:textId="1E34FC84" w:rsidR="00250E8E" w:rsidRPr="003527AA" w:rsidRDefault="00C73B9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0</w:t>
            </w:r>
            <w:r w:rsidR="00C373D8" w:rsidRPr="003527AA">
              <w:rPr>
                <w:rFonts w:cstheme="minorHAnsi"/>
                <w:color w:val="000000" w:themeColor="text1"/>
                <w:sz w:val="14"/>
                <w:szCs w:val="14"/>
              </w:rPr>
              <w:t>.4</w:t>
            </w:r>
          </w:p>
        </w:tc>
      </w:tr>
      <w:tr w:rsidR="003411CF" w:rsidRPr="008536A7" w14:paraId="65E19EC2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3F63A4DB" w14:textId="1F995EE4" w:rsidR="00250E8E" w:rsidRPr="00710FA0" w:rsidRDefault="00250E8E" w:rsidP="00250E8E">
            <w:pPr>
              <w:pStyle w:val="BodyText"/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  <w:r w:rsidRPr="00A43E8D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348" w:type="pct"/>
          </w:tcPr>
          <w:p w14:paraId="6CB837FA" w14:textId="32E2A8B2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</w:t>
            </w:r>
            <w:r w:rsidR="00710FA0"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32</w:t>
            </w: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,</w:t>
            </w:r>
            <w:r w:rsidR="00710FA0"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447</w:t>
            </w:r>
          </w:p>
        </w:tc>
        <w:tc>
          <w:tcPr>
            <w:tcW w:w="217" w:type="pct"/>
          </w:tcPr>
          <w:p w14:paraId="72486A87" w14:textId="77777777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5F2BAEDC" w14:textId="311C0295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9E00477" w14:textId="7651FDDF" w:rsidR="00250E8E" w:rsidRPr="003527AA" w:rsidRDefault="00790E2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50,444</w:t>
            </w:r>
          </w:p>
        </w:tc>
        <w:tc>
          <w:tcPr>
            <w:tcW w:w="217" w:type="pct"/>
          </w:tcPr>
          <w:p w14:paraId="12181B35" w14:textId="7B1AF355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494" w:type="pct"/>
          </w:tcPr>
          <w:p w14:paraId="41D868CA" w14:textId="557111DF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638F17D" w14:textId="1BB215FD" w:rsidR="00250E8E" w:rsidRPr="003527AA" w:rsidRDefault="004137C0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18,756</w:t>
            </w:r>
          </w:p>
        </w:tc>
        <w:tc>
          <w:tcPr>
            <w:tcW w:w="217" w:type="pct"/>
          </w:tcPr>
          <w:p w14:paraId="719515A9" w14:textId="1EF66E7F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471" w:type="pct"/>
          </w:tcPr>
          <w:p w14:paraId="7F6CD8A5" w14:textId="77777777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DC033A5" w14:textId="3D9708D0" w:rsidR="00250E8E" w:rsidRPr="003527AA" w:rsidRDefault="0059639F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7,863</w:t>
            </w:r>
          </w:p>
        </w:tc>
        <w:tc>
          <w:tcPr>
            <w:tcW w:w="217" w:type="pct"/>
          </w:tcPr>
          <w:p w14:paraId="218A049B" w14:textId="6D4EC144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46DF629C" w14:textId="65AE392E" w:rsidR="00250E8E" w:rsidRPr="003527AA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2D6CC46" w14:textId="7ABDF621" w:rsidR="00250E8E" w:rsidRPr="003527AA" w:rsidRDefault="003411CF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4,935</w:t>
            </w:r>
          </w:p>
        </w:tc>
        <w:tc>
          <w:tcPr>
            <w:tcW w:w="217" w:type="pct"/>
          </w:tcPr>
          <w:p w14:paraId="0567457E" w14:textId="7560DA08" w:rsidR="00250E8E" w:rsidRPr="003527AA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</w:tr>
    </w:tbl>
    <w:p w14:paraId="1B945ADA" w14:textId="77777777" w:rsidR="00FD2E59" w:rsidRPr="008536A7" w:rsidRDefault="00FD2E59" w:rsidP="00FD2E59">
      <w:pPr>
        <w:spacing w:after="0"/>
        <w:jc w:val="both"/>
        <w:rPr>
          <w:sz w:val="10"/>
        </w:rPr>
      </w:pP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5"/>
        <w:gridCol w:w="567"/>
        <w:gridCol w:w="533"/>
        <w:gridCol w:w="966"/>
        <w:gridCol w:w="690"/>
        <w:gridCol w:w="450"/>
        <w:gridCol w:w="1063"/>
        <w:gridCol w:w="567"/>
        <w:gridCol w:w="450"/>
        <w:gridCol w:w="1037"/>
        <w:gridCol w:w="567"/>
        <w:gridCol w:w="450"/>
        <w:gridCol w:w="1024"/>
        <w:gridCol w:w="567"/>
        <w:gridCol w:w="451"/>
      </w:tblGrid>
      <w:tr w:rsidR="007B018A" w:rsidRPr="008536A7" w14:paraId="6C6E1665" w14:textId="77777777" w:rsidTr="00D8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" w:type="pct"/>
            <w:shd w:val="clear" w:color="auto" w:fill="002060"/>
          </w:tcPr>
          <w:p w14:paraId="256E1458" w14:textId="299CE53F" w:rsidR="00FD2E59" w:rsidRPr="008536A7" w:rsidRDefault="00182F6A" w:rsidP="00CF5702">
            <w:pPr>
              <w:pStyle w:val="BodyText"/>
              <w:spacing w:after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>Wheat</w:t>
            </w:r>
          </w:p>
        </w:tc>
        <w:tc>
          <w:tcPr>
            <w:tcW w:w="269" w:type="pct"/>
            <w:shd w:val="clear" w:color="auto" w:fill="002060"/>
          </w:tcPr>
          <w:p w14:paraId="0B0F41D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56" w:type="pct"/>
            <w:shd w:val="clear" w:color="auto" w:fill="002060"/>
          </w:tcPr>
          <w:p w14:paraId="635CE490" w14:textId="77777777" w:rsidR="00FD2E59" w:rsidRPr="00F122CB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63" w:type="pct"/>
            <w:shd w:val="clear" w:color="auto" w:fill="002060"/>
          </w:tcPr>
          <w:p w14:paraId="7DB948E4" w14:textId="78885DBE" w:rsidR="00FD2E59" w:rsidRPr="00F122CB" w:rsidRDefault="00AC4205" w:rsidP="005E7191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 xml:space="preserve">Canola </w:t>
            </w:r>
            <w:r w:rsidR="00182F6A" w:rsidRPr="00F122CB">
              <w:rPr>
                <w:rFonts w:cstheme="minorHAnsi"/>
                <w:b w:val="0"/>
                <w:sz w:val="14"/>
                <w:szCs w:val="14"/>
              </w:rPr>
              <w:t>seeds</w:t>
            </w:r>
          </w:p>
        </w:tc>
        <w:tc>
          <w:tcPr>
            <w:tcW w:w="331" w:type="pct"/>
            <w:shd w:val="clear" w:color="auto" w:fill="002060"/>
          </w:tcPr>
          <w:p w14:paraId="482E583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5" w:type="pct"/>
            <w:shd w:val="clear" w:color="auto" w:fill="002060"/>
          </w:tcPr>
          <w:p w14:paraId="34FA82A8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509" w:type="pct"/>
            <w:shd w:val="clear" w:color="auto" w:fill="002060"/>
          </w:tcPr>
          <w:p w14:paraId="0973309D" w14:textId="28D7F4B6" w:rsidR="00FD2E59" w:rsidRPr="008536A7" w:rsidRDefault="00BD1003" w:rsidP="00D30AD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Gold</w:t>
            </w:r>
            <w:r w:rsidR="00792230" w:rsidRPr="00F122CB">
              <w:rPr>
                <w:rFonts w:cstheme="minorHAnsi"/>
                <w:b w:val="0"/>
                <w:sz w:val="14"/>
                <w:szCs w:val="14"/>
              </w:rPr>
              <w:t xml:space="preserve"> </w:t>
            </w:r>
            <w:r w:rsidR="00E33EF6" w:rsidRPr="00F122CB">
              <w:rPr>
                <w:rFonts w:cstheme="minorHAnsi"/>
                <w:b w:val="0"/>
                <w:sz w:val="14"/>
                <w:szCs w:val="14"/>
              </w:rPr>
              <w:t>coin</w:t>
            </w:r>
          </w:p>
        </w:tc>
        <w:tc>
          <w:tcPr>
            <w:tcW w:w="265" w:type="pct"/>
            <w:shd w:val="clear" w:color="auto" w:fill="002060"/>
          </w:tcPr>
          <w:p w14:paraId="231CB8C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5" w:type="pct"/>
            <w:shd w:val="clear" w:color="auto" w:fill="002060"/>
          </w:tcPr>
          <w:p w14:paraId="1FE85CB1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97" w:type="pct"/>
            <w:shd w:val="clear" w:color="auto" w:fill="002060"/>
          </w:tcPr>
          <w:p w14:paraId="3038BBF5" w14:textId="2BB3C597" w:rsidR="00FD2E59" w:rsidRPr="008536A7" w:rsidRDefault="00182F6A" w:rsidP="00250E8E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>Mineral sands</w:t>
            </w:r>
            <w:r w:rsidR="005E7191" w:rsidRPr="00F122CB"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271" w:type="pct"/>
            <w:shd w:val="clear" w:color="auto" w:fill="002060"/>
          </w:tcPr>
          <w:p w14:paraId="0B8F6EB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189610C2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90" w:type="pct"/>
            <w:shd w:val="clear" w:color="auto" w:fill="002060"/>
          </w:tcPr>
          <w:p w14:paraId="500DAC81" w14:textId="1FE55221" w:rsidR="00FD2E59" w:rsidRPr="008536A7" w:rsidRDefault="00AC4205" w:rsidP="005E7191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>Gold ore</w:t>
            </w:r>
            <w:r w:rsidR="005E7191" w:rsidRPr="00F122CB"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271" w:type="pct"/>
            <w:shd w:val="clear" w:color="auto" w:fill="002060"/>
          </w:tcPr>
          <w:p w14:paraId="379FBC6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060AEE8C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</w:tr>
      <w:tr w:rsidR="00F80B16" w:rsidRPr="003527AA" w14:paraId="0740069E" w14:textId="77777777" w:rsidTr="00D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565E20F8" w14:textId="69432537" w:rsidR="00792230" w:rsidRPr="003527AA" w:rsidRDefault="00182F6A" w:rsidP="00792230">
            <w:pPr>
              <w:pStyle w:val="BodyText"/>
              <w:spacing w:after="0"/>
              <w:rPr>
                <w:rFonts w:cstheme="minorHAnsi"/>
                <w:b w:val="0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 w:val="0"/>
                <w:color w:val="000000" w:themeColor="text1"/>
                <w:sz w:val="14"/>
                <w:szCs w:val="14"/>
              </w:rPr>
              <w:t>China</w:t>
            </w:r>
            <w:r w:rsidRPr="003527AA">
              <w:rPr>
                <w:rFonts w:cstheme="minorHAnsi"/>
                <w:b w:val="0"/>
                <w:color w:val="000000" w:themeColor="text1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69" w:type="pct"/>
          </w:tcPr>
          <w:p w14:paraId="7423A2BB" w14:textId="4FF78EF7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891</w:t>
            </w:r>
          </w:p>
        </w:tc>
        <w:tc>
          <w:tcPr>
            <w:tcW w:w="256" w:type="pct"/>
          </w:tcPr>
          <w:p w14:paraId="1626DB91" w14:textId="6734675B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463" w:type="pct"/>
          </w:tcPr>
          <w:p w14:paraId="6BC2186C" w14:textId="634D59F4" w:rsidR="00792230" w:rsidRPr="003527AA" w:rsidRDefault="00182F6A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Germany</w:t>
            </w:r>
          </w:p>
        </w:tc>
        <w:tc>
          <w:tcPr>
            <w:tcW w:w="331" w:type="pct"/>
          </w:tcPr>
          <w:p w14:paraId="102FE3C5" w14:textId="2980DA61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85</w:t>
            </w:r>
            <w:r w:rsidR="00182F6A" w:rsidRPr="003527AA">
              <w:rPr>
                <w:rFonts w:cstheme="minorHAns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15" w:type="pct"/>
          </w:tcPr>
          <w:p w14:paraId="1841ABD9" w14:textId="4F4694ED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509" w:type="pct"/>
          </w:tcPr>
          <w:p w14:paraId="2A6A6EE9" w14:textId="4831E791" w:rsidR="00792230" w:rsidRPr="003527AA" w:rsidRDefault="00A31FCC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Germany</w:t>
            </w:r>
          </w:p>
        </w:tc>
        <w:tc>
          <w:tcPr>
            <w:tcW w:w="265" w:type="pct"/>
          </w:tcPr>
          <w:p w14:paraId="502DBAA2" w14:textId="3D8D8D74" w:rsidR="00792230" w:rsidRPr="003527AA" w:rsidRDefault="00A31FCC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1,207</w:t>
            </w:r>
          </w:p>
        </w:tc>
        <w:tc>
          <w:tcPr>
            <w:tcW w:w="215" w:type="pct"/>
          </w:tcPr>
          <w:p w14:paraId="055DB877" w14:textId="7A786491" w:rsidR="00792230" w:rsidRPr="003527AA" w:rsidRDefault="00A31FCC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497" w:type="pct"/>
          </w:tcPr>
          <w:p w14:paraId="777A5803" w14:textId="72EBC164" w:rsidR="00792230" w:rsidRPr="003527AA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China</w:t>
            </w:r>
            <w:r w:rsidRPr="003527AA">
              <w:rPr>
                <w:rFonts w:cstheme="minorHAnsi"/>
                <w:color w:val="000000" w:themeColor="text1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1" w:type="pct"/>
          </w:tcPr>
          <w:p w14:paraId="2B8F606E" w14:textId="640F0641" w:rsidR="00792230" w:rsidRPr="003527AA" w:rsidRDefault="0050002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897</w:t>
            </w:r>
          </w:p>
        </w:tc>
        <w:tc>
          <w:tcPr>
            <w:tcW w:w="216" w:type="pct"/>
          </w:tcPr>
          <w:p w14:paraId="367320D2" w14:textId="2F6FCC59" w:rsidR="00792230" w:rsidRPr="003527AA" w:rsidRDefault="0050002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490" w:type="pct"/>
          </w:tcPr>
          <w:p w14:paraId="79BEEF5A" w14:textId="5BD0B862" w:rsidR="00792230" w:rsidRPr="003527AA" w:rsidRDefault="00F80B16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South Korea</w:t>
            </w:r>
          </w:p>
        </w:tc>
        <w:tc>
          <w:tcPr>
            <w:tcW w:w="271" w:type="pct"/>
          </w:tcPr>
          <w:p w14:paraId="2CF15272" w14:textId="713E6988" w:rsidR="00792230" w:rsidRPr="003527AA" w:rsidRDefault="00F80B16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646</w:t>
            </w:r>
          </w:p>
        </w:tc>
        <w:tc>
          <w:tcPr>
            <w:tcW w:w="216" w:type="pct"/>
          </w:tcPr>
          <w:p w14:paraId="40F4B7E8" w14:textId="02636FC2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3</w:t>
            </w:r>
            <w:r w:rsidR="00F80B16"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</w:p>
        </w:tc>
      </w:tr>
      <w:tr w:rsidR="00F80B16" w:rsidRPr="003527AA" w14:paraId="6915D19D" w14:textId="77777777" w:rsidTr="00D8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3E4A8BE1" w14:textId="606DEECA" w:rsidR="00792230" w:rsidRPr="003527AA" w:rsidRDefault="00182F6A" w:rsidP="00792230">
            <w:pPr>
              <w:pStyle w:val="BodyText"/>
              <w:spacing w:after="0"/>
              <w:rPr>
                <w:rFonts w:cstheme="minorHAnsi"/>
                <w:b w:val="0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 w:val="0"/>
                <w:color w:val="000000" w:themeColor="text1"/>
                <w:sz w:val="14"/>
                <w:szCs w:val="14"/>
              </w:rPr>
              <w:t>Philippines</w:t>
            </w:r>
          </w:p>
        </w:tc>
        <w:tc>
          <w:tcPr>
            <w:tcW w:w="269" w:type="pct"/>
          </w:tcPr>
          <w:p w14:paraId="4CE4FE38" w14:textId="746EA853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683</w:t>
            </w:r>
          </w:p>
        </w:tc>
        <w:tc>
          <w:tcPr>
            <w:tcW w:w="256" w:type="pct"/>
          </w:tcPr>
          <w:p w14:paraId="07F98F20" w14:textId="543C7C66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463" w:type="pct"/>
          </w:tcPr>
          <w:p w14:paraId="0BF47DDE" w14:textId="61CC3232" w:rsidR="00792230" w:rsidRPr="003527AA" w:rsidRDefault="00182F6A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Japan</w:t>
            </w:r>
          </w:p>
        </w:tc>
        <w:tc>
          <w:tcPr>
            <w:tcW w:w="331" w:type="pct"/>
          </w:tcPr>
          <w:p w14:paraId="3D8D6CD0" w14:textId="71AE89CB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492</w:t>
            </w:r>
          </w:p>
        </w:tc>
        <w:tc>
          <w:tcPr>
            <w:tcW w:w="215" w:type="pct"/>
          </w:tcPr>
          <w:p w14:paraId="7594461E" w14:textId="4FE92496" w:rsidR="00792230" w:rsidRPr="003527AA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182F6A" w:rsidRPr="003527AA">
              <w:rPr>
                <w:rFonts w:cstheme="minorHAns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509" w:type="pct"/>
          </w:tcPr>
          <w:p w14:paraId="5452F5F1" w14:textId="6D677067" w:rsidR="00792230" w:rsidRPr="003527AA" w:rsidRDefault="0050002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USA</w:t>
            </w:r>
          </w:p>
        </w:tc>
        <w:tc>
          <w:tcPr>
            <w:tcW w:w="265" w:type="pct"/>
          </w:tcPr>
          <w:p w14:paraId="0DB200EF" w14:textId="44CE1EF8" w:rsidR="00792230" w:rsidRPr="003527AA" w:rsidRDefault="00A31FCC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1,157</w:t>
            </w:r>
          </w:p>
        </w:tc>
        <w:tc>
          <w:tcPr>
            <w:tcW w:w="215" w:type="pct"/>
          </w:tcPr>
          <w:p w14:paraId="00DA9743" w14:textId="3286E00B" w:rsidR="00792230" w:rsidRPr="003527AA" w:rsidRDefault="00A31FCC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497" w:type="pct"/>
          </w:tcPr>
          <w:p w14:paraId="5CE98EEC" w14:textId="6EFF38E9" w:rsidR="00792230" w:rsidRPr="003527AA" w:rsidRDefault="00A31FCC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Saudi Arabia</w:t>
            </w:r>
          </w:p>
        </w:tc>
        <w:tc>
          <w:tcPr>
            <w:tcW w:w="271" w:type="pct"/>
          </w:tcPr>
          <w:p w14:paraId="071CECAC" w14:textId="503746E4" w:rsidR="00792230" w:rsidRPr="003527AA" w:rsidRDefault="0050002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178</w:t>
            </w:r>
          </w:p>
        </w:tc>
        <w:tc>
          <w:tcPr>
            <w:tcW w:w="216" w:type="pct"/>
          </w:tcPr>
          <w:p w14:paraId="7BB047DD" w14:textId="73A78998" w:rsidR="00792230" w:rsidRPr="003527AA" w:rsidRDefault="0050002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490" w:type="pct"/>
          </w:tcPr>
          <w:p w14:paraId="34C1F122" w14:textId="3BC327F0" w:rsidR="00792230" w:rsidRPr="003527AA" w:rsidRDefault="00F80B16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Germany</w:t>
            </w:r>
          </w:p>
        </w:tc>
        <w:tc>
          <w:tcPr>
            <w:tcW w:w="271" w:type="pct"/>
          </w:tcPr>
          <w:p w14:paraId="0F4C64F8" w14:textId="48E00073" w:rsidR="00792230" w:rsidRPr="003527AA" w:rsidRDefault="00F80B16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421</w:t>
            </w:r>
          </w:p>
        </w:tc>
        <w:tc>
          <w:tcPr>
            <w:tcW w:w="216" w:type="pct"/>
          </w:tcPr>
          <w:p w14:paraId="00CA39BE" w14:textId="547E1996" w:rsidR="00792230" w:rsidRPr="003527AA" w:rsidRDefault="00F80B16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20</w:t>
            </w:r>
          </w:p>
        </w:tc>
      </w:tr>
      <w:tr w:rsidR="00F80B16" w:rsidRPr="003527AA" w14:paraId="62B542D3" w14:textId="77777777" w:rsidTr="00D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05175898" w14:textId="6438EC31" w:rsidR="00792230" w:rsidRPr="003527AA" w:rsidRDefault="00182F6A" w:rsidP="00792230">
            <w:pPr>
              <w:pStyle w:val="BodyText"/>
              <w:spacing w:after="0"/>
              <w:rPr>
                <w:rFonts w:cstheme="minorHAnsi"/>
                <w:b w:val="0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 w:val="0"/>
                <w:color w:val="000000" w:themeColor="text1"/>
                <w:sz w:val="14"/>
                <w:szCs w:val="14"/>
              </w:rPr>
              <w:t>Indonesia</w:t>
            </w:r>
          </w:p>
        </w:tc>
        <w:tc>
          <w:tcPr>
            <w:tcW w:w="269" w:type="pct"/>
          </w:tcPr>
          <w:p w14:paraId="6BAE7504" w14:textId="76CA096F" w:rsidR="00792230" w:rsidRPr="003527AA" w:rsidRDefault="00182F6A" w:rsidP="00182F6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542</w:t>
            </w:r>
          </w:p>
        </w:tc>
        <w:tc>
          <w:tcPr>
            <w:tcW w:w="256" w:type="pct"/>
          </w:tcPr>
          <w:p w14:paraId="1ECC0454" w14:textId="2A30659D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792230" w:rsidRPr="003527AA">
              <w:rPr>
                <w:rFonts w:cstheme="minorHAns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3" w:type="pct"/>
          </w:tcPr>
          <w:p w14:paraId="13CED752" w14:textId="1385C292" w:rsidR="00792230" w:rsidRPr="003527AA" w:rsidRDefault="0050002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UAE</w:t>
            </w:r>
          </w:p>
        </w:tc>
        <w:tc>
          <w:tcPr>
            <w:tcW w:w="331" w:type="pct"/>
          </w:tcPr>
          <w:p w14:paraId="01271F3D" w14:textId="6DFFE272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460</w:t>
            </w:r>
          </w:p>
        </w:tc>
        <w:tc>
          <w:tcPr>
            <w:tcW w:w="215" w:type="pct"/>
          </w:tcPr>
          <w:p w14:paraId="54E60E59" w14:textId="0C9F2AAD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509" w:type="pct"/>
          </w:tcPr>
          <w:p w14:paraId="18C1461A" w14:textId="4638AD26" w:rsidR="00792230" w:rsidRPr="003527AA" w:rsidRDefault="00B6755E" w:rsidP="00B6755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Hong Kong</w:t>
            </w:r>
            <w:r w:rsidRPr="003527AA">
              <w:rPr>
                <w:rFonts w:cstheme="minorHAnsi"/>
                <w:color w:val="000000" w:themeColor="text1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265" w:type="pct"/>
          </w:tcPr>
          <w:p w14:paraId="49AB0340" w14:textId="747A12F5" w:rsidR="00792230" w:rsidRPr="003527AA" w:rsidRDefault="00A31FCC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85</w:t>
            </w:r>
          </w:p>
        </w:tc>
        <w:tc>
          <w:tcPr>
            <w:tcW w:w="215" w:type="pct"/>
          </w:tcPr>
          <w:p w14:paraId="40A883BE" w14:textId="0A362A95" w:rsidR="00792230" w:rsidRPr="003527AA" w:rsidRDefault="00A31FCC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97" w:type="pct"/>
          </w:tcPr>
          <w:p w14:paraId="1BD2F388" w14:textId="6230EF0F" w:rsidR="00792230" w:rsidRPr="003527AA" w:rsidRDefault="00A31FCC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USA</w:t>
            </w:r>
          </w:p>
        </w:tc>
        <w:tc>
          <w:tcPr>
            <w:tcW w:w="271" w:type="pct"/>
          </w:tcPr>
          <w:p w14:paraId="06D56447" w14:textId="1DFBE90F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15</w:t>
            </w:r>
            <w:r w:rsidR="00500020" w:rsidRPr="003527AA">
              <w:rPr>
                <w:rFonts w:cstheme="minorHAns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16" w:type="pct"/>
          </w:tcPr>
          <w:p w14:paraId="4374B04A" w14:textId="0A50082A" w:rsidR="00792230" w:rsidRPr="003527AA" w:rsidRDefault="0050002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490" w:type="pct"/>
          </w:tcPr>
          <w:p w14:paraId="6E9BDF12" w14:textId="04A87938" w:rsidR="00792230" w:rsidRPr="003527AA" w:rsidRDefault="00F80B16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Philippines</w:t>
            </w:r>
          </w:p>
        </w:tc>
        <w:tc>
          <w:tcPr>
            <w:tcW w:w="271" w:type="pct"/>
          </w:tcPr>
          <w:p w14:paraId="6CC9ADB9" w14:textId="4E3F1822" w:rsidR="00792230" w:rsidRPr="003527AA" w:rsidRDefault="00F80B16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416</w:t>
            </w:r>
          </w:p>
        </w:tc>
        <w:tc>
          <w:tcPr>
            <w:tcW w:w="216" w:type="pct"/>
          </w:tcPr>
          <w:p w14:paraId="101A7989" w14:textId="658DB26E" w:rsidR="00792230" w:rsidRPr="003527AA" w:rsidRDefault="00F80B16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20</w:t>
            </w:r>
          </w:p>
        </w:tc>
      </w:tr>
      <w:tr w:rsidR="00F80B16" w:rsidRPr="003527AA" w14:paraId="4F89B30B" w14:textId="77777777" w:rsidTr="00D8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5ED1927C" w14:textId="3FD8EE45" w:rsidR="00792230" w:rsidRPr="003527AA" w:rsidRDefault="00182F6A" w:rsidP="00792230">
            <w:pPr>
              <w:pStyle w:val="BodyText"/>
              <w:spacing w:after="0"/>
              <w:rPr>
                <w:rFonts w:cstheme="minorHAnsi"/>
                <w:b w:val="0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 w:val="0"/>
                <w:color w:val="000000" w:themeColor="text1"/>
                <w:sz w:val="14"/>
                <w:szCs w:val="14"/>
              </w:rPr>
              <w:t>South Korea</w:t>
            </w:r>
          </w:p>
        </w:tc>
        <w:tc>
          <w:tcPr>
            <w:tcW w:w="269" w:type="pct"/>
          </w:tcPr>
          <w:p w14:paraId="28ED863A" w14:textId="0039AC28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464</w:t>
            </w:r>
          </w:p>
        </w:tc>
        <w:tc>
          <w:tcPr>
            <w:tcW w:w="256" w:type="pct"/>
          </w:tcPr>
          <w:p w14:paraId="3B43171E" w14:textId="0F66493D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792230" w:rsidRPr="003527AA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3" w:type="pct"/>
          </w:tcPr>
          <w:p w14:paraId="17DAAEA5" w14:textId="73B62903" w:rsidR="00792230" w:rsidRPr="003527AA" w:rsidRDefault="00182F6A" w:rsidP="00182F6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Belgium</w:t>
            </w:r>
          </w:p>
        </w:tc>
        <w:tc>
          <w:tcPr>
            <w:tcW w:w="331" w:type="pct"/>
          </w:tcPr>
          <w:p w14:paraId="3B6AB420" w14:textId="5B078A9D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419</w:t>
            </w:r>
          </w:p>
        </w:tc>
        <w:tc>
          <w:tcPr>
            <w:tcW w:w="215" w:type="pct"/>
          </w:tcPr>
          <w:p w14:paraId="078D14B5" w14:textId="4B5D89B1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509" w:type="pct"/>
          </w:tcPr>
          <w:p w14:paraId="4A601881" w14:textId="5B0C470E" w:rsidR="00792230" w:rsidRPr="003527AA" w:rsidRDefault="00A31FCC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New Zealand</w:t>
            </w:r>
          </w:p>
        </w:tc>
        <w:tc>
          <w:tcPr>
            <w:tcW w:w="265" w:type="pct"/>
          </w:tcPr>
          <w:p w14:paraId="6398E1E8" w14:textId="010ED562" w:rsidR="00792230" w:rsidRPr="003527AA" w:rsidRDefault="00A31FCC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15" w:type="pct"/>
          </w:tcPr>
          <w:p w14:paraId="7B1F6156" w14:textId="311CB64B" w:rsidR="00792230" w:rsidRPr="003527AA" w:rsidRDefault="00A31FCC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97" w:type="pct"/>
          </w:tcPr>
          <w:p w14:paraId="7DE61B32" w14:textId="3B55F472" w:rsidR="00792230" w:rsidRPr="003527AA" w:rsidRDefault="00A31FCC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Malaysia</w:t>
            </w:r>
          </w:p>
        </w:tc>
        <w:tc>
          <w:tcPr>
            <w:tcW w:w="271" w:type="pct"/>
          </w:tcPr>
          <w:p w14:paraId="7FAE5036" w14:textId="6B8F944D" w:rsidR="00792230" w:rsidRPr="003527AA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500020" w:rsidRPr="003527AA">
              <w:rPr>
                <w:rFonts w:cstheme="minorHAnsi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16" w:type="pct"/>
          </w:tcPr>
          <w:p w14:paraId="5D481BFB" w14:textId="7E393479" w:rsidR="00792230" w:rsidRPr="003527AA" w:rsidRDefault="0050002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490" w:type="pct"/>
          </w:tcPr>
          <w:p w14:paraId="32664978" w14:textId="08031D40" w:rsidR="00792230" w:rsidRPr="003527AA" w:rsidRDefault="00F80B16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Japan</w:t>
            </w:r>
          </w:p>
        </w:tc>
        <w:tc>
          <w:tcPr>
            <w:tcW w:w="271" w:type="pct"/>
          </w:tcPr>
          <w:p w14:paraId="191D5FE8" w14:textId="7A85DA51" w:rsidR="00792230" w:rsidRPr="003527AA" w:rsidRDefault="00F80B16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415</w:t>
            </w:r>
          </w:p>
        </w:tc>
        <w:tc>
          <w:tcPr>
            <w:tcW w:w="216" w:type="pct"/>
          </w:tcPr>
          <w:p w14:paraId="16F4FC8F" w14:textId="7C154CDC" w:rsidR="00792230" w:rsidRPr="003527AA" w:rsidRDefault="00F80B16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20</w:t>
            </w:r>
          </w:p>
        </w:tc>
      </w:tr>
      <w:tr w:rsidR="00F80B16" w:rsidRPr="003527AA" w14:paraId="2F7A355D" w14:textId="77777777" w:rsidTr="00D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70A69691" w14:textId="17A84DEB" w:rsidR="00792230" w:rsidRPr="003527AA" w:rsidRDefault="00792230" w:rsidP="00792230">
            <w:pPr>
              <w:pStyle w:val="BodyText"/>
              <w:spacing w:after="0"/>
              <w:rPr>
                <w:rFonts w:cstheme="minorHAnsi"/>
                <w:b w:val="0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 w:val="0"/>
                <w:color w:val="000000" w:themeColor="text1"/>
                <w:sz w:val="14"/>
                <w:szCs w:val="14"/>
              </w:rPr>
              <w:t>Japan</w:t>
            </w:r>
          </w:p>
        </w:tc>
        <w:tc>
          <w:tcPr>
            <w:tcW w:w="269" w:type="pct"/>
          </w:tcPr>
          <w:p w14:paraId="41EB3641" w14:textId="4C1D4231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382</w:t>
            </w:r>
          </w:p>
        </w:tc>
        <w:tc>
          <w:tcPr>
            <w:tcW w:w="256" w:type="pct"/>
          </w:tcPr>
          <w:p w14:paraId="778D45EF" w14:textId="57124ED7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  <w:r w:rsidR="00182F6A" w:rsidRPr="003527AA">
              <w:rPr>
                <w:rFonts w:cstheme="minorHAnsi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463" w:type="pct"/>
          </w:tcPr>
          <w:p w14:paraId="01C0D85D" w14:textId="5E783147" w:rsidR="00792230" w:rsidRPr="003527AA" w:rsidRDefault="00182F6A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France</w:t>
            </w:r>
          </w:p>
        </w:tc>
        <w:tc>
          <w:tcPr>
            <w:tcW w:w="331" w:type="pct"/>
          </w:tcPr>
          <w:p w14:paraId="5E39290C" w14:textId="440752CD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359</w:t>
            </w:r>
          </w:p>
        </w:tc>
        <w:tc>
          <w:tcPr>
            <w:tcW w:w="215" w:type="pct"/>
          </w:tcPr>
          <w:p w14:paraId="51E89338" w14:textId="68004C6D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509" w:type="pct"/>
          </w:tcPr>
          <w:p w14:paraId="62649E5D" w14:textId="1F2FB400" w:rsidR="00792230" w:rsidRPr="003527AA" w:rsidRDefault="0050002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UAE</w:t>
            </w:r>
          </w:p>
        </w:tc>
        <w:tc>
          <w:tcPr>
            <w:tcW w:w="265" w:type="pct"/>
          </w:tcPr>
          <w:p w14:paraId="491C3984" w14:textId="744846DD" w:rsidR="00792230" w:rsidRPr="003527AA" w:rsidRDefault="00A31FCC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15" w:type="pct"/>
          </w:tcPr>
          <w:p w14:paraId="5AD74DB9" w14:textId="13D39149" w:rsidR="00792230" w:rsidRPr="003527AA" w:rsidRDefault="00A31FCC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97" w:type="pct"/>
          </w:tcPr>
          <w:p w14:paraId="10CDAB12" w14:textId="739EF260" w:rsidR="00792230" w:rsidRPr="003527AA" w:rsidRDefault="00A31FCC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India</w:t>
            </w:r>
          </w:p>
        </w:tc>
        <w:tc>
          <w:tcPr>
            <w:tcW w:w="271" w:type="pct"/>
          </w:tcPr>
          <w:p w14:paraId="3D28847E" w14:textId="33C546C9" w:rsidR="00792230" w:rsidRPr="003527AA" w:rsidRDefault="0050002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113</w:t>
            </w:r>
          </w:p>
        </w:tc>
        <w:tc>
          <w:tcPr>
            <w:tcW w:w="216" w:type="pct"/>
          </w:tcPr>
          <w:p w14:paraId="566F9D07" w14:textId="323954E0" w:rsidR="00792230" w:rsidRPr="003527AA" w:rsidRDefault="0050002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90" w:type="pct"/>
          </w:tcPr>
          <w:p w14:paraId="12E80BC8" w14:textId="58328271" w:rsidR="00792230" w:rsidRPr="003527AA" w:rsidRDefault="00F80B16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Finland</w:t>
            </w:r>
          </w:p>
        </w:tc>
        <w:tc>
          <w:tcPr>
            <w:tcW w:w="271" w:type="pct"/>
          </w:tcPr>
          <w:p w14:paraId="6B18C342" w14:textId="24C2FFE5" w:rsidR="00792230" w:rsidRPr="003527AA" w:rsidRDefault="00F80B16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216" w:type="pct"/>
          </w:tcPr>
          <w:p w14:paraId="30079F62" w14:textId="67DFBBAC" w:rsidR="00792230" w:rsidRPr="003527AA" w:rsidRDefault="00F80B16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</w:t>
            </w:r>
          </w:p>
        </w:tc>
      </w:tr>
      <w:tr w:rsidR="00F80B16" w:rsidRPr="003527AA" w14:paraId="1E1D2E66" w14:textId="77777777" w:rsidTr="00D8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7E5E048D" w14:textId="70396406" w:rsidR="00792230" w:rsidRPr="003527AA" w:rsidRDefault="00792230" w:rsidP="00792230">
            <w:pPr>
              <w:pStyle w:val="BodyText"/>
              <w:spacing w:after="0"/>
              <w:rPr>
                <w:rFonts w:cstheme="minorHAnsi"/>
                <w:b w:val="0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 w:val="0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269" w:type="pct"/>
          </w:tcPr>
          <w:p w14:paraId="77E19845" w14:textId="1981420C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908</w:t>
            </w:r>
          </w:p>
        </w:tc>
        <w:tc>
          <w:tcPr>
            <w:tcW w:w="256" w:type="pct"/>
          </w:tcPr>
          <w:p w14:paraId="249B836F" w14:textId="1DA4E417" w:rsidR="00792230" w:rsidRPr="003527AA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  <w:r w:rsidR="00182F6A" w:rsidRPr="003527AA">
              <w:rPr>
                <w:rFonts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3" w:type="pct"/>
          </w:tcPr>
          <w:p w14:paraId="7D0DF03E" w14:textId="4188AFA8" w:rsidR="00792230" w:rsidRPr="003527AA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331" w:type="pct"/>
          </w:tcPr>
          <w:p w14:paraId="1AC68033" w14:textId="2D8E8080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417</w:t>
            </w:r>
          </w:p>
        </w:tc>
        <w:tc>
          <w:tcPr>
            <w:tcW w:w="215" w:type="pct"/>
          </w:tcPr>
          <w:p w14:paraId="4C30D9CD" w14:textId="4EE475C2" w:rsidR="00792230" w:rsidRPr="003527AA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509" w:type="pct"/>
          </w:tcPr>
          <w:p w14:paraId="09206CEF" w14:textId="67C3E48A" w:rsidR="00792230" w:rsidRPr="003527AA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265" w:type="pct"/>
          </w:tcPr>
          <w:p w14:paraId="3BFFD009" w14:textId="32DAD410" w:rsidR="00792230" w:rsidRPr="003527AA" w:rsidRDefault="00A31FCC" w:rsidP="00A31FC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215" w:type="pct"/>
          </w:tcPr>
          <w:p w14:paraId="5FDCC07C" w14:textId="7D7D5BB0" w:rsidR="00792230" w:rsidRPr="003527AA" w:rsidRDefault="00A31FCC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97" w:type="pct"/>
          </w:tcPr>
          <w:p w14:paraId="32D13F5F" w14:textId="6EA50E24" w:rsidR="00792230" w:rsidRPr="003527AA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271" w:type="pct"/>
          </w:tcPr>
          <w:p w14:paraId="2078EFB0" w14:textId="16BB4726" w:rsidR="00792230" w:rsidRPr="003527AA" w:rsidRDefault="0050002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663</w:t>
            </w:r>
          </w:p>
        </w:tc>
        <w:tc>
          <w:tcPr>
            <w:tcW w:w="216" w:type="pct"/>
          </w:tcPr>
          <w:p w14:paraId="5A8FF40D" w14:textId="29A5433D" w:rsidR="00792230" w:rsidRPr="003527AA" w:rsidRDefault="0050002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490" w:type="pct"/>
          </w:tcPr>
          <w:p w14:paraId="5F926AA4" w14:textId="06ED11BB" w:rsidR="00792230" w:rsidRPr="003527AA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Other</w:t>
            </w:r>
          </w:p>
        </w:tc>
        <w:tc>
          <w:tcPr>
            <w:tcW w:w="271" w:type="pct"/>
          </w:tcPr>
          <w:p w14:paraId="0F120034" w14:textId="4908EDE9" w:rsidR="00792230" w:rsidRPr="003527AA" w:rsidRDefault="00F80B16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99</w:t>
            </w:r>
          </w:p>
        </w:tc>
        <w:tc>
          <w:tcPr>
            <w:tcW w:w="216" w:type="pct"/>
          </w:tcPr>
          <w:p w14:paraId="409E9093" w14:textId="769BE8A5" w:rsidR="00792230" w:rsidRPr="003527AA" w:rsidRDefault="00F80B16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5</w:t>
            </w:r>
          </w:p>
        </w:tc>
      </w:tr>
      <w:tr w:rsidR="00F80B16" w:rsidRPr="003527AA" w14:paraId="6D8AFEC7" w14:textId="77777777" w:rsidTr="00D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6089AE1C" w14:textId="5F93816B" w:rsidR="00792230" w:rsidRPr="003527AA" w:rsidRDefault="00792230" w:rsidP="00792230">
            <w:pPr>
              <w:pStyle w:val="BodyText"/>
              <w:spacing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269" w:type="pct"/>
          </w:tcPr>
          <w:p w14:paraId="1CE944B6" w14:textId="3CB1449B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3,869</w:t>
            </w:r>
          </w:p>
        </w:tc>
        <w:tc>
          <w:tcPr>
            <w:tcW w:w="256" w:type="pct"/>
          </w:tcPr>
          <w:p w14:paraId="3BFDBA1B" w14:textId="54BA8CC3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463" w:type="pct"/>
          </w:tcPr>
          <w:p w14:paraId="0FD97C4C" w14:textId="6409D8B1" w:rsidR="00792230" w:rsidRPr="003527AA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331" w:type="pct"/>
          </w:tcPr>
          <w:p w14:paraId="258224F6" w14:textId="66FF59F1" w:rsidR="00792230" w:rsidRPr="003527AA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3,004</w:t>
            </w:r>
          </w:p>
        </w:tc>
        <w:tc>
          <w:tcPr>
            <w:tcW w:w="215" w:type="pct"/>
          </w:tcPr>
          <w:p w14:paraId="0CD0B16F" w14:textId="58DF8EA5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09" w:type="pct"/>
          </w:tcPr>
          <w:p w14:paraId="3D33AE6A" w14:textId="478EFBC1" w:rsidR="00792230" w:rsidRPr="003527AA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265" w:type="pct"/>
          </w:tcPr>
          <w:p w14:paraId="02B6F01A" w14:textId="46BE10AE" w:rsidR="00792230" w:rsidRPr="003527AA" w:rsidRDefault="00A31FCC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2,530</w:t>
            </w:r>
          </w:p>
        </w:tc>
        <w:tc>
          <w:tcPr>
            <w:tcW w:w="215" w:type="pct"/>
          </w:tcPr>
          <w:p w14:paraId="3F25D5E2" w14:textId="130C66CD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497" w:type="pct"/>
          </w:tcPr>
          <w:p w14:paraId="298B2109" w14:textId="30EB5FF0" w:rsidR="00792230" w:rsidRPr="003527AA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271" w:type="pct"/>
          </w:tcPr>
          <w:p w14:paraId="597F3042" w14:textId="61CF554A" w:rsidR="00792230" w:rsidRPr="003527AA" w:rsidRDefault="0050002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2,123</w:t>
            </w:r>
          </w:p>
        </w:tc>
        <w:tc>
          <w:tcPr>
            <w:tcW w:w="216" w:type="pct"/>
          </w:tcPr>
          <w:p w14:paraId="7F6B3395" w14:textId="14B085FA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490" w:type="pct"/>
          </w:tcPr>
          <w:p w14:paraId="4EA6D2A4" w14:textId="40E4CCC8" w:rsidR="00792230" w:rsidRPr="003527AA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271" w:type="pct"/>
          </w:tcPr>
          <w:p w14:paraId="70EBACA0" w14:textId="6FA3FB19" w:rsidR="00792230" w:rsidRPr="003527AA" w:rsidRDefault="00F80B16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2,089</w:t>
            </w:r>
          </w:p>
        </w:tc>
        <w:tc>
          <w:tcPr>
            <w:tcW w:w="216" w:type="pct"/>
          </w:tcPr>
          <w:p w14:paraId="1C4A682B" w14:textId="77FA7CD2" w:rsidR="00792230" w:rsidRPr="003527AA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3527AA">
              <w:rPr>
                <w:rFonts w:cstheme="minorHAnsi"/>
                <w:b/>
                <w:color w:val="000000" w:themeColor="text1"/>
                <w:sz w:val="14"/>
                <w:szCs w:val="14"/>
              </w:rPr>
              <w:t>100</w:t>
            </w:r>
          </w:p>
        </w:tc>
      </w:tr>
    </w:tbl>
    <w:p w14:paraId="085D0B3D" w14:textId="1898DF80" w:rsidR="00FD2E59" w:rsidRPr="003527AA" w:rsidRDefault="00D87C08" w:rsidP="00D87C08">
      <w:pPr>
        <w:spacing w:after="0"/>
        <w:rPr>
          <w:color w:val="000000" w:themeColor="text1"/>
          <w:sz w:val="10"/>
        </w:rPr>
      </w:pPr>
      <w:r w:rsidRPr="003527AA">
        <w:rPr>
          <w:color w:val="000000" w:themeColor="text1"/>
          <w:sz w:val="10"/>
        </w:rPr>
        <w:br/>
      </w:r>
      <w:r w:rsidR="00FD2E59" w:rsidRPr="003527AA">
        <w:rPr>
          <w:color w:val="000000" w:themeColor="text1"/>
          <w:sz w:val="10"/>
        </w:rPr>
        <w:t>Note – Components may not add to totals due to rounding.</w:t>
      </w:r>
      <w:r w:rsidR="00012672" w:rsidRPr="003527AA">
        <w:rPr>
          <w:color w:val="000000" w:themeColor="text1"/>
          <w:sz w:val="10"/>
        </w:rPr>
        <w:t xml:space="preserve"> </w:t>
      </w:r>
      <w:r w:rsidR="00CC1C28" w:rsidRPr="003527AA">
        <w:rPr>
          <w:color w:val="000000" w:themeColor="text1"/>
          <w:sz w:val="10"/>
        </w:rPr>
        <w:t>N</w:t>
      </w:r>
      <w:r w:rsidR="00012672" w:rsidRPr="003527AA">
        <w:rPr>
          <w:color w:val="000000" w:themeColor="text1"/>
          <w:sz w:val="10"/>
        </w:rPr>
        <w:t xml:space="preserve">ickel ore </w:t>
      </w:r>
      <w:r w:rsidR="001D1C19" w:rsidRPr="003527AA">
        <w:rPr>
          <w:color w:val="000000" w:themeColor="text1"/>
          <w:sz w:val="10"/>
        </w:rPr>
        <w:t xml:space="preserve">and copper </w:t>
      </w:r>
      <w:r w:rsidR="00012672" w:rsidRPr="003527AA">
        <w:rPr>
          <w:color w:val="000000" w:themeColor="text1"/>
          <w:sz w:val="10"/>
        </w:rPr>
        <w:t xml:space="preserve">ore </w:t>
      </w:r>
      <w:r w:rsidR="001D1C19" w:rsidRPr="003527AA">
        <w:rPr>
          <w:color w:val="000000" w:themeColor="text1"/>
          <w:sz w:val="10"/>
        </w:rPr>
        <w:t>are</w:t>
      </w:r>
      <w:r w:rsidR="00CC1C28" w:rsidRPr="003527AA">
        <w:rPr>
          <w:color w:val="000000" w:themeColor="text1"/>
          <w:sz w:val="10"/>
        </w:rPr>
        <w:t xml:space="preserve"> major </w:t>
      </w:r>
      <w:r w:rsidR="00012672" w:rsidRPr="003527AA">
        <w:rPr>
          <w:color w:val="000000" w:themeColor="text1"/>
          <w:sz w:val="10"/>
        </w:rPr>
        <w:t>export</w:t>
      </w:r>
      <w:r w:rsidR="00CC1C28" w:rsidRPr="003527AA">
        <w:rPr>
          <w:color w:val="000000" w:themeColor="text1"/>
          <w:sz w:val="10"/>
        </w:rPr>
        <w:t xml:space="preserve"> commodit</w:t>
      </w:r>
      <w:r w:rsidR="001D1C19" w:rsidRPr="003527AA">
        <w:rPr>
          <w:color w:val="000000" w:themeColor="text1"/>
          <w:sz w:val="10"/>
        </w:rPr>
        <w:t>ies</w:t>
      </w:r>
      <w:r w:rsidR="00CC1C28" w:rsidRPr="003527AA">
        <w:rPr>
          <w:color w:val="000000" w:themeColor="text1"/>
          <w:sz w:val="10"/>
        </w:rPr>
        <w:t xml:space="preserve"> for Western Australia</w:t>
      </w:r>
      <w:r w:rsidR="0008361E" w:rsidRPr="003527AA">
        <w:rPr>
          <w:color w:val="000000" w:themeColor="text1"/>
          <w:sz w:val="10"/>
        </w:rPr>
        <w:t>,</w:t>
      </w:r>
      <w:r w:rsidR="00CC1C28" w:rsidRPr="003527AA">
        <w:rPr>
          <w:color w:val="000000" w:themeColor="text1"/>
          <w:sz w:val="10"/>
        </w:rPr>
        <w:t xml:space="preserve"> but ha</w:t>
      </w:r>
      <w:r w:rsidR="001D1C19" w:rsidRPr="003527AA">
        <w:rPr>
          <w:color w:val="000000" w:themeColor="text1"/>
          <w:sz w:val="10"/>
        </w:rPr>
        <w:t>ve</w:t>
      </w:r>
      <w:r w:rsidR="00CC1C28" w:rsidRPr="003527AA">
        <w:rPr>
          <w:color w:val="000000" w:themeColor="text1"/>
          <w:sz w:val="10"/>
        </w:rPr>
        <w:t xml:space="preserve"> been excluded from the table because </w:t>
      </w:r>
      <w:r w:rsidR="009A3EF0" w:rsidRPr="003527AA">
        <w:rPr>
          <w:color w:val="000000" w:themeColor="text1"/>
          <w:sz w:val="10"/>
        </w:rPr>
        <w:t>the</w:t>
      </w:r>
      <w:r w:rsidR="00012672" w:rsidRPr="003527AA">
        <w:rPr>
          <w:color w:val="000000" w:themeColor="text1"/>
          <w:sz w:val="10"/>
        </w:rPr>
        <w:t xml:space="preserve"> data </w:t>
      </w:r>
      <w:r w:rsidR="009A3EF0" w:rsidRPr="003527AA">
        <w:rPr>
          <w:color w:val="000000" w:themeColor="text1"/>
          <w:sz w:val="10"/>
        </w:rPr>
        <w:t>is not available due to confidentiality restrictions</w:t>
      </w:r>
      <w:r w:rsidR="00012672" w:rsidRPr="003527AA">
        <w:rPr>
          <w:color w:val="000000" w:themeColor="text1"/>
          <w:sz w:val="10"/>
        </w:rPr>
        <w:t>.</w:t>
      </w:r>
      <w:r w:rsidR="00FD2E59" w:rsidRPr="003527AA">
        <w:rPr>
          <w:color w:val="000000" w:themeColor="text1"/>
          <w:sz w:val="10"/>
          <w:vertAlign w:val="superscript"/>
        </w:rPr>
        <w:t>1</w:t>
      </w:r>
      <w:r w:rsidR="00FD2E59" w:rsidRPr="003527AA">
        <w:rPr>
          <w:color w:val="000000" w:themeColor="text1"/>
          <w:sz w:val="10"/>
        </w:rPr>
        <w:t xml:space="preserve"> Nominal or not adjusted for price changes. Original series. </w:t>
      </w:r>
      <w:r w:rsidR="00FD2E59" w:rsidRPr="003527AA">
        <w:rPr>
          <w:color w:val="000000" w:themeColor="text1"/>
          <w:sz w:val="10"/>
          <w:vertAlign w:val="superscript"/>
        </w:rPr>
        <w:t>2</w:t>
      </w:r>
      <w:r w:rsidR="00FD2E59" w:rsidRPr="003527AA">
        <w:rPr>
          <w:color w:val="000000" w:themeColor="text1"/>
          <w:sz w:val="10"/>
        </w:rPr>
        <w:t xml:space="preserve"> LNG, condensate, crude oil and LPG.</w:t>
      </w:r>
      <w:r w:rsidR="00D30AD7" w:rsidRPr="003527AA">
        <w:rPr>
          <w:color w:val="000000" w:themeColor="text1"/>
          <w:sz w:val="10"/>
        </w:rPr>
        <w:t xml:space="preserve"> </w:t>
      </w:r>
      <w:r w:rsidR="00D30AD7" w:rsidRPr="003527AA">
        <w:rPr>
          <w:color w:val="000000" w:themeColor="text1"/>
          <w:sz w:val="10"/>
          <w:vertAlign w:val="superscript"/>
        </w:rPr>
        <w:t>3</w:t>
      </w:r>
      <w:r w:rsidR="00D30AD7" w:rsidRPr="003527AA">
        <w:rPr>
          <w:color w:val="000000" w:themeColor="text1"/>
          <w:sz w:val="10"/>
        </w:rPr>
        <w:t xml:space="preserve"> Non-monetary.</w:t>
      </w:r>
      <w:r w:rsidR="00FD2E59" w:rsidRPr="003527AA">
        <w:rPr>
          <w:color w:val="000000" w:themeColor="text1"/>
          <w:sz w:val="10"/>
        </w:rPr>
        <w:t xml:space="preserve"> </w:t>
      </w:r>
      <w:r w:rsidR="00D30AD7" w:rsidRPr="003527AA">
        <w:rPr>
          <w:color w:val="000000" w:themeColor="text1"/>
          <w:sz w:val="10"/>
          <w:vertAlign w:val="superscript"/>
        </w:rPr>
        <w:t>4</w:t>
      </w:r>
      <w:r w:rsidR="00D30AD7" w:rsidRPr="003527AA">
        <w:rPr>
          <w:color w:val="000000" w:themeColor="text1"/>
          <w:sz w:val="10"/>
        </w:rPr>
        <w:t xml:space="preserve"> </w:t>
      </w:r>
      <w:r w:rsidR="00FD2E59" w:rsidRPr="003527AA">
        <w:rPr>
          <w:color w:val="000000" w:themeColor="text1"/>
          <w:sz w:val="10"/>
        </w:rPr>
        <w:t>Includes bauxite</w:t>
      </w:r>
      <w:r w:rsidR="00C37D77" w:rsidRPr="003527AA">
        <w:rPr>
          <w:color w:val="000000" w:themeColor="text1"/>
          <w:sz w:val="10"/>
        </w:rPr>
        <w:t xml:space="preserve">. </w:t>
      </w:r>
      <w:r w:rsidR="00C37D77" w:rsidRPr="003527AA">
        <w:rPr>
          <w:color w:val="000000" w:themeColor="text1"/>
          <w:sz w:val="10"/>
          <w:vertAlign w:val="superscript"/>
        </w:rPr>
        <w:t xml:space="preserve">5 </w:t>
      </w:r>
      <w:proofErr w:type="spellStart"/>
      <w:r w:rsidR="00AC4205" w:rsidRPr="003527AA">
        <w:rPr>
          <w:color w:val="000000" w:themeColor="text1"/>
          <w:sz w:val="10"/>
        </w:rPr>
        <w:t>Spodumene</w:t>
      </w:r>
      <w:proofErr w:type="spellEnd"/>
      <w:r w:rsidR="00AC4205" w:rsidRPr="003527AA">
        <w:rPr>
          <w:color w:val="000000" w:themeColor="text1"/>
          <w:sz w:val="10"/>
        </w:rPr>
        <w:t xml:space="preserve"> concentrate. May include some other crude minerals</w:t>
      </w:r>
      <w:r w:rsidR="00C9391C" w:rsidRPr="003527AA">
        <w:rPr>
          <w:color w:val="000000" w:themeColor="text1"/>
          <w:sz w:val="10"/>
        </w:rPr>
        <w:t>.</w:t>
      </w:r>
      <w:r w:rsidR="00F122CB" w:rsidRPr="003527AA">
        <w:rPr>
          <w:color w:val="000000" w:themeColor="text1"/>
          <w:sz w:val="10"/>
        </w:rPr>
        <w:t xml:space="preserve"> </w:t>
      </w:r>
      <w:r w:rsidR="005E7191" w:rsidRPr="003527AA">
        <w:rPr>
          <w:color w:val="000000" w:themeColor="text1"/>
          <w:sz w:val="10"/>
          <w:vertAlign w:val="superscript"/>
        </w:rPr>
        <w:t>6</w:t>
      </w:r>
      <w:r w:rsidR="00D30AD7" w:rsidRPr="003527AA">
        <w:rPr>
          <w:color w:val="000000" w:themeColor="text1"/>
          <w:sz w:val="10"/>
        </w:rPr>
        <w:t xml:space="preserve"> </w:t>
      </w:r>
      <w:r w:rsidR="00755530" w:rsidRPr="003527AA">
        <w:rPr>
          <w:color w:val="000000" w:themeColor="text1"/>
          <w:sz w:val="10"/>
        </w:rPr>
        <w:t xml:space="preserve">Garnet, </w:t>
      </w:r>
      <w:proofErr w:type="spellStart"/>
      <w:r w:rsidR="00755530" w:rsidRPr="003527AA">
        <w:rPr>
          <w:color w:val="000000" w:themeColor="text1"/>
          <w:sz w:val="10"/>
        </w:rPr>
        <w:t>illmenite</w:t>
      </w:r>
      <w:proofErr w:type="spellEnd"/>
      <w:r w:rsidR="00755530" w:rsidRPr="003527AA">
        <w:rPr>
          <w:color w:val="000000" w:themeColor="text1"/>
          <w:sz w:val="10"/>
        </w:rPr>
        <w:t>, leucoxene, zircon and rutile.</w:t>
      </w:r>
      <w:r w:rsidR="00F122CB" w:rsidRPr="003527AA">
        <w:rPr>
          <w:color w:val="000000" w:themeColor="text1"/>
          <w:sz w:val="10"/>
        </w:rPr>
        <w:t xml:space="preserve"> </w:t>
      </w:r>
      <w:r w:rsidR="005E7191" w:rsidRPr="003527AA">
        <w:rPr>
          <w:color w:val="000000" w:themeColor="text1"/>
          <w:sz w:val="10"/>
          <w:vertAlign w:val="superscript"/>
        </w:rPr>
        <w:t>7</w:t>
      </w:r>
      <w:r w:rsidR="00B6311E" w:rsidRPr="003527AA">
        <w:rPr>
          <w:color w:val="000000" w:themeColor="text1"/>
          <w:sz w:val="10"/>
          <w:vertAlign w:val="superscript"/>
        </w:rPr>
        <w:t xml:space="preserve"> </w:t>
      </w:r>
      <w:r w:rsidR="00AC4205" w:rsidRPr="003527AA">
        <w:rPr>
          <w:color w:val="000000" w:themeColor="text1"/>
          <w:sz w:val="10"/>
        </w:rPr>
        <w:t>May include other precious metal ore</w:t>
      </w:r>
      <w:r w:rsidR="00126E26" w:rsidRPr="003527AA">
        <w:rPr>
          <w:color w:val="000000" w:themeColor="text1"/>
          <w:sz w:val="10"/>
        </w:rPr>
        <w:t>.</w:t>
      </w:r>
      <w:r w:rsidR="001D1C19" w:rsidRPr="003527AA">
        <w:rPr>
          <w:color w:val="000000" w:themeColor="text1"/>
          <w:sz w:val="10"/>
        </w:rPr>
        <w:t xml:space="preserve"> </w:t>
      </w:r>
      <w:r w:rsidR="00FD2E59" w:rsidRPr="003527AA">
        <w:rPr>
          <w:color w:val="000000" w:themeColor="text1"/>
          <w:sz w:val="10"/>
        </w:rPr>
        <w:t>(a) Mainland. (b) Special Administrative Region of China.</w:t>
      </w:r>
    </w:p>
    <w:p w14:paraId="7484C8D9" w14:textId="2E27195E" w:rsidR="00FD2E59" w:rsidRPr="00E106CB" w:rsidRDefault="00FD2E59" w:rsidP="00D87C08">
      <w:pPr>
        <w:spacing w:after="0"/>
        <w:rPr>
          <w:sz w:val="10"/>
        </w:rPr>
      </w:pPr>
      <w:r w:rsidRPr="003527AA">
        <w:rPr>
          <w:color w:val="000000" w:themeColor="text1"/>
          <w:sz w:val="10"/>
        </w:rPr>
        <w:t xml:space="preserve">Source: </w:t>
      </w:r>
      <w:r w:rsidR="00637898" w:rsidRPr="003527AA">
        <w:rPr>
          <w:color w:val="000000" w:themeColor="text1"/>
          <w:sz w:val="10"/>
        </w:rPr>
        <w:t xml:space="preserve">Based on data from </w:t>
      </w:r>
      <w:r w:rsidRPr="003527AA">
        <w:rPr>
          <w:color w:val="000000" w:themeColor="text1"/>
          <w:sz w:val="10"/>
        </w:rPr>
        <w:t xml:space="preserve">ABS 5368.0 International </w:t>
      </w:r>
      <w:r w:rsidRPr="00D401EE">
        <w:rPr>
          <w:sz w:val="10"/>
        </w:rPr>
        <w:t xml:space="preserve">Trade in Goods and Services, Australia (Monthly); </w:t>
      </w:r>
      <w:r>
        <w:rPr>
          <w:sz w:val="10"/>
        </w:rPr>
        <w:t xml:space="preserve">and </w:t>
      </w:r>
      <w:r w:rsidRPr="00FB67E3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(Bi-annual)</w:t>
      </w:r>
      <w:r w:rsidRPr="00716C34">
        <w:rPr>
          <w:sz w:val="10"/>
        </w:rPr>
        <w:t>.</w:t>
      </w:r>
    </w:p>
    <w:p w14:paraId="251A14AF" w14:textId="77777777" w:rsidR="00FD2E59" w:rsidRDefault="00FD2E59" w:rsidP="00FD2E59">
      <w:pPr>
        <w:jc w:val="both"/>
        <w:rPr>
          <w:sz w:val="16"/>
        </w:rPr>
        <w:sectPr w:rsidR="00FD2E59" w:rsidSect="00E106C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984E1F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1F9DF38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3" w:name="_SINGAPORE"/>
      <w:bookmarkEnd w:id="3"/>
      <w:r w:rsidRPr="00DD5DF4">
        <w:rPr>
          <w:b/>
          <w:color w:val="002060"/>
          <w:sz w:val="22"/>
        </w:rPr>
        <w:lastRenderedPageBreak/>
        <w:t>International trade</w:t>
      </w:r>
    </w:p>
    <w:p w14:paraId="39F526CF" w14:textId="70F1875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973005">
        <w:rPr>
          <w:b/>
          <w:color w:val="92278F" w:themeColor="accent1"/>
          <w:sz w:val="20"/>
        </w:rPr>
        <w:t>financial</w:t>
      </w:r>
      <w:r w:rsidRPr="000A7652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CDEA746" w14:textId="76CEA4ED" w:rsidR="00FD2E59" w:rsidRDefault="009D3B1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8BCBC0F" wp14:editId="799FD518">
            <wp:extent cx="3528000" cy="209709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0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D443" w14:textId="32DD0C90" w:rsidR="00FD2E59" w:rsidRPr="00A5645B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 xml:space="preserve">telecommunications, computer &amp; information; insurance &amp; pension; personal, cultural &amp; </w:t>
      </w:r>
      <w:r w:rsidRPr="00A5645B">
        <w:rPr>
          <w:sz w:val="10"/>
        </w:rPr>
        <w:t>recreational; professional &amp; management consulting; intellectual property charges; research &amp; development; and others.</w:t>
      </w:r>
    </w:p>
    <w:p w14:paraId="77B2F224" w14:textId="4BA8D69C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Source</w:t>
      </w:r>
      <w:r w:rsidRPr="000A7652">
        <w:rPr>
          <w:sz w:val="10"/>
        </w:rPr>
        <w:t xml:space="preserve">: </w:t>
      </w:r>
      <w:r w:rsidR="00637898" w:rsidRPr="000A7652">
        <w:rPr>
          <w:sz w:val="10"/>
        </w:rPr>
        <w:t xml:space="preserve">Based on data from </w:t>
      </w:r>
      <w:r w:rsidRPr="000A7652">
        <w:rPr>
          <w:sz w:val="10"/>
        </w:rPr>
        <w:t xml:space="preserve">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(Annual)</w:t>
      </w:r>
      <w:r w:rsidRPr="00B720D6">
        <w:rPr>
          <w:sz w:val="10"/>
        </w:rPr>
        <w:t>.</w:t>
      </w:r>
    </w:p>
    <w:p w14:paraId="519DD286" w14:textId="260699CB" w:rsidR="00FD2E59" w:rsidRDefault="00FD2E59" w:rsidP="00FD2E59">
      <w:pPr>
        <w:spacing w:after="0"/>
        <w:jc w:val="both"/>
        <w:rPr>
          <w:sz w:val="16"/>
        </w:rPr>
      </w:pPr>
    </w:p>
    <w:p w14:paraId="6646BB57" w14:textId="4DDD26A0" w:rsidR="00C263B0" w:rsidRDefault="00C263B0" w:rsidP="00FD2E59">
      <w:pPr>
        <w:spacing w:after="0"/>
        <w:jc w:val="both"/>
        <w:rPr>
          <w:sz w:val="16"/>
        </w:rPr>
      </w:pPr>
    </w:p>
    <w:p w14:paraId="2EA23F5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164AC39" w14:textId="77777777" w:rsidR="00FD2E59" w:rsidRDefault="00FD2E59" w:rsidP="00FD2E59">
      <w:pPr>
        <w:spacing w:after="0"/>
        <w:jc w:val="both"/>
        <w:rPr>
          <w:sz w:val="16"/>
        </w:rPr>
      </w:pPr>
    </w:p>
    <w:p w14:paraId="2E2FC25A" w14:textId="65AC9F76" w:rsidR="00FD2E59" w:rsidRPr="009A1E8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A1E87">
        <w:rPr>
          <w:sz w:val="16"/>
        </w:rPr>
        <w:t>W</w:t>
      </w:r>
      <w:r w:rsidR="00DC43ED" w:rsidRPr="009A1E87">
        <w:rPr>
          <w:sz w:val="16"/>
        </w:rPr>
        <w:t xml:space="preserve">estern Australia accounted for </w:t>
      </w:r>
      <w:r w:rsidR="008C7385" w:rsidRPr="009A1E87">
        <w:rPr>
          <w:sz w:val="16"/>
        </w:rPr>
        <w:t>6</w:t>
      </w:r>
      <w:r w:rsidR="00DC43ED" w:rsidRPr="009A1E87">
        <w:rPr>
          <w:sz w:val="16"/>
        </w:rPr>
        <w:t>.6</w:t>
      </w:r>
      <w:r w:rsidRPr="009A1E87">
        <w:rPr>
          <w:sz w:val="16"/>
        </w:rPr>
        <w:t>% of Aus</w:t>
      </w:r>
      <w:r w:rsidR="008C7385" w:rsidRPr="009A1E87">
        <w:rPr>
          <w:sz w:val="16"/>
        </w:rPr>
        <w:t xml:space="preserve">tralia’s services exports in </w:t>
      </w:r>
      <w:r w:rsidR="00F63AF9" w:rsidRPr="009A1E87">
        <w:rPr>
          <w:sz w:val="16"/>
        </w:rPr>
        <w:t>2021</w:t>
      </w:r>
      <w:r w:rsidR="004A7D80" w:rsidRPr="009A1E87">
        <w:rPr>
          <w:sz w:val="16"/>
        </w:rPr>
        <w:t>-22</w:t>
      </w:r>
      <w:r w:rsidR="00143E00" w:rsidRPr="009A1E87">
        <w:rPr>
          <w:sz w:val="16"/>
        </w:rPr>
        <w:t>.</w:t>
      </w:r>
    </w:p>
    <w:p w14:paraId="793FC0A5" w14:textId="217534BD" w:rsidR="00FD2E59" w:rsidRPr="009A1E8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A1E87">
        <w:rPr>
          <w:sz w:val="16"/>
        </w:rPr>
        <w:t>The value of Western Austra</w:t>
      </w:r>
      <w:r w:rsidR="00B079DB" w:rsidRPr="009A1E87">
        <w:rPr>
          <w:sz w:val="16"/>
        </w:rPr>
        <w:t xml:space="preserve">lia’s services exports fell </w:t>
      </w:r>
      <w:r w:rsidR="004A7D80" w:rsidRPr="009A1E87">
        <w:rPr>
          <w:sz w:val="16"/>
        </w:rPr>
        <w:t>2.0</w:t>
      </w:r>
      <w:r w:rsidR="00484B7C" w:rsidRPr="009A1E87">
        <w:rPr>
          <w:sz w:val="16"/>
        </w:rPr>
        <w:t>% to $</w:t>
      </w:r>
      <w:r w:rsidR="004A7D80" w:rsidRPr="009A1E87">
        <w:rPr>
          <w:sz w:val="16"/>
        </w:rPr>
        <w:t>4.0</w:t>
      </w:r>
      <w:r w:rsidR="00C263B0" w:rsidRPr="009A1E87">
        <w:rPr>
          <w:sz w:val="16"/>
        </w:rPr>
        <w:t> </w:t>
      </w:r>
      <w:r w:rsidR="008C7385" w:rsidRPr="009A1E87">
        <w:rPr>
          <w:sz w:val="16"/>
        </w:rPr>
        <w:t xml:space="preserve">billion in </w:t>
      </w:r>
      <w:r w:rsidR="00F63AF9" w:rsidRPr="009A1E87">
        <w:rPr>
          <w:sz w:val="16"/>
        </w:rPr>
        <w:t>2021</w:t>
      </w:r>
      <w:r w:rsidR="004A7D80" w:rsidRPr="009A1E87">
        <w:rPr>
          <w:sz w:val="16"/>
        </w:rPr>
        <w:t>-22</w:t>
      </w:r>
      <w:r w:rsidR="00F63AF9" w:rsidRPr="009A1E87">
        <w:rPr>
          <w:sz w:val="16"/>
        </w:rPr>
        <w:t>.</w:t>
      </w:r>
    </w:p>
    <w:p w14:paraId="1DCE84DC" w14:textId="6DEC0904" w:rsidR="00FD2E59" w:rsidRPr="009A1E8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A1E87">
        <w:rPr>
          <w:sz w:val="16"/>
        </w:rPr>
        <w:t>Western Australia’s real services exports fell</w:t>
      </w:r>
      <w:r w:rsidR="004A27B6" w:rsidRPr="009A1E87">
        <w:rPr>
          <w:sz w:val="16"/>
        </w:rPr>
        <w:t xml:space="preserve"> </w:t>
      </w:r>
      <w:r w:rsidR="004A7D80" w:rsidRPr="009A1E87">
        <w:rPr>
          <w:sz w:val="16"/>
        </w:rPr>
        <w:t>4.4</w:t>
      </w:r>
      <w:r w:rsidR="003D396E" w:rsidRPr="009A1E87">
        <w:rPr>
          <w:sz w:val="16"/>
        </w:rPr>
        <w:t>% in 20</w:t>
      </w:r>
      <w:r w:rsidR="00CA5FF1" w:rsidRPr="009A1E87">
        <w:rPr>
          <w:sz w:val="16"/>
        </w:rPr>
        <w:t>21</w:t>
      </w:r>
      <w:r w:rsidR="004A7D80" w:rsidRPr="009A1E87">
        <w:rPr>
          <w:sz w:val="16"/>
        </w:rPr>
        <w:noBreakHyphen/>
        <w:t>22</w:t>
      </w:r>
      <w:r w:rsidR="00427E1A" w:rsidRPr="009A1E87">
        <w:rPr>
          <w:sz w:val="16"/>
        </w:rPr>
        <w:t>.</w:t>
      </w:r>
    </w:p>
    <w:p w14:paraId="16CBBCC6" w14:textId="2A3F2530" w:rsidR="00FD2E59" w:rsidRPr="009A1E8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A1E87">
        <w:rPr>
          <w:sz w:val="16"/>
        </w:rPr>
        <w:t>Western Australia’s travel and tran</w:t>
      </w:r>
      <w:r w:rsidR="00366E8A" w:rsidRPr="009A1E87">
        <w:rPr>
          <w:sz w:val="16"/>
        </w:rPr>
        <w:t xml:space="preserve">sport services exports fell </w:t>
      </w:r>
      <w:r w:rsidR="00093318" w:rsidRPr="009A1E87">
        <w:rPr>
          <w:sz w:val="16"/>
        </w:rPr>
        <w:t>10.8</w:t>
      </w:r>
      <w:r w:rsidR="00366E8A" w:rsidRPr="009A1E87">
        <w:rPr>
          <w:sz w:val="16"/>
        </w:rPr>
        <w:t>% to $</w:t>
      </w:r>
      <w:r w:rsidR="00093318" w:rsidRPr="009A1E87">
        <w:rPr>
          <w:sz w:val="16"/>
        </w:rPr>
        <w:t>2.0</w:t>
      </w:r>
      <w:r w:rsidR="00C263B0" w:rsidRPr="009A1E87">
        <w:rPr>
          <w:sz w:val="16"/>
        </w:rPr>
        <w:t> </w:t>
      </w:r>
      <w:r w:rsidRPr="009A1E87">
        <w:rPr>
          <w:sz w:val="16"/>
        </w:rPr>
        <w:t xml:space="preserve">billion in </w:t>
      </w:r>
      <w:r w:rsidR="00F5704D" w:rsidRPr="009A1E87">
        <w:rPr>
          <w:sz w:val="16"/>
        </w:rPr>
        <w:t>2021</w:t>
      </w:r>
      <w:r w:rsidR="009D3B14" w:rsidRPr="009A1E87">
        <w:rPr>
          <w:sz w:val="16"/>
        </w:rPr>
        <w:noBreakHyphen/>
      </w:r>
      <w:r w:rsidR="00093318" w:rsidRPr="009A1E87">
        <w:rPr>
          <w:sz w:val="16"/>
        </w:rPr>
        <w:t>22</w:t>
      </w:r>
      <w:r w:rsidRPr="009A1E87">
        <w:rPr>
          <w:sz w:val="16"/>
        </w:rPr>
        <w:t>, with</w:t>
      </w:r>
      <w:r w:rsidR="00C263B0" w:rsidRPr="009A1E87">
        <w:rPr>
          <w:sz w:val="16"/>
        </w:rPr>
        <w:t xml:space="preserve"> exports of</w:t>
      </w:r>
      <w:r w:rsidRPr="009A1E87">
        <w:rPr>
          <w:sz w:val="16"/>
        </w:rPr>
        <w:t>:</w:t>
      </w:r>
    </w:p>
    <w:p w14:paraId="574F2719" w14:textId="4B4E16C0" w:rsidR="00FD2E59" w:rsidRPr="009A1E87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A1E87">
        <w:rPr>
          <w:sz w:val="16"/>
        </w:rPr>
        <w:t>e</w:t>
      </w:r>
      <w:r w:rsidR="0008361E" w:rsidRPr="009A1E87">
        <w:rPr>
          <w:sz w:val="16"/>
        </w:rPr>
        <w:t xml:space="preserve">ducation travel down </w:t>
      </w:r>
      <w:r w:rsidR="00093318" w:rsidRPr="009A1E87">
        <w:rPr>
          <w:sz w:val="16"/>
        </w:rPr>
        <w:t>$429</w:t>
      </w:r>
      <w:r w:rsidR="0008361E" w:rsidRPr="009A1E87">
        <w:rPr>
          <w:sz w:val="16"/>
        </w:rPr>
        <w:t> </w:t>
      </w:r>
      <w:r w:rsidR="00093318" w:rsidRPr="009A1E87">
        <w:rPr>
          <w:sz w:val="16"/>
        </w:rPr>
        <w:t>million (26%) to $1.2</w:t>
      </w:r>
      <w:r w:rsidR="00FD2E59" w:rsidRPr="009A1E87">
        <w:rPr>
          <w:sz w:val="16"/>
        </w:rPr>
        <w:t> billion</w:t>
      </w:r>
    </w:p>
    <w:p w14:paraId="467BE0D5" w14:textId="0DCBA3A9" w:rsidR="00093318" w:rsidRPr="009A1E87" w:rsidRDefault="00093318" w:rsidP="0009331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A1E87">
        <w:rPr>
          <w:sz w:val="16"/>
        </w:rPr>
        <w:t>personal travel up $155 million (574%) to $182 million</w:t>
      </w:r>
    </w:p>
    <w:p w14:paraId="129BD814" w14:textId="0AEA908A" w:rsidR="00FD2E59" w:rsidRPr="009A1E87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A1E87">
        <w:rPr>
          <w:sz w:val="16"/>
        </w:rPr>
        <w:t>t</w:t>
      </w:r>
      <w:r w:rsidR="00093318" w:rsidRPr="009A1E87">
        <w:rPr>
          <w:sz w:val="16"/>
        </w:rPr>
        <w:t>ransport up</w:t>
      </w:r>
      <w:r w:rsidR="00FD2E59" w:rsidRPr="009A1E87">
        <w:rPr>
          <w:sz w:val="16"/>
        </w:rPr>
        <w:t xml:space="preserve"> $</w:t>
      </w:r>
      <w:r w:rsidR="00C41A4D" w:rsidRPr="009A1E87">
        <w:rPr>
          <w:sz w:val="16"/>
        </w:rPr>
        <w:t>16</w:t>
      </w:r>
      <w:r w:rsidR="0008361E" w:rsidRPr="009A1E87">
        <w:rPr>
          <w:sz w:val="16"/>
        </w:rPr>
        <w:t> </w:t>
      </w:r>
      <w:r w:rsidR="00C41A4D" w:rsidRPr="009A1E87">
        <w:rPr>
          <w:sz w:val="16"/>
        </w:rPr>
        <w:t>million (2.8%) to $589</w:t>
      </w:r>
      <w:r w:rsidR="00FD2E59" w:rsidRPr="009A1E87">
        <w:rPr>
          <w:sz w:val="16"/>
        </w:rPr>
        <w:t> million</w:t>
      </w:r>
    </w:p>
    <w:p w14:paraId="7FBD439D" w14:textId="5852510D" w:rsidR="00FD2E59" w:rsidRPr="009A1E87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9A1E87">
        <w:rPr>
          <w:sz w:val="16"/>
        </w:rPr>
        <w:t>b</w:t>
      </w:r>
      <w:r w:rsidR="00C41A4D" w:rsidRPr="009A1E87">
        <w:rPr>
          <w:sz w:val="16"/>
        </w:rPr>
        <w:t>usiness</w:t>
      </w:r>
      <w:proofErr w:type="gramEnd"/>
      <w:r w:rsidR="00C41A4D" w:rsidRPr="009A1E87">
        <w:rPr>
          <w:sz w:val="16"/>
        </w:rPr>
        <w:t xml:space="preserve"> travel up</w:t>
      </w:r>
      <w:r w:rsidR="0008361E" w:rsidRPr="009A1E87">
        <w:rPr>
          <w:sz w:val="16"/>
        </w:rPr>
        <w:t xml:space="preserve"> </w:t>
      </w:r>
      <w:r w:rsidR="00C41A4D" w:rsidRPr="009A1E87">
        <w:rPr>
          <w:sz w:val="16"/>
        </w:rPr>
        <w:t>$14</w:t>
      </w:r>
      <w:r w:rsidR="0008361E" w:rsidRPr="009A1E87">
        <w:rPr>
          <w:sz w:val="16"/>
        </w:rPr>
        <w:t> </w:t>
      </w:r>
      <w:r w:rsidR="00C41A4D" w:rsidRPr="009A1E87">
        <w:rPr>
          <w:sz w:val="16"/>
        </w:rPr>
        <w:t>million (6</w:t>
      </w:r>
      <w:r w:rsidR="009D3B14" w:rsidRPr="009A1E87">
        <w:rPr>
          <w:sz w:val="16"/>
        </w:rPr>
        <w:t>1</w:t>
      </w:r>
      <w:r w:rsidR="00C41A4D" w:rsidRPr="009A1E87">
        <w:rPr>
          <w:sz w:val="16"/>
        </w:rPr>
        <w:t>%) to $37</w:t>
      </w:r>
      <w:r w:rsidR="00FD2E59" w:rsidRPr="009A1E87">
        <w:rPr>
          <w:sz w:val="16"/>
        </w:rPr>
        <w:t> million.</w:t>
      </w:r>
    </w:p>
    <w:p w14:paraId="1AD7E1C3" w14:textId="1AEE4745" w:rsidR="00FD2E59" w:rsidRPr="009A1E8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A1E87">
        <w:rPr>
          <w:sz w:val="16"/>
        </w:rPr>
        <w:t xml:space="preserve">Western Australia’s business and other services exports </w:t>
      </w:r>
      <w:r w:rsidR="00244731" w:rsidRPr="009A1E87">
        <w:rPr>
          <w:sz w:val="16"/>
        </w:rPr>
        <w:t>rose</w:t>
      </w:r>
      <w:r w:rsidRPr="009A1E87">
        <w:rPr>
          <w:sz w:val="16"/>
        </w:rPr>
        <w:t xml:space="preserve"> </w:t>
      </w:r>
      <w:r w:rsidR="00571EF9" w:rsidRPr="009A1E87">
        <w:rPr>
          <w:sz w:val="16"/>
        </w:rPr>
        <w:t>8.9</w:t>
      </w:r>
      <w:r w:rsidR="00244731" w:rsidRPr="009A1E87">
        <w:rPr>
          <w:sz w:val="16"/>
        </w:rPr>
        <w:t>% to $2.0</w:t>
      </w:r>
      <w:r w:rsidR="0008361E" w:rsidRPr="009A1E87">
        <w:rPr>
          <w:sz w:val="16"/>
        </w:rPr>
        <w:t> </w:t>
      </w:r>
      <w:r w:rsidRPr="009A1E87">
        <w:rPr>
          <w:sz w:val="16"/>
        </w:rPr>
        <w:t xml:space="preserve">billion in </w:t>
      </w:r>
      <w:r w:rsidR="00F5704D" w:rsidRPr="009A1E87">
        <w:rPr>
          <w:sz w:val="16"/>
        </w:rPr>
        <w:t>2021</w:t>
      </w:r>
      <w:r w:rsidR="00571EF9" w:rsidRPr="009A1E87">
        <w:rPr>
          <w:sz w:val="16"/>
        </w:rPr>
        <w:t>-22</w:t>
      </w:r>
      <w:r w:rsidRPr="009A1E87">
        <w:rPr>
          <w:sz w:val="16"/>
        </w:rPr>
        <w:t>, with</w:t>
      </w:r>
      <w:r w:rsidR="00C263B0" w:rsidRPr="009A1E87">
        <w:rPr>
          <w:sz w:val="16"/>
        </w:rPr>
        <w:t xml:space="preserve"> exports of</w:t>
      </w:r>
      <w:r w:rsidRPr="009A1E87">
        <w:rPr>
          <w:sz w:val="16"/>
        </w:rPr>
        <w:t>:</w:t>
      </w:r>
    </w:p>
    <w:p w14:paraId="36A5C374" w14:textId="68FC4493" w:rsidR="009805A4" w:rsidRPr="009A1E87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A1E87">
        <w:rPr>
          <w:sz w:val="16"/>
        </w:rPr>
        <w:t>i</w:t>
      </w:r>
      <w:r w:rsidR="009805A4" w:rsidRPr="009A1E87">
        <w:rPr>
          <w:sz w:val="16"/>
        </w:rPr>
        <w:t>nsurance and pension</w:t>
      </w:r>
      <w:r w:rsidR="0003451F" w:rsidRPr="009A1E87">
        <w:rPr>
          <w:sz w:val="16"/>
        </w:rPr>
        <w:t xml:space="preserve"> services</w:t>
      </w:r>
      <w:r w:rsidR="00571EF9" w:rsidRPr="009A1E87">
        <w:rPr>
          <w:sz w:val="16"/>
        </w:rPr>
        <w:t xml:space="preserve"> up $7</w:t>
      </w:r>
      <w:r w:rsidR="009805A4" w:rsidRPr="009A1E87">
        <w:rPr>
          <w:sz w:val="16"/>
        </w:rPr>
        <w:t>4</w:t>
      </w:r>
      <w:r w:rsidR="00571EF9" w:rsidRPr="009A1E87">
        <w:rPr>
          <w:sz w:val="16"/>
        </w:rPr>
        <w:t> million (4</w:t>
      </w:r>
      <w:r w:rsidR="009D3B14" w:rsidRPr="009A1E87">
        <w:rPr>
          <w:sz w:val="16"/>
        </w:rPr>
        <w:t>3</w:t>
      </w:r>
      <w:r w:rsidR="00571EF9" w:rsidRPr="009A1E87">
        <w:rPr>
          <w:sz w:val="16"/>
        </w:rPr>
        <w:t>%) to $248</w:t>
      </w:r>
      <w:r w:rsidR="00C263B0" w:rsidRPr="009A1E87">
        <w:rPr>
          <w:sz w:val="16"/>
        </w:rPr>
        <w:t> </w:t>
      </w:r>
      <w:r w:rsidR="00571EF9" w:rsidRPr="009A1E87">
        <w:rPr>
          <w:sz w:val="16"/>
        </w:rPr>
        <w:t>million</w:t>
      </w:r>
    </w:p>
    <w:p w14:paraId="19F8A43E" w14:textId="30DFA7FA" w:rsidR="00C263B0" w:rsidRPr="009A1E87" w:rsidRDefault="00571EF9" w:rsidP="00571EF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9A1E87">
        <w:rPr>
          <w:sz w:val="16"/>
        </w:rPr>
        <w:t>telecommunications</w:t>
      </w:r>
      <w:proofErr w:type="gramEnd"/>
      <w:r w:rsidRPr="009A1E87">
        <w:rPr>
          <w:sz w:val="16"/>
        </w:rPr>
        <w:t>, computer and information</w:t>
      </w:r>
      <w:r w:rsidR="0003451F" w:rsidRPr="009A1E87">
        <w:rPr>
          <w:sz w:val="16"/>
        </w:rPr>
        <w:t xml:space="preserve"> services</w:t>
      </w:r>
      <w:r w:rsidR="00FD2E59" w:rsidRPr="009A1E87">
        <w:rPr>
          <w:sz w:val="16"/>
        </w:rPr>
        <w:t xml:space="preserve"> </w:t>
      </w:r>
      <w:r w:rsidR="006C5409" w:rsidRPr="009A1E87">
        <w:rPr>
          <w:sz w:val="16"/>
        </w:rPr>
        <w:t>up</w:t>
      </w:r>
      <w:r w:rsidR="0008361E" w:rsidRPr="009A1E87">
        <w:rPr>
          <w:sz w:val="16"/>
        </w:rPr>
        <w:t xml:space="preserve"> </w:t>
      </w:r>
      <w:r w:rsidRPr="009A1E87">
        <w:rPr>
          <w:sz w:val="16"/>
        </w:rPr>
        <w:t>$61</w:t>
      </w:r>
      <w:r w:rsidR="0008361E" w:rsidRPr="009A1E87">
        <w:rPr>
          <w:sz w:val="16"/>
        </w:rPr>
        <w:t> </w:t>
      </w:r>
      <w:r w:rsidR="008443C8" w:rsidRPr="009A1E87">
        <w:rPr>
          <w:sz w:val="16"/>
        </w:rPr>
        <w:t>million (</w:t>
      </w:r>
      <w:r w:rsidRPr="009A1E87">
        <w:rPr>
          <w:sz w:val="16"/>
        </w:rPr>
        <w:t>24</w:t>
      </w:r>
      <w:r w:rsidR="008443C8" w:rsidRPr="009A1E87">
        <w:rPr>
          <w:sz w:val="16"/>
        </w:rPr>
        <w:t>%) to $</w:t>
      </w:r>
      <w:r w:rsidRPr="009A1E87">
        <w:rPr>
          <w:sz w:val="16"/>
        </w:rPr>
        <w:t>315</w:t>
      </w:r>
      <w:r w:rsidR="0008361E" w:rsidRPr="009A1E87">
        <w:rPr>
          <w:sz w:val="16"/>
        </w:rPr>
        <w:t> </w:t>
      </w:r>
      <w:r w:rsidR="00FD2E59" w:rsidRPr="009A1E87">
        <w:rPr>
          <w:sz w:val="16"/>
        </w:rPr>
        <w:t>million.</w:t>
      </w:r>
    </w:p>
    <w:p w14:paraId="7A71B83A" w14:textId="5B60CA32" w:rsidR="00C263B0" w:rsidRPr="00C263B0" w:rsidRDefault="00C263B0" w:rsidP="00C263B0">
      <w:pPr>
        <w:pStyle w:val="BodyText"/>
        <w:spacing w:after="0"/>
        <w:ind w:left="851"/>
        <w:jc w:val="both"/>
        <w:rPr>
          <w:color w:val="0070C0"/>
          <w:sz w:val="16"/>
        </w:rPr>
        <w:sectPr w:rsidR="00C263B0" w:rsidRPr="00C263B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1DAC81B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overnight visitor spend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413B743F" w14:textId="5D8621DA" w:rsidR="00FD2E59" w:rsidRPr="00391DDA" w:rsidRDefault="0019392F" w:rsidP="00FD2E59">
      <w:pPr>
        <w:pStyle w:val="BodyText"/>
        <w:spacing w:after="0"/>
        <w:rPr>
          <w:b/>
          <w:color w:val="92278F" w:themeColor="accent1"/>
          <w:sz w:val="20"/>
        </w:rPr>
      </w:pPr>
      <w:proofErr w:type="gramStart"/>
      <w:r w:rsidRPr="00A5645B">
        <w:rPr>
          <w:b/>
          <w:color w:val="92278F" w:themeColor="accent1"/>
          <w:sz w:val="20"/>
        </w:rPr>
        <w:t>financial</w:t>
      </w:r>
      <w:proofErr w:type="gramEnd"/>
      <w:r w:rsidRPr="00A5645B">
        <w:rPr>
          <w:b/>
          <w:color w:val="92278F" w:themeColor="accent1"/>
          <w:sz w:val="20"/>
        </w:rPr>
        <w:t xml:space="preserve"> </w:t>
      </w:r>
      <w:r w:rsidR="00FD2E59" w:rsidRPr="00391DDA">
        <w:rPr>
          <w:b/>
          <w:color w:val="92278F" w:themeColor="accent1"/>
          <w:sz w:val="20"/>
        </w:rPr>
        <w:t>years</w:t>
      </w:r>
    </w:p>
    <w:p w14:paraId="20E776D3" w14:textId="2CA61BF3" w:rsidR="00FD2E59" w:rsidRPr="009D3B14" w:rsidRDefault="009D3B14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B46BC11" wp14:editId="2D1C17E4">
            <wp:extent cx="3528000" cy="2103405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304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5036F36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514046">
        <w:rPr>
          <w:sz w:val="10"/>
        </w:rPr>
        <w:t>Tourism Research Australia, International and National Visitor Surveys</w:t>
      </w:r>
      <w:r>
        <w:rPr>
          <w:sz w:val="10"/>
        </w:rPr>
        <w:t xml:space="preserve"> (Quarterly)</w:t>
      </w:r>
      <w:r w:rsidRPr="00B720D6">
        <w:rPr>
          <w:sz w:val="10"/>
        </w:rPr>
        <w:t>.</w:t>
      </w:r>
    </w:p>
    <w:p w14:paraId="67248790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F7194A6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43608F61" w14:textId="34C04610" w:rsidR="00FD2E59" w:rsidRPr="00192928" w:rsidRDefault="00FD2E59" w:rsidP="00FD2E59">
      <w:pPr>
        <w:pStyle w:val="BodyText"/>
        <w:numPr>
          <w:ilvl w:val="0"/>
          <w:numId w:val="9"/>
        </w:numPr>
        <w:spacing w:before="240" w:after="0"/>
        <w:jc w:val="both"/>
        <w:rPr>
          <w:sz w:val="16"/>
        </w:rPr>
      </w:pPr>
      <w:r>
        <w:rPr>
          <w:sz w:val="16"/>
        </w:rPr>
        <w:br w:type="column"/>
      </w:r>
      <w:r w:rsidRPr="00192928">
        <w:rPr>
          <w:sz w:val="16"/>
        </w:rPr>
        <w:t xml:space="preserve">The tourism industry </w:t>
      </w:r>
      <w:r w:rsidR="00BC5000" w:rsidRPr="00192928">
        <w:rPr>
          <w:sz w:val="16"/>
        </w:rPr>
        <w:t xml:space="preserve">(including net taxes) </w:t>
      </w:r>
      <w:r w:rsidR="00C76565" w:rsidRPr="00192928">
        <w:rPr>
          <w:sz w:val="16"/>
        </w:rPr>
        <w:t>accounted for 1.0</w:t>
      </w:r>
      <w:r w:rsidR="002D613A" w:rsidRPr="00192928">
        <w:rPr>
          <w:sz w:val="16"/>
        </w:rPr>
        <w:t>% ($3.2</w:t>
      </w:r>
      <w:r w:rsidR="009504CB" w:rsidRPr="00192928">
        <w:rPr>
          <w:sz w:val="16"/>
        </w:rPr>
        <w:t> </w:t>
      </w:r>
      <w:r w:rsidRPr="00192928">
        <w:rPr>
          <w:sz w:val="16"/>
        </w:rPr>
        <w:t>billion) of Western Australia’s GSP</w:t>
      </w:r>
      <w:r w:rsidR="00BC5000" w:rsidRPr="00192928">
        <w:rPr>
          <w:sz w:val="16"/>
        </w:rPr>
        <w:t xml:space="preserve"> </w:t>
      </w:r>
      <w:r w:rsidR="002D613A" w:rsidRPr="00192928">
        <w:rPr>
          <w:sz w:val="16"/>
        </w:rPr>
        <w:t>and 4.1% (56,300</w:t>
      </w:r>
      <w:r w:rsidRPr="00192928">
        <w:rPr>
          <w:sz w:val="16"/>
        </w:rPr>
        <w:t xml:space="preserve">) of </w:t>
      </w:r>
      <w:r w:rsidR="0008361E" w:rsidRPr="00192928">
        <w:rPr>
          <w:sz w:val="16"/>
        </w:rPr>
        <w:t xml:space="preserve">Western Australia’s </w:t>
      </w:r>
      <w:r w:rsidR="00C76565" w:rsidRPr="00192928">
        <w:rPr>
          <w:sz w:val="16"/>
        </w:rPr>
        <w:t>employment in 2020</w:t>
      </w:r>
      <w:r w:rsidR="0018167A">
        <w:rPr>
          <w:sz w:val="16"/>
        </w:rPr>
        <w:noBreakHyphen/>
      </w:r>
      <w:r w:rsidR="00C76565" w:rsidRPr="00192928">
        <w:rPr>
          <w:sz w:val="16"/>
        </w:rPr>
        <w:t>21</w:t>
      </w:r>
      <w:r w:rsidRPr="00192928">
        <w:rPr>
          <w:sz w:val="16"/>
        </w:rPr>
        <w:t>.</w:t>
      </w:r>
    </w:p>
    <w:p w14:paraId="6399EBA5" w14:textId="36B42FC4" w:rsidR="00FD2E59" w:rsidRPr="00A5645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5645B">
        <w:rPr>
          <w:sz w:val="16"/>
        </w:rPr>
        <w:t>Tourists</w:t>
      </w:r>
      <w:r w:rsidR="00E246D0" w:rsidRPr="00A5645B">
        <w:rPr>
          <w:sz w:val="16"/>
        </w:rPr>
        <w:t xml:space="preserve"> in Western Australia spent $</w:t>
      </w:r>
      <w:r w:rsidR="009504CB" w:rsidRPr="00A5645B">
        <w:rPr>
          <w:sz w:val="16"/>
        </w:rPr>
        <w:t>1</w:t>
      </w:r>
      <w:r w:rsidR="00A3772C" w:rsidRPr="00A5645B">
        <w:rPr>
          <w:sz w:val="16"/>
        </w:rPr>
        <w:t>1</w:t>
      </w:r>
      <w:r w:rsidR="009504CB" w:rsidRPr="00A5645B">
        <w:rPr>
          <w:sz w:val="16"/>
        </w:rPr>
        <w:t>.</w:t>
      </w:r>
      <w:r w:rsidR="00A3772C" w:rsidRPr="00A5645B">
        <w:rPr>
          <w:sz w:val="16"/>
        </w:rPr>
        <w:t>2</w:t>
      </w:r>
      <w:r w:rsidR="009504CB" w:rsidRPr="00A5645B">
        <w:rPr>
          <w:sz w:val="16"/>
        </w:rPr>
        <w:t> </w:t>
      </w:r>
      <w:r w:rsidR="00A95C99" w:rsidRPr="00A5645B">
        <w:rPr>
          <w:sz w:val="16"/>
        </w:rPr>
        <w:t>billion in 2021</w:t>
      </w:r>
      <w:r w:rsidR="00A3772C" w:rsidRPr="00A5645B">
        <w:rPr>
          <w:sz w:val="16"/>
        </w:rPr>
        <w:t>-22</w:t>
      </w:r>
      <w:r w:rsidR="00A95C99" w:rsidRPr="00A5645B">
        <w:rPr>
          <w:sz w:val="16"/>
        </w:rPr>
        <w:t xml:space="preserve">, </w:t>
      </w:r>
      <w:r w:rsidR="00A3772C" w:rsidRPr="00A5645B">
        <w:rPr>
          <w:sz w:val="16"/>
        </w:rPr>
        <w:t>16.3</w:t>
      </w:r>
      <w:r w:rsidR="00A95C99" w:rsidRPr="00A5645B">
        <w:rPr>
          <w:sz w:val="16"/>
        </w:rPr>
        <w:t>% ($1.6 b</w:t>
      </w:r>
      <w:r w:rsidRPr="00A5645B">
        <w:rPr>
          <w:sz w:val="16"/>
        </w:rPr>
        <w:t xml:space="preserve">illion) </w:t>
      </w:r>
      <w:r w:rsidR="00A95C99" w:rsidRPr="00A5645B">
        <w:rPr>
          <w:sz w:val="16"/>
        </w:rPr>
        <w:t>more than in 20</w:t>
      </w:r>
      <w:r w:rsidR="00E246D0" w:rsidRPr="00A5645B">
        <w:rPr>
          <w:sz w:val="16"/>
        </w:rPr>
        <w:t>20</w:t>
      </w:r>
      <w:r w:rsidR="00A3772C" w:rsidRPr="00A5645B">
        <w:rPr>
          <w:sz w:val="16"/>
        </w:rPr>
        <w:t>-21</w:t>
      </w:r>
      <w:r w:rsidRPr="00A5645B">
        <w:rPr>
          <w:sz w:val="16"/>
        </w:rPr>
        <w:t>.</w:t>
      </w:r>
    </w:p>
    <w:p w14:paraId="22F212DA" w14:textId="39994B85" w:rsidR="00FD2E59" w:rsidRPr="00A5645B" w:rsidRDefault="00A95C9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5645B">
        <w:rPr>
          <w:sz w:val="16"/>
        </w:rPr>
        <w:t>In 20</w:t>
      </w:r>
      <w:r w:rsidR="00E246D0" w:rsidRPr="00A5645B">
        <w:rPr>
          <w:sz w:val="16"/>
        </w:rPr>
        <w:t>21</w:t>
      </w:r>
      <w:r w:rsidR="00A3772C" w:rsidRPr="00A5645B">
        <w:rPr>
          <w:sz w:val="16"/>
        </w:rPr>
        <w:t>-22</w:t>
      </w:r>
      <w:r w:rsidR="00FD2E59" w:rsidRPr="00A5645B">
        <w:rPr>
          <w:sz w:val="16"/>
        </w:rPr>
        <w:t xml:space="preserve">, spending </w:t>
      </w:r>
      <w:r w:rsidR="009504CB" w:rsidRPr="00A5645B">
        <w:rPr>
          <w:sz w:val="16"/>
        </w:rPr>
        <w:t xml:space="preserve">in Western Australia </w:t>
      </w:r>
      <w:r w:rsidR="00FD2E59" w:rsidRPr="00A5645B">
        <w:rPr>
          <w:sz w:val="16"/>
        </w:rPr>
        <w:t>by:</w:t>
      </w:r>
      <w:r w:rsidR="003640F1" w:rsidRPr="00A5645B">
        <w:rPr>
          <w:sz w:val="16"/>
        </w:rPr>
        <w:t xml:space="preserve"> </w:t>
      </w:r>
    </w:p>
    <w:p w14:paraId="2ED82EB3" w14:textId="41F61F9A" w:rsidR="0008361E" w:rsidRPr="00A5645B" w:rsidRDefault="0002121D" w:rsidP="0008361E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i</w:t>
      </w:r>
      <w:r w:rsidR="0008361E" w:rsidRPr="00A5645B">
        <w:rPr>
          <w:sz w:val="16"/>
        </w:rPr>
        <w:t xml:space="preserve">ntrastate (overnight) visitors rose </w:t>
      </w:r>
      <w:r w:rsidR="00A3772C" w:rsidRPr="00A5645B">
        <w:rPr>
          <w:sz w:val="16"/>
        </w:rPr>
        <w:t>13.5</w:t>
      </w:r>
      <w:r w:rsidR="0008361E" w:rsidRPr="00A5645B">
        <w:rPr>
          <w:sz w:val="16"/>
        </w:rPr>
        <w:t>% to $7.</w:t>
      </w:r>
      <w:r w:rsidR="00A3772C" w:rsidRPr="00A5645B">
        <w:rPr>
          <w:sz w:val="16"/>
        </w:rPr>
        <w:t>3</w:t>
      </w:r>
      <w:r w:rsidR="0008361E" w:rsidRPr="00A5645B">
        <w:rPr>
          <w:sz w:val="16"/>
        </w:rPr>
        <w:t> billion</w:t>
      </w:r>
    </w:p>
    <w:p w14:paraId="52F34071" w14:textId="0E07B77A" w:rsidR="00C57E69" w:rsidRPr="00A5645B" w:rsidRDefault="0002121D" w:rsidP="00A3772C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i</w:t>
      </w:r>
      <w:r w:rsidR="00A3772C" w:rsidRPr="00A5645B">
        <w:rPr>
          <w:sz w:val="16"/>
        </w:rPr>
        <w:t xml:space="preserve">nternational visitors rose </w:t>
      </w:r>
      <w:r w:rsidR="00866C45" w:rsidRPr="00A5645B">
        <w:rPr>
          <w:sz w:val="16"/>
        </w:rPr>
        <w:t>from $</w:t>
      </w:r>
      <w:r w:rsidR="00D769AF" w:rsidRPr="00A5645B">
        <w:rPr>
          <w:sz w:val="16"/>
        </w:rPr>
        <w:t>63</w:t>
      </w:r>
      <w:r w:rsidR="00866C45" w:rsidRPr="00A5645B">
        <w:rPr>
          <w:sz w:val="16"/>
        </w:rPr>
        <w:t xml:space="preserve"> </w:t>
      </w:r>
      <w:r w:rsidR="00D769AF" w:rsidRPr="00A5645B">
        <w:rPr>
          <w:sz w:val="16"/>
        </w:rPr>
        <w:t>m</w:t>
      </w:r>
      <w:r w:rsidR="00866C45" w:rsidRPr="00A5645B">
        <w:rPr>
          <w:sz w:val="16"/>
        </w:rPr>
        <w:t xml:space="preserve">illion </w:t>
      </w:r>
      <w:r w:rsidR="00A3772C" w:rsidRPr="00A5645B">
        <w:rPr>
          <w:sz w:val="16"/>
        </w:rPr>
        <w:t>to $</w:t>
      </w:r>
      <w:r w:rsidR="00D769AF" w:rsidRPr="00A5645B">
        <w:rPr>
          <w:sz w:val="16"/>
        </w:rPr>
        <w:t>467</w:t>
      </w:r>
      <w:r w:rsidR="00A3772C" w:rsidRPr="00A5645B">
        <w:rPr>
          <w:sz w:val="16"/>
        </w:rPr>
        <w:t> </w:t>
      </w:r>
      <w:r w:rsidR="00D769AF" w:rsidRPr="00A5645B">
        <w:rPr>
          <w:sz w:val="16"/>
        </w:rPr>
        <w:t>m</w:t>
      </w:r>
      <w:r w:rsidR="00A3772C" w:rsidRPr="00A5645B">
        <w:rPr>
          <w:sz w:val="16"/>
        </w:rPr>
        <w:t>illion</w:t>
      </w:r>
    </w:p>
    <w:p w14:paraId="5BF0017D" w14:textId="15F0036A" w:rsidR="00A3772C" w:rsidRPr="00A5645B" w:rsidRDefault="0002121D" w:rsidP="00A3772C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i</w:t>
      </w:r>
      <w:r w:rsidR="00A3772C" w:rsidRPr="00A5645B">
        <w:rPr>
          <w:sz w:val="16"/>
        </w:rPr>
        <w:t>nterstate visitors rose 29.3% to $1.1 billion</w:t>
      </w:r>
    </w:p>
    <w:p w14:paraId="1A891729" w14:textId="2EF7FE59" w:rsidR="0008361E" w:rsidRPr="00A5645B" w:rsidRDefault="0002121D" w:rsidP="0008361E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i</w:t>
      </w:r>
      <w:r w:rsidR="0008361E" w:rsidRPr="00A5645B">
        <w:rPr>
          <w:sz w:val="16"/>
        </w:rPr>
        <w:t>ntrastate</w:t>
      </w:r>
      <w:proofErr w:type="gramEnd"/>
      <w:r w:rsidR="0008361E" w:rsidRPr="00A5645B">
        <w:rPr>
          <w:sz w:val="16"/>
        </w:rPr>
        <w:t xml:space="preserve"> (daytrips) visitors </w:t>
      </w:r>
      <w:r w:rsidR="00A3772C" w:rsidRPr="00A5645B">
        <w:rPr>
          <w:sz w:val="16"/>
        </w:rPr>
        <w:t>rose 1.3</w:t>
      </w:r>
      <w:r w:rsidR="0008361E" w:rsidRPr="00A5645B">
        <w:rPr>
          <w:sz w:val="16"/>
        </w:rPr>
        <w:t>% to $2.</w:t>
      </w:r>
      <w:r w:rsidR="00A3772C" w:rsidRPr="00A5645B">
        <w:rPr>
          <w:sz w:val="16"/>
        </w:rPr>
        <w:t>2</w:t>
      </w:r>
      <w:r w:rsidR="0008361E" w:rsidRPr="00A5645B">
        <w:rPr>
          <w:sz w:val="16"/>
        </w:rPr>
        <w:t> billion</w:t>
      </w:r>
      <w:r w:rsidR="00A3772C" w:rsidRPr="00A5645B">
        <w:rPr>
          <w:sz w:val="16"/>
        </w:rPr>
        <w:t>.</w:t>
      </w:r>
    </w:p>
    <w:p w14:paraId="330E89DA" w14:textId="77777777" w:rsidR="0018167A" w:rsidRPr="00A5645B" w:rsidRDefault="0018167A" w:rsidP="0018167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5645B">
        <w:rPr>
          <w:sz w:val="16"/>
        </w:rPr>
        <w:t xml:space="preserve">In 2021-22, </w:t>
      </w:r>
      <w:r>
        <w:rPr>
          <w:sz w:val="16"/>
        </w:rPr>
        <w:t>Western Australia</w:t>
      </w:r>
      <w:r w:rsidRPr="00A5645B">
        <w:rPr>
          <w:sz w:val="16"/>
        </w:rPr>
        <w:t xml:space="preserve"> had 108,640 sh</w:t>
      </w:r>
      <w:r>
        <w:rPr>
          <w:sz w:val="16"/>
        </w:rPr>
        <w:t>ort</w:t>
      </w:r>
      <w:r>
        <w:rPr>
          <w:sz w:val="16"/>
        </w:rPr>
        <w:noBreakHyphen/>
      </w:r>
      <w:r w:rsidRPr="00A5645B">
        <w:rPr>
          <w:sz w:val="16"/>
        </w:rPr>
        <w:t>term overseas visitors, compared to 11,380 in 2020-21.</w:t>
      </w:r>
    </w:p>
    <w:p w14:paraId="23DF7CD5" w14:textId="362E7054" w:rsidR="0018167A" w:rsidRPr="00E15DE7" w:rsidRDefault="009152B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15DE7">
        <w:rPr>
          <w:sz w:val="16"/>
        </w:rPr>
        <w:t xml:space="preserve">Western Australia had </w:t>
      </w:r>
      <w:r w:rsidR="00EC41BF" w:rsidRPr="00E15DE7">
        <w:rPr>
          <w:sz w:val="16"/>
        </w:rPr>
        <w:t>57,000</w:t>
      </w:r>
      <w:r w:rsidR="00724DA0" w:rsidRPr="00E15DE7">
        <w:rPr>
          <w:sz w:val="16"/>
        </w:rPr>
        <w:t xml:space="preserve"> </w:t>
      </w:r>
      <w:r w:rsidR="0008361E" w:rsidRPr="00E15DE7">
        <w:rPr>
          <w:sz w:val="16"/>
        </w:rPr>
        <w:t>short</w:t>
      </w:r>
      <w:r w:rsidR="0008361E" w:rsidRPr="00E15DE7">
        <w:rPr>
          <w:sz w:val="16"/>
        </w:rPr>
        <w:noBreakHyphen/>
      </w:r>
      <w:r w:rsidR="00FD2E59" w:rsidRPr="00E15DE7">
        <w:rPr>
          <w:sz w:val="16"/>
        </w:rPr>
        <w:t>term ove</w:t>
      </w:r>
      <w:r w:rsidR="006C6B9C" w:rsidRPr="00E15DE7">
        <w:rPr>
          <w:sz w:val="16"/>
        </w:rPr>
        <w:t>rseas visito</w:t>
      </w:r>
      <w:r w:rsidR="00026F77" w:rsidRPr="00E15DE7">
        <w:rPr>
          <w:sz w:val="16"/>
        </w:rPr>
        <w:t xml:space="preserve">rs </w:t>
      </w:r>
      <w:r w:rsidR="005B6E99" w:rsidRPr="00E15DE7">
        <w:rPr>
          <w:sz w:val="16"/>
        </w:rPr>
        <w:t xml:space="preserve">arrive </w:t>
      </w:r>
      <w:r w:rsidR="00026F77" w:rsidRPr="00E15DE7">
        <w:rPr>
          <w:sz w:val="16"/>
        </w:rPr>
        <w:t xml:space="preserve">in </w:t>
      </w:r>
      <w:r w:rsidR="00BE396B" w:rsidRPr="00E15DE7">
        <w:rPr>
          <w:sz w:val="16"/>
        </w:rPr>
        <w:t>November</w:t>
      </w:r>
      <w:r w:rsidR="00724DA0" w:rsidRPr="00E15DE7">
        <w:rPr>
          <w:sz w:val="16"/>
        </w:rPr>
        <w:t> </w:t>
      </w:r>
      <w:r w:rsidR="00C265A3" w:rsidRPr="00E15DE7">
        <w:rPr>
          <w:sz w:val="16"/>
        </w:rPr>
        <w:t>2022</w:t>
      </w:r>
      <w:r w:rsidR="006F6D22" w:rsidRPr="00E15DE7">
        <w:rPr>
          <w:sz w:val="16"/>
        </w:rPr>
        <w:t xml:space="preserve">, </w:t>
      </w:r>
      <w:r w:rsidR="0001250A" w:rsidRPr="00E15DE7">
        <w:rPr>
          <w:sz w:val="16"/>
        </w:rPr>
        <w:t>much higher than the</w:t>
      </w:r>
      <w:r w:rsidR="00780F3D" w:rsidRPr="00E15DE7">
        <w:rPr>
          <w:sz w:val="16"/>
        </w:rPr>
        <w:t xml:space="preserve"> </w:t>
      </w:r>
      <w:r w:rsidR="00EC41BF" w:rsidRPr="00E15DE7">
        <w:rPr>
          <w:sz w:val="16"/>
        </w:rPr>
        <w:t xml:space="preserve">20,860 </w:t>
      </w:r>
      <w:r w:rsidR="007D3AC4" w:rsidRPr="00E15DE7">
        <w:rPr>
          <w:sz w:val="16"/>
        </w:rPr>
        <w:t xml:space="preserve">visitors </w:t>
      </w:r>
      <w:r w:rsidR="007477D6" w:rsidRPr="00E15DE7">
        <w:rPr>
          <w:sz w:val="16"/>
        </w:rPr>
        <w:t xml:space="preserve">in </w:t>
      </w:r>
      <w:r w:rsidR="00EC41BF" w:rsidRPr="00E15DE7">
        <w:rPr>
          <w:sz w:val="16"/>
        </w:rPr>
        <w:t>November</w:t>
      </w:r>
      <w:r w:rsidR="0018167A" w:rsidRPr="00E15DE7">
        <w:rPr>
          <w:sz w:val="16"/>
        </w:rPr>
        <w:t> </w:t>
      </w:r>
      <w:r w:rsidR="00C265A3" w:rsidRPr="00E15DE7">
        <w:rPr>
          <w:sz w:val="16"/>
        </w:rPr>
        <w:t>2021</w:t>
      </w:r>
      <w:r w:rsidR="00FD2E59" w:rsidRPr="00E15DE7">
        <w:rPr>
          <w:sz w:val="16"/>
        </w:rPr>
        <w:t>.</w:t>
      </w:r>
    </w:p>
    <w:p w14:paraId="734F7FE2" w14:textId="20960462" w:rsidR="00FD2E59" w:rsidRDefault="00FD2E59" w:rsidP="004417C9">
      <w:pPr>
        <w:pStyle w:val="BodyText"/>
        <w:spacing w:after="0"/>
        <w:ind w:left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E9EAE6" w14:textId="7B20938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international students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: c</w:t>
      </w:r>
      <w:r w:rsidRPr="00020369">
        <w:rPr>
          <w:b/>
          <w:color w:val="92278F" w:themeColor="accent1"/>
          <w:sz w:val="20"/>
        </w:rPr>
        <w:t>alendar years</w:t>
      </w:r>
    </w:p>
    <w:p w14:paraId="67E565AD" w14:textId="66B2DD43" w:rsidR="00FD2E59" w:rsidRDefault="009D3B14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3A23976" wp14:editId="7F4823E8">
            <wp:extent cx="3528000" cy="2103405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7BCE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  <w:vertAlign w:val="superscript"/>
          <w:lang w:val="en-US"/>
        </w:rPr>
        <w:t>1</w:t>
      </w:r>
      <w:r w:rsidRPr="00E138D0">
        <w:rPr>
          <w:sz w:val="10"/>
          <w:lang w:val="en-US"/>
        </w:rPr>
        <w:t xml:space="preserve"> Enrolments</w:t>
      </w:r>
      <w:r w:rsidRPr="00E138D0">
        <w:rPr>
          <w:sz w:val="10"/>
        </w:rPr>
        <w:t>.</w:t>
      </w:r>
      <w:r>
        <w:rPr>
          <w:sz w:val="10"/>
        </w:rPr>
        <w:t xml:space="preserve"> Original series.</w:t>
      </w:r>
    </w:p>
    <w:p w14:paraId="03EC8580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</w:rPr>
        <w:t>Source: Department of Education, Skills and Employment, International student data (Monthly).</w:t>
      </w:r>
    </w:p>
    <w:p w14:paraId="23CA360D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67F2F5" w14:textId="3E64A1EA" w:rsidR="00C12250" w:rsidRPr="009F752A" w:rsidRDefault="00844CBC" w:rsidP="00C1225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 xml:space="preserve">Many international students arrived in Western Australia for the first semester of 2020, before COVID-19 travel restrictions were imposed. </w:t>
      </w:r>
      <w:r w:rsidR="006E7904" w:rsidRPr="007A4590">
        <w:rPr>
          <w:sz w:val="16"/>
        </w:rPr>
        <w:t xml:space="preserve">This, together with </w:t>
      </w:r>
      <w:r w:rsidR="00F72872" w:rsidRPr="007A4590">
        <w:rPr>
          <w:sz w:val="16"/>
        </w:rPr>
        <w:t>some</w:t>
      </w:r>
      <w:r w:rsidR="006E7904" w:rsidRPr="007A4590">
        <w:rPr>
          <w:sz w:val="16"/>
        </w:rPr>
        <w:t xml:space="preserve"> students </w:t>
      </w:r>
      <w:r w:rsidR="00A123C7" w:rsidRPr="007A4590">
        <w:rPr>
          <w:sz w:val="16"/>
        </w:rPr>
        <w:t>reverting to</w:t>
      </w:r>
      <w:r w:rsidR="006E7904" w:rsidRPr="007A4590">
        <w:rPr>
          <w:sz w:val="16"/>
        </w:rPr>
        <w:t xml:space="preserve"> online </w:t>
      </w:r>
      <w:r w:rsidR="00A123C7" w:rsidRPr="007A4590">
        <w:rPr>
          <w:sz w:val="16"/>
        </w:rPr>
        <w:t xml:space="preserve">learning </w:t>
      </w:r>
      <w:r w:rsidR="006E7904" w:rsidRPr="007A4590">
        <w:rPr>
          <w:sz w:val="16"/>
        </w:rPr>
        <w:t xml:space="preserve">from their home countries, supported the number of </w:t>
      </w:r>
      <w:r w:rsidR="00C57197">
        <w:rPr>
          <w:sz w:val="16"/>
        </w:rPr>
        <w:t xml:space="preserve">international student </w:t>
      </w:r>
      <w:r w:rsidR="006E7904" w:rsidRPr="007A4590">
        <w:rPr>
          <w:sz w:val="16"/>
        </w:rPr>
        <w:t>enrolments</w:t>
      </w:r>
      <w:r w:rsidR="00C57197">
        <w:rPr>
          <w:sz w:val="16"/>
        </w:rPr>
        <w:t xml:space="preserve"> through the COVID-19 pandemic</w:t>
      </w:r>
      <w:r w:rsidR="00B35FF1" w:rsidRPr="004417C9">
        <w:rPr>
          <w:color w:val="147FD0" w:themeColor="accent5" w:themeShade="BF"/>
          <w:sz w:val="16"/>
        </w:rPr>
        <w:t>.</w:t>
      </w:r>
    </w:p>
    <w:p w14:paraId="630E58F8" w14:textId="39067A0E" w:rsidR="00DD4BE6" w:rsidRPr="008536A7" w:rsidRDefault="00F46A14" w:rsidP="00B35F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</w:t>
      </w:r>
      <w:r w:rsidR="00DD4BE6" w:rsidRPr="008536A7">
        <w:rPr>
          <w:sz w:val="16"/>
        </w:rPr>
        <w:t xml:space="preserve">he number of </w:t>
      </w:r>
      <w:r w:rsidRPr="008536A7">
        <w:rPr>
          <w:sz w:val="16"/>
        </w:rPr>
        <w:t xml:space="preserve">international student </w:t>
      </w:r>
      <w:r w:rsidR="00DD4BE6" w:rsidRPr="008536A7">
        <w:rPr>
          <w:sz w:val="16"/>
        </w:rPr>
        <w:t xml:space="preserve">enrolments </w:t>
      </w:r>
      <w:r w:rsidRPr="008536A7">
        <w:rPr>
          <w:sz w:val="16"/>
        </w:rPr>
        <w:t xml:space="preserve">in Western Australia </w:t>
      </w:r>
      <w:r w:rsidR="00430388" w:rsidRPr="008536A7">
        <w:rPr>
          <w:sz w:val="16"/>
        </w:rPr>
        <w:t>fell 18.2</w:t>
      </w:r>
      <w:r w:rsidR="00DD4BE6" w:rsidRPr="008536A7">
        <w:rPr>
          <w:sz w:val="16"/>
        </w:rPr>
        <w:t>% to 40,</w:t>
      </w:r>
      <w:r w:rsidR="00430388" w:rsidRPr="008536A7">
        <w:rPr>
          <w:sz w:val="16"/>
        </w:rPr>
        <w:t>787</w:t>
      </w:r>
      <w:r w:rsidRPr="008536A7">
        <w:rPr>
          <w:sz w:val="16"/>
        </w:rPr>
        <w:t xml:space="preserve"> in 2021</w:t>
      </w:r>
      <w:r w:rsidR="00DD4BE6" w:rsidRPr="008536A7">
        <w:rPr>
          <w:sz w:val="16"/>
        </w:rPr>
        <w:t>.</w:t>
      </w:r>
    </w:p>
    <w:p w14:paraId="3549759D" w14:textId="316DE073" w:rsidR="00FD2E59" w:rsidRPr="00C865F2" w:rsidRDefault="00B35FF1" w:rsidP="00CE153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865F2">
        <w:rPr>
          <w:sz w:val="16"/>
        </w:rPr>
        <w:t xml:space="preserve">Western Australia’s share of Australia’s international student enrolments </w:t>
      </w:r>
      <w:r w:rsidR="00A121B7" w:rsidRPr="00C865F2">
        <w:rPr>
          <w:sz w:val="16"/>
        </w:rPr>
        <w:t>remained at</w:t>
      </w:r>
      <w:r w:rsidRPr="00C865F2">
        <w:rPr>
          <w:sz w:val="16"/>
        </w:rPr>
        <w:t xml:space="preserve"> 5.7% in 2021.</w:t>
      </w:r>
    </w:p>
    <w:p w14:paraId="5E31E8FE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3BC433C3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7102915C" w14:textId="4C59A93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B0165" w:rsidRPr="00020369">
        <w:rPr>
          <w:b/>
          <w:color w:val="92278F" w:themeColor="accent1"/>
          <w:sz w:val="20"/>
        </w:rPr>
        <w:t xml:space="preserve">: </w:t>
      </w:r>
      <w:r w:rsidR="00BA1C65" w:rsidRPr="00F04690">
        <w:rPr>
          <w:b/>
          <w:color w:val="92278F" w:themeColor="accent1"/>
          <w:sz w:val="20"/>
        </w:rPr>
        <w:t>financial</w:t>
      </w:r>
      <w:r w:rsidR="00EB5DB4" w:rsidRPr="00F04690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A8F683E" w14:textId="775BF919" w:rsidR="00FD2E59" w:rsidRDefault="001746F7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C9942C0" wp14:editId="43019B7F">
            <wp:extent cx="3528000" cy="210340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C2B4" w14:textId="3F287826" w:rsidR="00FD2E59" w:rsidRPr="00A5645B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</w:t>
      </w:r>
      <w:r w:rsidRPr="006A3DD7">
        <w:rPr>
          <w:sz w:val="10"/>
        </w:rPr>
        <w:t>Nominal or not adjusted for price changes. Original series. (a) Other manufactures, gold (</w:t>
      </w:r>
      <w:r w:rsidR="00CE394D" w:rsidRPr="006A3DD7">
        <w:rPr>
          <w:sz w:val="10"/>
        </w:rPr>
        <w:t>imported to Western Australia for</w:t>
      </w:r>
      <w:r w:rsidRPr="006A3DD7">
        <w:rPr>
          <w:sz w:val="10"/>
        </w:rPr>
        <w:t xml:space="preserve"> refining</w:t>
      </w:r>
      <w:r w:rsidR="00CE394D" w:rsidRPr="006A3DD7">
        <w:rPr>
          <w:sz w:val="10"/>
        </w:rPr>
        <w:t xml:space="preserve"> at the Perth Mint</w:t>
      </w:r>
      <w:r w:rsidR="008E5EF7" w:rsidRPr="006A3DD7">
        <w:rPr>
          <w:sz w:val="10"/>
        </w:rPr>
        <w:t xml:space="preserve"> to the London Bullion Market Association’s accredited standard and re-</w:t>
      </w:r>
      <w:r w:rsidRPr="006A3DD7">
        <w:rPr>
          <w:sz w:val="10"/>
        </w:rPr>
        <w:t>export</w:t>
      </w:r>
      <w:r w:rsidR="00CE394D" w:rsidRPr="006A3DD7">
        <w:rPr>
          <w:sz w:val="10"/>
        </w:rPr>
        <w:t>ed</w:t>
      </w:r>
      <w:r w:rsidRPr="006A3DD7">
        <w:rPr>
          <w:sz w:val="10"/>
        </w:rPr>
        <w:t xml:space="preserve">), mineral </w:t>
      </w:r>
      <w:r w:rsidRPr="00A5645B">
        <w:rPr>
          <w:sz w:val="10"/>
        </w:rPr>
        <w:t>fuels, chemicals, agricultural products and other goods.</w:t>
      </w:r>
    </w:p>
    <w:p w14:paraId="77A0455C" w14:textId="74382006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</w:t>
      </w:r>
      <w:r w:rsidRPr="00F04690">
        <w:rPr>
          <w:sz w:val="10"/>
        </w:rPr>
        <w:t xml:space="preserve">: </w:t>
      </w:r>
      <w:r w:rsidR="00637898" w:rsidRPr="00F04690">
        <w:rPr>
          <w:sz w:val="10"/>
        </w:rPr>
        <w:t xml:space="preserve">Based on data from </w:t>
      </w:r>
      <w:r w:rsidRPr="00F04690">
        <w:rPr>
          <w:sz w:val="10"/>
        </w:rPr>
        <w:t xml:space="preserve">ABS </w:t>
      </w:r>
      <w:r w:rsidRPr="00AD38D1">
        <w:rPr>
          <w:sz w:val="10"/>
        </w:rPr>
        <w:t>5368.0 International Trade in Goods and Services,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6D577366" w14:textId="77777777" w:rsidR="001746F7" w:rsidRDefault="001746F7" w:rsidP="001746F7">
      <w:pPr>
        <w:pStyle w:val="BodyText"/>
        <w:spacing w:after="0"/>
        <w:jc w:val="both"/>
        <w:rPr>
          <w:sz w:val="16"/>
        </w:rPr>
      </w:pPr>
    </w:p>
    <w:p w14:paraId="4EF30996" w14:textId="77777777" w:rsidR="001746F7" w:rsidRPr="00403DB4" w:rsidRDefault="001746F7" w:rsidP="001746F7">
      <w:pPr>
        <w:pStyle w:val="BodyText"/>
        <w:spacing w:after="0"/>
        <w:jc w:val="both"/>
        <w:rPr>
          <w:sz w:val="16"/>
        </w:rPr>
      </w:pPr>
    </w:p>
    <w:p w14:paraId="79FBD054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742D03" w14:textId="77777777" w:rsidR="00FD2E59" w:rsidRDefault="00FD2E59" w:rsidP="00FD2E59">
      <w:pPr>
        <w:spacing w:after="0"/>
        <w:jc w:val="both"/>
        <w:rPr>
          <w:sz w:val="16"/>
        </w:rPr>
      </w:pPr>
    </w:p>
    <w:p w14:paraId="1FEFA7BB" w14:textId="786EFA82" w:rsidR="00FD2E59" w:rsidRPr="002D369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2D3691">
        <w:rPr>
          <w:color w:val="000000" w:themeColor="text1"/>
          <w:sz w:val="16"/>
        </w:rPr>
        <w:t>Western Australia accounted for 11</w:t>
      </w:r>
      <w:r w:rsidR="00BF005A" w:rsidRPr="002D3691">
        <w:rPr>
          <w:color w:val="000000" w:themeColor="text1"/>
          <w:sz w:val="16"/>
        </w:rPr>
        <w:t>.</w:t>
      </w:r>
      <w:r w:rsidR="002F10DC" w:rsidRPr="002D3691">
        <w:rPr>
          <w:color w:val="000000" w:themeColor="text1"/>
          <w:sz w:val="16"/>
        </w:rPr>
        <w:t>0</w:t>
      </w:r>
      <w:r w:rsidRPr="002D3691">
        <w:rPr>
          <w:color w:val="000000" w:themeColor="text1"/>
          <w:sz w:val="16"/>
        </w:rPr>
        <w:t xml:space="preserve">% of </w:t>
      </w:r>
      <w:r w:rsidR="0073291E" w:rsidRPr="002D3691">
        <w:rPr>
          <w:color w:val="000000" w:themeColor="text1"/>
          <w:sz w:val="16"/>
        </w:rPr>
        <w:t>Australia’s goods imports in 2021</w:t>
      </w:r>
      <w:r w:rsidR="00970DED" w:rsidRPr="002D3691">
        <w:rPr>
          <w:color w:val="000000" w:themeColor="text1"/>
          <w:sz w:val="16"/>
        </w:rPr>
        <w:noBreakHyphen/>
      </w:r>
      <w:r w:rsidR="004F13E4" w:rsidRPr="002D3691">
        <w:rPr>
          <w:color w:val="000000" w:themeColor="text1"/>
          <w:sz w:val="16"/>
        </w:rPr>
        <w:t>22</w:t>
      </w:r>
      <w:r w:rsidRPr="002D3691">
        <w:rPr>
          <w:color w:val="000000" w:themeColor="text1"/>
          <w:sz w:val="16"/>
        </w:rPr>
        <w:t>.</w:t>
      </w:r>
    </w:p>
    <w:p w14:paraId="48026A07" w14:textId="46DC33B4" w:rsidR="00FD2E59" w:rsidRPr="002D369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2D3691">
        <w:rPr>
          <w:color w:val="000000" w:themeColor="text1"/>
          <w:sz w:val="16"/>
        </w:rPr>
        <w:t>The value of Western Au</w:t>
      </w:r>
      <w:r w:rsidR="0073291E" w:rsidRPr="002D3691">
        <w:rPr>
          <w:color w:val="000000" w:themeColor="text1"/>
          <w:sz w:val="16"/>
        </w:rPr>
        <w:t xml:space="preserve">stralia’s goods imports rose </w:t>
      </w:r>
      <w:r w:rsidR="000938CF" w:rsidRPr="002D3691">
        <w:rPr>
          <w:color w:val="000000" w:themeColor="text1"/>
          <w:sz w:val="16"/>
        </w:rPr>
        <w:t>19.</w:t>
      </w:r>
      <w:r w:rsidR="002F10DC" w:rsidRPr="002D3691">
        <w:rPr>
          <w:color w:val="000000" w:themeColor="text1"/>
          <w:sz w:val="16"/>
        </w:rPr>
        <w:t>7</w:t>
      </w:r>
      <w:r w:rsidR="0073291E" w:rsidRPr="002D3691">
        <w:rPr>
          <w:color w:val="000000" w:themeColor="text1"/>
          <w:sz w:val="16"/>
        </w:rPr>
        <w:t>% to $</w:t>
      </w:r>
      <w:r w:rsidR="000938CF" w:rsidRPr="002D3691">
        <w:rPr>
          <w:color w:val="000000" w:themeColor="text1"/>
          <w:sz w:val="16"/>
        </w:rPr>
        <w:t>41.</w:t>
      </w:r>
      <w:r w:rsidR="002F10DC" w:rsidRPr="002D3691">
        <w:rPr>
          <w:color w:val="000000" w:themeColor="text1"/>
          <w:sz w:val="16"/>
        </w:rPr>
        <w:t>3</w:t>
      </w:r>
      <w:r w:rsidR="00970DED" w:rsidRPr="002D3691">
        <w:rPr>
          <w:color w:val="000000" w:themeColor="text1"/>
          <w:sz w:val="16"/>
        </w:rPr>
        <w:t> </w:t>
      </w:r>
      <w:r w:rsidRPr="002D3691">
        <w:rPr>
          <w:color w:val="000000" w:themeColor="text1"/>
          <w:sz w:val="16"/>
        </w:rPr>
        <w:t>billion in 20</w:t>
      </w:r>
      <w:r w:rsidR="0073291E" w:rsidRPr="002D3691">
        <w:rPr>
          <w:color w:val="000000" w:themeColor="text1"/>
          <w:sz w:val="16"/>
        </w:rPr>
        <w:t>21</w:t>
      </w:r>
      <w:r w:rsidR="004F13E4" w:rsidRPr="002D3691">
        <w:rPr>
          <w:color w:val="000000" w:themeColor="text1"/>
          <w:sz w:val="16"/>
        </w:rPr>
        <w:t>-22</w:t>
      </w:r>
      <w:r w:rsidRPr="002D3691">
        <w:rPr>
          <w:color w:val="000000" w:themeColor="text1"/>
          <w:sz w:val="16"/>
        </w:rPr>
        <w:t>, with:</w:t>
      </w:r>
    </w:p>
    <w:p w14:paraId="1FAA781F" w14:textId="3E93A96C" w:rsidR="00FD2E59" w:rsidRPr="002D3691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m</w:t>
      </w:r>
      <w:r w:rsidR="00FD2E59" w:rsidRPr="002D3691">
        <w:rPr>
          <w:color w:val="000000" w:themeColor="text1"/>
          <w:sz w:val="16"/>
        </w:rPr>
        <w:t>achinery and transp</w:t>
      </w:r>
      <w:r w:rsidR="0073291E" w:rsidRPr="002D3691">
        <w:rPr>
          <w:color w:val="000000" w:themeColor="text1"/>
          <w:sz w:val="16"/>
        </w:rPr>
        <w:t xml:space="preserve">ort equipment imports </w:t>
      </w:r>
      <w:r w:rsidR="000938CF" w:rsidRPr="002D3691">
        <w:rPr>
          <w:color w:val="000000" w:themeColor="text1"/>
          <w:sz w:val="16"/>
        </w:rPr>
        <w:t>falling</w:t>
      </w:r>
      <w:r w:rsidR="0073291E" w:rsidRPr="002D3691">
        <w:rPr>
          <w:color w:val="000000" w:themeColor="text1"/>
          <w:sz w:val="16"/>
        </w:rPr>
        <w:t xml:space="preserve"> </w:t>
      </w:r>
      <w:r w:rsidR="000938CF" w:rsidRPr="002D3691">
        <w:rPr>
          <w:color w:val="000000" w:themeColor="text1"/>
          <w:sz w:val="16"/>
        </w:rPr>
        <w:t>3.9</w:t>
      </w:r>
      <w:r w:rsidR="00FD2E59" w:rsidRPr="002D3691">
        <w:rPr>
          <w:color w:val="000000" w:themeColor="text1"/>
          <w:sz w:val="16"/>
        </w:rPr>
        <w:t xml:space="preserve">% to </w:t>
      </w:r>
      <w:r w:rsidR="006A6CAF" w:rsidRPr="002D3691">
        <w:rPr>
          <w:color w:val="000000" w:themeColor="text1"/>
          <w:sz w:val="16"/>
        </w:rPr>
        <w:t>$</w:t>
      </w:r>
      <w:r w:rsidR="000938CF" w:rsidRPr="002D3691">
        <w:rPr>
          <w:color w:val="000000" w:themeColor="text1"/>
          <w:sz w:val="16"/>
        </w:rPr>
        <w:t>11.8</w:t>
      </w:r>
      <w:r w:rsidR="00970DED" w:rsidRPr="002D3691">
        <w:rPr>
          <w:color w:val="000000" w:themeColor="text1"/>
          <w:sz w:val="16"/>
        </w:rPr>
        <w:t> </w:t>
      </w:r>
      <w:r w:rsidR="00FD2E59" w:rsidRPr="002D3691">
        <w:rPr>
          <w:color w:val="000000" w:themeColor="text1"/>
          <w:sz w:val="16"/>
        </w:rPr>
        <w:t>billion</w:t>
      </w:r>
    </w:p>
    <w:p w14:paraId="69CEEE1D" w14:textId="02685335" w:rsidR="00FD2E59" w:rsidRPr="002D3691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  <w:sz w:val="16"/>
        </w:rPr>
        <w:t>o</w:t>
      </w:r>
      <w:r w:rsidR="0073291E" w:rsidRPr="002D3691">
        <w:rPr>
          <w:color w:val="000000" w:themeColor="text1"/>
          <w:sz w:val="16"/>
        </w:rPr>
        <w:t>ther</w:t>
      </w:r>
      <w:proofErr w:type="gramEnd"/>
      <w:r w:rsidR="0073291E" w:rsidRPr="002D3691">
        <w:rPr>
          <w:color w:val="000000" w:themeColor="text1"/>
          <w:sz w:val="16"/>
        </w:rPr>
        <w:t xml:space="preserve"> imports </w:t>
      </w:r>
      <w:r w:rsidR="00DD4BE6" w:rsidRPr="002D3691">
        <w:rPr>
          <w:color w:val="000000" w:themeColor="text1"/>
          <w:sz w:val="16"/>
        </w:rPr>
        <w:t xml:space="preserve">rising </w:t>
      </w:r>
      <w:r w:rsidR="000938CF" w:rsidRPr="002D3691">
        <w:rPr>
          <w:color w:val="000000" w:themeColor="text1"/>
          <w:sz w:val="16"/>
        </w:rPr>
        <w:t>32.</w:t>
      </w:r>
      <w:r w:rsidR="002F10DC" w:rsidRPr="002D3691">
        <w:rPr>
          <w:color w:val="000000" w:themeColor="text1"/>
          <w:sz w:val="16"/>
        </w:rPr>
        <w:t>8</w:t>
      </w:r>
      <w:r w:rsidR="0073291E" w:rsidRPr="002D3691">
        <w:rPr>
          <w:color w:val="000000" w:themeColor="text1"/>
          <w:sz w:val="16"/>
        </w:rPr>
        <w:t>% to $</w:t>
      </w:r>
      <w:r w:rsidR="000938CF" w:rsidRPr="002D3691">
        <w:rPr>
          <w:color w:val="000000" w:themeColor="text1"/>
          <w:sz w:val="16"/>
        </w:rPr>
        <w:t>29.</w:t>
      </w:r>
      <w:r w:rsidR="002F10DC" w:rsidRPr="002D3691">
        <w:rPr>
          <w:color w:val="000000" w:themeColor="text1"/>
          <w:sz w:val="16"/>
        </w:rPr>
        <w:t>5</w:t>
      </w:r>
      <w:r w:rsidR="00970DED" w:rsidRPr="002D3691">
        <w:rPr>
          <w:color w:val="000000" w:themeColor="text1"/>
          <w:sz w:val="16"/>
        </w:rPr>
        <w:t> </w:t>
      </w:r>
      <w:r w:rsidR="00B94F5C" w:rsidRPr="002D3691">
        <w:rPr>
          <w:color w:val="000000" w:themeColor="text1"/>
          <w:sz w:val="16"/>
        </w:rPr>
        <w:t>billion</w:t>
      </w:r>
      <w:r w:rsidR="00DD4BE6" w:rsidRPr="002D3691">
        <w:rPr>
          <w:color w:val="000000" w:themeColor="text1"/>
          <w:sz w:val="16"/>
        </w:rPr>
        <w:t>.</w:t>
      </w:r>
    </w:p>
    <w:p w14:paraId="1627BAEE" w14:textId="2E2A731B" w:rsidR="00B647EA" w:rsidRPr="00A82A2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</w:rPr>
        <w:t>Western Austral</w:t>
      </w:r>
      <w:r w:rsidR="00B837FA" w:rsidRPr="00A82A2C">
        <w:rPr>
          <w:sz w:val="16"/>
        </w:rPr>
        <w:t>i</w:t>
      </w:r>
      <w:r w:rsidR="003E4204" w:rsidRPr="00A82A2C">
        <w:rPr>
          <w:sz w:val="16"/>
        </w:rPr>
        <w:t xml:space="preserve">a’s real goods imports </w:t>
      </w:r>
      <w:r w:rsidR="00286258" w:rsidRPr="00A82A2C">
        <w:rPr>
          <w:sz w:val="16"/>
        </w:rPr>
        <w:t>fell 2.1</w:t>
      </w:r>
      <w:r w:rsidR="00B837FA" w:rsidRPr="00A82A2C">
        <w:rPr>
          <w:sz w:val="16"/>
        </w:rPr>
        <w:t>% in 2021</w:t>
      </w:r>
      <w:r w:rsidR="00286258" w:rsidRPr="00A82A2C">
        <w:rPr>
          <w:sz w:val="16"/>
        </w:rPr>
        <w:noBreakHyphen/>
        <w:t>22</w:t>
      </w:r>
      <w:r w:rsidRPr="00A82A2C">
        <w:rPr>
          <w:sz w:val="16"/>
        </w:rPr>
        <w:t>.</w:t>
      </w:r>
    </w:p>
    <w:p w14:paraId="4291B8DC" w14:textId="1C474DDB" w:rsidR="00FD2E59" w:rsidRPr="003C3E25" w:rsidRDefault="00A9546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3E25">
        <w:rPr>
          <w:sz w:val="16"/>
        </w:rPr>
        <w:t>The 2022</w:t>
      </w:r>
      <w:r w:rsidRPr="003C3E25">
        <w:rPr>
          <w:sz w:val="16"/>
        </w:rPr>
        <w:noBreakHyphen/>
        <w:t xml:space="preserve">23 WA Government Mid-year Financial Projections Statement </w:t>
      </w:r>
      <w:r w:rsidR="00B837FA" w:rsidRPr="003C3E25">
        <w:rPr>
          <w:sz w:val="16"/>
        </w:rPr>
        <w:t>forecast</w:t>
      </w:r>
      <w:r w:rsidRPr="003C3E25">
        <w:rPr>
          <w:sz w:val="16"/>
        </w:rPr>
        <w:t>s</w:t>
      </w:r>
      <w:r w:rsidR="00FD2E59" w:rsidRPr="003C3E25">
        <w:rPr>
          <w:sz w:val="16"/>
        </w:rPr>
        <w:t xml:space="preserve"> Western Aust</w:t>
      </w:r>
      <w:r w:rsidR="00B837FA" w:rsidRPr="003C3E25">
        <w:rPr>
          <w:sz w:val="16"/>
        </w:rPr>
        <w:t>rali</w:t>
      </w:r>
      <w:r w:rsidR="008B3698" w:rsidRPr="003C3E25">
        <w:rPr>
          <w:sz w:val="16"/>
        </w:rPr>
        <w:t xml:space="preserve">a’s real goods imports </w:t>
      </w:r>
      <w:r w:rsidR="00A24859" w:rsidRPr="003C3E25">
        <w:rPr>
          <w:sz w:val="16"/>
        </w:rPr>
        <w:t>will</w:t>
      </w:r>
      <w:r w:rsidR="008B3698" w:rsidRPr="003C3E25">
        <w:rPr>
          <w:sz w:val="16"/>
        </w:rPr>
        <w:t xml:space="preserve"> rise</w:t>
      </w:r>
      <w:r w:rsidR="00BF2CA4" w:rsidRPr="003C3E25">
        <w:rPr>
          <w:sz w:val="16"/>
        </w:rPr>
        <w:t xml:space="preserve"> </w:t>
      </w:r>
      <w:r w:rsidR="00A24859" w:rsidRPr="003C3E25">
        <w:rPr>
          <w:sz w:val="16"/>
        </w:rPr>
        <w:t>3.25</w:t>
      </w:r>
      <w:r w:rsidR="00B837FA" w:rsidRPr="003C3E25">
        <w:rPr>
          <w:sz w:val="16"/>
        </w:rPr>
        <w:t>% in 2022</w:t>
      </w:r>
      <w:r w:rsidR="00BF2CA4" w:rsidRPr="003C3E25">
        <w:rPr>
          <w:sz w:val="16"/>
        </w:rPr>
        <w:noBreakHyphen/>
      </w:r>
      <w:r w:rsidR="00B837FA" w:rsidRPr="003C3E25">
        <w:rPr>
          <w:sz w:val="16"/>
        </w:rPr>
        <w:t>23</w:t>
      </w:r>
      <w:r w:rsidR="00A24859" w:rsidRPr="003C3E25">
        <w:rPr>
          <w:sz w:val="16"/>
        </w:rPr>
        <w:t xml:space="preserve"> and 2.25</w:t>
      </w:r>
      <w:r w:rsidR="00425F05" w:rsidRPr="003C3E25">
        <w:rPr>
          <w:sz w:val="16"/>
        </w:rPr>
        <w:t>% in 2023-24</w:t>
      </w:r>
      <w:r w:rsidR="00FD2E59" w:rsidRPr="003C3E25">
        <w:rPr>
          <w:sz w:val="16"/>
        </w:rPr>
        <w:t>.</w:t>
      </w:r>
    </w:p>
    <w:p w14:paraId="6B6DA018" w14:textId="77777777" w:rsidR="00FD2E59" w:rsidRPr="00F5424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F5424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A3A031" w14:textId="5C266921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imports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973CD1" w:rsidRPr="00020369">
        <w:rPr>
          <w:b/>
          <w:color w:val="92278F" w:themeColor="accent1"/>
          <w:sz w:val="20"/>
        </w:rPr>
        <w:t xml:space="preserve">: </w:t>
      </w:r>
      <w:r w:rsidR="0032204D" w:rsidRPr="00F04690">
        <w:rPr>
          <w:b/>
          <w:color w:val="92278F" w:themeColor="accent1"/>
          <w:sz w:val="20"/>
        </w:rPr>
        <w:t>financial</w:t>
      </w:r>
      <w:r w:rsidR="00DF4CEF" w:rsidRPr="00F04690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B45722A" w14:textId="59A7E5A1" w:rsidR="00FD2E59" w:rsidRPr="001746F7" w:rsidRDefault="001746F7" w:rsidP="0032204D">
      <w:pPr>
        <w:pStyle w:val="BodyText"/>
        <w:tabs>
          <w:tab w:val="left" w:pos="3261"/>
        </w:tabs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662AE8D" wp14:editId="7AA75A7D">
            <wp:extent cx="3528000" cy="2103405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5A20" w14:textId="2F98A48C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6D433F2F" w14:textId="4A36C7A9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637898" w:rsidRPr="00F04690">
        <w:rPr>
          <w:sz w:val="10"/>
        </w:rPr>
        <w:t xml:space="preserve">Based on data from </w:t>
      </w:r>
      <w:r w:rsidRPr="00F04690">
        <w:rPr>
          <w:sz w:val="10"/>
        </w:rPr>
        <w:t xml:space="preserve">ABS </w:t>
      </w:r>
      <w:r>
        <w:rPr>
          <w:sz w:val="10"/>
        </w:rPr>
        <w:t>5368.0 International Trade in Goods and Services, Australia (Monthly)</w:t>
      </w:r>
      <w:r w:rsidRPr="00B720D6">
        <w:rPr>
          <w:sz w:val="10"/>
        </w:rPr>
        <w:t>.</w:t>
      </w:r>
    </w:p>
    <w:p w14:paraId="4B248D9E" w14:textId="77777777" w:rsidR="001746F7" w:rsidRDefault="001746F7" w:rsidP="001746F7">
      <w:pPr>
        <w:pStyle w:val="BodyText"/>
        <w:spacing w:after="0"/>
        <w:jc w:val="both"/>
        <w:rPr>
          <w:sz w:val="16"/>
        </w:rPr>
      </w:pPr>
    </w:p>
    <w:p w14:paraId="5514E8A5" w14:textId="77777777" w:rsidR="001746F7" w:rsidRDefault="00FD2E59" w:rsidP="001746F7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6C7BF66" w14:textId="4849DFA0" w:rsidR="00FD2E59" w:rsidRPr="00F046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4690">
        <w:rPr>
          <w:sz w:val="16"/>
        </w:rPr>
        <w:t>In 20</w:t>
      </w:r>
      <w:r w:rsidR="00E15AE0" w:rsidRPr="00F04690">
        <w:rPr>
          <w:sz w:val="16"/>
        </w:rPr>
        <w:t>21</w:t>
      </w:r>
      <w:r w:rsidR="00970DED" w:rsidRPr="00F04690">
        <w:rPr>
          <w:sz w:val="16"/>
        </w:rPr>
        <w:noBreakHyphen/>
      </w:r>
      <w:r w:rsidR="004F13E4" w:rsidRPr="00F04690">
        <w:rPr>
          <w:sz w:val="16"/>
        </w:rPr>
        <w:t>22</w:t>
      </w:r>
      <w:r w:rsidRPr="00F04690">
        <w:rPr>
          <w:sz w:val="16"/>
        </w:rPr>
        <w:t>, Western Australia’s largest market f</w:t>
      </w:r>
      <w:r w:rsidR="00E15AE0" w:rsidRPr="00F04690">
        <w:rPr>
          <w:sz w:val="16"/>
        </w:rPr>
        <w:t xml:space="preserve">or goods imports was China </w:t>
      </w:r>
      <w:r w:rsidR="00616C05" w:rsidRPr="00F04690">
        <w:rPr>
          <w:sz w:val="16"/>
        </w:rPr>
        <w:t>($8.0</w:t>
      </w:r>
      <w:r w:rsidR="00970DED" w:rsidRPr="00F04690">
        <w:rPr>
          <w:sz w:val="16"/>
        </w:rPr>
        <w:t> </w:t>
      </w:r>
      <w:r w:rsidR="00E15AE0" w:rsidRPr="00F04690">
        <w:rPr>
          <w:sz w:val="16"/>
        </w:rPr>
        <w:t xml:space="preserve">billion or </w:t>
      </w:r>
      <w:r w:rsidR="00DF4CEF" w:rsidRPr="00F04690">
        <w:rPr>
          <w:sz w:val="16"/>
        </w:rPr>
        <w:t>19</w:t>
      </w:r>
      <w:r w:rsidR="007B696C" w:rsidRPr="00F04690">
        <w:rPr>
          <w:sz w:val="16"/>
        </w:rPr>
        <w:t>.4</w:t>
      </w:r>
      <w:r w:rsidRPr="00F04690">
        <w:rPr>
          <w:sz w:val="16"/>
        </w:rPr>
        <w:t>%), fol</w:t>
      </w:r>
      <w:r w:rsidR="00E15AE0" w:rsidRPr="00F04690">
        <w:rPr>
          <w:sz w:val="16"/>
        </w:rPr>
        <w:t>lowed by the United States ($</w:t>
      </w:r>
      <w:r w:rsidR="00970DED" w:rsidRPr="00F04690">
        <w:rPr>
          <w:sz w:val="16"/>
        </w:rPr>
        <w:t>4.1 </w:t>
      </w:r>
      <w:r w:rsidR="00616C05" w:rsidRPr="00F04690">
        <w:rPr>
          <w:sz w:val="16"/>
        </w:rPr>
        <w:t>billion or 9.8</w:t>
      </w:r>
      <w:r w:rsidR="00E15AE0" w:rsidRPr="00F04690">
        <w:rPr>
          <w:sz w:val="16"/>
        </w:rPr>
        <w:t xml:space="preserve">%) and </w:t>
      </w:r>
      <w:r w:rsidR="00DF4CEF" w:rsidRPr="00F04690">
        <w:rPr>
          <w:sz w:val="16"/>
        </w:rPr>
        <w:t xml:space="preserve">Singapore </w:t>
      </w:r>
      <w:r w:rsidR="00616C05" w:rsidRPr="00F04690">
        <w:rPr>
          <w:sz w:val="16"/>
        </w:rPr>
        <w:t>($4.0</w:t>
      </w:r>
      <w:r w:rsidRPr="00F04690">
        <w:rPr>
          <w:sz w:val="16"/>
        </w:rPr>
        <w:t xml:space="preserve"> billion or </w:t>
      </w:r>
      <w:r w:rsidR="00616C05" w:rsidRPr="00F04690">
        <w:rPr>
          <w:sz w:val="16"/>
        </w:rPr>
        <w:t>9.6</w:t>
      </w:r>
      <w:r w:rsidRPr="00F04690">
        <w:rPr>
          <w:sz w:val="16"/>
        </w:rPr>
        <w:t>%).</w:t>
      </w:r>
    </w:p>
    <w:p w14:paraId="08066AA0" w14:textId="39A2760F" w:rsidR="00FD2E59" w:rsidRPr="00F046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4690">
        <w:rPr>
          <w:sz w:val="16"/>
        </w:rPr>
        <w:t>The largest increases in Western Australia’s goods imports in 202</w:t>
      </w:r>
      <w:r w:rsidR="00FD4402" w:rsidRPr="00F04690">
        <w:rPr>
          <w:sz w:val="16"/>
        </w:rPr>
        <w:t>1</w:t>
      </w:r>
      <w:r w:rsidR="00970DED" w:rsidRPr="00F04690">
        <w:rPr>
          <w:sz w:val="16"/>
        </w:rPr>
        <w:noBreakHyphen/>
      </w:r>
      <w:r w:rsidR="004F13E4" w:rsidRPr="00F04690">
        <w:rPr>
          <w:sz w:val="16"/>
        </w:rPr>
        <w:t>22</w:t>
      </w:r>
      <w:r w:rsidR="00CC52E3" w:rsidRPr="00F04690">
        <w:rPr>
          <w:sz w:val="16"/>
        </w:rPr>
        <w:t xml:space="preserve"> were from </w:t>
      </w:r>
      <w:r w:rsidR="00FD4402" w:rsidRPr="00F04690">
        <w:rPr>
          <w:sz w:val="16"/>
        </w:rPr>
        <w:t xml:space="preserve">Singapore </w:t>
      </w:r>
      <w:r w:rsidRPr="00F04690">
        <w:rPr>
          <w:sz w:val="16"/>
        </w:rPr>
        <w:t>(up $</w:t>
      </w:r>
      <w:r w:rsidR="00202492" w:rsidRPr="00F04690">
        <w:rPr>
          <w:sz w:val="16"/>
        </w:rPr>
        <w:t>2.3</w:t>
      </w:r>
      <w:r w:rsidR="00970DED" w:rsidRPr="00F04690">
        <w:rPr>
          <w:sz w:val="16"/>
        </w:rPr>
        <w:t> </w:t>
      </w:r>
      <w:r w:rsidR="00CF66C4" w:rsidRPr="00F04690">
        <w:rPr>
          <w:sz w:val="16"/>
        </w:rPr>
        <w:t>b</w:t>
      </w:r>
      <w:r w:rsidRPr="00F04690">
        <w:rPr>
          <w:sz w:val="16"/>
        </w:rPr>
        <w:t>illion</w:t>
      </w:r>
      <w:r w:rsidR="00F778A2" w:rsidRPr="00F04690">
        <w:rPr>
          <w:sz w:val="16"/>
        </w:rPr>
        <w:t xml:space="preserve"> </w:t>
      </w:r>
      <w:r w:rsidR="00C6010F" w:rsidRPr="00F04690">
        <w:rPr>
          <w:sz w:val="16"/>
        </w:rPr>
        <w:t xml:space="preserve">or </w:t>
      </w:r>
      <w:r w:rsidR="009B6305" w:rsidRPr="00F04690">
        <w:rPr>
          <w:sz w:val="16"/>
        </w:rPr>
        <w:t>137.5%</w:t>
      </w:r>
      <w:r w:rsidR="00C6010F" w:rsidRPr="00F04690">
        <w:rPr>
          <w:sz w:val="16"/>
        </w:rPr>
        <w:t>)</w:t>
      </w:r>
      <w:r w:rsidR="00953204" w:rsidRPr="00F04690">
        <w:rPr>
          <w:sz w:val="16"/>
        </w:rPr>
        <w:t>,</w:t>
      </w:r>
      <w:r w:rsidRPr="00F04690">
        <w:rPr>
          <w:sz w:val="16"/>
        </w:rPr>
        <w:t xml:space="preserve"> </w:t>
      </w:r>
      <w:r w:rsidR="00202492" w:rsidRPr="00F04690">
        <w:rPr>
          <w:sz w:val="16"/>
        </w:rPr>
        <w:t>India</w:t>
      </w:r>
      <w:r w:rsidR="00CC52E3" w:rsidRPr="00F04690">
        <w:rPr>
          <w:sz w:val="16"/>
        </w:rPr>
        <w:t xml:space="preserve"> (up $</w:t>
      </w:r>
      <w:r w:rsidR="00202492" w:rsidRPr="00F04690">
        <w:rPr>
          <w:sz w:val="16"/>
        </w:rPr>
        <w:t>1.6</w:t>
      </w:r>
      <w:r w:rsidR="009504CB" w:rsidRPr="00F04690">
        <w:rPr>
          <w:sz w:val="16"/>
        </w:rPr>
        <w:t> </w:t>
      </w:r>
      <w:r w:rsidR="00202492" w:rsidRPr="00F04690">
        <w:rPr>
          <w:sz w:val="16"/>
        </w:rPr>
        <w:t>b</w:t>
      </w:r>
      <w:r w:rsidR="00CC52E3" w:rsidRPr="00F04690">
        <w:rPr>
          <w:sz w:val="16"/>
        </w:rPr>
        <w:t>illion</w:t>
      </w:r>
      <w:r w:rsidR="00F778A2" w:rsidRPr="00F04690">
        <w:rPr>
          <w:sz w:val="16"/>
        </w:rPr>
        <w:t xml:space="preserve"> or </w:t>
      </w:r>
      <w:r w:rsidR="009B6305" w:rsidRPr="00F04690">
        <w:rPr>
          <w:sz w:val="16"/>
        </w:rPr>
        <w:t>231.8%</w:t>
      </w:r>
      <w:r w:rsidR="00E27CC3" w:rsidRPr="00F04690">
        <w:rPr>
          <w:sz w:val="16"/>
        </w:rPr>
        <w:t>)</w:t>
      </w:r>
      <w:r w:rsidR="00CC52E3" w:rsidRPr="00F04690">
        <w:rPr>
          <w:sz w:val="16"/>
        </w:rPr>
        <w:t xml:space="preserve"> and </w:t>
      </w:r>
      <w:r w:rsidR="00202492" w:rsidRPr="00F04690">
        <w:rPr>
          <w:sz w:val="16"/>
        </w:rPr>
        <w:t>China</w:t>
      </w:r>
      <w:r w:rsidR="00FD4402" w:rsidRPr="00F04690">
        <w:rPr>
          <w:sz w:val="16"/>
        </w:rPr>
        <w:t xml:space="preserve"> </w:t>
      </w:r>
      <w:r w:rsidRPr="00F04690">
        <w:rPr>
          <w:sz w:val="16"/>
        </w:rPr>
        <w:t>(up $</w:t>
      </w:r>
      <w:r w:rsidR="00202492" w:rsidRPr="00F04690">
        <w:rPr>
          <w:sz w:val="16"/>
        </w:rPr>
        <w:t>1.5</w:t>
      </w:r>
      <w:r w:rsidR="0018167A">
        <w:rPr>
          <w:sz w:val="16"/>
        </w:rPr>
        <w:t> </w:t>
      </w:r>
      <w:r w:rsidR="00202492" w:rsidRPr="00F04690">
        <w:rPr>
          <w:sz w:val="16"/>
        </w:rPr>
        <w:t>b</w:t>
      </w:r>
      <w:r w:rsidRPr="00F04690">
        <w:rPr>
          <w:sz w:val="16"/>
        </w:rPr>
        <w:t>illion</w:t>
      </w:r>
      <w:r w:rsidR="00F778A2" w:rsidRPr="00F04690">
        <w:rPr>
          <w:sz w:val="16"/>
        </w:rPr>
        <w:t xml:space="preserve"> or </w:t>
      </w:r>
      <w:r w:rsidR="00202492" w:rsidRPr="00F04690">
        <w:rPr>
          <w:sz w:val="16"/>
        </w:rPr>
        <w:t>24.0</w:t>
      </w:r>
      <w:r w:rsidR="00F778A2" w:rsidRPr="00F04690">
        <w:rPr>
          <w:sz w:val="16"/>
        </w:rPr>
        <w:t>%</w:t>
      </w:r>
      <w:r w:rsidRPr="00F04690">
        <w:rPr>
          <w:sz w:val="16"/>
        </w:rPr>
        <w:t>).</w:t>
      </w:r>
    </w:p>
    <w:p w14:paraId="793522EF" w14:textId="16022409" w:rsidR="00FD2E59" w:rsidRPr="00F046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4690">
        <w:rPr>
          <w:sz w:val="16"/>
        </w:rPr>
        <w:t>The largest decreases in Western Australia’s goods imports in 2</w:t>
      </w:r>
      <w:r w:rsidR="009E1CB0" w:rsidRPr="00F04690">
        <w:rPr>
          <w:sz w:val="16"/>
        </w:rPr>
        <w:t>0</w:t>
      </w:r>
      <w:r w:rsidR="00CC52E3" w:rsidRPr="00F04690">
        <w:rPr>
          <w:sz w:val="16"/>
        </w:rPr>
        <w:t>21</w:t>
      </w:r>
      <w:r w:rsidR="00970DED" w:rsidRPr="00F04690">
        <w:rPr>
          <w:sz w:val="16"/>
        </w:rPr>
        <w:noBreakHyphen/>
      </w:r>
      <w:r w:rsidR="004F13E4" w:rsidRPr="00F04690">
        <w:rPr>
          <w:sz w:val="16"/>
        </w:rPr>
        <w:t>22</w:t>
      </w:r>
      <w:r w:rsidRPr="00F04690">
        <w:rPr>
          <w:sz w:val="16"/>
        </w:rPr>
        <w:t xml:space="preserve"> were from </w:t>
      </w:r>
      <w:r w:rsidR="0032204D" w:rsidRPr="00F04690">
        <w:rPr>
          <w:sz w:val="16"/>
        </w:rPr>
        <w:t>Spain</w:t>
      </w:r>
      <w:r w:rsidRPr="00F04690">
        <w:rPr>
          <w:sz w:val="16"/>
        </w:rPr>
        <w:t xml:space="preserve"> </w:t>
      </w:r>
      <w:r w:rsidR="00970DED" w:rsidRPr="00F04690">
        <w:rPr>
          <w:sz w:val="16"/>
        </w:rPr>
        <w:t>(down $779 </w:t>
      </w:r>
      <w:r w:rsidR="0032204D" w:rsidRPr="00F04690">
        <w:rPr>
          <w:sz w:val="16"/>
        </w:rPr>
        <w:t>m</w:t>
      </w:r>
      <w:r w:rsidR="00CC52E3" w:rsidRPr="00F04690">
        <w:rPr>
          <w:sz w:val="16"/>
        </w:rPr>
        <w:t>illion</w:t>
      </w:r>
      <w:r w:rsidR="00F778A2" w:rsidRPr="00F04690">
        <w:rPr>
          <w:sz w:val="16"/>
        </w:rPr>
        <w:t xml:space="preserve"> or </w:t>
      </w:r>
      <w:r w:rsidR="0032204D" w:rsidRPr="00F04690">
        <w:rPr>
          <w:sz w:val="16"/>
        </w:rPr>
        <w:t>81.2</w:t>
      </w:r>
      <w:r w:rsidR="00F778A2" w:rsidRPr="00F04690">
        <w:rPr>
          <w:sz w:val="16"/>
        </w:rPr>
        <w:t>%</w:t>
      </w:r>
      <w:r w:rsidR="00CC52E3" w:rsidRPr="00F04690">
        <w:rPr>
          <w:sz w:val="16"/>
        </w:rPr>
        <w:t xml:space="preserve">), </w:t>
      </w:r>
      <w:r w:rsidR="009E1CB0" w:rsidRPr="00F04690">
        <w:rPr>
          <w:sz w:val="16"/>
        </w:rPr>
        <w:t xml:space="preserve">United </w:t>
      </w:r>
      <w:r w:rsidR="0032204D" w:rsidRPr="00F04690">
        <w:rPr>
          <w:sz w:val="16"/>
        </w:rPr>
        <w:t>Kingdom</w:t>
      </w:r>
      <w:r w:rsidR="009E1CB0" w:rsidRPr="00F04690">
        <w:rPr>
          <w:sz w:val="16"/>
        </w:rPr>
        <w:t xml:space="preserve"> </w:t>
      </w:r>
      <w:r w:rsidRPr="00F04690">
        <w:rPr>
          <w:sz w:val="16"/>
        </w:rPr>
        <w:t>(down $</w:t>
      </w:r>
      <w:r w:rsidR="0032204D" w:rsidRPr="00F04690">
        <w:rPr>
          <w:sz w:val="16"/>
        </w:rPr>
        <w:t>689</w:t>
      </w:r>
      <w:r w:rsidR="009504CB" w:rsidRPr="00F04690">
        <w:rPr>
          <w:sz w:val="16"/>
        </w:rPr>
        <w:t> </w:t>
      </w:r>
      <w:r w:rsidR="009E1CB0" w:rsidRPr="00F04690">
        <w:rPr>
          <w:sz w:val="16"/>
        </w:rPr>
        <w:t>m</w:t>
      </w:r>
      <w:r w:rsidRPr="00F04690">
        <w:rPr>
          <w:sz w:val="16"/>
        </w:rPr>
        <w:t>illion</w:t>
      </w:r>
      <w:r w:rsidR="00F778A2" w:rsidRPr="00F04690">
        <w:rPr>
          <w:sz w:val="16"/>
        </w:rPr>
        <w:t xml:space="preserve"> or </w:t>
      </w:r>
      <w:r w:rsidR="0032204D" w:rsidRPr="00F04690">
        <w:rPr>
          <w:sz w:val="16"/>
        </w:rPr>
        <w:t>43.4</w:t>
      </w:r>
      <w:r w:rsidR="00F778A2" w:rsidRPr="00F04690">
        <w:rPr>
          <w:sz w:val="16"/>
        </w:rPr>
        <w:t>%</w:t>
      </w:r>
      <w:r w:rsidRPr="00F04690">
        <w:rPr>
          <w:sz w:val="16"/>
        </w:rPr>
        <w:t xml:space="preserve">) and United </w:t>
      </w:r>
      <w:r w:rsidR="009E1CB0" w:rsidRPr="00F04690">
        <w:rPr>
          <w:sz w:val="16"/>
        </w:rPr>
        <w:t xml:space="preserve">Arab Emirates </w:t>
      </w:r>
      <w:r w:rsidRPr="00F04690">
        <w:rPr>
          <w:sz w:val="16"/>
        </w:rPr>
        <w:t>(down $</w:t>
      </w:r>
      <w:r w:rsidR="0032204D" w:rsidRPr="00F04690">
        <w:rPr>
          <w:sz w:val="16"/>
        </w:rPr>
        <w:t>423</w:t>
      </w:r>
      <w:r w:rsidRPr="00F04690">
        <w:rPr>
          <w:sz w:val="16"/>
        </w:rPr>
        <w:t> million</w:t>
      </w:r>
      <w:r w:rsidR="00F778A2" w:rsidRPr="00F04690">
        <w:rPr>
          <w:sz w:val="16"/>
        </w:rPr>
        <w:t xml:space="preserve"> or </w:t>
      </w:r>
      <w:r w:rsidR="0032204D" w:rsidRPr="00F04690">
        <w:rPr>
          <w:sz w:val="16"/>
        </w:rPr>
        <w:t>63.5</w:t>
      </w:r>
      <w:r w:rsidR="00F778A2" w:rsidRPr="00F04690">
        <w:rPr>
          <w:sz w:val="16"/>
        </w:rPr>
        <w:t>%</w:t>
      </w:r>
      <w:r w:rsidRPr="00F04690">
        <w:rPr>
          <w:sz w:val="16"/>
        </w:rPr>
        <w:t>).</w:t>
      </w:r>
    </w:p>
    <w:p w14:paraId="068A2E7A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25B756" w14:textId="44B05F9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973005">
        <w:rPr>
          <w:b/>
          <w:color w:val="92278F" w:themeColor="accent1"/>
          <w:sz w:val="20"/>
        </w:rPr>
        <w:t>financial</w:t>
      </w:r>
      <w:r w:rsidRPr="00A875F5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7F76737" w14:textId="5587D4A6" w:rsidR="00FD2E59" w:rsidRDefault="001746F7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82F93F3" wp14:editId="77877096">
            <wp:extent cx="3528000" cy="2103405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79A52" w14:textId="62C2314B" w:rsidR="005371FE" w:rsidRPr="00A5645B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 xml:space="preserve">telecommunications, computer &amp; information; insurance &amp; pension; personal, cultural &amp; </w:t>
      </w:r>
      <w:r w:rsidRPr="00A5645B">
        <w:rPr>
          <w:sz w:val="10"/>
        </w:rPr>
        <w:t>recreational; professional &amp; management consulting; intellectual property charges; rese</w:t>
      </w:r>
      <w:r w:rsidR="00E317BB">
        <w:rPr>
          <w:sz w:val="10"/>
        </w:rPr>
        <w:t>arch &amp; development; and others</w:t>
      </w:r>
      <w:r w:rsidR="005371FE" w:rsidRPr="00A5645B">
        <w:rPr>
          <w:sz w:val="10"/>
        </w:rPr>
        <w:t>.</w:t>
      </w:r>
    </w:p>
    <w:p w14:paraId="4F044397" w14:textId="124836EA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637898" w:rsidRPr="00A875F5">
        <w:rPr>
          <w:sz w:val="10"/>
        </w:rPr>
        <w:t xml:space="preserve">Based on data from </w:t>
      </w:r>
      <w:r w:rsidRPr="00A875F5">
        <w:rPr>
          <w:sz w:val="10"/>
        </w:rPr>
        <w:t xml:space="preserve">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</w:t>
      </w:r>
      <w:r w:rsidRPr="00E138D0">
        <w:rPr>
          <w:sz w:val="10"/>
        </w:rPr>
        <w:t>).</w:t>
      </w:r>
    </w:p>
    <w:p w14:paraId="40363B99" w14:textId="77777777" w:rsidR="001746F7" w:rsidRPr="001746F7" w:rsidRDefault="00FD2E59" w:rsidP="001746F7">
      <w:pPr>
        <w:pStyle w:val="BodyText"/>
        <w:spacing w:after="0"/>
        <w:jc w:val="both"/>
        <w:rPr>
          <w:color w:val="00B0F0"/>
          <w:sz w:val="16"/>
        </w:rPr>
      </w:pPr>
      <w:r>
        <w:rPr>
          <w:sz w:val="16"/>
        </w:rPr>
        <w:br w:type="column"/>
      </w:r>
    </w:p>
    <w:p w14:paraId="71A1CB8C" w14:textId="7B532819" w:rsidR="00FD2E59" w:rsidRPr="003C3E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3E25">
        <w:rPr>
          <w:sz w:val="16"/>
        </w:rPr>
        <w:t>W</w:t>
      </w:r>
      <w:r w:rsidR="00FB502D" w:rsidRPr="003C3E25">
        <w:rPr>
          <w:sz w:val="16"/>
        </w:rPr>
        <w:t>estern Australia account</w:t>
      </w:r>
      <w:r w:rsidR="001F0E58" w:rsidRPr="003C3E25">
        <w:rPr>
          <w:sz w:val="16"/>
        </w:rPr>
        <w:t>ed for 8.4</w:t>
      </w:r>
      <w:r w:rsidRPr="003C3E25">
        <w:rPr>
          <w:sz w:val="16"/>
        </w:rPr>
        <w:t>% of Aust</w:t>
      </w:r>
      <w:r w:rsidR="004F7B7D" w:rsidRPr="003C3E25">
        <w:rPr>
          <w:sz w:val="16"/>
        </w:rPr>
        <w:t xml:space="preserve">ralia’s services imports in </w:t>
      </w:r>
      <w:r w:rsidR="00182382" w:rsidRPr="003C3E25">
        <w:rPr>
          <w:sz w:val="16"/>
        </w:rPr>
        <w:t>2021</w:t>
      </w:r>
      <w:r w:rsidR="001F0E58" w:rsidRPr="003C3E25">
        <w:rPr>
          <w:sz w:val="16"/>
        </w:rPr>
        <w:t>-22</w:t>
      </w:r>
      <w:r w:rsidR="004F7B7D" w:rsidRPr="003C3E25">
        <w:rPr>
          <w:sz w:val="16"/>
        </w:rPr>
        <w:t>.</w:t>
      </w:r>
    </w:p>
    <w:p w14:paraId="670AB5F0" w14:textId="290AF7F7" w:rsidR="00FD2E59" w:rsidRPr="003C3E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3E25">
        <w:rPr>
          <w:sz w:val="16"/>
        </w:rPr>
        <w:t>The value of Western Austra</w:t>
      </w:r>
      <w:r w:rsidR="001F0E58" w:rsidRPr="003C3E25">
        <w:rPr>
          <w:sz w:val="16"/>
        </w:rPr>
        <w:t>lia’s services imports rose 52.5</w:t>
      </w:r>
      <w:r w:rsidRPr="003C3E25">
        <w:rPr>
          <w:sz w:val="16"/>
        </w:rPr>
        <w:t>% to $</w:t>
      </w:r>
      <w:r w:rsidR="001F0E58" w:rsidRPr="003C3E25">
        <w:rPr>
          <w:sz w:val="16"/>
        </w:rPr>
        <w:t>6.1</w:t>
      </w:r>
      <w:r w:rsidR="0008361E" w:rsidRPr="003C3E25">
        <w:rPr>
          <w:sz w:val="16"/>
        </w:rPr>
        <w:t> </w:t>
      </w:r>
      <w:r w:rsidR="004F7B7D" w:rsidRPr="003C3E25">
        <w:rPr>
          <w:sz w:val="16"/>
        </w:rPr>
        <w:t xml:space="preserve">billion in </w:t>
      </w:r>
      <w:r w:rsidR="00182382" w:rsidRPr="003C3E25">
        <w:rPr>
          <w:sz w:val="16"/>
        </w:rPr>
        <w:t>2021</w:t>
      </w:r>
      <w:r w:rsidR="001F0E58" w:rsidRPr="003C3E25">
        <w:rPr>
          <w:sz w:val="16"/>
        </w:rPr>
        <w:t>-22</w:t>
      </w:r>
      <w:r w:rsidR="004F7B7D" w:rsidRPr="003C3E25">
        <w:rPr>
          <w:sz w:val="16"/>
        </w:rPr>
        <w:t>.</w:t>
      </w:r>
    </w:p>
    <w:p w14:paraId="20F2B099" w14:textId="650ACA1C" w:rsidR="00FD2E59" w:rsidRPr="003C3E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3E25">
        <w:rPr>
          <w:sz w:val="16"/>
        </w:rPr>
        <w:t>Western Australia’s</w:t>
      </w:r>
      <w:r w:rsidR="001F0E58" w:rsidRPr="003C3E25">
        <w:rPr>
          <w:sz w:val="16"/>
        </w:rPr>
        <w:t xml:space="preserve"> real services imports rose 21.0</w:t>
      </w:r>
      <w:r w:rsidR="00377FB5" w:rsidRPr="003C3E25">
        <w:rPr>
          <w:sz w:val="16"/>
        </w:rPr>
        <w:t>% in 20</w:t>
      </w:r>
      <w:r w:rsidR="0040184B" w:rsidRPr="003C3E25">
        <w:rPr>
          <w:sz w:val="16"/>
        </w:rPr>
        <w:t>21</w:t>
      </w:r>
      <w:r w:rsidR="001F0E58" w:rsidRPr="003C3E25">
        <w:rPr>
          <w:sz w:val="16"/>
        </w:rPr>
        <w:t>-22</w:t>
      </w:r>
      <w:r w:rsidR="00FB0666" w:rsidRPr="003C3E25">
        <w:rPr>
          <w:sz w:val="16"/>
        </w:rPr>
        <w:t>.</w:t>
      </w:r>
    </w:p>
    <w:p w14:paraId="196DB374" w14:textId="35A46C45" w:rsidR="00FD2E59" w:rsidRPr="003C3E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3E25">
        <w:rPr>
          <w:sz w:val="16"/>
        </w:rPr>
        <w:t xml:space="preserve">Western Australia’s travel and </w:t>
      </w:r>
      <w:r w:rsidR="001F0E58" w:rsidRPr="003C3E25">
        <w:rPr>
          <w:sz w:val="16"/>
        </w:rPr>
        <w:t>transport services imports more than doubled (up 11</w:t>
      </w:r>
      <w:r w:rsidR="001746F7" w:rsidRPr="003C3E25">
        <w:rPr>
          <w:sz w:val="16"/>
        </w:rPr>
        <w:t>4</w:t>
      </w:r>
      <w:r w:rsidRPr="003C3E25">
        <w:rPr>
          <w:sz w:val="16"/>
        </w:rPr>
        <w:t>%</w:t>
      </w:r>
      <w:r w:rsidR="001F0E58" w:rsidRPr="003C3E25">
        <w:rPr>
          <w:sz w:val="16"/>
        </w:rPr>
        <w:t>)</w:t>
      </w:r>
      <w:r w:rsidRPr="003C3E25">
        <w:rPr>
          <w:sz w:val="16"/>
        </w:rPr>
        <w:t xml:space="preserve"> to $</w:t>
      </w:r>
      <w:r w:rsidR="001F0E58" w:rsidRPr="003C3E25">
        <w:rPr>
          <w:sz w:val="16"/>
        </w:rPr>
        <w:t>3.6</w:t>
      </w:r>
      <w:r w:rsidR="00BF1371" w:rsidRPr="003C3E25">
        <w:rPr>
          <w:sz w:val="16"/>
        </w:rPr>
        <w:t xml:space="preserve"> billion in </w:t>
      </w:r>
      <w:r w:rsidR="00182382" w:rsidRPr="003C3E25">
        <w:rPr>
          <w:sz w:val="16"/>
        </w:rPr>
        <w:t>2021</w:t>
      </w:r>
      <w:r w:rsidR="001F0E58" w:rsidRPr="003C3E25">
        <w:rPr>
          <w:sz w:val="16"/>
        </w:rPr>
        <w:t>-22,</w:t>
      </w:r>
      <w:r w:rsidR="00BF1371" w:rsidRPr="003C3E25">
        <w:rPr>
          <w:sz w:val="16"/>
        </w:rPr>
        <w:t xml:space="preserve"> </w:t>
      </w:r>
      <w:r w:rsidRPr="003C3E25">
        <w:rPr>
          <w:sz w:val="16"/>
        </w:rPr>
        <w:t>with</w:t>
      </w:r>
      <w:r w:rsidR="00970DED" w:rsidRPr="003C3E25">
        <w:rPr>
          <w:sz w:val="16"/>
        </w:rPr>
        <w:t xml:space="preserve"> imports of</w:t>
      </w:r>
      <w:r w:rsidRPr="003C3E25">
        <w:rPr>
          <w:sz w:val="16"/>
        </w:rPr>
        <w:t>:</w:t>
      </w:r>
    </w:p>
    <w:p w14:paraId="5B3CA52E" w14:textId="7FDA59DF" w:rsidR="001F0E58" w:rsidRPr="003C3E25" w:rsidRDefault="001F0E58" w:rsidP="001F0E5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C3E25">
        <w:rPr>
          <w:sz w:val="16"/>
        </w:rPr>
        <w:t>transport up $1.2 billion (7</w:t>
      </w:r>
      <w:r w:rsidR="001746F7" w:rsidRPr="003C3E25">
        <w:rPr>
          <w:sz w:val="16"/>
        </w:rPr>
        <w:t>6</w:t>
      </w:r>
      <w:r w:rsidRPr="003C3E25">
        <w:rPr>
          <w:sz w:val="16"/>
        </w:rPr>
        <w:t>%) to $2.8 billion</w:t>
      </w:r>
    </w:p>
    <w:p w14:paraId="6BE6EB63" w14:textId="76B6B2CD" w:rsidR="00FD2E59" w:rsidRPr="003C3E25" w:rsidRDefault="0002121D" w:rsidP="001F0E5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3C3E25">
        <w:rPr>
          <w:sz w:val="16"/>
        </w:rPr>
        <w:t>p</w:t>
      </w:r>
      <w:r w:rsidR="001746F7" w:rsidRPr="003C3E25">
        <w:rPr>
          <w:sz w:val="16"/>
        </w:rPr>
        <w:t>ersonal</w:t>
      </w:r>
      <w:proofErr w:type="gramEnd"/>
      <w:r w:rsidR="001746F7" w:rsidRPr="003C3E25">
        <w:rPr>
          <w:sz w:val="16"/>
        </w:rPr>
        <w:t xml:space="preserve"> travel up $627 </w:t>
      </w:r>
      <w:r w:rsidR="001F0E58" w:rsidRPr="003C3E25">
        <w:rPr>
          <w:sz w:val="16"/>
        </w:rPr>
        <w:t>million (1,229</w:t>
      </w:r>
      <w:r w:rsidR="00377FB5" w:rsidRPr="003C3E25">
        <w:rPr>
          <w:sz w:val="16"/>
        </w:rPr>
        <w:t>%) to $</w:t>
      </w:r>
      <w:r w:rsidR="001F0E58" w:rsidRPr="003C3E25">
        <w:rPr>
          <w:sz w:val="16"/>
        </w:rPr>
        <w:t>678</w:t>
      </w:r>
      <w:r w:rsidR="00A978E8" w:rsidRPr="003C3E25">
        <w:rPr>
          <w:sz w:val="16"/>
        </w:rPr>
        <w:t> </w:t>
      </w:r>
      <w:r w:rsidR="00EF6BAF" w:rsidRPr="003C3E25">
        <w:rPr>
          <w:sz w:val="16"/>
        </w:rPr>
        <w:t>m</w:t>
      </w:r>
      <w:r w:rsidR="00FD2E59" w:rsidRPr="003C3E25">
        <w:rPr>
          <w:sz w:val="16"/>
        </w:rPr>
        <w:t>illion</w:t>
      </w:r>
      <w:r w:rsidR="000A5776" w:rsidRPr="003C3E25">
        <w:rPr>
          <w:sz w:val="16"/>
        </w:rPr>
        <w:t>.</w:t>
      </w:r>
    </w:p>
    <w:p w14:paraId="14E119D2" w14:textId="786208D5" w:rsidR="00FD2E59" w:rsidRPr="003C3E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3E25">
        <w:rPr>
          <w:sz w:val="16"/>
        </w:rPr>
        <w:t>Western Australia’s business and</w:t>
      </w:r>
      <w:r w:rsidR="001F0E58" w:rsidRPr="003C3E25">
        <w:rPr>
          <w:sz w:val="16"/>
        </w:rPr>
        <w:t xml:space="preserve"> other services imports rose 8.0</w:t>
      </w:r>
      <w:r w:rsidR="00E317BB" w:rsidRPr="003C3E25">
        <w:rPr>
          <w:sz w:val="16"/>
        </w:rPr>
        <w:t>% to $2.5</w:t>
      </w:r>
      <w:r w:rsidR="001746F7" w:rsidRPr="003C3E25">
        <w:rPr>
          <w:sz w:val="16"/>
        </w:rPr>
        <w:t> </w:t>
      </w:r>
      <w:r w:rsidRPr="003C3E25">
        <w:rPr>
          <w:sz w:val="16"/>
        </w:rPr>
        <w:t>billion in</w:t>
      </w:r>
      <w:r w:rsidR="00182382" w:rsidRPr="003C3E25">
        <w:rPr>
          <w:sz w:val="16"/>
        </w:rPr>
        <w:t xml:space="preserve"> 2021</w:t>
      </w:r>
      <w:r w:rsidR="00E317BB" w:rsidRPr="003C3E25">
        <w:rPr>
          <w:sz w:val="16"/>
        </w:rPr>
        <w:t>-22,</w:t>
      </w:r>
      <w:r w:rsidRPr="003C3E25">
        <w:rPr>
          <w:sz w:val="16"/>
        </w:rPr>
        <w:t xml:space="preserve"> with</w:t>
      </w:r>
      <w:r w:rsidR="00970DED" w:rsidRPr="003C3E25">
        <w:rPr>
          <w:sz w:val="16"/>
        </w:rPr>
        <w:t xml:space="preserve"> imports of</w:t>
      </w:r>
      <w:r w:rsidRPr="003C3E25">
        <w:rPr>
          <w:sz w:val="16"/>
        </w:rPr>
        <w:t>:</w:t>
      </w:r>
    </w:p>
    <w:p w14:paraId="6F94D136" w14:textId="59F646CD" w:rsidR="00E317BB" w:rsidRPr="003C3E25" w:rsidRDefault="0002121D" w:rsidP="005F162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C3E25">
        <w:rPr>
          <w:sz w:val="16"/>
        </w:rPr>
        <w:t>p</w:t>
      </w:r>
      <w:r w:rsidR="00FD2E59" w:rsidRPr="003C3E25">
        <w:rPr>
          <w:sz w:val="16"/>
        </w:rPr>
        <w:t>rofessional and managem</w:t>
      </w:r>
      <w:r w:rsidR="001354B7" w:rsidRPr="003C3E25">
        <w:rPr>
          <w:sz w:val="16"/>
        </w:rPr>
        <w:t>e</w:t>
      </w:r>
      <w:r w:rsidR="00E317BB" w:rsidRPr="003C3E25">
        <w:rPr>
          <w:sz w:val="16"/>
        </w:rPr>
        <w:t>nt consulting services up $205</w:t>
      </w:r>
      <w:r w:rsidR="00970DED" w:rsidRPr="003C3E25">
        <w:rPr>
          <w:sz w:val="16"/>
        </w:rPr>
        <w:t> </w:t>
      </w:r>
      <w:r w:rsidR="00FD2E59" w:rsidRPr="003C3E25">
        <w:rPr>
          <w:sz w:val="16"/>
        </w:rPr>
        <w:t>milli</w:t>
      </w:r>
      <w:r w:rsidR="00E317BB" w:rsidRPr="003C3E25">
        <w:rPr>
          <w:sz w:val="16"/>
        </w:rPr>
        <w:t>on (33</w:t>
      </w:r>
      <w:r w:rsidR="00FD2E59" w:rsidRPr="003C3E25">
        <w:rPr>
          <w:sz w:val="16"/>
        </w:rPr>
        <w:t>%) to $</w:t>
      </w:r>
      <w:r w:rsidR="00E317BB" w:rsidRPr="003C3E25">
        <w:rPr>
          <w:sz w:val="16"/>
        </w:rPr>
        <w:t>817</w:t>
      </w:r>
      <w:r w:rsidR="00970DED" w:rsidRPr="003C3E25">
        <w:rPr>
          <w:sz w:val="16"/>
        </w:rPr>
        <w:t> </w:t>
      </w:r>
      <w:r w:rsidR="00FD2E59" w:rsidRPr="003C3E25">
        <w:rPr>
          <w:sz w:val="16"/>
        </w:rPr>
        <w:t>million</w:t>
      </w:r>
    </w:p>
    <w:p w14:paraId="2F4C5737" w14:textId="580708B4" w:rsidR="00FD2E59" w:rsidRPr="003C3E25" w:rsidRDefault="00E317BB" w:rsidP="005F162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3C3E25">
        <w:rPr>
          <w:sz w:val="16"/>
        </w:rPr>
        <w:t>intellectual</w:t>
      </w:r>
      <w:proofErr w:type="gramEnd"/>
      <w:r w:rsidRPr="003C3E25">
        <w:rPr>
          <w:sz w:val="16"/>
        </w:rPr>
        <w:t xml:space="preserve"> property charges up $59 million (6</w:t>
      </w:r>
      <w:r w:rsidR="001746F7" w:rsidRPr="003C3E25">
        <w:rPr>
          <w:sz w:val="16"/>
        </w:rPr>
        <w:t>8%) to $146 </w:t>
      </w:r>
      <w:r w:rsidRPr="003C3E25">
        <w:rPr>
          <w:sz w:val="16"/>
        </w:rPr>
        <w:t>million</w:t>
      </w:r>
      <w:r w:rsidR="00FD2E59" w:rsidRPr="003C3E25">
        <w:rPr>
          <w:sz w:val="16"/>
        </w:rPr>
        <w:t>.</w:t>
      </w:r>
    </w:p>
    <w:p w14:paraId="1EBA928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6940BB3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Mining industry</w:t>
      </w:r>
    </w:p>
    <w:p w14:paraId="2891B6E2" w14:textId="74BC2CE3" w:rsidR="00FD2E59" w:rsidRPr="00020369" w:rsidRDefault="0052013C" w:rsidP="00FD2E59">
      <w:pPr>
        <w:spacing w:after="0"/>
        <w:jc w:val="both"/>
        <w:rPr>
          <w:color w:val="92278F" w:themeColor="accent1"/>
          <w:sz w:val="16"/>
        </w:rPr>
      </w:pPr>
      <w:r>
        <w:rPr>
          <w:b/>
          <w:color w:val="92278F" w:themeColor="accent1"/>
          <w:sz w:val="20"/>
        </w:rPr>
        <w:t>Minerals production: 2021</w:t>
      </w:r>
      <w:r w:rsidR="00FD2E59" w:rsidRPr="00020369">
        <w:rPr>
          <w:b/>
          <w:color w:val="92278F" w:themeColor="accent1"/>
          <w:sz w:val="20"/>
        </w:rPr>
        <w:t xml:space="preserve"> calendar year</w:t>
      </w:r>
    </w:p>
    <w:tbl>
      <w:tblPr>
        <w:tblStyle w:val="ListTable3-Accent1"/>
        <w:tblW w:w="58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95"/>
        <w:gridCol w:w="473"/>
        <w:gridCol w:w="1009"/>
        <w:gridCol w:w="790"/>
        <w:gridCol w:w="670"/>
        <w:gridCol w:w="863"/>
        <w:gridCol w:w="863"/>
      </w:tblGrid>
      <w:tr w:rsidR="00FD2E59" w:rsidRPr="00AD28BB" w14:paraId="6B4A68F5" w14:textId="77777777" w:rsidTr="00CF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5" w:type="dxa"/>
            <w:shd w:val="clear" w:color="auto" w:fill="002060"/>
            <w:vAlign w:val="center"/>
          </w:tcPr>
          <w:p w14:paraId="7921C275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Commodity</w:t>
            </w:r>
          </w:p>
        </w:tc>
        <w:tc>
          <w:tcPr>
            <w:tcW w:w="473" w:type="dxa"/>
            <w:shd w:val="clear" w:color="auto" w:fill="002060"/>
            <w:vAlign w:val="center"/>
          </w:tcPr>
          <w:p w14:paraId="1F2DF1DA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Unit</w:t>
            </w:r>
          </w:p>
        </w:tc>
        <w:tc>
          <w:tcPr>
            <w:tcW w:w="1009" w:type="dxa"/>
            <w:shd w:val="clear" w:color="auto" w:fill="002060"/>
            <w:vAlign w:val="center"/>
          </w:tcPr>
          <w:p w14:paraId="40A3E8AD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Western 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6B21FC5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11DA074C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World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7456ADEC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>A share</w:t>
            </w:r>
          </w:p>
          <w:p w14:paraId="3C5B233B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Aust.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0F6368E0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 xml:space="preserve">A </w:t>
            </w:r>
            <w:r w:rsidRPr="007211AE">
              <w:rPr>
                <w:rFonts w:cstheme="minorHAnsi"/>
                <w:b w:val="0"/>
                <w:sz w:val="14"/>
                <w:szCs w:val="14"/>
              </w:rPr>
              <w:t>share</w:t>
            </w:r>
          </w:p>
          <w:p w14:paraId="73BB1610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world</w:t>
            </w:r>
          </w:p>
        </w:tc>
      </w:tr>
      <w:tr w:rsidR="00FD2E59" w:rsidRPr="00AD28BB" w14:paraId="7EFF06E0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0A976AB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Lithium</w:t>
            </w:r>
          </w:p>
        </w:tc>
        <w:tc>
          <w:tcPr>
            <w:tcW w:w="473" w:type="dxa"/>
            <w:vAlign w:val="center"/>
          </w:tcPr>
          <w:p w14:paraId="203A34BF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740646D2" w14:textId="59846E92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2FD7D269" w14:textId="481F68A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05AFE42F" w14:textId="12B0FC5D" w:rsidR="00FD2E59" w:rsidRPr="008536A7" w:rsidRDefault="00752A7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105</w:t>
            </w:r>
          </w:p>
        </w:tc>
        <w:tc>
          <w:tcPr>
            <w:tcW w:w="0" w:type="auto"/>
            <w:vAlign w:val="center"/>
          </w:tcPr>
          <w:p w14:paraId="47D190FA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DB39F9C" w14:textId="3ED35C4F" w:rsidR="00FD2E59" w:rsidRPr="008536A7" w:rsidRDefault="00752A7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53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24AB0D8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8B7AC19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473" w:type="dxa"/>
            <w:vAlign w:val="center"/>
          </w:tcPr>
          <w:p w14:paraId="5952042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A759060" w14:textId="1C355560" w:rsidR="00FD2E59" w:rsidRPr="008536A7" w:rsidRDefault="00E75BF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838</w:t>
            </w:r>
          </w:p>
        </w:tc>
        <w:tc>
          <w:tcPr>
            <w:tcW w:w="0" w:type="auto"/>
            <w:vAlign w:val="center"/>
          </w:tcPr>
          <w:p w14:paraId="4B308EA9" w14:textId="0433AA2F" w:rsidR="00FD2E59" w:rsidRPr="008536A7" w:rsidRDefault="00E75BF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848</w:t>
            </w:r>
          </w:p>
        </w:tc>
        <w:tc>
          <w:tcPr>
            <w:tcW w:w="0" w:type="auto"/>
            <w:vAlign w:val="center"/>
          </w:tcPr>
          <w:p w14:paraId="20DDD6CB" w14:textId="7D138D9C" w:rsidR="00FD2E59" w:rsidRPr="008536A7" w:rsidRDefault="00752A7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2,479</w:t>
            </w:r>
          </w:p>
        </w:tc>
        <w:tc>
          <w:tcPr>
            <w:tcW w:w="0" w:type="auto"/>
            <w:vAlign w:val="center"/>
          </w:tcPr>
          <w:p w14:paraId="7985E4B6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99%</w:t>
            </w:r>
          </w:p>
        </w:tc>
        <w:tc>
          <w:tcPr>
            <w:tcW w:w="0" w:type="auto"/>
            <w:vAlign w:val="center"/>
          </w:tcPr>
          <w:p w14:paraId="20A41873" w14:textId="5DE5335D" w:rsidR="00FD2E59" w:rsidRPr="008536A7" w:rsidRDefault="00752A7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34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F28B26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66F29BC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Garnet</w:t>
            </w:r>
          </w:p>
        </w:tc>
        <w:tc>
          <w:tcPr>
            <w:tcW w:w="473" w:type="dxa"/>
            <w:vAlign w:val="center"/>
          </w:tcPr>
          <w:p w14:paraId="41A0CDEA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510861D3" w14:textId="479B0FF8" w:rsidR="00FD2E59" w:rsidRPr="008536A7" w:rsidRDefault="00E75BF8" w:rsidP="00685789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499DB0FF" w14:textId="4384E42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419BFC34" w14:textId="36D734CE" w:rsidR="00FD2E59" w:rsidRPr="008536A7" w:rsidRDefault="0045786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1,036</w:t>
            </w:r>
          </w:p>
        </w:tc>
        <w:tc>
          <w:tcPr>
            <w:tcW w:w="0" w:type="auto"/>
            <w:vAlign w:val="center"/>
          </w:tcPr>
          <w:p w14:paraId="1827415E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5036AE5" w14:textId="42154D2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31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C2F93" w:rsidRPr="00AD28BB" w14:paraId="6F13CBAE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751D444" w14:textId="4B2FAAB5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Zircon</w:t>
            </w:r>
          </w:p>
        </w:tc>
        <w:tc>
          <w:tcPr>
            <w:tcW w:w="473" w:type="dxa"/>
            <w:vAlign w:val="center"/>
          </w:tcPr>
          <w:p w14:paraId="59491848" w14:textId="7514F8D4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4356B5B" w14:textId="10817AF5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265</w:t>
            </w:r>
          </w:p>
        </w:tc>
        <w:tc>
          <w:tcPr>
            <w:tcW w:w="0" w:type="auto"/>
            <w:vAlign w:val="center"/>
          </w:tcPr>
          <w:p w14:paraId="70645CCB" w14:textId="62FFBE12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400</w:t>
            </w:r>
          </w:p>
        </w:tc>
        <w:tc>
          <w:tcPr>
            <w:tcW w:w="0" w:type="auto"/>
            <w:vAlign w:val="center"/>
          </w:tcPr>
          <w:p w14:paraId="5548D6AC" w14:textId="0EA9163A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1,215</w:t>
            </w:r>
          </w:p>
        </w:tc>
        <w:tc>
          <w:tcPr>
            <w:tcW w:w="0" w:type="auto"/>
            <w:vAlign w:val="center"/>
          </w:tcPr>
          <w:p w14:paraId="6660794C" w14:textId="61F2F8B1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66%</w:t>
            </w:r>
          </w:p>
        </w:tc>
        <w:tc>
          <w:tcPr>
            <w:tcW w:w="0" w:type="auto"/>
            <w:vAlign w:val="center"/>
          </w:tcPr>
          <w:p w14:paraId="1E1A3945" w14:textId="24540E08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22%</w:t>
            </w:r>
          </w:p>
        </w:tc>
      </w:tr>
      <w:tr w:rsidR="00FC2F93" w:rsidRPr="00AD28BB" w14:paraId="5B5E64BB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BAFFCB1" w14:textId="5EE3F253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Rutile</w:t>
            </w:r>
          </w:p>
        </w:tc>
        <w:tc>
          <w:tcPr>
            <w:tcW w:w="473" w:type="dxa"/>
            <w:vAlign w:val="center"/>
          </w:tcPr>
          <w:p w14:paraId="397E0205" w14:textId="69D430B1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2204CFD" w14:textId="0C5CEEA4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66</w:t>
            </w:r>
          </w:p>
        </w:tc>
        <w:tc>
          <w:tcPr>
            <w:tcW w:w="0" w:type="auto"/>
            <w:vAlign w:val="center"/>
          </w:tcPr>
          <w:p w14:paraId="1C365137" w14:textId="643BB21D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6AD67382" w14:textId="612CE6A3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629</w:t>
            </w:r>
          </w:p>
        </w:tc>
        <w:tc>
          <w:tcPr>
            <w:tcW w:w="0" w:type="auto"/>
            <w:vAlign w:val="center"/>
          </w:tcPr>
          <w:p w14:paraId="401A3BD6" w14:textId="1298EED5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33%</w:t>
            </w:r>
          </w:p>
        </w:tc>
        <w:tc>
          <w:tcPr>
            <w:tcW w:w="0" w:type="auto"/>
            <w:vAlign w:val="center"/>
          </w:tcPr>
          <w:p w14:paraId="49765317" w14:textId="100F1F46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11%</w:t>
            </w:r>
          </w:p>
        </w:tc>
      </w:tr>
      <w:tr w:rsidR="00FC2F93" w:rsidRPr="00AD28BB" w14:paraId="4A32CDF6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79B437" w14:textId="6C48D069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Alumina</w:t>
            </w:r>
          </w:p>
        </w:tc>
        <w:tc>
          <w:tcPr>
            <w:tcW w:w="473" w:type="dxa"/>
            <w:vAlign w:val="center"/>
          </w:tcPr>
          <w:p w14:paraId="0903924D" w14:textId="40702CA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69105229" w14:textId="2A6DDAB6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center"/>
          </w:tcPr>
          <w:p w14:paraId="322CE5F5" w14:textId="536C3C00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F7EB387" w14:textId="7A46BB91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136</w:t>
            </w:r>
          </w:p>
        </w:tc>
        <w:tc>
          <w:tcPr>
            <w:tcW w:w="0" w:type="auto"/>
            <w:vAlign w:val="center"/>
          </w:tcPr>
          <w:p w14:paraId="3ABA45D8" w14:textId="0696954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70%</w:t>
            </w:r>
          </w:p>
        </w:tc>
        <w:tc>
          <w:tcPr>
            <w:tcW w:w="0" w:type="auto"/>
            <w:vAlign w:val="center"/>
          </w:tcPr>
          <w:p w14:paraId="1716366E" w14:textId="59E971F9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1BCEC073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A143275" w14:textId="6BC64B99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Rare earths</w:t>
            </w:r>
          </w:p>
        </w:tc>
        <w:tc>
          <w:tcPr>
            <w:tcW w:w="473" w:type="dxa"/>
            <w:vAlign w:val="center"/>
          </w:tcPr>
          <w:p w14:paraId="13E06F0D" w14:textId="314F2D3C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2410F036" w14:textId="45872BFE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38DBFAB8" w14:textId="6DAF76E7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6A2E3A09" w14:textId="7F716EA1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275</w:t>
            </w:r>
          </w:p>
        </w:tc>
        <w:tc>
          <w:tcPr>
            <w:tcW w:w="0" w:type="auto"/>
            <w:vAlign w:val="center"/>
          </w:tcPr>
          <w:p w14:paraId="0A755945" w14:textId="3DAE1A4A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52EE520E" w14:textId="5B334FD7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34EABE0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B9BBB0" w14:textId="5A8AC578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473" w:type="dxa"/>
            <w:vAlign w:val="center"/>
          </w:tcPr>
          <w:p w14:paraId="21624CD2" w14:textId="18C668A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5329CDC2" w14:textId="0EAABE1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207</w:t>
            </w:r>
          </w:p>
        </w:tc>
        <w:tc>
          <w:tcPr>
            <w:tcW w:w="0" w:type="auto"/>
            <w:vAlign w:val="center"/>
          </w:tcPr>
          <w:p w14:paraId="05C77188" w14:textId="474C55B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303</w:t>
            </w:r>
          </w:p>
        </w:tc>
        <w:tc>
          <w:tcPr>
            <w:tcW w:w="0" w:type="auto"/>
            <w:vAlign w:val="center"/>
          </w:tcPr>
          <w:p w14:paraId="4F5B3104" w14:textId="568259DA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2,803</w:t>
            </w:r>
          </w:p>
        </w:tc>
        <w:tc>
          <w:tcPr>
            <w:tcW w:w="0" w:type="auto"/>
            <w:vAlign w:val="center"/>
          </w:tcPr>
          <w:p w14:paraId="787452A5" w14:textId="61BDD563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68%</w:t>
            </w:r>
          </w:p>
        </w:tc>
        <w:tc>
          <w:tcPr>
            <w:tcW w:w="0" w:type="auto"/>
            <w:vAlign w:val="center"/>
          </w:tcPr>
          <w:p w14:paraId="21938F3C" w14:textId="4AB024F6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7%</w:t>
            </w:r>
          </w:p>
        </w:tc>
      </w:tr>
      <w:tr w:rsidR="00FC2F93" w:rsidRPr="00AD28BB" w14:paraId="0361EEE8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C89B69D" w14:textId="5A832BFF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Nickel ore</w:t>
            </w:r>
          </w:p>
        </w:tc>
        <w:tc>
          <w:tcPr>
            <w:tcW w:w="473" w:type="dxa"/>
            <w:vAlign w:val="center"/>
          </w:tcPr>
          <w:p w14:paraId="3A2F8039" w14:textId="753BC1E8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4B56E6B8" w14:textId="108ACD2E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5FDDFCC7" w14:textId="37EE26C4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623759A0" w14:textId="46520ADD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2,738</w:t>
            </w:r>
          </w:p>
        </w:tc>
        <w:tc>
          <w:tcPr>
            <w:tcW w:w="0" w:type="auto"/>
            <w:vAlign w:val="center"/>
          </w:tcPr>
          <w:p w14:paraId="00762838" w14:textId="54779C12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FF19EB2" w14:textId="0BAB4BF0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5%</w:t>
            </w:r>
          </w:p>
        </w:tc>
      </w:tr>
      <w:tr w:rsidR="00FC2F93" w:rsidRPr="00AD28BB" w14:paraId="5C4AB614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F16E9DC" w14:textId="7F311EB8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Salt</w:t>
            </w:r>
          </w:p>
        </w:tc>
        <w:tc>
          <w:tcPr>
            <w:tcW w:w="473" w:type="dxa"/>
            <w:vAlign w:val="center"/>
          </w:tcPr>
          <w:p w14:paraId="0D1683E0" w14:textId="1A74770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3CDF1E1" w14:textId="0106F68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7EC525D8" w14:textId="032C4840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6C49B8E4" w14:textId="54DC835C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280</w:t>
            </w:r>
          </w:p>
        </w:tc>
        <w:tc>
          <w:tcPr>
            <w:tcW w:w="0" w:type="auto"/>
            <w:vAlign w:val="center"/>
          </w:tcPr>
          <w:p w14:paraId="6346F28B" w14:textId="2AA84A08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3D3B81B" w14:textId="152CEBD3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4%</w:t>
            </w:r>
          </w:p>
        </w:tc>
      </w:tr>
      <w:tr w:rsidR="009B489A" w:rsidRPr="00AD28BB" w14:paraId="751F703D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938080A" w14:textId="73FC3B86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Cobalt</w:t>
            </w:r>
          </w:p>
        </w:tc>
        <w:tc>
          <w:tcPr>
            <w:tcW w:w="473" w:type="dxa"/>
            <w:vAlign w:val="center"/>
          </w:tcPr>
          <w:p w14:paraId="35993B41" w14:textId="2E8485E8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5282FB5D" w14:textId="2D11E36F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05F1F4F5" w14:textId="224EDE1C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2E4F0A23" w14:textId="46ABA845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165</w:t>
            </w:r>
          </w:p>
        </w:tc>
        <w:tc>
          <w:tcPr>
            <w:tcW w:w="0" w:type="auto"/>
            <w:vAlign w:val="center"/>
          </w:tcPr>
          <w:p w14:paraId="29449DDC" w14:textId="42633F93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868BCCA" w14:textId="748AC271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227B2FE2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221D2B7" w14:textId="572AD316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Illmenite</w:t>
            </w:r>
            <w:r w:rsidRPr="008536A7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73" w:type="dxa"/>
            <w:vAlign w:val="center"/>
          </w:tcPr>
          <w:p w14:paraId="769D8860" w14:textId="20F0D6BA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1485B92C" w14:textId="526A5371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264</w:t>
            </w:r>
          </w:p>
        </w:tc>
        <w:tc>
          <w:tcPr>
            <w:tcW w:w="0" w:type="auto"/>
            <w:vAlign w:val="center"/>
          </w:tcPr>
          <w:p w14:paraId="691D8ED8" w14:textId="541006E4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480</w:t>
            </w:r>
          </w:p>
        </w:tc>
        <w:tc>
          <w:tcPr>
            <w:tcW w:w="0" w:type="auto"/>
            <w:vAlign w:val="center"/>
          </w:tcPr>
          <w:p w14:paraId="2DFDE7B6" w14:textId="05E547C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8,413</w:t>
            </w:r>
          </w:p>
        </w:tc>
        <w:tc>
          <w:tcPr>
            <w:tcW w:w="0" w:type="auto"/>
            <w:vAlign w:val="center"/>
          </w:tcPr>
          <w:p w14:paraId="00AEF289" w14:textId="48003753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55%</w:t>
            </w:r>
          </w:p>
        </w:tc>
        <w:tc>
          <w:tcPr>
            <w:tcW w:w="0" w:type="auto"/>
            <w:vAlign w:val="center"/>
          </w:tcPr>
          <w:p w14:paraId="529B14D6" w14:textId="4B57394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78B5B6B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AE8C3BF" w14:textId="76A9F91C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Manganese</w:t>
            </w:r>
          </w:p>
        </w:tc>
        <w:tc>
          <w:tcPr>
            <w:tcW w:w="473" w:type="dxa"/>
            <w:vAlign w:val="center"/>
          </w:tcPr>
          <w:p w14:paraId="7EAA5DA2" w14:textId="71C68F78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8D71BBE" w14:textId="697AE8CD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523</w:t>
            </w:r>
          </w:p>
        </w:tc>
        <w:tc>
          <w:tcPr>
            <w:tcW w:w="0" w:type="auto"/>
            <w:vAlign w:val="center"/>
          </w:tcPr>
          <w:p w14:paraId="1F5026A9" w14:textId="2B41E434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3,300</w:t>
            </w:r>
          </w:p>
        </w:tc>
        <w:tc>
          <w:tcPr>
            <w:tcW w:w="0" w:type="auto"/>
            <w:vAlign w:val="center"/>
          </w:tcPr>
          <w:p w14:paraId="60E7E4AE" w14:textId="19DC6FAA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19,950</w:t>
            </w:r>
          </w:p>
        </w:tc>
        <w:tc>
          <w:tcPr>
            <w:tcW w:w="0" w:type="auto"/>
            <w:vAlign w:val="center"/>
          </w:tcPr>
          <w:p w14:paraId="3B3CC565" w14:textId="38B49F41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16%</w:t>
            </w:r>
          </w:p>
        </w:tc>
        <w:tc>
          <w:tcPr>
            <w:tcW w:w="0" w:type="auto"/>
            <w:vAlign w:val="center"/>
          </w:tcPr>
          <w:p w14:paraId="256D99E5" w14:textId="044E59EF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5EB7BDB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E30549D" w14:textId="56E9AE03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Copper</w:t>
            </w:r>
          </w:p>
        </w:tc>
        <w:tc>
          <w:tcPr>
            <w:tcW w:w="473" w:type="dxa"/>
            <w:vAlign w:val="center"/>
          </w:tcPr>
          <w:p w14:paraId="4F2AF0DD" w14:textId="5DC57CDC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D67226E" w14:textId="7C53E09B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149</w:t>
            </w:r>
          </w:p>
        </w:tc>
        <w:tc>
          <w:tcPr>
            <w:tcW w:w="0" w:type="auto"/>
            <w:vAlign w:val="center"/>
          </w:tcPr>
          <w:p w14:paraId="38A0AF20" w14:textId="38DC8E99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820</w:t>
            </w:r>
          </w:p>
        </w:tc>
        <w:tc>
          <w:tcPr>
            <w:tcW w:w="0" w:type="auto"/>
            <w:vAlign w:val="center"/>
          </w:tcPr>
          <w:p w14:paraId="076B3E50" w14:textId="005759D4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20,903</w:t>
            </w:r>
          </w:p>
        </w:tc>
        <w:tc>
          <w:tcPr>
            <w:tcW w:w="0" w:type="auto"/>
            <w:vAlign w:val="center"/>
          </w:tcPr>
          <w:p w14:paraId="384234D1" w14:textId="321DD01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18%</w:t>
            </w:r>
          </w:p>
        </w:tc>
        <w:tc>
          <w:tcPr>
            <w:tcW w:w="0" w:type="auto"/>
            <w:vAlign w:val="center"/>
          </w:tcPr>
          <w:p w14:paraId="5EF100C7" w14:textId="3CC5C7EC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1%</w:t>
            </w:r>
          </w:p>
        </w:tc>
      </w:tr>
      <w:tr w:rsidR="009B489A" w:rsidRPr="00AD28BB" w14:paraId="4BE3A84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9F6E7A2" w14:textId="70F411DC" w:rsidR="009B489A" w:rsidRPr="008536A7" w:rsidRDefault="00F43650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Zinc</w:t>
            </w:r>
          </w:p>
        </w:tc>
        <w:tc>
          <w:tcPr>
            <w:tcW w:w="473" w:type="dxa"/>
            <w:vAlign w:val="center"/>
          </w:tcPr>
          <w:p w14:paraId="202101E1" w14:textId="614B2A41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</w:t>
            </w:r>
            <w:r w:rsidR="009B489A" w:rsidRPr="008536A7">
              <w:rPr>
                <w:rFonts w:cstheme="minorHAnsi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1009" w:type="dxa"/>
            <w:vAlign w:val="center"/>
          </w:tcPr>
          <w:p w14:paraId="2D51C7EA" w14:textId="2C7B141B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70</w:t>
            </w:r>
          </w:p>
        </w:tc>
        <w:tc>
          <w:tcPr>
            <w:tcW w:w="0" w:type="auto"/>
            <w:vAlign w:val="center"/>
          </w:tcPr>
          <w:p w14:paraId="356F382C" w14:textId="3B92C945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1,323</w:t>
            </w:r>
          </w:p>
        </w:tc>
        <w:tc>
          <w:tcPr>
            <w:tcW w:w="0" w:type="auto"/>
            <w:vAlign w:val="center"/>
          </w:tcPr>
          <w:p w14:paraId="06CAB380" w14:textId="68109527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12,873</w:t>
            </w:r>
          </w:p>
        </w:tc>
        <w:tc>
          <w:tcPr>
            <w:tcW w:w="0" w:type="auto"/>
            <w:vAlign w:val="center"/>
          </w:tcPr>
          <w:p w14:paraId="2954DBDD" w14:textId="106BD40F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  <w:r w:rsidR="009B489A" w:rsidRPr="008536A7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37838720" w14:textId="7EBBFBA1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  <w:r w:rsidR="009B489A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</w:tbl>
    <w:p w14:paraId="15D916F7" w14:textId="77777777" w:rsidR="00FD2E59" w:rsidRPr="00087867" w:rsidRDefault="00FD2E59" w:rsidP="00FD2E59">
      <w:pPr>
        <w:spacing w:after="0"/>
        <w:jc w:val="both"/>
        <w:rPr>
          <w:sz w:val="10"/>
        </w:rPr>
      </w:pPr>
      <w:r w:rsidRPr="00087867">
        <w:rPr>
          <w:sz w:val="10"/>
        </w:rPr>
        <w:t xml:space="preserve">Mt = Million tonnes. </w:t>
      </w:r>
      <w:proofErr w:type="spellStart"/>
      <w:r w:rsidRPr="00087867">
        <w:rPr>
          <w:sz w:val="10"/>
        </w:rPr>
        <w:t>Kt</w:t>
      </w:r>
      <w:proofErr w:type="spellEnd"/>
      <w:r w:rsidRPr="00087867">
        <w:rPr>
          <w:sz w:val="10"/>
        </w:rPr>
        <w:t xml:space="preserve"> = Thousand tonnes. t = tonnes. </w:t>
      </w:r>
      <w:proofErr w:type="spellStart"/>
      <w:r w:rsidRPr="00087867">
        <w:rPr>
          <w:sz w:val="10"/>
        </w:rPr>
        <w:t>Mct</w:t>
      </w:r>
      <w:proofErr w:type="spellEnd"/>
      <w:r w:rsidRPr="00087867">
        <w:rPr>
          <w:sz w:val="10"/>
        </w:rPr>
        <w:t xml:space="preserve"> = Million carats</w:t>
      </w:r>
      <w:r>
        <w:rPr>
          <w:sz w:val="10"/>
        </w:rPr>
        <w:t xml:space="preserve">. </w:t>
      </w:r>
      <w:r w:rsidRPr="00A02DE8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087867">
        <w:rPr>
          <w:sz w:val="10"/>
        </w:rPr>
        <w:t>Excludes ilmenite feedstock for synthetic rutile production.</w:t>
      </w:r>
    </w:p>
    <w:p w14:paraId="4452BAFA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087867">
        <w:rPr>
          <w:sz w:val="10"/>
        </w:rPr>
        <w:t xml:space="preserve">Source: </w:t>
      </w:r>
      <w:r w:rsidRPr="00087867">
        <w:rPr>
          <w:color w:val="000000"/>
          <w:sz w:val="10"/>
        </w:rPr>
        <w:t>WA Department of Mines, Industry Regulation and Safety, Resource Data Files (Annual</w:t>
      </w:r>
      <w:r>
        <w:rPr>
          <w:sz w:val="10"/>
        </w:rPr>
        <w:t>).</w:t>
      </w:r>
    </w:p>
    <w:p w14:paraId="34DBD9F8" w14:textId="77777777" w:rsidR="00FD2E59" w:rsidRDefault="00FD2E59" w:rsidP="00FD2E59">
      <w:pPr>
        <w:spacing w:after="0"/>
        <w:jc w:val="both"/>
        <w:rPr>
          <w:sz w:val="16"/>
        </w:rPr>
      </w:pPr>
    </w:p>
    <w:p w14:paraId="1DFF4D40" w14:textId="77777777" w:rsidR="00FD2E59" w:rsidRDefault="00FD2E59" w:rsidP="00FD2E59">
      <w:pPr>
        <w:spacing w:after="0"/>
        <w:jc w:val="both"/>
        <w:rPr>
          <w:sz w:val="16"/>
        </w:rPr>
      </w:pPr>
      <w:bookmarkStart w:id="4" w:name="_GoBack"/>
      <w:bookmarkEnd w:id="4"/>
      <w:r>
        <w:rPr>
          <w:sz w:val="16"/>
        </w:rPr>
        <w:br w:type="column"/>
      </w:r>
    </w:p>
    <w:p w14:paraId="66435974" w14:textId="77777777" w:rsidR="00FD2E59" w:rsidRDefault="00FD2E59" w:rsidP="00FD2E59">
      <w:pPr>
        <w:spacing w:after="0"/>
        <w:jc w:val="both"/>
        <w:rPr>
          <w:sz w:val="16"/>
        </w:rPr>
      </w:pPr>
    </w:p>
    <w:p w14:paraId="40CBA2BD" w14:textId="77777777" w:rsidR="00FD2E59" w:rsidRPr="0099116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9116E">
        <w:rPr>
          <w:sz w:val="16"/>
          <w:lang w:val="en"/>
        </w:rPr>
        <w:t>Western Australia is the main exporter of minerals and petroleum in Australia and accounts for a significant proportion of the world’s minerals and petroleum production.</w:t>
      </w:r>
    </w:p>
    <w:p w14:paraId="5F2F0034" w14:textId="016D2C69" w:rsidR="00FD2E59" w:rsidRPr="00A82A2C" w:rsidRDefault="00AA013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  <w:lang w:val="en"/>
        </w:rPr>
        <w:t>In 2021-22</w:t>
      </w:r>
      <w:r w:rsidR="00FD2E59" w:rsidRPr="00A82A2C">
        <w:rPr>
          <w:sz w:val="16"/>
          <w:lang w:val="en"/>
        </w:rPr>
        <w:t>, Western Australia had 12</w:t>
      </w:r>
      <w:r w:rsidR="00F95230" w:rsidRPr="00A82A2C">
        <w:rPr>
          <w:sz w:val="16"/>
          <w:lang w:val="en"/>
        </w:rPr>
        <w:t>9</w:t>
      </w:r>
      <w:r w:rsidR="00FD2E59" w:rsidRPr="00A82A2C">
        <w:rPr>
          <w:sz w:val="16"/>
          <w:lang w:val="en"/>
        </w:rPr>
        <w:t xml:space="preserve"> high</w:t>
      </w:r>
      <w:r w:rsidR="00EC06B8" w:rsidRPr="00A82A2C">
        <w:rPr>
          <w:sz w:val="16"/>
          <w:lang w:val="en"/>
        </w:rPr>
        <w:noBreakHyphen/>
      </w:r>
      <w:r w:rsidR="00FD2E59" w:rsidRPr="00A82A2C">
        <w:rPr>
          <w:sz w:val="16"/>
          <w:lang w:val="en"/>
        </w:rPr>
        <w:t>value, export</w:t>
      </w:r>
      <w:r w:rsidR="00FD2E59" w:rsidRPr="00A82A2C">
        <w:rPr>
          <w:sz w:val="16"/>
          <w:lang w:val="en"/>
        </w:rPr>
        <w:noBreakHyphen/>
        <w:t xml:space="preserve">oriented mining projects and </w:t>
      </w:r>
      <w:r w:rsidR="00F95230" w:rsidRPr="00A82A2C">
        <w:rPr>
          <w:sz w:val="16"/>
        </w:rPr>
        <w:t>14</w:t>
      </w:r>
      <w:r w:rsidR="00FD2E59" w:rsidRPr="00A82A2C">
        <w:rPr>
          <w:sz w:val="16"/>
        </w:rPr>
        <w:t xml:space="preserve"> major mineral processing operations transforming bauxite into alumina; gold </w:t>
      </w:r>
      <w:r w:rsidR="00965586" w:rsidRPr="00A82A2C">
        <w:rPr>
          <w:sz w:val="16"/>
        </w:rPr>
        <w:t>o</w:t>
      </w:r>
      <w:r w:rsidR="00FD2E59" w:rsidRPr="00A82A2C">
        <w:rPr>
          <w:sz w:val="16"/>
        </w:rPr>
        <w:t>re into gold bars; nickel</w:t>
      </w:r>
      <w:r w:rsidR="005D3F9B" w:rsidRPr="00A82A2C">
        <w:rPr>
          <w:sz w:val="16"/>
        </w:rPr>
        <w:t xml:space="preserve"> ore into nickel</w:t>
      </w:r>
      <w:r w:rsidR="00FD2E59" w:rsidRPr="00A82A2C">
        <w:rPr>
          <w:sz w:val="16"/>
        </w:rPr>
        <w:t xml:space="preserve"> concentrate</w:t>
      </w:r>
      <w:r w:rsidR="00F95230" w:rsidRPr="00A82A2C">
        <w:rPr>
          <w:sz w:val="16"/>
        </w:rPr>
        <w:t xml:space="preserve"> </w:t>
      </w:r>
      <w:r w:rsidR="005D3F9B" w:rsidRPr="00A82A2C">
        <w:rPr>
          <w:sz w:val="16"/>
        </w:rPr>
        <w:t xml:space="preserve">and nickel concentrate </w:t>
      </w:r>
      <w:r w:rsidR="00F95230" w:rsidRPr="00A82A2C">
        <w:rPr>
          <w:sz w:val="16"/>
        </w:rPr>
        <w:t xml:space="preserve">into nickel matte, powder, </w:t>
      </w:r>
      <w:r w:rsidR="00FD2E59" w:rsidRPr="00A82A2C">
        <w:rPr>
          <w:sz w:val="16"/>
        </w:rPr>
        <w:t>briquettes</w:t>
      </w:r>
      <w:r w:rsidR="00F95230" w:rsidRPr="00A82A2C">
        <w:rPr>
          <w:sz w:val="16"/>
        </w:rPr>
        <w:t xml:space="preserve"> and sulphate</w:t>
      </w:r>
      <w:r w:rsidR="00FD2E59" w:rsidRPr="00A82A2C">
        <w:rPr>
          <w:sz w:val="16"/>
        </w:rPr>
        <w:t>; rutile</w:t>
      </w:r>
      <w:r w:rsidR="00F95230" w:rsidRPr="00A82A2C">
        <w:rPr>
          <w:sz w:val="16"/>
        </w:rPr>
        <w:t xml:space="preserve"> and synthetic rutile</w:t>
      </w:r>
      <w:r w:rsidR="00FD2E59" w:rsidRPr="00A82A2C">
        <w:rPr>
          <w:sz w:val="16"/>
        </w:rPr>
        <w:t xml:space="preserve"> into titanium dioxide pigment; zircon into fused zirconia; silica sand into silicon metal</w:t>
      </w:r>
      <w:r w:rsidR="00F95230" w:rsidRPr="00A82A2C">
        <w:rPr>
          <w:sz w:val="16"/>
        </w:rPr>
        <w:t xml:space="preserve">; and </w:t>
      </w:r>
      <w:proofErr w:type="spellStart"/>
      <w:r w:rsidR="00F95230" w:rsidRPr="00A82A2C">
        <w:rPr>
          <w:sz w:val="16"/>
        </w:rPr>
        <w:t>spodumene</w:t>
      </w:r>
      <w:proofErr w:type="spellEnd"/>
      <w:r w:rsidR="00F95230" w:rsidRPr="00A82A2C">
        <w:rPr>
          <w:sz w:val="16"/>
        </w:rPr>
        <w:t xml:space="preserve"> concentrate into lithium hydroxide</w:t>
      </w:r>
      <w:r w:rsidR="00FD2E59" w:rsidRPr="00A82A2C">
        <w:rPr>
          <w:sz w:val="16"/>
        </w:rPr>
        <w:t>.</w:t>
      </w:r>
    </w:p>
    <w:p w14:paraId="2927B909" w14:textId="16A1AD89" w:rsidR="00FD2E59" w:rsidRPr="00A82A2C" w:rsidRDefault="00E67FB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</w:rPr>
        <w:t>In 202</w:t>
      </w:r>
      <w:r w:rsidR="00274726" w:rsidRPr="00A82A2C">
        <w:rPr>
          <w:sz w:val="16"/>
        </w:rPr>
        <w:t>1-22</w:t>
      </w:r>
      <w:r w:rsidR="00FD2E59" w:rsidRPr="00A82A2C">
        <w:rPr>
          <w:sz w:val="16"/>
        </w:rPr>
        <w:t xml:space="preserve">, </w:t>
      </w:r>
      <w:r w:rsidR="00554C4E" w:rsidRPr="00A82A2C">
        <w:rPr>
          <w:sz w:val="16"/>
        </w:rPr>
        <w:t>Western Australia also had 20</w:t>
      </w:r>
      <w:r w:rsidR="00FD2E59" w:rsidRPr="00A82A2C">
        <w:rPr>
          <w:sz w:val="16"/>
        </w:rPr>
        <w:t xml:space="preserve"> petroleum projects that produced gas, condensate and crude oil from 5</w:t>
      </w:r>
      <w:r w:rsidR="00554C4E" w:rsidRPr="00A82A2C">
        <w:rPr>
          <w:sz w:val="16"/>
        </w:rPr>
        <w:t>1</w:t>
      </w:r>
      <w:r w:rsidR="00FD2E59" w:rsidRPr="00A82A2C">
        <w:rPr>
          <w:sz w:val="16"/>
        </w:rPr>
        <w:t xml:space="preserve"> onshore and offshore fields. These projects had </w:t>
      </w:r>
      <w:r w:rsidR="00554C4E" w:rsidRPr="00A82A2C">
        <w:rPr>
          <w:sz w:val="16"/>
        </w:rPr>
        <w:t>associated</w:t>
      </w:r>
      <w:r w:rsidR="00FD2E59" w:rsidRPr="00A82A2C">
        <w:rPr>
          <w:sz w:val="16"/>
        </w:rPr>
        <w:t xml:space="preserve"> processing plants</w:t>
      </w:r>
      <w:r w:rsidR="00554C4E" w:rsidRPr="00A82A2C">
        <w:rPr>
          <w:sz w:val="16"/>
        </w:rPr>
        <w:t xml:space="preserve"> for </w:t>
      </w:r>
      <w:r w:rsidR="00FD2E59" w:rsidRPr="00A82A2C">
        <w:rPr>
          <w:sz w:val="16"/>
        </w:rPr>
        <w:t>LNG</w:t>
      </w:r>
      <w:r w:rsidR="00554C4E" w:rsidRPr="00A82A2C">
        <w:rPr>
          <w:sz w:val="16"/>
        </w:rPr>
        <w:t xml:space="preserve"> exports and domestic gas sales</w:t>
      </w:r>
      <w:r w:rsidR="00FD2E59" w:rsidRPr="00A82A2C">
        <w:rPr>
          <w:sz w:val="16"/>
        </w:rPr>
        <w:t>.</w:t>
      </w:r>
    </w:p>
    <w:p w14:paraId="73F2688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A20B12" w14:textId="68DCE226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mineral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  <w:r w:rsidR="00C00EC0">
        <w:rPr>
          <w:b/>
          <w:color w:val="92278F" w:themeColor="accent1"/>
          <w:sz w:val="20"/>
        </w:rPr>
        <w:t xml:space="preserve"> </w:t>
      </w:r>
    </w:p>
    <w:p w14:paraId="248F7234" w14:textId="60E4892D" w:rsidR="00FD2E59" w:rsidRPr="002C47CA" w:rsidRDefault="00A6330E" w:rsidP="00FD2E59">
      <w:pPr>
        <w:pStyle w:val="BodyText"/>
        <w:spacing w:after="0"/>
        <w:rPr>
          <w:b/>
          <w:color w:val="92278F" w:themeColor="accent1"/>
          <w:sz w:val="20"/>
        </w:rPr>
      </w:pPr>
      <w:proofErr w:type="gramStart"/>
      <w:r w:rsidRPr="002D3691">
        <w:rPr>
          <w:b/>
          <w:color w:val="92278F" w:themeColor="accent1"/>
          <w:sz w:val="20"/>
        </w:rPr>
        <w:t>financial</w:t>
      </w:r>
      <w:proofErr w:type="gramEnd"/>
      <w:r w:rsidRPr="002D3691">
        <w:rPr>
          <w:b/>
          <w:color w:val="92278F" w:themeColor="accent1"/>
          <w:sz w:val="20"/>
        </w:rPr>
        <w:t xml:space="preserve"> </w:t>
      </w:r>
      <w:r w:rsidR="00FD2E59" w:rsidRPr="002C47CA">
        <w:rPr>
          <w:b/>
          <w:color w:val="92278F" w:themeColor="accent1"/>
          <w:sz w:val="20"/>
        </w:rPr>
        <w:t>years</w:t>
      </w:r>
    </w:p>
    <w:p w14:paraId="2E1D055D" w14:textId="61725CEE" w:rsidR="00FD2E59" w:rsidRDefault="001746F7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1F2C7B2" wp14:editId="29FA902D">
            <wp:extent cx="3528000" cy="2103405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DC6" w14:textId="77777777" w:rsidR="00FD2E59" w:rsidRDefault="00FD2E59" w:rsidP="00FD2E59">
      <w:pPr>
        <w:spacing w:after="0"/>
        <w:jc w:val="both"/>
        <w:rPr>
          <w:sz w:val="10"/>
        </w:rPr>
      </w:pPr>
      <w:r w:rsidRPr="00FB2DBD">
        <w:rPr>
          <w:sz w:val="10"/>
          <w:vertAlign w:val="superscript"/>
        </w:rPr>
        <w:t>1</w:t>
      </w:r>
      <w:r>
        <w:rPr>
          <w:sz w:val="10"/>
          <w:vertAlign w:val="superscript"/>
        </w:rPr>
        <w:t xml:space="preserve"> </w:t>
      </w:r>
      <w:r>
        <w:rPr>
          <w:sz w:val="10"/>
        </w:rPr>
        <w:t>Nominal or not adjusted for price changes. Original series.</w:t>
      </w:r>
    </w:p>
    <w:p w14:paraId="4AA8785D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3C1E73E8" w14:textId="77777777" w:rsidR="00FD2E59" w:rsidRDefault="00FD2E59" w:rsidP="00FD2E59">
      <w:pPr>
        <w:spacing w:after="0"/>
        <w:jc w:val="both"/>
        <w:rPr>
          <w:sz w:val="16"/>
        </w:rPr>
      </w:pPr>
    </w:p>
    <w:p w14:paraId="7751693D" w14:textId="77777777" w:rsidR="00FD2E59" w:rsidRDefault="00FD2E59" w:rsidP="00FD2E59">
      <w:pPr>
        <w:spacing w:after="0"/>
        <w:jc w:val="both"/>
        <w:rPr>
          <w:sz w:val="16"/>
        </w:rPr>
      </w:pPr>
    </w:p>
    <w:p w14:paraId="47CFFCA3" w14:textId="77777777" w:rsidR="001746F7" w:rsidRDefault="00FD2E59" w:rsidP="001746F7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DE5F596" w14:textId="65E61C13" w:rsidR="00F005BB" w:rsidRPr="00A82A2C" w:rsidRDefault="00F005BB" w:rsidP="00F005B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</w:rPr>
        <w:t xml:space="preserve">Western Australia accounted for </w:t>
      </w:r>
      <w:r w:rsidR="00360763" w:rsidRPr="00A82A2C">
        <w:rPr>
          <w:sz w:val="16"/>
        </w:rPr>
        <w:t>59.3</w:t>
      </w:r>
      <w:r w:rsidRPr="00A82A2C">
        <w:rPr>
          <w:sz w:val="16"/>
        </w:rPr>
        <w:t>% of Australia’s mining in</w:t>
      </w:r>
      <w:r w:rsidR="00360763" w:rsidRPr="00A82A2C">
        <w:rPr>
          <w:sz w:val="16"/>
        </w:rPr>
        <w:t>dustry gross value added in 2021-22</w:t>
      </w:r>
      <w:r w:rsidRPr="00A82A2C">
        <w:rPr>
          <w:sz w:val="16"/>
        </w:rPr>
        <w:t>.</w:t>
      </w:r>
    </w:p>
    <w:p w14:paraId="4AB3401D" w14:textId="06861959" w:rsidR="00F005BB" w:rsidRPr="00A82A2C" w:rsidRDefault="00F005BB" w:rsidP="00F005B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</w:rPr>
        <w:t xml:space="preserve">Western Australia’s mining industry gross value added rose </w:t>
      </w:r>
      <w:r w:rsidR="00D04B4E" w:rsidRPr="00A82A2C">
        <w:rPr>
          <w:sz w:val="16"/>
        </w:rPr>
        <w:t>8</w:t>
      </w:r>
      <w:r w:rsidRPr="00A82A2C">
        <w:rPr>
          <w:sz w:val="16"/>
        </w:rPr>
        <w:t>.3% to $</w:t>
      </w:r>
      <w:r w:rsidR="00D04B4E" w:rsidRPr="00A82A2C">
        <w:rPr>
          <w:sz w:val="16"/>
        </w:rPr>
        <w:t>186.8 billion in 2021-22</w:t>
      </w:r>
      <w:r w:rsidRPr="00A82A2C">
        <w:rPr>
          <w:sz w:val="16"/>
        </w:rPr>
        <w:t>.</w:t>
      </w:r>
    </w:p>
    <w:p w14:paraId="0B2729EC" w14:textId="49CFCF00" w:rsidR="009504CB" w:rsidRPr="002D3691" w:rsidRDefault="00F005BB" w:rsidP="009504C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691">
        <w:rPr>
          <w:sz w:val="16"/>
        </w:rPr>
        <w:t xml:space="preserve">In 2021-22, </w:t>
      </w:r>
      <w:r w:rsidR="009504CB" w:rsidRPr="002D3691">
        <w:rPr>
          <w:sz w:val="16"/>
        </w:rPr>
        <w:t xml:space="preserve">Western Australia’s minerals and petroleum sales rose </w:t>
      </w:r>
      <w:r w:rsidRPr="002D3691">
        <w:rPr>
          <w:sz w:val="16"/>
        </w:rPr>
        <w:t>9.5</w:t>
      </w:r>
      <w:r w:rsidR="009504CB" w:rsidRPr="002D3691">
        <w:rPr>
          <w:sz w:val="16"/>
        </w:rPr>
        <w:t>% to $</w:t>
      </w:r>
      <w:r w:rsidRPr="002D3691">
        <w:rPr>
          <w:sz w:val="16"/>
        </w:rPr>
        <w:t>231.5</w:t>
      </w:r>
      <w:r w:rsidR="009504CB" w:rsidRPr="002D3691">
        <w:rPr>
          <w:sz w:val="16"/>
        </w:rPr>
        <w:t> billion, with:</w:t>
      </w:r>
    </w:p>
    <w:p w14:paraId="787FEA12" w14:textId="151B4444" w:rsidR="009504CB" w:rsidRPr="002D3691" w:rsidRDefault="0002121D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</w:t>
      </w:r>
      <w:r w:rsidR="009504CB" w:rsidRPr="002D3691">
        <w:rPr>
          <w:sz w:val="16"/>
        </w:rPr>
        <w:t xml:space="preserve">inerals sales </w:t>
      </w:r>
      <w:r w:rsidR="00F005BB" w:rsidRPr="002D3691">
        <w:rPr>
          <w:sz w:val="16"/>
        </w:rPr>
        <w:t>down 4.2</w:t>
      </w:r>
      <w:r w:rsidR="009504CB" w:rsidRPr="002D3691">
        <w:rPr>
          <w:sz w:val="16"/>
        </w:rPr>
        <w:t>% to $1</w:t>
      </w:r>
      <w:r w:rsidR="00F005BB" w:rsidRPr="002D3691">
        <w:rPr>
          <w:sz w:val="16"/>
        </w:rPr>
        <w:t>79.5</w:t>
      </w:r>
      <w:r w:rsidR="009504CB" w:rsidRPr="002D3691">
        <w:rPr>
          <w:sz w:val="16"/>
        </w:rPr>
        <w:t> billion</w:t>
      </w:r>
    </w:p>
    <w:p w14:paraId="5E439C3D" w14:textId="482991D7" w:rsidR="009504CB" w:rsidRPr="008536A7" w:rsidRDefault="0002121D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p</w:t>
      </w:r>
      <w:r w:rsidR="009504CB" w:rsidRPr="002D3691">
        <w:rPr>
          <w:sz w:val="16"/>
        </w:rPr>
        <w:t>etroleum</w:t>
      </w:r>
      <w:proofErr w:type="gramEnd"/>
      <w:r w:rsidR="009504CB" w:rsidRPr="002D3691">
        <w:rPr>
          <w:sz w:val="16"/>
        </w:rPr>
        <w:t xml:space="preserve"> sales up </w:t>
      </w:r>
      <w:r w:rsidR="00F005BB" w:rsidRPr="002D3691">
        <w:rPr>
          <w:sz w:val="16"/>
        </w:rPr>
        <w:t>116.2</w:t>
      </w:r>
      <w:r w:rsidR="009504CB" w:rsidRPr="002D3691">
        <w:rPr>
          <w:sz w:val="16"/>
        </w:rPr>
        <w:t>% to $</w:t>
      </w:r>
      <w:r w:rsidR="00F005BB" w:rsidRPr="002D3691">
        <w:rPr>
          <w:sz w:val="16"/>
        </w:rPr>
        <w:t>52.0</w:t>
      </w:r>
      <w:r w:rsidR="009504CB" w:rsidRPr="002D3691">
        <w:rPr>
          <w:sz w:val="16"/>
        </w:rPr>
        <w:t> billion</w:t>
      </w:r>
      <w:r w:rsidR="009504CB" w:rsidRPr="008536A7">
        <w:rPr>
          <w:sz w:val="16"/>
        </w:rPr>
        <w:t>.</w:t>
      </w:r>
    </w:p>
    <w:p w14:paraId="311673A1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5EA3F5" w14:textId="7B152054" w:rsidR="00FD2E59" w:rsidRPr="00800813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minerals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251E36" w:rsidRPr="00020369">
        <w:rPr>
          <w:b/>
          <w:color w:val="92278F" w:themeColor="accent1"/>
          <w:sz w:val="20"/>
        </w:rPr>
        <w:t xml:space="preserve">: </w:t>
      </w:r>
      <w:r w:rsidR="003E7E37" w:rsidRPr="002D3691">
        <w:rPr>
          <w:b/>
          <w:color w:val="92278F" w:themeColor="accent1"/>
          <w:sz w:val="20"/>
        </w:rPr>
        <w:t xml:space="preserve">financial </w:t>
      </w:r>
      <w:r w:rsidRPr="002C47CA">
        <w:rPr>
          <w:b/>
          <w:color w:val="92278F" w:themeColor="accent1"/>
          <w:sz w:val="20"/>
        </w:rPr>
        <w:t>years</w:t>
      </w:r>
    </w:p>
    <w:p w14:paraId="5AC4B7E2" w14:textId="138D02CB" w:rsidR="00FD2E59" w:rsidRDefault="001746F7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B63BF63" wp14:editId="677760DD">
            <wp:extent cx="3528000" cy="2103405"/>
            <wp:effectExtent l="0" t="0" r="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C07B8" w14:textId="37C42443" w:rsidR="009C0B99" w:rsidRPr="002D3691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2D3691">
        <w:rPr>
          <w:sz w:val="10"/>
        </w:rPr>
        <w:t>Nominal or not adjusted for price changes. Original</w:t>
      </w:r>
      <w:r w:rsidR="009C0B99" w:rsidRPr="002D3691">
        <w:rPr>
          <w:sz w:val="10"/>
        </w:rPr>
        <w:t xml:space="preserve"> series. (a) </w:t>
      </w:r>
      <w:proofErr w:type="spellStart"/>
      <w:r w:rsidR="003C40F5" w:rsidRPr="002D3691">
        <w:rPr>
          <w:sz w:val="10"/>
        </w:rPr>
        <w:t>Spodumene</w:t>
      </w:r>
      <w:proofErr w:type="spellEnd"/>
      <w:r w:rsidR="003C40F5" w:rsidRPr="002D3691">
        <w:rPr>
          <w:sz w:val="10"/>
        </w:rPr>
        <w:t xml:space="preserve">. </w:t>
      </w:r>
    </w:p>
    <w:p w14:paraId="47CF36B0" w14:textId="7E4D36B1" w:rsidR="00FD2E59" w:rsidRPr="002D3691" w:rsidRDefault="009C0B99" w:rsidP="00FD2E59">
      <w:pPr>
        <w:spacing w:after="0"/>
        <w:jc w:val="both"/>
        <w:rPr>
          <w:sz w:val="10"/>
        </w:rPr>
      </w:pPr>
      <w:r w:rsidRPr="002D3691">
        <w:rPr>
          <w:sz w:val="10"/>
        </w:rPr>
        <w:t>(b</w:t>
      </w:r>
      <w:r w:rsidR="00FD2E59" w:rsidRPr="002D3691">
        <w:rPr>
          <w:sz w:val="10"/>
        </w:rPr>
        <w:t xml:space="preserve">) </w:t>
      </w:r>
      <w:r w:rsidR="003C40F5" w:rsidRPr="002D3691">
        <w:rPr>
          <w:sz w:val="10"/>
        </w:rPr>
        <w:t xml:space="preserve">Copper, lead and zinc (contains gold and silver). </w:t>
      </w:r>
      <w:r w:rsidR="003F1424" w:rsidRPr="002D3691">
        <w:rPr>
          <w:sz w:val="10"/>
        </w:rPr>
        <w:t>(c</w:t>
      </w:r>
      <w:r w:rsidR="00FD2E59" w:rsidRPr="002D3691">
        <w:rPr>
          <w:sz w:val="10"/>
        </w:rPr>
        <w:t xml:space="preserve">) Garnet, </w:t>
      </w:r>
      <w:proofErr w:type="spellStart"/>
      <w:r w:rsidR="00FD2E59" w:rsidRPr="002D3691">
        <w:rPr>
          <w:sz w:val="10"/>
        </w:rPr>
        <w:t>illmenite</w:t>
      </w:r>
      <w:proofErr w:type="spellEnd"/>
      <w:r w:rsidR="003F1424" w:rsidRPr="002D3691">
        <w:rPr>
          <w:sz w:val="10"/>
        </w:rPr>
        <w:t>, leucoxene, zircon and rutile</w:t>
      </w:r>
      <w:r w:rsidR="00FD2E59" w:rsidRPr="002D3691">
        <w:rPr>
          <w:sz w:val="10"/>
        </w:rPr>
        <w:t>.</w:t>
      </w:r>
    </w:p>
    <w:p w14:paraId="7371D2C1" w14:textId="77777777" w:rsidR="00FD2E59" w:rsidRPr="002D3691" w:rsidRDefault="00FD2E59" w:rsidP="00FD2E59">
      <w:pPr>
        <w:spacing w:after="0"/>
        <w:jc w:val="both"/>
        <w:rPr>
          <w:sz w:val="10"/>
        </w:rPr>
      </w:pPr>
      <w:r w:rsidRPr="002D3691">
        <w:rPr>
          <w:sz w:val="10"/>
        </w:rPr>
        <w:t>Source: WA Department of Mines, Industry Regulation and Safety, Resource Data Files (Bi-Annual).</w:t>
      </w:r>
    </w:p>
    <w:p w14:paraId="70AF27A1" w14:textId="77777777" w:rsidR="00FD2E59" w:rsidRDefault="00FD2E59" w:rsidP="00FD2E59">
      <w:pPr>
        <w:spacing w:after="0"/>
        <w:jc w:val="both"/>
        <w:rPr>
          <w:sz w:val="16"/>
        </w:rPr>
      </w:pPr>
    </w:p>
    <w:p w14:paraId="34F8519F" w14:textId="77777777" w:rsidR="001746F7" w:rsidRPr="001746F7" w:rsidRDefault="00FD2E59" w:rsidP="001746F7">
      <w:pPr>
        <w:pStyle w:val="BodyText"/>
        <w:spacing w:after="0"/>
        <w:jc w:val="both"/>
        <w:rPr>
          <w:color w:val="000000" w:themeColor="text1"/>
          <w:sz w:val="16"/>
        </w:rPr>
      </w:pPr>
      <w:r w:rsidRPr="008243CF">
        <w:rPr>
          <w:sz w:val="16"/>
        </w:rPr>
        <w:br w:type="column"/>
      </w:r>
    </w:p>
    <w:p w14:paraId="0A902C86" w14:textId="50E9D0B3" w:rsidR="00FD2E59" w:rsidRPr="002D3691" w:rsidRDefault="006335FA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2D3691">
        <w:rPr>
          <w:color w:val="000000" w:themeColor="text1"/>
          <w:sz w:val="16"/>
        </w:rPr>
        <w:t xml:space="preserve">Iron ore accounted for </w:t>
      </w:r>
      <w:r w:rsidR="00286DE6" w:rsidRPr="002D3691">
        <w:rPr>
          <w:color w:val="000000" w:themeColor="text1"/>
          <w:sz w:val="16"/>
        </w:rPr>
        <w:t>59</w:t>
      </w:r>
      <w:r w:rsidR="00FD2E59" w:rsidRPr="002D3691">
        <w:rPr>
          <w:color w:val="000000" w:themeColor="text1"/>
          <w:sz w:val="16"/>
        </w:rPr>
        <w:t>% of the value of Western Australia’s mine</w:t>
      </w:r>
      <w:r w:rsidRPr="002D3691">
        <w:rPr>
          <w:color w:val="000000" w:themeColor="text1"/>
          <w:sz w:val="16"/>
        </w:rPr>
        <w:t>rals and petroleum sales in 2021</w:t>
      </w:r>
      <w:r w:rsidR="00286DE6" w:rsidRPr="002D3691">
        <w:rPr>
          <w:color w:val="000000" w:themeColor="text1"/>
          <w:sz w:val="16"/>
        </w:rPr>
        <w:t>-22</w:t>
      </w:r>
      <w:r w:rsidRPr="002D3691">
        <w:rPr>
          <w:color w:val="000000" w:themeColor="text1"/>
          <w:sz w:val="16"/>
        </w:rPr>
        <w:t>, followed by LNG (1</w:t>
      </w:r>
      <w:r w:rsidR="00286DE6" w:rsidRPr="002D3691">
        <w:rPr>
          <w:color w:val="000000" w:themeColor="text1"/>
          <w:sz w:val="16"/>
        </w:rPr>
        <w:t>6</w:t>
      </w:r>
      <w:r w:rsidR="005E4F39" w:rsidRPr="002D3691">
        <w:rPr>
          <w:color w:val="000000" w:themeColor="text1"/>
          <w:sz w:val="16"/>
        </w:rPr>
        <w:t xml:space="preserve">%) and </w:t>
      </w:r>
      <w:r w:rsidRPr="002D3691">
        <w:rPr>
          <w:color w:val="000000" w:themeColor="text1"/>
          <w:sz w:val="16"/>
        </w:rPr>
        <w:t>gold (</w:t>
      </w:r>
      <w:r w:rsidR="00286DE6" w:rsidRPr="002D3691">
        <w:rPr>
          <w:color w:val="000000" w:themeColor="text1"/>
          <w:sz w:val="16"/>
        </w:rPr>
        <w:t>8</w:t>
      </w:r>
      <w:r w:rsidR="00FD2E59" w:rsidRPr="002D3691">
        <w:rPr>
          <w:color w:val="000000" w:themeColor="text1"/>
          <w:sz w:val="16"/>
        </w:rPr>
        <w:t>%).</w:t>
      </w:r>
    </w:p>
    <w:p w14:paraId="5808CCD9" w14:textId="78AED376" w:rsidR="00FD2E59" w:rsidRPr="002D369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2D3691">
        <w:rPr>
          <w:color w:val="000000" w:themeColor="text1"/>
          <w:sz w:val="16"/>
        </w:rPr>
        <w:t>The largest increases in the value of Western Australia’s mine</w:t>
      </w:r>
      <w:r w:rsidR="006335FA" w:rsidRPr="002D3691">
        <w:rPr>
          <w:color w:val="000000" w:themeColor="text1"/>
          <w:sz w:val="16"/>
        </w:rPr>
        <w:t>rals and petroleum sales in 20</w:t>
      </w:r>
      <w:r w:rsidR="005E4F39" w:rsidRPr="002D3691">
        <w:rPr>
          <w:color w:val="000000" w:themeColor="text1"/>
          <w:sz w:val="16"/>
        </w:rPr>
        <w:t>21</w:t>
      </w:r>
      <w:r w:rsidR="00637131" w:rsidRPr="002D3691">
        <w:rPr>
          <w:color w:val="000000" w:themeColor="text1"/>
          <w:sz w:val="16"/>
        </w:rPr>
        <w:t>-22</w:t>
      </w:r>
      <w:r w:rsidRPr="002D3691">
        <w:rPr>
          <w:color w:val="000000" w:themeColor="text1"/>
          <w:sz w:val="16"/>
        </w:rPr>
        <w:t xml:space="preserve"> were in:</w:t>
      </w:r>
    </w:p>
    <w:p w14:paraId="64A77533" w14:textId="776BB920" w:rsidR="00FD2E59" w:rsidRPr="002D3691" w:rsidRDefault="00637131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0000" w:themeColor="text1"/>
          <w:sz w:val="16"/>
        </w:rPr>
      </w:pPr>
      <w:r w:rsidRPr="002D3691">
        <w:rPr>
          <w:color w:val="000000" w:themeColor="text1"/>
          <w:sz w:val="16"/>
        </w:rPr>
        <w:t>LNG</w:t>
      </w:r>
      <w:r w:rsidR="00FD2E59" w:rsidRPr="002D3691">
        <w:rPr>
          <w:color w:val="000000" w:themeColor="text1"/>
          <w:sz w:val="16"/>
        </w:rPr>
        <w:t xml:space="preserve"> (up $</w:t>
      </w:r>
      <w:r w:rsidRPr="002D3691">
        <w:rPr>
          <w:color w:val="000000" w:themeColor="text1"/>
          <w:sz w:val="16"/>
        </w:rPr>
        <w:t>21.2</w:t>
      </w:r>
      <w:r w:rsidR="009504CB" w:rsidRPr="002D3691">
        <w:rPr>
          <w:color w:val="000000" w:themeColor="text1"/>
          <w:sz w:val="16"/>
        </w:rPr>
        <w:t> </w:t>
      </w:r>
      <w:r w:rsidR="005E4F39" w:rsidRPr="002D3691">
        <w:rPr>
          <w:color w:val="000000" w:themeColor="text1"/>
          <w:sz w:val="16"/>
        </w:rPr>
        <w:t xml:space="preserve">billion or </w:t>
      </w:r>
      <w:r w:rsidRPr="002D3691">
        <w:rPr>
          <w:color w:val="000000" w:themeColor="text1"/>
          <w:sz w:val="16"/>
        </w:rPr>
        <w:t>129.6</w:t>
      </w:r>
      <w:r w:rsidR="00FD2E59" w:rsidRPr="002D3691">
        <w:rPr>
          <w:color w:val="000000" w:themeColor="text1"/>
          <w:sz w:val="16"/>
        </w:rPr>
        <w:t>%)</w:t>
      </w:r>
    </w:p>
    <w:p w14:paraId="0748139A" w14:textId="3D44FC27" w:rsidR="00FD2E59" w:rsidRPr="002D3691" w:rsidRDefault="00025EC4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  <w:sz w:val="16"/>
        </w:rPr>
        <w:t>l</w:t>
      </w:r>
      <w:r w:rsidR="00637131" w:rsidRPr="002D3691">
        <w:rPr>
          <w:color w:val="000000" w:themeColor="text1"/>
          <w:sz w:val="16"/>
        </w:rPr>
        <w:t>ithium</w:t>
      </w:r>
      <w:proofErr w:type="gramEnd"/>
      <w:r w:rsidR="00637131" w:rsidRPr="002D3691">
        <w:rPr>
          <w:color w:val="000000" w:themeColor="text1"/>
          <w:sz w:val="16"/>
        </w:rPr>
        <w:t xml:space="preserve"> </w:t>
      </w:r>
      <w:r w:rsidR="00FD2E59" w:rsidRPr="002D3691">
        <w:rPr>
          <w:color w:val="000000" w:themeColor="text1"/>
          <w:sz w:val="16"/>
        </w:rPr>
        <w:t>(up $</w:t>
      </w:r>
      <w:r w:rsidR="00637131" w:rsidRPr="002D3691">
        <w:rPr>
          <w:color w:val="000000" w:themeColor="text1"/>
          <w:sz w:val="16"/>
        </w:rPr>
        <w:t>5.7</w:t>
      </w:r>
      <w:r w:rsidR="009504CB" w:rsidRPr="002D3691">
        <w:rPr>
          <w:color w:val="000000" w:themeColor="text1"/>
          <w:sz w:val="16"/>
        </w:rPr>
        <w:t> </w:t>
      </w:r>
      <w:r w:rsidR="006335FA" w:rsidRPr="002D3691">
        <w:rPr>
          <w:color w:val="000000" w:themeColor="text1"/>
          <w:sz w:val="16"/>
        </w:rPr>
        <w:t>b</w:t>
      </w:r>
      <w:r w:rsidR="005E4F39" w:rsidRPr="002D3691">
        <w:rPr>
          <w:color w:val="000000" w:themeColor="text1"/>
          <w:sz w:val="16"/>
        </w:rPr>
        <w:t>illion or</w:t>
      </w:r>
      <w:r w:rsidR="00637131" w:rsidRPr="002D3691">
        <w:rPr>
          <w:color w:val="000000" w:themeColor="text1"/>
          <w:sz w:val="16"/>
        </w:rPr>
        <w:t xml:space="preserve"> 544.8</w:t>
      </w:r>
      <w:r w:rsidR="00FD2E59" w:rsidRPr="002D3691">
        <w:rPr>
          <w:color w:val="000000" w:themeColor="text1"/>
          <w:sz w:val="16"/>
        </w:rPr>
        <w:t>%)</w:t>
      </w:r>
    </w:p>
    <w:p w14:paraId="7324A7E6" w14:textId="281394EF" w:rsidR="00FD2E59" w:rsidRPr="002D3691" w:rsidRDefault="00025EC4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  <w:sz w:val="16"/>
        </w:rPr>
        <w:t>c</w:t>
      </w:r>
      <w:r w:rsidR="009504CB" w:rsidRPr="002D3691">
        <w:rPr>
          <w:color w:val="000000" w:themeColor="text1"/>
          <w:sz w:val="16"/>
        </w:rPr>
        <w:t>ondensate</w:t>
      </w:r>
      <w:proofErr w:type="gramEnd"/>
      <w:r w:rsidR="009504CB" w:rsidRPr="002D3691">
        <w:rPr>
          <w:color w:val="000000" w:themeColor="text1"/>
          <w:sz w:val="16"/>
        </w:rPr>
        <w:t xml:space="preserve"> (up $</w:t>
      </w:r>
      <w:r w:rsidR="00637131" w:rsidRPr="002D3691">
        <w:rPr>
          <w:color w:val="000000" w:themeColor="text1"/>
          <w:sz w:val="16"/>
        </w:rPr>
        <w:t>4.3</w:t>
      </w:r>
      <w:r w:rsidR="009504CB" w:rsidRPr="002D3691">
        <w:rPr>
          <w:color w:val="000000" w:themeColor="text1"/>
          <w:sz w:val="16"/>
        </w:rPr>
        <w:t> </w:t>
      </w:r>
      <w:r w:rsidR="00A70610" w:rsidRPr="002D3691">
        <w:rPr>
          <w:color w:val="000000" w:themeColor="text1"/>
          <w:sz w:val="16"/>
        </w:rPr>
        <w:t>b</w:t>
      </w:r>
      <w:r w:rsidR="005E4F39" w:rsidRPr="002D3691">
        <w:rPr>
          <w:color w:val="000000" w:themeColor="text1"/>
          <w:sz w:val="16"/>
        </w:rPr>
        <w:t xml:space="preserve">illion or </w:t>
      </w:r>
      <w:r w:rsidR="00637131" w:rsidRPr="002D3691">
        <w:rPr>
          <w:color w:val="000000" w:themeColor="text1"/>
          <w:sz w:val="16"/>
        </w:rPr>
        <w:t>101.4</w:t>
      </w:r>
      <w:r w:rsidR="00FD2E59" w:rsidRPr="002D3691">
        <w:rPr>
          <w:color w:val="000000" w:themeColor="text1"/>
          <w:sz w:val="16"/>
        </w:rPr>
        <w:t>%).</w:t>
      </w:r>
    </w:p>
    <w:p w14:paraId="485C5268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8D23A99" w14:textId="77777777" w:rsidR="00FD2E59" w:rsidRPr="00642048" w:rsidRDefault="00FD2E59" w:rsidP="00FD2E59">
      <w:pPr>
        <w:pStyle w:val="BodyText"/>
        <w:spacing w:after="0"/>
        <w:rPr>
          <w:b/>
          <w:sz w:val="22"/>
        </w:rPr>
      </w:pPr>
      <w:bookmarkStart w:id="5" w:name="_UNITED_STATES"/>
      <w:bookmarkEnd w:id="5"/>
      <w:r w:rsidRPr="00642048">
        <w:rPr>
          <w:b/>
          <w:sz w:val="22"/>
        </w:rPr>
        <w:lastRenderedPageBreak/>
        <w:t>Mining industry</w:t>
      </w:r>
    </w:p>
    <w:p w14:paraId="541EB8C0" w14:textId="390AD8CB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iron ore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3E3031" w:rsidRPr="00020369">
        <w:rPr>
          <w:b/>
          <w:color w:val="92278F" w:themeColor="accent1"/>
          <w:sz w:val="20"/>
        </w:rPr>
        <w:t xml:space="preserve">: </w:t>
      </w:r>
      <w:r w:rsidR="00A34D18" w:rsidRPr="002D3691">
        <w:rPr>
          <w:b/>
          <w:color w:val="92278F" w:themeColor="accent1"/>
          <w:sz w:val="20"/>
        </w:rPr>
        <w:t xml:space="preserve">financial </w:t>
      </w:r>
      <w:r w:rsidRPr="002C47CA">
        <w:rPr>
          <w:b/>
          <w:color w:val="92278F" w:themeColor="accent1"/>
          <w:sz w:val="20"/>
        </w:rPr>
        <w:t>years</w:t>
      </w:r>
    </w:p>
    <w:p w14:paraId="39A28E4B" w14:textId="2394B441" w:rsidR="00FD2E59" w:rsidRDefault="002D284A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6BE0B46" wp14:editId="162066CD">
            <wp:extent cx="3528000" cy="2103405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A658" w14:textId="1A152288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 xml:space="preserve">series. Indexes </w:t>
      </w:r>
      <w:r w:rsidRPr="002D3691">
        <w:rPr>
          <w:sz w:val="10"/>
        </w:rPr>
        <w:t>20</w:t>
      </w:r>
      <w:r w:rsidR="0073626A" w:rsidRPr="002D3691">
        <w:rPr>
          <w:sz w:val="10"/>
        </w:rPr>
        <w:t>11</w:t>
      </w:r>
      <w:r w:rsidR="00D40B52" w:rsidRPr="002D3691">
        <w:rPr>
          <w:sz w:val="10"/>
        </w:rPr>
        <w:t>-12</w:t>
      </w:r>
      <w:r w:rsidRPr="002D3691">
        <w:rPr>
          <w:sz w:val="10"/>
        </w:rPr>
        <w:t xml:space="preserve"> = 100.0.</w:t>
      </w:r>
    </w:p>
    <w:p w14:paraId="3AAF424E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708F76FC" w14:textId="77777777" w:rsidR="00FD2E59" w:rsidRDefault="00FD2E59" w:rsidP="00FD2E59">
      <w:pPr>
        <w:spacing w:after="0"/>
        <w:jc w:val="both"/>
        <w:rPr>
          <w:sz w:val="16"/>
        </w:rPr>
      </w:pPr>
    </w:p>
    <w:p w14:paraId="4AD49AC8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5942C099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0E39488" w14:textId="77777777" w:rsidR="00FD2E59" w:rsidRDefault="00FD2E59" w:rsidP="00FD2E59">
      <w:pPr>
        <w:spacing w:after="0"/>
        <w:jc w:val="both"/>
        <w:rPr>
          <w:sz w:val="16"/>
        </w:rPr>
      </w:pPr>
    </w:p>
    <w:p w14:paraId="65C61546" w14:textId="677E3138" w:rsidR="00FD2E59" w:rsidRPr="002D369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691">
        <w:rPr>
          <w:sz w:val="16"/>
        </w:rPr>
        <w:t>The value of Western Aust</w:t>
      </w:r>
      <w:r w:rsidR="004F0AD1" w:rsidRPr="002D3691">
        <w:rPr>
          <w:sz w:val="16"/>
        </w:rPr>
        <w:t xml:space="preserve">ralia’s iron ore sales </w:t>
      </w:r>
      <w:r w:rsidR="00A34D18" w:rsidRPr="002D3691">
        <w:rPr>
          <w:sz w:val="16"/>
        </w:rPr>
        <w:t>fell 11.9</w:t>
      </w:r>
      <w:r w:rsidRPr="002D3691">
        <w:rPr>
          <w:sz w:val="16"/>
        </w:rPr>
        <w:t>% to $1</w:t>
      </w:r>
      <w:r w:rsidR="00A34D18" w:rsidRPr="002D3691">
        <w:rPr>
          <w:sz w:val="16"/>
        </w:rPr>
        <w:t>37.1</w:t>
      </w:r>
      <w:r w:rsidR="009504CB" w:rsidRPr="002D3691">
        <w:rPr>
          <w:sz w:val="16"/>
        </w:rPr>
        <w:t> </w:t>
      </w:r>
      <w:r w:rsidR="004F0AD1" w:rsidRPr="002D3691">
        <w:rPr>
          <w:sz w:val="16"/>
        </w:rPr>
        <w:t>billion in 202</w:t>
      </w:r>
      <w:r w:rsidR="0073626A" w:rsidRPr="002D3691">
        <w:rPr>
          <w:sz w:val="16"/>
        </w:rPr>
        <w:t>1</w:t>
      </w:r>
      <w:r w:rsidR="00A34D18" w:rsidRPr="002D3691">
        <w:rPr>
          <w:sz w:val="16"/>
        </w:rPr>
        <w:t>-22</w:t>
      </w:r>
      <w:r w:rsidR="0073626A" w:rsidRPr="002D3691">
        <w:rPr>
          <w:sz w:val="16"/>
        </w:rPr>
        <w:t xml:space="preserve">, </w:t>
      </w:r>
      <w:r w:rsidR="00471798" w:rsidRPr="002D3691">
        <w:rPr>
          <w:sz w:val="16"/>
        </w:rPr>
        <w:t xml:space="preserve">with the fall </w:t>
      </w:r>
      <w:r w:rsidR="00A34D18" w:rsidRPr="002D3691">
        <w:rPr>
          <w:sz w:val="16"/>
        </w:rPr>
        <w:t>in</w:t>
      </w:r>
      <w:r w:rsidR="0030240F" w:rsidRPr="002D3691">
        <w:rPr>
          <w:sz w:val="16"/>
        </w:rPr>
        <w:t xml:space="preserve"> the average</w:t>
      </w:r>
      <w:r w:rsidR="00A34D18" w:rsidRPr="002D3691">
        <w:rPr>
          <w:sz w:val="16"/>
        </w:rPr>
        <w:t xml:space="preserve"> price</w:t>
      </w:r>
      <w:r w:rsidR="0030240F" w:rsidRPr="002D3691">
        <w:rPr>
          <w:sz w:val="16"/>
        </w:rPr>
        <w:t xml:space="preserve"> in 2021-22</w:t>
      </w:r>
      <w:r w:rsidR="00471798" w:rsidRPr="002D3691">
        <w:rPr>
          <w:sz w:val="16"/>
        </w:rPr>
        <w:t xml:space="preserve"> offsetting </w:t>
      </w:r>
      <w:r w:rsidR="00F815E7" w:rsidRPr="002D3691">
        <w:rPr>
          <w:sz w:val="16"/>
        </w:rPr>
        <w:t>a</w:t>
      </w:r>
      <w:r w:rsidR="00471798" w:rsidRPr="002D3691">
        <w:rPr>
          <w:sz w:val="16"/>
        </w:rPr>
        <w:t xml:space="preserve"> small increase in sales volumes</w:t>
      </w:r>
      <w:r w:rsidR="00A34D18" w:rsidRPr="002D3691">
        <w:rPr>
          <w:sz w:val="16"/>
        </w:rPr>
        <w:t>.</w:t>
      </w:r>
    </w:p>
    <w:p w14:paraId="2AD20F7B" w14:textId="77174DA7" w:rsidR="0073626A" w:rsidRPr="002D3691" w:rsidRDefault="0073626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691">
        <w:rPr>
          <w:sz w:val="16"/>
        </w:rPr>
        <w:t>The annual average $A unit price (free on board) of Western Aust</w:t>
      </w:r>
      <w:r w:rsidR="00F54411" w:rsidRPr="002D3691">
        <w:rPr>
          <w:sz w:val="16"/>
        </w:rPr>
        <w:t xml:space="preserve">ralia’s iron ore sales </w:t>
      </w:r>
      <w:r w:rsidR="00A34D18" w:rsidRPr="002D3691">
        <w:rPr>
          <w:sz w:val="16"/>
        </w:rPr>
        <w:t>fell 12.5</w:t>
      </w:r>
      <w:r w:rsidR="00F54411" w:rsidRPr="002D3691">
        <w:rPr>
          <w:sz w:val="16"/>
        </w:rPr>
        <w:t>% in 20</w:t>
      </w:r>
      <w:r w:rsidRPr="002D3691">
        <w:rPr>
          <w:sz w:val="16"/>
        </w:rPr>
        <w:t>21</w:t>
      </w:r>
      <w:r w:rsidR="00A34D18" w:rsidRPr="002D3691">
        <w:rPr>
          <w:sz w:val="16"/>
        </w:rPr>
        <w:t>-22</w:t>
      </w:r>
      <w:r w:rsidRPr="002D3691">
        <w:rPr>
          <w:sz w:val="16"/>
        </w:rPr>
        <w:t>.</w:t>
      </w:r>
    </w:p>
    <w:p w14:paraId="7B2AFF9C" w14:textId="65F09E83" w:rsidR="00FD2E59" w:rsidRPr="002D369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691">
        <w:rPr>
          <w:sz w:val="16"/>
        </w:rPr>
        <w:t>The volume of Western Aus</w:t>
      </w:r>
      <w:r w:rsidR="0073626A" w:rsidRPr="002D3691">
        <w:rPr>
          <w:sz w:val="16"/>
        </w:rPr>
        <w:t xml:space="preserve">tralia’s iron ore sales </w:t>
      </w:r>
      <w:r w:rsidR="00A34D18" w:rsidRPr="002D3691">
        <w:rPr>
          <w:sz w:val="16"/>
        </w:rPr>
        <w:t>rose 0.6</w:t>
      </w:r>
      <w:r w:rsidRPr="002D3691">
        <w:rPr>
          <w:sz w:val="16"/>
        </w:rPr>
        <w:t>% to 8</w:t>
      </w:r>
      <w:r w:rsidR="00A34D18" w:rsidRPr="002D3691">
        <w:rPr>
          <w:sz w:val="16"/>
        </w:rPr>
        <w:t>44</w:t>
      </w:r>
      <w:r w:rsidR="00D37D80" w:rsidRPr="002D3691">
        <w:rPr>
          <w:sz w:val="16"/>
        </w:rPr>
        <w:t> </w:t>
      </w:r>
      <w:r w:rsidR="00F54411" w:rsidRPr="002D3691">
        <w:rPr>
          <w:sz w:val="16"/>
        </w:rPr>
        <w:t>million tonnes in 20</w:t>
      </w:r>
      <w:r w:rsidR="0073626A" w:rsidRPr="002D3691">
        <w:rPr>
          <w:sz w:val="16"/>
        </w:rPr>
        <w:t>21</w:t>
      </w:r>
      <w:r w:rsidR="00A34D18" w:rsidRPr="002D3691">
        <w:rPr>
          <w:sz w:val="16"/>
        </w:rPr>
        <w:t>-22</w:t>
      </w:r>
      <w:r w:rsidRPr="002D3691">
        <w:rPr>
          <w:sz w:val="16"/>
        </w:rPr>
        <w:t>.</w:t>
      </w:r>
    </w:p>
    <w:p w14:paraId="0F4BF557" w14:textId="6E12B0D5" w:rsidR="00FD2E59" w:rsidRPr="00C451F8" w:rsidRDefault="00A95465" w:rsidP="007362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1F8">
        <w:rPr>
          <w:sz w:val="16"/>
        </w:rPr>
        <w:t>The 2022</w:t>
      </w:r>
      <w:r w:rsidRPr="00C451F8">
        <w:rPr>
          <w:sz w:val="16"/>
        </w:rPr>
        <w:noBreakHyphen/>
        <w:t xml:space="preserve">23 WA Government Mid-year Financial Projections Statement </w:t>
      </w:r>
      <w:r w:rsidR="009A59AA" w:rsidRPr="00C451F8">
        <w:rPr>
          <w:sz w:val="16"/>
        </w:rPr>
        <w:t>f</w:t>
      </w:r>
      <w:r w:rsidR="00FD2E59" w:rsidRPr="00C451F8">
        <w:rPr>
          <w:sz w:val="16"/>
        </w:rPr>
        <w:t>orecast</w:t>
      </w:r>
      <w:r w:rsidRPr="00C451F8">
        <w:rPr>
          <w:sz w:val="16"/>
        </w:rPr>
        <w:t>s</w:t>
      </w:r>
      <w:r w:rsidR="00FD2E59" w:rsidRPr="00C451F8">
        <w:rPr>
          <w:sz w:val="16"/>
        </w:rPr>
        <w:t xml:space="preserve"> the volume of Western Australia’s</w:t>
      </w:r>
      <w:r w:rsidR="00CF0861" w:rsidRPr="00C451F8">
        <w:rPr>
          <w:sz w:val="16"/>
        </w:rPr>
        <w:t xml:space="preserve"> iron ore sales </w:t>
      </w:r>
      <w:r w:rsidR="00B102D0" w:rsidRPr="00C451F8">
        <w:rPr>
          <w:sz w:val="16"/>
        </w:rPr>
        <w:t>will</w:t>
      </w:r>
      <w:r w:rsidR="00CF0861" w:rsidRPr="00C451F8">
        <w:rPr>
          <w:sz w:val="16"/>
        </w:rPr>
        <w:t xml:space="preserve"> rise to 8</w:t>
      </w:r>
      <w:r w:rsidR="00B102D0" w:rsidRPr="00C451F8">
        <w:rPr>
          <w:sz w:val="16"/>
        </w:rPr>
        <w:t>92</w:t>
      </w:r>
      <w:r w:rsidR="00D37D80" w:rsidRPr="00C451F8">
        <w:rPr>
          <w:sz w:val="16"/>
        </w:rPr>
        <w:t> </w:t>
      </w:r>
      <w:r w:rsidR="00CF0861" w:rsidRPr="00C451F8">
        <w:rPr>
          <w:sz w:val="16"/>
        </w:rPr>
        <w:t>million tonnes in 20</w:t>
      </w:r>
      <w:r w:rsidR="00964AC6" w:rsidRPr="00C451F8">
        <w:rPr>
          <w:sz w:val="16"/>
        </w:rPr>
        <w:t>25</w:t>
      </w:r>
      <w:r w:rsidR="00CF0861" w:rsidRPr="00C451F8">
        <w:rPr>
          <w:sz w:val="16"/>
        </w:rPr>
        <w:t>-2</w:t>
      </w:r>
      <w:r w:rsidR="00964AC6" w:rsidRPr="00C451F8">
        <w:rPr>
          <w:sz w:val="16"/>
        </w:rPr>
        <w:t>6</w:t>
      </w:r>
      <w:r w:rsidR="00FD2E59" w:rsidRPr="00C451F8">
        <w:rPr>
          <w:sz w:val="16"/>
        </w:rPr>
        <w:t>.</w:t>
      </w:r>
    </w:p>
    <w:p w14:paraId="700FB0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FF3432" w14:textId="4B1D3A42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LNG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A34D18" w:rsidRPr="00BD1F5B">
        <w:rPr>
          <w:b/>
          <w:color w:val="92278F" w:themeColor="accent1"/>
          <w:sz w:val="20"/>
        </w:rPr>
        <w:t xml:space="preserve">financial </w:t>
      </w:r>
      <w:r w:rsidRPr="002C47CA">
        <w:rPr>
          <w:b/>
          <w:color w:val="92278F" w:themeColor="accent1"/>
          <w:sz w:val="20"/>
        </w:rPr>
        <w:t>years</w:t>
      </w:r>
    </w:p>
    <w:p w14:paraId="6D8215CA" w14:textId="0957D48E" w:rsidR="00FD2E59" w:rsidRPr="002D284A" w:rsidRDefault="002D284A" w:rsidP="002D284A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54DCF75" wp14:editId="7C92026C">
            <wp:extent cx="3528000" cy="2103405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C5FE" w14:textId="57DF09EB" w:rsidR="00FD2E59" w:rsidRPr="002D3691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 xml:space="preserve">series. Indexes </w:t>
      </w:r>
      <w:r w:rsidRPr="002D3691">
        <w:rPr>
          <w:sz w:val="10"/>
        </w:rPr>
        <w:t>20</w:t>
      </w:r>
      <w:r w:rsidR="00F45179" w:rsidRPr="002D3691">
        <w:rPr>
          <w:sz w:val="10"/>
        </w:rPr>
        <w:t>11</w:t>
      </w:r>
      <w:r w:rsidR="00D40B52" w:rsidRPr="002D3691">
        <w:rPr>
          <w:sz w:val="10"/>
        </w:rPr>
        <w:t>-12</w:t>
      </w:r>
      <w:r w:rsidRPr="002D3691">
        <w:rPr>
          <w:sz w:val="10"/>
        </w:rPr>
        <w:t xml:space="preserve"> = 100.0.</w:t>
      </w:r>
    </w:p>
    <w:p w14:paraId="10DA726D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7646836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1FEA453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30F2F3A6" w14:textId="55961C34" w:rsidR="00FD2E59" w:rsidRPr="002D369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2D3691">
        <w:rPr>
          <w:sz w:val="16"/>
        </w:rPr>
        <w:t>The value of Western</w:t>
      </w:r>
      <w:r w:rsidR="005B60CF" w:rsidRPr="002D3691">
        <w:rPr>
          <w:sz w:val="16"/>
        </w:rPr>
        <w:t xml:space="preserve"> Australia’s LNG sales </w:t>
      </w:r>
      <w:r w:rsidR="00874D77" w:rsidRPr="002D3691">
        <w:rPr>
          <w:sz w:val="16"/>
        </w:rPr>
        <w:t xml:space="preserve">rose </w:t>
      </w:r>
      <w:r w:rsidR="006B457B" w:rsidRPr="002D3691">
        <w:rPr>
          <w:sz w:val="16"/>
        </w:rPr>
        <w:t>129.6</w:t>
      </w:r>
      <w:r w:rsidR="00874D77" w:rsidRPr="002D3691">
        <w:rPr>
          <w:sz w:val="16"/>
        </w:rPr>
        <w:t>% to $</w:t>
      </w:r>
      <w:r w:rsidR="006B457B" w:rsidRPr="002D3691">
        <w:rPr>
          <w:sz w:val="16"/>
        </w:rPr>
        <w:t>37.5</w:t>
      </w:r>
      <w:r w:rsidR="00874D77" w:rsidRPr="002D3691">
        <w:rPr>
          <w:sz w:val="16"/>
        </w:rPr>
        <w:t> billion in 20</w:t>
      </w:r>
      <w:r w:rsidR="005B60CF" w:rsidRPr="002D3691">
        <w:rPr>
          <w:sz w:val="16"/>
        </w:rPr>
        <w:t>21</w:t>
      </w:r>
      <w:r w:rsidR="006B457B" w:rsidRPr="002D3691">
        <w:rPr>
          <w:sz w:val="16"/>
        </w:rPr>
        <w:t>-22</w:t>
      </w:r>
      <w:r w:rsidRPr="002D3691">
        <w:rPr>
          <w:sz w:val="16"/>
        </w:rPr>
        <w:t xml:space="preserve">, due </w:t>
      </w:r>
      <w:r w:rsidR="00F815E7" w:rsidRPr="002D3691">
        <w:rPr>
          <w:sz w:val="16"/>
        </w:rPr>
        <w:t xml:space="preserve">mostly to an </w:t>
      </w:r>
      <w:r w:rsidR="00874D77" w:rsidRPr="002D3691">
        <w:rPr>
          <w:sz w:val="16"/>
        </w:rPr>
        <w:t>increase in</w:t>
      </w:r>
      <w:r w:rsidR="002A1BCC" w:rsidRPr="002D3691">
        <w:rPr>
          <w:sz w:val="16"/>
        </w:rPr>
        <w:t xml:space="preserve"> the</w:t>
      </w:r>
      <w:r w:rsidRPr="002D3691">
        <w:rPr>
          <w:sz w:val="16"/>
        </w:rPr>
        <w:t xml:space="preserve"> </w:t>
      </w:r>
      <w:r w:rsidR="005B60CF" w:rsidRPr="002D3691">
        <w:rPr>
          <w:sz w:val="16"/>
        </w:rPr>
        <w:t>average price</w:t>
      </w:r>
      <w:r w:rsidR="00471798" w:rsidRPr="002D3691">
        <w:rPr>
          <w:sz w:val="16"/>
        </w:rPr>
        <w:t xml:space="preserve"> </w:t>
      </w:r>
      <w:r w:rsidR="00874D77" w:rsidRPr="002D3691">
        <w:rPr>
          <w:sz w:val="16"/>
        </w:rPr>
        <w:t>in 20</w:t>
      </w:r>
      <w:r w:rsidR="002A1BCC" w:rsidRPr="002D3691">
        <w:rPr>
          <w:sz w:val="16"/>
        </w:rPr>
        <w:t>21</w:t>
      </w:r>
      <w:r w:rsidR="006B457B" w:rsidRPr="002D3691">
        <w:rPr>
          <w:sz w:val="16"/>
        </w:rPr>
        <w:t>-22</w:t>
      </w:r>
      <w:r w:rsidRPr="002D3691">
        <w:rPr>
          <w:sz w:val="16"/>
        </w:rPr>
        <w:t>.</w:t>
      </w:r>
    </w:p>
    <w:p w14:paraId="27D56563" w14:textId="281D655B" w:rsidR="005B60CF" w:rsidRPr="002D3691" w:rsidRDefault="005B60C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691">
        <w:rPr>
          <w:sz w:val="16"/>
        </w:rPr>
        <w:t>The annual average $A unit price (free on board) of Western</w:t>
      </w:r>
      <w:r w:rsidR="005E3BAD" w:rsidRPr="002D3691">
        <w:rPr>
          <w:sz w:val="16"/>
        </w:rPr>
        <w:t xml:space="preserve"> Australia’s LNG sales </w:t>
      </w:r>
      <w:r w:rsidR="00916064" w:rsidRPr="002D3691">
        <w:rPr>
          <w:sz w:val="16"/>
        </w:rPr>
        <w:t xml:space="preserve">rose </w:t>
      </w:r>
      <w:r w:rsidR="006B457B" w:rsidRPr="002D3691">
        <w:rPr>
          <w:sz w:val="16"/>
        </w:rPr>
        <w:t>115.8</w:t>
      </w:r>
      <w:r w:rsidR="00916064" w:rsidRPr="002D3691">
        <w:rPr>
          <w:sz w:val="16"/>
        </w:rPr>
        <w:t>% in 202</w:t>
      </w:r>
      <w:r w:rsidR="005E3BAD" w:rsidRPr="002D3691">
        <w:rPr>
          <w:sz w:val="16"/>
        </w:rPr>
        <w:t>1</w:t>
      </w:r>
      <w:r w:rsidR="006B457B" w:rsidRPr="002D3691">
        <w:rPr>
          <w:sz w:val="16"/>
        </w:rPr>
        <w:t>-22</w:t>
      </w:r>
      <w:r w:rsidRPr="002D3691">
        <w:rPr>
          <w:sz w:val="16"/>
        </w:rPr>
        <w:t>.</w:t>
      </w:r>
    </w:p>
    <w:p w14:paraId="2668E9B5" w14:textId="56CA7664" w:rsidR="00FD2E59" w:rsidRPr="002D3691" w:rsidRDefault="00FD2E59" w:rsidP="005B60C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691">
        <w:rPr>
          <w:sz w:val="16"/>
        </w:rPr>
        <w:t>The volume of Western Australia’s LNG sa</w:t>
      </w:r>
      <w:r w:rsidR="005E3BAD" w:rsidRPr="002D3691">
        <w:rPr>
          <w:sz w:val="16"/>
        </w:rPr>
        <w:t xml:space="preserve">les </w:t>
      </w:r>
      <w:r w:rsidR="00916064" w:rsidRPr="002D3691">
        <w:rPr>
          <w:sz w:val="16"/>
        </w:rPr>
        <w:t xml:space="preserve">rose </w:t>
      </w:r>
      <w:r w:rsidR="006B457B" w:rsidRPr="002D3691">
        <w:rPr>
          <w:sz w:val="16"/>
        </w:rPr>
        <w:t>6.4</w:t>
      </w:r>
      <w:r w:rsidR="005B60CF" w:rsidRPr="002D3691">
        <w:rPr>
          <w:sz w:val="16"/>
        </w:rPr>
        <w:t>% to 4</w:t>
      </w:r>
      <w:r w:rsidR="006B457B" w:rsidRPr="002D3691">
        <w:rPr>
          <w:sz w:val="16"/>
        </w:rPr>
        <w:t>6</w:t>
      </w:r>
      <w:r w:rsidR="00D37D80" w:rsidRPr="002D3691">
        <w:rPr>
          <w:sz w:val="16"/>
        </w:rPr>
        <w:t> </w:t>
      </w:r>
      <w:r w:rsidR="00916064" w:rsidRPr="002D3691">
        <w:rPr>
          <w:sz w:val="16"/>
        </w:rPr>
        <w:t>million tonnes in 20</w:t>
      </w:r>
      <w:r w:rsidR="005E3BAD" w:rsidRPr="002D3691">
        <w:rPr>
          <w:sz w:val="16"/>
        </w:rPr>
        <w:t>21</w:t>
      </w:r>
      <w:r w:rsidR="006B457B" w:rsidRPr="002D3691">
        <w:rPr>
          <w:sz w:val="16"/>
        </w:rPr>
        <w:t>-22</w:t>
      </w:r>
      <w:r w:rsidRPr="002D3691">
        <w:rPr>
          <w:sz w:val="16"/>
        </w:rPr>
        <w:t>.</w:t>
      </w:r>
    </w:p>
    <w:p w14:paraId="21DA8C50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8459E72" w14:textId="1A3D16C2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gold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6B457B" w:rsidRPr="002D3691">
        <w:rPr>
          <w:b/>
          <w:color w:val="92278F" w:themeColor="accent1"/>
          <w:sz w:val="20"/>
        </w:rPr>
        <w:t xml:space="preserve">financial </w:t>
      </w:r>
      <w:r w:rsidRPr="002C47CA">
        <w:rPr>
          <w:b/>
          <w:color w:val="92278F" w:themeColor="accent1"/>
          <w:sz w:val="20"/>
        </w:rPr>
        <w:t>years</w:t>
      </w:r>
    </w:p>
    <w:p w14:paraId="01DC5CE6" w14:textId="663EB06C" w:rsidR="00FD2E59" w:rsidRDefault="002D284A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5B6FA96" wp14:editId="722CC768">
            <wp:extent cx="3528000" cy="2103405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A317" w14:textId="125A926A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 xml:space="preserve">series. </w:t>
      </w:r>
      <w:r w:rsidRPr="00A95465">
        <w:rPr>
          <w:sz w:val="10"/>
        </w:rPr>
        <w:t>Indexes 20</w:t>
      </w:r>
      <w:r w:rsidR="00315A73" w:rsidRPr="00A95465">
        <w:rPr>
          <w:sz w:val="10"/>
        </w:rPr>
        <w:t>11</w:t>
      </w:r>
      <w:r w:rsidR="00D40B52" w:rsidRPr="00A95465">
        <w:rPr>
          <w:sz w:val="10"/>
        </w:rPr>
        <w:t>-12</w:t>
      </w:r>
      <w:r w:rsidRPr="00A95465">
        <w:rPr>
          <w:sz w:val="10"/>
        </w:rPr>
        <w:t xml:space="preserve"> = 100.0.</w:t>
      </w:r>
    </w:p>
    <w:p w14:paraId="4751AAC2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310B98F" w14:textId="05CFB4AF" w:rsidR="00FD2E59" w:rsidRPr="002D369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2D3691">
        <w:rPr>
          <w:sz w:val="16"/>
        </w:rPr>
        <w:t xml:space="preserve">The value of Western </w:t>
      </w:r>
      <w:r w:rsidR="000A619D" w:rsidRPr="002D3691">
        <w:rPr>
          <w:sz w:val="16"/>
        </w:rPr>
        <w:t xml:space="preserve">Australia’s gold sales </w:t>
      </w:r>
      <w:r w:rsidR="006B457B" w:rsidRPr="002D3691">
        <w:rPr>
          <w:sz w:val="16"/>
        </w:rPr>
        <w:t>rose 4.7</w:t>
      </w:r>
      <w:r w:rsidRPr="002D3691">
        <w:rPr>
          <w:sz w:val="16"/>
        </w:rPr>
        <w:t>% to $</w:t>
      </w:r>
      <w:r w:rsidR="006B457B" w:rsidRPr="002D3691">
        <w:rPr>
          <w:sz w:val="16"/>
        </w:rPr>
        <w:t>17.4</w:t>
      </w:r>
      <w:r w:rsidR="00983052" w:rsidRPr="002D3691">
        <w:rPr>
          <w:sz w:val="16"/>
        </w:rPr>
        <w:t> </w:t>
      </w:r>
      <w:r w:rsidR="003C0715" w:rsidRPr="002D3691">
        <w:rPr>
          <w:sz w:val="16"/>
        </w:rPr>
        <w:t>billion in 20</w:t>
      </w:r>
      <w:r w:rsidR="000A619D" w:rsidRPr="002D3691">
        <w:rPr>
          <w:sz w:val="16"/>
        </w:rPr>
        <w:t>21</w:t>
      </w:r>
      <w:r w:rsidR="00B911BA" w:rsidRPr="002D3691">
        <w:rPr>
          <w:sz w:val="16"/>
        </w:rPr>
        <w:t>-22</w:t>
      </w:r>
      <w:r w:rsidRPr="002D3691">
        <w:rPr>
          <w:sz w:val="16"/>
        </w:rPr>
        <w:t xml:space="preserve">, </w:t>
      </w:r>
      <w:r w:rsidR="003C0715" w:rsidRPr="002D3691">
        <w:rPr>
          <w:sz w:val="16"/>
        </w:rPr>
        <w:t xml:space="preserve">due to </w:t>
      </w:r>
      <w:r w:rsidR="00B911BA" w:rsidRPr="002D3691">
        <w:rPr>
          <w:sz w:val="16"/>
        </w:rPr>
        <w:t xml:space="preserve">increases </w:t>
      </w:r>
      <w:r w:rsidR="003C0715" w:rsidRPr="002D3691">
        <w:rPr>
          <w:sz w:val="16"/>
        </w:rPr>
        <w:t xml:space="preserve">in both </w:t>
      </w:r>
      <w:r w:rsidR="002A1BCC" w:rsidRPr="002D3691">
        <w:rPr>
          <w:sz w:val="16"/>
        </w:rPr>
        <w:t xml:space="preserve">the </w:t>
      </w:r>
      <w:r w:rsidRPr="002D3691">
        <w:rPr>
          <w:sz w:val="16"/>
        </w:rPr>
        <w:t>average price</w:t>
      </w:r>
      <w:r w:rsidR="003C0715" w:rsidRPr="002D3691">
        <w:rPr>
          <w:sz w:val="16"/>
        </w:rPr>
        <w:t xml:space="preserve"> and sales volumes in 2021</w:t>
      </w:r>
      <w:r w:rsidR="00B911BA" w:rsidRPr="002D3691">
        <w:rPr>
          <w:sz w:val="16"/>
        </w:rPr>
        <w:t>-22</w:t>
      </w:r>
      <w:r w:rsidR="003C0715" w:rsidRPr="002D3691">
        <w:rPr>
          <w:sz w:val="16"/>
        </w:rPr>
        <w:t>.</w:t>
      </w:r>
    </w:p>
    <w:p w14:paraId="7F27105F" w14:textId="319EC0E3" w:rsidR="005E3BAD" w:rsidRPr="002D3691" w:rsidRDefault="005E3BA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691">
        <w:rPr>
          <w:sz w:val="16"/>
        </w:rPr>
        <w:t xml:space="preserve">The annual average $A unit price (free on board) of Western </w:t>
      </w:r>
      <w:r w:rsidR="000A619D" w:rsidRPr="002D3691">
        <w:rPr>
          <w:sz w:val="16"/>
        </w:rPr>
        <w:t xml:space="preserve">Australia’s gold sales </w:t>
      </w:r>
      <w:r w:rsidR="00B911BA" w:rsidRPr="002D3691">
        <w:rPr>
          <w:sz w:val="16"/>
        </w:rPr>
        <w:t>rose 1.9</w:t>
      </w:r>
      <w:r w:rsidR="000E7E19" w:rsidRPr="002D3691">
        <w:rPr>
          <w:sz w:val="16"/>
        </w:rPr>
        <w:t>% in 20</w:t>
      </w:r>
      <w:r w:rsidR="000A619D" w:rsidRPr="002D3691">
        <w:rPr>
          <w:sz w:val="16"/>
        </w:rPr>
        <w:t>21</w:t>
      </w:r>
      <w:r w:rsidR="00B911BA" w:rsidRPr="002D3691">
        <w:rPr>
          <w:sz w:val="16"/>
        </w:rPr>
        <w:t>-22</w:t>
      </w:r>
      <w:r w:rsidRPr="002D3691">
        <w:rPr>
          <w:sz w:val="16"/>
        </w:rPr>
        <w:t>.</w:t>
      </w:r>
    </w:p>
    <w:p w14:paraId="6F504312" w14:textId="2305E1DF" w:rsidR="00FD2E59" w:rsidRPr="002D3691" w:rsidRDefault="00FD2E59" w:rsidP="005E3BA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691">
        <w:rPr>
          <w:sz w:val="16"/>
        </w:rPr>
        <w:t xml:space="preserve">The volume of Western Australia’s gold sales </w:t>
      </w:r>
      <w:r w:rsidR="00B911BA" w:rsidRPr="002D3691">
        <w:rPr>
          <w:sz w:val="16"/>
        </w:rPr>
        <w:t>rose 2</w:t>
      </w:r>
      <w:r w:rsidR="000E7E19" w:rsidRPr="002D3691">
        <w:rPr>
          <w:sz w:val="16"/>
        </w:rPr>
        <w:t>.8</w:t>
      </w:r>
      <w:r w:rsidR="005E3BAD" w:rsidRPr="002D3691">
        <w:rPr>
          <w:sz w:val="16"/>
        </w:rPr>
        <w:t>% to 2</w:t>
      </w:r>
      <w:r w:rsidR="00B911BA" w:rsidRPr="002D3691">
        <w:rPr>
          <w:sz w:val="16"/>
        </w:rPr>
        <w:t>14</w:t>
      </w:r>
      <w:r w:rsidR="00D37D80" w:rsidRPr="002D3691">
        <w:rPr>
          <w:sz w:val="16"/>
        </w:rPr>
        <w:t> </w:t>
      </w:r>
      <w:r w:rsidR="000E7E19" w:rsidRPr="002D3691">
        <w:rPr>
          <w:sz w:val="16"/>
        </w:rPr>
        <w:t>tonnes in 20</w:t>
      </w:r>
      <w:r w:rsidR="000A619D" w:rsidRPr="002D3691">
        <w:rPr>
          <w:sz w:val="16"/>
        </w:rPr>
        <w:t>21</w:t>
      </w:r>
      <w:r w:rsidR="00B911BA" w:rsidRPr="002D3691">
        <w:rPr>
          <w:sz w:val="16"/>
        </w:rPr>
        <w:t>-22</w:t>
      </w:r>
      <w:r w:rsidRPr="002D3691">
        <w:rPr>
          <w:sz w:val="16"/>
        </w:rPr>
        <w:t>.</w:t>
      </w:r>
    </w:p>
    <w:p w14:paraId="7529E998" w14:textId="77777777" w:rsidR="00FD2E59" w:rsidRPr="00B911B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70C0"/>
          <w:sz w:val="16"/>
        </w:rPr>
      </w:pPr>
      <w:r w:rsidRPr="00B911BA">
        <w:rPr>
          <w:color w:val="0070C0"/>
          <w:sz w:val="16"/>
        </w:rPr>
        <w:br w:type="page"/>
      </w:r>
    </w:p>
    <w:p w14:paraId="63F36753" w14:textId="77777777" w:rsidR="00FD2E59" w:rsidRPr="00B911BA" w:rsidRDefault="00FD2E59" w:rsidP="00FD2E59">
      <w:pPr>
        <w:pStyle w:val="BodyText"/>
        <w:spacing w:after="0"/>
        <w:rPr>
          <w:color w:val="0070C0"/>
        </w:rPr>
        <w:sectPr w:rsidR="00FD2E59" w:rsidRPr="00B911B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BCFC5C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Regions</w:t>
      </w:r>
    </w:p>
    <w:p w14:paraId="3CE328FA" w14:textId="4D3F4EFA" w:rsidR="00FD2E59" w:rsidRPr="008A06E7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936ED">
        <w:rPr>
          <w:b/>
          <w:color w:val="92278F" w:themeColor="accent1"/>
          <w:sz w:val="20"/>
        </w:rPr>
        <w:t>Weste</w:t>
      </w:r>
      <w:r w:rsidR="00020369" w:rsidRPr="005936ED">
        <w:rPr>
          <w:b/>
          <w:color w:val="92278F" w:themeColor="accent1"/>
          <w:sz w:val="20"/>
        </w:rPr>
        <w:t xml:space="preserve">rn Australia’s </w:t>
      </w:r>
      <w:r w:rsidRPr="005936ED">
        <w:rPr>
          <w:b/>
          <w:color w:val="92278F" w:themeColor="accent1"/>
          <w:sz w:val="20"/>
        </w:rPr>
        <w:t>Region</w:t>
      </w:r>
      <w:r w:rsidR="001C5516" w:rsidRPr="005936ED">
        <w:rPr>
          <w:b/>
          <w:color w:val="92278F" w:themeColor="accent1"/>
          <w:sz w:val="20"/>
        </w:rPr>
        <w:t>al Development</w:t>
      </w:r>
      <w:r w:rsidR="001C5516" w:rsidRPr="008A06E7">
        <w:rPr>
          <w:b/>
          <w:color w:val="92278F" w:themeColor="accent1"/>
          <w:sz w:val="20"/>
        </w:rPr>
        <w:t xml:space="preserve"> Commission</w:t>
      </w:r>
      <w:r w:rsidR="002046CF" w:rsidRPr="008A06E7">
        <w:rPr>
          <w:b/>
          <w:color w:val="92278F" w:themeColor="accent1"/>
          <w:sz w:val="20"/>
        </w:rPr>
        <w:t xml:space="preserve"> Region</w:t>
      </w:r>
      <w:r w:rsidRPr="008A06E7">
        <w:rPr>
          <w:b/>
          <w:color w:val="92278F" w:themeColor="accent1"/>
          <w:sz w:val="20"/>
        </w:rPr>
        <w:t>s</w:t>
      </w:r>
    </w:p>
    <w:p w14:paraId="71A7D5CF" w14:textId="652EE129" w:rsidR="00FD2E59" w:rsidRDefault="00FD2E59" w:rsidP="00BA7D9A">
      <w:pPr>
        <w:spacing w:after="0"/>
        <w:jc w:val="right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50C30" wp14:editId="16669E58">
                <wp:simplePos x="0" y="0"/>
                <wp:positionH relativeFrom="column">
                  <wp:posOffset>31750</wp:posOffset>
                </wp:positionH>
                <wp:positionV relativeFrom="paragraph">
                  <wp:posOffset>53340</wp:posOffset>
                </wp:positionV>
                <wp:extent cx="6794500" cy="794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94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34"/>
                              <w:gridCol w:w="795"/>
                              <w:gridCol w:w="1128"/>
                              <w:gridCol w:w="787"/>
                              <w:gridCol w:w="222"/>
                              <w:gridCol w:w="1167"/>
                              <w:gridCol w:w="1167"/>
                              <w:gridCol w:w="686"/>
                              <w:gridCol w:w="1128"/>
                              <w:gridCol w:w="787"/>
                            </w:tblGrid>
                            <w:tr w:rsidR="00AA57C4" w:rsidRPr="00EE46E2" w14:paraId="74055ED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16555837" w14:textId="77777777" w:rsidR="00AA57C4" w:rsidRPr="00502167" w:rsidRDefault="00AA57C4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6325E808" w14:textId="77777777" w:rsidR="00AA57C4" w:rsidRPr="00EE46E2" w:rsidRDefault="00AA57C4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404361A2" w14:textId="77777777" w:rsidR="00AA57C4" w:rsidRPr="00EE46E2" w:rsidRDefault="00AA57C4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79BB0BA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0D133F09" w14:textId="77777777" w:rsidR="00AA57C4" w:rsidRPr="00502167" w:rsidRDefault="00AA57C4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3665FE48" w14:textId="77777777" w:rsidR="00AA57C4" w:rsidRPr="00EE46E2" w:rsidRDefault="00AA57C4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01D8EAF9" w14:textId="77777777" w:rsidR="00AA57C4" w:rsidRPr="00EE46E2" w:rsidRDefault="00AA57C4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033EA631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BE9D"/>
                                </w:tcPr>
                                <w:p w14:paraId="17B9E9AC" w14:textId="77777777" w:rsidR="00AA57C4" w:rsidRPr="00EE46E2" w:rsidRDefault="00AA57C4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PILBARA &amp; OFFSHORE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2462F4B" w14:textId="77777777" w:rsidR="00AA57C4" w:rsidRPr="00EE46E2" w:rsidRDefault="00AA57C4" w:rsidP="008C34A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1ECB1"/>
                                </w:tcPr>
                                <w:p w14:paraId="699138D8" w14:textId="77777777" w:rsidR="00AA57C4" w:rsidRPr="00EE46E2" w:rsidRDefault="00AA57C4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KIMBERLEY</w:t>
                                  </w:r>
                                </w:p>
                              </w:tc>
                            </w:tr>
                            <w:tr w:rsidR="00AA57C4" w:rsidRPr="00EE46E2" w14:paraId="768D5D6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A529C" w14:textId="77777777" w:rsidR="00AA57C4" w:rsidRPr="00A1002D" w:rsidRDefault="00AA57C4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BFF5FB" w14:textId="77777777" w:rsidR="00AA57C4" w:rsidRPr="00EE46E2" w:rsidRDefault="00AA57C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4C575B" w14:textId="77777777" w:rsidR="00AA57C4" w:rsidRPr="00EE46E2" w:rsidRDefault="00AA57C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0083D" w14:textId="77777777" w:rsidR="00AA57C4" w:rsidRPr="00EE46E2" w:rsidRDefault="00AA57C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808DF41" w14:textId="77777777" w:rsidR="00AA57C4" w:rsidRPr="00EE46E2" w:rsidRDefault="00AA57C4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69AB50" w14:textId="77777777" w:rsidR="00AA57C4" w:rsidRPr="00EE46E2" w:rsidRDefault="00AA57C4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DE8B7" w14:textId="77777777" w:rsidR="00AA57C4" w:rsidRPr="00EE46E2" w:rsidRDefault="00AA57C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5875B" w14:textId="77777777" w:rsidR="00AA57C4" w:rsidRPr="00EE46E2" w:rsidRDefault="00AA57C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65D7C" w14:textId="77777777" w:rsidR="00AA57C4" w:rsidRPr="00EE46E2" w:rsidRDefault="00AA57C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AA57C4" w:rsidRPr="00EE46E2" w14:paraId="4C3DC5D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5F059" w14:textId="2BBB5ABA" w:rsidR="00AA57C4" w:rsidRPr="00A5645B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224067" w14:textId="4D298385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$74.8b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0D807E" w14:textId="4CA76F90" w:rsidR="00AA57C4" w:rsidRPr="00A5645B" w:rsidRDefault="00AA57C4" w:rsidP="00FB5C9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0729C7" w14:textId="4E6FD6E1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DAA67D" w14:textId="77777777" w:rsidR="00AA57C4" w:rsidRPr="00A5645B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31D22A" w14:textId="3809F3CA" w:rsidR="00AA57C4" w:rsidRPr="00A5645B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87D69" w14:textId="70DA5429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$3.4b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FEB0E" w14:textId="02DBA98D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793D9F" w14:textId="4004350E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0.9%</w:t>
                                  </w:r>
                                </w:p>
                              </w:tc>
                            </w:tr>
                            <w:tr w:rsidR="00AA57C4" w:rsidRPr="00EE46E2" w14:paraId="4F5B09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DAC095" w14:textId="5CDA00F5" w:rsidR="00AA57C4" w:rsidRPr="00116A46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B1647" w14:textId="547D9B3C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58,243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328F43" w14:textId="1E6246FE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EE5B8" w14:textId="747F8FE7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AF784B" w14:textId="77777777" w:rsidR="00AA57C4" w:rsidRPr="00116A46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A6B4C7" w14:textId="1BE375CB" w:rsidR="00AA57C4" w:rsidRPr="00116A46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6D7" w14:textId="25101680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38,717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48B2D6" w14:textId="510205DD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01A670" w14:textId="49DA93E2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AA57C4" w:rsidRPr="00EE46E2" w14:paraId="39C80F9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901155" w14:textId="17F79C76" w:rsidR="00AA57C4" w:rsidRPr="00390AF8" w:rsidRDefault="00AA57C4" w:rsidP="006A32AD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F5ED02" w14:textId="083D145A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35,656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921468" w14:textId="6AC6DDCC" w:rsidR="00AA57C4" w:rsidRPr="00390AF8" w:rsidRDefault="00AA57C4" w:rsidP="0053284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5B9D7" w14:textId="1A070458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5741B3" w14:textId="77777777" w:rsidR="00AA57C4" w:rsidRPr="00EE46E2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04CA4" w14:textId="01011EE4" w:rsidR="00AA57C4" w:rsidRPr="00390AF8" w:rsidRDefault="00AA57C4" w:rsidP="0053284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8F689" w14:textId="58AC12E5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18,295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E6C022" w14:textId="48665D2F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5B470" w14:textId="2DBC43D5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AA57C4" w:rsidRPr="00EE46E2" w14:paraId="6F235A5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0B0B11" w14:textId="70FBF7FC" w:rsidR="00AA57C4" w:rsidRPr="00390AF8" w:rsidRDefault="00AA57C4" w:rsidP="0053284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464A5" w14:textId="0F8D2536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85BCC7" w14:textId="3661532F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-0.8pp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7BF91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F6CDAAA" w14:textId="77777777" w:rsidR="00AA57C4" w:rsidRPr="00EE46E2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0D6CE8" w14:textId="399AE516" w:rsidR="00AA57C4" w:rsidRPr="00390AF8" w:rsidRDefault="00AA57C4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17EADD" w14:textId="41B2D5C5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A1C25" w14:textId="76A5FD36" w:rsidR="00AA57C4" w:rsidRPr="00390AF8" w:rsidRDefault="00AA57C4" w:rsidP="0053284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-2.4pp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67496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39889C89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E5A48" w14:textId="166DD2C1" w:rsidR="00AA57C4" w:rsidRPr="00DE6518" w:rsidRDefault="00AA57C4" w:rsidP="00A143F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EA547F" w14:textId="4034DC5A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$189.4b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B86BE5" w14:textId="46F6423C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00F6D" w14:textId="7057D3F5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32C9D45" w14:textId="77777777" w:rsidR="00AA57C4" w:rsidRPr="00DE6518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A1D49" w14:textId="3ED3FAEC" w:rsidR="00AA57C4" w:rsidRPr="00DE651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23C5C" w14:textId="1AF7C480" w:rsidR="00AA57C4" w:rsidRPr="00DE6518" w:rsidRDefault="00AA57C4" w:rsidP="003C60C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$469m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249CC" w14:textId="2E3A2CAE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-19.4%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C5EFAC" w14:textId="08D0E24F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0.2%</w:t>
                                  </w:r>
                                </w:p>
                              </w:tc>
                            </w:tr>
                            <w:tr w:rsidR="00AA57C4" w:rsidRPr="00EE46E2" w14:paraId="13CDD0A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01C5" w14:textId="2B0D4FDC" w:rsidR="00AA57C4" w:rsidRPr="004D6F1E" w:rsidRDefault="00AA57C4" w:rsidP="00E7778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D6F1E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 xml:space="preserve">Building approvals: 2021-22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2BFC7" w14:textId="6DC87E5C" w:rsidR="00AA57C4" w:rsidRPr="004D6F1E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D6F1E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$462m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0DA3" w14:textId="58676901" w:rsidR="00AA57C4" w:rsidRPr="004D6F1E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D6F1E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+27.1%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BDF9D" w14:textId="638CE0B6" w:rsidR="00AA57C4" w:rsidRPr="004D6F1E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D6F1E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1E42C1" w14:textId="77777777" w:rsidR="00AA57C4" w:rsidRPr="004D6F1E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F3D335" w14:textId="26359821" w:rsidR="00AA57C4" w:rsidRPr="004D6F1E" w:rsidRDefault="00AA57C4" w:rsidP="005A6E7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D6F1E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A8413" w14:textId="4EF1E895" w:rsidR="00AA57C4" w:rsidRPr="004D6F1E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D6F1E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$110m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9B56E" w14:textId="4D836473" w:rsidR="00AA57C4" w:rsidRPr="004D6F1E" w:rsidRDefault="00AA57C4" w:rsidP="005A6E7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D6F1E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+36.7%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A1FF59" w14:textId="77373958" w:rsidR="00AA57C4" w:rsidRPr="004D6F1E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D6F1E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0.9%</w:t>
                                  </w:r>
                                </w:p>
                              </w:tc>
                            </w:tr>
                            <w:tr w:rsidR="00AA57C4" w:rsidRPr="00EE46E2" w14:paraId="001C2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9550D" w14:textId="100B8542" w:rsidR="00AA57C4" w:rsidRPr="00C61A5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0C624" w14:textId="006DEE1B" w:rsidR="00AA57C4" w:rsidRPr="00C61A58" w:rsidRDefault="00AA57C4" w:rsidP="00B46A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1,085,000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E1491" w14:textId="7777777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CF13" w14:textId="026A2616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4FE1EB" w14:textId="77777777" w:rsidR="00AA57C4" w:rsidRPr="00EE46E2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9AE24A" w14:textId="12014278" w:rsidR="00AA57C4" w:rsidRPr="00C61A5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E81CB5" w14:textId="6457FD61" w:rsidR="00AA57C4" w:rsidRPr="00C61A58" w:rsidRDefault="00AA57C4" w:rsidP="00D06AC2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372,000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A20DD8" w14:textId="7777777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F9D2E2" w14:textId="3AA3AFC4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3.2%</w:t>
                                  </w:r>
                                </w:p>
                              </w:tc>
                            </w:tr>
                          </w:tbl>
                          <w:p w14:paraId="7E2AFE78" w14:textId="77777777" w:rsidR="00AA57C4" w:rsidRPr="00502167" w:rsidRDefault="00AA57C4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34"/>
                              <w:gridCol w:w="795"/>
                              <w:gridCol w:w="1128"/>
                              <w:gridCol w:w="787"/>
                              <w:gridCol w:w="222"/>
                              <w:gridCol w:w="2334"/>
                              <w:gridCol w:w="795"/>
                              <w:gridCol w:w="1128"/>
                              <w:gridCol w:w="787"/>
                            </w:tblGrid>
                            <w:tr w:rsidR="00AA57C4" w:rsidRPr="00EE46E2" w14:paraId="01E1BF46" w14:textId="77777777" w:rsidTr="008552B4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5C9B36" w14:textId="77777777" w:rsidR="00AA57C4" w:rsidRPr="00EE46E2" w:rsidRDefault="00AA57C4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GASCOYNE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BB3F68" w14:textId="77777777" w:rsidR="00AA57C4" w:rsidRPr="00EE46E2" w:rsidRDefault="00AA57C4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</w:tcPr>
                                <w:p w14:paraId="147C5BFD" w14:textId="77777777" w:rsidR="00AA57C4" w:rsidRPr="00EE46E2" w:rsidRDefault="00AA57C4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MID WEST</w:t>
                                  </w:r>
                                </w:p>
                              </w:tc>
                            </w:tr>
                            <w:tr w:rsidR="00AA57C4" w:rsidRPr="00EE46E2" w14:paraId="12F4F563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3830C" w14:textId="77777777" w:rsidR="00AA57C4" w:rsidRPr="00EE46E2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773A0F" w14:textId="22DD48C4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FAFBA3" w14:textId="52F10D59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59CF" w14:textId="20FADCB0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7461984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DA316" w14:textId="77777777" w:rsidR="00AA57C4" w:rsidRPr="00A5645B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765D6F" w14:textId="3269D41B" w:rsidR="00AA57C4" w:rsidRPr="00A5645B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B2804" w14:textId="77777777" w:rsidR="00AA57C4" w:rsidRPr="00A5645B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6B003D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AA57C4" w:rsidRPr="00EE46E2" w14:paraId="6E15A4B3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6868B" w14:textId="0AFE7BD9" w:rsidR="00AA57C4" w:rsidRPr="00A5645B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46973" w14:textId="5FE1FD7C" w:rsidR="00AA57C4" w:rsidRPr="00A5645B" w:rsidRDefault="00AA57C4" w:rsidP="00056E9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$1.5b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E2A47" w14:textId="7BC66D16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8ED43" w14:textId="3D6D8FED" w:rsidR="00AA57C4" w:rsidRPr="00056E99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  <w:r w:rsidRPr="00AE70D4">
                                    <w:rPr>
                                      <w:rFonts w:cstheme="minorHAnsi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C30CC3" w14:textId="77777777" w:rsidR="00AA57C4" w:rsidRPr="00056E99" w:rsidRDefault="00AA57C4" w:rsidP="00F62810">
                                  <w:pPr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CD848F" w14:textId="5CA6343C" w:rsidR="00AA57C4" w:rsidRPr="00A5645B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633532" w14:textId="1E3D4E63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FC916F" w14:textId="7292E356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+14.7%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43A19" w14:textId="2337C4B6" w:rsidR="00AA57C4" w:rsidRPr="00056E99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  <w:r w:rsidRPr="00AE70D4">
                                    <w:rPr>
                                      <w:rFonts w:cstheme="minorHAnsi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AA57C4" w:rsidRPr="008536A7" w14:paraId="2B0DEC38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C5C24" w14:textId="1A091B81" w:rsidR="00AA57C4" w:rsidRPr="00116A46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47A753" w14:textId="59846111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9,980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D140" w14:textId="121F2CEA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A63A2" w14:textId="1F389B4C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37D2075" w14:textId="77777777" w:rsidR="00AA57C4" w:rsidRPr="00116A46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303D8" w14:textId="324CD80A" w:rsidR="00AA57C4" w:rsidRPr="00116A46" w:rsidRDefault="00AA57C4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7390E" w14:textId="59F31053" w:rsidR="00AA57C4" w:rsidRPr="00116A46" w:rsidRDefault="00AA57C4" w:rsidP="00493C45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56,714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E4A1C9" w14:textId="20300309" w:rsidR="00AA57C4" w:rsidRPr="00116A46" w:rsidRDefault="00AA57C4" w:rsidP="00E879C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1F6261" w14:textId="7ED550C4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AA57C4" w:rsidRPr="008536A7" w14:paraId="56A2236B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2BF709" w14:textId="64AE05FF" w:rsidR="00AA57C4" w:rsidRPr="00390AF8" w:rsidRDefault="00AA57C4" w:rsidP="0053284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B0F42E" w14:textId="5DA0AE8F" w:rsidR="00AA57C4" w:rsidRPr="00390AF8" w:rsidRDefault="00AA57C4" w:rsidP="00F05FD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5,441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944F5E" w14:textId="1AA26BEF" w:rsidR="00AA57C4" w:rsidRPr="00390AF8" w:rsidRDefault="00AA57C4" w:rsidP="00F05FD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5AE01" w14:textId="0A5ED611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E12291" w14:textId="77777777" w:rsidR="00AA57C4" w:rsidRPr="00EE46E2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81C71" w14:textId="3C74923D" w:rsidR="00AA57C4" w:rsidRPr="00390AF8" w:rsidRDefault="00AA57C4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682058" w14:textId="2F070F4A" w:rsidR="00AA57C4" w:rsidRPr="00390AF8" w:rsidRDefault="00AA57C4" w:rsidP="00A07CF3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29,024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ADD591" w14:textId="57EC8C21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E6F06C" w14:textId="6B012893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AA57C4" w:rsidRPr="008536A7" w14:paraId="2976C7BE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35A4F4" w14:textId="70071CA2" w:rsidR="00AA57C4" w:rsidRPr="00390AF8" w:rsidRDefault="00AA57C4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June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05D965" w14:textId="0AB611F1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3.5%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1A65E" w14:textId="0B6AF230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-1.7pp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086A93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ED37C9" w14:textId="77777777" w:rsidR="00AA57C4" w:rsidRPr="00EE46E2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1DE34" w14:textId="63D7BDCC" w:rsidR="00AA57C4" w:rsidRPr="00390AF8" w:rsidRDefault="00AA57C4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655F8" w14:textId="680176EA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8CE634" w14:textId="21B3BFE8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68544C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8536A7" w14:paraId="061A0086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D99F96" w14:textId="66CB7FBE" w:rsidR="00AA57C4" w:rsidRPr="00DE651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CC15FB" w14:textId="13C35474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$126m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742BE1" w14:textId="514097B1" w:rsidR="00AA57C4" w:rsidRPr="00DE6518" w:rsidRDefault="00AA57C4" w:rsidP="00AD12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42D95" w14:textId="77777777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15749C" w14:textId="77777777" w:rsidR="00AA57C4" w:rsidRPr="00DE6518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276973" w14:textId="0C971A11" w:rsidR="00AA57C4" w:rsidRPr="00DE651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4662" w14:textId="26B4CE2A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69DCC4" w14:textId="0155D629" w:rsidR="00AA57C4" w:rsidRPr="00DE6518" w:rsidRDefault="00AA57C4" w:rsidP="00AD12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4729C3" w14:textId="0ADDE406" w:rsidR="00AA57C4" w:rsidRPr="00C61A5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AA57C4" w:rsidRPr="008536A7" w14:paraId="77F1CC05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92D0A0" w14:textId="0AE5B7D9" w:rsidR="00AA57C4" w:rsidRPr="00A25485" w:rsidRDefault="00AA57C4" w:rsidP="005A6E7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25485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A4997" w14:textId="698BE68D" w:rsidR="00AA57C4" w:rsidRPr="00A25485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25485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$104m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C5F9EE" w14:textId="70568E61" w:rsidR="00AA57C4" w:rsidRPr="00A25485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25485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+134.7%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11CB4B" w14:textId="0363184A" w:rsidR="00AA57C4" w:rsidRPr="00A25485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25485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B0E00C" w14:textId="77777777" w:rsidR="00AA57C4" w:rsidRPr="00BD3DB6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02A76" w14:textId="752612CA" w:rsidR="00AA57C4" w:rsidRPr="00A25485" w:rsidRDefault="00AA57C4" w:rsidP="005A6E7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 xml:space="preserve">Building approvals: </w:t>
                                  </w:r>
                                  <w:r w:rsidRPr="00A25485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B9E5AF" w14:textId="37C7ECEE" w:rsidR="00AA57C4" w:rsidRPr="00A25485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25485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$234m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D24F2" w14:textId="2BF5B6BD" w:rsidR="00AA57C4" w:rsidRPr="00A25485" w:rsidRDefault="00AA57C4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25485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+29.7%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6F1E7F" w14:textId="6A1B1D42" w:rsidR="00AA57C4" w:rsidRPr="00A25485" w:rsidRDefault="00AA57C4" w:rsidP="00D4356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25485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</w:tr>
                            <w:tr w:rsidR="00AA57C4" w:rsidRPr="008536A7" w14:paraId="46E564B5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2CCC83" w14:textId="72F12495" w:rsidR="00AA57C4" w:rsidRPr="00C61A5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AE7842" w14:textId="7FC792D0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324,000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485E6F" w14:textId="7777777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B95BA" w14:textId="1DEFD6AE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8BCC66" w14:textId="77777777" w:rsidR="00AA57C4" w:rsidRPr="00EE46E2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D3800" w14:textId="0376BD53" w:rsidR="00AA57C4" w:rsidRPr="00C61A5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A34C3" w14:textId="1C5A04C1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687,000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56F1BC" w14:textId="7777777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848B6C" w14:textId="3809252B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6.0%</w:t>
                                  </w:r>
                                </w:p>
                              </w:tc>
                            </w:tr>
                            <w:tr w:rsidR="00AA57C4" w:rsidRPr="00EE46E2" w14:paraId="64112661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9554F9D" w14:textId="77777777" w:rsidR="00AA57C4" w:rsidRPr="00502167" w:rsidRDefault="00AA57C4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DC2E67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9D2702D" w14:textId="083645D2" w:rsidR="00AA57C4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1ECDC45" w14:textId="4BA0FB38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CAF50A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32786C1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E699046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D0B86E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C401620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19D8C04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3D31EBF5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B97"/>
                                </w:tcPr>
                                <w:p w14:paraId="00FA4889" w14:textId="77777777" w:rsidR="00AA57C4" w:rsidRPr="00EE46E2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PERTH METROPOLITAN AREA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BD5576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DAF7" w:themeFill="accent5" w:themeFillTint="66"/>
                                </w:tcPr>
                                <w:p w14:paraId="2684515C" w14:textId="77777777" w:rsidR="00AA57C4" w:rsidRPr="00EE46E2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WHEATBELT</w:t>
                                  </w:r>
                                </w:p>
                              </w:tc>
                            </w:tr>
                            <w:tr w:rsidR="00AA57C4" w:rsidRPr="00EE46E2" w14:paraId="4B8728F1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35FAAC" w14:textId="77777777" w:rsidR="00AA57C4" w:rsidRPr="0028659E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E606B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5AABC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13BB2C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2006EC3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A5F845" w14:textId="77777777" w:rsidR="00AA57C4" w:rsidRPr="00EE46E2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324935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2F3D70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BA98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AA57C4" w:rsidRPr="00EE46E2" w14:paraId="7EE6B768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A8995" w14:textId="5866F6A3" w:rsidR="00AA57C4" w:rsidRPr="00A5645B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BCDF6A" w14:textId="75EF4363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$225.8b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3A784" w14:textId="76F91351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E7422" w14:textId="4C66F473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49F585" w14:textId="77777777" w:rsidR="00AA57C4" w:rsidRPr="00056E99" w:rsidRDefault="00AA57C4" w:rsidP="00F62810">
                                  <w:pPr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CDFDC" w14:textId="774C3284" w:rsidR="00AA57C4" w:rsidRPr="00A5645B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04E506" w14:textId="413AE69E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2D273" w14:textId="0BAE0E33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E05340" w14:textId="37237C8F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AA57C4" w:rsidRPr="00EE46E2" w14:paraId="19FE1A31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17060B" w14:textId="2D3EB7FF" w:rsidR="00AA57C4" w:rsidRPr="00116A46" w:rsidRDefault="00AA57C4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4FB82D" w14:textId="2F448B5D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2,047,515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596AA5" w14:textId="010B566A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5CFCAD" w14:textId="316FC860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5676A8" w14:textId="77777777" w:rsidR="00AA57C4" w:rsidRPr="00EE46E2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12BD9C" w14:textId="6BF9902C" w:rsidR="00AA57C4" w:rsidRPr="00116A46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0D474" w14:textId="4239D961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75,247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E32442" w14:textId="55152A80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F2C1B5" w14:textId="4E61AA6B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2.7%</w:t>
                                  </w:r>
                                </w:p>
                              </w:tc>
                            </w:tr>
                            <w:tr w:rsidR="00AA57C4" w:rsidRPr="00EE46E2" w14:paraId="212D87A1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3F90AF" w14:textId="770FF3A1" w:rsidR="00AA57C4" w:rsidRPr="00390AF8" w:rsidRDefault="00AA57C4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9E5CF8" w14:textId="607C4313" w:rsidR="00AA57C4" w:rsidRPr="00390AF8" w:rsidRDefault="00AA57C4" w:rsidP="006C2B3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1,102,594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1764D" w14:textId="095894D7" w:rsidR="00AA57C4" w:rsidRPr="00390AF8" w:rsidRDefault="00AA57C4" w:rsidP="006C2B3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044A81" w14:textId="5AAE69B0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76.1%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AB0B3C" w14:textId="77777777" w:rsidR="00AA57C4" w:rsidRPr="00EE46E2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AC482" w14:textId="41DC5F89" w:rsidR="00AA57C4" w:rsidRPr="00390AF8" w:rsidRDefault="00AA57C4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B15C30" w14:textId="46D3971C" w:rsidR="00AA57C4" w:rsidRPr="00390AF8" w:rsidRDefault="00AA57C4" w:rsidP="00130D6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36,838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2A504F" w14:textId="7576C023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7F3B7" w14:textId="74FB4601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</w:tr>
                            <w:tr w:rsidR="00AA57C4" w:rsidRPr="00EE46E2" w14:paraId="18E8AB01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8DE4A" w14:textId="5476E9F8" w:rsidR="00AA57C4" w:rsidRPr="00390AF8" w:rsidRDefault="00AA57C4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June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49C91" w14:textId="6996FEEF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3.7%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673ECA" w14:textId="2355401D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-2.7pp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E0BC9A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B02507" w14:textId="77777777" w:rsidR="00AA57C4" w:rsidRPr="00EE46E2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896984" w14:textId="2ECA3FCB" w:rsidR="00AA57C4" w:rsidRPr="00390AF8" w:rsidRDefault="00AA57C4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1BCFB" w14:textId="4AEFBB46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B9C5D" w14:textId="1E7BD3ED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+0.0pp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0A5196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DE6518" w14:paraId="6F50A9DE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1217" w14:textId="190D4DEC" w:rsidR="00AA57C4" w:rsidRPr="00DE651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C3D632" w14:textId="6DC64B39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$48m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D0DD6" w14:textId="6B40AB25" w:rsidR="00AA57C4" w:rsidRPr="00DE6518" w:rsidRDefault="00AA57C4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-98.7%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8A422" w14:textId="6119F904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08D7A94" w14:textId="77777777" w:rsidR="00AA57C4" w:rsidRPr="00DE6518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44B85" w14:textId="5177ED10" w:rsidR="00AA57C4" w:rsidRPr="00DE651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F1F94C" w14:textId="6F615AF3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F59321" w14:textId="7912AC6D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-5.4%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1A2D83" w14:textId="37346AC8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AA57C4" w:rsidRPr="00DE6518" w14:paraId="3BD77644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19B18" w14:textId="0CC82BBE" w:rsidR="00AA57C4" w:rsidRPr="00DE651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79B7E" w14:textId="6E6B6A53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$9.9b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51E52" w14:textId="2B1E6960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38F8B2" w14:textId="602B3A3B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77.1%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A99462" w14:textId="77777777" w:rsidR="00AA57C4" w:rsidRPr="00DE6518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AE7DFF" w14:textId="503BD13D" w:rsidR="00AA57C4" w:rsidRPr="00DE6518" w:rsidRDefault="00AA57C4" w:rsidP="005A6E7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2465FF" w14:textId="7CFFF50F" w:rsidR="00AA57C4" w:rsidRPr="00DE6518" w:rsidRDefault="00AA57C4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$234m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9B09E" w14:textId="0DBE418C" w:rsidR="00AA57C4" w:rsidRPr="00DE6518" w:rsidRDefault="00AA57C4" w:rsidP="005A6E7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-6.3%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A97417" w14:textId="09E822F3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</w:tr>
                            <w:tr w:rsidR="00AA57C4" w:rsidRPr="00EE46E2" w14:paraId="2583AF00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0D55C" w14:textId="72DC9A77" w:rsidR="00AA57C4" w:rsidRPr="00C61A5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60F46" w14:textId="51DAD9D9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3,250,000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64DD01" w14:textId="7777777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F2A7C" w14:textId="51F36024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28.3%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68D9696" w14:textId="77777777" w:rsidR="00AA57C4" w:rsidRPr="00EE46E2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D6D389" w14:textId="7604AD3B" w:rsidR="00AA57C4" w:rsidRPr="00C61A5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7DD67C" w14:textId="39313068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1,096,000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9A10DD" w14:textId="7777777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85C282" w14:textId="7F728E95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9.6%</w:t>
                                  </w:r>
                                </w:p>
                              </w:tc>
                            </w:tr>
                            <w:tr w:rsidR="00AA57C4" w:rsidRPr="00EE46E2" w14:paraId="34E5D017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DD4833" w14:textId="77777777" w:rsidR="00AA57C4" w:rsidRPr="00502167" w:rsidRDefault="00AA57C4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F27A505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DF66B5" w14:textId="665B8185" w:rsidR="00AA57C4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EF27825" w14:textId="30BD652E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F820A6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80947DC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16AEAB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37B79A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8B74DA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0E83DF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130D6CBF" w14:textId="77777777" w:rsidTr="008F4058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09BCF" w:themeFill="text2" w:themeFillTint="66"/>
                                </w:tcPr>
                                <w:p w14:paraId="6F6CC02B" w14:textId="77777777" w:rsidR="00AA57C4" w:rsidRPr="00EE46E2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152C34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DA8F"/>
                                </w:tcPr>
                                <w:p w14:paraId="594DA706" w14:textId="77777777" w:rsidR="00AA57C4" w:rsidRPr="00EE46E2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GOLDFIELDS-ESPERANCE</w:t>
                                  </w:r>
                                </w:p>
                              </w:tc>
                            </w:tr>
                            <w:tr w:rsidR="00AA57C4" w:rsidRPr="00EE46E2" w14:paraId="1E1B73D8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118D85" w14:textId="77777777" w:rsidR="00AA57C4" w:rsidRPr="00A1002D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6EC84A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066F5C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EB0A45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F5B7A1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928F08" w14:textId="77777777" w:rsidR="00AA57C4" w:rsidRPr="00A1002D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5DCD3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759053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E9BCA" w14:textId="77777777" w:rsidR="00AA57C4" w:rsidRPr="00EE46E2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AA57C4" w:rsidRPr="00EE46E2" w14:paraId="7653D63F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37E8AF" w14:textId="662B81DA" w:rsidR="00AA57C4" w:rsidRPr="00A5645B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6326D" w14:textId="2E217DE9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$9.1b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2969EB" w14:textId="5BC18330" w:rsidR="00AA57C4" w:rsidRPr="00A5645B" w:rsidRDefault="00AA57C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152E8" w14:textId="6AD44463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6675C1" w14:textId="77777777" w:rsidR="00AA57C4" w:rsidRPr="00EE46E2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C06779" w14:textId="43740A44" w:rsidR="00AA57C4" w:rsidRPr="00A5645B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E5844" w14:textId="55BAB934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9CCADF" w14:textId="775FEC4F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+14.7%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1FA042" w14:textId="35F98C89" w:rsidR="00AA57C4" w:rsidRPr="00A5645B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3.0%</w:t>
                                  </w:r>
                                </w:p>
                              </w:tc>
                            </w:tr>
                            <w:tr w:rsidR="00AA57C4" w:rsidRPr="00EE46E2" w14:paraId="052FB3A6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4F19AA" w14:textId="47DF7BB7" w:rsidR="00AA57C4" w:rsidRPr="00116A46" w:rsidRDefault="00AA57C4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983C17" w14:textId="04CB1CC7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151,517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61412" w14:textId="28F295D1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CEEF4" w14:textId="3EBC48FA" w:rsidR="00AA57C4" w:rsidRPr="00116A46" w:rsidRDefault="00AA57C4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E7B638" w14:textId="77777777" w:rsidR="00AA57C4" w:rsidRPr="008536A7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46694C" w14:textId="2693CD55" w:rsidR="00AA57C4" w:rsidRPr="00116A46" w:rsidRDefault="00AA57C4" w:rsidP="00E879C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42521D" w14:textId="582D1582" w:rsidR="00AA57C4" w:rsidRPr="00116A46" w:rsidRDefault="00AA57C4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57,330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5503A4" w14:textId="003F075E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99400" w14:textId="55871FED" w:rsidR="00AA57C4" w:rsidRPr="00116A4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AA57C4" w:rsidRPr="00EE46E2" w14:paraId="280449E2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B8D26" w14:textId="1B7C57B4" w:rsidR="00AA57C4" w:rsidRPr="00390AF8" w:rsidRDefault="00AA57C4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3293DD" w14:textId="65CDB8B1" w:rsidR="00AA57C4" w:rsidRPr="00390AF8" w:rsidRDefault="00AA57C4" w:rsidP="00D8430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63,872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5F73CF" w14:textId="1502321F" w:rsidR="00AA57C4" w:rsidRPr="00390AF8" w:rsidRDefault="00AA57C4" w:rsidP="00D8430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EA7C9A" w14:textId="2A34D772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BB06D2" w14:textId="77777777" w:rsidR="00AA57C4" w:rsidRPr="008536A7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018F31" w14:textId="46BDFE5A" w:rsidR="00AA57C4" w:rsidRPr="00390AF8" w:rsidRDefault="00AA57C4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F09AB" w14:textId="3FAE9529" w:rsidR="00AA57C4" w:rsidRPr="00390AF8" w:rsidRDefault="00AA57C4" w:rsidP="005F7425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32,425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2A7CE" w14:textId="672C804D" w:rsidR="00AA57C4" w:rsidRPr="00390AF8" w:rsidRDefault="00AA57C4" w:rsidP="005F7425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6C7D00" w14:textId="0DB57C6A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AA57C4" w:rsidRPr="00EE46E2" w14:paraId="0D80F90F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93379F" w14:textId="365491E2" w:rsidR="00AA57C4" w:rsidRPr="00390AF8" w:rsidRDefault="00AA57C4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June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9A467" w14:textId="668EA311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4.6%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4F4DC" w14:textId="234AB41F" w:rsidR="00AA57C4" w:rsidRPr="00390AF8" w:rsidRDefault="00AA57C4" w:rsidP="00A07CF3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-3.0pp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22760F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180AFF" w14:textId="77777777" w:rsidR="00AA57C4" w:rsidRPr="008536A7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AA18B" w14:textId="46060104" w:rsidR="00AA57C4" w:rsidRPr="00390AF8" w:rsidRDefault="00AA57C4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C42138" w14:textId="04507BE6" w:rsidR="00AA57C4" w:rsidRPr="00390AF8" w:rsidRDefault="00AA57C4" w:rsidP="00A07CF3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B455F" w14:textId="35367BEF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-1.3pp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E13A28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0547AC11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DF76D6" w14:textId="338496E4" w:rsidR="00AA57C4" w:rsidRPr="00DE651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EC709" w14:textId="0EEEBBB7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$9.0b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866F32" w14:textId="77A41433" w:rsidR="00AA57C4" w:rsidRPr="00DE6518" w:rsidRDefault="00AA57C4" w:rsidP="00AD12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+337.9%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64C394" w14:textId="6CA7D59F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AFECB0" w14:textId="77777777" w:rsidR="00AA57C4" w:rsidRPr="00DE6518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1819BD" w14:textId="228613E4" w:rsidR="00AA57C4" w:rsidRPr="00DE651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A066E4" w14:textId="47C1D8EB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$19.6b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7FCCA" w14:textId="72AB926C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9A18E" w14:textId="3B1D3E62" w:rsidR="00AA57C4" w:rsidRPr="00DE651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8.5%</w:t>
                                  </w:r>
                                </w:p>
                              </w:tc>
                            </w:tr>
                            <w:tr w:rsidR="00AA57C4" w:rsidRPr="00EE46E2" w14:paraId="25044692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A0B5BC" w14:textId="0574EF96" w:rsidR="00AA57C4" w:rsidRPr="00BD3DB6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68B18F" w14:textId="4B278BF1" w:rsidR="00AA57C4" w:rsidRPr="00BD3DB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$650m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7080A1" w14:textId="5035C7C4" w:rsidR="00AA57C4" w:rsidRPr="00BD3DB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039DD8" w14:textId="0D7380EA" w:rsidR="00AA57C4" w:rsidRPr="00BD3DB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CCB3CF7" w14:textId="77777777" w:rsidR="00AA57C4" w:rsidRPr="00DA0886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EE8CE0" w14:textId="4CD83F74" w:rsidR="00AA57C4" w:rsidRPr="00BD3DB6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A08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 xml:space="preserve">Building approvals: </w:t>
                                  </w: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9F293E" w14:textId="3D5B70FF" w:rsidR="00AA57C4" w:rsidRPr="00BD3DB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$156m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FE0E62" w14:textId="347F6C91" w:rsidR="00AA57C4" w:rsidRPr="00BD3DB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+22.6%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A9DCB" w14:textId="4E486C7C" w:rsidR="00AA57C4" w:rsidRPr="00BD3DB6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AA57C4" w:rsidRPr="00EE46E2" w14:paraId="293A8C13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141001" w14:textId="15E8764B" w:rsidR="00AA57C4" w:rsidRPr="00C61A5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B6BC5A" w14:textId="30E9440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687,000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646ED5" w14:textId="7777777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FCCCAC" w14:textId="71543041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44E6E3" w14:textId="77777777" w:rsidR="00AA57C4" w:rsidRPr="008536A7" w:rsidRDefault="00AA57C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A4471" w14:textId="12E372BA" w:rsidR="00AA57C4" w:rsidRPr="00C61A58" w:rsidRDefault="00AA57C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0082D0" w14:textId="4571BCCB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764,000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A71E49" w14:textId="77777777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419D41" w14:textId="0FE18ED8" w:rsidR="00AA57C4" w:rsidRPr="00C61A58" w:rsidRDefault="00AA57C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6.7%</w:t>
                                  </w:r>
                                </w:p>
                              </w:tc>
                            </w:tr>
                            <w:tr w:rsidR="00AA57C4" w:rsidRPr="00EE46E2" w14:paraId="0390537C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61C76FD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E6AD8B1" w14:textId="0DD3DD8D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D0DA9B1" w14:textId="2563ABC3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007554" w14:textId="1C90645E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033C6B7" w14:textId="1D3CE3EB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5B2508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CA899D8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22C9B6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12794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1783827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C0EEC6A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7C3474CF" w14:textId="77777777" w:rsidTr="00543DA7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FFCC"/>
                                </w:tcPr>
                                <w:p w14:paraId="52DF7FA2" w14:textId="77777777" w:rsidR="00AA57C4" w:rsidRPr="008536A7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SOUTH WEST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303D8B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1BDD7"/>
                                </w:tcPr>
                                <w:p w14:paraId="4CB5F994" w14:textId="77777777" w:rsidR="00AA57C4" w:rsidRPr="008536A7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GREAT SOUTHERN</w:t>
                                  </w:r>
                                </w:p>
                              </w:tc>
                            </w:tr>
                            <w:tr w:rsidR="00AA57C4" w:rsidRPr="00EE46E2" w14:paraId="2D5A0A51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56F" w14:textId="77777777" w:rsidR="00AA57C4" w:rsidRPr="008536A7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12CD18" w14:textId="77777777" w:rsidR="00AA57C4" w:rsidRPr="008536A7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2ED47" w14:textId="77777777" w:rsidR="00AA57C4" w:rsidRPr="008536A7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65BBA6" w14:textId="77777777" w:rsidR="00AA57C4" w:rsidRPr="008536A7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DC96A4" w14:textId="77777777" w:rsidR="00AA57C4" w:rsidRPr="008536A7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8BC20F" w14:textId="77777777" w:rsidR="00AA57C4" w:rsidRPr="008536A7" w:rsidRDefault="00AA57C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A080EE" w14:textId="77777777" w:rsidR="00AA57C4" w:rsidRPr="008536A7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7F0F3C" w14:textId="77777777" w:rsidR="00AA57C4" w:rsidRPr="008536A7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87CD6" w14:textId="77777777" w:rsidR="00AA57C4" w:rsidRPr="008536A7" w:rsidRDefault="00AA57C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AA57C4" w:rsidRPr="00EE46E2" w14:paraId="7338DE68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A8077" w14:textId="75F6AD47" w:rsidR="00AA57C4" w:rsidRPr="00A5645B" w:rsidRDefault="00AA57C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F5A87" w14:textId="136271C2" w:rsidR="00AA57C4" w:rsidRPr="00A5645B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$16.0b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0CC47" w14:textId="42B2E7C8" w:rsidR="00AA57C4" w:rsidRPr="00A5645B" w:rsidRDefault="00AA57C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+12.8%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99477" w14:textId="6472C85C" w:rsidR="00AA57C4" w:rsidRPr="00A5645B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E15673" w14:textId="77777777" w:rsidR="00AA57C4" w:rsidRPr="00A5645B" w:rsidRDefault="00AA57C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BE3C9D" w14:textId="3C7512BC" w:rsidR="00AA57C4" w:rsidRPr="00A5645B" w:rsidRDefault="00AA57C4" w:rsidP="00FB5C9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82DC6" w14:textId="725C947B" w:rsidR="00AA57C4" w:rsidRPr="00A5645B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70DD80" w14:textId="64B918E2" w:rsidR="00AA57C4" w:rsidRPr="00A5645B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EE1F70" w14:textId="36CF9401" w:rsidR="00AA57C4" w:rsidRPr="008536A7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056E99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AA57C4" w:rsidRPr="00EE46E2" w14:paraId="764F726B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B92A00" w14:textId="1E861992" w:rsidR="00AA57C4" w:rsidRPr="00116A46" w:rsidRDefault="00AA57C4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D2355" w14:textId="498BD01F" w:rsidR="00AA57C4" w:rsidRPr="00116A4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202,204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914BD8" w14:textId="6229F93B" w:rsidR="00AA57C4" w:rsidRPr="00116A4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1780C0" w14:textId="2D448734" w:rsidR="00AA57C4" w:rsidRPr="00116A4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B31314" w14:textId="77777777" w:rsidR="00AA57C4" w:rsidRPr="00116A46" w:rsidRDefault="00AA57C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FAB20" w14:textId="626E0CA2" w:rsidR="00AA57C4" w:rsidRPr="00116A46" w:rsidRDefault="00AA57C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84C1B1" w14:textId="010CE70B" w:rsidR="00AA57C4" w:rsidRPr="00116A46" w:rsidRDefault="00AA57C4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63,963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077FAF" w14:textId="47809DB5" w:rsidR="00AA57C4" w:rsidRPr="00116A4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A5B5A" w14:textId="77777777" w:rsidR="00AA57C4" w:rsidRPr="00116A4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116A4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2.3%</w:t>
                                  </w:r>
                                </w:p>
                              </w:tc>
                            </w:tr>
                            <w:tr w:rsidR="00AA57C4" w:rsidRPr="00EE46E2" w14:paraId="78C81A86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E57432" w14:textId="2DDFF871" w:rsidR="00AA57C4" w:rsidRPr="00390AF8" w:rsidRDefault="00AA57C4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A78FC8" w14:textId="344804BF" w:rsidR="00AA57C4" w:rsidRPr="00390AF8" w:rsidRDefault="00AA57C4" w:rsidP="00C17B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93,825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3E1E6" w14:textId="012B9839" w:rsidR="00AA57C4" w:rsidRPr="00390AF8" w:rsidRDefault="00AA57C4" w:rsidP="00D7062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3DD9CB" w14:textId="4BE2D3EA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AD92527" w14:textId="77777777" w:rsidR="00AA57C4" w:rsidRPr="008536A7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731A50" w14:textId="6813C0CF" w:rsidR="00AA57C4" w:rsidRPr="00390AF8" w:rsidRDefault="00AA57C4" w:rsidP="00296FF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56466" w14:textId="0FC8E0FF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30,522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A98821" w14:textId="3D80DCC6" w:rsidR="00AA57C4" w:rsidRPr="00390AF8" w:rsidRDefault="00AA57C4" w:rsidP="00D7062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8231E" w14:textId="4671DA4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AA57C4" w:rsidRPr="00EE46E2" w14:paraId="7E78E2B4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E84B6" w14:textId="6397C9D9" w:rsidR="00AA57C4" w:rsidRPr="00390AF8" w:rsidRDefault="00AA57C4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June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2601AC" w14:textId="253FBC1B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3.9%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B0F3C" w14:textId="587419C3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-1.6pp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42BEA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B595EA" w14:textId="77777777" w:rsidR="00AA57C4" w:rsidRPr="008536A7" w:rsidRDefault="00AA57C4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44E6AF" w14:textId="3B6846CB" w:rsidR="00AA57C4" w:rsidRPr="00390AF8" w:rsidRDefault="00AA57C4" w:rsidP="00296FF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 June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5295A6" w14:textId="10083532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3E57C" w14:textId="204F739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390AF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C79A57" w14:textId="77777777" w:rsidR="00AA57C4" w:rsidRPr="00390AF8" w:rsidRDefault="00AA57C4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266B2967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E1131" w14:textId="4C99C50A" w:rsidR="00AA57C4" w:rsidRPr="00DE6518" w:rsidRDefault="00AA57C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6841B" w14:textId="40731296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$4.7b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6CAAA" w14:textId="199CE620" w:rsidR="00AA57C4" w:rsidRPr="00DE6518" w:rsidRDefault="00AA57C4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+81.3%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9A0D8" w14:textId="3335271A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BC4414" w14:textId="77777777" w:rsidR="00AA57C4" w:rsidRPr="00DE6518" w:rsidRDefault="00AA57C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8C834B" w14:textId="5A89C6C3" w:rsidR="00AA57C4" w:rsidRPr="00DE6518" w:rsidRDefault="00AA57C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5876C" w14:textId="1929E33E" w:rsidR="00AA57C4" w:rsidRPr="00DE6518" w:rsidRDefault="00AA57C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91666" w14:textId="76FF9058" w:rsidR="00AA57C4" w:rsidRPr="00DE6518" w:rsidRDefault="00AA57C4" w:rsidP="00AD12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+47.8%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D0A90" w14:textId="1033BBBD" w:rsidR="00AA57C4" w:rsidRPr="00DE6518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E651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0.00%</w:t>
                                  </w:r>
                                </w:p>
                              </w:tc>
                            </w:tr>
                            <w:tr w:rsidR="00AA57C4" w:rsidRPr="00EE46E2" w14:paraId="5607DEA3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02E41" w14:textId="365B33D0" w:rsidR="00AA57C4" w:rsidRPr="00BD3DB6" w:rsidRDefault="00AA57C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B6BA7" w14:textId="4D1B349C" w:rsidR="00AA57C4" w:rsidRPr="00BD3DB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$835m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D98D8" w14:textId="4BCCAC09" w:rsidR="00AA57C4" w:rsidRPr="00BD3DB6" w:rsidRDefault="00AA57C4" w:rsidP="009D4C6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5D72A2" w14:textId="6C00D9B8" w:rsidR="00AA57C4" w:rsidRPr="00BD3DB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B03745D" w14:textId="77777777" w:rsidR="00AA57C4" w:rsidRPr="00DA0886" w:rsidRDefault="00AA57C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3E082" w14:textId="66292959" w:rsidR="00AA57C4" w:rsidRPr="00BD3DB6" w:rsidRDefault="00AA57C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DA08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 xml:space="preserve">Building approvals: </w:t>
                                  </w: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18DB6E" w14:textId="3DDB9C34" w:rsidR="00AA57C4" w:rsidRPr="00BD3DB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$172m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A6DCB5" w14:textId="2A5FE001" w:rsidR="00AA57C4" w:rsidRPr="00BD3DB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-38.5%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6DEC1D" w14:textId="043DAC2E" w:rsidR="00AA57C4" w:rsidRPr="00BD3DB6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BD3DB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AA57C4" w:rsidRPr="00EE46E2" w14:paraId="03F4AF6D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F505B6" w14:textId="0B25C318" w:rsidR="00AA57C4" w:rsidRPr="00C61A58" w:rsidRDefault="00AA57C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8B937" w14:textId="207449F8" w:rsidR="00AA57C4" w:rsidRPr="00C61A58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2,459,000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618E4" w14:textId="77777777" w:rsidR="00AA57C4" w:rsidRPr="00C61A58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5DF96" w14:textId="6ADAEB9E" w:rsidR="00AA57C4" w:rsidRPr="00C61A58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21.4%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1F4D24" w14:textId="77777777" w:rsidR="00AA57C4" w:rsidRPr="00EE46E2" w:rsidRDefault="00AA57C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DF3B23" w14:textId="18B4B0DE" w:rsidR="00AA57C4" w:rsidRPr="00C61A58" w:rsidRDefault="00AA57C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2019-2021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EC9E7C" w14:textId="20520B94" w:rsidR="00AA57C4" w:rsidRPr="00C61A58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88BCAF" w14:textId="77777777" w:rsidR="00AA57C4" w:rsidRPr="00C61A58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BB63E8" w14:textId="3705708E" w:rsidR="00AA57C4" w:rsidRPr="00C61A58" w:rsidRDefault="00AA57C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C61A58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6.5%</w:t>
                                  </w:r>
                                </w:p>
                              </w:tc>
                            </w:tr>
                            <w:tr w:rsidR="00AA57C4" w:rsidRPr="00EE46E2" w14:paraId="1EF0C214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FA8A8A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A1B4D7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35460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4E8D085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29482DE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6D3E90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805F1D5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71B31DA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95437E3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AA57C4" w:rsidRPr="00EE46E2" w14:paraId="7BD68DCB" w14:textId="77777777" w:rsidTr="00E04B9D">
                              <w:tc>
                                <w:tcPr>
                                  <w:tcW w:w="0" w:type="auto"/>
                                </w:tcPr>
                                <w:p w14:paraId="15523F1A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F4B8704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5F874B44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5F4CFD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7196538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4CF0FB" w14:textId="77777777" w:rsidR="00AA57C4" w:rsidRPr="00EE46E2" w:rsidRDefault="00AA57C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6C5ACA4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87CF928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D6F2476" w14:textId="77777777" w:rsidR="00AA57C4" w:rsidRPr="00EE46E2" w:rsidRDefault="00AA57C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A9729" w14:textId="77777777" w:rsidR="00AA57C4" w:rsidRDefault="00AA57C4" w:rsidP="00FD2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0C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5pt;margin-top:4.2pt;width:535pt;height:6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34"/>
                        <w:gridCol w:w="795"/>
                        <w:gridCol w:w="1128"/>
                        <w:gridCol w:w="787"/>
                        <w:gridCol w:w="222"/>
                        <w:gridCol w:w="1167"/>
                        <w:gridCol w:w="1167"/>
                        <w:gridCol w:w="686"/>
                        <w:gridCol w:w="1128"/>
                        <w:gridCol w:w="787"/>
                      </w:tblGrid>
                      <w:tr w:rsidR="00AA57C4" w:rsidRPr="00EE46E2" w14:paraId="74055ED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16555837" w14:textId="77777777" w:rsidR="00AA57C4" w:rsidRPr="00502167" w:rsidRDefault="00AA57C4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6325E808" w14:textId="77777777" w:rsidR="00AA57C4" w:rsidRPr="00EE46E2" w:rsidRDefault="00AA57C4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404361A2" w14:textId="77777777" w:rsidR="00AA57C4" w:rsidRPr="00EE46E2" w:rsidRDefault="00AA57C4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79BB0BA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0D133F09" w14:textId="77777777" w:rsidR="00AA57C4" w:rsidRPr="00502167" w:rsidRDefault="00AA57C4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3665FE48" w14:textId="77777777" w:rsidR="00AA57C4" w:rsidRPr="00EE46E2" w:rsidRDefault="00AA57C4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01D8EAF9" w14:textId="77777777" w:rsidR="00AA57C4" w:rsidRPr="00EE46E2" w:rsidRDefault="00AA57C4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033EA631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BE9D"/>
                          </w:tcPr>
                          <w:p w14:paraId="17B9E9AC" w14:textId="77777777" w:rsidR="00AA57C4" w:rsidRPr="00EE46E2" w:rsidRDefault="00AA57C4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PILBARA &amp; OFFSHORE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2462F4B" w14:textId="77777777" w:rsidR="00AA57C4" w:rsidRPr="00EE46E2" w:rsidRDefault="00AA57C4" w:rsidP="008C34A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1ECB1"/>
                          </w:tcPr>
                          <w:p w14:paraId="699138D8" w14:textId="77777777" w:rsidR="00AA57C4" w:rsidRPr="00EE46E2" w:rsidRDefault="00AA57C4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KIMBERLEY</w:t>
                            </w:r>
                          </w:p>
                        </w:tc>
                      </w:tr>
                      <w:tr w:rsidR="00AA57C4" w:rsidRPr="00EE46E2" w14:paraId="768D5D6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7A529C" w14:textId="77777777" w:rsidR="00AA57C4" w:rsidRPr="00A1002D" w:rsidRDefault="00AA57C4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BFF5FB" w14:textId="77777777" w:rsidR="00AA57C4" w:rsidRPr="00EE46E2" w:rsidRDefault="00AA57C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4C575B" w14:textId="77777777" w:rsidR="00AA57C4" w:rsidRPr="00EE46E2" w:rsidRDefault="00AA57C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0083D" w14:textId="77777777" w:rsidR="00AA57C4" w:rsidRPr="00EE46E2" w:rsidRDefault="00AA57C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808DF41" w14:textId="77777777" w:rsidR="00AA57C4" w:rsidRPr="00EE46E2" w:rsidRDefault="00AA57C4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69AB50" w14:textId="77777777" w:rsidR="00AA57C4" w:rsidRPr="00EE46E2" w:rsidRDefault="00AA57C4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DDE8B7" w14:textId="77777777" w:rsidR="00AA57C4" w:rsidRPr="00EE46E2" w:rsidRDefault="00AA57C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5875B" w14:textId="77777777" w:rsidR="00AA57C4" w:rsidRPr="00EE46E2" w:rsidRDefault="00AA57C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965D7C" w14:textId="77777777" w:rsidR="00AA57C4" w:rsidRPr="00EE46E2" w:rsidRDefault="00AA57C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AA57C4" w:rsidRPr="00EE46E2" w14:paraId="4C3DC5D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45F059" w14:textId="2BBB5ABA" w:rsidR="00AA57C4" w:rsidRPr="00A5645B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224067" w14:textId="4D298385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$74.8b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0D807E" w14:textId="4CA76F90" w:rsidR="00AA57C4" w:rsidRPr="00A5645B" w:rsidRDefault="00AA57C4" w:rsidP="00FB5C9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0729C7" w14:textId="4E6FD6E1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DAA67D" w14:textId="77777777" w:rsidR="00AA57C4" w:rsidRPr="00A5645B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31D22A" w14:textId="3809F3CA" w:rsidR="00AA57C4" w:rsidRPr="00A5645B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587D69" w14:textId="70DA5429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$3.4b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CFEB0E" w14:textId="02DBA98D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793D9F" w14:textId="4004350E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0.9%</w:t>
                            </w:r>
                          </w:p>
                        </w:tc>
                      </w:tr>
                      <w:tr w:rsidR="00AA57C4" w:rsidRPr="00EE46E2" w14:paraId="4F5B09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DAC095" w14:textId="5CDA00F5" w:rsidR="00AA57C4" w:rsidRPr="00116A46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1B1647" w14:textId="547D9B3C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58,243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328F43" w14:textId="1E6246FE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AEE5B8" w14:textId="747F8FE7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AF784B" w14:textId="77777777" w:rsidR="00AA57C4" w:rsidRPr="00116A46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A6B4C7" w14:textId="1BE375CB" w:rsidR="00AA57C4" w:rsidRPr="00116A46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6D7" w14:textId="25101680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38,717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48B2D6" w14:textId="510205DD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01A670" w14:textId="49DA93E2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AA57C4" w:rsidRPr="00EE46E2" w14:paraId="39C80F9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901155" w14:textId="17F79C76" w:rsidR="00AA57C4" w:rsidRPr="00390AF8" w:rsidRDefault="00AA57C4" w:rsidP="006A32AD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F5ED02" w14:textId="083D145A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35,656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921468" w14:textId="6AC6DDCC" w:rsidR="00AA57C4" w:rsidRPr="00390AF8" w:rsidRDefault="00AA57C4" w:rsidP="0053284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5B9D7" w14:textId="1A070458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95741B3" w14:textId="77777777" w:rsidR="00AA57C4" w:rsidRPr="00EE46E2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804CA4" w14:textId="01011EE4" w:rsidR="00AA57C4" w:rsidRPr="00390AF8" w:rsidRDefault="00AA57C4" w:rsidP="0053284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08F689" w14:textId="58AC12E5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18,295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E6C022" w14:textId="48665D2F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65B470" w14:textId="2DBC43D5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AA57C4" w:rsidRPr="00EE46E2" w14:paraId="6F235A5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0B0B11" w14:textId="70FBF7FC" w:rsidR="00AA57C4" w:rsidRPr="00390AF8" w:rsidRDefault="00AA57C4" w:rsidP="0053284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B464A5" w14:textId="0F8D2536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85BCC7" w14:textId="3661532F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-0.8pp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A7BF91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F6CDAAA" w14:textId="77777777" w:rsidR="00AA57C4" w:rsidRPr="00EE46E2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0D6CE8" w14:textId="399AE516" w:rsidR="00AA57C4" w:rsidRPr="00390AF8" w:rsidRDefault="00AA57C4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17EADD" w14:textId="41B2D5C5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A1C25" w14:textId="76A5FD36" w:rsidR="00AA57C4" w:rsidRPr="00390AF8" w:rsidRDefault="00AA57C4" w:rsidP="0053284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-2.4pp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367496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39889C89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4E5A48" w14:textId="166DD2C1" w:rsidR="00AA57C4" w:rsidRPr="00DE6518" w:rsidRDefault="00AA57C4" w:rsidP="00A143F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EA547F" w14:textId="4034DC5A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$189.4b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B86BE5" w14:textId="46F6423C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100F6D" w14:textId="7057D3F5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32C9D45" w14:textId="77777777" w:rsidR="00AA57C4" w:rsidRPr="00DE6518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A1D49" w14:textId="3ED3FAEC" w:rsidR="00AA57C4" w:rsidRPr="00DE651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623C5C" w14:textId="1AF7C480" w:rsidR="00AA57C4" w:rsidRPr="00DE6518" w:rsidRDefault="00AA57C4" w:rsidP="003C60C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$469m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249CC" w14:textId="2E3A2CAE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-19.4%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C5EFAC" w14:textId="08D0E24F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0.2%</w:t>
                            </w:r>
                          </w:p>
                        </w:tc>
                      </w:tr>
                      <w:tr w:rsidR="00AA57C4" w:rsidRPr="00EE46E2" w14:paraId="13CDD0A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01C5" w14:textId="2B0D4FDC" w:rsidR="00AA57C4" w:rsidRPr="004D6F1E" w:rsidRDefault="00AA57C4" w:rsidP="00E7778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D6F1E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 xml:space="preserve">Building approvals: 2021-22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52BFC7" w14:textId="6DC87E5C" w:rsidR="00AA57C4" w:rsidRPr="004D6F1E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D6F1E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$462m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0DA3" w14:textId="58676901" w:rsidR="00AA57C4" w:rsidRPr="004D6F1E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D6F1E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+27.1%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DBDF9D" w14:textId="638CE0B6" w:rsidR="00AA57C4" w:rsidRPr="004D6F1E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D6F1E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D1E42C1" w14:textId="77777777" w:rsidR="00AA57C4" w:rsidRPr="004D6F1E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F3D335" w14:textId="26359821" w:rsidR="00AA57C4" w:rsidRPr="004D6F1E" w:rsidRDefault="00AA57C4" w:rsidP="005A6E7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D6F1E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A8413" w14:textId="4EF1E895" w:rsidR="00AA57C4" w:rsidRPr="004D6F1E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D6F1E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$110m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A9B56E" w14:textId="4D836473" w:rsidR="00AA57C4" w:rsidRPr="004D6F1E" w:rsidRDefault="00AA57C4" w:rsidP="005A6E7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D6F1E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+36.7%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A1FF59" w14:textId="77373958" w:rsidR="00AA57C4" w:rsidRPr="004D6F1E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D6F1E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0.9%</w:t>
                            </w:r>
                          </w:p>
                        </w:tc>
                      </w:tr>
                      <w:tr w:rsidR="00AA57C4" w:rsidRPr="00EE46E2" w14:paraId="001C2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9550D" w14:textId="100B8542" w:rsidR="00AA57C4" w:rsidRPr="00C61A5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0C624" w14:textId="006DEE1B" w:rsidR="00AA57C4" w:rsidRPr="00C61A58" w:rsidRDefault="00AA57C4" w:rsidP="00B46A90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1,085,000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E1491" w14:textId="7777777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CF13" w14:textId="026A2616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04FE1EB" w14:textId="77777777" w:rsidR="00AA57C4" w:rsidRPr="00EE46E2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9AE24A" w14:textId="12014278" w:rsidR="00AA57C4" w:rsidRPr="00C61A5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E81CB5" w14:textId="6457FD61" w:rsidR="00AA57C4" w:rsidRPr="00C61A58" w:rsidRDefault="00AA57C4" w:rsidP="00D06AC2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372,000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A20DD8" w14:textId="7777777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F9D2E2" w14:textId="3AA3AFC4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3.2%</w:t>
                            </w:r>
                          </w:p>
                        </w:tc>
                      </w:tr>
                    </w:tbl>
                    <w:p w14:paraId="7E2AFE78" w14:textId="77777777" w:rsidR="00AA57C4" w:rsidRPr="00502167" w:rsidRDefault="00AA57C4">
                      <w:pPr>
                        <w:rPr>
                          <w:sz w:val="9"/>
                          <w:szCs w:val="9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34"/>
                        <w:gridCol w:w="795"/>
                        <w:gridCol w:w="1128"/>
                        <w:gridCol w:w="787"/>
                        <w:gridCol w:w="222"/>
                        <w:gridCol w:w="2334"/>
                        <w:gridCol w:w="795"/>
                        <w:gridCol w:w="1128"/>
                        <w:gridCol w:w="787"/>
                      </w:tblGrid>
                      <w:tr w:rsidR="00AA57C4" w:rsidRPr="00EE46E2" w14:paraId="01E1BF46" w14:textId="77777777" w:rsidTr="008552B4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635C9B36" w14:textId="77777777" w:rsidR="00AA57C4" w:rsidRPr="00EE46E2" w:rsidRDefault="00AA57C4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GASCOYNE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BB3F68" w14:textId="77777777" w:rsidR="00AA57C4" w:rsidRPr="00EE46E2" w:rsidRDefault="00AA57C4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</w:tcPr>
                          <w:p w14:paraId="147C5BFD" w14:textId="77777777" w:rsidR="00AA57C4" w:rsidRPr="00EE46E2" w:rsidRDefault="00AA57C4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MID WEST</w:t>
                            </w:r>
                          </w:p>
                        </w:tc>
                      </w:tr>
                      <w:tr w:rsidR="00AA57C4" w:rsidRPr="00EE46E2" w14:paraId="12F4F563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73830C" w14:textId="77777777" w:rsidR="00AA57C4" w:rsidRPr="00EE46E2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773A0F" w14:textId="22DD48C4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FAFBA3" w14:textId="52F10D59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59CF" w14:textId="20FADCB0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7461984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4DA316" w14:textId="77777777" w:rsidR="00AA57C4" w:rsidRPr="00A5645B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765D6F" w14:textId="3269D41B" w:rsidR="00AA57C4" w:rsidRPr="00A5645B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EB2804" w14:textId="77777777" w:rsidR="00AA57C4" w:rsidRPr="00A5645B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6B003D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AA57C4" w:rsidRPr="00EE46E2" w14:paraId="6E15A4B3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6868B" w14:textId="0AFE7BD9" w:rsidR="00AA57C4" w:rsidRPr="00A5645B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146973" w14:textId="5FE1FD7C" w:rsidR="00AA57C4" w:rsidRPr="00A5645B" w:rsidRDefault="00AA57C4" w:rsidP="00056E9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$1.5b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1E2A47" w14:textId="7BC66D16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8ED43" w14:textId="3D6D8FED" w:rsidR="00AA57C4" w:rsidRPr="00056E99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  <w:r w:rsidRPr="00AE70D4">
                              <w:rPr>
                                <w:rFonts w:cstheme="minorHAnsi"/>
                                <w:color w:val="000000" w:themeColor="text1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C30CC3" w14:textId="77777777" w:rsidR="00AA57C4" w:rsidRPr="00056E99" w:rsidRDefault="00AA57C4" w:rsidP="00F62810">
                            <w:pPr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CD848F" w14:textId="5CA6343C" w:rsidR="00AA57C4" w:rsidRPr="00A5645B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633532" w14:textId="1E3D4E63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FC916F" w14:textId="7292E356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+14.7%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43A19" w14:textId="2337C4B6" w:rsidR="00AA57C4" w:rsidRPr="00056E99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  <w:r w:rsidRPr="00AE70D4">
                              <w:rPr>
                                <w:rFonts w:cstheme="minorHAnsi"/>
                                <w:color w:val="000000" w:themeColor="text1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AA57C4" w:rsidRPr="008536A7" w14:paraId="2B0DEC38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5C5C24" w14:textId="1A091B81" w:rsidR="00AA57C4" w:rsidRPr="00116A46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47A753" w14:textId="59846111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9,980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D140" w14:textId="121F2CEA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6A63A2" w14:textId="1F389B4C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37D2075" w14:textId="77777777" w:rsidR="00AA57C4" w:rsidRPr="00116A46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5303D8" w14:textId="324CD80A" w:rsidR="00AA57C4" w:rsidRPr="00116A46" w:rsidRDefault="00AA57C4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7390E" w14:textId="59F31053" w:rsidR="00AA57C4" w:rsidRPr="00116A46" w:rsidRDefault="00AA57C4" w:rsidP="00493C45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56,714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E4A1C9" w14:textId="20300309" w:rsidR="00AA57C4" w:rsidRPr="00116A46" w:rsidRDefault="00AA57C4" w:rsidP="00E879C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1F6261" w14:textId="7ED550C4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AA57C4" w:rsidRPr="008536A7" w14:paraId="56A2236B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2BF709" w14:textId="64AE05FF" w:rsidR="00AA57C4" w:rsidRPr="00390AF8" w:rsidRDefault="00AA57C4" w:rsidP="0053284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B0F42E" w14:textId="5DA0AE8F" w:rsidR="00AA57C4" w:rsidRPr="00390AF8" w:rsidRDefault="00AA57C4" w:rsidP="00F05FD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5,441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944F5E" w14:textId="1AA26BEF" w:rsidR="00AA57C4" w:rsidRPr="00390AF8" w:rsidRDefault="00AA57C4" w:rsidP="00F05FD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B5AE01" w14:textId="0A5ED611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4E12291" w14:textId="77777777" w:rsidR="00AA57C4" w:rsidRPr="00EE46E2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81C71" w14:textId="3C74923D" w:rsidR="00AA57C4" w:rsidRPr="00390AF8" w:rsidRDefault="00AA57C4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682058" w14:textId="2F070F4A" w:rsidR="00AA57C4" w:rsidRPr="00390AF8" w:rsidRDefault="00AA57C4" w:rsidP="00A07CF3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29,024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ADD591" w14:textId="57EC8C21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E6F06C" w14:textId="6B012893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AA57C4" w:rsidRPr="008536A7" w14:paraId="2976C7BE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35A4F4" w14:textId="70071CA2" w:rsidR="00AA57C4" w:rsidRPr="00390AF8" w:rsidRDefault="00AA57C4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June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05D965" w14:textId="0AB611F1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3.5%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71A65E" w14:textId="0B6AF230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-1.7pp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086A93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5ED37C9" w14:textId="77777777" w:rsidR="00AA57C4" w:rsidRPr="00EE46E2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81DE34" w14:textId="63D7BDCC" w:rsidR="00AA57C4" w:rsidRPr="00390AF8" w:rsidRDefault="00AA57C4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3655F8" w14:textId="680176EA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8CE634" w14:textId="21B3BFE8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68544C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8536A7" w14:paraId="061A0086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D99F96" w14:textId="66CB7FBE" w:rsidR="00AA57C4" w:rsidRPr="00DE651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CC15FB" w14:textId="13C35474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$126m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742BE1" w14:textId="514097B1" w:rsidR="00AA57C4" w:rsidRPr="00DE6518" w:rsidRDefault="00AA57C4" w:rsidP="00AD12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42D95" w14:textId="77777777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15749C" w14:textId="77777777" w:rsidR="00AA57C4" w:rsidRPr="00DE6518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276973" w14:textId="0C971A11" w:rsidR="00AA57C4" w:rsidRPr="00DE651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054662" w14:textId="26B4CE2A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69DCC4" w14:textId="0155D629" w:rsidR="00AA57C4" w:rsidRPr="00DE6518" w:rsidRDefault="00AA57C4" w:rsidP="00AD12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4729C3" w14:textId="0ADDE406" w:rsidR="00AA57C4" w:rsidRPr="00C61A5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AA57C4" w:rsidRPr="008536A7" w14:paraId="77F1CC05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92D0A0" w14:textId="0AE5B7D9" w:rsidR="00AA57C4" w:rsidRPr="00A25485" w:rsidRDefault="00AA57C4" w:rsidP="005A6E7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25485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5A4997" w14:textId="698BE68D" w:rsidR="00AA57C4" w:rsidRPr="00A25485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25485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$104m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C5F9EE" w14:textId="70568E61" w:rsidR="00AA57C4" w:rsidRPr="00A25485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25485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+134.7%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11CB4B" w14:textId="0363184A" w:rsidR="00AA57C4" w:rsidRPr="00A25485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25485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AB0E00C" w14:textId="77777777" w:rsidR="00AA57C4" w:rsidRPr="00BD3DB6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02A76" w14:textId="752612CA" w:rsidR="00AA57C4" w:rsidRPr="00A25485" w:rsidRDefault="00AA57C4" w:rsidP="005A6E7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 xml:space="preserve">Building approvals: </w:t>
                            </w:r>
                            <w:r w:rsidRPr="00A25485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B9E5AF" w14:textId="37C7ECEE" w:rsidR="00AA57C4" w:rsidRPr="00A25485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25485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$234m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AD24F2" w14:textId="2BF5B6BD" w:rsidR="00AA57C4" w:rsidRPr="00A25485" w:rsidRDefault="00AA57C4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25485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+29.7%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6F1E7F" w14:textId="6A1B1D42" w:rsidR="00AA57C4" w:rsidRPr="00A25485" w:rsidRDefault="00AA57C4" w:rsidP="00D4356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25485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</w:tr>
                      <w:tr w:rsidR="00AA57C4" w:rsidRPr="008536A7" w14:paraId="46E564B5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2CCC83" w14:textId="72F12495" w:rsidR="00AA57C4" w:rsidRPr="00C61A5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AE7842" w14:textId="7FC792D0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324,000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485E6F" w14:textId="7777777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B95BA" w14:textId="1DEFD6AE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28BCC66" w14:textId="77777777" w:rsidR="00AA57C4" w:rsidRPr="00EE46E2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D3800" w14:textId="0376BD53" w:rsidR="00AA57C4" w:rsidRPr="00C61A5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A34C3" w14:textId="1C5A04C1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687,000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56F1BC" w14:textId="7777777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848B6C" w14:textId="3809252B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6.0%</w:t>
                            </w:r>
                          </w:p>
                        </w:tc>
                      </w:tr>
                      <w:tr w:rsidR="00AA57C4" w:rsidRPr="00EE46E2" w14:paraId="64112661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9554F9D" w14:textId="77777777" w:rsidR="00AA57C4" w:rsidRPr="00502167" w:rsidRDefault="00AA57C4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</w:tcPr>
                          <w:p w14:paraId="08DC2E67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</w:tcBorders>
                          </w:tcPr>
                          <w:p w14:paraId="79D2702D" w14:textId="083645D2" w:rsidR="00AA57C4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01ECDC45" w14:textId="4BA0FB38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6CAF50A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32786C1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E699046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2D0B86E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C401620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19D8C04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3D31EBF5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B97"/>
                          </w:tcPr>
                          <w:p w14:paraId="00FA4889" w14:textId="77777777" w:rsidR="00AA57C4" w:rsidRPr="00EE46E2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PERTH METROPOLITAN AREA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CBD5576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DAF7" w:themeFill="accent5" w:themeFillTint="66"/>
                          </w:tcPr>
                          <w:p w14:paraId="2684515C" w14:textId="77777777" w:rsidR="00AA57C4" w:rsidRPr="00EE46E2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WHEATBELT</w:t>
                            </w:r>
                          </w:p>
                        </w:tc>
                      </w:tr>
                      <w:tr w:rsidR="00AA57C4" w:rsidRPr="00EE46E2" w14:paraId="4B8728F1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35FAAC" w14:textId="77777777" w:rsidR="00AA57C4" w:rsidRPr="0028659E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DE606B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25AABC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13BB2C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2006EC3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A5F845" w14:textId="77777777" w:rsidR="00AA57C4" w:rsidRPr="00EE46E2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324935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2F3D70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54BA98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AA57C4" w:rsidRPr="00EE46E2" w14:paraId="7EE6B768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A8995" w14:textId="5866F6A3" w:rsidR="00AA57C4" w:rsidRPr="00A5645B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BCDF6A" w14:textId="75EF4363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$225.8b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D3A784" w14:textId="76F91351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CE7422" w14:textId="4C66F473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849F585" w14:textId="77777777" w:rsidR="00AA57C4" w:rsidRPr="00056E99" w:rsidRDefault="00AA57C4" w:rsidP="00F62810">
                            <w:pPr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5CDFDC" w14:textId="774C3284" w:rsidR="00AA57C4" w:rsidRPr="00A5645B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04E506" w14:textId="413AE69E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D2D273" w14:textId="0BAE0E33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E05340" w14:textId="37237C8F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AA57C4" w:rsidRPr="00EE46E2" w14:paraId="19FE1A31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17060B" w14:textId="2D3EB7FF" w:rsidR="00AA57C4" w:rsidRPr="00116A46" w:rsidRDefault="00AA57C4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4FB82D" w14:textId="2F448B5D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2,047,515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596AA5" w14:textId="010B566A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5CFCAD" w14:textId="316FC860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65676A8" w14:textId="77777777" w:rsidR="00AA57C4" w:rsidRPr="00EE46E2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12BD9C" w14:textId="6BF9902C" w:rsidR="00AA57C4" w:rsidRPr="00116A46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00D474" w14:textId="4239D961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75,247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E32442" w14:textId="55152A80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F2C1B5" w14:textId="4E61AA6B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2.7%</w:t>
                            </w:r>
                          </w:p>
                        </w:tc>
                      </w:tr>
                      <w:tr w:rsidR="00AA57C4" w:rsidRPr="00EE46E2" w14:paraId="212D87A1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3F90AF" w14:textId="770FF3A1" w:rsidR="00AA57C4" w:rsidRPr="00390AF8" w:rsidRDefault="00AA57C4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9E5CF8" w14:textId="607C4313" w:rsidR="00AA57C4" w:rsidRPr="00390AF8" w:rsidRDefault="00AA57C4" w:rsidP="006C2B3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1,102,594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1764D" w14:textId="095894D7" w:rsidR="00AA57C4" w:rsidRPr="00390AF8" w:rsidRDefault="00AA57C4" w:rsidP="006C2B3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044A81" w14:textId="5AAE69B0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76.1%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CAB0B3C" w14:textId="77777777" w:rsidR="00AA57C4" w:rsidRPr="00EE46E2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DAC482" w14:textId="41DC5F89" w:rsidR="00AA57C4" w:rsidRPr="00390AF8" w:rsidRDefault="00AA57C4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B15C30" w14:textId="46D3971C" w:rsidR="00AA57C4" w:rsidRPr="00390AF8" w:rsidRDefault="00AA57C4" w:rsidP="00130D6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36,838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2A504F" w14:textId="7576C023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857F3B7" w14:textId="74FB4601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</w:tr>
                      <w:tr w:rsidR="00AA57C4" w:rsidRPr="00EE46E2" w14:paraId="18E8AB01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B8DE4A" w14:textId="5476E9F8" w:rsidR="00AA57C4" w:rsidRPr="00390AF8" w:rsidRDefault="00AA57C4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June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349C91" w14:textId="6996FEEF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3.7%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673ECA" w14:textId="2355401D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-2.7pp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E0BC9A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9B02507" w14:textId="77777777" w:rsidR="00AA57C4" w:rsidRPr="00EE46E2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896984" w14:textId="2ECA3FCB" w:rsidR="00AA57C4" w:rsidRPr="00390AF8" w:rsidRDefault="00AA57C4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A1BCFB" w14:textId="4AEFBB46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DB9C5D" w14:textId="1E7BD3ED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+0.0pp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0A5196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DE6518" w14:paraId="6F50A9DE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F51217" w14:textId="190D4DEC" w:rsidR="00AA57C4" w:rsidRPr="00DE651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C3D632" w14:textId="6DC64B39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$48m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FD0DD6" w14:textId="6B40AB25" w:rsidR="00AA57C4" w:rsidRPr="00DE6518" w:rsidRDefault="00AA57C4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-98.7%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08A422" w14:textId="6119F904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08D7A94" w14:textId="77777777" w:rsidR="00AA57C4" w:rsidRPr="00DE6518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A44B85" w14:textId="5177ED10" w:rsidR="00AA57C4" w:rsidRPr="00DE651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F1F94C" w14:textId="6F615AF3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F59321" w14:textId="7912AC6D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-5.4%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1A2D83" w14:textId="37346AC8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AA57C4" w:rsidRPr="00DE6518" w14:paraId="3BD77644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19B18" w14:textId="0CC82BBE" w:rsidR="00AA57C4" w:rsidRPr="00DE651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79B7E" w14:textId="6E6B6A53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$9.9b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151E52" w14:textId="2B1E6960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38F8B2" w14:textId="602B3A3B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77.1%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A99462" w14:textId="77777777" w:rsidR="00AA57C4" w:rsidRPr="00DE6518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AE7DFF" w14:textId="503BD13D" w:rsidR="00AA57C4" w:rsidRPr="00DE6518" w:rsidRDefault="00AA57C4" w:rsidP="005A6E7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2465FF" w14:textId="7CFFF50F" w:rsidR="00AA57C4" w:rsidRPr="00DE6518" w:rsidRDefault="00AA57C4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$234m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9B09E" w14:textId="0DBE418C" w:rsidR="00AA57C4" w:rsidRPr="00DE6518" w:rsidRDefault="00AA57C4" w:rsidP="005A6E7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-6.3%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A97417" w14:textId="09E822F3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</w:tr>
                      <w:tr w:rsidR="00AA57C4" w:rsidRPr="00EE46E2" w14:paraId="2583AF00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E0D55C" w14:textId="72DC9A77" w:rsidR="00AA57C4" w:rsidRPr="00C61A5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660F46" w14:textId="51DAD9D9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3,250,000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64DD01" w14:textId="7777777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F2A7C" w14:textId="51F36024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28.3%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68D9696" w14:textId="77777777" w:rsidR="00AA57C4" w:rsidRPr="00EE46E2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D6D389" w14:textId="7604AD3B" w:rsidR="00AA57C4" w:rsidRPr="00C61A5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7DD67C" w14:textId="39313068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1,096,000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9A10DD" w14:textId="7777777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85C282" w14:textId="7F728E95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9.6%</w:t>
                            </w:r>
                          </w:p>
                        </w:tc>
                      </w:tr>
                      <w:tr w:rsidR="00AA57C4" w:rsidRPr="00EE46E2" w14:paraId="34E5D017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DD4833" w14:textId="77777777" w:rsidR="00AA57C4" w:rsidRPr="00502167" w:rsidRDefault="00AA57C4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</w:tcPr>
                          <w:p w14:paraId="0F27A505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</w:tcBorders>
                          </w:tcPr>
                          <w:p w14:paraId="6CDF66B5" w14:textId="665B8185" w:rsidR="00AA57C4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7EF27825" w14:textId="30BD652E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F820A6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80947DC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16AEAB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C37B79A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08B74DA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10E83DF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130D6CBF" w14:textId="77777777" w:rsidTr="008F4058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09BCF" w:themeFill="text2" w:themeFillTint="66"/>
                          </w:tcPr>
                          <w:p w14:paraId="6F6CC02B" w14:textId="77777777" w:rsidR="00AA57C4" w:rsidRPr="00EE46E2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A152C34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DA8F"/>
                          </w:tcPr>
                          <w:p w14:paraId="594DA706" w14:textId="77777777" w:rsidR="00AA57C4" w:rsidRPr="00EE46E2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GOLDFIELDS-ESPERANCE</w:t>
                            </w:r>
                          </w:p>
                        </w:tc>
                      </w:tr>
                      <w:tr w:rsidR="00AA57C4" w:rsidRPr="00EE46E2" w14:paraId="1E1B73D8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118D85" w14:textId="77777777" w:rsidR="00AA57C4" w:rsidRPr="00A1002D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6EC84A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066F5C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EB0A45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EF5B7A1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928F08" w14:textId="77777777" w:rsidR="00AA57C4" w:rsidRPr="00A1002D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5DCD3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759053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E9BCA" w14:textId="77777777" w:rsidR="00AA57C4" w:rsidRPr="00EE46E2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AA57C4" w:rsidRPr="00EE46E2" w14:paraId="7653D63F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37E8AF" w14:textId="662B81DA" w:rsidR="00AA57C4" w:rsidRPr="00A5645B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E6326D" w14:textId="2E217DE9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$9.1b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2969EB" w14:textId="5BC18330" w:rsidR="00AA57C4" w:rsidRPr="00A5645B" w:rsidRDefault="00AA57C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D152E8" w14:textId="6AD44463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6675C1" w14:textId="77777777" w:rsidR="00AA57C4" w:rsidRPr="00EE46E2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C06779" w14:textId="43740A44" w:rsidR="00AA57C4" w:rsidRPr="00A5645B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4E5844" w14:textId="55BAB934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9CCADF" w14:textId="775FEC4F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+14.7%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1FA042" w14:textId="35F98C89" w:rsidR="00AA57C4" w:rsidRPr="00A5645B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3.0%</w:t>
                            </w:r>
                          </w:p>
                        </w:tc>
                      </w:tr>
                      <w:tr w:rsidR="00AA57C4" w:rsidRPr="00EE46E2" w14:paraId="052FB3A6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94F19AA" w14:textId="47DF7BB7" w:rsidR="00AA57C4" w:rsidRPr="00116A46" w:rsidRDefault="00AA57C4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983C17" w14:textId="04CB1CC7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151,517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461412" w14:textId="28F295D1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7CEEF4" w14:textId="3EBC48FA" w:rsidR="00AA57C4" w:rsidRPr="00116A46" w:rsidRDefault="00AA57C4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7E7B638" w14:textId="77777777" w:rsidR="00AA57C4" w:rsidRPr="008536A7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46694C" w14:textId="2693CD55" w:rsidR="00AA57C4" w:rsidRPr="00116A46" w:rsidRDefault="00AA57C4" w:rsidP="00E879C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B42521D" w14:textId="582D1582" w:rsidR="00AA57C4" w:rsidRPr="00116A46" w:rsidRDefault="00AA57C4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57,330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5503A4" w14:textId="003F075E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99400" w14:textId="55871FED" w:rsidR="00AA57C4" w:rsidRPr="00116A4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AA57C4" w:rsidRPr="00EE46E2" w14:paraId="280449E2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B8D26" w14:textId="1B7C57B4" w:rsidR="00AA57C4" w:rsidRPr="00390AF8" w:rsidRDefault="00AA57C4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3293DD" w14:textId="65CDB8B1" w:rsidR="00AA57C4" w:rsidRPr="00390AF8" w:rsidRDefault="00AA57C4" w:rsidP="00D8430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63,872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5F73CF" w14:textId="1502321F" w:rsidR="00AA57C4" w:rsidRPr="00390AF8" w:rsidRDefault="00AA57C4" w:rsidP="00D8430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BEA7C9A" w14:textId="2A34D772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DBB06D2" w14:textId="77777777" w:rsidR="00AA57C4" w:rsidRPr="008536A7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018F31" w14:textId="46BDFE5A" w:rsidR="00AA57C4" w:rsidRPr="00390AF8" w:rsidRDefault="00AA57C4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DF09AB" w14:textId="3FAE9529" w:rsidR="00AA57C4" w:rsidRPr="00390AF8" w:rsidRDefault="00AA57C4" w:rsidP="005F7425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32,425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2A7CE" w14:textId="672C804D" w:rsidR="00AA57C4" w:rsidRPr="00390AF8" w:rsidRDefault="00AA57C4" w:rsidP="005F7425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6C7D00" w14:textId="0DB57C6A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AA57C4" w:rsidRPr="00EE46E2" w14:paraId="0D80F90F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93379F" w14:textId="365491E2" w:rsidR="00AA57C4" w:rsidRPr="00390AF8" w:rsidRDefault="00AA57C4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June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5C9A467" w14:textId="668EA311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4.6%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4F4DC" w14:textId="234AB41F" w:rsidR="00AA57C4" w:rsidRPr="00390AF8" w:rsidRDefault="00AA57C4" w:rsidP="00A07CF3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-3.0pp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22760F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180AFF" w14:textId="77777777" w:rsidR="00AA57C4" w:rsidRPr="008536A7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AA18B" w14:textId="46060104" w:rsidR="00AA57C4" w:rsidRPr="00390AF8" w:rsidRDefault="00AA57C4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C42138" w14:textId="04507BE6" w:rsidR="00AA57C4" w:rsidRPr="00390AF8" w:rsidRDefault="00AA57C4" w:rsidP="00A07CF3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3B455F" w14:textId="35367BEF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-1.3pp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E13A28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0547AC11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DF76D6" w14:textId="338496E4" w:rsidR="00AA57C4" w:rsidRPr="00DE651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EC709" w14:textId="0EEEBBB7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$9.0b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7866F32" w14:textId="77A41433" w:rsidR="00AA57C4" w:rsidRPr="00DE6518" w:rsidRDefault="00AA57C4" w:rsidP="00AD12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+337.9%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64C394" w14:textId="6CA7D59F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AFECB0" w14:textId="77777777" w:rsidR="00AA57C4" w:rsidRPr="00DE6518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1819BD" w14:textId="228613E4" w:rsidR="00AA57C4" w:rsidRPr="00DE651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A066E4" w14:textId="47C1D8EB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$19.6b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97FCCA" w14:textId="72AB926C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C9A18E" w14:textId="3B1D3E62" w:rsidR="00AA57C4" w:rsidRPr="00DE651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8.5%</w:t>
                            </w:r>
                          </w:p>
                        </w:tc>
                      </w:tr>
                      <w:tr w:rsidR="00AA57C4" w:rsidRPr="00EE46E2" w14:paraId="25044692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A0B5BC" w14:textId="0574EF96" w:rsidR="00AA57C4" w:rsidRPr="00BD3DB6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68B18F" w14:textId="4B278BF1" w:rsidR="00AA57C4" w:rsidRPr="00BD3DB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$650m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7080A1" w14:textId="5035C7C4" w:rsidR="00AA57C4" w:rsidRPr="00BD3DB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039DD8" w14:textId="0D7380EA" w:rsidR="00AA57C4" w:rsidRPr="00BD3DB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CCB3CF7" w14:textId="77777777" w:rsidR="00AA57C4" w:rsidRPr="00DA0886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EE8CE0" w14:textId="4CD83F74" w:rsidR="00AA57C4" w:rsidRPr="00BD3DB6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A08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 xml:space="preserve">Building approvals: </w:t>
                            </w: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9F293E" w14:textId="3D5B70FF" w:rsidR="00AA57C4" w:rsidRPr="00BD3DB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$156m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FE0E62" w14:textId="347F6C91" w:rsidR="00AA57C4" w:rsidRPr="00BD3DB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+22.6%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7A9DCB" w14:textId="4E486C7C" w:rsidR="00AA57C4" w:rsidRPr="00BD3DB6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AA57C4" w:rsidRPr="00EE46E2" w14:paraId="293A8C13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141001" w14:textId="15E8764B" w:rsidR="00AA57C4" w:rsidRPr="00C61A5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B6BC5A" w14:textId="30E9440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687,000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646ED5" w14:textId="7777777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FCCCAC" w14:textId="71543041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44E6E3" w14:textId="77777777" w:rsidR="00AA57C4" w:rsidRPr="008536A7" w:rsidRDefault="00AA57C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A4471" w14:textId="12E372BA" w:rsidR="00AA57C4" w:rsidRPr="00C61A58" w:rsidRDefault="00AA57C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0082D0" w14:textId="4571BCCB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764,000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A71E49" w14:textId="77777777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19D41" w14:textId="0FE18ED8" w:rsidR="00AA57C4" w:rsidRPr="00C61A58" w:rsidRDefault="00AA57C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6.7%</w:t>
                            </w:r>
                          </w:p>
                        </w:tc>
                      </w:tr>
                      <w:tr w:rsidR="00AA57C4" w:rsidRPr="00EE46E2" w14:paraId="0390537C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61C76FD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</w:tcPr>
                          <w:p w14:paraId="6E6AD8B1" w14:textId="0DD3DD8D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D0DA9B1" w14:textId="2563ABC3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</w:tcBorders>
                          </w:tcPr>
                          <w:p w14:paraId="44007554" w14:textId="1C90645E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2033C6B7" w14:textId="1D3CE3EB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D5B2508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CA899D8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B22C9B6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12794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1783827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C0EEC6A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7C3474CF" w14:textId="77777777" w:rsidTr="00543DA7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FFCC"/>
                          </w:tcPr>
                          <w:p w14:paraId="52DF7FA2" w14:textId="77777777" w:rsidR="00AA57C4" w:rsidRPr="008536A7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SOUTH WEST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303D8B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1BDD7"/>
                          </w:tcPr>
                          <w:p w14:paraId="4CB5F994" w14:textId="77777777" w:rsidR="00AA57C4" w:rsidRPr="008536A7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GREAT SOUTHERN</w:t>
                            </w:r>
                          </w:p>
                        </w:tc>
                      </w:tr>
                      <w:tr w:rsidR="00AA57C4" w:rsidRPr="00EE46E2" w14:paraId="2D5A0A51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56F" w14:textId="77777777" w:rsidR="00AA57C4" w:rsidRPr="008536A7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12CD18" w14:textId="77777777" w:rsidR="00AA57C4" w:rsidRPr="008536A7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52ED47" w14:textId="77777777" w:rsidR="00AA57C4" w:rsidRPr="008536A7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65BBA6" w14:textId="77777777" w:rsidR="00AA57C4" w:rsidRPr="008536A7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EDC96A4" w14:textId="77777777" w:rsidR="00AA57C4" w:rsidRPr="008536A7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8BC20F" w14:textId="77777777" w:rsidR="00AA57C4" w:rsidRPr="008536A7" w:rsidRDefault="00AA57C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A080EE" w14:textId="77777777" w:rsidR="00AA57C4" w:rsidRPr="008536A7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7F0F3C" w14:textId="77777777" w:rsidR="00AA57C4" w:rsidRPr="008536A7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787CD6" w14:textId="77777777" w:rsidR="00AA57C4" w:rsidRPr="008536A7" w:rsidRDefault="00AA57C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AA57C4" w:rsidRPr="00EE46E2" w14:paraId="7338DE68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A8077" w14:textId="75F6AD47" w:rsidR="00AA57C4" w:rsidRPr="00A5645B" w:rsidRDefault="00AA57C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2F5A87" w14:textId="136271C2" w:rsidR="00AA57C4" w:rsidRPr="00A5645B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$16.0b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0CC47" w14:textId="42B2E7C8" w:rsidR="00AA57C4" w:rsidRPr="00A5645B" w:rsidRDefault="00AA57C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+12.8%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999477" w14:textId="6472C85C" w:rsidR="00AA57C4" w:rsidRPr="00A5645B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9E15673" w14:textId="77777777" w:rsidR="00AA57C4" w:rsidRPr="00A5645B" w:rsidRDefault="00AA57C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BE3C9D" w14:textId="3C7512BC" w:rsidR="00AA57C4" w:rsidRPr="00A5645B" w:rsidRDefault="00AA57C4" w:rsidP="00FB5C9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282DC6" w14:textId="725C947B" w:rsidR="00AA57C4" w:rsidRPr="00A5645B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70DD80" w14:textId="64B918E2" w:rsidR="00AA57C4" w:rsidRPr="00A5645B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EE1F70" w14:textId="36CF9401" w:rsidR="00AA57C4" w:rsidRPr="008536A7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056E99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AA57C4" w:rsidRPr="00EE46E2" w14:paraId="764F726B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B92A00" w14:textId="1E861992" w:rsidR="00AA57C4" w:rsidRPr="00116A46" w:rsidRDefault="00AA57C4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8D2355" w14:textId="498BD01F" w:rsidR="00AA57C4" w:rsidRPr="00116A4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202,204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914BD8" w14:textId="6229F93B" w:rsidR="00AA57C4" w:rsidRPr="00116A4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1780C0" w14:textId="2D448734" w:rsidR="00AA57C4" w:rsidRPr="00116A4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FB31314" w14:textId="77777777" w:rsidR="00AA57C4" w:rsidRPr="00116A46" w:rsidRDefault="00AA57C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EFAB20" w14:textId="626E0CA2" w:rsidR="00AA57C4" w:rsidRPr="00116A46" w:rsidRDefault="00AA57C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84C1B1" w14:textId="010CE70B" w:rsidR="00AA57C4" w:rsidRPr="00116A46" w:rsidRDefault="00AA57C4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63,963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077FAF" w14:textId="47809DB5" w:rsidR="00AA57C4" w:rsidRPr="00116A4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A5B5A" w14:textId="77777777" w:rsidR="00AA57C4" w:rsidRPr="00116A4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116A4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2.3%</w:t>
                            </w:r>
                          </w:p>
                        </w:tc>
                      </w:tr>
                      <w:tr w:rsidR="00AA57C4" w:rsidRPr="00EE46E2" w14:paraId="78C81A86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E57432" w14:textId="2DDFF871" w:rsidR="00AA57C4" w:rsidRPr="00390AF8" w:rsidRDefault="00AA57C4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DA78FC8" w14:textId="344804BF" w:rsidR="00AA57C4" w:rsidRPr="00390AF8" w:rsidRDefault="00AA57C4" w:rsidP="00C17B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93,825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43E1E6" w14:textId="012B9839" w:rsidR="00AA57C4" w:rsidRPr="00390AF8" w:rsidRDefault="00AA57C4" w:rsidP="00D7062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3DD9CB" w14:textId="4BE2D3EA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AD92527" w14:textId="77777777" w:rsidR="00AA57C4" w:rsidRPr="008536A7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731A50" w14:textId="6813C0CF" w:rsidR="00AA57C4" w:rsidRPr="00390AF8" w:rsidRDefault="00AA57C4" w:rsidP="00296FF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56466" w14:textId="0FC8E0FF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30,522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A98821" w14:textId="3D80DCC6" w:rsidR="00AA57C4" w:rsidRPr="00390AF8" w:rsidRDefault="00AA57C4" w:rsidP="00D7062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8231E" w14:textId="4671DA4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AA57C4" w:rsidRPr="00EE46E2" w14:paraId="7E78E2B4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AE84B6" w14:textId="6397C9D9" w:rsidR="00AA57C4" w:rsidRPr="00390AF8" w:rsidRDefault="00AA57C4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June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2601AC" w14:textId="253FBC1B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3.9%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1B0F3C" w14:textId="587419C3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-1.6pp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242BEA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B595EA" w14:textId="77777777" w:rsidR="00AA57C4" w:rsidRPr="008536A7" w:rsidRDefault="00AA57C4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44E6AF" w14:textId="3B6846CB" w:rsidR="00AA57C4" w:rsidRPr="00390AF8" w:rsidRDefault="00AA57C4" w:rsidP="00296FF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 June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5295A6" w14:textId="10083532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43E57C" w14:textId="204F739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390AF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C79A57" w14:textId="77777777" w:rsidR="00AA57C4" w:rsidRPr="00390AF8" w:rsidRDefault="00AA57C4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266B2967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9E1131" w14:textId="4C99C50A" w:rsidR="00AA57C4" w:rsidRPr="00DE6518" w:rsidRDefault="00AA57C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06841B" w14:textId="40731296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$4.7b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06CAAA" w14:textId="199CE620" w:rsidR="00AA57C4" w:rsidRPr="00DE6518" w:rsidRDefault="00AA57C4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+81.3%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99A0D8" w14:textId="3335271A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5BC4414" w14:textId="77777777" w:rsidR="00AA57C4" w:rsidRPr="00DE6518" w:rsidRDefault="00AA57C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8C834B" w14:textId="5A89C6C3" w:rsidR="00AA57C4" w:rsidRPr="00DE6518" w:rsidRDefault="00AA57C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95876C" w14:textId="1929E33E" w:rsidR="00AA57C4" w:rsidRPr="00DE6518" w:rsidRDefault="00AA57C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791666" w14:textId="76FF9058" w:rsidR="00AA57C4" w:rsidRPr="00DE6518" w:rsidRDefault="00AA57C4" w:rsidP="00AD12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+47.8%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5D0A90" w14:textId="1033BBBD" w:rsidR="00AA57C4" w:rsidRPr="00DE6518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E651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0.00%</w:t>
                            </w:r>
                          </w:p>
                        </w:tc>
                      </w:tr>
                      <w:tr w:rsidR="00AA57C4" w:rsidRPr="00EE46E2" w14:paraId="5607DEA3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202E41" w14:textId="365B33D0" w:rsidR="00AA57C4" w:rsidRPr="00BD3DB6" w:rsidRDefault="00AA57C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B6BA7" w14:textId="4D1B349C" w:rsidR="00AA57C4" w:rsidRPr="00BD3DB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$835m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7D98D8" w14:textId="4BCCAC09" w:rsidR="00AA57C4" w:rsidRPr="00BD3DB6" w:rsidRDefault="00AA57C4" w:rsidP="009D4C6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5D72A2" w14:textId="6C00D9B8" w:rsidR="00AA57C4" w:rsidRPr="00BD3DB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B03745D" w14:textId="77777777" w:rsidR="00AA57C4" w:rsidRPr="00DA0886" w:rsidRDefault="00AA57C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3E082" w14:textId="66292959" w:rsidR="00AA57C4" w:rsidRPr="00BD3DB6" w:rsidRDefault="00AA57C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DA08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 xml:space="preserve">Building approvals: </w:t>
                            </w: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18DB6E" w14:textId="3DDB9C34" w:rsidR="00AA57C4" w:rsidRPr="00BD3DB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$172m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6A6DCB5" w14:textId="2A5FE001" w:rsidR="00AA57C4" w:rsidRPr="00BD3DB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-38.5%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6DEC1D" w14:textId="043DAC2E" w:rsidR="00AA57C4" w:rsidRPr="00BD3DB6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BD3DB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AA57C4" w:rsidRPr="00EE46E2" w14:paraId="03F4AF6D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F505B6" w14:textId="0B25C318" w:rsidR="00AA57C4" w:rsidRPr="00C61A58" w:rsidRDefault="00AA57C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8B937" w14:textId="207449F8" w:rsidR="00AA57C4" w:rsidRPr="00C61A58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2,459,000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618E4" w14:textId="77777777" w:rsidR="00AA57C4" w:rsidRPr="00C61A58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5DF96" w14:textId="6ADAEB9E" w:rsidR="00AA57C4" w:rsidRPr="00C61A58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21.4%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71F4D24" w14:textId="77777777" w:rsidR="00AA57C4" w:rsidRPr="00EE46E2" w:rsidRDefault="00AA57C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DF3B23" w14:textId="18B4B0DE" w:rsidR="00AA57C4" w:rsidRPr="00C61A58" w:rsidRDefault="00AA57C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2019-2021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EC9E7C" w14:textId="20520B94" w:rsidR="00AA57C4" w:rsidRPr="00C61A58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88BCAF" w14:textId="77777777" w:rsidR="00AA57C4" w:rsidRPr="00C61A58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BB63E8" w14:textId="3705708E" w:rsidR="00AA57C4" w:rsidRPr="00C61A58" w:rsidRDefault="00AA57C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C61A58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6.5%</w:t>
                            </w:r>
                          </w:p>
                        </w:tc>
                      </w:tr>
                      <w:tr w:rsidR="00AA57C4" w:rsidRPr="00EE46E2" w14:paraId="1EF0C214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CFA8A8A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</w:tcPr>
                          <w:p w14:paraId="12A1B4D7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</w:tcBorders>
                          </w:tcPr>
                          <w:p w14:paraId="60A35460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4E8D085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29482DE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6D3E90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805F1D5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71B31DA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95437E3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AA57C4" w:rsidRPr="00EE46E2" w14:paraId="7BD68DCB" w14:textId="77777777" w:rsidTr="00E04B9D">
                        <w:tc>
                          <w:tcPr>
                            <w:tcW w:w="0" w:type="auto"/>
                          </w:tcPr>
                          <w:p w14:paraId="15523F1A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0F4B8704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5F874B44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5F4CFD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7196538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4CF0FB" w14:textId="77777777" w:rsidR="00AA57C4" w:rsidRPr="00EE46E2" w:rsidRDefault="00AA57C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76C5ACA4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87CF928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D6F2476" w14:textId="77777777" w:rsidR="00AA57C4" w:rsidRPr="00EE46E2" w:rsidRDefault="00AA57C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710A9729" w14:textId="77777777" w:rsidR="00AA57C4" w:rsidRDefault="00AA57C4" w:rsidP="00FD2E59"/>
                  </w:txbxContent>
                </v:textbox>
              </v:shape>
            </w:pict>
          </mc:Fallback>
        </mc:AlternateContent>
      </w:r>
      <w:r w:rsidR="00AA7A13">
        <w:rPr>
          <w:noProof/>
          <w:sz w:val="16"/>
          <w:lang w:eastAsia="en-AU"/>
        </w:rPr>
        <w:object w:dxaOrig="11235" w:dyaOrig="15900" w14:anchorId="4AF74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pt;height:627.1pt" o:ole="">
            <v:imagedata r:id="rId63" o:title=""/>
          </v:shape>
          <o:OLEObject Type="Embed" ProgID="PBrush" ShapeID="_x0000_i1025" DrawAspect="Content" ObjectID="_1736834518" r:id="rId64"/>
        </w:object>
      </w:r>
    </w:p>
    <w:p w14:paraId="4EC261FB" w14:textId="3E496636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available. pp = percentage point. </w:t>
      </w:r>
      <w:r w:rsidRPr="00167179">
        <w:rPr>
          <w:sz w:val="10"/>
          <w:vertAlign w:val="superscript"/>
        </w:rPr>
        <w:t>1</w:t>
      </w:r>
      <w:r w:rsidRPr="00167179">
        <w:rPr>
          <w:sz w:val="10"/>
        </w:rPr>
        <w:t xml:space="preserve"> Change from previous year for annual series</w:t>
      </w:r>
      <w:r>
        <w:rPr>
          <w:sz w:val="10"/>
        </w:rPr>
        <w:t xml:space="preserve"> (nominal or not adjusted for price changes</w:t>
      </w:r>
      <w:r w:rsidRPr="009A6DAE">
        <w:rPr>
          <w:sz w:val="10"/>
        </w:rPr>
        <w:t>)</w:t>
      </w:r>
      <w:r w:rsidR="00EA33A7" w:rsidRPr="009A6DAE">
        <w:rPr>
          <w:sz w:val="10"/>
        </w:rPr>
        <w:t xml:space="preserve"> except for GRP estimates (adjusted for 2020 CPI changes), </w:t>
      </w:r>
      <w:r w:rsidRPr="00167179">
        <w:rPr>
          <w:sz w:val="10"/>
        </w:rPr>
        <w:t>and change from same quarter of the previous year for the quarterly labour force series. Source: WA Department of Primary Industries and Regional Development</w:t>
      </w:r>
      <w:r>
        <w:rPr>
          <w:sz w:val="10"/>
        </w:rPr>
        <w:t xml:space="preserve">, GRP estimates (Annual); </w:t>
      </w:r>
      <w:r w:rsidR="00637898" w:rsidRPr="00DA0886">
        <w:rPr>
          <w:sz w:val="10"/>
        </w:rPr>
        <w:t xml:space="preserve">Based on data from </w:t>
      </w:r>
      <w:r w:rsidRPr="00DA0886">
        <w:rPr>
          <w:sz w:val="10"/>
        </w:rPr>
        <w:t xml:space="preserve">ABS 3218.0 Regional Population Growth Australia (Annual); </w:t>
      </w:r>
      <w:r w:rsidR="00107468" w:rsidRPr="004B5580">
        <w:rPr>
          <w:sz w:val="10"/>
        </w:rPr>
        <w:t>Jobs and Skills Australia’s Labour Market Insights</w:t>
      </w:r>
      <w:r w:rsidRPr="004B5580">
        <w:rPr>
          <w:sz w:val="10"/>
        </w:rPr>
        <w:t xml:space="preserve">, Small Area Labour Markets (Quarterly); WA </w:t>
      </w:r>
      <w:r w:rsidRPr="00DA0886">
        <w:rPr>
          <w:sz w:val="10"/>
        </w:rPr>
        <w:t>Department of Mines, Industry Regulation and Safety, Resource Data Files (B</w:t>
      </w:r>
      <w:r w:rsidRPr="00DA0886">
        <w:rPr>
          <w:sz w:val="10"/>
        </w:rPr>
        <w:noBreakHyphen/>
        <w:t xml:space="preserve">Annual); </w:t>
      </w:r>
      <w:r w:rsidR="00637898" w:rsidRPr="00DA0886">
        <w:rPr>
          <w:sz w:val="10"/>
        </w:rPr>
        <w:t xml:space="preserve">Based on data from </w:t>
      </w:r>
      <w:r w:rsidRPr="00DA0886">
        <w:rPr>
          <w:sz w:val="10"/>
        </w:rPr>
        <w:t xml:space="preserve">ABS </w:t>
      </w:r>
      <w:r w:rsidRPr="00167179">
        <w:rPr>
          <w:sz w:val="10"/>
        </w:rPr>
        <w:t>8731.0 Building Approvals</w:t>
      </w:r>
      <w:r>
        <w:rPr>
          <w:sz w:val="10"/>
        </w:rPr>
        <w:t>, Australia (Monthly)</w:t>
      </w:r>
      <w:r w:rsidRPr="00167179">
        <w:rPr>
          <w:sz w:val="10"/>
        </w:rPr>
        <w:t>; and Tourism Western Australia, Regional Development Commission Fact Sheets</w:t>
      </w:r>
      <w:r>
        <w:rPr>
          <w:sz w:val="10"/>
        </w:rPr>
        <w:t xml:space="preserve"> (Annual).</w:t>
      </w:r>
    </w:p>
    <w:p w14:paraId="1235B6B9" w14:textId="77777777" w:rsidR="00FD2E59" w:rsidRDefault="00FD2E59" w:rsidP="00FD2E59">
      <w:pPr>
        <w:spacing w:after="0"/>
        <w:jc w:val="both"/>
        <w:rPr>
          <w:sz w:val="10"/>
        </w:rPr>
        <w:sectPr w:rsidR="00FD2E59" w:rsidSect="005B28B6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31AF9732" w14:textId="77777777" w:rsidR="00FD2E59" w:rsidRDefault="00FD2E59" w:rsidP="00FD2E59">
      <w:pPr>
        <w:spacing w:after="0"/>
        <w:jc w:val="both"/>
        <w:rPr>
          <w:sz w:val="10"/>
        </w:rPr>
      </w:pPr>
    </w:p>
    <w:p w14:paraId="39BFAD1B" w14:textId="4C18EA0B" w:rsidR="00167179" w:rsidRPr="00FD2E59" w:rsidRDefault="00167179" w:rsidP="00FD2E59"/>
    <w:sectPr w:rsidR="00167179" w:rsidRPr="00FD2E59" w:rsidSect="00F7498D">
      <w:headerReference w:type="default" r:id="rId65"/>
      <w:footerReference w:type="default" r:id="rId66"/>
      <w:footerReference w:type="first" r:id="rId67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60897" w14:textId="77777777" w:rsidR="00BB1C80" w:rsidRDefault="00BB1C80" w:rsidP="00A4382C">
      <w:pPr>
        <w:spacing w:line="240" w:lineRule="auto"/>
      </w:pPr>
      <w:r>
        <w:separator/>
      </w:r>
    </w:p>
  </w:endnote>
  <w:endnote w:type="continuationSeparator" w:id="0">
    <w:p w14:paraId="1B4DEDCE" w14:textId="77777777" w:rsidR="00BB1C80" w:rsidRDefault="00BB1C80" w:rsidP="00A4382C">
      <w:pPr>
        <w:spacing w:line="240" w:lineRule="auto"/>
      </w:pPr>
      <w:r>
        <w:continuationSeparator/>
      </w:r>
    </w:p>
  </w:endnote>
  <w:endnote w:type="continuationNotice" w:id="1">
    <w:p w14:paraId="4178376B" w14:textId="77777777" w:rsidR="00BB1C80" w:rsidRDefault="00BB1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BDF78" w14:textId="77777777" w:rsidR="00AA57C4" w:rsidRDefault="00AA5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A899" w14:textId="044E2258" w:rsidR="00AA57C4" w:rsidRPr="00CC5FB3" w:rsidRDefault="00AA57C4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BB4F46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BB4F46"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                              January</w:t>
    </w:r>
    <w:r w:rsidRPr="00170E5B">
      <w:rPr>
        <w:szCs w:val="16"/>
      </w:rPr>
      <w:t xml:space="preserve"> </w:t>
    </w:r>
    <w:r>
      <w:rPr>
        <w:szCs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89DA" w14:textId="70BFB4EC" w:rsidR="00AA57C4" w:rsidRPr="0075253D" w:rsidRDefault="00AA57C4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002976policy.data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290023971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33DE614B" w:rsidR="00AA57C4" w:rsidRPr="00CC5FB3" w:rsidRDefault="00AA57C4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June 2021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274B8FFF" w:rsidR="00AA57C4" w:rsidRPr="0075253D" w:rsidRDefault="00AA57C4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002094policy.data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80617" w14:textId="77777777" w:rsidR="00BB1C80" w:rsidRDefault="00BB1C80" w:rsidP="00A4382C">
      <w:pPr>
        <w:spacing w:line="240" w:lineRule="auto"/>
      </w:pPr>
      <w:r>
        <w:separator/>
      </w:r>
    </w:p>
  </w:footnote>
  <w:footnote w:type="continuationSeparator" w:id="0">
    <w:p w14:paraId="546B5827" w14:textId="77777777" w:rsidR="00BB1C80" w:rsidRDefault="00BB1C80" w:rsidP="00A4382C">
      <w:pPr>
        <w:spacing w:line="240" w:lineRule="auto"/>
      </w:pPr>
      <w:r>
        <w:continuationSeparator/>
      </w:r>
    </w:p>
  </w:footnote>
  <w:footnote w:type="continuationNotice" w:id="1">
    <w:p w14:paraId="681F196A" w14:textId="77777777" w:rsidR="00BB1C80" w:rsidRDefault="00BB1C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F95A4" w14:textId="77777777" w:rsidR="00AA57C4" w:rsidRDefault="00AA5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482C" w14:textId="77777777" w:rsidR="00AA57C4" w:rsidRDefault="00AA57C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0" wp14:anchorId="072746FF" wp14:editId="58D4245C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9F674" w14:textId="77777777" w:rsidR="00AA57C4" w:rsidRDefault="00AA57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AA57C4" w:rsidRDefault="00AA57C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6F3DC76E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8" w15:restartNumberingAfterBreak="0">
    <w:nsid w:val="2C2F4ABE"/>
    <w:multiLevelType w:val="hybridMultilevel"/>
    <w:tmpl w:val="50D8ED50"/>
    <w:lvl w:ilvl="0" w:tplc="5C52384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AA35B5"/>
    <w:multiLevelType w:val="hybridMultilevel"/>
    <w:tmpl w:val="1452D21E"/>
    <w:lvl w:ilvl="0" w:tplc="6466FCE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5465F"/>
    <w:multiLevelType w:val="hybridMultilevel"/>
    <w:tmpl w:val="F2787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20D18"/>
    <w:multiLevelType w:val="multilevel"/>
    <w:tmpl w:val="C4023126"/>
    <w:numStyleLink w:val="AgencyTableBullets"/>
  </w:abstractNum>
  <w:abstractNum w:abstractNumId="12" w15:restartNumberingAfterBreak="0">
    <w:nsid w:val="4474526F"/>
    <w:multiLevelType w:val="multilevel"/>
    <w:tmpl w:val="D5A4B100"/>
    <w:numStyleLink w:val="AgencyTableNumbers"/>
  </w:abstractNum>
  <w:abstractNum w:abstractNumId="13" w15:restartNumberingAfterBreak="0">
    <w:nsid w:val="4552191F"/>
    <w:multiLevelType w:val="hybridMultilevel"/>
    <w:tmpl w:val="2360A47C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BEF090A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77038"/>
    <w:multiLevelType w:val="hybridMultilevel"/>
    <w:tmpl w:val="2F7E8340"/>
    <w:lvl w:ilvl="0" w:tplc="F0E63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7" w15:restartNumberingAfterBreak="0">
    <w:nsid w:val="557D660D"/>
    <w:multiLevelType w:val="hybridMultilevel"/>
    <w:tmpl w:val="1A801D74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CDCC8D9C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77BB6"/>
    <w:multiLevelType w:val="hybridMultilevel"/>
    <w:tmpl w:val="484E60B2"/>
    <w:lvl w:ilvl="0" w:tplc="81BEC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E66E7"/>
    <w:multiLevelType w:val="hybridMultilevel"/>
    <w:tmpl w:val="01766254"/>
    <w:lvl w:ilvl="0" w:tplc="5C52384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5"/>
  </w:num>
  <w:num w:numId="5">
    <w:abstractNumId w:val="7"/>
  </w:num>
  <w:num w:numId="6">
    <w:abstractNumId w:val="16"/>
  </w:num>
  <w:num w:numId="7">
    <w:abstractNumId w:val="11"/>
  </w:num>
  <w:num w:numId="8">
    <w:abstractNumId w:val="12"/>
  </w:num>
  <w:num w:numId="9">
    <w:abstractNumId w:val="9"/>
  </w:num>
  <w:num w:numId="10">
    <w:abstractNumId w:val="17"/>
  </w:num>
  <w:num w:numId="11">
    <w:abstractNumId w:val="13"/>
  </w:num>
  <w:num w:numId="12">
    <w:abstractNumId w:val="1"/>
  </w:num>
  <w:num w:numId="13">
    <w:abstractNumId w:val="4"/>
  </w:num>
  <w:num w:numId="14">
    <w:abstractNumId w:val="14"/>
  </w:num>
  <w:num w:numId="15">
    <w:abstractNumId w:val="6"/>
  </w:num>
  <w:num w:numId="16">
    <w:abstractNumId w:val="21"/>
  </w:num>
  <w:num w:numId="17">
    <w:abstractNumId w:val="18"/>
  </w:num>
  <w:num w:numId="18">
    <w:abstractNumId w:val="0"/>
  </w:num>
  <w:num w:numId="19">
    <w:abstractNumId w:val="3"/>
  </w:num>
  <w:num w:numId="20">
    <w:abstractNumId w:val="8"/>
  </w:num>
  <w:num w:numId="21">
    <w:abstractNumId w:val="20"/>
  </w:num>
  <w:num w:numId="22">
    <w:abstractNumId w:val="19"/>
  </w:num>
  <w:num w:numId="23">
    <w:abstractNumId w:val="15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0"/>
    <w:rsid w:val="0000030D"/>
    <w:rsid w:val="00000BDE"/>
    <w:rsid w:val="00000F31"/>
    <w:rsid w:val="00001637"/>
    <w:rsid w:val="00001AE3"/>
    <w:rsid w:val="00001B6E"/>
    <w:rsid w:val="00002052"/>
    <w:rsid w:val="00002F45"/>
    <w:rsid w:val="00003338"/>
    <w:rsid w:val="0000362E"/>
    <w:rsid w:val="00004570"/>
    <w:rsid w:val="00004598"/>
    <w:rsid w:val="00004B21"/>
    <w:rsid w:val="00004EC0"/>
    <w:rsid w:val="00005285"/>
    <w:rsid w:val="00006269"/>
    <w:rsid w:val="00006B3F"/>
    <w:rsid w:val="00006DAE"/>
    <w:rsid w:val="0000716C"/>
    <w:rsid w:val="000073B7"/>
    <w:rsid w:val="0000797E"/>
    <w:rsid w:val="000104A4"/>
    <w:rsid w:val="0001063A"/>
    <w:rsid w:val="00011392"/>
    <w:rsid w:val="0001250A"/>
    <w:rsid w:val="00012672"/>
    <w:rsid w:val="00012E04"/>
    <w:rsid w:val="00013036"/>
    <w:rsid w:val="00013661"/>
    <w:rsid w:val="000139D3"/>
    <w:rsid w:val="0001434E"/>
    <w:rsid w:val="0001436C"/>
    <w:rsid w:val="000144D1"/>
    <w:rsid w:val="00014B98"/>
    <w:rsid w:val="00014B9E"/>
    <w:rsid w:val="00014DBD"/>
    <w:rsid w:val="00016F76"/>
    <w:rsid w:val="000176E0"/>
    <w:rsid w:val="00017F3E"/>
    <w:rsid w:val="00020369"/>
    <w:rsid w:val="0002075F"/>
    <w:rsid w:val="000209BE"/>
    <w:rsid w:val="00020A91"/>
    <w:rsid w:val="000211D5"/>
    <w:rsid w:val="0002121D"/>
    <w:rsid w:val="00021385"/>
    <w:rsid w:val="00022306"/>
    <w:rsid w:val="000226B5"/>
    <w:rsid w:val="000237B4"/>
    <w:rsid w:val="00023A65"/>
    <w:rsid w:val="00023AD8"/>
    <w:rsid w:val="00023CD8"/>
    <w:rsid w:val="000243EE"/>
    <w:rsid w:val="00024416"/>
    <w:rsid w:val="0002466E"/>
    <w:rsid w:val="00024A34"/>
    <w:rsid w:val="00024E16"/>
    <w:rsid w:val="00025EC4"/>
    <w:rsid w:val="0002604D"/>
    <w:rsid w:val="0002663B"/>
    <w:rsid w:val="0002694B"/>
    <w:rsid w:val="00026B7E"/>
    <w:rsid w:val="00026F77"/>
    <w:rsid w:val="000270C2"/>
    <w:rsid w:val="00027C43"/>
    <w:rsid w:val="00027C63"/>
    <w:rsid w:val="00030151"/>
    <w:rsid w:val="00030161"/>
    <w:rsid w:val="00030398"/>
    <w:rsid w:val="000307A6"/>
    <w:rsid w:val="000316B1"/>
    <w:rsid w:val="00031CAE"/>
    <w:rsid w:val="00031F5C"/>
    <w:rsid w:val="00031F79"/>
    <w:rsid w:val="00031F80"/>
    <w:rsid w:val="0003298A"/>
    <w:rsid w:val="00032A36"/>
    <w:rsid w:val="00032FBF"/>
    <w:rsid w:val="0003310B"/>
    <w:rsid w:val="000338B4"/>
    <w:rsid w:val="0003451F"/>
    <w:rsid w:val="000348C8"/>
    <w:rsid w:val="00034CF8"/>
    <w:rsid w:val="0003544A"/>
    <w:rsid w:val="00035C8F"/>
    <w:rsid w:val="00035E69"/>
    <w:rsid w:val="00036709"/>
    <w:rsid w:val="00036C0B"/>
    <w:rsid w:val="000372B8"/>
    <w:rsid w:val="00037E06"/>
    <w:rsid w:val="000400BA"/>
    <w:rsid w:val="000403B3"/>
    <w:rsid w:val="000405C7"/>
    <w:rsid w:val="00040A1A"/>
    <w:rsid w:val="00042128"/>
    <w:rsid w:val="000426A4"/>
    <w:rsid w:val="000429E7"/>
    <w:rsid w:val="000434A3"/>
    <w:rsid w:val="00043503"/>
    <w:rsid w:val="00043855"/>
    <w:rsid w:val="000438F1"/>
    <w:rsid w:val="00044565"/>
    <w:rsid w:val="000452A4"/>
    <w:rsid w:val="000452FB"/>
    <w:rsid w:val="00045F6E"/>
    <w:rsid w:val="00046081"/>
    <w:rsid w:val="000470C4"/>
    <w:rsid w:val="00047782"/>
    <w:rsid w:val="00047CD3"/>
    <w:rsid w:val="00050A4C"/>
    <w:rsid w:val="00050C67"/>
    <w:rsid w:val="00050D39"/>
    <w:rsid w:val="00051128"/>
    <w:rsid w:val="0005138F"/>
    <w:rsid w:val="000517E2"/>
    <w:rsid w:val="000519AC"/>
    <w:rsid w:val="00051AC0"/>
    <w:rsid w:val="000525C8"/>
    <w:rsid w:val="0005378C"/>
    <w:rsid w:val="00053EDA"/>
    <w:rsid w:val="00053F04"/>
    <w:rsid w:val="00054681"/>
    <w:rsid w:val="00054A3B"/>
    <w:rsid w:val="00054EAE"/>
    <w:rsid w:val="00055232"/>
    <w:rsid w:val="000555B1"/>
    <w:rsid w:val="0005585E"/>
    <w:rsid w:val="00056455"/>
    <w:rsid w:val="00056620"/>
    <w:rsid w:val="00056706"/>
    <w:rsid w:val="00056C85"/>
    <w:rsid w:val="00056E99"/>
    <w:rsid w:val="00056FCF"/>
    <w:rsid w:val="000570EA"/>
    <w:rsid w:val="0006020B"/>
    <w:rsid w:val="000602E2"/>
    <w:rsid w:val="000605A7"/>
    <w:rsid w:val="00060983"/>
    <w:rsid w:val="00060C38"/>
    <w:rsid w:val="00060FFB"/>
    <w:rsid w:val="00061019"/>
    <w:rsid w:val="00061146"/>
    <w:rsid w:val="000620A6"/>
    <w:rsid w:val="0006234D"/>
    <w:rsid w:val="000624CC"/>
    <w:rsid w:val="000626CC"/>
    <w:rsid w:val="000628DD"/>
    <w:rsid w:val="0006297C"/>
    <w:rsid w:val="00063203"/>
    <w:rsid w:val="0006409D"/>
    <w:rsid w:val="000640A5"/>
    <w:rsid w:val="0006444E"/>
    <w:rsid w:val="00064FBE"/>
    <w:rsid w:val="0006535D"/>
    <w:rsid w:val="00065BC6"/>
    <w:rsid w:val="0006612E"/>
    <w:rsid w:val="00066952"/>
    <w:rsid w:val="00066C06"/>
    <w:rsid w:val="000672CA"/>
    <w:rsid w:val="00067655"/>
    <w:rsid w:val="00067C0D"/>
    <w:rsid w:val="00067DD2"/>
    <w:rsid w:val="0007015D"/>
    <w:rsid w:val="00070650"/>
    <w:rsid w:val="000708A0"/>
    <w:rsid w:val="000709E1"/>
    <w:rsid w:val="00071319"/>
    <w:rsid w:val="0007168A"/>
    <w:rsid w:val="00071966"/>
    <w:rsid w:val="000729FA"/>
    <w:rsid w:val="000731E7"/>
    <w:rsid w:val="00074283"/>
    <w:rsid w:val="000749AE"/>
    <w:rsid w:val="00074E40"/>
    <w:rsid w:val="0007503F"/>
    <w:rsid w:val="00075084"/>
    <w:rsid w:val="00075185"/>
    <w:rsid w:val="00076DFB"/>
    <w:rsid w:val="000772A2"/>
    <w:rsid w:val="00077902"/>
    <w:rsid w:val="00077C02"/>
    <w:rsid w:val="00080625"/>
    <w:rsid w:val="000807FC"/>
    <w:rsid w:val="00080F2D"/>
    <w:rsid w:val="00080FDE"/>
    <w:rsid w:val="00081BBA"/>
    <w:rsid w:val="00081CAA"/>
    <w:rsid w:val="00081F4F"/>
    <w:rsid w:val="00082AF4"/>
    <w:rsid w:val="00082D57"/>
    <w:rsid w:val="0008361E"/>
    <w:rsid w:val="00083829"/>
    <w:rsid w:val="00083A41"/>
    <w:rsid w:val="00083B34"/>
    <w:rsid w:val="00084123"/>
    <w:rsid w:val="00084EB9"/>
    <w:rsid w:val="000852C1"/>
    <w:rsid w:val="000859B4"/>
    <w:rsid w:val="00086291"/>
    <w:rsid w:val="00086425"/>
    <w:rsid w:val="00087411"/>
    <w:rsid w:val="00087862"/>
    <w:rsid w:val="00087867"/>
    <w:rsid w:val="00087B60"/>
    <w:rsid w:val="00087E7C"/>
    <w:rsid w:val="00090272"/>
    <w:rsid w:val="0009055B"/>
    <w:rsid w:val="00090654"/>
    <w:rsid w:val="00091204"/>
    <w:rsid w:val="00091B81"/>
    <w:rsid w:val="000923ED"/>
    <w:rsid w:val="00092B43"/>
    <w:rsid w:val="00092E8F"/>
    <w:rsid w:val="00092FF8"/>
    <w:rsid w:val="00093158"/>
    <w:rsid w:val="00093318"/>
    <w:rsid w:val="000938CF"/>
    <w:rsid w:val="00094B5E"/>
    <w:rsid w:val="00094BA1"/>
    <w:rsid w:val="000959F8"/>
    <w:rsid w:val="00096D28"/>
    <w:rsid w:val="00097670"/>
    <w:rsid w:val="00097BBE"/>
    <w:rsid w:val="00097C29"/>
    <w:rsid w:val="00097FD4"/>
    <w:rsid w:val="000A02E2"/>
    <w:rsid w:val="000A18F7"/>
    <w:rsid w:val="000A1B93"/>
    <w:rsid w:val="000A1BE9"/>
    <w:rsid w:val="000A3018"/>
    <w:rsid w:val="000A31DF"/>
    <w:rsid w:val="000A35C7"/>
    <w:rsid w:val="000A3DA1"/>
    <w:rsid w:val="000A423D"/>
    <w:rsid w:val="000A576B"/>
    <w:rsid w:val="000A5776"/>
    <w:rsid w:val="000A619D"/>
    <w:rsid w:val="000A6ECE"/>
    <w:rsid w:val="000A7652"/>
    <w:rsid w:val="000A771B"/>
    <w:rsid w:val="000A789B"/>
    <w:rsid w:val="000B03AB"/>
    <w:rsid w:val="000B068E"/>
    <w:rsid w:val="000B183D"/>
    <w:rsid w:val="000B188A"/>
    <w:rsid w:val="000B272E"/>
    <w:rsid w:val="000B2A61"/>
    <w:rsid w:val="000B3922"/>
    <w:rsid w:val="000B3B1A"/>
    <w:rsid w:val="000B3BFB"/>
    <w:rsid w:val="000B4477"/>
    <w:rsid w:val="000B4BD1"/>
    <w:rsid w:val="000B4DCE"/>
    <w:rsid w:val="000B509C"/>
    <w:rsid w:val="000B538F"/>
    <w:rsid w:val="000B54E4"/>
    <w:rsid w:val="000B54EF"/>
    <w:rsid w:val="000B5C52"/>
    <w:rsid w:val="000B5CB5"/>
    <w:rsid w:val="000B5F48"/>
    <w:rsid w:val="000B6150"/>
    <w:rsid w:val="000B6C74"/>
    <w:rsid w:val="000B6C9C"/>
    <w:rsid w:val="000B70B1"/>
    <w:rsid w:val="000B74E7"/>
    <w:rsid w:val="000B79E7"/>
    <w:rsid w:val="000B7B13"/>
    <w:rsid w:val="000C09FE"/>
    <w:rsid w:val="000C0B8C"/>
    <w:rsid w:val="000C0C03"/>
    <w:rsid w:val="000C0C45"/>
    <w:rsid w:val="000C1BFF"/>
    <w:rsid w:val="000C27B3"/>
    <w:rsid w:val="000C2AD1"/>
    <w:rsid w:val="000C3195"/>
    <w:rsid w:val="000C334C"/>
    <w:rsid w:val="000C3D84"/>
    <w:rsid w:val="000C4021"/>
    <w:rsid w:val="000C4073"/>
    <w:rsid w:val="000C5294"/>
    <w:rsid w:val="000C64F2"/>
    <w:rsid w:val="000C700A"/>
    <w:rsid w:val="000C79A9"/>
    <w:rsid w:val="000D1DD3"/>
    <w:rsid w:val="000D2300"/>
    <w:rsid w:val="000D27BF"/>
    <w:rsid w:val="000D28F8"/>
    <w:rsid w:val="000D2A92"/>
    <w:rsid w:val="000D2BBF"/>
    <w:rsid w:val="000D392F"/>
    <w:rsid w:val="000D3DB7"/>
    <w:rsid w:val="000D3E57"/>
    <w:rsid w:val="000D433E"/>
    <w:rsid w:val="000D45DD"/>
    <w:rsid w:val="000D4B09"/>
    <w:rsid w:val="000D53CE"/>
    <w:rsid w:val="000D6278"/>
    <w:rsid w:val="000D67A1"/>
    <w:rsid w:val="000D73CA"/>
    <w:rsid w:val="000D79F5"/>
    <w:rsid w:val="000E015F"/>
    <w:rsid w:val="000E0DF2"/>
    <w:rsid w:val="000E1449"/>
    <w:rsid w:val="000E149E"/>
    <w:rsid w:val="000E158E"/>
    <w:rsid w:val="000E1AA0"/>
    <w:rsid w:val="000E2317"/>
    <w:rsid w:val="000E254A"/>
    <w:rsid w:val="000E290D"/>
    <w:rsid w:val="000E3009"/>
    <w:rsid w:val="000E4402"/>
    <w:rsid w:val="000E45CE"/>
    <w:rsid w:val="000E4955"/>
    <w:rsid w:val="000E5DCE"/>
    <w:rsid w:val="000E5E65"/>
    <w:rsid w:val="000E7533"/>
    <w:rsid w:val="000E7A90"/>
    <w:rsid w:val="000E7E19"/>
    <w:rsid w:val="000F08EC"/>
    <w:rsid w:val="000F0DE4"/>
    <w:rsid w:val="000F13E1"/>
    <w:rsid w:val="000F1470"/>
    <w:rsid w:val="000F158E"/>
    <w:rsid w:val="000F1854"/>
    <w:rsid w:val="000F1BBF"/>
    <w:rsid w:val="000F2942"/>
    <w:rsid w:val="000F3534"/>
    <w:rsid w:val="000F3989"/>
    <w:rsid w:val="000F3A49"/>
    <w:rsid w:val="000F3ADA"/>
    <w:rsid w:val="000F410D"/>
    <w:rsid w:val="000F4395"/>
    <w:rsid w:val="000F4B54"/>
    <w:rsid w:val="000F4CAA"/>
    <w:rsid w:val="000F54E7"/>
    <w:rsid w:val="000F557C"/>
    <w:rsid w:val="000F576F"/>
    <w:rsid w:val="000F5770"/>
    <w:rsid w:val="000F680B"/>
    <w:rsid w:val="000F6FF1"/>
    <w:rsid w:val="000F715D"/>
    <w:rsid w:val="000F7189"/>
    <w:rsid w:val="000F72A8"/>
    <w:rsid w:val="000F7993"/>
    <w:rsid w:val="000F79FB"/>
    <w:rsid w:val="000F7ADA"/>
    <w:rsid w:val="00100854"/>
    <w:rsid w:val="00100A09"/>
    <w:rsid w:val="00100AA3"/>
    <w:rsid w:val="00100B43"/>
    <w:rsid w:val="00101A4E"/>
    <w:rsid w:val="00103716"/>
    <w:rsid w:val="00104086"/>
    <w:rsid w:val="001055D6"/>
    <w:rsid w:val="00107468"/>
    <w:rsid w:val="00107968"/>
    <w:rsid w:val="00107A72"/>
    <w:rsid w:val="00110C63"/>
    <w:rsid w:val="0011139C"/>
    <w:rsid w:val="00111521"/>
    <w:rsid w:val="001116CE"/>
    <w:rsid w:val="00112560"/>
    <w:rsid w:val="00112A67"/>
    <w:rsid w:val="00112F4C"/>
    <w:rsid w:val="00112F5C"/>
    <w:rsid w:val="001132C2"/>
    <w:rsid w:val="0011470B"/>
    <w:rsid w:val="00114BBD"/>
    <w:rsid w:val="00114DD5"/>
    <w:rsid w:val="00114E2A"/>
    <w:rsid w:val="00114FC8"/>
    <w:rsid w:val="00115A48"/>
    <w:rsid w:val="0011685A"/>
    <w:rsid w:val="00116A46"/>
    <w:rsid w:val="00116B03"/>
    <w:rsid w:val="00116EF9"/>
    <w:rsid w:val="001172F6"/>
    <w:rsid w:val="00117846"/>
    <w:rsid w:val="0012015E"/>
    <w:rsid w:val="00121232"/>
    <w:rsid w:val="00121B41"/>
    <w:rsid w:val="00121BB3"/>
    <w:rsid w:val="0012211B"/>
    <w:rsid w:val="0012353C"/>
    <w:rsid w:val="0012447E"/>
    <w:rsid w:val="001249CF"/>
    <w:rsid w:val="00124A6B"/>
    <w:rsid w:val="00125AEF"/>
    <w:rsid w:val="00125F81"/>
    <w:rsid w:val="00126E26"/>
    <w:rsid w:val="0012712C"/>
    <w:rsid w:val="0012743A"/>
    <w:rsid w:val="00127949"/>
    <w:rsid w:val="00127A81"/>
    <w:rsid w:val="00130099"/>
    <w:rsid w:val="00130A6A"/>
    <w:rsid w:val="00130D66"/>
    <w:rsid w:val="001310FF"/>
    <w:rsid w:val="00131643"/>
    <w:rsid w:val="00131995"/>
    <w:rsid w:val="001319F4"/>
    <w:rsid w:val="0013305B"/>
    <w:rsid w:val="0013364E"/>
    <w:rsid w:val="001342CB"/>
    <w:rsid w:val="00134D0B"/>
    <w:rsid w:val="001354B7"/>
    <w:rsid w:val="001357DB"/>
    <w:rsid w:val="00136595"/>
    <w:rsid w:val="001373BD"/>
    <w:rsid w:val="0013756B"/>
    <w:rsid w:val="00137C47"/>
    <w:rsid w:val="00137C82"/>
    <w:rsid w:val="00140834"/>
    <w:rsid w:val="0014092F"/>
    <w:rsid w:val="00141051"/>
    <w:rsid w:val="0014129B"/>
    <w:rsid w:val="00141501"/>
    <w:rsid w:val="001415A2"/>
    <w:rsid w:val="00141682"/>
    <w:rsid w:val="00141CE6"/>
    <w:rsid w:val="00141D51"/>
    <w:rsid w:val="001422FE"/>
    <w:rsid w:val="00142462"/>
    <w:rsid w:val="00142E8D"/>
    <w:rsid w:val="001431D1"/>
    <w:rsid w:val="00143B8B"/>
    <w:rsid w:val="00143E00"/>
    <w:rsid w:val="00144098"/>
    <w:rsid w:val="001441FA"/>
    <w:rsid w:val="0014435B"/>
    <w:rsid w:val="00145634"/>
    <w:rsid w:val="00145BE5"/>
    <w:rsid w:val="00145D5E"/>
    <w:rsid w:val="00145F5E"/>
    <w:rsid w:val="00146B41"/>
    <w:rsid w:val="00147494"/>
    <w:rsid w:val="00147578"/>
    <w:rsid w:val="00150B77"/>
    <w:rsid w:val="00150D6F"/>
    <w:rsid w:val="00150EAD"/>
    <w:rsid w:val="0015139A"/>
    <w:rsid w:val="001520AC"/>
    <w:rsid w:val="0015286C"/>
    <w:rsid w:val="00154364"/>
    <w:rsid w:val="00154A96"/>
    <w:rsid w:val="00154B43"/>
    <w:rsid w:val="0015523C"/>
    <w:rsid w:val="001553A0"/>
    <w:rsid w:val="001558E6"/>
    <w:rsid w:val="00156162"/>
    <w:rsid w:val="00157398"/>
    <w:rsid w:val="0015794A"/>
    <w:rsid w:val="00157C17"/>
    <w:rsid w:val="0016054E"/>
    <w:rsid w:val="00160A08"/>
    <w:rsid w:val="0016146A"/>
    <w:rsid w:val="0016158B"/>
    <w:rsid w:val="0016162F"/>
    <w:rsid w:val="0016190D"/>
    <w:rsid w:val="00161BAC"/>
    <w:rsid w:val="00162A0A"/>
    <w:rsid w:val="00162A0D"/>
    <w:rsid w:val="00163178"/>
    <w:rsid w:val="00164358"/>
    <w:rsid w:val="00164A09"/>
    <w:rsid w:val="00164FD5"/>
    <w:rsid w:val="001655EF"/>
    <w:rsid w:val="00165E42"/>
    <w:rsid w:val="00165E63"/>
    <w:rsid w:val="00166856"/>
    <w:rsid w:val="00166F4F"/>
    <w:rsid w:val="001670A2"/>
    <w:rsid w:val="00167179"/>
    <w:rsid w:val="00167F8B"/>
    <w:rsid w:val="001707B4"/>
    <w:rsid w:val="001708D7"/>
    <w:rsid w:val="00170BCC"/>
    <w:rsid w:val="00170E5B"/>
    <w:rsid w:val="001713AC"/>
    <w:rsid w:val="001719C1"/>
    <w:rsid w:val="00171A6E"/>
    <w:rsid w:val="00171AB3"/>
    <w:rsid w:val="00171E9D"/>
    <w:rsid w:val="001723CF"/>
    <w:rsid w:val="001723E2"/>
    <w:rsid w:val="00172A25"/>
    <w:rsid w:val="00172DC6"/>
    <w:rsid w:val="00172F4D"/>
    <w:rsid w:val="001742CA"/>
    <w:rsid w:val="001743E9"/>
    <w:rsid w:val="001746F7"/>
    <w:rsid w:val="00174879"/>
    <w:rsid w:val="001750A9"/>
    <w:rsid w:val="00175473"/>
    <w:rsid w:val="0017567F"/>
    <w:rsid w:val="001757D5"/>
    <w:rsid w:val="00175B21"/>
    <w:rsid w:val="00175D99"/>
    <w:rsid w:val="00176409"/>
    <w:rsid w:val="00176B7E"/>
    <w:rsid w:val="001770DF"/>
    <w:rsid w:val="001772C9"/>
    <w:rsid w:val="0018167A"/>
    <w:rsid w:val="00181DCF"/>
    <w:rsid w:val="00182318"/>
    <w:rsid w:val="0018235A"/>
    <w:rsid w:val="00182382"/>
    <w:rsid w:val="0018246A"/>
    <w:rsid w:val="00182531"/>
    <w:rsid w:val="00182F6A"/>
    <w:rsid w:val="0018316A"/>
    <w:rsid w:val="0018341E"/>
    <w:rsid w:val="0018503B"/>
    <w:rsid w:val="0018505C"/>
    <w:rsid w:val="001853E7"/>
    <w:rsid w:val="001859C0"/>
    <w:rsid w:val="00185F3E"/>
    <w:rsid w:val="00186170"/>
    <w:rsid w:val="001863FE"/>
    <w:rsid w:val="001865B5"/>
    <w:rsid w:val="0018690B"/>
    <w:rsid w:val="00186B03"/>
    <w:rsid w:val="001871DA"/>
    <w:rsid w:val="001872E7"/>
    <w:rsid w:val="00187AD5"/>
    <w:rsid w:val="00187CBD"/>
    <w:rsid w:val="00187ED2"/>
    <w:rsid w:val="0019028B"/>
    <w:rsid w:val="00190D07"/>
    <w:rsid w:val="00190E87"/>
    <w:rsid w:val="00191B05"/>
    <w:rsid w:val="00191CE0"/>
    <w:rsid w:val="00192034"/>
    <w:rsid w:val="001927FD"/>
    <w:rsid w:val="00192928"/>
    <w:rsid w:val="00193155"/>
    <w:rsid w:val="0019361C"/>
    <w:rsid w:val="001938E5"/>
    <w:rsid w:val="0019392F"/>
    <w:rsid w:val="0019395D"/>
    <w:rsid w:val="0019426F"/>
    <w:rsid w:val="00194B75"/>
    <w:rsid w:val="00194D8E"/>
    <w:rsid w:val="0019504D"/>
    <w:rsid w:val="00197AD3"/>
    <w:rsid w:val="00197B3C"/>
    <w:rsid w:val="00197B9F"/>
    <w:rsid w:val="001A01E8"/>
    <w:rsid w:val="001A07E0"/>
    <w:rsid w:val="001A102C"/>
    <w:rsid w:val="001A1794"/>
    <w:rsid w:val="001A1E9F"/>
    <w:rsid w:val="001A2A5C"/>
    <w:rsid w:val="001A2D3B"/>
    <w:rsid w:val="001A2E58"/>
    <w:rsid w:val="001A4395"/>
    <w:rsid w:val="001A517F"/>
    <w:rsid w:val="001A5B55"/>
    <w:rsid w:val="001A64DD"/>
    <w:rsid w:val="001A674E"/>
    <w:rsid w:val="001A7024"/>
    <w:rsid w:val="001A70B1"/>
    <w:rsid w:val="001A713A"/>
    <w:rsid w:val="001A741C"/>
    <w:rsid w:val="001A764D"/>
    <w:rsid w:val="001B0314"/>
    <w:rsid w:val="001B0480"/>
    <w:rsid w:val="001B0534"/>
    <w:rsid w:val="001B0644"/>
    <w:rsid w:val="001B1086"/>
    <w:rsid w:val="001B15AC"/>
    <w:rsid w:val="001B1EB4"/>
    <w:rsid w:val="001B2101"/>
    <w:rsid w:val="001B23D6"/>
    <w:rsid w:val="001B25CC"/>
    <w:rsid w:val="001B270F"/>
    <w:rsid w:val="001B386C"/>
    <w:rsid w:val="001B38E8"/>
    <w:rsid w:val="001B3ABD"/>
    <w:rsid w:val="001B3BAC"/>
    <w:rsid w:val="001B4080"/>
    <w:rsid w:val="001B4E19"/>
    <w:rsid w:val="001B5124"/>
    <w:rsid w:val="001B7BB2"/>
    <w:rsid w:val="001B7C92"/>
    <w:rsid w:val="001C0174"/>
    <w:rsid w:val="001C02F1"/>
    <w:rsid w:val="001C02F8"/>
    <w:rsid w:val="001C1C80"/>
    <w:rsid w:val="001C25E5"/>
    <w:rsid w:val="001C29EE"/>
    <w:rsid w:val="001C2FDD"/>
    <w:rsid w:val="001C316F"/>
    <w:rsid w:val="001C323A"/>
    <w:rsid w:val="001C45C0"/>
    <w:rsid w:val="001C461E"/>
    <w:rsid w:val="001C4650"/>
    <w:rsid w:val="001C4969"/>
    <w:rsid w:val="001C5516"/>
    <w:rsid w:val="001C5B6B"/>
    <w:rsid w:val="001C6076"/>
    <w:rsid w:val="001C66D2"/>
    <w:rsid w:val="001C7113"/>
    <w:rsid w:val="001C722E"/>
    <w:rsid w:val="001C72DC"/>
    <w:rsid w:val="001C73D8"/>
    <w:rsid w:val="001C74CF"/>
    <w:rsid w:val="001C7BF6"/>
    <w:rsid w:val="001C7D06"/>
    <w:rsid w:val="001C7E1C"/>
    <w:rsid w:val="001D029B"/>
    <w:rsid w:val="001D0577"/>
    <w:rsid w:val="001D09B9"/>
    <w:rsid w:val="001D0C64"/>
    <w:rsid w:val="001D14B2"/>
    <w:rsid w:val="001D1C19"/>
    <w:rsid w:val="001D1F86"/>
    <w:rsid w:val="001D233C"/>
    <w:rsid w:val="001D28C0"/>
    <w:rsid w:val="001D2AFE"/>
    <w:rsid w:val="001D2EB0"/>
    <w:rsid w:val="001D319A"/>
    <w:rsid w:val="001D31AA"/>
    <w:rsid w:val="001D3A51"/>
    <w:rsid w:val="001D46BB"/>
    <w:rsid w:val="001D49FE"/>
    <w:rsid w:val="001D4AD7"/>
    <w:rsid w:val="001D4B8A"/>
    <w:rsid w:val="001D4C2D"/>
    <w:rsid w:val="001D4F03"/>
    <w:rsid w:val="001D5100"/>
    <w:rsid w:val="001D5495"/>
    <w:rsid w:val="001D5A28"/>
    <w:rsid w:val="001D5B27"/>
    <w:rsid w:val="001D5EBA"/>
    <w:rsid w:val="001D5EC7"/>
    <w:rsid w:val="001D6050"/>
    <w:rsid w:val="001D6FAD"/>
    <w:rsid w:val="001D78FC"/>
    <w:rsid w:val="001D7A33"/>
    <w:rsid w:val="001D7DDB"/>
    <w:rsid w:val="001E00EA"/>
    <w:rsid w:val="001E0C30"/>
    <w:rsid w:val="001E1380"/>
    <w:rsid w:val="001E18E0"/>
    <w:rsid w:val="001E197F"/>
    <w:rsid w:val="001E1980"/>
    <w:rsid w:val="001E20EC"/>
    <w:rsid w:val="001E210B"/>
    <w:rsid w:val="001E2703"/>
    <w:rsid w:val="001E2FCB"/>
    <w:rsid w:val="001E304D"/>
    <w:rsid w:val="001E3211"/>
    <w:rsid w:val="001E3606"/>
    <w:rsid w:val="001E38AF"/>
    <w:rsid w:val="001E4142"/>
    <w:rsid w:val="001E43A3"/>
    <w:rsid w:val="001E4798"/>
    <w:rsid w:val="001E4880"/>
    <w:rsid w:val="001E508A"/>
    <w:rsid w:val="001E56EA"/>
    <w:rsid w:val="001E5802"/>
    <w:rsid w:val="001E71EC"/>
    <w:rsid w:val="001E76C9"/>
    <w:rsid w:val="001E7FAF"/>
    <w:rsid w:val="001F0331"/>
    <w:rsid w:val="001F0599"/>
    <w:rsid w:val="001F0E58"/>
    <w:rsid w:val="001F0FA4"/>
    <w:rsid w:val="001F1168"/>
    <w:rsid w:val="001F1283"/>
    <w:rsid w:val="001F1455"/>
    <w:rsid w:val="001F1489"/>
    <w:rsid w:val="001F171D"/>
    <w:rsid w:val="001F1DA2"/>
    <w:rsid w:val="001F1FFD"/>
    <w:rsid w:val="001F2273"/>
    <w:rsid w:val="001F268C"/>
    <w:rsid w:val="001F32C7"/>
    <w:rsid w:val="001F3557"/>
    <w:rsid w:val="001F3B43"/>
    <w:rsid w:val="001F3D44"/>
    <w:rsid w:val="001F3ED0"/>
    <w:rsid w:val="001F456C"/>
    <w:rsid w:val="001F4940"/>
    <w:rsid w:val="001F4D9F"/>
    <w:rsid w:val="001F50C5"/>
    <w:rsid w:val="001F5528"/>
    <w:rsid w:val="001F5BA8"/>
    <w:rsid w:val="001F5E2E"/>
    <w:rsid w:val="001F6416"/>
    <w:rsid w:val="001F6538"/>
    <w:rsid w:val="001F6759"/>
    <w:rsid w:val="001F699C"/>
    <w:rsid w:val="001F7310"/>
    <w:rsid w:val="001F7892"/>
    <w:rsid w:val="00200002"/>
    <w:rsid w:val="00201928"/>
    <w:rsid w:val="00201EDD"/>
    <w:rsid w:val="00202492"/>
    <w:rsid w:val="002024DA"/>
    <w:rsid w:val="00202AFC"/>
    <w:rsid w:val="002039C6"/>
    <w:rsid w:val="00204037"/>
    <w:rsid w:val="00204625"/>
    <w:rsid w:val="002046CF"/>
    <w:rsid w:val="00204CC7"/>
    <w:rsid w:val="0020536C"/>
    <w:rsid w:val="00205DEC"/>
    <w:rsid w:val="00206083"/>
    <w:rsid w:val="00206A17"/>
    <w:rsid w:val="00207066"/>
    <w:rsid w:val="00207677"/>
    <w:rsid w:val="00210365"/>
    <w:rsid w:val="00210516"/>
    <w:rsid w:val="00210625"/>
    <w:rsid w:val="00210923"/>
    <w:rsid w:val="002110F5"/>
    <w:rsid w:val="0021110F"/>
    <w:rsid w:val="0021126D"/>
    <w:rsid w:val="00212039"/>
    <w:rsid w:val="002128BE"/>
    <w:rsid w:val="00212E1C"/>
    <w:rsid w:val="0021319C"/>
    <w:rsid w:val="002137A2"/>
    <w:rsid w:val="00214261"/>
    <w:rsid w:val="002144EA"/>
    <w:rsid w:val="0021478C"/>
    <w:rsid w:val="002153C5"/>
    <w:rsid w:val="00215C7F"/>
    <w:rsid w:val="00215E11"/>
    <w:rsid w:val="00216D6D"/>
    <w:rsid w:val="00217984"/>
    <w:rsid w:val="00217A4B"/>
    <w:rsid w:val="00217BF0"/>
    <w:rsid w:val="00217C5E"/>
    <w:rsid w:val="00220037"/>
    <w:rsid w:val="00220F57"/>
    <w:rsid w:val="0022133D"/>
    <w:rsid w:val="0022139E"/>
    <w:rsid w:val="002221F7"/>
    <w:rsid w:val="002222FC"/>
    <w:rsid w:val="002224AE"/>
    <w:rsid w:val="00223FCC"/>
    <w:rsid w:val="002244A2"/>
    <w:rsid w:val="00224E69"/>
    <w:rsid w:val="0022620B"/>
    <w:rsid w:val="0022624E"/>
    <w:rsid w:val="00227087"/>
    <w:rsid w:val="00227BAB"/>
    <w:rsid w:val="00230214"/>
    <w:rsid w:val="0023034F"/>
    <w:rsid w:val="002308F3"/>
    <w:rsid w:val="00230ED1"/>
    <w:rsid w:val="00230EF1"/>
    <w:rsid w:val="0023136A"/>
    <w:rsid w:val="0023172E"/>
    <w:rsid w:val="00231C8A"/>
    <w:rsid w:val="00231FBC"/>
    <w:rsid w:val="00232206"/>
    <w:rsid w:val="0023275E"/>
    <w:rsid w:val="002338D4"/>
    <w:rsid w:val="00234966"/>
    <w:rsid w:val="00235B5A"/>
    <w:rsid w:val="00235D1A"/>
    <w:rsid w:val="00235EAB"/>
    <w:rsid w:val="0023656C"/>
    <w:rsid w:val="00236E8A"/>
    <w:rsid w:val="00236F1F"/>
    <w:rsid w:val="00237284"/>
    <w:rsid w:val="002404B1"/>
    <w:rsid w:val="002407F7"/>
    <w:rsid w:val="0024092A"/>
    <w:rsid w:val="00241063"/>
    <w:rsid w:val="00241CBD"/>
    <w:rsid w:val="00242024"/>
    <w:rsid w:val="002422CF"/>
    <w:rsid w:val="002432B1"/>
    <w:rsid w:val="00243B23"/>
    <w:rsid w:val="0024417B"/>
    <w:rsid w:val="0024461E"/>
    <w:rsid w:val="00244731"/>
    <w:rsid w:val="002451DB"/>
    <w:rsid w:val="00245787"/>
    <w:rsid w:val="0024587D"/>
    <w:rsid w:val="002459B5"/>
    <w:rsid w:val="00245B17"/>
    <w:rsid w:val="00245D50"/>
    <w:rsid w:val="00246261"/>
    <w:rsid w:val="00246EDA"/>
    <w:rsid w:val="00247688"/>
    <w:rsid w:val="00250273"/>
    <w:rsid w:val="00250692"/>
    <w:rsid w:val="002506B9"/>
    <w:rsid w:val="0025089D"/>
    <w:rsid w:val="00250E84"/>
    <w:rsid w:val="00250E8E"/>
    <w:rsid w:val="0025151B"/>
    <w:rsid w:val="00251E36"/>
    <w:rsid w:val="00252CF6"/>
    <w:rsid w:val="00253884"/>
    <w:rsid w:val="00254414"/>
    <w:rsid w:val="002549EF"/>
    <w:rsid w:val="0025532C"/>
    <w:rsid w:val="002553C4"/>
    <w:rsid w:val="0025604E"/>
    <w:rsid w:val="00256285"/>
    <w:rsid w:val="002564BC"/>
    <w:rsid w:val="002565EB"/>
    <w:rsid w:val="00256ED8"/>
    <w:rsid w:val="002570AD"/>
    <w:rsid w:val="00257227"/>
    <w:rsid w:val="00257622"/>
    <w:rsid w:val="002600DF"/>
    <w:rsid w:val="00261184"/>
    <w:rsid w:val="00262358"/>
    <w:rsid w:val="0026256D"/>
    <w:rsid w:val="002636E7"/>
    <w:rsid w:val="00263AEC"/>
    <w:rsid w:val="002641AD"/>
    <w:rsid w:val="002649EE"/>
    <w:rsid w:val="00264BFC"/>
    <w:rsid w:val="0026531C"/>
    <w:rsid w:val="002654B9"/>
    <w:rsid w:val="00265B92"/>
    <w:rsid w:val="00265CA4"/>
    <w:rsid w:val="00265F3E"/>
    <w:rsid w:val="00266DD9"/>
    <w:rsid w:val="0026768E"/>
    <w:rsid w:val="00267901"/>
    <w:rsid w:val="00267D44"/>
    <w:rsid w:val="00267D7A"/>
    <w:rsid w:val="00270843"/>
    <w:rsid w:val="00270F79"/>
    <w:rsid w:val="002710A7"/>
    <w:rsid w:val="0027174D"/>
    <w:rsid w:val="00271ABA"/>
    <w:rsid w:val="002721C3"/>
    <w:rsid w:val="002722EA"/>
    <w:rsid w:val="00272FF4"/>
    <w:rsid w:val="00273298"/>
    <w:rsid w:val="002735FE"/>
    <w:rsid w:val="0027370D"/>
    <w:rsid w:val="00273BD7"/>
    <w:rsid w:val="00273E76"/>
    <w:rsid w:val="002741E8"/>
    <w:rsid w:val="0027456E"/>
    <w:rsid w:val="00274726"/>
    <w:rsid w:val="002749CB"/>
    <w:rsid w:val="00275336"/>
    <w:rsid w:val="00275369"/>
    <w:rsid w:val="00275C43"/>
    <w:rsid w:val="00275C60"/>
    <w:rsid w:val="00275D66"/>
    <w:rsid w:val="00275ECB"/>
    <w:rsid w:val="002760CB"/>
    <w:rsid w:val="002777DD"/>
    <w:rsid w:val="00277846"/>
    <w:rsid w:val="00277C96"/>
    <w:rsid w:val="002805DC"/>
    <w:rsid w:val="002810C9"/>
    <w:rsid w:val="00281D4D"/>
    <w:rsid w:val="00281E20"/>
    <w:rsid w:val="00281F04"/>
    <w:rsid w:val="00282885"/>
    <w:rsid w:val="00283C1B"/>
    <w:rsid w:val="002846C5"/>
    <w:rsid w:val="00284A9F"/>
    <w:rsid w:val="00284E70"/>
    <w:rsid w:val="00285376"/>
    <w:rsid w:val="002853E8"/>
    <w:rsid w:val="00285481"/>
    <w:rsid w:val="00285607"/>
    <w:rsid w:val="00286258"/>
    <w:rsid w:val="0028659E"/>
    <w:rsid w:val="00286DE6"/>
    <w:rsid w:val="00287BB0"/>
    <w:rsid w:val="00290111"/>
    <w:rsid w:val="00290A43"/>
    <w:rsid w:val="00291395"/>
    <w:rsid w:val="00291D97"/>
    <w:rsid w:val="00291F7D"/>
    <w:rsid w:val="002921DB"/>
    <w:rsid w:val="00292304"/>
    <w:rsid w:val="0029325D"/>
    <w:rsid w:val="002936B4"/>
    <w:rsid w:val="002938EC"/>
    <w:rsid w:val="00294391"/>
    <w:rsid w:val="00295880"/>
    <w:rsid w:val="002959BA"/>
    <w:rsid w:val="00296019"/>
    <w:rsid w:val="002965A5"/>
    <w:rsid w:val="002969ED"/>
    <w:rsid w:val="00296FF5"/>
    <w:rsid w:val="00297114"/>
    <w:rsid w:val="00297373"/>
    <w:rsid w:val="002978F5"/>
    <w:rsid w:val="0029794B"/>
    <w:rsid w:val="00297DA8"/>
    <w:rsid w:val="002A0898"/>
    <w:rsid w:val="002A08CE"/>
    <w:rsid w:val="002A0B09"/>
    <w:rsid w:val="002A0CC8"/>
    <w:rsid w:val="002A0DE2"/>
    <w:rsid w:val="002A176F"/>
    <w:rsid w:val="002A1BCC"/>
    <w:rsid w:val="002A24F1"/>
    <w:rsid w:val="002A2526"/>
    <w:rsid w:val="002A2900"/>
    <w:rsid w:val="002A3975"/>
    <w:rsid w:val="002A3FA6"/>
    <w:rsid w:val="002A4820"/>
    <w:rsid w:val="002A49EE"/>
    <w:rsid w:val="002A575F"/>
    <w:rsid w:val="002A58DB"/>
    <w:rsid w:val="002A59FD"/>
    <w:rsid w:val="002A5DE6"/>
    <w:rsid w:val="002A5FC5"/>
    <w:rsid w:val="002A60BD"/>
    <w:rsid w:val="002A6AB5"/>
    <w:rsid w:val="002A6B8D"/>
    <w:rsid w:val="002A6E3C"/>
    <w:rsid w:val="002A727A"/>
    <w:rsid w:val="002A76A2"/>
    <w:rsid w:val="002A7E56"/>
    <w:rsid w:val="002B01DB"/>
    <w:rsid w:val="002B0559"/>
    <w:rsid w:val="002B0638"/>
    <w:rsid w:val="002B0920"/>
    <w:rsid w:val="002B096B"/>
    <w:rsid w:val="002B0B50"/>
    <w:rsid w:val="002B0F02"/>
    <w:rsid w:val="002B1073"/>
    <w:rsid w:val="002B1497"/>
    <w:rsid w:val="002B15D8"/>
    <w:rsid w:val="002B1643"/>
    <w:rsid w:val="002B18FC"/>
    <w:rsid w:val="002B1D59"/>
    <w:rsid w:val="002B1E8E"/>
    <w:rsid w:val="002B1F6A"/>
    <w:rsid w:val="002B281F"/>
    <w:rsid w:val="002B3565"/>
    <w:rsid w:val="002B365B"/>
    <w:rsid w:val="002B36C5"/>
    <w:rsid w:val="002B37B1"/>
    <w:rsid w:val="002B3884"/>
    <w:rsid w:val="002B38C4"/>
    <w:rsid w:val="002B4436"/>
    <w:rsid w:val="002B4ACA"/>
    <w:rsid w:val="002B4DD9"/>
    <w:rsid w:val="002B4F1A"/>
    <w:rsid w:val="002B52FC"/>
    <w:rsid w:val="002B5793"/>
    <w:rsid w:val="002B6725"/>
    <w:rsid w:val="002B6B30"/>
    <w:rsid w:val="002B7B43"/>
    <w:rsid w:val="002C0A64"/>
    <w:rsid w:val="002C0B90"/>
    <w:rsid w:val="002C159F"/>
    <w:rsid w:val="002C189A"/>
    <w:rsid w:val="002C1AE0"/>
    <w:rsid w:val="002C1EC8"/>
    <w:rsid w:val="002C22CA"/>
    <w:rsid w:val="002C2433"/>
    <w:rsid w:val="002C24FB"/>
    <w:rsid w:val="002C35B4"/>
    <w:rsid w:val="002C45A8"/>
    <w:rsid w:val="002C47CA"/>
    <w:rsid w:val="002C4DF1"/>
    <w:rsid w:val="002C50FD"/>
    <w:rsid w:val="002C5DE9"/>
    <w:rsid w:val="002C6840"/>
    <w:rsid w:val="002C7E21"/>
    <w:rsid w:val="002D03F3"/>
    <w:rsid w:val="002D0AF7"/>
    <w:rsid w:val="002D10F3"/>
    <w:rsid w:val="002D1EA6"/>
    <w:rsid w:val="002D284A"/>
    <w:rsid w:val="002D286B"/>
    <w:rsid w:val="002D2D6F"/>
    <w:rsid w:val="002D2EB0"/>
    <w:rsid w:val="002D3691"/>
    <w:rsid w:val="002D3977"/>
    <w:rsid w:val="002D3C9E"/>
    <w:rsid w:val="002D3D50"/>
    <w:rsid w:val="002D4109"/>
    <w:rsid w:val="002D4783"/>
    <w:rsid w:val="002D5842"/>
    <w:rsid w:val="002D59D9"/>
    <w:rsid w:val="002D613A"/>
    <w:rsid w:val="002D69A6"/>
    <w:rsid w:val="002D6A8C"/>
    <w:rsid w:val="002D6C1E"/>
    <w:rsid w:val="002D7620"/>
    <w:rsid w:val="002E0179"/>
    <w:rsid w:val="002E0778"/>
    <w:rsid w:val="002E1495"/>
    <w:rsid w:val="002E169D"/>
    <w:rsid w:val="002E2EB3"/>
    <w:rsid w:val="002E4CEA"/>
    <w:rsid w:val="002E58B7"/>
    <w:rsid w:val="002E5A92"/>
    <w:rsid w:val="002E5D2B"/>
    <w:rsid w:val="002E5E4B"/>
    <w:rsid w:val="002E648E"/>
    <w:rsid w:val="002E668F"/>
    <w:rsid w:val="002E6CC2"/>
    <w:rsid w:val="002E6F77"/>
    <w:rsid w:val="002E71DF"/>
    <w:rsid w:val="002E7363"/>
    <w:rsid w:val="002E7DD3"/>
    <w:rsid w:val="002E7F39"/>
    <w:rsid w:val="002F0C65"/>
    <w:rsid w:val="002F0C86"/>
    <w:rsid w:val="002F0D7E"/>
    <w:rsid w:val="002F10DC"/>
    <w:rsid w:val="002F1184"/>
    <w:rsid w:val="002F1546"/>
    <w:rsid w:val="002F15F9"/>
    <w:rsid w:val="002F1CF3"/>
    <w:rsid w:val="002F23FE"/>
    <w:rsid w:val="002F255B"/>
    <w:rsid w:val="002F2DB4"/>
    <w:rsid w:val="002F3EFC"/>
    <w:rsid w:val="002F3F58"/>
    <w:rsid w:val="002F3FBC"/>
    <w:rsid w:val="002F4364"/>
    <w:rsid w:val="002F4625"/>
    <w:rsid w:val="002F4630"/>
    <w:rsid w:val="002F54F2"/>
    <w:rsid w:val="002F59BA"/>
    <w:rsid w:val="002F59E3"/>
    <w:rsid w:val="002F624B"/>
    <w:rsid w:val="002F6471"/>
    <w:rsid w:val="002F6A75"/>
    <w:rsid w:val="002F6E4C"/>
    <w:rsid w:val="002F7EF4"/>
    <w:rsid w:val="00300127"/>
    <w:rsid w:val="00300D15"/>
    <w:rsid w:val="00301210"/>
    <w:rsid w:val="003016FA"/>
    <w:rsid w:val="00301A56"/>
    <w:rsid w:val="00302055"/>
    <w:rsid w:val="0030240F"/>
    <w:rsid w:val="003028BF"/>
    <w:rsid w:val="0030308F"/>
    <w:rsid w:val="00303CBB"/>
    <w:rsid w:val="003046F9"/>
    <w:rsid w:val="00304C2A"/>
    <w:rsid w:val="003051BA"/>
    <w:rsid w:val="00305818"/>
    <w:rsid w:val="00305A48"/>
    <w:rsid w:val="003064EF"/>
    <w:rsid w:val="003066D2"/>
    <w:rsid w:val="003068B5"/>
    <w:rsid w:val="00306D17"/>
    <w:rsid w:val="00306D25"/>
    <w:rsid w:val="00306F9E"/>
    <w:rsid w:val="00306FAF"/>
    <w:rsid w:val="00307264"/>
    <w:rsid w:val="00307468"/>
    <w:rsid w:val="0030748C"/>
    <w:rsid w:val="00307924"/>
    <w:rsid w:val="00307B64"/>
    <w:rsid w:val="0031051F"/>
    <w:rsid w:val="00310B99"/>
    <w:rsid w:val="00310D60"/>
    <w:rsid w:val="00310E81"/>
    <w:rsid w:val="003110C8"/>
    <w:rsid w:val="003115D5"/>
    <w:rsid w:val="00311CB1"/>
    <w:rsid w:val="003125B9"/>
    <w:rsid w:val="00313B86"/>
    <w:rsid w:val="00314017"/>
    <w:rsid w:val="003145CD"/>
    <w:rsid w:val="003149CC"/>
    <w:rsid w:val="00315A73"/>
    <w:rsid w:val="00316033"/>
    <w:rsid w:val="00316245"/>
    <w:rsid w:val="00316310"/>
    <w:rsid w:val="0031642A"/>
    <w:rsid w:val="003166B0"/>
    <w:rsid w:val="00316C64"/>
    <w:rsid w:val="00316E64"/>
    <w:rsid w:val="00316FB7"/>
    <w:rsid w:val="0031702C"/>
    <w:rsid w:val="00317DE2"/>
    <w:rsid w:val="00320129"/>
    <w:rsid w:val="003204FA"/>
    <w:rsid w:val="00320F6F"/>
    <w:rsid w:val="0032133D"/>
    <w:rsid w:val="00321C39"/>
    <w:rsid w:val="0032204D"/>
    <w:rsid w:val="003226EF"/>
    <w:rsid w:val="00322A90"/>
    <w:rsid w:val="00322F94"/>
    <w:rsid w:val="00323882"/>
    <w:rsid w:val="00324EE5"/>
    <w:rsid w:val="0032550E"/>
    <w:rsid w:val="0032617F"/>
    <w:rsid w:val="00326984"/>
    <w:rsid w:val="00326CCF"/>
    <w:rsid w:val="00327A3A"/>
    <w:rsid w:val="00327D01"/>
    <w:rsid w:val="00330481"/>
    <w:rsid w:val="00330BE8"/>
    <w:rsid w:val="00331618"/>
    <w:rsid w:val="003316EF"/>
    <w:rsid w:val="0033224D"/>
    <w:rsid w:val="0033286B"/>
    <w:rsid w:val="00332C9E"/>
    <w:rsid w:val="00332FCA"/>
    <w:rsid w:val="00333106"/>
    <w:rsid w:val="00333E24"/>
    <w:rsid w:val="0033401D"/>
    <w:rsid w:val="00334E55"/>
    <w:rsid w:val="00335879"/>
    <w:rsid w:val="003358FA"/>
    <w:rsid w:val="00335ACA"/>
    <w:rsid w:val="00336200"/>
    <w:rsid w:val="003379C5"/>
    <w:rsid w:val="00337D05"/>
    <w:rsid w:val="0034082E"/>
    <w:rsid w:val="00340C0D"/>
    <w:rsid w:val="00341011"/>
    <w:rsid w:val="00341086"/>
    <w:rsid w:val="003411CF"/>
    <w:rsid w:val="00341335"/>
    <w:rsid w:val="00341A45"/>
    <w:rsid w:val="00342462"/>
    <w:rsid w:val="00342E62"/>
    <w:rsid w:val="00343045"/>
    <w:rsid w:val="003430A9"/>
    <w:rsid w:val="00343145"/>
    <w:rsid w:val="003437EF"/>
    <w:rsid w:val="003441B3"/>
    <w:rsid w:val="00344F22"/>
    <w:rsid w:val="00345271"/>
    <w:rsid w:val="00346875"/>
    <w:rsid w:val="00346C95"/>
    <w:rsid w:val="00347418"/>
    <w:rsid w:val="0034763D"/>
    <w:rsid w:val="00347735"/>
    <w:rsid w:val="0034794D"/>
    <w:rsid w:val="0034798D"/>
    <w:rsid w:val="00347B6E"/>
    <w:rsid w:val="00350BCD"/>
    <w:rsid w:val="00350CD1"/>
    <w:rsid w:val="00351680"/>
    <w:rsid w:val="00351C65"/>
    <w:rsid w:val="00351E87"/>
    <w:rsid w:val="00351F7F"/>
    <w:rsid w:val="00352104"/>
    <w:rsid w:val="00352763"/>
    <w:rsid w:val="003527AA"/>
    <w:rsid w:val="003533C9"/>
    <w:rsid w:val="00353881"/>
    <w:rsid w:val="00353AA7"/>
    <w:rsid w:val="00353B42"/>
    <w:rsid w:val="0035697F"/>
    <w:rsid w:val="00356B18"/>
    <w:rsid w:val="00356B1A"/>
    <w:rsid w:val="00356BAD"/>
    <w:rsid w:val="00360218"/>
    <w:rsid w:val="0036029D"/>
    <w:rsid w:val="00360763"/>
    <w:rsid w:val="003609B3"/>
    <w:rsid w:val="00360A17"/>
    <w:rsid w:val="003616FD"/>
    <w:rsid w:val="00361FD7"/>
    <w:rsid w:val="003623BC"/>
    <w:rsid w:val="0036263D"/>
    <w:rsid w:val="003626D0"/>
    <w:rsid w:val="00362E33"/>
    <w:rsid w:val="00363328"/>
    <w:rsid w:val="003636FF"/>
    <w:rsid w:val="003640F1"/>
    <w:rsid w:val="00364382"/>
    <w:rsid w:val="00364A7B"/>
    <w:rsid w:val="00366039"/>
    <w:rsid w:val="00366146"/>
    <w:rsid w:val="00366620"/>
    <w:rsid w:val="0036692C"/>
    <w:rsid w:val="00366E84"/>
    <w:rsid w:val="00366E8A"/>
    <w:rsid w:val="0036739B"/>
    <w:rsid w:val="00370444"/>
    <w:rsid w:val="0037070E"/>
    <w:rsid w:val="00370929"/>
    <w:rsid w:val="003718D7"/>
    <w:rsid w:val="00371FB3"/>
    <w:rsid w:val="003720C2"/>
    <w:rsid w:val="003734C7"/>
    <w:rsid w:val="00373896"/>
    <w:rsid w:val="00373C52"/>
    <w:rsid w:val="00373E55"/>
    <w:rsid w:val="00374470"/>
    <w:rsid w:val="00375984"/>
    <w:rsid w:val="00375A51"/>
    <w:rsid w:val="003770D7"/>
    <w:rsid w:val="00377C39"/>
    <w:rsid w:val="00377E29"/>
    <w:rsid w:val="00377FB5"/>
    <w:rsid w:val="003801D1"/>
    <w:rsid w:val="003801F5"/>
    <w:rsid w:val="003815CA"/>
    <w:rsid w:val="00382817"/>
    <w:rsid w:val="00382950"/>
    <w:rsid w:val="00383563"/>
    <w:rsid w:val="0038356A"/>
    <w:rsid w:val="003838AE"/>
    <w:rsid w:val="00384131"/>
    <w:rsid w:val="0038480C"/>
    <w:rsid w:val="00386599"/>
    <w:rsid w:val="00386A71"/>
    <w:rsid w:val="00386B17"/>
    <w:rsid w:val="0038720A"/>
    <w:rsid w:val="003875B0"/>
    <w:rsid w:val="00387710"/>
    <w:rsid w:val="00387AC5"/>
    <w:rsid w:val="00387DE0"/>
    <w:rsid w:val="003900CB"/>
    <w:rsid w:val="003904A4"/>
    <w:rsid w:val="003907DE"/>
    <w:rsid w:val="00390AF8"/>
    <w:rsid w:val="00390D87"/>
    <w:rsid w:val="00391358"/>
    <w:rsid w:val="003918DC"/>
    <w:rsid w:val="00391A9A"/>
    <w:rsid w:val="00391C21"/>
    <w:rsid w:val="00391DDA"/>
    <w:rsid w:val="00392113"/>
    <w:rsid w:val="00392281"/>
    <w:rsid w:val="00392846"/>
    <w:rsid w:val="00392B28"/>
    <w:rsid w:val="0039302D"/>
    <w:rsid w:val="00393450"/>
    <w:rsid w:val="00393591"/>
    <w:rsid w:val="00393B09"/>
    <w:rsid w:val="00393F95"/>
    <w:rsid w:val="003947D4"/>
    <w:rsid w:val="00394BE0"/>
    <w:rsid w:val="00394BFB"/>
    <w:rsid w:val="0039528C"/>
    <w:rsid w:val="00395B72"/>
    <w:rsid w:val="00396326"/>
    <w:rsid w:val="0039771D"/>
    <w:rsid w:val="00397B3B"/>
    <w:rsid w:val="003A0018"/>
    <w:rsid w:val="003A0893"/>
    <w:rsid w:val="003A0992"/>
    <w:rsid w:val="003A15EB"/>
    <w:rsid w:val="003A18A2"/>
    <w:rsid w:val="003A23CF"/>
    <w:rsid w:val="003A2EF6"/>
    <w:rsid w:val="003A3DAB"/>
    <w:rsid w:val="003A3DEF"/>
    <w:rsid w:val="003A43C0"/>
    <w:rsid w:val="003A43C8"/>
    <w:rsid w:val="003A474E"/>
    <w:rsid w:val="003A5062"/>
    <w:rsid w:val="003A57D0"/>
    <w:rsid w:val="003A5BF7"/>
    <w:rsid w:val="003A5F4C"/>
    <w:rsid w:val="003A6802"/>
    <w:rsid w:val="003A68F5"/>
    <w:rsid w:val="003B0480"/>
    <w:rsid w:val="003B0609"/>
    <w:rsid w:val="003B09BF"/>
    <w:rsid w:val="003B0BCB"/>
    <w:rsid w:val="003B0CC4"/>
    <w:rsid w:val="003B12B4"/>
    <w:rsid w:val="003B1CE3"/>
    <w:rsid w:val="003B1D40"/>
    <w:rsid w:val="003B216F"/>
    <w:rsid w:val="003B2B1F"/>
    <w:rsid w:val="003B391B"/>
    <w:rsid w:val="003B3BD5"/>
    <w:rsid w:val="003B4204"/>
    <w:rsid w:val="003B4798"/>
    <w:rsid w:val="003B50E2"/>
    <w:rsid w:val="003B5E24"/>
    <w:rsid w:val="003B64EF"/>
    <w:rsid w:val="003B673D"/>
    <w:rsid w:val="003B68D0"/>
    <w:rsid w:val="003B73D1"/>
    <w:rsid w:val="003B77F4"/>
    <w:rsid w:val="003C049D"/>
    <w:rsid w:val="003C0538"/>
    <w:rsid w:val="003C0715"/>
    <w:rsid w:val="003C0875"/>
    <w:rsid w:val="003C09AB"/>
    <w:rsid w:val="003C0ADD"/>
    <w:rsid w:val="003C0C97"/>
    <w:rsid w:val="003C0E2C"/>
    <w:rsid w:val="003C11B3"/>
    <w:rsid w:val="003C1F97"/>
    <w:rsid w:val="003C2631"/>
    <w:rsid w:val="003C2A00"/>
    <w:rsid w:val="003C2BB2"/>
    <w:rsid w:val="003C2CDC"/>
    <w:rsid w:val="003C2DA2"/>
    <w:rsid w:val="003C2EA4"/>
    <w:rsid w:val="003C3589"/>
    <w:rsid w:val="003C3C36"/>
    <w:rsid w:val="003C3E25"/>
    <w:rsid w:val="003C40F5"/>
    <w:rsid w:val="003C4C10"/>
    <w:rsid w:val="003C4C49"/>
    <w:rsid w:val="003C4E45"/>
    <w:rsid w:val="003C4E9E"/>
    <w:rsid w:val="003C60CF"/>
    <w:rsid w:val="003C63D0"/>
    <w:rsid w:val="003C6B9B"/>
    <w:rsid w:val="003C70FD"/>
    <w:rsid w:val="003D0C92"/>
    <w:rsid w:val="003D0D0C"/>
    <w:rsid w:val="003D15F1"/>
    <w:rsid w:val="003D1855"/>
    <w:rsid w:val="003D1D30"/>
    <w:rsid w:val="003D2502"/>
    <w:rsid w:val="003D28DD"/>
    <w:rsid w:val="003D34F4"/>
    <w:rsid w:val="003D3728"/>
    <w:rsid w:val="003D396E"/>
    <w:rsid w:val="003D3C58"/>
    <w:rsid w:val="003D3F27"/>
    <w:rsid w:val="003D3F6A"/>
    <w:rsid w:val="003D5633"/>
    <w:rsid w:val="003D5B12"/>
    <w:rsid w:val="003D5BE8"/>
    <w:rsid w:val="003D5F72"/>
    <w:rsid w:val="003D6245"/>
    <w:rsid w:val="003D69C9"/>
    <w:rsid w:val="003D6D51"/>
    <w:rsid w:val="003D6DF1"/>
    <w:rsid w:val="003D6F7E"/>
    <w:rsid w:val="003D7D9A"/>
    <w:rsid w:val="003D7E9C"/>
    <w:rsid w:val="003E0FE7"/>
    <w:rsid w:val="003E1400"/>
    <w:rsid w:val="003E1423"/>
    <w:rsid w:val="003E153A"/>
    <w:rsid w:val="003E1747"/>
    <w:rsid w:val="003E1D92"/>
    <w:rsid w:val="003E1F3E"/>
    <w:rsid w:val="003E23ED"/>
    <w:rsid w:val="003E271F"/>
    <w:rsid w:val="003E28A9"/>
    <w:rsid w:val="003E2BCA"/>
    <w:rsid w:val="003E2D84"/>
    <w:rsid w:val="003E3031"/>
    <w:rsid w:val="003E375C"/>
    <w:rsid w:val="003E3985"/>
    <w:rsid w:val="003E4204"/>
    <w:rsid w:val="003E47A4"/>
    <w:rsid w:val="003E4B2A"/>
    <w:rsid w:val="003E4F0C"/>
    <w:rsid w:val="003E55B2"/>
    <w:rsid w:val="003E766B"/>
    <w:rsid w:val="003E7A6A"/>
    <w:rsid w:val="003E7B82"/>
    <w:rsid w:val="003E7E37"/>
    <w:rsid w:val="003F0B46"/>
    <w:rsid w:val="003F1424"/>
    <w:rsid w:val="003F157D"/>
    <w:rsid w:val="003F1A9E"/>
    <w:rsid w:val="003F26FE"/>
    <w:rsid w:val="003F2A0C"/>
    <w:rsid w:val="003F34CF"/>
    <w:rsid w:val="003F3672"/>
    <w:rsid w:val="003F3815"/>
    <w:rsid w:val="003F3E62"/>
    <w:rsid w:val="003F4002"/>
    <w:rsid w:val="003F4681"/>
    <w:rsid w:val="003F4F89"/>
    <w:rsid w:val="003F53CB"/>
    <w:rsid w:val="003F5BC2"/>
    <w:rsid w:val="003F68F5"/>
    <w:rsid w:val="003F69EA"/>
    <w:rsid w:val="003F6CB6"/>
    <w:rsid w:val="003F6E3D"/>
    <w:rsid w:val="003F73C0"/>
    <w:rsid w:val="003F76DF"/>
    <w:rsid w:val="003F791D"/>
    <w:rsid w:val="003F7ACD"/>
    <w:rsid w:val="003F7D47"/>
    <w:rsid w:val="003F7E00"/>
    <w:rsid w:val="003F7FF9"/>
    <w:rsid w:val="00400017"/>
    <w:rsid w:val="0040022E"/>
    <w:rsid w:val="004002A2"/>
    <w:rsid w:val="00400C03"/>
    <w:rsid w:val="00400CEB"/>
    <w:rsid w:val="0040175A"/>
    <w:rsid w:val="0040184B"/>
    <w:rsid w:val="00402028"/>
    <w:rsid w:val="004026D0"/>
    <w:rsid w:val="004028B9"/>
    <w:rsid w:val="00402A00"/>
    <w:rsid w:val="0040366B"/>
    <w:rsid w:val="00403DB4"/>
    <w:rsid w:val="0040409C"/>
    <w:rsid w:val="0040412C"/>
    <w:rsid w:val="004041D7"/>
    <w:rsid w:val="0040481A"/>
    <w:rsid w:val="0040491A"/>
    <w:rsid w:val="00404C51"/>
    <w:rsid w:val="004053DA"/>
    <w:rsid w:val="00405778"/>
    <w:rsid w:val="00405FA5"/>
    <w:rsid w:val="004061A6"/>
    <w:rsid w:val="00406498"/>
    <w:rsid w:val="00406688"/>
    <w:rsid w:val="00406882"/>
    <w:rsid w:val="004073D6"/>
    <w:rsid w:val="00407462"/>
    <w:rsid w:val="004077C4"/>
    <w:rsid w:val="00407966"/>
    <w:rsid w:val="004079DF"/>
    <w:rsid w:val="00410298"/>
    <w:rsid w:val="0041031B"/>
    <w:rsid w:val="004108AE"/>
    <w:rsid w:val="0041151A"/>
    <w:rsid w:val="00411E3F"/>
    <w:rsid w:val="00411F45"/>
    <w:rsid w:val="00411FE5"/>
    <w:rsid w:val="004127B1"/>
    <w:rsid w:val="00412AA2"/>
    <w:rsid w:val="0041360D"/>
    <w:rsid w:val="004137A3"/>
    <w:rsid w:val="004137C0"/>
    <w:rsid w:val="00413A3F"/>
    <w:rsid w:val="00413AB6"/>
    <w:rsid w:val="00413EDE"/>
    <w:rsid w:val="00414479"/>
    <w:rsid w:val="00414B95"/>
    <w:rsid w:val="004155EB"/>
    <w:rsid w:val="004158EC"/>
    <w:rsid w:val="0041601F"/>
    <w:rsid w:val="004165AA"/>
    <w:rsid w:val="00417199"/>
    <w:rsid w:val="00417238"/>
    <w:rsid w:val="00417D8D"/>
    <w:rsid w:val="00417EFE"/>
    <w:rsid w:val="00420223"/>
    <w:rsid w:val="00421023"/>
    <w:rsid w:val="0042132B"/>
    <w:rsid w:val="004221CE"/>
    <w:rsid w:val="00422923"/>
    <w:rsid w:val="00423865"/>
    <w:rsid w:val="00423A67"/>
    <w:rsid w:val="00423D42"/>
    <w:rsid w:val="00424726"/>
    <w:rsid w:val="00425B81"/>
    <w:rsid w:val="00425D7B"/>
    <w:rsid w:val="00425F05"/>
    <w:rsid w:val="00426FB3"/>
    <w:rsid w:val="004277F6"/>
    <w:rsid w:val="00427A7A"/>
    <w:rsid w:val="00427E1A"/>
    <w:rsid w:val="00427EC1"/>
    <w:rsid w:val="00430388"/>
    <w:rsid w:val="00430573"/>
    <w:rsid w:val="00430611"/>
    <w:rsid w:val="004311CA"/>
    <w:rsid w:val="00431410"/>
    <w:rsid w:val="004315F0"/>
    <w:rsid w:val="00431AC6"/>
    <w:rsid w:val="00431EEF"/>
    <w:rsid w:val="0043222D"/>
    <w:rsid w:val="00432532"/>
    <w:rsid w:val="004325EC"/>
    <w:rsid w:val="00432967"/>
    <w:rsid w:val="00432AC9"/>
    <w:rsid w:val="00432DB0"/>
    <w:rsid w:val="00432DF3"/>
    <w:rsid w:val="00433209"/>
    <w:rsid w:val="004336E9"/>
    <w:rsid w:val="00434210"/>
    <w:rsid w:val="004344EE"/>
    <w:rsid w:val="004345A2"/>
    <w:rsid w:val="00434A4D"/>
    <w:rsid w:val="00434B08"/>
    <w:rsid w:val="00434C68"/>
    <w:rsid w:val="00435722"/>
    <w:rsid w:val="00435783"/>
    <w:rsid w:val="004364D6"/>
    <w:rsid w:val="004366E4"/>
    <w:rsid w:val="00437562"/>
    <w:rsid w:val="00437CAF"/>
    <w:rsid w:val="0044068C"/>
    <w:rsid w:val="004408CE"/>
    <w:rsid w:val="00440B96"/>
    <w:rsid w:val="00440F78"/>
    <w:rsid w:val="004411DB"/>
    <w:rsid w:val="004417C9"/>
    <w:rsid w:val="004417E9"/>
    <w:rsid w:val="00441911"/>
    <w:rsid w:val="00441917"/>
    <w:rsid w:val="00441B31"/>
    <w:rsid w:val="00441E01"/>
    <w:rsid w:val="004426DE"/>
    <w:rsid w:val="00442B9A"/>
    <w:rsid w:val="004431EE"/>
    <w:rsid w:val="004436DE"/>
    <w:rsid w:val="00443967"/>
    <w:rsid w:val="004443BC"/>
    <w:rsid w:val="00445A5B"/>
    <w:rsid w:val="00445B11"/>
    <w:rsid w:val="004465EE"/>
    <w:rsid w:val="00446901"/>
    <w:rsid w:val="00446FB0"/>
    <w:rsid w:val="004478B8"/>
    <w:rsid w:val="00447B59"/>
    <w:rsid w:val="00447F2B"/>
    <w:rsid w:val="0045014C"/>
    <w:rsid w:val="0045078A"/>
    <w:rsid w:val="004508C2"/>
    <w:rsid w:val="00450B23"/>
    <w:rsid w:val="00450B63"/>
    <w:rsid w:val="00450C8F"/>
    <w:rsid w:val="00450E08"/>
    <w:rsid w:val="00451504"/>
    <w:rsid w:val="004519B2"/>
    <w:rsid w:val="00451B5B"/>
    <w:rsid w:val="004521C1"/>
    <w:rsid w:val="004526DF"/>
    <w:rsid w:val="00452A08"/>
    <w:rsid w:val="00452C39"/>
    <w:rsid w:val="00453FFC"/>
    <w:rsid w:val="00454482"/>
    <w:rsid w:val="00454E03"/>
    <w:rsid w:val="00456097"/>
    <w:rsid w:val="00456642"/>
    <w:rsid w:val="00456958"/>
    <w:rsid w:val="00456CE4"/>
    <w:rsid w:val="00456F84"/>
    <w:rsid w:val="0045702B"/>
    <w:rsid w:val="004570B6"/>
    <w:rsid w:val="00457866"/>
    <w:rsid w:val="00457CE7"/>
    <w:rsid w:val="004601AA"/>
    <w:rsid w:val="004604E8"/>
    <w:rsid w:val="00460514"/>
    <w:rsid w:val="004606BD"/>
    <w:rsid w:val="00460DA3"/>
    <w:rsid w:val="00462A6D"/>
    <w:rsid w:val="00462DC9"/>
    <w:rsid w:val="00462F66"/>
    <w:rsid w:val="0046320D"/>
    <w:rsid w:val="00464B51"/>
    <w:rsid w:val="004651B0"/>
    <w:rsid w:val="004653C8"/>
    <w:rsid w:val="00465B3A"/>
    <w:rsid w:val="00465C9D"/>
    <w:rsid w:val="00466C7B"/>
    <w:rsid w:val="00467109"/>
    <w:rsid w:val="004671D4"/>
    <w:rsid w:val="00467E4E"/>
    <w:rsid w:val="00470BAE"/>
    <w:rsid w:val="00470F6F"/>
    <w:rsid w:val="00470FA1"/>
    <w:rsid w:val="0047115C"/>
    <w:rsid w:val="00471216"/>
    <w:rsid w:val="00471334"/>
    <w:rsid w:val="00471798"/>
    <w:rsid w:val="00471987"/>
    <w:rsid w:val="00471C56"/>
    <w:rsid w:val="00472714"/>
    <w:rsid w:val="00472BA5"/>
    <w:rsid w:val="00472BCF"/>
    <w:rsid w:val="004731D8"/>
    <w:rsid w:val="00473306"/>
    <w:rsid w:val="00473F8A"/>
    <w:rsid w:val="004740B8"/>
    <w:rsid w:val="00474398"/>
    <w:rsid w:val="00474C7B"/>
    <w:rsid w:val="00474CEB"/>
    <w:rsid w:val="00474D28"/>
    <w:rsid w:val="00474E18"/>
    <w:rsid w:val="00475056"/>
    <w:rsid w:val="0047558B"/>
    <w:rsid w:val="0047583F"/>
    <w:rsid w:val="00475A14"/>
    <w:rsid w:val="00475A8D"/>
    <w:rsid w:val="00475B3C"/>
    <w:rsid w:val="00476175"/>
    <w:rsid w:val="0047661F"/>
    <w:rsid w:val="00480169"/>
    <w:rsid w:val="004804DB"/>
    <w:rsid w:val="004810EB"/>
    <w:rsid w:val="00481C9C"/>
    <w:rsid w:val="00482AA0"/>
    <w:rsid w:val="00483CE1"/>
    <w:rsid w:val="0048412E"/>
    <w:rsid w:val="00484221"/>
    <w:rsid w:val="0048425A"/>
    <w:rsid w:val="00484B2E"/>
    <w:rsid w:val="00484B7C"/>
    <w:rsid w:val="00484BCE"/>
    <w:rsid w:val="00484D94"/>
    <w:rsid w:val="00484F19"/>
    <w:rsid w:val="00485127"/>
    <w:rsid w:val="00485329"/>
    <w:rsid w:val="004854D3"/>
    <w:rsid w:val="00485695"/>
    <w:rsid w:val="00485967"/>
    <w:rsid w:val="00485EE5"/>
    <w:rsid w:val="00486847"/>
    <w:rsid w:val="004876C9"/>
    <w:rsid w:val="00487EE4"/>
    <w:rsid w:val="00490084"/>
    <w:rsid w:val="00490548"/>
    <w:rsid w:val="004907FF"/>
    <w:rsid w:val="00490E54"/>
    <w:rsid w:val="00490F2F"/>
    <w:rsid w:val="00491032"/>
    <w:rsid w:val="00492898"/>
    <w:rsid w:val="0049307C"/>
    <w:rsid w:val="00493AB3"/>
    <w:rsid w:val="00493AE3"/>
    <w:rsid w:val="00493C45"/>
    <w:rsid w:val="0049414A"/>
    <w:rsid w:val="00495350"/>
    <w:rsid w:val="00495588"/>
    <w:rsid w:val="004956FF"/>
    <w:rsid w:val="00495940"/>
    <w:rsid w:val="00495A55"/>
    <w:rsid w:val="00495CCA"/>
    <w:rsid w:val="00496771"/>
    <w:rsid w:val="00496CC3"/>
    <w:rsid w:val="00497166"/>
    <w:rsid w:val="00497328"/>
    <w:rsid w:val="00497677"/>
    <w:rsid w:val="00497DBB"/>
    <w:rsid w:val="00497FC5"/>
    <w:rsid w:val="004A10E4"/>
    <w:rsid w:val="004A157A"/>
    <w:rsid w:val="004A2349"/>
    <w:rsid w:val="004A23CF"/>
    <w:rsid w:val="004A27B6"/>
    <w:rsid w:val="004A2966"/>
    <w:rsid w:val="004A2F3C"/>
    <w:rsid w:val="004A328F"/>
    <w:rsid w:val="004A32FF"/>
    <w:rsid w:val="004A35DF"/>
    <w:rsid w:val="004A3CB8"/>
    <w:rsid w:val="004A41D7"/>
    <w:rsid w:val="004A4C0F"/>
    <w:rsid w:val="004A4DAB"/>
    <w:rsid w:val="004A4E8B"/>
    <w:rsid w:val="004A4FF1"/>
    <w:rsid w:val="004A53F6"/>
    <w:rsid w:val="004A62C0"/>
    <w:rsid w:val="004A647A"/>
    <w:rsid w:val="004A64BB"/>
    <w:rsid w:val="004A6945"/>
    <w:rsid w:val="004A6CD8"/>
    <w:rsid w:val="004A6D9E"/>
    <w:rsid w:val="004A6E1C"/>
    <w:rsid w:val="004A75B7"/>
    <w:rsid w:val="004A7C5D"/>
    <w:rsid w:val="004A7D80"/>
    <w:rsid w:val="004A7FCA"/>
    <w:rsid w:val="004B0414"/>
    <w:rsid w:val="004B08D9"/>
    <w:rsid w:val="004B1288"/>
    <w:rsid w:val="004B1ACD"/>
    <w:rsid w:val="004B2679"/>
    <w:rsid w:val="004B28C7"/>
    <w:rsid w:val="004B2D06"/>
    <w:rsid w:val="004B2D42"/>
    <w:rsid w:val="004B3BF0"/>
    <w:rsid w:val="004B3E8A"/>
    <w:rsid w:val="004B3FC9"/>
    <w:rsid w:val="004B4336"/>
    <w:rsid w:val="004B4E06"/>
    <w:rsid w:val="004B4ECD"/>
    <w:rsid w:val="004B5580"/>
    <w:rsid w:val="004B562F"/>
    <w:rsid w:val="004B5ADF"/>
    <w:rsid w:val="004B61DD"/>
    <w:rsid w:val="004B639B"/>
    <w:rsid w:val="004B675E"/>
    <w:rsid w:val="004B69DE"/>
    <w:rsid w:val="004B74C8"/>
    <w:rsid w:val="004B74EF"/>
    <w:rsid w:val="004C07A1"/>
    <w:rsid w:val="004C0F3B"/>
    <w:rsid w:val="004C1089"/>
    <w:rsid w:val="004C11D6"/>
    <w:rsid w:val="004C12AA"/>
    <w:rsid w:val="004C12D6"/>
    <w:rsid w:val="004C1377"/>
    <w:rsid w:val="004C1511"/>
    <w:rsid w:val="004C172B"/>
    <w:rsid w:val="004C182C"/>
    <w:rsid w:val="004C1BE4"/>
    <w:rsid w:val="004C29AF"/>
    <w:rsid w:val="004C2A6F"/>
    <w:rsid w:val="004C2E6E"/>
    <w:rsid w:val="004C3729"/>
    <w:rsid w:val="004C3AFF"/>
    <w:rsid w:val="004C3B9E"/>
    <w:rsid w:val="004C3EEB"/>
    <w:rsid w:val="004C402F"/>
    <w:rsid w:val="004C4427"/>
    <w:rsid w:val="004C45E4"/>
    <w:rsid w:val="004C49F9"/>
    <w:rsid w:val="004C51F9"/>
    <w:rsid w:val="004C5AC2"/>
    <w:rsid w:val="004C5DDD"/>
    <w:rsid w:val="004C5E2D"/>
    <w:rsid w:val="004C6DC6"/>
    <w:rsid w:val="004C6FF6"/>
    <w:rsid w:val="004C7785"/>
    <w:rsid w:val="004C7BEE"/>
    <w:rsid w:val="004C7C4C"/>
    <w:rsid w:val="004C7EBC"/>
    <w:rsid w:val="004D1204"/>
    <w:rsid w:val="004D281F"/>
    <w:rsid w:val="004D32FD"/>
    <w:rsid w:val="004D38EA"/>
    <w:rsid w:val="004D3B40"/>
    <w:rsid w:val="004D41D0"/>
    <w:rsid w:val="004D4A29"/>
    <w:rsid w:val="004D547D"/>
    <w:rsid w:val="004D5BAB"/>
    <w:rsid w:val="004D69F8"/>
    <w:rsid w:val="004D6F1E"/>
    <w:rsid w:val="004D702C"/>
    <w:rsid w:val="004D747D"/>
    <w:rsid w:val="004D78F9"/>
    <w:rsid w:val="004D7E22"/>
    <w:rsid w:val="004E03C4"/>
    <w:rsid w:val="004E0677"/>
    <w:rsid w:val="004E06DA"/>
    <w:rsid w:val="004E0B2C"/>
    <w:rsid w:val="004E11DB"/>
    <w:rsid w:val="004E1CBC"/>
    <w:rsid w:val="004E2211"/>
    <w:rsid w:val="004E22F7"/>
    <w:rsid w:val="004E24E2"/>
    <w:rsid w:val="004E2D8A"/>
    <w:rsid w:val="004E3DA4"/>
    <w:rsid w:val="004E3F1E"/>
    <w:rsid w:val="004E46F6"/>
    <w:rsid w:val="004E49D0"/>
    <w:rsid w:val="004E4BFF"/>
    <w:rsid w:val="004E4EF6"/>
    <w:rsid w:val="004E5A23"/>
    <w:rsid w:val="004E5F6C"/>
    <w:rsid w:val="004E64DA"/>
    <w:rsid w:val="004E6BAE"/>
    <w:rsid w:val="004E6C48"/>
    <w:rsid w:val="004E6F83"/>
    <w:rsid w:val="004E75F6"/>
    <w:rsid w:val="004E76B9"/>
    <w:rsid w:val="004E78EB"/>
    <w:rsid w:val="004E7F55"/>
    <w:rsid w:val="004F0463"/>
    <w:rsid w:val="004F08D0"/>
    <w:rsid w:val="004F096B"/>
    <w:rsid w:val="004F0AD1"/>
    <w:rsid w:val="004F0C58"/>
    <w:rsid w:val="004F0CF0"/>
    <w:rsid w:val="004F137E"/>
    <w:rsid w:val="004F13E4"/>
    <w:rsid w:val="004F209C"/>
    <w:rsid w:val="004F2490"/>
    <w:rsid w:val="004F267E"/>
    <w:rsid w:val="004F2CC5"/>
    <w:rsid w:val="004F306F"/>
    <w:rsid w:val="004F3812"/>
    <w:rsid w:val="004F39E0"/>
    <w:rsid w:val="004F3BA6"/>
    <w:rsid w:val="004F3EF4"/>
    <w:rsid w:val="004F4829"/>
    <w:rsid w:val="004F494B"/>
    <w:rsid w:val="004F5A15"/>
    <w:rsid w:val="004F6053"/>
    <w:rsid w:val="004F607C"/>
    <w:rsid w:val="004F63F1"/>
    <w:rsid w:val="004F6AB4"/>
    <w:rsid w:val="004F6C26"/>
    <w:rsid w:val="004F6F15"/>
    <w:rsid w:val="004F7573"/>
    <w:rsid w:val="004F7B7D"/>
    <w:rsid w:val="00500020"/>
    <w:rsid w:val="0050007E"/>
    <w:rsid w:val="00500980"/>
    <w:rsid w:val="005009D0"/>
    <w:rsid w:val="005013F7"/>
    <w:rsid w:val="005016D9"/>
    <w:rsid w:val="00501971"/>
    <w:rsid w:val="00501B35"/>
    <w:rsid w:val="00501D30"/>
    <w:rsid w:val="00501E73"/>
    <w:rsid w:val="00501EF5"/>
    <w:rsid w:val="00502167"/>
    <w:rsid w:val="00502731"/>
    <w:rsid w:val="00502FFE"/>
    <w:rsid w:val="005037F3"/>
    <w:rsid w:val="005037FA"/>
    <w:rsid w:val="00503A26"/>
    <w:rsid w:val="00503AC4"/>
    <w:rsid w:val="00503FEE"/>
    <w:rsid w:val="005043D4"/>
    <w:rsid w:val="0050496C"/>
    <w:rsid w:val="00504F65"/>
    <w:rsid w:val="00505A45"/>
    <w:rsid w:val="00505A60"/>
    <w:rsid w:val="00505B9F"/>
    <w:rsid w:val="00505CCD"/>
    <w:rsid w:val="00505F45"/>
    <w:rsid w:val="00506C99"/>
    <w:rsid w:val="00506E26"/>
    <w:rsid w:val="00506E61"/>
    <w:rsid w:val="005070F7"/>
    <w:rsid w:val="005071B2"/>
    <w:rsid w:val="00507410"/>
    <w:rsid w:val="0050759E"/>
    <w:rsid w:val="00507869"/>
    <w:rsid w:val="00507B3E"/>
    <w:rsid w:val="005107C5"/>
    <w:rsid w:val="005108AB"/>
    <w:rsid w:val="005109B6"/>
    <w:rsid w:val="00510DF2"/>
    <w:rsid w:val="005110DF"/>
    <w:rsid w:val="005111C7"/>
    <w:rsid w:val="00511696"/>
    <w:rsid w:val="00511C6B"/>
    <w:rsid w:val="00511C9B"/>
    <w:rsid w:val="0051277B"/>
    <w:rsid w:val="00513391"/>
    <w:rsid w:val="0051376B"/>
    <w:rsid w:val="00513898"/>
    <w:rsid w:val="00513992"/>
    <w:rsid w:val="00514046"/>
    <w:rsid w:val="00515B2E"/>
    <w:rsid w:val="00516052"/>
    <w:rsid w:val="005165FD"/>
    <w:rsid w:val="0051691A"/>
    <w:rsid w:val="00516F13"/>
    <w:rsid w:val="00517B50"/>
    <w:rsid w:val="00517B84"/>
    <w:rsid w:val="00517C6F"/>
    <w:rsid w:val="0052013C"/>
    <w:rsid w:val="0052034B"/>
    <w:rsid w:val="00520727"/>
    <w:rsid w:val="00520772"/>
    <w:rsid w:val="00520F0B"/>
    <w:rsid w:val="005213AF"/>
    <w:rsid w:val="00521601"/>
    <w:rsid w:val="00521785"/>
    <w:rsid w:val="00521B09"/>
    <w:rsid w:val="00521BC3"/>
    <w:rsid w:val="00522221"/>
    <w:rsid w:val="00522B98"/>
    <w:rsid w:val="00522C7E"/>
    <w:rsid w:val="00522CA1"/>
    <w:rsid w:val="005234CF"/>
    <w:rsid w:val="00523861"/>
    <w:rsid w:val="00523881"/>
    <w:rsid w:val="00523B51"/>
    <w:rsid w:val="00523C19"/>
    <w:rsid w:val="00523C2A"/>
    <w:rsid w:val="00523D2A"/>
    <w:rsid w:val="00524C37"/>
    <w:rsid w:val="005252BE"/>
    <w:rsid w:val="005255E2"/>
    <w:rsid w:val="005256BE"/>
    <w:rsid w:val="00525754"/>
    <w:rsid w:val="005257B9"/>
    <w:rsid w:val="0052658D"/>
    <w:rsid w:val="00526CED"/>
    <w:rsid w:val="005270A9"/>
    <w:rsid w:val="005273E0"/>
    <w:rsid w:val="0052745D"/>
    <w:rsid w:val="00527593"/>
    <w:rsid w:val="005276F3"/>
    <w:rsid w:val="00527BE6"/>
    <w:rsid w:val="00527EF5"/>
    <w:rsid w:val="00530059"/>
    <w:rsid w:val="005309D9"/>
    <w:rsid w:val="00530CD3"/>
    <w:rsid w:val="00531099"/>
    <w:rsid w:val="00531226"/>
    <w:rsid w:val="00531497"/>
    <w:rsid w:val="00531CAD"/>
    <w:rsid w:val="005322B4"/>
    <w:rsid w:val="00532607"/>
    <w:rsid w:val="00532846"/>
    <w:rsid w:val="00533B39"/>
    <w:rsid w:val="00533DAB"/>
    <w:rsid w:val="0053403F"/>
    <w:rsid w:val="0053447F"/>
    <w:rsid w:val="005361B5"/>
    <w:rsid w:val="005362A4"/>
    <w:rsid w:val="005364A5"/>
    <w:rsid w:val="00536E64"/>
    <w:rsid w:val="0053702F"/>
    <w:rsid w:val="005371FE"/>
    <w:rsid w:val="005379B9"/>
    <w:rsid w:val="005405BE"/>
    <w:rsid w:val="00540F36"/>
    <w:rsid w:val="0054141B"/>
    <w:rsid w:val="005417CC"/>
    <w:rsid w:val="00542B45"/>
    <w:rsid w:val="0054396C"/>
    <w:rsid w:val="00543DA7"/>
    <w:rsid w:val="00544090"/>
    <w:rsid w:val="00544366"/>
    <w:rsid w:val="00544CB6"/>
    <w:rsid w:val="00544CBC"/>
    <w:rsid w:val="0054564B"/>
    <w:rsid w:val="005456A4"/>
    <w:rsid w:val="00545FEF"/>
    <w:rsid w:val="005465FF"/>
    <w:rsid w:val="00546D8D"/>
    <w:rsid w:val="0054751B"/>
    <w:rsid w:val="00547DF5"/>
    <w:rsid w:val="00550D8A"/>
    <w:rsid w:val="0055103A"/>
    <w:rsid w:val="005510A1"/>
    <w:rsid w:val="00551B30"/>
    <w:rsid w:val="00551B42"/>
    <w:rsid w:val="00551D37"/>
    <w:rsid w:val="00552DD1"/>
    <w:rsid w:val="00552EF0"/>
    <w:rsid w:val="00552F7C"/>
    <w:rsid w:val="00553227"/>
    <w:rsid w:val="005537D5"/>
    <w:rsid w:val="0055385B"/>
    <w:rsid w:val="005540BC"/>
    <w:rsid w:val="00554C4E"/>
    <w:rsid w:val="005550CC"/>
    <w:rsid w:val="00555CD0"/>
    <w:rsid w:val="0055600D"/>
    <w:rsid w:val="0055663F"/>
    <w:rsid w:val="00556806"/>
    <w:rsid w:val="00556CD6"/>
    <w:rsid w:val="00556E25"/>
    <w:rsid w:val="00557751"/>
    <w:rsid w:val="00557CAA"/>
    <w:rsid w:val="00557DE7"/>
    <w:rsid w:val="0056015F"/>
    <w:rsid w:val="00560188"/>
    <w:rsid w:val="005605F7"/>
    <w:rsid w:val="00560B82"/>
    <w:rsid w:val="005624FC"/>
    <w:rsid w:val="00562B21"/>
    <w:rsid w:val="00562E13"/>
    <w:rsid w:val="0056327F"/>
    <w:rsid w:val="00563703"/>
    <w:rsid w:val="00563EA9"/>
    <w:rsid w:val="005642CA"/>
    <w:rsid w:val="0056438B"/>
    <w:rsid w:val="00565250"/>
    <w:rsid w:val="00565683"/>
    <w:rsid w:val="00565BD3"/>
    <w:rsid w:val="00565BD7"/>
    <w:rsid w:val="005660F8"/>
    <w:rsid w:val="005664D2"/>
    <w:rsid w:val="00566763"/>
    <w:rsid w:val="00566F5F"/>
    <w:rsid w:val="005673E5"/>
    <w:rsid w:val="00567871"/>
    <w:rsid w:val="00567A24"/>
    <w:rsid w:val="00567CCB"/>
    <w:rsid w:val="00570396"/>
    <w:rsid w:val="00570498"/>
    <w:rsid w:val="0057061C"/>
    <w:rsid w:val="00571637"/>
    <w:rsid w:val="00571929"/>
    <w:rsid w:val="00571EF9"/>
    <w:rsid w:val="00572369"/>
    <w:rsid w:val="005724AE"/>
    <w:rsid w:val="00572CD8"/>
    <w:rsid w:val="00573298"/>
    <w:rsid w:val="00573618"/>
    <w:rsid w:val="00573786"/>
    <w:rsid w:val="00573DEA"/>
    <w:rsid w:val="00573EE4"/>
    <w:rsid w:val="00574052"/>
    <w:rsid w:val="00574C80"/>
    <w:rsid w:val="0057581E"/>
    <w:rsid w:val="00575B72"/>
    <w:rsid w:val="00575E13"/>
    <w:rsid w:val="00575F69"/>
    <w:rsid w:val="0057726D"/>
    <w:rsid w:val="00577404"/>
    <w:rsid w:val="00577A17"/>
    <w:rsid w:val="00580068"/>
    <w:rsid w:val="0058013C"/>
    <w:rsid w:val="005801DE"/>
    <w:rsid w:val="00580639"/>
    <w:rsid w:val="0058114C"/>
    <w:rsid w:val="005815EF"/>
    <w:rsid w:val="00582191"/>
    <w:rsid w:val="00582549"/>
    <w:rsid w:val="00584414"/>
    <w:rsid w:val="00584A98"/>
    <w:rsid w:val="00584C3C"/>
    <w:rsid w:val="00584F81"/>
    <w:rsid w:val="005857AE"/>
    <w:rsid w:val="0058591F"/>
    <w:rsid w:val="00585DAA"/>
    <w:rsid w:val="005861EA"/>
    <w:rsid w:val="005861F7"/>
    <w:rsid w:val="005864F8"/>
    <w:rsid w:val="00586747"/>
    <w:rsid w:val="005867DA"/>
    <w:rsid w:val="005868BC"/>
    <w:rsid w:val="00586A1D"/>
    <w:rsid w:val="00586AA3"/>
    <w:rsid w:val="00586B30"/>
    <w:rsid w:val="00586F26"/>
    <w:rsid w:val="005875FA"/>
    <w:rsid w:val="00587C31"/>
    <w:rsid w:val="005905A5"/>
    <w:rsid w:val="00590BAF"/>
    <w:rsid w:val="005910A2"/>
    <w:rsid w:val="00591797"/>
    <w:rsid w:val="00591B22"/>
    <w:rsid w:val="00591BD4"/>
    <w:rsid w:val="00592493"/>
    <w:rsid w:val="00592AAD"/>
    <w:rsid w:val="00592E92"/>
    <w:rsid w:val="005935E4"/>
    <w:rsid w:val="00593643"/>
    <w:rsid w:val="005936ED"/>
    <w:rsid w:val="005943FF"/>
    <w:rsid w:val="0059453E"/>
    <w:rsid w:val="0059458A"/>
    <w:rsid w:val="00594E58"/>
    <w:rsid w:val="005953F9"/>
    <w:rsid w:val="00595FF9"/>
    <w:rsid w:val="00595FFC"/>
    <w:rsid w:val="0059639F"/>
    <w:rsid w:val="00596C4A"/>
    <w:rsid w:val="00596CB4"/>
    <w:rsid w:val="005A0FBA"/>
    <w:rsid w:val="005A11BC"/>
    <w:rsid w:val="005A167A"/>
    <w:rsid w:val="005A1C72"/>
    <w:rsid w:val="005A1EB7"/>
    <w:rsid w:val="005A220A"/>
    <w:rsid w:val="005A2249"/>
    <w:rsid w:val="005A24FC"/>
    <w:rsid w:val="005A2959"/>
    <w:rsid w:val="005A296D"/>
    <w:rsid w:val="005A3128"/>
    <w:rsid w:val="005A3CC2"/>
    <w:rsid w:val="005A48FE"/>
    <w:rsid w:val="005A4AEF"/>
    <w:rsid w:val="005A4D46"/>
    <w:rsid w:val="005A4D97"/>
    <w:rsid w:val="005A4F13"/>
    <w:rsid w:val="005A50C9"/>
    <w:rsid w:val="005A530B"/>
    <w:rsid w:val="005A6576"/>
    <w:rsid w:val="005A69BD"/>
    <w:rsid w:val="005A6E7F"/>
    <w:rsid w:val="005A70BA"/>
    <w:rsid w:val="005A71E3"/>
    <w:rsid w:val="005B0F45"/>
    <w:rsid w:val="005B1654"/>
    <w:rsid w:val="005B1EAF"/>
    <w:rsid w:val="005B28B6"/>
    <w:rsid w:val="005B29A6"/>
    <w:rsid w:val="005B3048"/>
    <w:rsid w:val="005B3E79"/>
    <w:rsid w:val="005B3F1F"/>
    <w:rsid w:val="005B4659"/>
    <w:rsid w:val="005B4BD9"/>
    <w:rsid w:val="005B5A18"/>
    <w:rsid w:val="005B5A21"/>
    <w:rsid w:val="005B5CBF"/>
    <w:rsid w:val="005B60CF"/>
    <w:rsid w:val="005B64D2"/>
    <w:rsid w:val="005B687B"/>
    <w:rsid w:val="005B6C4B"/>
    <w:rsid w:val="005B6E99"/>
    <w:rsid w:val="005B7026"/>
    <w:rsid w:val="005B714D"/>
    <w:rsid w:val="005B7565"/>
    <w:rsid w:val="005C0264"/>
    <w:rsid w:val="005C06F0"/>
    <w:rsid w:val="005C104F"/>
    <w:rsid w:val="005C16CA"/>
    <w:rsid w:val="005C20B6"/>
    <w:rsid w:val="005C2288"/>
    <w:rsid w:val="005C32A6"/>
    <w:rsid w:val="005C38EE"/>
    <w:rsid w:val="005C3B51"/>
    <w:rsid w:val="005C3D09"/>
    <w:rsid w:val="005C4244"/>
    <w:rsid w:val="005C451E"/>
    <w:rsid w:val="005C4954"/>
    <w:rsid w:val="005C4B66"/>
    <w:rsid w:val="005C4D0A"/>
    <w:rsid w:val="005C503D"/>
    <w:rsid w:val="005C530A"/>
    <w:rsid w:val="005C5647"/>
    <w:rsid w:val="005C6017"/>
    <w:rsid w:val="005C65DD"/>
    <w:rsid w:val="005C7567"/>
    <w:rsid w:val="005C76A6"/>
    <w:rsid w:val="005C7C99"/>
    <w:rsid w:val="005C7F45"/>
    <w:rsid w:val="005D08AB"/>
    <w:rsid w:val="005D1619"/>
    <w:rsid w:val="005D19D9"/>
    <w:rsid w:val="005D1E91"/>
    <w:rsid w:val="005D238D"/>
    <w:rsid w:val="005D339F"/>
    <w:rsid w:val="005D34AF"/>
    <w:rsid w:val="005D3AC3"/>
    <w:rsid w:val="005D3F9B"/>
    <w:rsid w:val="005D4B03"/>
    <w:rsid w:val="005D4EE8"/>
    <w:rsid w:val="005D5860"/>
    <w:rsid w:val="005D5BB7"/>
    <w:rsid w:val="005D61DC"/>
    <w:rsid w:val="005D636B"/>
    <w:rsid w:val="005D6540"/>
    <w:rsid w:val="005D655F"/>
    <w:rsid w:val="005D69B0"/>
    <w:rsid w:val="005E0A54"/>
    <w:rsid w:val="005E0C6A"/>
    <w:rsid w:val="005E0DBB"/>
    <w:rsid w:val="005E0DFC"/>
    <w:rsid w:val="005E1D94"/>
    <w:rsid w:val="005E1E0E"/>
    <w:rsid w:val="005E2097"/>
    <w:rsid w:val="005E20D3"/>
    <w:rsid w:val="005E2341"/>
    <w:rsid w:val="005E2BAE"/>
    <w:rsid w:val="005E36EF"/>
    <w:rsid w:val="005E3BAD"/>
    <w:rsid w:val="005E4918"/>
    <w:rsid w:val="005E4C06"/>
    <w:rsid w:val="005E4C94"/>
    <w:rsid w:val="005E4F39"/>
    <w:rsid w:val="005E555E"/>
    <w:rsid w:val="005E5BC4"/>
    <w:rsid w:val="005E5D76"/>
    <w:rsid w:val="005E5E78"/>
    <w:rsid w:val="005E6182"/>
    <w:rsid w:val="005E6251"/>
    <w:rsid w:val="005E65F8"/>
    <w:rsid w:val="005E68EB"/>
    <w:rsid w:val="005E7006"/>
    <w:rsid w:val="005E7191"/>
    <w:rsid w:val="005E74A9"/>
    <w:rsid w:val="005F00BB"/>
    <w:rsid w:val="005F0DB4"/>
    <w:rsid w:val="005F10AA"/>
    <w:rsid w:val="005F1191"/>
    <w:rsid w:val="005F156D"/>
    <w:rsid w:val="005F1626"/>
    <w:rsid w:val="005F1985"/>
    <w:rsid w:val="005F1AEE"/>
    <w:rsid w:val="005F1BE4"/>
    <w:rsid w:val="005F33A0"/>
    <w:rsid w:val="005F3A86"/>
    <w:rsid w:val="005F3DC9"/>
    <w:rsid w:val="005F3F3B"/>
    <w:rsid w:val="005F408C"/>
    <w:rsid w:val="005F4839"/>
    <w:rsid w:val="005F4AD8"/>
    <w:rsid w:val="005F4C48"/>
    <w:rsid w:val="005F6588"/>
    <w:rsid w:val="005F6C32"/>
    <w:rsid w:val="005F7425"/>
    <w:rsid w:val="005F757D"/>
    <w:rsid w:val="005F7C6E"/>
    <w:rsid w:val="005F7D71"/>
    <w:rsid w:val="00601001"/>
    <w:rsid w:val="006011E3"/>
    <w:rsid w:val="006014DB"/>
    <w:rsid w:val="0060214A"/>
    <w:rsid w:val="00604275"/>
    <w:rsid w:val="006044C7"/>
    <w:rsid w:val="006061D1"/>
    <w:rsid w:val="006063E5"/>
    <w:rsid w:val="00606A0A"/>
    <w:rsid w:val="00606BB5"/>
    <w:rsid w:val="0060750B"/>
    <w:rsid w:val="00607CCA"/>
    <w:rsid w:val="00611016"/>
    <w:rsid w:val="006111F9"/>
    <w:rsid w:val="00611C50"/>
    <w:rsid w:val="00611EFF"/>
    <w:rsid w:val="00612716"/>
    <w:rsid w:val="00612ABA"/>
    <w:rsid w:val="00612B25"/>
    <w:rsid w:val="006134BA"/>
    <w:rsid w:val="00614339"/>
    <w:rsid w:val="006146DE"/>
    <w:rsid w:val="00614E87"/>
    <w:rsid w:val="00615672"/>
    <w:rsid w:val="006156D8"/>
    <w:rsid w:val="006162D9"/>
    <w:rsid w:val="0061649B"/>
    <w:rsid w:val="00616A20"/>
    <w:rsid w:val="00616BEC"/>
    <w:rsid w:val="00616C05"/>
    <w:rsid w:val="0061791A"/>
    <w:rsid w:val="00617B57"/>
    <w:rsid w:val="00617E28"/>
    <w:rsid w:val="0062028B"/>
    <w:rsid w:val="0062035B"/>
    <w:rsid w:val="00620809"/>
    <w:rsid w:val="006213EC"/>
    <w:rsid w:val="006213F1"/>
    <w:rsid w:val="0062228F"/>
    <w:rsid w:val="00623AFF"/>
    <w:rsid w:val="00623C8B"/>
    <w:rsid w:val="006250F3"/>
    <w:rsid w:val="006262A9"/>
    <w:rsid w:val="00626757"/>
    <w:rsid w:val="006267EF"/>
    <w:rsid w:val="00626C6C"/>
    <w:rsid w:val="0062706A"/>
    <w:rsid w:val="00627267"/>
    <w:rsid w:val="00627867"/>
    <w:rsid w:val="0063031B"/>
    <w:rsid w:val="00630672"/>
    <w:rsid w:val="00630A0D"/>
    <w:rsid w:val="00630D49"/>
    <w:rsid w:val="006312E4"/>
    <w:rsid w:val="00631652"/>
    <w:rsid w:val="006328C7"/>
    <w:rsid w:val="006331F4"/>
    <w:rsid w:val="006335FA"/>
    <w:rsid w:val="0063388C"/>
    <w:rsid w:val="006341DD"/>
    <w:rsid w:val="006342F9"/>
    <w:rsid w:val="0063454B"/>
    <w:rsid w:val="00634787"/>
    <w:rsid w:val="00634D13"/>
    <w:rsid w:val="0063510B"/>
    <w:rsid w:val="00635778"/>
    <w:rsid w:val="00635F4C"/>
    <w:rsid w:val="00636BE4"/>
    <w:rsid w:val="00637131"/>
    <w:rsid w:val="006372E7"/>
    <w:rsid w:val="006375C7"/>
    <w:rsid w:val="00637898"/>
    <w:rsid w:val="00637B55"/>
    <w:rsid w:val="00637C18"/>
    <w:rsid w:val="00637F49"/>
    <w:rsid w:val="006402E0"/>
    <w:rsid w:val="006406D3"/>
    <w:rsid w:val="00640A11"/>
    <w:rsid w:val="00642048"/>
    <w:rsid w:val="00642404"/>
    <w:rsid w:val="00642EEC"/>
    <w:rsid w:val="00643282"/>
    <w:rsid w:val="00643B76"/>
    <w:rsid w:val="006440A7"/>
    <w:rsid w:val="00644BE5"/>
    <w:rsid w:val="006450FC"/>
    <w:rsid w:val="00645132"/>
    <w:rsid w:val="00645185"/>
    <w:rsid w:val="00645E9F"/>
    <w:rsid w:val="00646478"/>
    <w:rsid w:val="0064691D"/>
    <w:rsid w:val="00646BAE"/>
    <w:rsid w:val="00646CFE"/>
    <w:rsid w:val="006470AE"/>
    <w:rsid w:val="006472CE"/>
    <w:rsid w:val="006472D7"/>
    <w:rsid w:val="00647700"/>
    <w:rsid w:val="00647852"/>
    <w:rsid w:val="006478DB"/>
    <w:rsid w:val="0065045F"/>
    <w:rsid w:val="006504A0"/>
    <w:rsid w:val="00650727"/>
    <w:rsid w:val="00650744"/>
    <w:rsid w:val="00650B42"/>
    <w:rsid w:val="0065124B"/>
    <w:rsid w:val="00651ED7"/>
    <w:rsid w:val="00652315"/>
    <w:rsid w:val="00652DEA"/>
    <w:rsid w:val="00652FC6"/>
    <w:rsid w:val="006533AC"/>
    <w:rsid w:val="00653A4E"/>
    <w:rsid w:val="00654299"/>
    <w:rsid w:val="00654AD4"/>
    <w:rsid w:val="00654BA5"/>
    <w:rsid w:val="00654E89"/>
    <w:rsid w:val="00655AEB"/>
    <w:rsid w:val="00655D47"/>
    <w:rsid w:val="00656579"/>
    <w:rsid w:val="00656852"/>
    <w:rsid w:val="00656ACC"/>
    <w:rsid w:val="00656F9C"/>
    <w:rsid w:val="00656FE6"/>
    <w:rsid w:val="0065701F"/>
    <w:rsid w:val="006570A3"/>
    <w:rsid w:val="006577B0"/>
    <w:rsid w:val="00657804"/>
    <w:rsid w:val="00657B02"/>
    <w:rsid w:val="00657B60"/>
    <w:rsid w:val="00657D1B"/>
    <w:rsid w:val="00657D34"/>
    <w:rsid w:val="006601B2"/>
    <w:rsid w:val="006605A6"/>
    <w:rsid w:val="006609E4"/>
    <w:rsid w:val="00660D80"/>
    <w:rsid w:val="006616E5"/>
    <w:rsid w:val="0066174A"/>
    <w:rsid w:val="00662524"/>
    <w:rsid w:val="00662AC7"/>
    <w:rsid w:val="0066399A"/>
    <w:rsid w:val="00663F28"/>
    <w:rsid w:val="00664053"/>
    <w:rsid w:val="0066443C"/>
    <w:rsid w:val="00664B55"/>
    <w:rsid w:val="00664B82"/>
    <w:rsid w:val="0066526A"/>
    <w:rsid w:val="00665B9F"/>
    <w:rsid w:val="00666865"/>
    <w:rsid w:val="00666914"/>
    <w:rsid w:val="00666C25"/>
    <w:rsid w:val="00666E23"/>
    <w:rsid w:val="006674B6"/>
    <w:rsid w:val="0066755A"/>
    <w:rsid w:val="00667C68"/>
    <w:rsid w:val="00667D56"/>
    <w:rsid w:val="00667D73"/>
    <w:rsid w:val="006705C4"/>
    <w:rsid w:val="00670C5F"/>
    <w:rsid w:val="00671365"/>
    <w:rsid w:val="006722B2"/>
    <w:rsid w:val="00672918"/>
    <w:rsid w:val="0067359C"/>
    <w:rsid w:val="00673895"/>
    <w:rsid w:val="006746C7"/>
    <w:rsid w:val="00674919"/>
    <w:rsid w:val="00675FE0"/>
    <w:rsid w:val="00675FEF"/>
    <w:rsid w:val="006762E0"/>
    <w:rsid w:val="00676B4A"/>
    <w:rsid w:val="006773F2"/>
    <w:rsid w:val="00677752"/>
    <w:rsid w:val="00680F48"/>
    <w:rsid w:val="00680F7B"/>
    <w:rsid w:val="00681F2A"/>
    <w:rsid w:val="0068252A"/>
    <w:rsid w:val="006827BA"/>
    <w:rsid w:val="00684130"/>
    <w:rsid w:val="006841CA"/>
    <w:rsid w:val="006847FF"/>
    <w:rsid w:val="0068516A"/>
    <w:rsid w:val="00685614"/>
    <w:rsid w:val="00685789"/>
    <w:rsid w:val="006857C2"/>
    <w:rsid w:val="00686268"/>
    <w:rsid w:val="006867A8"/>
    <w:rsid w:val="00686BE5"/>
    <w:rsid w:val="00687808"/>
    <w:rsid w:val="00690267"/>
    <w:rsid w:val="006911CE"/>
    <w:rsid w:val="0069124D"/>
    <w:rsid w:val="00691D77"/>
    <w:rsid w:val="00691FD5"/>
    <w:rsid w:val="00692544"/>
    <w:rsid w:val="00692E6E"/>
    <w:rsid w:val="006936B6"/>
    <w:rsid w:val="00693D5B"/>
    <w:rsid w:val="0069419F"/>
    <w:rsid w:val="00694402"/>
    <w:rsid w:val="00694825"/>
    <w:rsid w:val="0069482D"/>
    <w:rsid w:val="00694EF9"/>
    <w:rsid w:val="00695127"/>
    <w:rsid w:val="00695A86"/>
    <w:rsid w:val="00696076"/>
    <w:rsid w:val="00696743"/>
    <w:rsid w:val="006973E1"/>
    <w:rsid w:val="0069777B"/>
    <w:rsid w:val="006979EA"/>
    <w:rsid w:val="006A014D"/>
    <w:rsid w:val="006A0A76"/>
    <w:rsid w:val="006A0B25"/>
    <w:rsid w:val="006A0E10"/>
    <w:rsid w:val="006A1BFD"/>
    <w:rsid w:val="006A2E95"/>
    <w:rsid w:val="006A32AD"/>
    <w:rsid w:val="006A3563"/>
    <w:rsid w:val="006A367B"/>
    <w:rsid w:val="006A3CB3"/>
    <w:rsid w:val="006A3D14"/>
    <w:rsid w:val="006A3D19"/>
    <w:rsid w:val="006A3DD7"/>
    <w:rsid w:val="006A456B"/>
    <w:rsid w:val="006A52AB"/>
    <w:rsid w:val="006A5AB2"/>
    <w:rsid w:val="006A6144"/>
    <w:rsid w:val="006A6A3E"/>
    <w:rsid w:val="006A6CAF"/>
    <w:rsid w:val="006B0509"/>
    <w:rsid w:val="006B07D6"/>
    <w:rsid w:val="006B0901"/>
    <w:rsid w:val="006B0A4A"/>
    <w:rsid w:val="006B0C07"/>
    <w:rsid w:val="006B0F30"/>
    <w:rsid w:val="006B1056"/>
    <w:rsid w:val="006B1595"/>
    <w:rsid w:val="006B1CEA"/>
    <w:rsid w:val="006B212C"/>
    <w:rsid w:val="006B227B"/>
    <w:rsid w:val="006B24E2"/>
    <w:rsid w:val="006B2FD7"/>
    <w:rsid w:val="006B372C"/>
    <w:rsid w:val="006B377E"/>
    <w:rsid w:val="006B3907"/>
    <w:rsid w:val="006B4269"/>
    <w:rsid w:val="006B457B"/>
    <w:rsid w:val="006B47FF"/>
    <w:rsid w:val="006B4964"/>
    <w:rsid w:val="006B4A1B"/>
    <w:rsid w:val="006B542D"/>
    <w:rsid w:val="006B57C6"/>
    <w:rsid w:val="006B5EBA"/>
    <w:rsid w:val="006B626F"/>
    <w:rsid w:val="006B6903"/>
    <w:rsid w:val="006B6D39"/>
    <w:rsid w:val="006B7111"/>
    <w:rsid w:val="006B74CF"/>
    <w:rsid w:val="006B7D18"/>
    <w:rsid w:val="006B7ECF"/>
    <w:rsid w:val="006C0A91"/>
    <w:rsid w:val="006C0FB1"/>
    <w:rsid w:val="006C1046"/>
    <w:rsid w:val="006C1C1E"/>
    <w:rsid w:val="006C236E"/>
    <w:rsid w:val="006C2B3E"/>
    <w:rsid w:val="006C2F60"/>
    <w:rsid w:val="006C342C"/>
    <w:rsid w:val="006C4592"/>
    <w:rsid w:val="006C4DFA"/>
    <w:rsid w:val="006C5409"/>
    <w:rsid w:val="006C5492"/>
    <w:rsid w:val="006C571B"/>
    <w:rsid w:val="006C6044"/>
    <w:rsid w:val="006C6B9C"/>
    <w:rsid w:val="006C742E"/>
    <w:rsid w:val="006C781B"/>
    <w:rsid w:val="006C7C4F"/>
    <w:rsid w:val="006D00F7"/>
    <w:rsid w:val="006D0681"/>
    <w:rsid w:val="006D07C1"/>
    <w:rsid w:val="006D1714"/>
    <w:rsid w:val="006D1ECB"/>
    <w:rsid w:val="006D20E5"/>
    <w:rsid w:val="006D2886"/>
    <w:rsid w:val="006D2912"/>
    <w:rsid w:val="006D2D7D"/>
    <w:rsid w:val="006D2EE1"/>
    <w:rsid w:val="006D34E5"/>
    <w:rsid w:val="006D353C"/>
    <w:rsid w:val="006D363A"/>
    <w:rsid w:val="006D3788"/>
    <w:rsid w:val="006D3972"/>
    <w:rsid w:val="006D4F12"/>
    <w:rsid w:val="006D4F9E"/>
    <w:rsid w:val="006D5588"/>
    <w:rsid w:val="006D595C"/>
    <w:rsid w:val="006D6416"/>
    <w:rsid w:val="006D660C"/>
    <w:rsid w:val="006D7B16"/>
    <w:rsid w:val="006E02C0"/>
    <w:rsid w:val="006E04BF"/>
    <w:rsid w:val="006E2196"/>
    <w:rsid w:val="006E2335"/>
    <w:rsid w:val="006E278B"/>
    <w:rsid w:val="006E2F60"/>
    <w:rsid w:val="006E3BC2"/>
    <w:rsid w:val="006E421E"/>
    <w:rsid w:val="006E5447"/>
    <w:rsid w:val="006E7904"/>
    <w:rsid w:val="006E7ABB"/>
    <w:rsid w:val="006F01F2"/>
    <w:rsid w:val="006F05C5"/>
    <w:rsid w:val="006F0AC6"/>
    <w:rsid w:val="006F1D39"/>
    <w:rsid w:val="006F1F0B"/>
    <w:rsid w:val="006F2191"/>
    <w:rsid w:val="006F21E5"/>
    <w:rsid w:val="006F272A"/>
    <w:rsid w:val="006F2F44"/>
    <w:rsid w:val="006F30C0"/>
    <w:rsid w:val="006F39FE"/>
    <w:rsid w:val="006F3C0D"/>
    <w:rsid w:val="006F3F45"/>
    <w:rsid w:val="006F4CE7"/>
    <w:rsid w:val="006F54DD"/>
    <w:rsid w:val="006F65D5"/>
    <w:rsid w:val="006F6B44"/>
    <w:rsid w:val="006F6C04"/>
    <w:rsid w:val="006F6D22"/>
    <w:rsid w:val="006F79E5"/>
    <w:rsid w:val="006F79F9"/>
    <w:rsid w:val="006F7AF4"/>
    <w:rsid w:val="006F7C3E"/>
    <w:rsid w:val="00700551"/>
    <w:rsid w:val="0070084C"/>
    <w:rsid w:val="00700F05"/>
    <w:rsid w:val="007015BA"/>
    <w:rsid w:val="007016D1"/>
    <w:rsid w:val="00701C0A"/>
    <w:rsid w:val="00702225"/>
    <w:rsid w:val="00702C19"/>
    <w:rsid w:val="007030D7"/>
    <w:rsid w:val="00703351"/>
    <w:rsid w:val="00705217"/>
    <w:rsid w:val="00705BE1"/>
    <w:rsid w:val="00706564"/>
    <w:rsid w:val="007073DD"/>
    <w:rsid w:val="00710F9B"/>
    <w:rsid w:val="00710FA0"/>
    <w:rsid w:val="00711685"/>
    <w:rsid w:val="00711F53"/>
    <w:rsid w:val="007124F4"/>
    <w:rsid w:val="007131DD"/>
    <w:rsid w:val="007134D5"/>
    <w:rsid w:val="00713934"/>
    <w:rsid w:val="007139F7"/>
    <w:rsid w:val="00713C33"/>
    <w:rsid w:val="00713CA0"/>
    <w:rsid w:val="00714515"/>
    <w:rsid w:val="00714CAD"/>
    <w:rsid w:val="00715528"/>
    <w:rsid w:val="00715784"/>
    <w:rsid w:val="00715856"/>
    <w:rsid w:val="00715DAA"/>
    <w:rsid w:val="00715E2B"/>
    <w:rsid w:val="0071654D"/>
    <w:rsid w:val="00716590"/>
    <w:rsid w:val="0071680A"/>
    <w:rsid w:val="00716C34"/>
    <w:rsid w:val="007174B7"/>
    <w:rsid w:val="007175C7"/>
    <w:rsid w:val="007200A7"/>
    <w:rsid w:val="007200D3"/>
    <w:rsid w:val="00720108"/>
    <w:rsid w:val="007201CE"/>
    <w:rsid w:val="00720E6C"/>
    <w:rsid w:val="007211AE"/>
    <w:rsid w:val="007218E4"/>
    <w:rsid w:val="007219B6"/>
    <w:rsid w:val="00721B01"/>
    <w:rsid w:val="00721BBC"/>
    <w:rsid w:val="007222D0"/>
    <w:rsid w:val="007222D6"/>
    <w:rsid w:val="00722499"/>
    <w:rsid w:val="00722B3C"/>
    <w:rsid w:val="00722C52"/>
    <w:rsid w:val="00722D45"/>
    <w:rsid w:val="00722E79"/>
    <w:rsid w:val="0072357C"/>
    <w:rsid w:val="0072390D"/>
    <w:rsid w:val="00723D7E"/>
    <w:rsid w:val="00723FB7"/>
    <w:rsid w:val="0072484A"/>
    <w:rsid w:val="00724A9A"/>
    <w:rsid w:val="00724B28"/>
    <w:rsid w:val="00724DA0"/>
    <w:rsid w:val="00725182"/>
    <w:rsid w:val="007255E5"/>
    <w:rsid w:val="00725772"/>
    <w:rsid w:val="00725843"/>
    <w:rsid w:val="007272B3"/>
    <w:rsid w:val="00727679"/>
    <w:rsid w:val="007279D6"/>
    <w:rsid w:val="007302BF"/>
    <w:rsid w:val="00730644"/>
    <w:rsid w:val="00730812"/>
    <w:rsid w:val="007310A6"/>
    <w:rsid w:val="00731347"/>
    <w:rsid w:val="00731371"/>
    <w:rsid w:val="00731935"/>
    <w:rsid w:val="00731D76"/>
    <w:rsid w:val="007328F3"/>
    <w:rsid w:val="0073291E"/>
    <w:rsid w:val="0073361B"/>
    <w:rsid w:val="00733882"/>
    <w:rsid w:val="007338EA"/>
    <w:rsid w:val="00733C67"/>
    <w:rsid w:val="00733D32"/>
    <w:rsid w:val="00733F55"/>
    <w:rsid w:val="00734005"/>
    <w:rsid w:val="00734250"/>
    <w:rsid w:val="007342D0"/>
    <w:rsid w:val="00734513"/>
    <w:rsid w:val="00735500"/>
    <w:rsid w:val="007357AD"/>
    <w:rsid w:val="007357DD"/>
    <w:rsid w:val="0073591C"/>
    <w:rsid w:val="007359B6"/>
    <w:rsid w:val="00735D06"/>
    <w:rsid w:val="00736097"/>
    <w:rsid w:val="0073626A"/>
    <w:rsid w:val="0073645B"/>
    <w:rsid w:val="00736640"/>
    <w:rsid w:val="0073692E"/>
    <w:rsid w:val="00736B45"/>
    <w:rsid w:val="0073708B"/>
    <w:rsid w:val="0073722A"/>
    <w:rsid w:val="00737B00"/>
    <w:rsid w:val="00740106"/>
    <w:rsid w:val="007409BC"/>
    <w:rsid w:val="00740C67"/>
    <w:rsid w:val="0074139E"/>
    <w:rsid w:val="007413A5"/>
    <w:rsid w:val="00742BBD"/>
    <w:rsid w:val="00742DE6"/>
    <w:rsid w:val="00743734"/>
    <w:rsid w:val="00743AB9"/>
    <w:rsid w:val="007446D2"/>
    <w:rsid w:val="00745070"/>
    <w:rsid w:val="0074568C"/>
    <w:rsid w:val="00746F26"/>
    <w:rsid w:val="00746FDC"/>
    <w:rsid w:val="00747043"/>
    <w:rsid w:val="00747074"/>
    <w:rsid w:val="0074752E"/>
    <w:rsid w:val="007477D6"/>
    <w:rsid w:val="007520AC"/>
    <w:rsid w:val="0075212F"/>
    <w:rsid w:val="0075253D"/>
    <w:rsid w:val="007528AA"/>
    <w:rsid w:val="00752A7C"/>
    <w:rsid w:val="0075320A"/>
    <w:rsid w:val="007539A7"/>
    <w:rsid w:val="00754175"/>
    <w:rsid w:val="00755530"/>
    <w:rsid w:val="0075602D"/>
    <w:rsid w:val="00756066"/>
    <w:rsid w:val="0075640F"/>
    <w:rsid w:val="00756762"/>
    <w:rsid w:val="00757A2A"/>
    <w:rsid w:val="00757FA2"/>
    <w:rsid w:val="00760965"/>
    <w:rsid w:val="007619C2"/>
    <w:rsid w:val="00761A17"/>
    <w:rsid w:val="007626BB"/>
    <w:rsid w:val="00762E93"/>
    <w:rsid w:val="007637DC"/>
    <w:rsid w:val="0076416A"/>
    <w:rsid w:val="0076451E"/>
    <w:rsid w:val="00764646"/>
    <w:rsid w:val="00764F34"/>
    <w:rsid w:val="00765079"/>
    <w:rsid w:val="007661D9"/>
    <w:rsid w:val="0076665D"/>
    <w:rsid w:val="007667E5"/>
    <w:rsid w:val="007669E3"/>
    <w:rsid w:val="00766F0B"/>
    <w:rsid w:val="00767563"/>
    <w:rsid w:val="00767AFE"/>
    <w:rsid w:val="00770BA1"/>
    <w:rsid w:val="00771397"/>
    <w:rsid w:val="00771526"/>
    <w:rsid w:val="00771841"/>
    <w:rsid w:val="007720F0"/>
    <w:rsid w:val="00772106"/>
    <w:rsid w:val="007727B5"/>
    <w:rsid w:val="00772DE1"/>
    <w:rsid w:val="00772E64"/>
    <w:rsid w:val="0077371E"/>
    <w:rsid w:val="00773A5F"/>
    <w:rsid w:val="0077440C"/>
    <w:rsid w:val="00774541"/>
    <w:rsid w:val="00774FE4"/>
    <w:rsid w:val="00776763"/>
    <w:rsid w:val="00777A60"/>
    <w:rsid w:val="00777FF9"/>
    <w:rsid w:val="00780021"/>
    <w:rsid w:val="007807CE"/>
    <w:rsid w:val="00780E56"/>
    <w:rsid w:val="00780F3D"/>
    <w:rsid w:val="007813DF"/>
    <w:rsid w:val="00781535"/>
    <w:rsid w:val="00782DCA"/>
    <w:rsid w:val="0078319E"/>
    <w:rsid w:val="007832A4"/>
    <w:rsid w:val="007834DA"/>
    <w:rsid w:val="007838AB"/>
    <w:rsid w:val="00783D68"/>
    <w:rsid w:val="00785348"/>
    <w:rsid w:val="00785DA9"/>
    <w:rsid w:val="007864CA"/>
    <w:rsid w:val="0078690D"/>
    <w:rsid w:val="00786B27"/>
    <w:rsid w:val="00786BAB"/>
    <w:rsid w:val="0078793D"/>
    <w:rsid w:val="00787A86"/>
    <w:rsid w:val="00787D61"/>
    <w:rsid w:val="00790358"/>
    <w:rsid w:val="00790382"/>
    <w:rsid w:val="00790E00"/>
    <w:rsid w:val="00790E2B"/>
    <w:rsid w:val="00791F6A"/>
    <w:rsid w:val="00792230"/>
    <w:rsid w:val="007927FA"/>
    <w:rsid w:val="00793FDF"/>
    <w:rsid w:val="0079478A"/>
    <w:rsid w:val="00794849"/>
    <w:rsid w:val="00794A9D"/>
    <w:rsid w:val="00794D8F"/>
    <w:rsid w:val="00794DBC"/>
    <w:rsid w:val="00794FE8"/>
    <w:rsid w:val="00796857"/>
    <w:rsid w:val="00796920"/>
    <w:rsid w:val="007972B6"/>
    <w:rsid w:val="00797BFE"/>
    <w:rsid w:val="007A002B"/>
    <w:rsid w:val="007A017F"/>
    <w:rsid w:val="007A0231"/>
    <w:rsid w:val="007A07BF"/>
    <w:rsid w:val="007A0CCC"/>
    <w:rsid w:val="007A1038"/>
    <w:rsid w:val="007A10A1"/>
    <w:rsid w:val="007A11D6"/>
    <w:rsid w:val="007A2EDD"/>
    <w:rsid w:val="007A336E"/>
    <w:rsid w:val="007A37D3"/>
    <w:rsid w:val="007A4590"/>
    <w:rsid w:val="007A4B7A"/>
    <w:rsid w:val="007A4CA6"/>
    <w:rsid w:val="007A4F84"/>
    <w:rsid w:val="007A511F"/>
    <w:rsid w:val="007A53D5"/>
    <w:rsid w:val="007A5491"/>
    <w:rsid w:val="007A54B1"/>
    <w:rsid w:val="007A54C6"/>
    <w:rsid w:val="007A5A6D"/>
    <w:rsid w:val="007A6333"/>
    <w:rsid w:val="007A662B"/>
    <w:rsid w:val="007A7BD3"/>
    <w:rsid w:val="007B018A"/>
    <w:rsid w:val="007B03C2"/>
    <w:rsid w:val="007B0A3B"/>
    <w:rsid w:val="007B0E64"/>
    <w:rsid w:val="007B12CF"/>
    <w:rsid w:val="007B180F"/>
    <w:rsid w:val="007B1BBA"/>
    <w:rsid w:val="007B295E"/>
    <w:rsid w:val="007B32D5"/>
    <w:rsid w:val="007B3574"/>
    <w:rsid w:val="007B39E9"/>
    <w:rsid w:val="007B3E0F"/>
    <w:rsid w:val="007B47EF"/>
    <w:rsid w:val="007B4839"/>
    <w:rsid w:val="007B4AA4"/>
    <w:rsid w:val="007B52B6"/>
    <w:rsid w:val="007B5658"/>
    <w:rsid w:val="007B5840"/>
    <w:rsid w:val="007B5D1C"/>
    <w:rsid w:val="007B6333"/>
    <w:rsid w:val="007B6471"/>
    <w:rsid w:val="007B696C"/>
    <w:rsid w:val="007B6BB2"/>
    <w:rsid w:val="007B73EC"/>
    <w:rsid w:val="007C0081"/>
    <w:rsid w:val="007C0308"/>
    <w:rsid w:val="007C0318"/>
    <w:rsid w:val="007C1BE4"/>
    <w:rsid w:val="007C2675"/>
    <w:rsid w:val="007C2BF5"/>
    <w:rsid w:val="007C2C9E"/>
    <w:rsid w:val="007C342C"/>
    <w:rsid w:val="007C37BE"/>
    <w:rsid w:val="007C3D87"/>
    <w:rsid w:val="007C403E"/>
    <w:rsid w:val="007C405B"/>
    <w:rsid w:val="007C4126"/>
    <w:rsid w:val="007C45C6"/>
    <w:rsid w:val="007C47E3"/>
    <w:rsid w:val="007C4A98"/>
    <w:rsid w:val="007C4D6D"/>
    <w:rsid w:val="007C5169"/>
    <w:rsid w:val="007C52CA"/>
    <w:rsid w:val="007C538F"/>
    <w:rsid w:val="007C5C38"/>
    <w:rsid w:val="007C6187"/>
    <w:rsid w:val="007C6B26"/>
    <w:rsid w:val="007C6ED6"/>
    <w:rsid w:val="007C74FD"/>
    <w:rsid w:val="007C75E4"/>
    <w:rsid w:val="007C7898"/>
    <w:rsid w:val="007C792D"/>
    <w:rsid w:val="007D0291"/>
    <w:rsid w:val="007D03F1"/>
    <w:rsid w:val="007D0C36"/>
    <w:rsid w:val="007D0DC0"/>
    <w:rsid w:val="007D1A94"/>
    <w:rsid w:val="007D1C96"/>
    <w:rsid w:val="007D1DC0"/>
    <w:rsid w:val="007D3AC4"/>
    <w:rsid w:val="007D3CCE"/>
    <w:rsid w:val="007D3DD4"/>
    <w:rsid w:val="007D4686"/>
    <w:rsid w:val="007D4B5A"/>
    <w:rsid w:val="007D4F41"/>
    <w:rsid w:val="007D513C"/>
    <w:rsid w:val="007D5669"/>
    <w:rsid w:val="007D59E4"/>
    <w:rsid w:val="007D65A6"/>
    <w:rsid w:val="007D6AAA"/>
    <w:rsid w:val="007D6D41"/>
    <w:rsid w:val="007D7165"/>
    <w:rsid w:val="007D74D4"/>
    <w:rsid w:val="007E01E4"/>
    <w:rsid w:val="007E20C7"/>
    <w:rsid w:val="007E2BB1"/>
    <w:rsid w:val="007E3AF2"/>
    <w:rsid w:val="007E452E"/>
    <w:rsid w:val="007E4F51"/>
    <w:rsid w:val="007E60CD"/>
    <w:rsid w:val="007E63C4"/>
    <w:rsid w:val="007E735B"/>
    <w:rsid w:val="007E7861"/>
    <w:rsid w:val="007E7A59"/>
    <w:rsid w:val="007F0506"/>
    <w:rsid w:val="007F074F"/>
    <w:rsid w:val="007F14DB"/>
    <w:rsid w:val="007F1883"/>
    <w:rsid w:val="007F1C51"/>
    <w:rsid w:val="007F208B"/>
    <w:rsid w:val="007F35EA"/>
    <w:rsid w:val="007F3952"/>
    <w:rsid w:val="007F3AE7"/>
    <w:rsid w:val="007F471A"/>
    <w:rsid w:val="007F48BD"/>
    <w:rsid w:val="007F4C3E"/>
    <w:rsid w:val="007F5530"/>
    <w:rsid w:val="007F5A7C"/>
    <w:rsid w:val="007F7152"/>
    <w:rsid w:val="007F758A"/>
    <w:rsid w:val="007F7636"/>
    <w:rsid w:val="008003E3"/>
    <w:rsid w:val="00800813"/>
    <w:rsid w:val="0080153D"/>
    <w:rsid w:val="00801E9F"/>
    <w:rsid w:val="00802169"/>
    <w:rsid w:val="008033FB"/>
    <w:rsid w:val="00803674"/>
    <w:rsid w:val="00803A62"/>
    <w:rsid w:val="00803C45"/>
    <w:rsid w:val="00804DB6"/>
    <w:rsid w:val="00804DF5"/>
    <w:rsid w:val="00805ADF"/>
    <w:rsid w:val="00805DB1"/>
    <w:rsid w:val="008060D1"/>
    <w:rsid w:val="008067CF"/>
    <w:rsid w:val="00806864"/>
    <w:rsid w:val="00806D49"/>
    <w:rsid w:val="00806E49"/>
    <w:rsid w:val="008078FF"/>
    <w:rsid w:val="00810352"/>
    <w:rsid w:val="00810C8F"/>
    <w:rsid w:val="00811387"/>
    <w:rsid w:val="008114A6"/>
    <w:rsid w:val="00811B15"/>
    <w:rsid w:val="0081205B"/>
    <w:rsid w:val="008122CC"/>
    <w:rsid w:val="008137ED"/>
    <w:rsid w:val="00813A3C"/>
    <w:rsid w:val="00814048"/>
    <w:rsid w:val="00814705"/>
    <w:rsid w:val="00814BF0"/>
    <w:rsid w:val="00815242"/>
    <w:rsid w:val="00815F6D"/>
    <w:rsid w:val="00815F85"/>
    <w:rsid w:val="00816C67"/>
    <w:rsid w:val="00816C95"/>
    <w:rsid w:val="00816F94"/>
    <w:rsid w:val="008172ED"/>
    <w:rsid w:val="00817404"/>
    <w:rsid w:val="0081750C"/>
    <w:rsid w:val="00817A6D"/>
    <w:rsid w:val="00817AD8"/>
    <w:rsid w:val="0082027E"/>
    <w:rsid w:val="00820595"/>
    <w:rsid w:val="00820809"/>
    <w:rsid w:val="008209BD"/>
    <w:rsid w:val="00820D5D"/>
    <w:rsid w:val="00820E52"/>
    <w:rsid w:val="00821116"/>
    <w:rsid w:val="008216F2"/>
    <w:rsid w:val="008217D4"/>
    <w:rsid w:val="00821DB9"/>
    <w:rsid w:val="00822DFF"/>
    <w:rsid w:val="00823428"/>
    <w:rsid w:val="008234BE"/>
    <w:rsid w:val="0082350E"/>
    <w:rsid w:val="00823863"/>
    <w:rsid w:val="0082387B"/>
    <w:rsid w:val="00823D49"/>
    <w:rsid w:val="00823DC1"/>
    <w:rsid w:val="008243CF"/>
    <w:rsid w:val="0082496E"/>
    <w:rsid w:val="00824E75"/>
    <w:rsid w:val="0082518D"/>
    <w:rsid w:val="008263C0"/>
    <w:rsid w:val="00826B46"/>
    <w:rsid w:val="008301ED"/>
    <w:rsid w:val="00830246"/>
    <w:rsid w:val="0083045D"/>
    <w:rsid w:val="00830A29"/>
    <w:rsid w:val="00830D59"/>
    <w:rsid w:val="0083185F"/>
    <w:rsid w:val="00831C7B"/>
    <w:rsid w:val="00832213"/>
    <w:rsid w:val="00832AB6"/>
    <w:rsid w:val="00832B4E"/>
    <w:rsid w:val="00832FCB"/>
    <w:rsid w:val="00833E75"/>
    <w:rsid w:val="00834677"/>
    <w:rsid w:val="00834A82"/>
    <w:rsid w:val="0083572B"/>
    <w:rsid w:val="00835A25"/>
    <w:rsid w:val="00835C44"/>
    <w:rsid w:val="008363D9"/>
    <w:rsid w:val="0083660A"/>
    <w:rsid w:val="008366BD"/>
    <w:rsid w:val="00836A0E"/>
    <w:rsid w:val="00836F6A"/>
    <w:rsid w:val="00836F8F"/>
    <w:rsid w:val="0083725B"/>
    <w:rsid w:val="008378B3"/>
    <w:rsid w:val="00837BA0"/>
    <w:rsid w:val="008405E1"/>
    <w:rsid w:val="00840686"/>
    <w:rsid w:val="00842E54"/>
    <w:rsid w:val="00843FDE"/>
    <w:rsid w:val="008442B8"/>
    <w:rsid w:val="008443C8"/>
    <w:rsid w:val="00844CBC"/>
    <w:rsid w:val="008452D0"/>
    <w:rsid w:val="00845F87"/>
    <w:rsid w:val="00846460"/>
    <w:rsid w:val="008467BA"/>
    <w:rsid w:val="00846888"/>
    <w:rsid w:val="00846D89"/>
    <w:rsid w:val="008475FF"/>
    <w:rsid w:val="00850628"/>
    <w:rsid w:val="00850EA4"/>
    <w:rsid w:val="00851A0F"/>
    <w:rsid w:val="00851EB0"/>
    <w:rsid w:val="00852AC7"/>
    <w:rsid w:val="008536A7"/>
    <w:rsid w:val="008552B4"/>
    <w:rsid w:val="0085599C"/>
    <w:rsid w:val="00855C7C"/>
    <w:rsid w:val="00855C84"/>
    <w:rsid w:val="008563B1"/>
    <w:rsid w:val="008565C8"/>
    <w:rsid w:val="00856945"/>
    <w:rsid w:val="0085731D"/>
    <w:rsid w:val="008577E5"/>
    <w:rsid w:val="0086000E"/>
    <w:rsid w:val="00860D7C"/>
    <w:rsid w:val="00860DF0"/>
    <w:rsid w:val="00860EC2"/>
    <w:rsid w:val="00860F4E"/>
    <w:rsid w:val="0086101B"/>
    <w:rsid w:val="008625B0"/>
    <w:rsid w:val="00862BDD"/>
    <w:rsid w:val="0086385B"/>
    <w:rsid w:val="00864605"/>
    <w:rsid w:val="00864718"/>
    <w:rsid w:val="00864725"/>
    <w:rsid w:val="00864B76"/>
    <w:rsid w:val="00864BAE"/>
    <w:rsid w:val="008651C7"/>
    <w:rsid w:val="008657DC"/>
    <w:rsid w:val="0086595D"/>
    <w:rsid w:val="00865DB9"/>
    <w:rsid w:val="00866442"/>
    <w:rsid w:val="00866487"/>
    <w:rsid w:val="00866C45"/>
    <w:rsid w:val="00867044"/>
    <w:rsid w:val="00867BDE"/>
    <w:rsid w:val="00870762"/>
    <w:rsid w:val="00870BAF"/>
    <w:rsid w:val="00871111"/>
    <w:rsid w:val="008711E1"/>
    <w:rsid w:val="008711E4"/>
    <w:rsid w:val="0087192C"/>
    <w:rsid w:val="00871AE8"/>
    <w:rsid w:val="00871FB0"/>
    <w:rsid w:val="00872265"/>
    <w:rsid w:val="00872364"/>
    <w:rsid w:val="00872594"/>
    <w:rsid w:val="008726F8"/>
    <w:rsid w:val="00872C76"/>
    <w:rsid w:val="00873221"/>
    <w:rsid w:val="00873386"/>
    <w:rsid w:val="0087446E"/>
    <w:rsid w:val="00874D77"/>
    <w:rsid w:val="008755D8"/>
    <w:rsid w:val="00875BDF"/>
    <w:rsid w:val="00875ED6"/>
    <w:rsid w:val="00875FE3"/>
    <w:rsid w:val="008765DA"/>
    <w:rsid w:val="00876768"/>
    <w:rsid w:val="00877DED"/>
    <w:rsid w:val="0088065C"/>
    <w:rsid w:val="00880866"/>
    <w:rsid w:val="0088090E"/>
    <w:rsid w:val="00881070"/>
    <w:rsid w:val="00881AF0"/>
    <w:rsid w:val="00881D68"/>
    <w:rsid w:val="00882662"/>
    <w:rsid w:val="00882AB6"/>
    <w:rsid w:val="008831CF"/>
    <w:rsid w:val="00884423"/>
    <w:rsid w:val="00884547"/>
    <w:rsid w:val="0088494C"/>
    <w:rsid w:val="00884C02"/>
    <w:rsid w:val="00884F47"/>
    <w:rsid w:val="00885B1E"/>
    <w:rsid w:val="00886187"/>
    <w:rsid w:val="00886410"/>
    <w:rsid w:val="00886801"/>
    <w:rsid w:val="008873BB"/>
    <w:rsid w:val="00887CAE"/>
    <w:rsid w:val="00887F91"/>
    <w:rsid w:val="0089012F"/>
    <w:rsid w:val="00890279"/>
    <w:rsid w:val="008920D2"/>
    <w:rsid w:val="0089337A"/>
    <w:rsid w:val="00893AC9"/>
    <w:rsid w:val="00893BD0"/>
    <w:rsid w:val="00894161"/>
    <w:rsid w:val="00894650"/>
    <w:rsid w:val="008946A6"/>
    <w:rsid w:val="00894743"/>
    <w:rsid w:val="00894797"/>
    <w:rsid w:val="008947A2"/>
    <w:rsid w:val="00894975"/>
    <w:rsid w:val="00894D5B"/>
    <w:rsid w:val="00894EAE"/>
    <w:rsid w:val="00894F34"/>
    <w:rsid w:val="00895450"/>
    <w:rsid w:val="008954F7"/>
    <w:rsid w:val="00895562"/>
    <w:rsid w:val="0089567B"/>
    <w:rsid w:val="00896315"/>
    <w:rsid w:val="0089670D"/>
    <w:rsid w:val="00896A8F"/>
    <w:rsid w:val="00896B25"/>
    <w:rsid w:val="00897194"/>
    <w:rsid w:val="008972F3"/>
    <w:rsid w:val="008A0283"/>
    <w:rsid w:val="008A035D"/>
    <w:rsid w:val="008A03ED"/>
    <w:rsid w:val="008A06E7"/>
    <w:rsid w:val="008A07B5"/>
    <w:rsid w:val="008A12D5"/>
    <w:rsid w:val="008A1318"/>
    <w:rsid w:val="008A1BF2"/>
    <w:rsid w:val="008A30BE"/>
    <w:rsid w:val="008A49A1"/>
    <w:rsid w:val="008A4D73"/>
    <w:rsid w:val="008A5437"/>
    <w:rsid w:val="008A658A"/>
    <w:rsid w:val="008A663D"/>
    <w:rsid w:val="008A6982"/>
    <w:rsid w:val="008A6B15"/>
    <w:rsid w:val="008A6BFD"/>
    <w:rsid w:val="008A72AE"/>
    <w:rsid w:val="008A73D8"/>
    <w:rsid w:val="008A7465"/>
    <w:rsid w:val="008B025F"/>
    <w:rsid w:val="008B037A"/>
    <w:rsid w:val="008B1275"/>
    <w:rsid w:val="008B167C"/>
    <w:rsid w:val="008B1BE7"/>
    <w:rsid w:val="008B1ECF"/>
    <w:rsid w:val="008B1EEE"/>
    <w:rsid w:val="008B21A4"/>
    <w:rsid w:val="008B2BFD"/>
    <w:rsid w:val="008B2ED0"/>
    <w:rsid w:val="008B2F33"/>
    <w:rsid w:val="008B3000"/>
    <w:rsid w:val="008B3435"/>
    <w:rsid w:val="008B3698"/>
    <w:rsid w:val="008B37AF"/>
    <w:rsid w:val="008B38EE"/>
    <w:rsid w:val="008B3AC3"/>
    <w:rsid w:val="008B41E2"/>
    <w:rsid w:val="008B5AF0"/>
    <w:rsid w:val="008B5D8F"/>
    <w:rsid w:val="008B636E"/>
    <w:rsid w:val="008B64EF"/>
    <w:rsid w:val="008B6760"/>
    <w:rsid w:val="008B69DD"/>
    <w:rsid w:val="008B6E60"/>
    <w:rsid w:val="008B7493"/>
    <w:rsid w:val="008B7DB0"/>
    <w:rsid w:val="008B7F5E"/>
    <w:rsid w:val="008C04BD"/>
    <w:rsid w:val="008C2974"/>
    <w:rsid w:val="008C29E8"/>
    <w:rsid w:val="008C2AF9"/>
    <w:rsid w:val="008C2E85"/>
    <w:rsid w:val="008C34A6"/>
    <w:rsid w:val="008C3ACB"/>
    <w:rsid w:val="008C3B8C"/>
    <w:rsid w:val="008C3C34"/>
    <w:rsid w:val="008C4175"/>
    <w:rsid w:val="008C4A84"/>
    <w:rsid w:val="008C5092"/>
    <w:rsid w:val="008C54D2"/>
    <w:rsid w:val="008C59E9"/>
    <w:rsid w:val="008C5B77"/>
    <w:rsid w:val="008C6095"/>
    <w:rsid w:val="008C7385"/>
    <w:rsid w:val="008C7C48"/>
    <w:rsid w:val="008D0834"/>
    <w:rsid w:val="008D1B0D"/>
    <w:rsid w:val="008D1C8E"/>
    <w:rsid w:val="008D2064"/>
    <w:rsid w:val="008D280D"/>
    <w:rsid w:val="008D2E8C"/>
    <w:rsid w:val="008D2EF4"/>
    <w:rsid w:val="008D34CE"/>
    <w:rsid w:val="008D3503"/>
    <w:rsid w:val="008D429D"/>
    <w:rsid w:val="008D5AC4"/>
    <w:rsid w:val="008D5C71"/>
    <w:rsid w:val="008D5CF6"/>
    <w:rsid w:val="008D6CC2"/>
    <w:rsid w:val="008D7BE8"/>
    <w:rsid w:val="008E007A"/>
    <w:rsid w:val="008E0D74"/>
    <w:rsid w:val="008E0E4C"/>
    <w:rsid w:val="008E17CF"/>
    <w:rsid w:val="008E297D"/>
    <w:rsid w:val="008E3030"/>
    <w:rsid w:val="008E392E"/>
    <w:rsid w:val="008E41EC"/>
    <w:rsid w:val="008E4657"/>
    <w:rsid w:val="008E54B7"/>
    <w:rsid w:val="008E5B60"/>
    <w:rsid w:val="008E5EF7"/>
    <w:rsid w:val="008E6191"/>
    <w:rsid w:val="008E6FB3"/>
    <w:rsid w:val="008E7341"/>
    <w:rsid w:val="008E742A"/>
    <w:rsid w:val="008F004A"/>
    <w:rsid w:val="008F0351"/>
    <w:rsid w:val="008F085A"/>
    <w:rsid w:val="008F0F0B"/>
    <w:rsid w:val="008F1687"/>
    <w:rsid w:val="008F2433"/>
    <w:rsid w:val="008F319F"/>
    <w:rsid w:val="008F38D3"/>
    <w:rsid w:val="008F4046"/>
    <w:rsid w:val="008F4058"/>
    <w:rsid w:val="008F4140"/>
    <w:rsid w:val="008F447C"/>
    <w:rsid w:val="008F4538"/>
    <w:rsid w:val="008F48DA"/>
    <w:rsid w:val="008F5471"/>
    <w:rsid w:val="008F5B5F"/>
    <w:rsid w:val="008F644D"/>
    <w:rsid w:val="008F6C04"/>
    <w:rsid w:val="008F6C4C"/>
    <w:rsid w:val="008F709B"/>
    <w:rsid w:val="008F7B84"/>
    <w:rsid w:val="008F7FFA"/>
    <w:rsid w:val="00900B09"/>
    <w:rsid w:val="00900C69"/>
    <w:rsid w:val="00902083"/>
    <w:rsid w:val="0090257C"/>
    <w:rsid w:val="0090293D"/>
    <w:rsid w:val="009029FB"/>
    <w:rsid w:val="00903279"/>
    <w:rsid w:val="00903559"/>
    <w:rsid w:val="009036A0"/>
    <w:rsid w:val="0090395D"/>
    <w:rsid w:val="00903B1F"/>
    <w:rsid w:val="00904379"/>
    <w:rsid w:val="00904A09"/>
    <w:rsid w:val="00904D7F"/>
    <w:rsid w:val="00905130"/>
    <w:rsid w:val="00905700"/>
    <w:rsid w:val="00905AAF"/>
    <w:rsid w:val="00906087"/>
    <w:rsid w:val="009066F8"/>
    <w:rsid w:val="00906C0F"/>
    <w:rsid w:val="00906F1E"/>
    <w:rsid w:val="009071DF"/>
    <w:rsid w:val="009073AC"/>
    <w:rsid w:val="00907518"/>
    <w:rsid w:val="009076BE"/>
    <w:rsid w:val="00910192"/>
    <w:rsid w:val="0091080D"/>
    <w:rsid w:val="00911864"/>
    <w:rsid w:val="0091197D"/>
    <w:rsid w:val="00912060"/>
    <w:rsid w:val="00912C41"/>
    <w:rsid w:val="009135EC"/>
    <w:rsid w:val="00913A28"/>
    <w:rsid w:val="00913B01"/>
    <w:rsid w:val="009148D0"/>
    <w:rsid w:val="009152B0"/>
    <w:rsid w:val="009156A6"/>
    <w:rsid w:val="00916064"/>
    <w:rsid w:val="009164E6"/>
    <w:rsid w:val="00916A95"/>
    <w:rsid w:val="009204A1"/>
    <w:rsid w:val="00920EEA"/>
    <w:rsid w:val="00921C19"/>
    <w:rsid w:val="00921EEB"/>
    <w:rsid w:val="0092251B"/>
    <w:rsid w:val="00923026"/>
    <w:rsid w:val="0092377A"/>
    <w:rsid w:val="009243A9"/>
    <w:rsid w:val="009248E1"/>
    <w:rsid w:val="00924939"/>
    <w:rsid w:val="009249F2"/>
    <w:rsid w:val="00925853"/>
    <w:rsid w:val="00925CC5"/>
    <w:rsid w:val="00925CDB"/>
    <w:rsid w:val="009262E2"/>
    <w:rsid w:val="00926E0C"/>
    <w:rsid w:val="0092713D"/>
    <w:rsid w:val="009271DD"/>
    <w:rsid w:val="0092737C"/>
    <w:rsid w:val="009277F6"/>
    <w:rsid w:val="00927C37"/>
    <w:rsid w:val="009300B0"/>
    <w:rsid w:val="0093088F"/>
    <w:rsid w:val="00930B05"/>
    <w:rsid w:val="00930BCD"/>
    <w:rsid w:val="00930F4E"/>
    <w:rsid w:val="00931333"/>
    <w:rsid w:val="00931632"/>
    <w:rsid w:val="009316A2"/>
    <w:rsid w:val="009317E1"/>
    <w:rsid w:val="00931F09"/>
    <w:rsid w:val="0093253E"/>
    <w:rsid w:val="00932C89"/>
    <w:rsid w:val="0093348F"/>
    <w:rsid w:val="00933CB7"/>
    <w:rsid w:val="00933F29"/>
    <w:rsid w:val="0093466A"/>
    <w:rsid w:val="009346DC"/>
    <w:rsid w:val="00934DA8"/>
    <w:rsid w:val="00935404"/>
    <w:rsid w:val="00935B0B"/>
    <w:rsid w:val="00935DA3"/>
    <w:rsid w:val="00936338"/>
    <w:rsid w:val="0093662B"/>
    <w:rsid w:val="00936799"/>
    <w:rsid w:val="00936C36"/>
    <w:rsid w:val="00936D31"/>
    <w:rsid w:val="00936D7F"/>
    <w:rsid w:val="0093762F"/>
    <w:rsid w:val="00937B30"/>
    <w:rsid w:val="00940ACC"/>
    <w:rsid w:val="009410B2"/>
    <w:rsid w:val="00941380"/>
    <w:rsid w:val="00941CA4"/>
    <w:rsid w:val="0094285C"/>
    <w:rsid w:val="00942A14"/>
    <w:rsid w:val="009431F7"/>
    <w:rsid w:val="00943247"/>
    <w:rsid w:val="00943670"/>
    <w:rsid w:val="009436CD"/>
    <w:rsid w:val="00943CC7"/>
    <w:rsid w:val="00944547"/>
    <w:rsid w:val="00944D7D"/>
    <w:rsid w:val="00946027"/>
    <w:rsid w:val="0094632E"/>
    <w:rsid w:val="009463B0"/>
    <w:rsid w:val="00947447"/>
    <w:rsid w:val="00947873"/>
    <w:rsid w:val="00947B07"/>
    <w:rsid w:val="00947DBD"/>
    <w:rsid w:val="009504CB"/>
    <w:rsid w:val="0095055F"/>
    <w:rsid w:val="00950A77"/>
    <w:rsid w:val="00950C0F"/>
    <w:rsid w:val="00950DFF"/>
    <w:rsid w:val="00951408"/>
    <w:rsid w:val="009515A2"/>
    <w:rsid w:val="0095178E"/>
    <w:rsid w:val="00951ECC"/>
    <w:rsid w:val="00952719"/>
    <w:rsid w:val="00952E6A"/>
    <w:rsid w:val="00952E92"/>
    <w:rsid w:val="00953204"/>
    <w:rsid w:val="00953276"/>
    <w:rsid w:val="009532BA"/>
    <w:rsid w:val="009537D9"/>
    <w:rsid w:val="00953904"/>
    <w:rsid w:val="00955386"/>
    <w:rsid w:val="009557DB"/>
    <w:rsid w:val="00955BA9"/>
    <w:rsid w:val="0095692F"/>
    <w:rsid w:val="00956C43"/>
    <w:rsid w:val="00956C73"/>
    <w:rsid w:val="00957EAE"/>
    <w:rsid w:val="00960283"/>
    <w:rsid w:val="0096187F"/>
    <w:rsid w:val="009619F5"/>
    <w:rsid w:val="009623EC"/>
    <w:rsid w:val="00963614"/>
    <w:rsid w:val="009637D8"/>
    <w:rsid w:val="00964AC6"/>
    <w:rsid w:val="0096501C"/>
    <w:rsid w:val="0096544C"/>
    <w:rsid w:val="00965586"/>
    <w:rsid w:val="00965DBA"/>
    <w:rsid w:val="00966025"/>
    <w:rsid w:val="009672FA"/>
    <w:rsid w:val="00967933"/>
    <w:rsid w:val="0096796F"/>
    <w:rsid w:val="00967D54"/>
    <w:rsid w:val="009706D6"/>
    <w:rsid w:val="009706E0"/>
    <w:rsid w:val="0097084A"/>
    <w:rsid w:val="00970DED"/>
    <w:rsid w:val="00971072"/>
    <w:rsid w:val="00971125"/>
    <w:rsid w:val="00971DE1"/>
    <w:rsid w:val="00972792"/>
    <w:rsid w:val="00972FE0"/>
    <w:rsid w:val="00973005"/>
    <w:rsid w:val="00973A3D"/>
    <w:rsid w:val="00973CD1"/>
    <w:rsid w:val="00973EE5"/>
    <w:rsid w:val="0097487B"/>
    <w:rsid w:val="009759CC"/>
    <w:rsid w:val="00976344"/>
    <w:rsid w:val="00976AED"/>
    <w:rsid w:val="009772DC"/>
    <w:rsid w:val="009805A4"/>
    <w:rsid w:val="00980759"/>
    <w:rsid w:val="009807F9"/>
    <w:rsid w:val="00980E37"/>
    <w:rsid w:val="009827B0"/>
    <w:rsid w:val="009828DE"/>
    <w:rsid w:val="00983052"/>
    <w:rsid w:val="0098312C"/>
    <w:rsid w:val="00983223"/>
    <w:rsid w:val="0098340B"/>
    <w:rsid w:val="00983724"/>
    <w:rsid w:val="009845D6"/>
    <w:rsid w:val="0098478E"/>
    <w:rsid w:val="009848BA"/>
    <w:rsid w:val="00984900"/>
    <w:rsid w:val="00984B18"/>
    <w:rsid w:val="00984E08"/>
    <w:rsid w:val="00985553"/>
    <w:rsid w:val="00985AE0"/>
    <w:rsid w:val="00985C95"/>
    <w:rsid w:val="00985D35"/>
    <w:rsid w:val="00985E81"/>
    <w:rsid w:val="00986B3E"/>
    <w:rsid w:val="00986DA2"/>
    <w:rsid w:val="00986E6F"/>
    <w:rsid w:val="0098705C"/>
    <w:rsid w:val="00987239"/>
    <w:rsid w:val="0098747E"/>
    <w:rsid w:val="0098754B"/>
    <w:rsid w:val="00987C6C"/>
    <w:rsid w:val="00990166"/>
    <w:rsid w:val="0099059A"/>
    <w:rsid w:val="0099116E"/>
    <w:rsid w:val="009912D4"/>
    <w:rsid w:val="009914B2"/>
    <w:rsid w:val="0099159A"/>
    <w:rsid w:val="009916A5"/>
    <w:rsid w:val="00992F1E"/>
    <w:rsid w:val="00993AB3"/>
    <w:rsid w:val="00993B59"/>
    <w:rsid w:val="00993C31"/>
    <w:rsid w:val="00993C3C"/>
    <w:rsid w:val="00994092"/>
    <w:rsid w:val="009943CC"/>
    <w:rsid w:val="00994BC7"/>
    <w:rsid w:val="00994DA8"/>
    <w:rsid w:val="00995217"/>
    <w:rsid w:val="00995479"/>
    <w:rsid w:val="009958DB"/>
    <w:rsid w:val="009959D1"/>
    <w:rsid w:val="00995CA2"/>
    <w:rsid w:val="009973DF"/>
    <w:rsid w:val="00997CD6"/>
    <w:rsid w:val="00997D43"/>
    <w:rsid w:val="00997EF3"/>
    <w:rsid w:val="009A0093"/>
    <w:rsid w:val="009A0278"/>
    <w:rsid w:val="009A0918"/>
    <w:rsid w:val="009A0CA1"/>
    <w:rsid w:val="009A0EF9"/>
    <w:rsid w:val="009A1073"/>
    <w:rsid w:val="009A1081"/>
    <w:rsid w:val="009A108C"/>
    <w:rsid w:val="009A1182"/>
    <w:rsid w:val="009A185F"/>
    <w:rsid w:val="009A1E87"/>
    <w:rsid w:val="009A2F1D"/>
    <w:rsid w:val="009A3397"/>
    <w:rsid w:val="009A3EF0"/>
    <w:rsid w:val="009A42B9"/>
    <w:rsid w:val="009A4469"/>
    <w:rsid w:val="009A4E76"/>
    <w:rsid w:val="009A53A9"/>
    <w:rsid w:val="009A5931"/>
    <w:rsid w:val="009A59AA"/>
    <w:rsid w:val="009A5D89"/>
    <w:rsid w:val="009A6224"/>
    <w:rsid w:val="009A6502"/>
    <w:rsid w:val="009A6927"/>
    <w:rsid w:val="009A6B37"/>
    <w:rsid w:val="009A6C15"/>
    <w:rsid w:val="009A6DAE"/>
    <w:rsid w:val="009A6FEA"/>
    <w:rsid w:val="009A72A5"/>
    <w:rsid w:val="009A7B16"/>
    <w:rsid w:val="009B0463"/>
    <w:rsid w:val="009B075E"/>
    <w:rsid w:val="009B0BD9"/>
    <w:rsid w:val="009B1C05"/>
    <w:rsid w:val="009B2620"/>
    <w:rsid w:val="009B327C"/>
    <w:rsid w:val="009B423D"/>
    <w:rsid w:val="009B42F4"/>
    <w:rsid w:val="009B489A"/>
    <w:rsid w:val="009B5416"/>
    <w:rsid w:val="009B56A3"/>
    <w:rsid w:val="009B5AB5"/>
    <w:rsid w:val="009B5E43"/>
    <w:rsid w:val="009B5F74"/>
    <w:rsid w:val="009B62D6"/>
    <w:rsid w:val="009B6305"/>
    <w:rsid w:val="009B6776"/>
    <w:rsid w:val="009B6860"/>
    <w:rsid w:val="009B6B4F"/>
    <w:rsid w:val="009B72DB"/>
    <w:rsid w:val="009B7354"/>
    <w:rsid w:val="009B7614"/>
    <w:rsid w:val="009B7808"/>
    <w:rsid w:val="009B7C75"/>
    <w:rsid w:val="009B7F33"/>
    <w:rsid w:val="009C01F5"/>
    <w:rsid w:val="009C0240"/>
    <w:rsid w:val="009C0B27"/>
    <w:rsid w:val="009C0B99"/>
    <w:rsid w:val="009C0FBD"/>
    <w:rsid w:val="009C10BA"/>
    <w:rsid w:val="009C15A9"/>
    <w:rsid w:val="009C16C2"/>
    <w:rsid w:val="009C1D87"/>
    <w:rsid w:val="009C2080"/>
    <w:rsid w:val="009C2892"/>
    <w:rsid w:val="009C3346"/>
    <w:rsid w:val="009C3677"/>
    <w:rsid w:val="009C38D2"/>
    <w:rsid w:val="009C3B5E"/>
    <w:rsid w:val="009C4553"/>
    <w:rsid w:val="009C48D9"/>
    <w:rsid w:val="009C4A61"/>
    <w:rsid w:val="009C4D2B"/>
    <w:rsid w:val="009C5C55"/>
    <w:rsid w:val="009C62AC"/>
    <w:rsid w:val="009C645B"/>
    <w:rsid w:val="009C71C7"/>
    <w:rsid w:val="009C767D"/>
    <w:rsid w:val="009D077D"/>
    <w:rsid w:val="009D1726"/>
    <w:rsid w:val="009D2650"/>
    <w:rsid w:val="009D268C"/>
    <w:rsid w:val="009D28DF"/>
    <w:rsid w:val="009D29B7"/>
    <w:rsid w:val="009D2E5D"/>
    <w:rsid w:val="009D396D"/>
    <w:rsid w:val="009D3A90"/>
    <w:rsid w:val="009D3B14"/>
    <w:rsid w:val="009D3DCE"/>
    <w:rsid w:val="009D407B"/>
    <w:rsid w:val="009D41FE"/>
    <w:rsid w:val="009D44A1"/>
    <w:rsid w:val="009D4C66"/>
    <w:rsid w:val="009D547C"/>
    <w:rsid w:val="009D58EA"/>
    <w:rsid w:val="009D5924"/>
    <w:rsid w:val="009D60AF"/>
    <w:rsid w:val="009D691C"/>
    <w:rsid w:val="009D6FED"/>
    <w:rsid w:val="009D7B02"/>
    <w:rsid w:val="009E065F"/>
    <w:rsid w:val="009E0B2D"/>
    <w:rsid w:val="009E1914"/>
    <w:rsid w:val="009E1CB0"/>
    <w:rsid w:val="009E20C1"/>
    <w:rsid w:val="009E22F1"/>
    <w:rsid w:val="009E2978"/>
    <w:rsid w:val="009E2ADC"/>
    <w:rsid w:val="009E3612"/>
    <w:rsid w:val="009E3919"/>
    <w:rsid w:val="009E3B5B"/>
    <w:rsid w:val="009E4293"/>
    <w:rsid w:val="009E484A"/>
    <w:rsid w:val="009E48EF"/>
    <w:rsid w:val="009E5931"/>
    <w:rsid w:val="009E6724"/>
    <w:rsid w:val="009E7177"/>
    <w:rsid w:val="009F09D5"/>
    <w:rsid w:val="009F09D6"/>
    <w:rsid w:val="009F0F32"/>
    <w:rsid w:val="009F0FF1"/>
    <w:rsid w:val="009F116B"/>
    <w:rsid w:val="009F17C9"/>
    <w:rsid w:val="009F2092"/>
    <w:rsid w:val="009F2800"/>
    <w:rsid w:val="009F3EDD"/>
    <w:rsid w:val="009F4558"/>
    <w:rsid w:val="009F48CE"/>
    <w:rsid w:val="009F4C09"/>
    <w:rsid w:val="009F5E34"/>
    <w:rsid w:val="009F60AD"/>
    <w:rsid w:val="009F60F5"/>
    <w:rsid w:val="009F6314"/>
    <w:rsid w:val="009F68C9"/>
    <w:rsid w:val="009F6F7F"/>
    <w:rsid w:val="009F7183"/>
    <w:rsid w:val="009F752A"/>
    <w:rsid w:val="00A00095"/>
    <w:rsid w:val="00A008D1"/>
    <w:rsid w:val="00A00A07"/>
    <w:rsid w:val="00A019D0"/>
    <w:rsid w:val="00A02637"/>
    <w:rsid w:val="00A02880"/>
    <w:rsid w:val="00A02B02"/>
    <w:rsid w:val="00A02DE8"/>
    <w:rsid w:val="00A0322E"/>
    <w:rsid w:val="00A034DD"/>
    <w:rsid w:val="00A03F68"/>
    <w:rsid w:val="00A047FD"/>
    <w:rsid w:val="00A0502C"/>
    <w:rsid w:val="00A055AE"/>
    <w:rsid w:val="00A05774"/>
    <w:rsid w:val="00A058EB"/>
    <w:rsid w:val="00A064EF"/>
    <w:rsid w:val="00A06B1F"/>
    <w:rsid w:val="00A0775B"/>
    <w:rsid w:val="00A07CF3"/>
    <w:rsid w:val="00A07DE8"/>
    <w:rsid w:val="00A1002D"/>
    <w:rsid w:val="00A10084"/>
    <w:rsid w:val="00A100F6"/>
    <w:rsid w:val="00A10393"/>
    <w:rsid w:val="00A110CD"/>
    <w:rsid w:val="00A11194"/>
    <w:rsid w:val="00A1165C"/>
    <w:rsid w:val="00A121B7"/>
    <w:rsid w:val="00A123C5"/>
    <w:rsid w:val="00A123C7"/>
    <w:rsid w:val="00A1250E"/>
    <w:rsid w:val="00A12F5F"/>
    <w:rsid w:val="00A130AB"/>
    <w:rsid w:val="00A13F7E"/>
    <w:rsid w:val="00A13FB2"/>
    <w:rsid w:val="00A140E7"/>
    <w:rsid w:val="00A143F6"/>
    <w:rsid w:val="00A15121"/>
    <w:rsid w:val="00A155B5"/>
    <w:rsid w:val="00A16368"/>
    <w:rsid w:val="00A16892"/>
    <w:rsid w:val="00A1698D"/>
    <w:rsid w:val="00A16B02"/>
    <w:rsid w:val="00A17296"/>
    <w:rsid w:val="00A1760C"/>
    <w:rsid w:val="00A1799A"/>
    <w:rsid w:val="00A20390"/>
    <w:rsid w:val="00A20793"/>
    <w:rsid w:val="00A20D14"/>
    <w:rsid w:val="00A2175C"/>
    <w:rsid w:val="00A21B6D"/>
    <w:rsid w:val="00A21C3B"/>
    <w:rsid w:val="00A22E53"/>
    <w:rsid w:val="00A23722"/>
    <w:rsid w:val="00A2410D"/>
    <w:rsid w:val="00A243AA"/>
    <w:rsid w:val="00A243B7"/>
    <w:rsid w:val="00A243CD"/>
    <w:rsid w:val="00A24859"/>
    <w:rsid w:val="00A24A9E"/>
    <w:rsid w:val="00A25485"/>
    <w:rsid w:val="00A2613E"/>
    <w:rsid w:val="00A269D0"/>
    <w:rsid w:val="00A27130"/>
    <w:rsid w:val="00A274CA"/>
    <w:rsid w:val="00A27532"/>
    <w:rsid w:val="00A275C1"/>
    <w:rsid w:val="00A27B72"/>
    <w:rsid w:val="00A3030A"/>
    <w:rsid w:val="00A30906"/>
    <w:rsid w:val="00A30D9C"/>
    <w:rsid w:val="00A30F62"/>
    <w:rsid w:val="00A314B4"/>
    <w:rsid w:val="00A31BF4"/>
    <w:rsid w:val="00A31DB7"/>
    <w:rsid w:val="00A31FCC"/>
    <w:rsid w:val="00A3206F"/>
    <w:rsid w:val="00A3222E"/>
    <w:rsid w:val="00A323F8"/>
    <w:rsid w:val="00A32597"/>
    <w:rsid w:val="00A3262D"/>
    <w:rsid w:val="00A327AC"/>
    <w:rsid w:val="00A32C12"/>
    <w:rsid w:val="00A33307"/>
    <w:rsid w:val="00A33413"/>
    <w:rsid w:val="00A339AC"/>
    <w:rsid w:val="00A33C22"/>
    <w:rsid w:val="00A349A9"/>
    <w:rsid w:val="00A34D18"/>
    <w:rsid w:val="00A36237"/>
    <w:rsid w:val="00A370F1"/>
    <w:rsid w:val="00A373DC"/>
    <w:rsid w:val="00A3772C"/>
    <w:rsid w:val="00A40357"/>
    <w:rsid w:val="00A40A31"/>
    <w:rsid w:val="00A415C5"/>
    <w:rsid w:val="00A418DB"/>
    <w:rsid w:val="00A4192D"/>
    <w:rsid w:val="00A425B4"/>
    <w:rsid w:val="00A42600"/>
    <w:rsid w:val="00A427B3"/>
    <w:rsid w:val="00A42933"/>
    <w:rsid w:val="00A42D6C"/>
    <w:rsid w:val="00A43372"/>
    <w:rsid w:val="00A4380B"/>
    <w:rsid w:val="00A4382C"/>
    <w:rsid w:val="00A43E8D"/>
    <w:rsid w:val="00A441A2"/>
    <w:rsid w:val="00A441D0"/>
    <w:rsid w:val="00A444C0"/>
    <w:rsid w:val="00A4513B"/>
    <w:rsid w:val="00A45414"/>
    <w:rsid w:val="00A466EC"/>
    <w:rsid w:val="00A466F9"/>
    <w:rsid w:val="00A467B8"/>
    <w:rsid w:val="00A46FB0"/>
    <w:rsid w:val="00A470D6"/>
    <w:rsid w:val="00A47200"/>
    <w:rsid w:val="00A47341"/>
    <w:rsid w:val="00A500FF"/>
    <w:rsid w:val="00A50462"/>
    <w:rsid w:val="00A50D6E"/>
    <w:rsid w:val="00A518B5"/>
    <w:rsid w:val="00A51C5A"/>
    <w:rsid w:val="00A52179"/>
    <w:rsid w:val="00A52513"/>
    <w:rsid w:val="00A53498"/>
    <w:rsid w:val="00A53FAC"/>
    <w:rsid w:val="00A542E9"/>
    <w:rsid w:val="00A545D6"/>
    <w:rsid w:val="00A558C9"/>
    <w:rsid w:val="00A558D2"/>
    <w:rsid w:val="00A55E72"/>
    <w:rsid w:val="00A562B1"/>
    <w:rsid w:val="00A5645B"/>
    <w:rsid w:val="00A5667C"/>
    <w:rsid w:val="00A566BC"/>
    <w:rsid w:val="00A5680B"/>
    <w:rsid w:val="00A56A19"/>
    <w:rsid w:val="00A56AEC"/>
    <w:rsid w:val="00A577FE"/>
    <w:rsid w:val="00A57FED"/>
    <w:rsid w:val="00A60044"/>
    <w:rsid w:val="00A6063C"/>
    <w:rsid w:val="00A60B44"/>
    <w:rsid w:val="00A60BE5"/>
    <w:rsid w:val="00A619CA"/>
    <w:rsid w:val="00A61A1E"/>
    <w:rsid w:val="00A61CA2"/>
    <w:rsid w:val="00A6271A"/>
    <w:rsid w:val="00A62870"/>
    <w:rsid w:val="00A63153"/>
    <w:rsid w:val="00A6330E"/>
    <w:rsid w:val="00A63335"/>
    <w:rsid w:val="00A63CEC"/>
    <w:rsid w:val="00A6424F"/>
    <w:rsid w:val="00A64FD7"/>
    <w:rsid w:val="00A65497"/>
    <w:rsid w:val="00A6573E"/>
    <w:rsid w:val="00A657A0"/>
    <w:rsid w:val="00A663DD"/>
    <w:rsid w:val="00A6646A"/>
    <w:rsid w:val="00A6672D"/>
    <w:rsid w:val="00A67283"/>
    <w:rsid w:val="00A70610"/>
    <w:rsid w:val="00A7267F"/>
    <w:rsid w:val="00A72ABD"/>
    <w:rsid w:val="00A72F27"/>
    <w:rsid w:val="00A73213"/>
    <w:rsid w:val="00A7448E"/>
    <w:rsid w:val="00A74D8A"/>
    <w:rsid w:val="00A74E27"/>
    <w:rsid w:val="00A74EE8"/>
    <w:rsid w:val="00A75D05"/>
    <w:rsid w:val="00A75E6F"/>
    <w:rsid w:val="00A768BE"/>
    <w:rsid w:val="00A77A5B"/>
    <w:rsid w:val="00A77D00"/>
    <w:rsid w:val="00A804F9"/>
    <w:rsid w:val="00A80DFF"/>
    <w:rsid w:val="00A80E21"/>
    <w:rsid w:val="00A826CA"/>
    <w:rsid w:val="00A82A2C"/>
    <w:rsid w:val="00A82EED"/>
    <w:rsid w:val="00A834A0"/>
    <w:rsid w:val="00A83E3F"/>
    <w:rsid w:val="00A8430F"/>
    <w:rsid w:val="00A84EFD"/>
    <w:rsid w:val="00A85215"/>
    <w:rsid w:val="00A85D54"/>
    <w:rsid w:val="00A865D9"/>
    <w:rsid w:val="00A86E6B"/>
    <w:rsid w:val="00A873E4"/>
    <w:rsid w:val="00A875F5"/>
    <w:rsid w:val="00A87E35"/>
    <w:rsid w:val="00A9002A"/>
    <w:rsid w:val="00A900F0"/>
    <w:rsid w:val="00A91118"/>
    <w:rsid w:val="00A914AD"/>
    <w:rsid w:val="00A9170F"/>
    <w:rsid w:val="00A91962"/>
    <w:rsid w:val="00A91EF0"/>
    <w:rsid w:val="00A9214A"/>
    <w:rsid w:val="00A927B8"/>
    <w:rsid w:val="00A929D4"/>
    <w:rsid w:val="00A92FC0"/>
    <w:rsid w:val="00A93315"/>
    <w:rsid w:val="00A93489"/>
    <w:rsid w:val="00A93D69"/>
    <w:rsid w:val="00A94134"/>
    <w:rsid w:val="00A94665"/>
    <w:rsid w:val="00A94F52"/>
    <w:rsid w:val="00A95465"/>
    <w:rsid w:val="00A956E1"/>
    <w:rsid w:val="00A95C99"/>
    <w:rsid w:val="00A967DF"/>
    <w:rsid w:val="00A9725B"/>
    <w:rsid w:val="00A978E8"/>
    <w:rsid w:val="00A97CAD"/>
    <w:rsid w:val="00AA013A"/>
    <w:rsid w:val="00AA0500"/>
    <w:rsid w:val="00AA1349"/>
    <w:rsid w:val="00AA1723"/>
    <w:rsid w:val="00AA1A4E"/>
    <w:rsid w:val="00AA213E"/>
    <w:rsid w:val="00AA2790"/>
    <w:rsid w:val="00AA286C"/>
    <w:rsid w:val="00AA2AD0"/>
    <w:rsid w:val="00AA2F67"/>
    <w:rsid w:val="00AA2FDD"/>
    <w:rsid w:val="00AA3C53"/>
    <w:rsid w:val="00AA43B2"/>
    <w:rsid w:val="00AA4D9F"/>
    <w:rsid w:val="00AA57C4"/>
    <w:rsid w:val="00AA5893"/>
    <w:rsid w:val="00AA5D63"/>
    <w:rsid w:val="00AA70A6"/>
    <w:rsid w:val="00AA7802"/>
    <w:rsid w:val="00AA791C"/>
    <w:rsid w:val="00AA7A13"/>
    <w:rsid w:val="00AA7DAE"/>
    <w:rsid w:val="00AB03CD"/>
    <w:rsid w:val="00AB0409"/>
    <w:rsid w:val="00AB0973"/>
    <w:rsid w:val="00AB0CE2"/>
    <w:rsid w:val="00AB108F"/>
    <w:rsid w:val="00AB20BB"/>
    <w:rsid w:val="00AB3AB3"/>
    <w:rsid w:val="00AB3CF6"/>
    <w:rsid w:val="00AB3DBE"/>
    <w:rsid w:val="00AB3EC2"/>
    <w:rsid w:val="00AB409E"/>
    <w:rsid w:val="00AB40D6"/>
    <w:rsid w:val="00AB4465"/>
    <w:rsid w:val="00AB4A58"/>
    <w:rsid w:val="00AB4D35"/>
    <w:rsid w:val="00AB574E"/>
    <w:rsid w:val="00AB5885"/>
    <w:rsid w:val="00AB5FF6"/>
    <w:rsid w:val="00AB647F"/>
    <w:rsid w:val="00AB64EA"/>
    <w:rsid w:val="00AB6CB2"/>
    <w:rsid w:val="00AC043E"/>
    <w:rsid w:val="00AC05FC"/>
    <w:rsid w:val="00AC0730"/>
    <w:rsid w:val="00AC13A9"/>
    <w:rsid w:val="00AC1CCD"/>
    <w:rsid w:val="00AC20FB"/>
    <w:rsid w:val="00AC239E"/>
    <w:rsid w:val="00AC35CC"/>
    <w:rsid w:val="00AC401A"/>
    <w:rsid w:val="00AC4205"/>
    <w:rsid w:val="00AC4226"/>
    <w:rsid w:val="00AC45DE"/>
    <w:rsid w:val="00AC6437"/>
    <w:rsid w:val="00AC6E5C"/>
    <w:rsid w:val="00AC71EC"/>
    <w:rsid w:val="00AC736E"/>
    <w:rsid w:val="00AC79C4"/>
    <w:rsid w:val="00AC7C19"/>
    <w:rsid w:val="00AC7FD7"/>
    <w:rsid w:val="00AD015F"/>
    <w:rsid w:val="00AD0559"/>
    <w:rsid w:val="00AD0BBE"/>
    <w:rsid w:val="00AD12B1"/>
    <w:rsid w:val="00AD12B8"/>
    <w:rsid w:val="00AD1D20"/>
    <w:rsid w:val="00AD28BB"/>
    <w:rsid w:val="00AD296A"/>
    <w:rsid w:val="00AD29FB"/>
    <w:rsid w:val="00AD38D1"/>
    <w:rsid w:val="00AD452C"/>
    <w:rsid w:val="00AD4C00"/>
    <w:rsid w:val="00AD5246"/>
    <w:rsid w:val="00AD5504"/>
    <w:rsid w:val="00AD55D6"/>
    <w:rsid w:val="00AD61C0"/>
    <w:rsid w:val="00AD634D"/>
    <w:rsid w:val="00AD7660"/>
    <w:rsid w:val="00AD7969"/>
    <w:rsid w:val="00AD7AB6"/>
    <w:rsid w:val="00AD7C47"/>
    <w:rsid w:val="00AE0397"/>
    <w:rsid w:val="00AE1723"/>
    <w:rsid w:val="00AE2922"/>
    <w:rsid w:val="00AE2CEB"/>
    <w:rsid w:val="00AE44C7"/>
    <w:rsid w:val="00AE4BA5"/>
    <w:rsid w:val="00AE52F8"/>
    <w:rsid w:val="00AE5381"/>
    <w:rsid w:val="00AE6047"/>
    <w:rsid w:val="00AE6CF0"/>
    <w:rsid w:val="00AE70D4"/>
    <w:rsid w:val="00AE74EA"/>
    <w:rsid w:val="00AE7D8E"/>
    <w:rsid w:val="00AF03B7"/>
    <w:rsid w:val="00AF0787"/>
    <w:rsid w:val="00AF0B47"/>
    <w:rsid w:val="00AF10A1"/>
    <w:rsid w:val="00AF115B"/>
    <w:rsid w:val="00AF12AF"/>
    <w:rsid w:val="00AF13B2"/>
    <w:rsid w:val="00AF1477"/>
    <w:rsid w:val="00AF23DC"/>
    <w:rsid w:val="00AF2437"/>
    <w:rsid w:val="00AF2582"/>
    <w:rsid w:val="00AF2842"/>
    <w:rsid w:val="00AF2A88"/>
    <w:rsid w:val="00AF42F5"/>
    <w:rsid w:val="00AF5DB7"/>
    <w:rsid w:val="00AF5E00"/>
    <w:rsid w:val="00AF6C1D"/>
    <w:rsid w:val="00B005DA"/>
    <w:rsid w:val="00B01371"/>
    <w:rsid w:val="00B015F7"/>
    <w:rsid w:val="00B0191A"/>
    <w:rsid w:val="00B01AA0"/>
    <w:rsid w:val="00B0264C"/>
    <w:rsid w:val="00B02AAD"/>
    <w:rsid w:val="00B03602"/>
    <w:rsid w:val="00B036E4"/>
    <w:rsid w:val="00B03E06"/>
    <w:rsid w:val="00B0490A"/>
    <w:rsid w:val="00B04E38"/>
    <w:rsid w:val="00B04F77"/>
    <w:rsid w:val="00B0566B"/>
    <w:rsid w:val="00B06878"/>
    <w:rsid w:val="00B079DB"/>
    <w:rsid w:val="00B07A4F"/>
    <w:rsid w:val="00B102D0"/>
    <w:rsid w:val="00B110DE"/>
    <w:rsid w:val="00B11386"/>
    <w:rsid w:val="00B117E1"/>
    <w:rsid w:val="00B11A45"/>
    <w:rsid w:val="00B11DBC"/>
    <w:rsid w:val="00B125AE"/>
    <w:rsid w:val="00B12986"/>
    <w:rsid w:val="00B12A2F"/>
    <w:rsid w:val="00B12D73"/>
    <w:rsid w:val="00B12E40"/>
    <w:rsid w:val="00B12FA3"/>
    <w:rsid w:val="00B13045"/>
    <w:rsid w:val="00B13C02"/>
    <w:rsid w:val="00B1425E"/>
    <w:rsid w:val="00B14321"/>
    <w:rsid w:val="00B152B7"/>
    <w:rsid w:val="00B15C1C"/>
    <w:rsid w:val="00B162A6"/>
    <w:rsid w:val="00B1754A"/>
    <w:rsid w:val="00B17B2A"/>
    <w:rsid w:val="00B17ED4"/>
    <w:rsid w:val="00B20509"/>
    <w:rsid w:val="00B20ABD"/>
    <w:rsid w:val="00B21932"/>
    <w:rsid w:val="00B21A29"/>
    <w:rsid w:val="00B221F5"/>
    <w:rsid w:val="00B224E9"/>
    <w:rsid w:val="00B226B1"/>
    <w:rsid w:val="00B22A21"/>
    <w:rsid w:val="00B22E33"/>
    <w:rsid w:val="00B232F1"/>
    <w:rsid w:val="00B23CC0"/>
    <w:rsid w:val="00B23ED7"/>
    <w:rsid w:val="00B24C18"/>
    <w:rsid w:val="00B24CB0"/>
    <w:rsid w:val="00B24E04"/>
    <w:rsid w:val="00B253F1"/>
    <w:rsid w:val="00B2558C"/>
    <w:rsid w:val="00B2571B"/>
    <w:rsid w:val="00B25F6D"/>
    <w:rsid w:val="00B265BB"/>
    <w:rsid w:val="00B26E61"/>
    <w:rsid w:val="00B26FD3"/>
    <w:rsid w:val="00B27249"/>
    <w:rsid w:val="00B3034F"/>
    <w:rsid w:val="00B3036C"/>
    <w:rsid w:val="00B30D84"/>
    <w:rsid w:val="00B312A9"/>
    <w:rsid w:val="00B31E93"/>
    <w:rsid w:val="00B31F3D"/>
    <w:rsid w:val="00B324AE"/>
    <w:rsid w:val="00B337AB"/>
    <w:rsid w:val="00B34327"/>
    <w:rsid w:val="00B3444B"/>
    <w:rsid w:val="00B34E31"/>
    <w:rsid w:val="00B35FF1"/>
    <w:rsid w:val="00B3607F"/>
    <w:rsid w:val="00B367DD"/>
    <w:rsid w:val="00B37BBC"/>
    <w:rsid w:val="00B37BD7"/>
    <w:rsid w:val="00B4074A"/>
    <w:rsid w:val="00B407CD"/>
    <w:rsid w:val="00B40A97"/>
    <w:rsid w:val="00B40C0F"/>
    <w:rsid w:val="00B40E85"/>
    <w:rsid w:val="00B4125F"/>
    <w:rsid w:val="00B41438"/>
    <w:rsid w:val="00B417C8"/>
    <w:rsid w:val="00B41AB5"/>
    <w:rsid w:val="00B4205B"/>
    <w:rsid w:val="00B424CF"/>
    <w:rsid w:val="00B436D9"/>
    <w:rsid w:val="00B438ED"/>
    <w:rsid w:val="00B43928"/>
    <w:rsid w:val="00B43A15"/>
    <w:rsid w:val="00B43D77"/>
    <w:rsid w:val="00B44968"/>
    <w:rsid w:val="00B44A40"/>
    <w:rsid w:val="00B44F33"/>
    <w:rsid w:val="00B452CB"/>
    <w:rsid w:val="00B45551"/>
    <w:rsid w:val="00B45600"/>
    <w:rsid w:val="00B45652"/>
    <w:rsid w:val="00B45BCE"/>
    <w:rsid w:val="00B46480"/>
    <w:rsid w:val="00B469D8"/>
    <w:rsid w:val="00B46A90"/>
    <w:rsid w:val="00B47865"/>
    <w:rsid w:val="00B47A5B"/>
    <w:rsid w:val="00B47C91"/>
    <w:rsid w:val="00B5060D"/>
    <w:rsid w:val="00B511F9"/>
    <w:rsid w:val="00B512A0"/>
    <w:rsid w:val="00B51AB4"/>
    <w:rsid w:val="00B524D2"/>
    <w:rsid w:val="00B526A2"/>
    <w:rsid w:val="00B52725"/>
    <w:rsid w:val="00B52A01"/>
    <w:rsid w:val="00B52C63"/>
    <w:rsid w:val="00B52D86"/>
    <w:rsid w:val="00B53060"/>
    <w:rsid w:val="00B5342B"/>
    <w:rsid w:val="00B53C07"/>
    <w:rsid w:val="00B53FB9"/>
    <w:rsid w:val="00B54144"/>
    <w:rsid w:val="00B542DD"/>
    <w:rsid w:val="00B54B27"/>
    <w:rsid w:val="00B550F5"/>
    <w:rsid w:val="00B553C5"/>
    <w:rsid w:val="00B56248"/>
    <w:rsid w:val="00B5660B"/>
    <w:rsid w:val="00B60D82"/>
    <w:rsid w:val="00B60DC0"/>
    <w:rsid w:val="00B6153C"/>
    <w:rsid w:val="00B61AC8"/>
    <w:rsid w:val="00B61B75"/>
    <w:rsid w:val="00B61CD9"/>
    <w:rsid w:val="00B6208D"/>
    <w:rsid w:val="00B62121"/>
    <w:rsid w:val="00B62A76"/>
    <w:rsid w:val="00B62E43"/>
    <w:rsid w:val="00B62EB5"/>
    <w:rsid w:val="00B62FEC"/>
    <w:rsid w:val="00B6311E"/>
    <w:rsid w:val="00B64050"/>
    <w:rsid w:val="00B64519"/>
    <w:rsid w:val="00B647EA"/>
    <w:rsid w:val="00B64819"/>
    <w:rsid w:val="00B64C35"/>
    <w:rsid w:val="00B64E7F"/>
    <w:rsid w:val="00B65939"/>
    <w:rsid w:val="00B6667B"/>
    <w:rsid w:val="00B6755E"/>
    <w:rsid w:val="00B677C5"/>
    <w:rsid w:val="00B700EF"/>
    <w:rsid w:val="00B70484"/>
    <w:rsid w:val="00B71328"/>
    <w:rsid w:val="00B7157D"/>
    <w:rsid w:val="00B720B1"/>
    <w:rsid w:val="00B720D6"/>
    <w:rsid w:val="00B72E85"/>
    <w:rsid w:val="00B73D34"/>
    <w:rsid w:val="00B74A37"/>
    <w:rsid w:val="00B74D0E"/>
    <w:rsid w:val="00B75389"/>
    <w:rsid w:val="00B75ACC"/>
    <w:rsid w:val="00B75C4D"/>
    <w:rsid w:val="00B7613C"/>
    <w:rsid w:val="00B768A9"/>
    <w:rsid w:val="00B774E4"/>
    <w:rsid w:val="00B77AF6"/>
    <w:rsid w:val="00B77E41"/>
    <w:rsid w:val="00B803B7"/>
    <w:rsid w:val="00B82231"/>
    <w:rsid w:val="00B835A3"/>
    <w:rsid w:val="00B83616"/>
    <w:rsid w:val="00B83764"/>
    <w:rsid w:val="00B837FA"/>
    <w:rsid w:val="00B84002"/>
    <w:rsid w:val="00B84829"/>
    <w:rsid w:val="00B84CFF"/>
    <w:rsid w:val="00B85222"/>
    <w:rsid w:val="00B8583D"/>
    <w:rsid w:val="00B85A98"/>
    <w:rsid w:val="00B85FF6"/>
    <w:rsid w:val="00B86079"/>
    <w:rsid w:val="00B86B21"/>
    <w:rsid w:val="00B86C9D"/>
    <w:rsid w:val="00B8797E"/>
    <w:rsid w:val="00B87D89"/>
    <w:rsid w:val="00B87E73"/>
    <w:rsid w:val="00B9001E"/>
    <w:rsid w:val="00B911BA"/>
    <w:rsid w:val="00B917B6"/>
    <w:rsid w:val="00B918AB"/>
    <w:rsid w:val="00B91F7C"/>
    <w:rsid w:val="00B928A2"/>
    <w:rsid w:val="00B928C9"/>
    <w:rsid w:val="00B92B0C"/>
    <w:rsid w:val="00B934D2"/>
    <w:rsid w:val="00B93B1E"/>
    <w:rsid w:val="00B944C5"/>
    <w:rsid w:val="00B94E92"/>
    <w:rsid w:val="00B94F5C"/>
    <w:rsid w:val="00B95421"/>
    <w:rsid w:val="00B95C46"/>
    <w:rsid w:val="00B9642C"/>
    <w:rsid w:val="00B9649C"/>
    <w:rsid w:val="00B96B1B"/>
    <w:rsid w:val="00B96B5E"/>
    <w:rsid w:val="00B96B96"/>
    <w:rsid w:val="00B973E0"/>
    <w:rsid w:val="00B97D0A"/>
    <w:rsid w:val="00B97EF4"/>
    <w:rsid w:val="00BA1485"/>
    <w:rsid w:val="00BA190C"/>
    <w:rsid w:val="00BA1C65"/>
    <w:rsid w:val="00BA1F4C"/>
    <w:rsid w:val="00BA215C"/>
    <w:rsid w:val="00BA2CAB"/>
    <w:rsid w:val="00BA2D28"/>
    <w:rsid w:val="00BA2F7B"/>
    <w:rsid w:val="00BA34A1"/>
    <w:rsid w:val="00BA39FC"/>
    <w:rsid w:val="00BA430D"/>
    <w:rsid w:val="00BA4497"/>
    <w:rsid w:val="00BA5857"/>
    <w:rsid w:val="00BA5E33"/>
    <w:rsid w:val="00BA6FA3"/>
    <w:rsid w:val="00BA70D6"/>
    <w:rsid w:val="00BA7A29"/>
    <w:rsid w:val="00BA7AF7"/>
    <w:rsid w:val="00BA7D9A"/>
    <w:rsid w:val="00BB0AA5"/>
    <w:rsid w:val="00BB141A"/>
    <w:rsid w:val="00BB1C80"/>
    <w:rsid w:val="00BB241A"/>
    <w:rsid w:val="00BB2424"/>
    <w:rsid w:val="00BB24DE"/>
    <w:rsid w:val="00BB2557"/>
    <w:rsid w:val="00BB2864"/>
    <w:rsid w:val="00BB2A01"/>
    <w:rsid w:val="00BB2C7B"/>
    <w:rsid w:val="00BB30F4"/>
    <w:rsid w:val="00BB3637"/>
    <w:rsid w:val="00BB4A1C"/>
    <w:rsid w:val="00BB4F46"/>
    <w:rsid w:val="00BB5614"/>
    <w:rsid w:val="00BB5A7C"/>
    <w:rsid w:val="00BB5ED8"/>
    <w:rsid w:val="00BB7102"/>
    <w:rsid w:val="00BB71AB"/>
    <w:rsid w:val="00BC0080"/>
    <w:rsid w:val="00BC00CC"/>
    <w:rsid w:val="00BC056E"/>
    <w:rsid w:val="00BC1879"/>
    <w:rsid w:val="00BC1A85"/>
    <w:rsid w:val="00BC1AA3"/>
    <w:rsid w:val="00BC2E05"/>
    <w:rsid w:val="00BC2F8A"/>
    <w:rsid w:val="00BC311D"/>
    <w:rsid w:val="00BC39D8"/>
    <w:rsid w:val="00BC5000"/>
    <w:rsid w:val="00BC5640"/>
    <w:rsid w:val="00BC5734"/>
    <w:rsid w:val="00BC5B88"/>
    <w:rsid w:val="00BC5B97"/>
    <w:rsid w:val="00BC60D0"/>
    <w:rsid w:val="00BC62C0"/>
    <w:rsid w:val="00BC6A24"/>
    <w:rsid w:val="00BC6C68"/>
    <w:rsid w:val="00BC6EF7"/>
    <w:rsid w:val="00BC7009"/>
    <w:rsid w:val="00BC708B"/>
    <w:rsid w:val="00BC7198"/>
    <w:rsid w:val="00BC7664"/>
    <w:rsid w:val="00BC790D"/>
    <w:rsid w:val="00BC7CB0"/>
    <w:rsid w:val="00BD066D"/>
    <w:rsid w:val="00BD1003"/>
    <w:rsid w:val="00BD109C"/>
    <w:rsid w:val="00BD10E7"/>
    <w:rsid w:val="00BD1D22"/>
    <w:rsid w:val="00BD1F5B"/>
    <w:rsid w:val="00BD2565"/>
    <w:rsid w:val="00BD2E3B"/>
    <w:rsid w:val="00BD39FA"/>
    <w:rsid w:val="00BD3DB6"/>
    <w:rsid w:val="00BD3E68"/>
    <w:rsid w:val="00BD452D"/>
    <w:rsid w:val="00BD46F5"/>
    <w:rsid w:val="00BD4836"/>
    <w:rsid w:val="00BD48D4"/>
    <w:rsid w:val="00BD7FE2"/>
    <w:rsid w:val="00BE0360"/>
    <w:rsid w:val="00BE05B1"/>
    <w:rsid w:val="00BE05E3"/>
    <w:rsid w:val="00BE173D"/>
    <w:rsid w:val="00BE1A18"/>
    <w:rsid w:val="00BE1A26"/>
    <w:rsid w:val="00BE1FB3"/>
    <w:rsid w:val="00BE3823"/>
    <w:rsid w:val="00BE396B"/>
    <w:rsid w:val="00BE3A5A"/>
    <w:rsid w:val="00BE3ADB"/>
    <w:rsid w:val="00BE3E24"/>
    <w:rsid w:val="00BE440D"/>
    <w:rsid w:val="00BE4A78"/>
    <w:rsid w:val="00BE5082"/>
    <w:rsid w:val="00BE54DE"/>
    <w:rsid w:val="00BE6318"/>
    <w:rsid w:val="00BE6D0B"/>
    <w:rsid w:val="00BE752F"/>
    <w:rsid w:val="00BE7957"/>
    <w:rsid w:val="00BE79E7"/>
    <w:rsid w:val="00BF005A"/>
    <w:rsid w:val="00BF090B"/>
    <w:rsid w:val="00BF0A3D"/>
    <w:rsid w:val="00BF100C"/>
    <w:rsid w:val="00BF112C"/>
    <w:rsid w:val="00BF1371"/>
    <w:rsid w:val="00BF186D"/>
    <w:rsid w:val="00BF1963"/>
    <w:rsid w:val="00BF1A6C"/>
    <w:rsid w:val="00BF1BE3"/>
    <w:rsid w:val="00BF1C7E"/>
    <w:rsid w:val="00BF2CA4"/>
    <w:rsid w:val="00BF2F83"/>
    <w:rsid w:val="00BF3151"/>
    <w:rsid w:val="00BF408B"/>
    <w:rsid w:val="00BF480F"/>
    <w:rsid w:val="00BF4812"/>
    <w:rsid w:val="00BF48B3"/>
    <w:rsid w:val="00BF51E6"/>
    <w:rsid w:val="00BF59D0"/>
    <w:rsid w:val="00BF59E6"/>
    <w:rsid w:val="00BF64C2"/>
    <w:rsid w:val="00BF6FB3"/>
    <w:rsid w:val="00C0048B"/>
    <w:rsid w:val="00C00EC0"/>
    <w:rsid w:val="00C0147C"/>
    <w:rsid w:val="00C0164C"/>
    <w:rsid w:val="00C0171F"/>
    <w:rsid w:val="00C01D1B"/>
    <w:rsid w:val="00C01DAD"/>
    <w:rsid w:val="00C0367C"/>
    <w:rsid w:val="00C05DEB"/>
    <w:rsid w:val="00C0634A"/>
    <w:rsid w:val="00C06774"/>
    <w:rsid w:val="00C06B34"/>
    <w:rsid w:val="00C06C52"/>
    <w:rsid w:val="00C06E20"/>
    <w:rsid w:val="00C06F54"/>
    <w:rsid w:val="00C10380"/>
    <w:rsid w:val="00C10412"/>
    <w:rsid w:val="00C10A9C"/>
    <w:rsid w:val="00C10BE5"/>
    <w:rsid w:val="00C10F34"/>
    <w:rsid w:val="00C110AE"/>
    <w:rsid w:val="00C11A9B"/>
    <w:rsid w:val="00C11C42"/>
    <w:rsid w:val="00C121B4"/>
    <w:rsid w:val="00C12250"/>
    <w:rsid w:val="00C12439"/>
    <w:rsid w:val="00C12540"/>
    <w:rsid w:val="00C12C37"/>
    <w:rsid w:val="00C12C8C"/>
    <w:rsid w:val="00C12F64"/>
    <w:rsid w:val="00C133DE"/>
    <w:rsid w:val="00C13410"/>
    <w:rsid w:val="00C136C3"/>
    <w:rsid w:val="00C13D99"/>
    <w:rsid w:val="00C14E76"/>
    <w:rsid w:val="00C15056"/>
    <w:rsid w:val="00C15AEB"/>
    <w:rsid w:val="00C15D4C"/>
    <w:rsid w:val="00C1610E"/>
    <w:rsid w:val="00C169C6"/>
    <w:rsid w:val="00C16BD5"/>
    <w:rsid w:val="00C1703D"/>
    <w:rsid w:val="00C172F8"/>
    <w:rsid w:val="00C176C6"/>
    <w:rsid w:val="00C17BE1"/>
    <w:rsid w:val="00C17C2B"/>
    <w:rsid w:val="00C17C2D"/>
    <w:rsid w:val="00C20056"/>
    <w:rsid w:val="00C201D7"/>
    <w:rsid w:val="00C205F1"/>
    <w:rsid w:val="00C219E3"/>
    <w:rsid w:val="00C22640"/>
    <w:rsid w:val="00C226B2"/>
    <w:rsid w:val="00C231F0"/>
    <w:rsid w:val="00C23963"/>
    <w:rsid w:val="00C24132"/>
    <w:rsid w:val="00C249B3"/>
    <w:rsid w:val="00C253D4"/>
    <w:rsid w:val="00C2561D"/>
    <w:rsid w:val="00C263B0"/>
    <w:rsid w:val="00C265A3"/>
    <w:rsid w:val="00C275B7"/>
    <w:rsid w:val="00C27BE9"/>
    <w:rsid w:val="00C30165"/>
    <w:rsid w:val="00C305C5"/>
    <w:rsid w:val="00C3088F"/>
    <w:rsid w:val="00C30959"/>
    <w:rsid w:val="00C313B5"/>
    <w:rsid w:val="00C314D0"/>
    <w:rsid w:val="00C31779"/>
    <w:rsid w:val="00C31874"/>
    <w:rsid w:val="00C31DEF"/>
    <w:rsid w:val="00C32821"/>
    <w:rsid w:val="00C332E7"/>
    <w:rsid w:val="00C3430C"/>
    <w:rsid w:val="00C34949"/>
    <w:rsid w:val="00C34B4C"/>
    <w:rsid w:val="00C351AC"/>
    <w:rsid w:val="00C3570D"/>
    <w:rsid w:val="00C36327"/>
    <w:rsid w:val="00C365E7"/>
    <w:rsid w:val="00C36837"/>
    <w:rsid w:val="00C373D8"/>
    <w:rsid w:val="00C37D77"/>
    <w:rsid w:val="00C408A7"/>
    <w:rsid w:val="00C410A2"/>
    <w:rsid w:val="00C4168A"/>
    <w:rsid w:val="00C41904"/>
    <w:rsid w:val="00C419BB"/>
    <w:rsid w:val="00C41A4D"/>
    <w:rsid w:val="00C41B9A"/>
    <w:rsid w:val="00C43148"/>
    <w:rsid w:val="00C431EB"/>
    <w:rsid w:val="00C449B9"/>
    <w:rsid w:val="00C44B51"/>
    <w:rsid w:val="00C44CDD"/>
    <w:rsid w:val="00C451ED"/>
    <w:rsid w:val="00C451F8"/>
    <w:rsid w:val="00C458FD"/>
    <w:rsid w:val="00C45D8E"/>
    <w:rsid w:val="00C46536"/>
    <w:rsid w:val="00C46980"/>
    <w:rsid w:val="00C46B3F"/>
    <w:rsid w:val="00C478A3"/>
    <w:rsid w:val="00C479BC"/>
    <w:rsid w:val="00C50A46"/>
    <w:rsid w:val="00C51184"/>
    <w:rsid w:val="00C51289"/>
    <w:rsid w:val="00C51DF9"/>
    <w:rsid w:val="00C524D8"/>
    <w:rsid w:val="00C53325"/>
    <w:rsid w:val="00C53B08"/>
    <w:rsid w:val="00C53CBB"/>
    <w:rsid w:val="00C53F3D"/>
    <w:rsid w:val="00C54031"/>
    <w:rsid w:val="00C54923"/>
    <w:rsid w:val="00C54ED5"/>
    <w:rsid w:val="00C552D5"/>
    <w:rsid w:val="00C555F3"/>
    <w:rsid w:val="00C55FBE"/>
    <w:rsid w:val="00C56632"/>
    <w:rsid w:val="00C56682"/>
    <w:rsid w:val="00C56C41"/>
    <w:rsid w:val="00C56D2A"/>
    <w:rsid w:val="00C57117"/>
    <w:rsid w:val="00C57197"/>
    <w:rsid w:val="00C5748A"/>
    <w:rsid w:val="00C57E69"/>
    <w:rsid w:val="00C6010F"/>
    <w:rsid w:val="00C602A0"/>
    <w:rsid w:val="00C60D6E"/>
    <w:rsid w:val="00C61A58"/>
    <w:rsid w:val="00C62741"/>
    <w:rsid w:val="00C62D73"/>
    <w:rsid w:val="00C631A9"/>
    <w:rsid w:val="00C631D1"/>
    <w:rsid w:val="00C6357F"/>
    <w:rsid w:val="00C63B6E"/>
    <w:rsid w:val="00C64625"/>
    <w:rsid w:val="00C6467F"/>
    <w:rsid w:val="00C65241"/>
    <w:rsid w:val="00C65751"/>
    <w:rsid w:val="00C65E55"/>
    <w:rsid w:val="00C66068"/>
    <w:rsid w:val="00C662AE"/>
    <w:rsid w:val="00C667B0"/>
    <w:rsid w:val="00C668A2"/>
    <w:rsid w:val="00C670B1"/>
    <w:rsid w:val="00C675BD"/>
    <w:rsid w:val="00C67BA9"/>
    <w:rsid w:val="00C7022E"/>
    <w:rsid w:val="00C7052F"/>
    <w:rsid w:val="00C706E2"/>
    <w:rsid w:val="00C70B0E"/>
    <w:rsid w:val="00C70CA0"/>
    <w:rsid w:val="00C70CAD"/>
    <w:rsid w:val="00C717F6"/>
    <w:rsid w:val="00C71BF6"/>
    <w:rsid w:val="00C71D89"/>
    <w:rsid w:val="00C72C66"/>
    <w:rsid w:val="00C72D93"/>
    <w:rsid w:val="00C73356"/>
    <w:rsid w:val="00C73B9B"/>
    <w:rsid w:val="00C74436"/>
    <w:rsid w:val="00C746D3"/>
    <w:rsid w:val="00C74912"/>
    <w:rsid w:val="00C74E2A"/>
    <w:rsid w:val="00C75F3B"/>
    <w:rsid w:val="00C76027"/>
    <w:rsid w:val="00C764AA"/>
    <w:rsid w:val="00C76565"/>
    <w:rsid w:val="00C770B4"/>
    <w:rsid w:val="00C7729D"/>
    <w:rsid w:val="00C77319"/>
    <w:rsid w:val="00C77ADC"/>
    <w:rsid w:val="00C804E9"/>
    <w:rsid w:val="00C80631"/>
    <w:rsid w:val="00C80EFB"/>
    <w:rsid w:val="00C810FC"/>
    <w:rsid w:val="00C81E25"/>
    <w:rsid w:val="00C81FA3"/>
    <w:rsid w:val="00C82E7E"/>
    <w:rsid w:val="00C83452"/>
    <w:rsid w:val="00C839DE"/>
    <w:rsid w:val="00C84A63"/>
    <w:rsid w:val="00C851DC"/>
    <w:rsid w:val="00C85F0F"/>
    <w:rsid w:val="00C85FDD"/>
    <w:rsid w:val="00C8611A"/>
    <w:rsid w:val="00C8641F"/>
    <w:rsid w:val="00C86432"/>
    <w:rsid w:val="00C864A2"/>
    <w:rsid w:val="00C865F2"/>
    <w:rsid w:val="00C8678C"/>
    <w:rsid w:val="00C86934"/>
    <w:rsid w:val="00C8753D"/>
    <w:rsid w:val="00C902F3"/>
    <w:rsid w:val="00C902F9"/>
    <w:rsid w:val="00C90C72"/>
    <w:rsid w:val="00C90F26"/>
    <w:rsid w:val="00C920F7"/>
    <w:rsid w:val="00C922A0"/>
    <w:rsid w:val="00C9313B"/>
    <w:rsid w:val="00C931BE"/>
    <w:rsid w:val="00C9391C"/>
    <w:rsid w:val="00C93C6B"/>
    <w:rsid w:val="00C93EBD"/>
    <w:rsid w:val="00C94A76"/>
    <w:rsid w:val="00C94F97"/>
    <w:rsid w:val="00C958FF"/>
    <w:rsid w:val="00C959A2"/>
    <w:rsid w:val="00C95C39"/>
    <w:rsid w:val="00C962DD"/>
    <w:rsid w:val="00C96929"/>
    <w:rsid w:val="00C96FA7"/>
    <w:rsid w:val="00C96FF7"/>
    <w:rsid w:val="00C975EF"/>
    <w:rsid w:val="00C9775C"/>
    <w:rsid w:val="00C97A98"/>
    <w:rsid w:val="00C97B7A"/>
    <w:rsid w:val="00CA0651"/>
    <w:rsid w:val="00CA0679"/>
    <w:rsid w:val="00CA097D"/>
    <w:rsid w:val="00CA09CA"/>
    <w:rsid w:val="00CA1131"/>
    <w:rsid w:val="00CA140A"/>
    <w:rsid w:val="00CA1A45"/>
    <w:rsid w:val="00CA24FE"/>
    <w:rsid w:val="00CA28CC"/>
    <w:rsid w:val="00CA2AD4"/>
    <w:rsid w:val="00CA2F38"/>
    <w:rsid w:val="00CA360C"/>
    <w:rsid w:val="00CA3828"/>
    <w:rsid w:val="00CA38C0"/>
    <w:rsid w:val="00CA48C9"/>
    <w:rsid w:val="00CA5FF1"/>
    <w:rsid w:val="00CA6184"/>
    <w:rsid w:val="00CA619B"/>
    <w:rsid w:val="00CA61C9"/>
    <w:rsid w:val="00CA6293"/>
    <w:rsid w:val="00CA6B67"/>
    <w:rsid w:val="00CA6D8D"/>
    <w:rsid w:val="00CA78CB"/>
    <w:rsid w:val="00CA7C97"/>
    <w:rsid w:val="00CA7DBF"/>
    <w:rsid w:val="00CB0165"/>
    <w:rsid w:val="00CB079B"/>
    <w:rsid w:val="00CB096D"/>
    <w:rsid w:val="00CB14D0"/>
    <w:rsid w:val="00CB1744"/>
    <w:rsid w:val="00CB1885"/>
    <w:rsid w:val="00CB298C"/>
    <w:rsid w:val="00CB2CD6"/>
    <w:rsid w:val="00CB3316"/>
    <w:rsid w:val="00CB45F2"/>
    <w:rsid w:val="00CB4AEB"/>
    <w:rsid w:val="00CB5091"/>
    <w:rsid w:val="00CB5719"/>
    <w:rsid w:val="00CB5B0E"/>
    <w:rsid w:val="00CB5E7F"/>
    <w:rsid w:val="00CB5EA8"/>
    <w:rsid w:val="00CB610F"/>
    <w:rsid w:val="00CB6440"/>
    <w:rsid w:val="00CB64D1"/>
    <w:rsid w:val="00CB71ED"/>
    <w:rsid w:val="00CB731D"/>
    <w:rsid w:val="00CB73D0"/>
    <w:rsid w:val="00CB7651"/>
    <w:rsid w:val="00CB7E9E"/>
    <w:rsid w:val="00CC00A9"/>
    <w:rsid w:val="00CC0181"/>
    <w:rsid w:val="00CC0499"/>
    <w:rsid w:val="00CC09DB"/>
    <w:rsid w:val="00CC1186"/>
    <w:rsid w:val="00CC1C28"/>
    <w:rsid w:val="00CC1C44"/>
    <w:rsid w:val="00CC23D3"/>
    <w:rsid w:val="00CC30B8"/>
    <w:rsid w:val="00CC3AA3"/>
    <w:rsid w:val="00CC3D33"/>
    <w:rsid w:val="00CC3E8C"/>
    <w:rsid w:val="00CC4376"/>
    <w:rsid w:val="00CC43BA"/>
    <w:rsid w:val="00CC45BB"/>
    <w:rsid w:val="00CC45ED"/>
    <w:rsid w:val="00CC4ABB"/>
    <w:rsid w:val="00CC52E3"/>
    <w:rsid w:val="00CC5C47"/>
    <w:rsid w:val="00CC5EDB"/>
    <w:rsid w:val="00CC5FB3"/>
    <w:rsid w:val="00CC61A2"/>
    <w:rsid w:val="00CC66D4"/>
    <w:rsid w:val="00CC682A"/>
    <w:rsid w:val="00CC6B9E"/>
    <w:rsid w:val="00CC6D92"/>
    <w:rsid w:val="00CC7058"/>
    <w:rsid w:val="00CC7207"/>
    <w:rsid w:val="00CC728A"/>
    <w:rsid w:val="00CC7800"/>
    <w:rsid w:val="00CD0229"/>
    <w:rsid w:val="00CD1821"/>
    <w:rsid w:val="00CD1C40"/>
    <w:rsid w:val="00CD1D39"/>
    <w:rsid w:val="00CD2094"/>
    <w:rsid w:val="00CD25FB"/>
    <w:rsid w:val="00CD3038"/>
    <w:rsid w:val="00CD3309"/>
    <w:rsid w:val="00CD36EC"/>
    <w:rsid w:val="00CD382F"/>
    <w:rsid w:val="00CD3DB5"/>
    <w:rsid w:val="00CD4572"/>
    <w:rsid w:val="00CD47B3"/>
    <w:rsid w:val="00CD4C7E"/>
    <w:rsid w:val="00CD51D0"/>
    <w:rsid w:val="00CD5264"/>
    <w:rsid w:val="00CD571E"/>
    <w:rsid w:val="00CD5777"/>
    <w:rsid w:val="00CD5BFF"/>
    <w:rsid w:val="00CD5CC6"/>
    <w:rsid w:val="00CD6008"/>
    <w:rsid w:val="00CD6369"/>
    <w:rsid w:val="00CD7870"/>
    <w:rsid w:val="00CD7C92"/>
    <w:rsid w:val="00CD7DF7"/>
    <w:rsid w:val="00CE0127"/>
    <w:rsid w:val="00CE080E"/>
    <w:rsid w:val="00CE0B59"/>
    <w:rsid w:val="00CE121A"/>
    <w:rsid w:val="00CE1250"/>
    <w:rsid w:val="00CE13E8"/>
    <w:rsid w:val="00CE1538"/>
    <w:rsid w:val="00CE171F"/>
    <w:rsid w:val="00CE1D10"/>
    <w:rsid w:val="00CE1DC1"/>
    <w:rsid w:val="00CE1E15"/>
    <w:rsid w:val="00CE2057"/>
    <w:rsid w:val="00CE2B1B"/>
    <w:rsid w:val="00CE394D"/>
    <w:rsid w:val="00CE416E"/>
    <w:rsid w:val="00CE459F"/>
    <w:rsid w:val="00CE5458"/>
    <w:rsid w:val="00CE5B3A"/>
    <w:rsid w:val="00CE6803"/>
    <w:rsid w:val="00CE74A0"/>
    <w:rsid w:val="00CF037E"/>
    <w:rsid w:val="00CF06D9"/>
    <w:rsid w:val="00CF0861"/>
    <w:rsid w:val="00CF0A38"/>
    <w:rsid w:val="00CF2840"/>
    <w:rsid w:val="00CF3117"/>
    <w:rsid w:val="00CF48E6"/>
    <w:rsid w:val="00CF4A71"/>
    <w:rsid w:val="00CF4C75"/>
    <w:rsid w:val="00CF5058"/>
    <w:rsid w:val="00CF5702"/>
    <w:rsid w:val="00CF5AE6"/>
    <w:rsid w:val="00CF5DE6"/>
    <w:rsid w:val="00CF63BC"/>
    <w:rsid w:val="00CF63F1"/>
    <w:rsid w:val="00CF66C4"/>
    <w:rsid w:val="00CF66E1"/>
    <w:rsid w:val="00CF68A9"/>
    <w:rsid w:val="00D001A3"/>
    <w:rsid w:val="00D01356"/>
    <w:rsid w:val="00D01513"/>
    <w:rsid w:val="00D01563"/>
    <w:rsid w:val="00D016D8"/>
    <w:rsid w:val="00D016FE"/>
    <w:rsid w:val="00D01BDF"/>
    <w:rsid w:val="00D01D87"/>
    <w:rsid w:val="00D03795"/>
    <w:rsid w:val="00D038E3"/>
    <w:rsid w:val="00D045E3"/>
    <w:rsid w:val="00D0461D"/>
    <w:rsid w:val="00D04781"/>
    <w:rsid w:val="00D04B4E"/>
    <w:rsid w:val="00D04BB5"/>
    <w:rsid w:val="00D05B34"/>
    <w:rsid w:val="00D0614E"/>
    <w:rsid w:val="00D06A85"/>
    <w:rsid w:val="00D06AC2"/>
    <w:rsid w:val="00D07261"/>
    <w:rsid w:val="00D073F9"/>
    <w:rsid w:val="00D07E3A"/>
    <w:rsid w:val="00D10664"/>
    <w:rsid w:val="00D106DE"/>
    <w:rsid w:val="00D111D7"/>
    <w:rsid w:val="00D1187B"/>
    <w:rsid w:val="00D119AF"/>
    <w:rsid w:val="00D12362"/>
    <w:rsid w:val="00D12655"/>
    <w:rsid w:val="00D12771"/>
    <w:rsid w:val="00D130B1"/>
    <w:rsid w:val="00D14E7A"/>
    <w:rsid w:val="00D14F87"/>
    <w:rsid w:val="00D156F3"/>
    <w:rsid w:val="00D1594C"/>
    <w:rsid w:val="00D15D66"/>
    <w:rsid w:val="00D15E4A"/>
    <w:rsid w:val="00D15E4C"/>
    <w:rsid w:val="00D16A1F"/>
    <w:rsid w:val="00D16BF5"/>
    <w:rsid w:val="00D16C97"/>
    <w:rsid w:val="00D16E5C"/>
    <w:rsid w:val="00D1786B"/>
    <w:rsid w:val="00D17899"/>
    <w:rsid w:val="00D17B87"/>
    <w:rsid w:val="00D20333"/>
    <w:rsid w:val="00D20D19"/>
    <w:rsid w:val="00D20D42"/>
    <w:rsid w:val="00D21020"/>
    <w:rsid w:val="00D210F4"/>
    <w:rsid w:val="00D21593"/>
    <w:rsid w:val="00D21652"/>
    <w:rsid w:val="00D21A16"/>
    <w:rsid w:val="00D223EF"/>
    <w:rsid w:val="00D224E2"/>
    <w:rsid w:val="00D227B6"/>
    <w:rsid w:val="00D23AA9"/>
    <w:rsid w:val="00D243FB"/>
    <w:rsid w:val="00D2599C"/>
    <w:rsid w:val="00D259D7"/>
    <w:rsid w:val="00D26A85"/>
    <w:rsid w:val="00D26F5E"/>
    <w:rsid w:val="00D2770D"/>
    <w:rsid w:val="00D27BEA"/>
    <w:rsid w:val="00D27CDF"/>
    <w:rsid w:val="00D27E58"/>
    <w:rsid w:val="00D304D0"/>
    <w:rsid w:val="00D30561"/>
    <w:rsid w:val="00D30835"/>
    <w:rsid w:val="00D30AD7"/>
    <w:rsid w:val="00D31393"/>
    <w:rsid w:val="00D31E75"/>
    <w:rsid w:val="00D32572"/>
    <w:rsid w:val="00D326B2"/>
    <w:rsid w:val="00D337F5"/>
    <w:rsid w:val="00D348C8"/>
    <w:rsid w:val="00D34F0D"/>
    <w:rsid w:val="00D35FD0"/>
    <w:rsid w:val="00D36207"/>
    <w:rsid w:val="00D36486"/>
    <w:rsid w:val="00D36592"/>
    <w:rsid w:val="00D367C3"/>
    <w:rsid w:val="00D3696E"/>
    <w:rsid w:val="00D36EE4"/>
    <w:rsid w:val="00D37432"/>
    <w:rsid w:val="00D37D80"/>
    <w:rsid w:val="00D401EE"/>
    <w:rsid w:val="00D40753"/>
    <w:rsid w:val="00D408FD"/>
    <w:rsid w:val="00D40B52"/>
    <w:rsid w:val="00D40BAB"/>
    <w:rsid w:val="00D40CF7"/>
    <w:rsid w:val="00D40E3D"/>
    <w:rsid w:val="00D4138E"/>
    <w:rsid w:val="00D4150C"/>
    <w:rsid w:val="00D418DD"/>
    <w:rsid w:val="00D419DC"/>
    <w:rsid w:val="00D41A53"/>
    <w:rsid w:val="00D421FF"/>
    <w:rsid w:val="00D426CF"/>
    <w:rsid w:val="00D427EB"/>
    <w:rsid w:val="00D42E6F"/>
    <w:rsid w:val="00D43120"/>
    <w:rsid w:val="00D4356E"/>
    <w:rsid w:val="00D43849"/>
    <w:rsid w:val="00D43C7F"/>
    <w:rsid w:val="00D4402F"/>
    <w:rsid w:val="00D444ED"/>
    <w:rsid w:val="00D44844"/>
    <w:rsid w:val="00D44A8F"/>
    <w:rsid w:val="00D44DFA"/>
    <w:rsid w:val="00D450C9"/>
    <w:rsid w:val="00D456D7"/>
    <w:rsid w:val="00D4575C"/>
    <w:rsid w:val="00D462E2"/>
    <w:rsid w:val="00D465AE"/>
    <w:rsid w:val="00D46BA0"/>
    <w:rsid w:val="00D475AE"/>
    <w:rsid w:val="00D4772F"/>
    <w:rsid w:val="00D47942"/>
    <w:rsid w:val="00D47A31"/>
    <w:rsid w:val="00D505F5"/>
    <w:rsid w:val="00D50864"/>
    <w:rsid w:val="00D50DF2"/>
    <w:rsid w:val="00D50E47"/>
    <w:rsid w:val="00D51C5E"/>
    <w:rsid w:val="00D5241D"/>
    <w:rsid w:val="00D5288F"/>
    <w:rsid w:val="00D52F8A"/>
    <w:rsid w:val="00D5302E"/>
    <w:rsid w:val="00D53099"/>
    <w:rsid w:val="00D53140"/>
    <w:rsid w:val="00D54268"/>
    <w:rsid w:val="00D5443B"/>
    <w:rsid w:val="00D54B22"/>
    <w:rsid w:val="00D557C3"/>
    <w:rsid w:val="00D57085"/>
    <w:rsid w:val="00D57C74"/>
    <w:rsid w:val="00D60BDE"/>
    <w:rsid w:val="00D60D31"/>
    <w:rsid w:val="00D61261"/>
    <w:rsid w:val="00D614FB"/>
    <w:rsid w:val="00D6189A"/>
    <w:rsid w:val="00D61A26"/>
    <w:rsid w:val="00D61E69"/>
    <w:rsid w:val="00D629B4"/>
    <w:rsid w:val="00D63353"/>
    <w:rsid w:val="00D63620"/>
    <w:rsid w:val="00D6395F"/>
    <w:rsid w:val="00D63C24"/>
    <w:rsid w:val="00D6415D"/>
    <w:rsid w:val="00D64B3D"/>
    <w:rsid w:val="00D64F2A"/>
    <w:rsid w:val="00D64FB8"/>
    <w:rsid w:val="00D6536B"/>
    <w:rsid w:val="00D655AA"/>
    <w:rsid w:val="00D665BD"/>
    <w:rsid w:val="00D66AAB"/>
    <w:rsid w:val="00D66C1E"/>
    <w:rsid w:val="00D66DD4"/>
    <w:rsid w:val="00D674E3"/>
    <w:rsid w:val="00D67C08"/>
    <w:rsid w:val="00D67C82"/>
    <w:rsid w:val="00D70626"/>
    <w:rsid w:val="00D7064B"/>
    <w:rsid w:val="00D707B4"/>
    <w:rsid w:val="00D719D8"/>
    <w:rsid w:val="00D71CF0"/>
    <w:rsid w:val="00D74050"/>
    <w:rsid w:val="00D746DC"/>
    <w:rsid w:val="00D75240"/>
    <w:rsid w:val="00D75E47"/>
    <w:rsid w:val="00D76372"/>
    <w:rsid w:val="00D769AF"/>
    <w:rsid w:val="00D76D84"/>
    <w:rsid w:val="00D77CEC"/>
    <w:rsid w:val="00D80116"/>
    <w:rsid w:val="00D80AD5"/>
    <w:rsid w:val="00D80C5E"/>
    <w:rsid w:val="00D80E84"/>
    <w:rsid w:val="00D82316"/>
    <w:rsid w:val="00D8297A"/>
    <w:rsid w:val="00D82D8C"/>
    <w:rsid w:val="00D830D6"/>
    <w:rsid w:val="00D84308"/>
    <w:rsid w:val="00D851CA"/>
    <w:rsid w:val="00D85CEE"/>
    <w:rsid w:val="00D86350"/>
    <w:rsid w:val="00D863C8"/>
    <w:rsid w:val="00D8667D"/>
    <w:rsid w:val="00D8687C"/>
    <w:rsid w:val="00D87909"/>
    <w:rsid w:val="00D87A62"/>
    <w:rsid w:val="00D87BDA"/>
    <w:rsid w:val="00D87C08"/>
    <w:rsid w:val="00D87DF1"/>
    <w:rsid w:val="00D87E7B"/>
    <w:rsid w:val="00D87F39"/>
    <w:rsid w:val="00D908F1"/>
    <w:rsid w:val="00D90C47"/>
    <w:rsid w:val="00D9127D"/>
    <w:rsid w:val="00D91C67"/>
    <w:rsid w:val="00D927DF"/>
    <w:rsid w:val="00D9284B"/>
    <w:rsid w:val="00D929EB"/>
    <w:rsid w:val="00D92A8A"/>
    <w:rsid w:val="00D93280"/>
    <w:rsid w:val="00D938DB"/>
    <w:rsid w:val="00D93DDC"/>
    <w:rsid w:val="00D94010"/>
    <w:rsid w:val="00D941E0"/>
    <w:rsid w:val="00D947A7"/>
    <w:rsid w:val="00D947F0"/>
    <w:rsid w:val="00D95A1A"/>
    <w:rsid w:val="00D95F53"/>
    <w:rsid w:val="00D96910"/>
    <w:rsid w:val="00D971AD"/>
    <w:rsid w:val="00D9768C"/>
    <w:rsid w:val="00D976C6"/>
    <w:rsid w:val="00D97936"/>
    <w:rsid w:val="00DA0886"/>
    <w:rsid w:val="00DA0964"/>
    <w:rsid w:val="00DA10DD"/>
    <w:rsid w:val="00DA1335"/>
    <w:rsid w:val="00DA16BB"/>
    <w:rsid w:val="00DA19C6"/>
    <w:rsid w:val="00DA1E39"/>
    <w:rsid w:val="00DA350B"/>
    <w:rsid w:val="00DA3F34"/>
    <w:rsid w:val="00DA49D1"/>
    <w:rsid w:val="00DA4B91"/>
    <w:rsid w:val="00DA4BB3"/>
    <w:rsid w:val="00DA506F"/>
    <w:rsid w:val="00DA528D"/>
    <w:rsid w:val="00DA531C"/>
    <w:rsid w:val="00DA5397"/>
    <w:rsid w:val="00DA5421"/>
    <w:rsid w:val="00DA569F"/>
    <w:rsid w:val="00DA56C4"/>
    <w:rsid w:val="00DA5F06"/>
    <w:rsid w:val="00DA65BA"/>
    <w:rsid w:val="00DA6C06"/>
    <w:rsid w:val="00DA6CD3"/>
    <w:rsid w:val="00DA7F0C"/>
    <w:rsid w:val="00DB05FC"/>
    <w:rsid w:val="00DB0944"/>
    <w:rsid w:val="00DB0993"/>
    <w:rsid w:val="00DB0C90"/>
    <w:rsid w:val="00DB1628"/>
    <w:rsid w:val="00DB2279"/>
    <w:rsid w:val="00DB38CF"/>
    <w:rsid w:val="00DB3B0A"/>
    <w:rsid w:val="00DB40BB"/>
    <w:rsid w:val="00DB4C42"/>
    <w:rsid w:val="00DB4E3E"/>
    <w:rsid w:val="00DB4FFB"/>
    <w:rsid w:val="00DB557B"/>
    <w:rsid w:val="00DB59BB"/>
    <w:rsid w:val="00DB5C79"/>
    <w:rsid w:val="00DB5DAA"/>
    <w:rsid w:val="00DB63CF"/>
    <w:rsid w:val="00DB7D01"/>
    <w:rsid w:val="00DB7E35"/>
    <w:rsid w:val="00DC047B"/>
    <w:rsid w:val="00DC07FF"/>
    <w:rsid w:val="00DC0B39"/>
    <w:rsid w:val="00DC0E50"/>
    <w:rsid w:val="00DC0FED"/>
    <w:rsid w:val="00DC151C"/>
    <w:rsid w:val="00DC24A5"/>
    <w:rsid w:val="00DC28ED"/>
    <w:rsid w:val="00DC3ED8"/>
    <w:rsid w:val="00DC42EC"/>
    <w:rsid w:val="00DC43ED"/>
    <w:rsid w:val="00DC4449"/>
    <w:rsid w:val="00DC4C04"/>
    <w:rsid w:val="00DC4D85"/>
    <w:rsid w:val="00DC634C"/>
    <w:rsid w:val="00DC6456"/>
    <w:rsid w:val="00DC7A17"/>
    <w:rsid w:val="00DC7B12"/>
    <w:rsid w:val="00DC7D72"/>
    <w:rsid w:val="00DC7F7A"/>
    <w:rsid w:val="00DD0B74"/>
    <w:rsid w:val="00DD0EE3"/>
    <w:rsid w:val="00DD11CB"/>
    <w:rsid w:val="00DD18C7"/>
    <w:rsid w:val="00DD1970"/>
    <w:rsid w:val="00DD2C2C"/>
    <w:rsid w:val="00DD2F67"/>
    <w:rsid w:val="00DD418C"/>
    <w:rsid w:val="00DD463F"/>
    <w:rsid w:val="00DD4BE6"/>
    <w:rsid w:val="00DD4F95"/>
    <w:rsid w:val="00DD5528"/>
    <w:rsid w:val="00DD57A4"/>
    <w:rsid w:val="00DD5DF4"/>
    <w:rsid w:val="00DD5EF7"/>
    <w:rsid w:val="00DD61DC"/>
    <w:rsid w:val="00DD64EC"/>
    <w:rsid w:val="00DD6F47"/>
    <w:rsid w:val="00DD70B4"/>
    <w:rsid w:val="00DD749F"/>
    <w:rsid w:val="00DE0230"/>
    <w:rsid w:val="00DE0A4C"/>
    <w:rsid w:val="00DE0A79"/>
    <w:rsid w:val="00DE0D57"/>
    <w:rsid w:val="00DE112A"/>
    <w:rsid w:val="00DE1602"/>
    <w:rsid w:val="00DE16AD"/>
    <w:rsid w:val="00DE1773"/>
    <w:rsid w:val="00DE2173"/>
    <w:rsid w:val="00DE2EB3"/>
    <w:rsid w:val="00DE37B7"/>
    <w:rsid w:val="00DE4278"/>
    <w:rsid w:val="00DE4D28"/>
    <w:rsid w:val="00DE4F66"/>
    <w:rsid w:val="00DE53B1"/>
    <w:rsid w:val="00DE56C0"/>
    <w:rsid w:val="00DE5912"/>
    <w:rsid w:val="00DE5B3B"/>
    <w:rsid w:val="00DE5EEE"/>
    <w:rsid w:val="00DE5F8E"/>
    <w:rsid w:val="00DE6459"/>
    <w:rsid w:val="00DE6518"/>
    <w:rsid w:val="00DE65E3"/>
    <w:rsid w:val="00DE68DC"/>
    <w:rsid w:val="00DE6B6D"/>
    <w:rsid w:val="00DE7124"/>
    <w:rsid w:val="00DE71C6"/>
    <w:rsid w:val="00DE75C1"/>
    <w:rsid w:val="00DE7AEB"/>
    <w:rsid w:val="00DF08EE"/>
    <w:rsid w:val="00DF0B6D"/>
    <w:rsid w:val="00DF1042"/>
    <w:rsid w:val="00DF23D8"/>
    <w:rsid w:val="00DF2BA7"/>
    <w:rsid w:val="00DF2D47"/>
    <w:rsid w:val="00DF3203"/>
    <w:rsid w:val="00DF4077"/>
    <w:rsid w:val="00DF41A7"/>
    <w:rsid w:val="00DF4CEF"/>
    <w:rsid w:val="00DF4F66"/>
    <w:rsid w:val="00DF5A5E"/>
    <w:rsid w:val="00DF5A91"/>
    <w:rsid w:val="00DF5CE6"/>
    <w:rsid w:val="00DF5E42"/>
    <w:rsid w:val="00DF617F"/>
    <w:rsid w:val="00DF6257"/>
    <w:rsid w:val="00DF65ED"/>
    <w:rsid w:val="00DF6888"/>
    <w:rsid w:val="00DF6F29"/>
    <w:rsid w:val="00DF6F38"/>
    <w:rsid w:val="00DF7502"/>
    <w:rsid w:val="00DF7A59"/>
    <w:rsid w:val="00DF7BE7"/>
    <w:rsid w:val="00DF7D0F"/>
    <w:rsid w:val="00DF7DBE"/>
    <w:rsid w:val="00E0029F"/>
    <w:rsid w:val="00E0039C"/>
    <w:rsid w:val="00E00792"/>
    <w:rsid w:val="00E00FC9"/>
    <w:rsid w:val="00E0120C"/>
    <w:rsid w:val="00E016AD"/>
    <w:rsid w:val="00E02B49"/>
    <w:rsid w:val="00E02C6E"/>
    <w:rsid w:val="00E03427"/>
    <w:rsid w:val="00E03C0D"/>
    <w:rsid w:val="00E04516"/>
    <w:rsid w:val="00E04B9D"/>
    <w:rsid w:val="00E05229"/>
    <w:rsid w:val="00E05340"/>
    <w:rsid w:val="00E06068"/>
    <w:rsid w:val="00E07F60"/>
    <w:rsid w:val="00E102A2"/>
    <w:rsid w:val="00E104B5"/>
    <w:rsid w:val="00E10605"/>
    <w:rsid w:val="00E106CB"/>
    <w:rsid w:val="00E10951"/>
    <w:rsid w:val="00E10DC7"/>
    <w:rsid w:val="00E1113F"/>
    <w:rsid w:val="00E11187"/>
    <w:rsid w:val="00E11624"/>
    <w:rsid w:val="00E11E44"/>
    <w:rsid w:val="00E11EA2"/>
    <w:rsid w:val="00E128DA"/>
    <w:rsid w:val="00E12C52"/>
    <w:rsid w:val="00E13119"/>
    <w:rsid w:val="00E13817"/>
    <w:rsid w:val="00E138D0"/>
    <w:rsid w:val="00E13A00"/>
    <w:rsid w:val="00E13AE2"/>
    <w:rsid w:val="00E13D28"/>
    <w:rsid w:val="00E13F0D"/>
    <w:rsid w:val="00E142B0"/>
    <w:rsid w:val="00E15131"/>
    <w:rsid w:val="00E156ED"/>
    <w:rsid w:val="00E15987"/>
    <w:rsid w:val="00E15AE0"/>
    <w:rsid w:val="00E15DE7"/>
    <w:rsid w:val="00E1603A"/>
    <w:rsid w:val="00E160A3"/>
    <w:rsid w:val="00E17097"/>
    <w:rsid w:val="00E17269"/>
    <w:rsid w:val="00E172E2"/>
    <w:rsid w:val="00E173C5"/>
    <w:rsid w:val="00E20970"/>
    <w:rsid w:val="00E20A14"/>
    <w:rsid w:val="00E20D53"/>
    <w:rsid w:val="00E20DE0"/>
    <w:rsid w:val="00E210A3"/>
    <w:rsid w:val="00E21A8E"/>
    <w:rsid w:val="00E21CC7"/>
    <w:rsid w:val="00E21CD0"/>
    <w:rsid w:val="00E221F9"/>
    <w:rsid w:val="00E225DF"/>
    <w:rsid w:val="00E22807"/>
    <w:rsid w:val="00E23F2E"/>
    <w:rsid w:val="00E24685"/>
    <w:rsid w:val="00E246D0"/>
    <w:rsid w:val="00E24A17"/>
    <w:rsid w:val="00E24CCA"/>
    <w:rsid w:val="00E257BF"/>
    <w:rsid w:val="00E262D6"/>
    <w:rsid w:val="00E267D0"/>
    <w:rsid w:val="00E2682C"/>
    <w:rsid w:val="00E26EED"/>
    <w:rsid w:val="00E26F30"/>
    <w:rsid w:val="00E27951"/>
    <w:rsid w:val="00E279AE"/>
    <w:rsid w:val="00E27A43"/>
    <w:rsid w:val="00E27CC3"/>
    <w:rsid w:val="00E30339"/>
    <w:rsid w:val="00E30568"/>
    <w:rsid w:val="00E30ABB"/>
    <w:rsid w:val="00E317BB"/>
    <w:rsid w:val="00E31ADF"/>
    <w:rsid w:val="00E31B54"/>
    <w:rsid w:val="00E32981"/>
    <w:rsid w:val="00E33229"/>
    <w:rsid w:val="00E3359C"/>
    <w:rsid w:val="00E335C1"/>
    <w:rsid w:val="00E339E3"/>
    <w:rsid w:val="00E33A8F"/>
    <w:rsid w:val="00E33B33"/>
    <w:rsid w:val="00E33D9E"/>
    <w:rsid w:val="00E33EF6"/>
    <w:rsid w:val="00E34350"/>
    <w:rsid w:val="00E346D8"/>
    <w:rsid w:val="00E34A84"/>
    <w:rsid w:val="00E352EA"/>
    <w:rsid w:val="00E35499"/>
    <w:rsid w:val="00E36116"/>
    <w:rsid w:val="00E36BA7"/>
    <w:rsid w:val="00E36C0C"/>
    <w:rsid w:val="00E404AA"/>
    <w:rsid w:val="00E407D6"/>
    <w:rsid w:val="00E40AD0"/>
    <w:rsid w:val="00E41B1A"/>
    <w:rsid w:val="00E41C56"/>
    <w:rsid w:val="00E43EA5"/>
    <w:rsid w:val="00E44CC4"/>
    <w:rsid w:val="00E45C4D"/>
    <w:rsid w:val="00E45E7A"/>
    <w:rsid w:val="00E45EB4"/>
    <w:rsid w:val="00E46453"/>
    <w:rsid w:val="00E471D3"/>
    <w:rsid w:val="00E47265"/>
    <w:rsid w:val="00E47B9D"/>
    <w:rsid w:val="00E5005D"/>
    <w:rsid w:val="00E50E27"/>
    <w:rsid w:val="00E5169D"/>
    <w:rsid w:val="00E51952"/>
    <w:rsid w:val="00E52147"/>
    <w:rsid w:val="00E528A1"/>
    <w:rsid w:val="00E52C45"/>
    <w:rsid w:val="00E5373D"/>
    <w:rsid w:val="00E53C9C"/>
    <w:rsid w:val="00E54138"/>
    <w:rsid w:val="00E541A2"/>
    <w:rsid w:val="00E55556"/>
    <w:rsid w:val="00E569CC"/>
    <w:rsid w:val="00E600E6"/>
    <w:rsid w:val="00E6024C"/>
    <w:rsid w:val="00E605CF"/>
    <w:rsid w:val="00E605E6"/>
    <w:rsid w:val="00E6093D"/>
    <w:rsid w:val="00E60AA5"/>
    <w:rsid w:val="00E610B7"/>
    <w:rsid w:val="00E61285"/>
    <w:rsid w:val="00E61F54"/>
    <w:rsid w:val="00E62212"/>
    <w:rsid w:val="00E62B60"/>
    <w:rsid w:val="00E62D6A"/>
    <w:rsid w:val="00E630DE"/>
    <w:rsid w:val="00E6347E"/>
    <w:rsid w:val="00E638AD"/>
    <w:rsid w:val="00E63CCD"/>
    <w:rsid w:val="00E63DB6"/>
    <w:rsid w:val="00E6414F"/>
    <w:rsid w:val="00E642C6"/>
    <w:rsid w:val="00E65352"/>
    <w:rsid w:val="00E6576D"/>
    <w:rsid w:val="00E65798"/>
    <w:rsid w:val="00E65A19"/>
    <w:rsid w:val="00E6605B"/>
    <w:rsid w:val="00E66251"/>
    <w:rsid w:val="00E66F73"/>
    <w:rsid w:val="00E66FE6"/>
    <w:rsid w:val="00E67163"/>
    <w:rsid w:val="00E67974"/>
    <w:rsid w:val="00E67A2F"/>
    <w:rsid w:val="00E67D1C"/>
    <w:rsid w:val="00E67FBD"/>
    <w:rsid w:val="00E70440"/>
    <w:rsid w:val="00E71C46"/>
    <w:rsid w:val="00E725FA"/>
    <w:rsid w:val="00E72D72"/>
    <w:rsid w:val="00E737C7"/>
    <w:rsid w:val="00E73B7C"/>
    <w:rsid w:val="00E74F08"/>
    <w:rsid w:val="00E75265"/>
    <w:rsid w:val="00E758E0"/>
    <w:rsid w:val="00E75900"/>
    <w:rsid w:val="00E75BF8"/>
    <w:rsid w:val="00E75DCB"/>
    <w:rsid w:val="00E761C4"/>
    <w:rsid w:val="00E76526"/>
    <w:rsid w:val="00E76789"/>
    <w:rsid w:val="00E76806"/>
    <w:rsid w:val="00E76A70"/>
    <w:rsid w:val="00E76D01"/>
    <w:rsid w:val="00E76E6F"/>
    <w:rsid w:val="00E7704A"/>
    <w:rsid w:val="00E77377"/>
    <w:rsid w:val="00E774B6"/>
    <w:rsid w:val="00E77781"/>
    <w:rsid w:val="00E777FC"/>
    <w:rsid w:val="00E77833"/>
    <w:rsid w:val="00E77E98"/>
    <w:rsid w:val="00E800BA"/>
    <w:rsid w:val="00E80633"/>
    <w:rsid w:val="00E80923"/>
    <w:rsid w:val="00E81121"/>
    <w:rsid w:val="00E81F81"/>
    <w:rsid w:val="00E8217B"/>
    <w:rsid w:val="00E821A6"/>
    <w:rsid w:val="00E8279E"/>
    <w:rsid w:val="00E829F8"/>
    <w:rsid w:val="00E82A74"/>
    <w:rsid w:val="00E82CC2"/>
    <w:rsid w:val="00E83CEB"/>
    <w:rsid w:val="00E847FA"/>
    <w:rsid w:val="00E84E2D"/>
    <w:rsid w:val="00E85324"/>
    <w:rsid w:val="00E85DFD"/>
    <w:rsid w:val="00E85E8E"/>
    <w:rsid w:val="00E864C2"/>
    <w:rsid w:val="00E86948"/>
    <w:rsid w:val="00E86C27"/>
    <w:rsid w:val="00E86D52"/>
    <w:rsid w:val="00E86D85"/>
    <w:rsid w:val="00E86F2F"/>
    <w:rsid w:val="00E87632"/>
    <w:rsid w:val="00E87942"/>
    <w:rsid w:val="00E879CF"/>
    <w:rsid w:val="00E87FE5"/>
    <w:rsid w:val="00E9045D"/>
    <w:rsid w:val="00E912D9"/>
    <w:rsid w:val="00E912F5"/>
    <w:rsid w:val="00E9138E"/>
    <w:rsid w:val="00E914FC"/>
    <w:rsid w:val="00E91513"/>
    <w:rsid w:val="00E91536"/>
    <w:rsid w:val="00E91646"/>
    <w:rsid w:val="00E927AE"/>
    <w:rsid w:val="00E932CD"/>
    <w:rsid w:val="00E93605"/>
    <w:rsid w:val="00E9407C"/>
    <w:rsid w:val="00E94B65"/>
    <w:rsid w:val="00E952D2"/>
    <w:rsid w:val="00E95935"/>
    <w:rsid w:val="00E95F76"/>
    <w:rsid w:val="00E964EA"/>
    <w:rsid w:val="00E966A2"/>
    <w:rsid w:val="00E9719B"/>
    <w:rsid w:val="00E974C3"/>
    <w:rsid w:val="00E97540"/>
    <w:rsid w:val="00E97D11"/>
    <w:rsid w:val="00EA0D33"/>
    <w:rsid w:val="00EA0DA7"/>
    <w:rsid w:val="00EA12B0"/>
    <w:rsid w:val="00EA1B4C"/>
    <w:rsid w:val="00EA1C97"/>
    <w:rsid w:val="00EA1FA5"/>
    <w:rsid w:val="00EA2359"/>
    <w:rsid w:val="00EA25A8"/>
    <w:rsid w:val="00EA2708"/>
    <w:rsid w:val="00EA33A7"/>
    <w:rsid w:val="00EA38FF"/>
    <w:rsid w:val="00EA42C4"/>
    <w:rsid w:val="00EA4E74"/>
    <w:rsid w:val="00EA4E7E"/>
    <w:rsid w:val="00EA50C8"/>
    <w:rsid w:val="00EA5457"/>
    <w:rsid w:val="00EA5673"/>
    <w:rsid w:val="00EA5CA6"/>
    <w:rsid w:val="00EA5E21"/>
    <w:rsid w:val="00EA614E"/>
    <w:rsid w:val="00EA621A"/>
    <w:rsid w:val="00EA64FD"/>
    <w:rsid w:val="00EA6A82"/>
    <w:rsid w:val="00EA6BC7"/>
    <w:rsid w:val="00EA6CD8"/>
    <w:rsid w:val="00EA740C"/>
    <w:rsid w:val="00EA778D"/>
    <w:rsid w:val="00EB0482"/>
    <w:rsid w:val="00EB048B"/>
    <w:rsid w:val="00EB1799"/>
    <w:rsid w:val="00EB1999"/>
    <w:rsid w:val="00EB1EBB"/>
    <w:rsid w:val="00EB1F90"/>
    <w:rsid w:val="00EB276F"/>
    <w:rsid w:val="00EB29CD"/>
    <w:rsid w:val="00EB3453"/>
    <w:rsid w:val="00EB3CA6"/>
    <w:rsid w:val="00EB3D9C"/>
    <w:rsid w:val="00EB48B0"/>
    <w:rsid w:val="00EB5285"/>
    <w:rsid w:val="00EB553E"/>
    <w:rsid w:val="00EB5DB4"/>
    <w:rsid w:val="00EB61E5"/>
    <w:rsid w:val="00EB6967"/>
    <w:rsid w:val="00EB6D77"/>
    <w:rsid w:val="00EB74EA"/>
    <w:rsid w:val="00EB7617"/>
    <w:rsid w:val="00EC0374"/>
    <w:rsid w:val="00EC06B8"/>
    <w:rsid w:val="00EC0843"/>
    <w:rsid w:val="00EC134A"/>
    <w:rsid w:val="00EC15C1"/>
    <w:rsid w:val="00EC2109"/>
    <w:rsid w:val="00EC3D51"/>
    <w:rsid w:val="00EC41BF"/>
    <w:rsid w:val="00EC4308"/>
    <w:rsid w:val="00EC43B3"/>
    <w:rsid w:val="00EC49C6"/>
    <w:rsid w:val="00EC5033"/>
    <w:rsid w:val="00EC53CE"/>
    <w:rsid w:val="00EC5EA0"/>
    <w:rsid w:val="00EC613A"/>
    <w:rsid w:val="00EC62B8"/>
    <w:rsid w:val="00EC6333"/>
    <w:rsid w:val="00EC6866"/>
    <w:rsid w:val="00EC6F99"/>
    <w:rsid w:val="00EC7252"/>
    <w:rsid w:val="00EC7A09"/>
    <w:rsid w:val="00EC7BD6"/>
    <w:rsid w:val="00ED0622"/>
    <w:rsid w:val="00ED082E"/>
    <w:rsid w:val="00ED0A91"/>
    <w:rsid w:val="00ED0D87"/>
    <w:rsid w:val="00ED11EE"/>
    <w:rsid w:val="00ED1346"/>
    <w:rsid w:val="00ED1B93"/>
    <w:rsid w:val="00ED1EA9"/>
    <w:rsid w:val="00ED1F45"/>
    <w:rsid w:val="00ED2168"/>
    <w:rsid w:val="00ED321E"/>
    <w:rsid w:val="00ED3DB7"/>
    <w:rsid w:val="00ED4133"/>
    <w:rsid w:val="00ED4679"/>
    <w:rsid w:val="00ED4A84"/>
    <w:rsid w:val="00ED53F6"/>
    <w:rsid w:val="00ED55E2"/>
    <w:rsid w:val="00ED58EE"/>
    <w:rsid w:val="00ED694E"/>
    <w:rsid w:val="00ED7CDB"/>
    <w:rsid w:val="00EE06A4"/>
    <w:rsid w:val="00EE0C3F"/>
    <w:rsid w:val="00EE0DB6"/>
    <w:rsid w:val="00EE0DE2"/>
    <w:rsid w:val="00EE1700"/>
    <w:rsid w:val="00EE2521"/>
    <w:rsid w:val="00EE32D3"/>
    <w:rsid w:val="00EE33FB"/>
    <w:rsid w:val="00EE394C"/>
    <w:rsid w:val="00EE3F59"/>
    <w:rsid w:val="00EE40B0"/>
    <w:rsid w:val="00EE46E2"/>
    <w:rsid w:val="00EE5016"/>
    <w:rsid w:val="00EE51B8"/>
    <w:rsid w:val="00EE54FD"/>
    <w:rsid w:val="00EE5E60"/>
    <w:rsid w:val="00EE642C"/>
    <w:rsid w:val="00EE7995"/>
    <w:rsid w:val="00EE7D9F"/>
    <w:rsid w:val="00EE7FC2"/>
    <w:rsid w:val="00EF083F"/>
    <w:rsid w:val="00EF095B"/>
    <w:rsid w:val="00EF1537"/>
    <w:rsid w:val="00EF179B"/>
    <w:rsid w:val="00EF1BBE"/>
    <w:rsid w:val="00EF1C6F"/>
    <w:rsid w:val="00EF1FB8"/>
    <w:rsid w:val="00EF280A"/>
    <w:rsid w:val="00EF3051"/>
    <w:rsid w:val="00EF3810"/>
    <w:rsid w:val="00EF3B08"/>
    <w:rsid w:val="00EF3ECC"/>
    <w:rsid w:val="00EF437D"/>
    <w:rsid w:val="00EF4522"/>
    <w:rsid w:val="00EF532B"/>
    <w:rsid w:val="00EF56D6"/>
    <w:rsid w:val="00EF5AED"/>
    <w:rsid w:val="00EF6138"/>
    <w:rsid w:val="00EF6A4F"/>
    <w:rsid w:val="00EF6BAF"/>
    <w:rsid w:val="00EF72D8"/>
    <w:rsid w:val="00EF72DB"/>
    <w:rsid w:val="00EF73AC"/>
    <w:rsid w:val="00EF749F"/>
    <w:rsid w:val="00EF773C"/>
    <w:rsid w:val="00EF78A7"/>
    <w:rsid w:val="00EF7AB8"/>
    <w:rsid w:val="00F004E7"/>
    <w:rsid w:val="00F005BB"/>
    <w:rsid w:val="00F00B60"/>
    <w:rsid w:val="00F011F9"/>
    <w:rsid w:val="00F015E8"/>
    <w:rsid w:val="00F02472"/>
    <w:rsid w:val="00F0269E"/>
    <w:rsid w:val="00F02C4D"/>
    <w:rsid w:val="00F02ED8"/>
    <w:rsid w:val="00F031D6"/>
    <w:rsid w:val="00F0361E"/>
    <w:rsid w:val="00F037C9"/>
    <w:rsid w:val="00F03994"/>
    <w:rsid w:val="00F03A34"/>
    <w:rsid w:val="00F04690"/>
    <w:rsid w:val="00F04F93"/>
    <w:rsid w:val="00F05176"/>
    <w:rsid w:val="00F05667"/>
    <w:rsid w:val="00F056BF"/>
    <w:rsid w:val="00F05CE0"/>
    <w:rsid w:val="00F05CE8"/>
    <w:rsid w:val="00F05FD9"/>
    <w:rsid w:val="00F061A0"/>
    <w:rsid w:val="00F06614"/>
    <w:rsid w:val="00F06689"/>
    <w:rsid w:val="00F06DAC"/>
    <w:rsid w:val="00F07469"/>
    <w:rsid w:val="00F07494"/>
    <w:rsid w:val="00F07B2C"/>
    <w:rsid w:val="00F1062C"/>
    <w:rsid w:val="00F1089A"/>
    <w:rsid w:val="00F11356"/>
    <w:rsid w:val="00F11F3D"/>
    <w:rsid w:val="00F122CB"/>
    <w:rsid w:val="00F1251B"/>
    <w:rsid w:val="00F14074"/>
    <w:rsid w:val="00F140DA"/>
    <w:rsid w:val="00F14709"/>
    <w:rsid w:val="00F1489A"/>
    <w:rsid w:val="00F14951"/>
    <w:rsid w:val="00F160B7"/>
    <w:rsid w:val="00F162AF"/>
    <w:rsid w:val="00F179D2"/>
    <w:rsid w:val="00F17A22"/>
    <w:rsid w:val="00F214DF"/>
    <w:rsid w:val="00F21A2E"/>
    <w:rsid w:val="00F21B01"/>
    <w:rsid w:val="00F22803"/>
    <w:rsid w:val="00F232A5"/>
    <w:rsid w:val="00F2334F"/>
    <w:rsid w:val="00F233D5"/>
    <w:rsid w:val="00F234E0"/>
    <w:rsid w:val="00F234F8"/>
    <w:rsid w:val="00F2461A"/>
    <w:rsid w:val="00F24AFE"/>
    <w:rsid w:val="00F24DF4"/>
    <w:rsid w:val="00F25065"/>
    <w:rsid w:val="00F26809"/>
    <w:rsid w:val="00F2696F"/>
    <w:rsid w:val="00F26D90"/>
    <w:rsid w:val="00F2700D"/>
    <w:rsid w:val="00F2716F"/>
    <w:rsid w:val="00F27603"/>
    <w:rsid w:val="00F302E5"/>
    <w:rsid w:val="00F30ED7"/>
    <w:rsid w:val="00F310E7"/>
    <w:rsid w:val="00F3144C"/>
    <w:rsid w:val="00F31A99"/>
    <w:rsid w:val="00F32B1E"/>
    <w:rsid w:val="00F33627"/>
    <w:rsid w:val="00F3377F"/>
    <w:rsid w:val="00F35289"/>
    <w:rsid w:val="00F3541E"/>
    <w:rsid w:val="00F3554E"/>
    <w:rsid w:val="00F35A6F"/>
    <w:rsid w:val="00F35AE1"/>
    <w:rsid w:val="00F360FC"/>
    <w:rsid w:val="00F362F2"/>
    <w:rsid w:val="00F36863"/>
    <w:rsid w:val="00F36A4F"/>
    <w:rsid w:val="00F36C6A"/>
    <w:rsid w:val="00F36D15"/>
    <w:rsid w:val="00F36EBE"/>
    <w:rsid w:val="00F36FDF"/>
    <w:rsid w:val="00F37878"/>
    <w:rsid w:val="00F378E3"/>
    <w:rsid w:val="00F37F17"/>
    <w:rsid w:val="00F40326"/>
    <w:rsid w:val="00F40C5D"/>
    <w:rsid w:val="00F40D22"/>
    <w:rsid w:val="00F419DF"/>
    <w:rsid w:val="00F41AC8"/>
    <w:rsid w:val="00F41BD6"/>
    <w:rsid w:val="00F42343"/>
    <w:rsid w:val="00F42B9C"/>
    <w:rsid w:val="00F42E23"/>
    <w:rsid w:val="00F43650"/>
    <w:rsid w:val="00F4474D"/>
    <w:rsid w:val="00F45179"/>
    <w:rsid w:val="00F45A4B"/>
    <w:rsid w:val="00F45D32"/>
    <w:rsid w:val="00F46A14"/>
    <w:rsid w:val="00F46D98"/>
    <w:rsid w:val="00F47608"/>
    <w:rsid w:val="00F479C3"/>
    <w:rsid w:val="00F47BC3"/>
    <w:rsid w:val="00F47CCD"/>
    <w:rsid w:val="00F47CE2"/>
    <w:rsid w:val="00F509AB"/>
    <w:rsid w:val="00F50EE8"/>
    <w:rsid w:val="00F5106A"/>
    <w:rsid w:val="00F513B0"/>
    <w:rsid w:val="00F522CD"/>
    <w:rsid w:val="00F529D5"/>
    <w:rsid w:val="00F5370E"/>
    <w:rsid w:val="00F53854"/>
    <w:rsid w:val="00F53BB2"/>
    <w:rsid w:val="00F53C57"/>
    <w:rsid w:val="00F54245"/>
    <w:rsid w:val="00F542B9"/>
    <w:rsid w:val="00F54411"/>
    <w:rsid w:val="00F54BC2"/>
    <w:rsid w:val="00F55048"/>
    <w:rsid w:val="00F55104"/>
    <w:rsid w:val="00F56308"/>
    <w:rsid w:val="00F566CE"/>
    <w:rsid w:val="00F5704D"/>
    <w:rsid w:val="00F57108"/>
    <w:rsid w:val="00F57202"/>
    <w:rsid w:val="00F57443"/>
    <w:rsid w:val="00F57E72"/>
    <w:rsid w:val="00F60167"/>
    <w:rsid w:val="00F6046D"/>
    <w:rsid w:val="00F61874"/>
    <w:rsid w:val="00F6254F"/>
    <w:rsid w:val="00F62593"/>
    <w:rsid w:val="00F625CD"/>
    <w:rsid w:val="00F62727"/>
    <w:rsid w:val="00F62810"/>
    <w:rsid w:val="00F62FD0"/>
    <w:rsid w:val="00F6344C"/>
    <w:rsid w:val="00F634B7"/>
    <w:rsid w:val="00F63784"/>
    <w:rsid w:val="00F63A6A"/>
    <w:rsid w:val="00F63AF9"/>
    <w:rsid w:val="00F647F6"/>
    <w:rsid w:val="00F64C78"/>
    <w:rsid w:val="00F64FB9"/>
    <w:rsid w:val="00F65212"/>
    <w:rsid w:val="00F652FD"/>
    <w:rsid w:val="00F658DD"/>
    <w:rsid w:val="00F66416"/>
    <w:rsid w:val="00F664E7"/>
    <w:rsid w:val="00F66870"/>
    <w:rsid w:val="00F67899"/>
    <w:rsid w:val="00F67C70"/>
    <w:rsid w:val="00F67CD3"/>
    <w:rsid w:val="00F701A0"/>
    <w:rsid w:val="00F70528"/>
    <w:rsid w:val="00F70A04"/>
    <w:rsid w:val="00F7184B"/>
    <w:rsid w:val="00F7197E"/>
    <w:rsid w:val="00F71A12"/>
    <w:rsid w:val="00F72619"/>
    <w:rsid w:val="00F72872"/>
    <w:rsid w:val="00F72A05"/>
    <w:rsid w:val="00F72C81"/>
    <w:rsid w:val="00F72CFA"/>
    <w:rsid w:val="00F73527"/>
    <w:rsid w:val="00F7438D"/>
    <w:rsid w:val="00F744D6"/>
    <w:rsid w:val="00F7498D"/>
    <w:rsid w:val="00F74F8B"/>
    <w:rsid w:val="00F75372"/>
    <w:rsid w:val="00F75600"/>
    <w:rsid w:val="00F75CF1"/>
    <w:rsid w:val="00F75F18"/>
    <w:rsid w:val="00F7608B"/>
    <w:rsid w:val="00F76585"/>
    <w:rsid w:val="00F76C95"/>
    <w:rsid w:val="00F76EB0"/>
    <w:rsid w:val="00F778A2"/>
    <w:rsid w:val="00F77B20"/>
    <w:rsid w:val="00F8016D"/>
    <w:rsid w:val="00F8038E"/>
    <w:rsid w:val="00F80ABB"/>
    <w:rsid w:val="00F80B16"/>
    <w:rsid w:val="00F80E3C"/>
    <w:rsid w:val="00F814F3"/>
    <w:rsid w:val="00F815E7"/>
    <w:rsid w:val="00F8185A"/>
    <w:rsid w:val="00F81966"/>
    <w:rsid w:val="00F821A5"/>
    <w:rsid w:val="00F82378"/>
    <w:rsid w:val="00F82613"/>
    <w:rsid w:val="00F82BF8"/>
    <w:rsid w:val="00F82DAC"/>
    <w:rsid w:val="00F82E2E"/>
    <w:rsid w:val="00F834B5"/>
    <w:rsid w:val="00F837F3"/>
    <w:rsid w:val="00F83A1B"/>
    <w:rsid w:val="00F83CF1"/>
    <w:rsid w:val="00F8416E"/>
    <w:rsid w:val="00F841B5"/>
    <w:rsid w:val="00F844B2"/>
    <w:rsid w:val="00F8466B"/>
    <w:rsid w:val="00F8470E"/>
    <w:rsid w:val="00F85098"/>
    <w:rsid w:val="00F85849"/>
    <w:rsid w:val="00F85C18"/>
    <w:rsid w:val="00F85D43"/>
    <w:rsid w:val="00F85FE4"/>
    <w:rsid w:val="00F86FE6"/>
    <w:rsid w:val="00F87A5C"/>
    <w:rsid w:val="00F9077B"/>
    <w:rsid w:val="00F9094B"/>
    <w:rsid w:val="00F90BB2"/>
    <w:rsid w:val="00F914AA"/>
    <w:rsid w:val="00F917C1"/>
    <w:rsid w:val="00F92AF0"/>
    <w:rsid w:val="00F92D89"/>
    <w:rsid w:val="00F9374D"/>
    <w:rsid w:val="00F938D7"/>
    <w:rsid w:val="00F93DC6"/>
    <w:rsid w:val="00F93F84"/>
    <w:rsid w:val="00F9427E"/>
    <w:rsid w:val="00F947B0"/>
    <w:rsid w:val="00F94CBB"/>
    <w:rsid w:val="00F94F31"/>
    <w:rsid w:val="00F95230"/>
    <w:rsid w:val="00F95326"/>
    <w:rsid w:val="00F95CDF"/>
    <w:rsid w:val="00F96860"/>
    <w:rsid w:val="00F96E12"/>
    <w:rsid w:val="00F97A50"/>
    <w:rsid w:val="00F97B48"/>
    <w:rsid w:val="00FA021B"/>
    <w:rsid w:val="00FA1275"/>
    <w:rsid w:val="00FA13D2"/>
    <w:rsid w:val="00FA164E"/>
    <w:rsid w:val="00FA1A60"/>
    <w:rsid w:val="00FA264A"/>
    <w:rsid w:val="00FA2DA3"/>
    <w:rsid w:val="00FA3029"/>
    <w:rsid w:val="00FA37E8"/>
    <w:rsid w:val="00FA3B9E"/>
    <w:rsid w:val="00FA4CF7"/>
    <w:rsid w:val="00FA6076"/>
    <w:rsid w:val="00FA72EC"/>
    <w:rsid w:val="00FA733A"/>
    <w:rsid w:val="00FA7BE9"/>
    <w:rsid w:val="00FB0666"/>
    <w:rsid w:val="00FB0E92"/>
    <w:rsid w:val="00FB1065"/>
    <w:rsid w:val="00FB1106"/>
    <w:rsid w:val="00FB15C3"/>
    <w:rsid w:val="00FB1CCB"/>
    <w:rsid w:val="00FB242F"/>
    <w:rsid w:val="00FB2845"/>
    <w:rsid w:val="00FB2D04"/>
    <w:rsid w:val="00FB2DBD"/>
    <w:rsid w:val="00FB2DE3"/>
    <w:rsid w:val="00FB49AF"/>
    <w:rsid w:val="00FB4D08"/>
    <w:rsid w:val="00FB4E35"/>
    <w:rsid w:val="00FB502D"/>
    <w:rsid w:val="00FB5C9F"/>
    <w:rsid w:val="00FB5F00"/>
    <w:rsid w:val="00FB658E"/>
    <w:rsid w:val="00FB6724"/>
    <w:rsid w:val="00FB67E3"/>
    <w:rsid w:val="00FB698D"/>
    <w:rsid w:val="00FB7865"/>
    <w:rsid w:val="00FB78C9"/>
    <w:rsid w:val="00FB7B6A"/>
    <w:rsid w:val="00FB7C25"/>
    <w:rsid w:val="00FC069B"/>
    <w:rsid w:val="00FC0F36"/>
    <w:rsid w:val="00FC1662"/>
    <w:rsid w:val="00FC1919"/>
    <w:rsid w:val="00FC1C7F"/>
    <w:rsid w:val="00FC1D90"/>
    <w:rsid w:val="00FC200C"/>
    <w:rsid w:val="00FC2410"/>
    <w:rsid w:val="00FC24B4"/>
    <w:rsid w:val="00FC2738"/>
    <w:rsid w:val="00FC2F93"/>
    <w:rsid w:val="00FC327D"/>
    <w:rsid w:val="00FC35DF"/>
    <w:rsid w:val="00FC378B"/>
    <w:rsid w:val="00FC4B1E"/>
    <w:rsid w:val="00FC4E26"/>
    <w:rsid w:val="00FC4E4D"/>
    <w:rsid w:val="00FC523A"/>
    <w:rsid w:val="00FC5B3C"/>
    <w:rsid w:val="00FC5BFE"/>
    <w:rsid w:val="00FC5F2F"/>
    <w:rsid w:val="00FC6262"/>
    <w:rsid w:val="00FC679A"/>
    <w:rsid w:val="00FC7574"/>
    <w:rsid w:val="00FC7889"/>
    <w:rsid w:val="00FC7FCE"/>
    <w:rsid w:val="00FC7FDF"/>
    <w:rsid w:val="00FD015A"/>
    <w:rsid w:val="00FD0469"/>
    <w:rsid w:val="00FD0AC3"/>
    <w:rsid w:val="00FD155E"/>
    <w:rsid w:val="00FD1792"/>
    <w:rsid w:val="00FD2E59"/>
    <w:rsid w:val="00FD359B"/>
    <w:rsid w:val="00FD3980"/>
    <w:rsid w:val="00FD3DFA"/>
    <w:rsid w:val="00FD4402"/>
    <w:rsid w:val="00FD5004"/>
    <w:rsid w:val="00FD526E"/>
    <w:rsid w:val="00FD52E0"/>
    <w:rsid w:val="00FD5C89"/>
    <w:rsid w:val="00FD646A"/>
    <w:rsid w:val="00FD68BB"/>
    <w:rsid w:val="00FD6D44"/>
    <w:rsid w:val="00FD7148"/>
    <w:rsid w:val="00FD7D48"/>
    <w:rsid w:val="00FE00FD"/>
    <w:rsid w:val="00FE0D2E"/>
    <w:rsid w:val="00FE1023"/>
    <w:rsid w:val="00FE106A"/>
    <w:rsid w:val="00FE18A6"/>
    <w:rsid w:val="00FE23FA"/>
    <w:rsid w:val="00FE25CA"/>
    <w:rsid w:val="00FE2C6C"/>
    <w:rsid w:val="00FE321F"/>
    <w:rsid w:val="00FE3687"/>
    <w:rsid w:val="00FE40CB"/>
    <w:rsid w:val="00FE4101"/>
    <w:rsid w:val="00FE4340"/>
    <w:rsid w:val="00FE43E8"/>
    <w:rsid w:val="00FE4781"/>
    <w:rsid w:val="00FE4BE7"/>
    <w:rsid w:val="00FE554A"/>
    <w:rsid w:val="00FE55E3"/>
    <w:rsid w:val="00FE56E9"/>
    <w:rsid w:val="00FE5A9B"/>
    <w:rsid w:val="00FE5C7B"/>
    <w:rsid w:val="00FE6846"/>
    <w:rsid w:val="00FE690F"/>
    <w:rsid w:val="00FE6C25"/>
    <w:rsid w:val="00FE6C63"/>
    <w:rsid w:val="00FF0151"/>
    <w:rsid w:val="00FF08A8"/>
    <w:rsid w:val="00FF0A29"/>
    <w:rsid w:val="00FF0AE5"/>
    <w:rsid w:val="00FF1CE8"/>
    <w:rsid w:val="00FF26FD"/>
    <w:rsid w:val="00FF275A"/>
    <w:rsid w:val="00FF2AE1"/>
    <w:rsid w:val="00FF2F5B"/>
    <w:rsid w:val="00FF303A"/>
    <w:rsid w:val="00FF35BB"/>
    <w:rsid w:val="00FF402D"/>
    <w:rsid w:val="00FF4067"/>
    <w:rsid w:val="00FF4246"/>
    <w:rsid w:val="00FF4372"/>
    <w:rsid w:val="00FF448A"/>
    <w:rsid w:val="00FF4976"/>
    <w:rsid w:val="00FF49F1"/>
    <w:rsid w:val="00FF4A7D"/>
    <w:rsid w:val="00FF51CA"/>
    <w:rsid w:val="00FF5575"/>
    <w:rsid w:val="00FF568F"/>
    <w:rsid w:val="00FF6258"/>
    <w:rsid w:val="00FF684A"/>
    <w:rsid w:val="00FF6B87"/>
    <w:rsid w:val="00FF6EA4"/>
    <w:rsid w:val="00FF70DB"/>
    <w:rsid w:val="00FF7854"/>
    <w:rsid w:val="00FF7A4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451ED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63" Type="http://schemas.openxmlformats.org/officeDocument/2006/relationships/image" Target="media/image47.png"/><Relationship Id="rId68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66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61" Type="http://schemas.openxmlformats.org/officeDocument/2006/relationships/image" Target="media/image45.emf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image" Target="media/image44.emf"/><Relationship Id="rId65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64" Type="http://schemas.openxmlformats.org/officeDocument/2006/relationships/oleObject" Target="embeddings/oleObject1.bin"/><Relationship Id="rId69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Relationship Id="rId67" Type="http://schemas.openxmlformats.org/officeDocument/2006/relationships/footer" Target="footer5.xml"/><Relationship Id="rId20" Type="http://schemas.openxmlformats.org/officeDocument/2006/relationships/image" Target="media/image4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62" Type="http://schemas.openxmlformats.org/officeDocument/2006/relationships/image" Target="media/image4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002976policy.data</OurDocsDocId>
    <OurDocsVersionCreatedBy xmlns="0c56a47d-469b-460c-81a1-345d54cdeeee">MICSDLF</OurDocsVersionCreatedBy>
    <OurDocsIsLocked xmlns="0c56a47d-469b-460c-81a1-345d54cdeeee">false</OurDocsIsLocked>
    <OurDocsDocumentType xmlns="0c56a47d-469b-460c-81a1-345d54cdeeee">Web Document</OurDocsDocumentType>
    <OurDocsFileNumbers xmlns="0c56a47d-469b-460c-81a1-345d54cdeeee" xsi:nil="true"/>
    <OurDocsLockedOnBehalfOf xmlns="0c56a47d-469b-460c-81a1-345d54cdeeee" xsi:nil="true"/>
    <OurDocsDocumentDate xmlns="0c56a47d-469b-460c-81a1-345d54cdeeee">2023-02-01T16:00:00+00:00</OurDocsDocumentDate>
    <OurDocsVersionCreatedAt xmlns="0c56a47d-469b-460c-81a1-345d54cdeeee">2023-02-02T00:39:00+00:00</OurDocsVersionCreatedAt>
    <OurDocsReleaseClassification xmlns="0c56a47d-469b-460c-81a1-345d54cdeeee">For Public Release</OurDocsReleaseClassification>
    <OurDocsTitle xmlns="0c56a47d-469b-460c-81a1-345d54cdeeee">WA Economic Profile - January 2023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customXml/itemProps2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A4A05A3-2E96-4B7C-AD25-99DB2A7D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7717</Words>
  <Characters>43837</Characters>
  <Application>Microsoft Office Word</Application>
  <DocSecurity>0</DocSecurity>
  <Lines>1565</Lines>
  <Paragraphs>1052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Economic Profile - January 2023</vt:lpstr>
    </vt:vector>
  </TitlesOfParts>
  <Company>Department of Mines and Petroleum</Company>
  <LinksUpToDate>false</LinksUpToDate>
  <CharactersWithSpaces>50502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Economic Profile - January 2023</dc:title>
  <dc:subject/>
  <dc:creator>Mike Thomas</dc:creator>
  <cp:keywords/>
  <dc:description/>
  <cp:lastModifiedBy>FOO, Lee Mei</cp:lastModifiedBy>
  <cp:revision>3</cp:revision>
  <cp:lastPrinted>2022-11-29T08:43:00Z</cp:lastPrinted>
  <dcterms:created xsi:type="dcterms:W3CDTF">2023-02-02T00:57:00Z</dcterms:created>
  <dcterms:modified xsi:type="dcterms:W3CDTF">2023-02-02T01:16:00Z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