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8FDF3" w14:textId="77777777" w:rsidR="00491A67" w:rsidRDefault="00DD4678" w:rsidP="00491A67">
      <w:pPr>
        <w:tabs>
          <w:tab w:val="left" w:pos="1230"/>
        </w:tabs>
        <w:jc w:val="both"/>
        <w:rPr>
          <w:rFonts w:ascii="Arial" w:hAnsi="Arial" w:cs="Arial"/>
          <w:color w:val="2D2F32"/>
          <w:sz w:val="32"/>
          <w:szCs w:val="32"/>
        </w:rPr>
      </w:pPr>
      <w:r w:rsidRPr="00236FA7">
        <w:rPr>
          <w:rFonts w:ascii="Arial" w:hAnsi="Arial" w:cs="Arial"/>
          <w:color w:val="2D2F32"/>
          <w:sz w:val="32"/>
          <w:szCs w:val="32"/>
        </w:rPr>
        <w:t>WA Government data offshoring position and guidance</w:t>
      </w:r>
    </w:p>
    <w:p w14:paraId="1AB35A00" w14:textId="77777777" w:rsidR="00236FA7" w:rsidRPr="00236FA7" w:rsidRDefault="00236FA7" w:rsidP="00491A67">
      <w:pPr>
        <w:tabs>
          <w:tab w:val="left" w:pos="1230"/>
        </w:tabs>
        <w:jc w:val="both"/>
        <w:rPr>
          <w:rFonts w:ascii="Arial" w:hAnsi="Arial" w:cs="Arial"/>
          <w:color w:val="2D2F32"/>
          <w:sz w:val="28"/>
          <w:szCs w:val="32"/>
        </w:rPr>
      </w:pPr>
      <w:r w:rsidRPr="00236FA7">
        <w:rPr>
          <w:rFonts w:ascii="Arial" w:hAnsi="Arial" w:cs="Arial"/>
          <w:color w:val="2D2F32"/>
          <w:sz w:val="28"/>
          <w:szCs w:val="32"/>
        </w:rPr>
        <w:t>Cloud Policy Fact Sheet 1.2</w:t>
      </w:r>
    </w:p>
    <w:p w14:paraId="6D907C40" w14:textId="77777777" w:rsidR="00491A67" w:rsidRPr="00236FA7" w:rsidRDefault="00491A67" w:rsidP="00491A67">
      <w:pPr>
        <w:jc w:val="both"/>
        <w:rPr>
          <w:rFonts w:ascii="Arial" w:hAnsi="Arial" w:cs="Arial"/>
          <w:sz w:val="23"/>
          <w:szCs w:val="23"/>
        </w:rPr>
      </w:pPr>
      <w:r w:rsidRPr="00236FA7">
        <w:rPr>
          <w:rFonts w:ascii="Arial" w:hAnsi="Arial" w:cs="Arial"/>
          <w:sz w:val="23"/>
          <w:szCs w:val="23"/>
        </w:rPr>
        <w:t>Due to the off-</w:t>
      </w:r>
      <w:proofErr w:type="gramStart"/>
      <w:r w:rsidRPr="00236FA7">
        <w:rPr>
          <w:rFonts w:ascii="Arial" w:hAnsi="Arial" w:cs="Arial"/>
          <w:sz w:val="23"/>
          <w:szCs w:val="23"/>
        </w:rPr>
        <w:t>premise</w:t>
      </w:r>
      <w:proofErr w:type="gramEnd"/>
      <w:r w:rsidRPr="00236FA7">
        <w:rPr>
          <w:rFonts w:ascii="Arial" w:hAnsi="Arial" w:cs="Arial"/>
          <w:sz w:val="23"/>
          <w:szCs w:val="23"/>
        </w:rPr>
        <w:t xml:space="preserve"> nature of cloud computing, it is common for services to be offered worldwide via the internet—often from storage locations and servers in different countries.  Under this position, the act of moving data to, creating it within, or storing it in a location outside of the Commonwealth of Australia is known as “offshoring”.</w:t>
      </w:r>
    </w:p>
    <w:p w14:paraId="5AFBA3AD" w14:textId="77777777" w:rsidR="00491A67" w:rsidRPr="00236FA7" w:rsidRDefault="00491A67" w:rsidP="00491A67">
      <w:pPr>
        <w:jc w:val="both"/>
        <w:rPr>
          <w:rFonts w:ascii="Arial" w:hAnsi="Arial" w:cs="Arial"/>
          <w:sz w:val="23"/>
          <w:szCs w:val="23"/>
        </w:rPr>
      </w:pPr>
      <w:r w:rsidRPr="00236FA7">
        <w:rPr>
          <w:rFonts w:ascii="Arial" w:hAnsi="Arial" w:cs="Arial"/>
          <w:sz w:val="23"/>
          <w:szCs w:val="23"/>
        </w:rPr>
        <w:t xml:space="preserve">In many cases, the specific location of the offshored data in question may not be clear at any given time. Often it may be stored in multiple locations to guard against data loss. </w:t>
      </w:r>
      <w:r w:rsidR="00DD4678" w:rsidRPr="00236FA7">
        <w:rPr>
          <w:rFonts w:ascii="Arial" w:hAnsi="Arial" w:cs="Arial"/>
          <w:sz w:val="23"/>
          <w:szCs w:val="23"/>
        </w:rPr>
        <w:t xml:space="preserve"> </w:t>
      </w:r>
      <w:r w:rsidRPr="00236FA7">
        <w:rPr>
          <w:rFonts w:ascii="Arial" w:hAnsi="Arial" w:cs="Arial"/>
          <w:sz w:val="23"/>
          <w:szCs w:val="23"/>
        </w:rPr>
        <w:t xml:space="preserve">This is the case for a wide range of web services, including commonly used examples such as Dropbox, SurveyMonkey, </w:t>
      </w:r>
      <w:proofErr w:type="spellStart"/>
      <w:r w:rsidRPr="00236FA7">
        <w:rPr>
          <w:rFonts w:ascii="Arial" w:hAnsi="Arial" w:cs="Arial"/>
          <w:sz w:val="23"/>
          <w:szCs w:val="23"/>
        </w:rPr>
        <w:t>SalesForce</w:t>
      </w:r>
      <w:proofErr w:type="spellEnd"/>
      <w:r w:rsidRPr="00236FA7">
        <w:rPr>
          <w:rFonts w:ascii="Arial" w:hAnsi="Arial" w:cs="Arial"/>
          <w:sz w:val="23"/>
          <w:szCs w:val="23"/>
        </w:rPr>
        <w:t xml:space="preserve"> and Google Photos.</w:t>
      </w:r>
    </w:p>
    <w:p w14:paraId="02C30A94" w14:textId="77777777" w:rsidR="00491A67" w:rsidRPr="00236FA7" w:rsidRDefault="00491A67" w:rsidP="00491A67">
      <w:pPr>
        <w:jc w:val="both"/>
        <w:rPr>
          <w:rFonts w:ascii="Arial" w:hAnsi="Arial" w:cs="Arial"/>
          <w:sz w:val="23"/>
          <w:szCs w:val="23"/>
        </w:rPr>
      </w:pPr>
      <w:r w:rsidRPr="00236FA7">
        <w:rPr>
          <w:rFonts w:ascii="Arial" w:hAnsi="Arial" w:cs="Arial"/>
          <w:sz w:val="23"/>
          <w:szCs w:val="23"/>
        </w:rPr>
        <w:t xml:space="preserve">Even where offshored data is held very securely, its mere existence in foreign jurisdictions means that it is subject to different laws to Australia—which gives rise to potential legal access, </w:t>
      </w:r>
      <w:proofErr w:type="gramStart"/>
      <w:r w:rsidRPr="00236FA7">
        <w:rPr>
          <w:rFonts w:ascii="Arial" w:hAnsi="Arial" w:cs="Arial"/>
          <w:sz w:val="23"/>
          <w:szCs w:val="23"/>
        </w:rPr>
        <w:t>security</w:t>
      </w:r>
      <w:proofErr w:type="gramEnd"/>
      <w:r w:rsidRPr="00236FA7">
        <w:rPr>
          <w:rFonts w:ascii="Arial" w:hAnsi="Arial" w:cs="Arial"/>
          <w:sz w:val="23"/>
          <w:szCs w:val="23"/>
        </w:rPr>
        <w:t xml:space="preserve"> and privacy concerns, especially for personally sensitive information.</w:t>
      </w:r>
    </w:p>
    <w:p w14:paraId="0F79845E" w14:textId="77777777" w:rsidR="00491A67" w:rsidRPr="00236FA7" w:rsidRDefault="00491A67" w:rsidP="00491A67">
      <w:pPr>
        <w:jc w:val="both"/>
        <w:rPr>
          <w:rFonts w:ascii="Arial" w:hAnsi="Arial" w:cs="Arial"/>
          <w:sz w:val="23"/>
          <w:szCs w:val="23"/>
        </w:rPr>
      </w:pPr>
      <w:r w:rsidRPr="00236FA7">
        <w:rPr>
          <w:rFonts w:ascii="Arial" w:hAnsi="Arial" w:cs="Arial"/>
          <w:sz w:val="23"/>
          <w:szCs w:val="23"/>
        </w:rPr>
        <w:t xml:space="preserve">Western Australia does not currently have a legislative position on privacy and a whole-of-government data classification scheme.  Agencies </w:t>
      </w:r>
      <w:proofErr w:type="gramStart"/>
      <w:r w:rsidRPr="00236FA7">
        <w:rPr>
          <w:rFonts w:ascii="Arial" w:hAnsi="Arial" w:cs="Arial"/>
          <w:sz w:val="23"/>
          <w:szCs w:val="23"/>
        </w:rPr>
        <w:t>risk based</w:t>
      </w:r>
      <w:proofErr w:type="gramEnd"/>
      <w:r w:rsidRPr="00236FA7">
        <w:rPr>
          <w:rFonts w:ascii="Arial" w:hAnsi="Arial" w:cs="Arial"/>
          <w:sz w:val="23"/>
          <w:szCs w:val="23"/>
        </w:rPr>
        <w:t xml:space="preserve"> decision making processes in the data space are therefore at a low level of maturity.  As a results, agencies do not have the capability and capacity to adequately evaluate and determine protections for potentially sensitive data.  If agencies are not confident in their own determinations, they will not be able to adequately manage and monitor security and privacy standards in their cloud service partners.</w:t>
      </w:r>
    </w:p>
    <w:p w14:paraId="43D7D142" w14:textId="77777777" w:rsidR="00491A67" w:rsidRPr="00236FA7" w:rsidRDefault="00491A67" w:rsidP="00491A67">
      <w:pPr>
        <w:jc w:val="both"/>
        <w:rPr>
          <w:rFonts w:ascii="Arial" w:hAnsi="Arial" w:cs="Arial"/>
          <w:sz w:val="23"/>
          <w:szCs w:val="23"/>
        </w:rPr>
      </w:pPr>
      <w:r w:rsidRPr="00236FA7">
        <w:rPr>
          <w:rFonts w:ascii="Arial" w:hAnsi="Arial" w:cs="Arial"/>
          <w:sz w:val="23"/>
          <w:szCs w:val="23"/>
        </w:rPr>
        <w:t>In this context, it is important that Western Australian public sector agencies give strong care and consideration to the nature of their data, and where it will be stored.</w:t>
      </w:r>
    </w:p>
    <w:p w14:paraId="4983A9EB" w14:textId="77777777" w:rsidR="00491A67" w:rsidRPr="00236FA7" w:rsidRDefault="00491A67" w:rsidP="00491A67">
      <w:pPr>
        <w:jc w:val="both"/>
        <w:rPr>
          <w:rFonts w:ascii="Arial" w:hAnsi="Arial" w:cs="Arial"/>
          <w:sz w:val="23"/>
          <w:szCs w:val="23"/>
        </w:rPr>
      </w:pPr>
      <w:r w:rsidRPr="00236FA7">
        <w:rPr>
          <w:rFonts w:ascii="Arial" w:hAnsi="Arial" w:cs="Arial"/>
          <w:sz w:val="23"/>
          <w:szCs w:val="23"/>
        </w:rPr>
        <w:t xml:space="preserve">The Data Offshoring Position for the Western Australian Public Sector provides preliminary guidance for the sector, pending a more comprehensive approach (encompassing data classification, </w:t>
      </w:r>
      <w:proofErr w:type="gramStart"/>
      <w:r w:rsidRPr="00236FA7">
        <w:rPr>
          <w:rFonts w:ascii="Arial" w:hAnsi="Arial" w:cs="Arial"/>
          <w:sz w:val="23"/>
          <w:szCs w:val="23"/>
        </w:rPr>
        <w:t>privacy</w:t>
      </w:r>
      <w:proofErr w:type="gramEnd"/>
      <w:r w:rsidRPr="00236FA7">
        <w:rPr>
          <w:rFonts w:ascii="Arial" w:hAnsi="Arial" w:cs="Arial"/>
          <w:sz w:val="23"/>
          <w:szCs w:val="23"/>
        </w:rPr>
        <w:t xml:space="preserve"> and security) which are yet to be developed.</w:t>
      </w:r>
    </w:p>
    <w:p w14:paraId="5B1A6726" w14:textId="77777777" w:rsidR="00491A67" w:rsidRPr="00236FA7" w:rsidRDefault="00491A67" w:rsidP="00491A67">
      <w:pPr>
        <w:tabs>
          <w:tab w:val="left" w:pos="1230"/>
        </w:tabs>
        <w:rPr>
          <w:rFonts w:ascii="Arial" w:hAnsi="Arial" w:cs="Arial"/>
          <w:sz w:val="28"/>
          <w:szCs w:val="36"/>
        </w:rPr>
      </w:pPr>
      <w:r w:rsidRPr="00236FA7">
        <w:rPr>
          <w:rFonts w:ascii="Arial" w:hAnsi="Arial" w:cs="Arial"/>
          <w:sz w:val="28"/>
          <w:szCs w:val="36"/>
        </w:rPr>
        <w:t xml:space="preserve">Offshoring Position </w:t>
      </w:r>
    </w:p>
    <w:p w14:paraId="1EF40149" w14:textId="77777777" w:rsidR="00491A67" w:rsidRPr="00236FA7" w:rsidRDefault="00491A67" w:rsidP="00491A67">
      <w:pPr>
        <w:shd w:val="clear" w:color="auto" w:fill="D9D9D9"/>
        <w:jc w:val="both"/>
        <w:rPr>
          <w:rFonts w:ascii="Arial" w:eastAsia="Calibri" w:hAnsi="Arial" w:cs="Arial"/>
          <w:i/>
          <w:sz w:val="23"/>
          <w:szCs w:val="23"/>
        </w:rPr>
      </w:pPr>
      <w:r w:rsidRPr="00236FA7">
        <w:rPr>
          <w:rFonts w:ascii="Arial" w:eastAsia="Calibri" w:hAnsi="Arial" w:cs="Arial"/>
          <w:i/>
          <w:sz w:val="23"/>
          <w:szCs w:val="23"/>
        </w:rPr>
        <w:t>The Western Australian Government’s Position on Offshoring is that agencies may offshore data—but only following a comprehensive and rigorous risk assessment process, and written endorsement from their Director General or Chief Executive Officer for each business case.</w:t>
      </w:r>
    </w:p>
    <w:p w14:paraId="11E21741" w14:textId="77777777" w:rsidR="00491A67" w:rsidRPr="00236FA7" w:rsidRDefault="00491A67" w:rsidP="00491A67">
      <w:pPr>
        <w:shd w:val="clear" w:color="auto" w:fill="D9D9D9"/>
        <w:jc w:val="both"/>
        <w:rPr>
          <w:rFonts w:ascii="Arial" w:eastAsia="Calibri" w:hAnsi="Arial" w:cs="Arial"/>
          <w:i/>
          <w:sz w:val="23"/>
          <w:szCs w:val="23"/>
        </w:rPr>
      </w:pPr>
      <w:r w:rsidRPr="00236FA7">
        <w:rPr>
          <w:rFonts w:ascii="Arial" w:eastAsia="Calibri" w:hAnsi="Arial" w:cs="Arial"/>
          <w:i/>
          <w:sz w:val="23"/>
          <w:szCs w:val="23"/>
        </w:rPr>
        <w:t>If agencies are not able to establish the sensitivity and potential risks of offshoring, and confidently manage the behaviour of their offshore partners, they should not proceed with offshoring of data.</w:t>
      </w:r>
    </w:p>
    <w:p w14:paraId="29A2C1E7" w14:textId="77777777" w:rsidR="00491A67" w:rsidRPr="00236FA7" w:rsidRDefault="00491A67" w:rsidP="00491A67">
      <w:pPr>
        <w:shd w:val="clear" w:color="auto" w:fill="D9D9D9"/>
        <w:jc w:val="both"/>
        <w:rPr>
          <w:rFonts w:ascii="Arial" w:eastAsia="Calibri" w:hAnsi="Arial" w:cs="Arial"/>
          <w:i/>
          <w:sz w:val="23"/>
          <w:szCs w:val="23"/>
        </w:rPr>
      </w:pPr>
      <w:r w:rsidRPr="00236FA7">
        <w:rPr>
          <w:rFonts w:ascii="Arial" w:eastAsia="Calibri" w:hAnsi="Arial" w:cs="Arial"/>
          <w:i/>
          <w:sz w:val="23"/>
          <w:szCs w:val="23"/>
        </w:rPr>
        <w:t>As formalised definitions for classification of data (a data classification system) does not yet exist for the Western Australian public sector, agencies should use existing terminology from their risk assessment processes. This includes categories such as “cabinet in confidence”, “commercial in confidence”, “legally privilege”, and “sensitive information”.</w:t>
      </w:r>
    </w:p>
    <w:p w14:paraId="63F5719D" w14:textId="77777777" w:rsidR="00491A67" w:rsidRPr="00236FA7" w:rsidRDefault="00491A67" w:rsidP="00491A67">
      <w:pPr>
        <w:jc w:val="both"/>
        <w:rPr>
          <w:rFonts w:ascii="Arial" w:hAnsi="Arial" w:cs="Arial"/>
          <w:sz w:val="23"/>
          <w:szCs w:val="23"/>
        </w:rPr>
        <w:sectPr w:rsidR="00491A67" w:rsidRPr="00236FA7" w:rsidSect="00236FA7">
          <w:headerReference w:type="default" r:id="rId7"/>
          <w:pgSz w:w="11906" w:h="16838"/>
          <w:pgMar w:top="1843" w:right="1440" w:bottom="1134" w:left="1440" w:header="708" w:footer="708" w:gutter="0"/>
          <w:cols w:space="708"/>
          <w:docGrid w:linePitch="360"/>
        </w:sectPr>
      </w:pPr>
    </w:p>
    <w:p w14:paraId="5A1484CD" w14:textId="77777777" w:rsidR="00491A67" w:rsidRPr="00236FA7" w:rsidRDefault="00491A67" w:rsidP="00491A67">
      <w:pPr>
        <w:shd w:val="clear" w:color="auto" w:fill="D9D9D9"/>
        <w:jc w:val="both"/>
        <w:rPr>
          <w:rFonts w:ascii="Arial" w:eastAsia="Calibri" w:hAnsi="Arial" w:cs="Arial"/>
          <w:i/>
          <w:sz w:val="23"/>
          <w:szCs w:val="23"/>
        </w:rPr>
      </w:pPr>
      <w:r w:rsidRPr="00236FA7">
        <w:rPr>
          <w:rFonts w:ascii="Arial" w:eastAsia="Calibri" w:hAnsi="Arial" w:cs="Arial"/>
          <w:i/>
          <w:sz w:val="23"/>
          <w:szCs w:val="23"/>
        </w:rPr>
        <w:lastRenderedPageBreak/>
        <w:t>Privacy is an especially important concern in offshoring of data.  Until more comprehensive requirements and guidance for privacy in the Western Australian public sector are available, agencies must apply the Australian Privacy Principles as a mandatory minimum.  This includes a definition of “sensitive information”, as defined in the Guidelines to the Australian Privacy Principles</w:t>
      </w:r>
      <w:r w:rsidRPr="00236FA7">
        <w:rPr>
          <w:rFonts w:ascii="Arial" w:eastAsia="Calibri" w:hAnsi="Arial" w:cs="Arial"/>
          <w:i/>
          <w:sz w:val="23"/>
          <w:szCs w:val="23"/>
          <w:vertAlign w:val="superscript"/>
        </w:rPr>
        <w:footnoteReference w:id="1"/>
      </w:r>
      <w:r w:rsidRPr="00236FA7">
        <w:rPr>
          <w:rFonts w:ascii="Arial" w:eastAsia="Calibri" w:hAnsi="Arial" w:cs="Arial"/>
          <w:i/>
          <w:sz w:val="23"/>
          <w:szCs w:val="23"/>
        </w:rPr>
        <w:t>.</w:t>
      </w:r>
    </w:p>
    <w:p w14:paraId="60379479" w14:textId="77777777" w:rsidR="00491A67" w:rsidRPr="00236FA7" w:rsidRDefault="00491A67" w:rsidP="00491A67">
      <w:pPr>
        <w:shd w:val="clear" w:color="auto" w:fill="D9D9D9"/>
        <w:jc w:val="both"/>
        <w:rPr>
          <w:rFonts w:ascii="Arial" w:eastAsia="Calibri" w:hAnsi="Arial" w:cs="Arial"/>
          <w:i/>
          <w:sz w:val="23"/>
          <w:szCs w:val="23"/>
        </w:rPr>
      </w:pPr>
      <w:r w:rsidRPr="00236FA7">
        <w:rPr>
          <w:rFonts w:ascii="Arial" w:eastAsia="Calibri" w:hAnsi="Arial" w:cs="Arial"/>
          <w:i/>
          <w:sz w:val="23"/>
          <w:szCs w:val="23"/>
        </w:rPr>
        <w:t>This Position applies in addition to, and does not alter requirements under, the State Records Act 2000. Any other legal requirements relating to agency data are also undiminished by the Position.</w:t>
      </w:r>
    </w:p>
    <w:p w14:paraId="4F47C44B" w14:textId="77777777" w:rsidR="00491A67" w:rsidRPr="00236FA7" w:rsidRDefault="00491A67" w:rsidP="00491A67">
      <w:pPr>
        <w:shd w:val="clear" w:color="auto" w:fill="D9D9D9"/>
        <w:jc w:val="both"/>
        <w:rPr>
          <w:rFonts w:ascii="Arial" w:eastAsia="Calibri" w:hAnsi="Arial" w:cs="Arial"/>
          <w:i/>
          <w:sz w:val="23"/>
          <w:szCs w:val="23"/>
        </w:rPr>
      </w:pPr>
      <w:r w:rsidRPr="00236FA7">
        <w:rPr>
          <w:rFonts w:ascii="Arial" w:eastAsia="Calibri" w:hAnsi="Arial" w:cs="Arial"/>
          <w:i/>
          <w:sz w:val="23"/>
          <w:szCs w:val="23"/>
        </w:rPr>
        <w:t>If an agency offshores any of its data, it must actively monitor and manage the handling of that data by the vendor or responsible party, to ensure record-keeping obligations are met and all risks mitigated.</w:t>
      </w:r>
    </w:p>
    <w:p w14:paraId="0F423F06" w14:textId="77777777" w:rsidR="00491A67" w:rsidRPr="00236FA7" w:rsidRDefault="00491A67" w:rsidP="00491A67">
      <w:pPr>
        <w:jc w:val="both"/>
        <w:rPr>
          <w:rFonts w:ascii="Arial" w:hAnsi="Arial" w:cs="Arial"/>
          <w:sz w:val="23"/>
          <w:szCs w:val="23"/>
        </w:rPr>
      </w:pPr>
      <w:r w:rsidRPr="00236FA7">
        <w:rPr>
          <w:rFonts w:ascii="Arial" w:hAnsi="Arial" w:cs="Arial"/>
          <w:sz w:val="23"/>
          <w:szCs w:val="23"/>
        </w:rPr>
        <w:t>This Position is further clarified in the headings below.</w:t>
      </w:r>
    </w:p>
    <w:p w14:paraId="7B78917B" w14:textId="77777777" w:rsidR="00491A67" w:rsidRPr="00236FA7" w:rsidRDefault="00491A67" w:rsidP="00491A67">
      <w:pPr>
        <w:jc w:val="both"/>
        <w:rPr>
          <w:rFonts w:ascii="Arial" w:hAnsi="Arial" w:cs="Arial"/>
          <w:i/>
          <w:sz w:val="23"/>
          <w:szCs w:val="23"/>
        </w:rPr>
      </w:pPr>
      <w:r w:rsidRPr="00236FA7">
        <w:rPr>
          <w:rFonts w:ascii="Arial" w:hAnsi="Arial" w:cs="Arial"/>
          <w:i/>
          <w:sz w:val="23"/>
          <w:szCs w:val="23"/>
        </w:rPr>
        <w:t>State Records Act</w:t>
      </w:r>
    </w:p>
    <w:p w14:paraId="5B7226C0" w14:textId="77777777" w:rsidR="00491A67" w:rsidRPr="00236FA7" w:rsidRDefault="00491A67" w:rsidP="00491A67">
      <w:pPr>
        <w:jc w:val="both"/>
        <w:rPr>
          <w:rFonts w:ascii="Arial" w:hAnsi="Arial" w:cs="Arial"/>
          <w:sz w:val="23"/>
          <w:szCs w:val="23"/>
        </w:rPr>
      </w:pPr>
      <w:r w:rsidRPr="00236FA7">
        <w:rPr>
          <w:rFonts w:ascii="Arial" w:hAnsi="Arial" w:cs="Arial"/>
          <w:sz w:val="23"/>
          <w:szCs w:val="23"/>
        </w:rPr>
        <w:t xml:space="preserve">The </w:t>
      </w:r>
      <w:r w:rsidRPr="00236FA7">
        <w:rPr>
          <w:rFonts w:ascii="Arial" w:hAnsi="Arial" w:cs="Arial"/>
          <w:i/>
          <w:sz w:val="23"/>
          <w:szCs w:val="23"/>
        </w:rPr>
        <w:t xml:space="preserve">State Records Act 2000 (WA) </w:t>
      </w:r>
      <w:r w:rsidRPr="00236FA7">
        <w:rPr>
          <w:rFonts w:ascii="Arial" w:hAnsi="Arial" w:cs="Arial"/>
          <w:sz w:val="23"/>
          <w:szCs w:val="23"/>
        </w:rPr>
        <w:t xml:space="preserve">requires that agencies “undertake appropriate risk assessments of data” before selecting storage or data centres of any kind. </w:t>
      </w:r>
    </w:p>
    <w:p w14:paraId="45457262" w14:textId="77777777" w:rsidR="00491A67" w:rsidRPr="00236FA7" w:rsidRDefault="00491A67" w:rsidP="00491A67">
      <w:pPr>
        <w:jc w:val="both"/>
        <w:rPr>
          <w:rFonts w:ascii="Arial" w:hAnsi="Arial" w:cs="Arial"/>
          <w:sz w:val="23"/>
          <w:szCs w:val="23"/>
        </w:rPr>
      </w:pPr>
      <w:r w:rsidRPr="00236FA7">
        <w:rPr>
          <w:rFonts w:ascii="Arial" w:hAnsi="Arial" w:cs="Arial"/>
          <w:sz w:val="23"/>
          <w:szCs w:val="23"/>
        </w:rPr>
        <w:t>Unlike traditional procurement and consumption models where products are customised according to the agency’s needs, providers of offshoring services have standard contracts and service level agreements which are not open to variation.  Therefore, it cannot be assumed that these cloud service providers will automatically meet your obligations.</w:t>
      </w:r>
    </w:p>
    <w:p w14:paraId="14420341" w14:textId="77777777" w:rsidR="00491A67" w:rsidRPr="00236FA7" w:rsidRDefault="00491A67" w:rsidP="00491A67">
      <w:pPr>
        <w:jc w:val="both"/>
        <w:rPr>
          <w:rFonts w:ascii="Arial" w:hAnsi="Arial" w:cs="Arial"/>
          <w:i/>
          <w:sz w:val="23"/>
          <w:szCs w:val="23"/>
        </w:rPr>
      </w:pPr>
      <w:r w:rsidRPr="00236FA7">
        <w:rPr>
          <w:rFonts w:ascii="Arial" w:hAnsi="Arial" w:cs="Arial"/>
          <w:i/>
          <w:sz w:val="23"/>
          <w:szCs w:val="23"/>
        </w:rPr>
        <w:t>Privacy</w:t>
      </w:r>
    </w:p>
    <w:p w14:paraId="43838C6F" w14:textId="77777777" w:rsidR="00491A67" w:rsidRPr="00236FA7" w:rsidRDefault="00491A67" w:rsidP="00491A67">
      <w:pPr>
        <w:jc w:val="both"/>
        <w:rPr>
          <w:rFonts w:ascii="Arial" w:hAnsi="Arial" w:cs="Arial"/>
          <w:sz w:val="23"/>
          <w:szCs w:val="23"/>
        </w:rPr>
      </w:pPr>
      <w:r w:rsidRPr="00236FA7">
        <w:rPr>
          <w:rFonts w:ascii="Arial" w:hAnsi="Arial" w:cs="Arial"/>
          <w:sz w:val="23"/>
          <w:szCs w:val="23"/>
        </w:rPr>
        <w:t xml:space="preserve">Lack of public trust in Government will hinder the uptake (and commensurate benefits) of better data-driven services, and sound privacy is a key component in building and maintaining that trust. </w:t>
      </w:r>
    </w:p>
    <w:p w14:paraId="28AF6487" w14:textId="77777777" w:rsidR="00491A67" w:rsidRPr="00236FA7" w:rsidRDefault="00491A67" w:rsidP="00491A67">
      <w:pPr>
        <w:jc w:val="both"/>
        <w:rPr>
          <w:rFonts w:ascii="Arial" w:hAnsi="Arial" w:cs="Arial"/>
          <w:sz w:val="23"/>
          <w:szCs w:val="23"/>
        </w:rPr>
      </w:pPr>
      <w:r w:rsidRPr="00236FA7">
        <w:rPr>
          <w:rFonts w:ascii="Arial" w:hAnsi="Arial" w:cs="Arial"/>
          <w:sz w:val="23"/>
          <w:szCs w:val="23"/>
        </w:rPr>
        <w:t xml:space="preserve">Western Australia is one of the last jurisdictions in Australia without legislative provisions relating to privacy, a fact highlighted with concern in the interim report of the Service Priority Review. </w:t>
      </w:r>
    </w:p>
    <w:p w14:paraId="6BB05F97" w14:textId="77777777" w:rsidR="00491A67" w:rsidRPr="00236FA7" w:rsidRDefault="00491A67" w:rsidP="00491A67">
      <w:pPr>
        <w:jc w:val="both"/>
        <w:rPr>
          <w:rFonts w:ascii="Arial" w:hAnsi="Arial" w:cs="Arial"/>
          <w:sz w:val="23"/>
          <w:szCs w:val="23"/>
        </w:rPr>
      </w:pPr>
      <w:r w:rsidRPr="00236FA7">
        <w:rPr>
          <w:rFonts w:ascii="Arial" w:hAnsi="Arial" w:cs="Arial"/>
          <w:sz w:val="23"/>
          <w:szCs w:val="23"/>
        </w:rPr>
        <w:t>Until a more comprehensive legislative approach to privacy is available, the Western Australian public sector’s Interim Privacy Position is to adopt the existing Policy Framework and Standards for Information Sharing Between Government Agencies (the Framework).</w:t>
      </w:r>
      <w:r w:rsidRPr="00236FA7">
        <w:rPr>
          <w:rStyle w:val="FootnoteReference"/>
          <w:rFonts w:ascii="Arial" w:hAnsi="Arial" w:cs="Arial"/>
          <w:sz w:val="23"/>
          <w:szCs w:val="23"/>
        </w:rPr>
        <w:t xml:space="preserve"> </w:t>
      </w:r>
      <w:r w:rsidRPr="00236FA7">
        <w:rPr>
          <w:rStyle w:val="FootnoteReference"/>
          <w:rFonts w:ascii="Arial" w:hAnsi="Arial" w:cs="Arial"/>
          <w:sz w:val="23"/>
          <w:szCs w:val="23"/>
        </w:rPr>
        <w:footnoteReference w:id="2"/>
      </w:r>
      <w:r w:rsidRPr="00236FA7">
        <w:rPr>
          <w:rFonts w:ascii="Arial" w:hAnsi="Arial" w:cs="Arial"/>
          <w:sz w:val="23"/>
          <w:szCs w:val="23"/>
        </w:rPr>
        <w:t xml:space="preserve">  This is administered by the Department of Justice, and mandatory under Public Sector Commissioner’s Circular 2014/02.</w:t>
      </w:r>
    </w:p>
    <w:p w14:paraId="685007CF" w14:textId="77777777" w:rsidR="00491A67" w:rsidRPr="00236FA7" w:rsidRDefault="00491A67" w:rsidP="00491A67">
      <w:pPr>
        <w:jc w:val="both"/>
        <w:rPr>
          <w:rFonts w:ascii="Arial" w:hAnsi="Arial" w:cs="Arial"/>
          <w:sz w:val="23"/>
          <w:szCs w:val="23"/>
        </w:rPr>
      </w:pPr>
      <w:r w:rsidRPr="00236FA7">
        <w:rPr>
          <w:rFonts w:ascii="Arial" w:hAnsi="Arial" w:cs="Arial"/>
          <w:sz w:val="23"/>
          <w:szCs w:val="23"/>
        </w:rPr>
        <w:t xml:space="preserve">The Framework requires information sharing by agencies to be consistent with appropriate minimum privacy standards, such as the Australian Privacy Principles. </w:t>
      </w:r>
    </w:p>
    <w:p w14:paraId="61487606" w14:textId="77777777" w:rsidR="00491A67" w:rsidRDefault="00491A67" w:rsidP="00491A67">
      <w:pPr>
        <w:jc w:val="both"/>
        <w:rPr>
          <w:sz w:val="23"/>
          <w:szCs w:val="23"/>
        </w:rPr>
      </w:pPr>
      <w:r>
        <w:rPr>
          <w:sz w:val="23"/>
          <w:szCs w:val="23"/>
        </w:rPr>
        <w:br w:type="page"/>
      </w:r>
    </w:p>
    <w:p w14:paraId="33E4BE9D" w14:textId="77777777" w:rsidR="00491A67" w:rsidRPr="00236FA7" w:rsidRDefault="00491A67" w:rsidP="00491A67">
      <w:pPr>
        <w:jc w:val="both"/>
        <w:rPr>
          <w:rFonts w:ascii="Arial" w:hAnsi="Arial" w:cs="Arial"/>
          <w:i/>
          <w:sz w:val="23"/>
          <w:szCs w:val="23"/>
        </w:rPr>
      </w:pPr>
      <w:r w:rsidRPr="00236FA7">
        <w:rPr>
          <w:rFonts w:ascii="Arial" w:hAnsi="Arial" w:cs="Arial"/>
          <w:i/>
          <w:sz w:val="23"/>
          <w:szCs w:val="23"/>
        </w:rPr>
        <w:lastRenderedPageBreak/>
        <w:t>Personal and Sensitive Information</w:t>
      </w:r>
    </w:p>
    <w:p w14:paraId="69715F3B" w14:textId="77777777" w:rsidR="00491A67" w:rsidRPr="00236FA7" w:rsidRDefault="00491A67" w:rsidP="00491A67">
      <w:pPr>
        <w:jc w:val="both"/>
        <w:rPr>
          <w:rFonts w:ascii="Arial" w:hAnsi="Arial" w:cs="Arial"/>
          <w:sz w:val="23"/>
          <w:szCs w:val="23"/>
        </w:rPr>
      </w:pPr>
      <w:r w:rsidRPr="00236FA7">
        <w:rPr>
          <w:rFonts w:ascii="Arial" w:hAnsi="Arial" w:cs="Arial"/>
          <w:sz w:val="23"/>
          <w:szCs w:val="23"/>
        </w:rPr>
        <w:t xml:space="preserve">The APP are established under the </w:t>
      </w:r>
      <w:r w:rsidRPr="00236FA7">
        <w:rPr>
          <w:rFonts w:ascii="Arial" w:hAnsi="Arial" w:cs="Arial"/>
          <w:i/>
          <w:sz w:val="23"/>
          <w:szCs w:val="23"/>
        </w:rPr>
        <w:t>Privacy Act 1988 (</w:t>
      </w:r>
      <w:proofErr w:type="spellStart"/>
      <w:r w:rsidRPr="00236FA7">
        <w:rPr>
          <w:rFonts w:ascii="Arial" w:hAnsi="Arial" w:cs="Arial"/>
          <w:i/>
          <w:sz w:val="23"/>
          <w:szCs w:val="23"/>
        </w:rPr>
        <w:t>Cth</w:t>
      </w:r>
      <w:proofErr w:type="spellEnd"/>
      <w:r w:rsidRPr="00236FA7">
        <w:rPr>
          <w:rFonts w:ascii="Arial" w:hAnsi="Arial" w:cs="Arial"/>
          <w:i/>
          <w:sz w:val="23"/>
          <w:szCs w:val="23"/>
        </w:rPr>
        <w:t>)</w:t>
      </w:r>
      <w:r w:rsidRPr="00236FA7">
        <w:rPr>
          <w:rFonts w:ascii="Arial" w:hAnsi="Arial" w:cs="Arial"/>
          <w:sz w:val="23"/>
          <w:szCs w:val="23"/>
        </w:rPr>
        <w:t xml:space="preserve"> as a baseline standard for a wide range of entities, including all Australian Government agencies, to protect the security and privacy of individuals’ information.</w:t>
      </w:r>
    </w:p>
    <w:p w14:paraId="3D5F3E3D" w14:textId="77777777" w:rsidR="00491A67" w:rsidRPr="00236FA7" w:rsidRDefault="00491A67" w:rsidP="00491A67">
      <w:pPr>
        <w:jc w:val="both"/>
        <w:rPr>
          <w:rFonts w:ascii="Arial" w:hAnsi="Arial" w:cs="Arial"/>
          <w:sz w:val="23"/>
          <w:szCs w:val="23"/>
        </w:rPr>
      </w:pPr>
      <w:r w:rsidRPr="00236FA7">
        <w:rPr>
          <w:rFonts w:ascii="Arial" w:hAnsi="Arial" w:cs="Arial"/>
          <w:sz w:val="23"/>
          <w:szCs w:val="23"/>
        </w:rPr>
        <w:t xml:space="preserve">Not all information handled by Government agencies is sensitive, or likely to give rise to significant privacy and security concerns.  </w:t>
      </w:r>
      <w:proofErr w:type="gramStart"/>
      <w:r w:rsidRPr="00236FA7">
        <w:rPr>
          <w:rFonts w:ascii="Arial" w:hAnsi="Arial" w:cs="Arial"/>
          <w:sz w:val="23"/>
          <w:szCs w:val="23"/>
        </w:rPr>
        <w:t>In order to</w:t>
      </w:r>
      <w:proofErr w:type="gramEnd"/>
      <w:r w:rsidRPr="00236FA7">
        <w:rPr>
          <w:rFonts w:ascii="Arial" w:hAnsi="Arial" w:cs="Arial"/>
          <w:sz w:val="23"/>
          <w:szCs w:val="23"/>
        </w:rPr>
        <w:t xml:space="preserve"> protect the data that is, without unduly restricting use of offshore services, the Western Australian Data Offshoring Position adopts the APP distinction between personal information and sensitive information. </w:t>
      </w:r>
    </w:p>
    <w:p w14:paraId="09E381E8" w14:textId="77777777" w:rsidR="00491A67" w:rsidRPr="00236FA7" w:rsidRDefault="00491A67" w:rsidP="00491A67">
      <w:pPr>
        <w:jc w:val="both"/>
        <w:rPr>
          <w:rFonts w:ascii="Arial" w:hAnsi="Arial" w:cs="Arial"/>
          <w:sz w:val="23"/>
          <w:szCs w:val="23"/>
        </w:rPr>
      </w:pPr>
      <w:r w:rsidRPr="00236FA7">
        <w:rPr>
          <w:rFonts w:ascii="Arial" w:hAnsi="Arial" w:cs="Arial"/>
          <w:sz w:val="23"/>
          <w:szCs w:val="23"/>
        </w:rPr>
        <w:t>“Sensitive information” is a subset of “personal information”, defined in the APP as follows:</w:t>
      </w:r>
    </w:p>
    <w:p w14:paraId="77FB494A" w14:textId="77777777" w:rsidR="00491A67" w:rsidRPr="00704F1B" w:rsidRDefault="00491A67" w:rsidP="00491A67">
      <w:pPr>
        <w:jc w:val="both"/>
        <w:rPr>
          <w:sz w:val="23"/>
          <w:szCs w:val="23"/>
        </w:rPr>
      </w:pPr>
      <w:r w:rsidRPr="00704F1B">
        <w:rPr>
          <w:noProof/>
          <w:sz w:val="23"/>
          <w:szCs w:val="23"/>
          <w:lang w:eastAsia="en-AU"/>
        </w:rPr>
        <mc:AlternateContent>
          <mc:Choice Requires="wps">
            <w:drawing>
              <wp:inline distT="0" distB="0" distL="0" distR="0" wp14:anchorId="283B973B" wp14:editId="1125683C">
                <wp:extent cx="5731510" cy="4987925"/>
                <wp:effectExtent l="0" t="0" r="21590" b="2222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987925"/>
                        </a:xfrm>
                        <a:prstGeom prst="rect">
                          <a:avLst/>
                        </a:prstGeom>
                        <a:solidFill>
                          <a:srgbClr val="FFFFFF"/>
                        </a:solidFill>
                        <a:ln w="9525">
                          <a:solidFill>
                            <a:srgbClr val="000000"/>
                          </a:solidFill>
                          <a:miter lim="800000"/>
                          <a:headEnd/>
                          <a:tailEnd/>
                        </a:ln>
                      </wps:spPr>
                      <wps:txbx>
                        <w:txbxContent>
                          <w:p w14:paraId="38C7F14F" w14:textId="77777777" w:rsidR="00491A67" w:rsidRPr="00236FA7" w:rsidRDefault="00491A67" w:rsidP="00491A67">
                            <w:pPr>
                              <w:spacing w:after="60" w:line="240" w:lineRule="auto"/>
                              <w:rPr>
                                <w:rFonts w:ascii="Arial" w:hAnsi="Arial" w:cs="Arial"/>
                                <w:lang w:val="en-GB"/>
                              </w:rPr>
                            </w:pPr>
                            <w:r w:rsidRPr="00236FA7">
                              <w:rPr>
                                <w:rFonts w:ascii="Arial" w:hAnsi="Arial" w:cs="Arial"/>
                                <w:lang w:val="en-GB"/>
                              </w:rPr>
                              <w:t>B.138 ‘Sensitive information’ is a subset of personal information and is defined as:</w:t>
                            </w:r>
                          </w:p>
                          <w:p w14:paraId="69812748" w14:textId="77777777" w:rsidR="00491A67" w:rsidRPr="00236FA7" w:rsidRDefault="00491A67" w:rsidP="00491A67">
                            <w:pPr>
                              <w:numPr>
                                <w:ilvl w:val="0"/>
                                <w:numId w:val="1"/>
                              </w:numPr>
                              <w:spacing w:after="60" w:line="240" w:lineRule="auto"/>
                              <w:rPr>
                                <w:rFonts w:ascii="Arial" w:hAnsi="Arial" w:cs="Arial"/>
                                <w:lang w:val="en-GB"/>
                              </w:rPr>
                            </w:pPr>
                            <w:r w:rsidRPr="00236FA7">
                              <w:rPr>
                                <w:rFonts w:ascii="Arial" w:hAnsi="Arial" w:cs="Arial"/>
                                <w:lang w:val="en-GB"/>
                              </w:rPr>
                              <w:t xml:space="preserve">information or an opinion (that is also personal information) about an individual’s: </w:t>
                            </w:r>
                          </w:p>
                          <w:p w14:paraId="1ACCEF38" w14:textId="77777777" w:rsidR="00491A67" w:rsidRPr="00236FA7" w:rsidRDefault="00491A67" w:rsidP="00491A67">
                            <w:pPr>
                              <w:numPr>
                                <w:ilvl w:val="1"/>
                                <w:numId w:val="1"/>
                              </w:numPr>
                              <w:spacing w:after="60" w:line="240" w:lineRule="auto"/>
                              <w:rPr>
                                <w:rFonts w:ascii="Arial" w:hAnsi="Arial" w:cs="Arial"/>
                                <w:lang w:val="en-GB"/>
                              </w:rPr>
                            </w:pPr>
                            <w:r w:rsidRPr="00236FA7">
                              <w:rPr>
                                <w:rFonts w:ascii="Arial" w:hAnsi="Arial" w:cs="Arial"/>
                                <w:lang w:val="en-GB"/>
                              </w:rPr>
                              <w:t>racial or ethnic origin</w:t>
                            </w:r>
                          </w:p>
                          <w:p w14:paraId="4301E6B3" w14:textId="77777777" w:rsidR="00491A67" w:rsidRPr="00236FA7" w:rsidRDefault="00491A67" w:rsidP="00491A67">
                            <w:pPr>
                              <w:numPr>
                                <w:ilvl w:val="1"/>
                                <w:numId w:val="1"/>
                              </w:numPr>
                              <w:spacing w:after="60" w:line="240" w:lineRule="auto"/>
                              <w:rPr>
                                <w:rFonts w:ascii="Arial" w:hAnsi="Arial" w:cs="Arial"/>
                                <w:lang w:val="en-GB"/>
                              </w:rPr>
                            </w:pPr>
                            <w:r w:rsidRPr="00236FA7">
                              <w:rPr>
                                <w:rFonts w:ascii="Arial" w:hAnsi="Arial" w:cs="Arial"/>
                                <w:lang w:val="en-GB"/>
                              </w:rPr>
                              <w:t>political opinions</w:t>
                            </w:r>
                          </w:p>
                          <w:p w14:paraId="3AFC3313" w14:textId="77777777" w:rsidR="00491A67" w:rsidRPr="00236FA7" w:rsidRDefault="00491A67" w:rsidP="00491A67">
                            <w:pPr>
                              <w:numPr>
                                <w:ilvl w:val="1"/>
                                <w:numId w:val="1"/>
                              </w:numPr>
                              <w:spacing w:after="60" w:line="240" w:lineRule="auto"/>
                              <w:rPr>
                                <w:rFonts w:ascii="Arial" w:hAnsi="Arial" w:cs="Arial"/>
                                <w:lang w:val="en-GB"/>
                              </w:rPr>
                            </w:pPr>
                            <w:r w:rsidRPr="00236FA7">
                              <w:rPr>
                                <w:rFonts w:ascii="Arial" w:hAnsi="Arial" w:cs="Arial"/>
                                <w:lang w:val="en-GB"/>
                              </w:rPr>
                              <w:t>membership of a political association</w:t>
                            </w:r>
                          </w:p>
                          <w:p w14:paraId="784035C4" w14:textId="77777777" w:rsidR="00491A67" w:rsidRPr="00236FA7" w:rsidRDefault="00491A67" w:rsidP="00491A67">
                            <w:pPr>
                              <w:numPr>
                                <w:ilvl w:val="1"/>
                                <w:numId w:val="1"/>
                              </w:numPr>
                              <w:spacing w:after="60" w:line="240" w:lineRule="auto"/>
                              <w:rPr>
                                <w:rFonts w:ascii="Arial" w:hAnsi="Arial" w:cs="Arial"/>
                                <w:lang w:val="en-GB"/>
                              </w:rPr>
                            </w:pPr>
                            <w:r w:rsidRPr="00236FA7">
                              <w:rPr>
                                <w:rFonts w:ascii="Arial" w:hAnsi="Arial" w:cs="Arial"/>
                                <w:lang w:val="en-GB"/>
                              </w:rPr>
                              <w:t>religious beliefs or affiliations</w:t>
                            </w:r>
                          </w:p>
                          <w:p w14:paraId="525BA68C" w14:textId="77777777" w:rsidR="00491A67" w:rsidRPr="00236FA7" w:rsidRDefault="00491A67" w:rsidP="00491A67">
                            <w:pPr>
                              <w:numPr>
                                <w:ilvl w:val="1"/>
                                <w:numId w:val="1"/>
                              </w:numPr>
                              <w:spacing w:after="60" w:line="240" w:lineRule="auto"/>
                              <w:rPr>
                                <w:rFonts w:ascii="Arial" w:hAnsi="Arial" w:cs="Arial"/>
                                <w:lang w:val="en-GB"/>
                              </w:rPr>
                            </w:pPr>
                            <w:r w:rsidRPr="00236FA7">
                              <w:rPr>
                                <w:rFonts w:ascii="Arial" w:hAnsi="Arial" w:cs="Arial"/>
                                <w:lang w:val="en-GB"/>
                              </w:rPr>
                              <w:t>philosophical beliefs</w:t>
                            </w:r>
                          </w:p>
                          <w:p w14:paraId="21113CED" w14:textId="77777777" w:rsidR="00491A67" w:rsidRPr="00236FA7" w:rsidRDefault="00491A67" w:rsidP="00491A67">
                            <w:pPr>
                              <w:numPr>
                                <w:ilvl w:val="1"/>
                                <w:numId w:val="1"/>
                              </w:numPr>
                              <w:spacing w:after="60" w:line="240" w:lineRule="auto"/>
                              <w:rPr>
                                <w:rFonts w:ascii="Arial" w:hAnsi="Arial" w:cs="Arial"/>
                                <w:lang w:val="en-GB"/>
                              </w:rPr>
                            </w:pPr>
                            <w:r w:rsidRPr="00236FA7">
                              <w:rPr>
                                <w:rFonts w:ascii="Arial" w:hAnsi="Arial" w:cs="Arial"/>
                                <w:lang w:val="en-GB"/>
                              </w:rPr>
                              <w:t>membership of a professional or trade association</w:t>
                            </w:r>
                          </w:p>
                          <w:p w14:paraId="2D5B1170" w14:textId="77777777" w:rsidR="00491A67" w:rsidRPr="00236FA7" w:rsidRDefault="00491A67" w:rsidP="00491A67">
                            <w:pPr>
                              <w:numPr>
                                <w:ilvl w:val="1"/>
                                <w:numId w:val="1"/>
                              </w:numPr>
                              <w:spacing w:after="60" w:line="240" w:lineRule="auto"/>
                              <w:rPr>
                                <w:rFonts w:ascii="Arial" w:hAnsi="Arial" w:cs="Arial"/>
                                <w:lang w:val="en-GB"/>
                              </w:rPr>
                            </w:pPr>
                            <w:r w:rsidRPr="00236FA7">
                              <w:rPr>
                                <w:rFonts w:ascii="Arial" w:hAnsi="Arial" w:cs="Arial"/>
                                <w:lang w:val="en-GB"/>
                              </w:rPr>
                              <w:t>membership of a trade union</w:t>
                            </w:r>
                          </w:p>
                          <w:p w14:paraId="19B8B827" w14:textId="77777777" w:rsidR="00491A67" w:rsidRPr="00236FA7" w:rsidRDefault="00491A67" w:rsidP="00491A67">
                            <w:pPr>
                              <w:numPr>
                                <w:ilvl w:val="1"/>
                                <w:numId w:val="1"/>
                              </w:numPr>
                              <w:spacing w:after="60" w:line="240" w:lineRule="auto"/>
                              <w:rPr>
                                <w:rFonts w:ascii="Arial" w:hAnsi="Arial" w:cs="Arial"/>
                                <w:lang w:val="en-GB"/>
                              </w:rPr>
                            </w:pPr>
                            <w:r w:rsidRPr="00236FA7">
                              <w:rPr>
                                <w:rFonts w:ascii="Arial" w:hAnsi="Arial" w:cs="Arial"/>
                                <w:lang w:val="en-GB"/>
                              </w:rPr>
                              <w:t>sexual orientation or practices, or</w:t>
                            </w:r>
                          </w:p>
                          <w:p w14:paraId="5E7D6810" w14:textId="77777777" w:rsidR="00491A67" w:rsidRPr="00236FA7" w:rsidRDefault="00491A67" w:rsidP="00491A67">
                            <w:pPr>
                              <w:numPr>
                                <w:ilvl w:val="1"/>
                                <w:numId w:val="1"/>
                              </w:numPr>
                              <w:spacing w:after="60" w:line="240" w:lineRule="auto"/>
                              <w:rPr>
                                <w:rFonts w:ascii="Arial" w:hAnsi="Arial" w:cs="Arial"/>
                                <w:lang w:val="en-GB"/>
                              </w:rPr>
                            </w:pPr>
                            <w:r w:rsidRPr="00236FA7">
                              <w:rPr>
                                <w:rFonts w:ascii="Arial" w:hAnsi="Arial" w:cs="Arial"/>
                                <w:lang w:val="en-GB"/>
                              </w:rPr>
                              <w:t>criminal record</w:t>
                            </w:r>
                          </w:p>
                          <w:p w14:paraId="0C0E1AFD" w14:textId="77777777" w:rsidR="00491A67" w:rsidRPr="00236FA7" w:rsidRDefault="00491A67" w:rsidP="00491A67">
                            <w:pPr>
                              <w:numPr>
                                <w:ilvl w:val="0"/>
                                <w:numId w:val="1"/>
                              </w:numPr>
                              <w:spacing w:after="60" w:line="240" w:lineRule="auto"/>
                              <w:rPr>
                                <w:rFonts w:ascii="Arial" w:hAnsi="Arial" w:cs="Arial"/>
                                <w:lang w:val="en-GB"/>
                              </w:rPr>
                            </w:pPr>
                            <w:r w:rsidRPr="00236FA7">
                              <w:rPr>
                                <w:rFonts w:ascii="Arial" w:hAnsi="Arial" w:cs="Arial"/>
                                <w:lang w:val="en-GB"/>
                              </w:rPr>
                              <w:t>health information about an individual (see paragraphs B.74–B.78)</w:t>
                            </w:r>
                          </w:p>
                          <w:p w14:paraId="142E01FA" w14:textId="77777777" w:rsidR="00491A67" w:rsidRPr="00236FA7" w:rsidRDefault="00491A67" w:rsidP="00491A67">
                            <w:pPr>
                              <w:numPr>
                                <w:ilvl w:val="0"/>
                                <w:numId w:val="1"/>
                              </w:numPr>
                              <w:spacing w:after="60" w:line="240" w:lineRule="auto"/>
                              <w:rPr>
                                <w:rFonts w:ascii="Arial" w:hAnsi="Arial" w:cs="Arial"/>
                                <w:lang w:val="en-GB"/>
                              </w:rPr>
                            </w:pPr>
                            <w:r w:rsidRPr="00236FA7">
                              <w:rPr>
                                <w:rFonts w:ascii="Arial" w:hAnsi="Arial" w:cs="Arial"/>
                                <w:lang w:val="en-GB"/>
                              </w:rPr>
                              <w:t>genetic information (that is not otherwise health information)</w:t>
                            </w:r>
                          </w:p>
                          <w:p w14:paraId="440E91C9" w14:textId="77777777" w:rsidR="00491A67" w:rsidRPr="00236FA7" w:rsidRDefault="00491A67" w:rsidP="00491A67">
                            <w:pPr>
                              <w:numPr>
                                <w:ilvl w:val="0"/>
                                <w:numId w:val="1"/>
                              </w:numPr>
                              <w:spacing w:after="60" w:line="240" w:lineRule="auto"/>
                              <w:rPr>
                                <w:rFonts w:ascii="Arial" w:hAnsi="Arial" w:cs="Arial"/>
                                <w:lang w:val="en-GB"/>
                              </w:rPr>
                            </w:pPr>
                            <w:r w:rsidRPr="00236FA7">
                              <w:rPr>
                                <w:rFonts w:ascii="Arial" w:hAnsi="Arial" w:cs="Arial"/>
                                <w:lang w:val="en-GB"/>
                              </w:rPr>
                              <w:t>biometric information that is to be used for the purpose of automated biometric verification or biometric identification, or</w:t>
                            </w:r>
                          </w:p>
                          <w:p w14:paraId="7DFBAE2C" w14:textId="77777777" w:rsidR="00491A67" w:rsidRPr="00236FA7" w:rsidRDefault="00491A67" w:rsidP="00491A67">
                            <w:pPr>
                              <w:numPr>
                                <w:ilvl w:val="0"/>
                                <w:numId w:val="1"/>
                              </w:numPr>
                              <w:spacing w:after="60" w:line="240" w:lineRule="auto"/>
                              <w:rPr>
                                <w:rFonts w:ascii="Arial" w:hAnsi="Arial" w:cs="Arial"/>
                                <w:lang w:val="en-GB"/>
                              </w:rPr>
                            </w:pPr>
                            <w:r w:rsidRPr="00236FA7">
                              <w:rPr>
                                <w:rFonts w:ascii="Arial" w:hAnsi="Arial" w:cs="Arial"/>
                                <w:lang w:val="en-GB"/>
                              </w:rPr>
                              <w:t>biometric templates (s 6(1)).</w:t>
                            </w:r>
                          </w:p>
                        </w:txbxContent>
                      </wps:txbx>
                      <wps:bodyPr rot="0" vert="horz" wrap="square" lIns="91440" tIns="45720" rIns="91440" bIns="45720" anchor="t" anchorCtr="0">
                        <a:spAutoFit/>
                      </wps:bodyPr>
                    </wps:wsp>
                  </a:graphicData>
                </a:graphic>
              </wp:inline>
            </w:drawing>
          </mc:Choice>
          <mc:Fallback>
            <w:pict>
              <v:shapetype w14:anchorId="283B973B" id="_x0000_t202" coordsize="21600,21600" o:spt="202" path="m,l,21600r21600,l21600,xe">
                <v:stroke joinstyle="miter"/>
                <v:path gradientshapeok="t" o:connecttype="rect"/>
              </v:shapetype>
              <v:shape id="Text Box 2" o:spid="_x0000_s1026" type="#_x0000_t202" style="width:451.3pt;height:39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OzDgIAACAEAAAOAAAAZHJzL2Uyb0RvYy54bWysU9uOEzEMfUfiH6K802lLS9tRp6ulSxHS&#10;cpEWPsCTyXQiMnFI0s6Ur8dJZ7vlIh4QeYjs2Dm2j+31Td9qdpTOKzQFn4zGnEkjsFJmX/Avn3cv&#10;lpz5AKYCjUYW/CQ9v9k8f7bubC6n2KCupGMEYnze2YI3Idg8y7xoZAt+hFYaMtboWgikun1WOegI&#10;vdXZdDx+lXXoKutQSO/p9e5s5JuEX9dShI917WVguuCUW0i3S3cZ72yzhnzvwDZKDGnAP2TRgjIU&#10;9AJ1BwHYwanfoFolHHqsw0hgm2FdKyFTDVTNZPxLNQ8NWJlqIXK8vdDk/x+s+HB8sJ8cC/1r7KmB&#10;qQhv71F89czgtgGzl7fOYddIqCjwJFKWddbnw9dItc99BCm791hRk+EQMAH1tWsjK1QnI3RqwOlC&#10;uuwDE/Q4X7yczCdkEmSbrZaL1XSeYkD++N06H95KbFkUCu6oqwkejvc+xHQgf3SJ0TxqVe2U1klx&#10;+3KrHTsCTcAunQH9JzdtWFfw1Zxi/x1inM6fIFoVaJS1agu+vDhBHnl7Y6o0aAGUPsuUsjYDkZG7&#10;M4uhL3tyjISWWJ2IUofnkaUVI6FB952zjsa14P7bAZzkTL8z1JbVZDaL852U2XwxJcVdW8prCxhB&#10;UAUPnJ3FbUg7kUq3t9S+nUrEPmUy5EpjmPgeVibO+bWevJ4We/MDAAD//wMAUEsDBBQABgAIAAAA&#10;IQBLOLXa3AAAAAUBAAAPAAAAZHJzL2Rvd25yZXYueG1sTI/BTsMwEETvSPyDtUjcqEOllBLiVIiq&#10;Z0pBQtw29jaOGq9D7KYpX4/hApeVRjOaeVuuJteJkYbQelZwO8tAEGtvWm4UvL1ubpYgQkQ22Hkm&#10;BWcKsKouL0osjD/xC4272IhUwqFABTbGvpAyaEsOw8z3xMnb+8FhTHJopBnwlMpdJ+dZtpAOW04L&#10;Fnt6sqQPu6NTENbbz17vt/XBmvPX83rM9fvmQ6nrq+nxAUSkKf6F4Qc/oUOVmGp/ZBNEpyA9En9v&#10;8u6z+QJEreBumecgq1L+p6++AQAA//8DAFBLAQItABQABgAIAAAAIQC2gziS/gAAAOEBAAATAAAA&#10;AAAAAAAAAAAAAAAAAABbQ29udGVudF9UeXBlc10ueG1sUEsBAi0AFAAGAAgAAAAhADj9If/WAAAA&#10;lAEAAAsAAAAAAAAAAAAAAAAALwEAAF9yZWxzLy5yZWxzUEsBAi0AFAAGAAgAAAAhAK9B47MOAgAA&#10;IAQAAA4AAAAAAAAAAAAAAAAALgIAAGRycy9lMm9Eb2MueG1sUEsBAi0AFAAGAAgAAAAhAEs4tdrc&#10;AAAABQEAAA8AAAAAAAAAAAAAAAAAaAQAAGRycy9kb3ducmV2LnhtbFBLBQYAAAAABAAEAPMAAABx&#10;BQAAAAA=&#10;">
                <v:textbox style="mso-fit-shape-to-text:t">
                  <w:txbxContent>
                    <w:p w14:paraId="38C7F14F" w14:textId="77777777" w:rsidR="00491A67" w:rsidRPr="00236FA7" w:rsidRDefault="00491A67" w:rsidP="00491A67">
                      <w:pPr>
                        <w:spacing w:after="60" w:line="240" w:lineRule="auto"/>
                        <w:rPr>
                          <w:rFonts w:ascii="Arial" w:hAnsi="Arial" w:cs="Arial"/>
                          <w:lang w:val="en-GB"/>
                        </w:rPr>
                      </w:pPr>
                      <w:r w:rsidRPr="00236FA7">
                        <w:rPr>
                          <w:rFonts w:ascii="Arial" w:hAnsi="Arial" w:cs="Arial"/>
                          <w:lang w:val="en-GB"/>
                        </w:rPr>
                        <w:t>B.138 ‘Sensitive information’ is a subset of personal information and is defined as:</w:t>
                      </w:r>
                    </w:p>
                    <w:p w14:paraId="69812748" w14:textId="77777777" w:rsidR="00491A67" w:rsidRPr="00236FA7" w:rsidRDefault="00491A67" w:rsidP="00491A67">
                      <w:pPr>
                        <w:numPr>
                          <w:ilvl w:val="0"/>
                          <w:numId w:val="1"/>
                        </w:numPr>
                        <w:spacing w:after="60" w:line="240" w:lineRule="auto"/>
                        <w:rPr>
                          <w:rFonts w:ascii="Arial" w:hAnsi="Arial" w:cs="Arial"/>
                          <w:lang w:val="en-GB"/>
                        </w:rPr>
                      </w:pPr>
                      <w:r w:rsidRPr="00236FA7">
                        <w:rPr>
                          <w:rFonts w:ascii="Arial" w:hAnsi="Arial" w:cs="Arial"/>
                          <w:lang w:val="en-GB"/>
                        </w:rPr>
                        <w:t xml:space="preserve">information or an opinion (that is also personal information) about an individual’s: </w:t>
                      </w:r>
                    </w:p>
                    <w:p w14:paraId="1ACCEF38" w14:textId="77777777" w:rsidR="00491A67" w:rsidRPr="00236FA7" w:rsidRDefault="00491A67" w:rsidP="00491A67">
                      <w:pPr>
                        <w:numPr>
                          <w:ilvl w:val="1"/>
                          <w:numId w:val="1"/>
                        </w:numPr>
                        <w:spacing w:after="60" w:line="240" w:lineRule="auto"/>
                        <w:rPr>
                          <w:rFonts w:ascii="Arial" w:hAnsi="Arial" w:cs="Arial"/>
                          <w:lang w:val="en-GB"/>
                        </w:rPr>
                      </w:pPr>
                      <w:r w:rsidRPr="00236FA7">
                        <w:rPr>
                          <w:rFonts w:ascii="Arial" w:hAnsi="Arial" w:cs="Arial"/>
                          <w:lang w:val="en-GB"/>
                        </w:rPr>
                        <w:t>racial or ethnic origin</w:t>
                      </w:r>
                    </w:p>
                    <w:p w14:paraId="4301E6B3" w14:textId="77777777" w:rsidR="00491A67" w:rsidRPr="00236FA7" w:rsidRDefault="00491A67" w:rsidP="00491A67">
                      <w:pPr>
                        <w:numPr>
                          <w:ilvl w:val="1"/>
                          <w:numId w:val="1"/>
                        </w:numPr>
                        <w:spacing w:after="60" w:line="240" w:lineRule="auto"/>
                        <w:rPr>
                          <w:rFonts w:ascii="Arial" w:hAnsi="Arial" w:cs="Arial"/>
                          <w:lang w:val="en-GB"/>
                        </w:rPr>
                      </w:pPr>
                      <w:r w:rsidRPr="00236FA7">
                        <w:rPr>
                          <w:rFonts w:ascii="Arial" w:hAnsi="Arial" w:cs="Arial"/>
                          <w:lang w:val="en-GB"/>
                        </w:rPr>
                        <w:t>political opinions</w:t>
                      </w:r>
                    </w:p>
                    <w:p w14:paraId="3AFC3313" w14:textId="77777777" w:rsidR="00491A67" w:rsidRPr="00236FA7" w:rsidRDefault="00491A67" w:rsidP="00491A67">
                      <w:pPr>
                        <w:numPr>
                          <w:ilvl w:val="1"/>
                          <w:numId w:val="1"/>
                        </w:numPr>
                        <w:spacing w:after="60" w:line="240" w:lineRule="auto"/>
                        <w:rPr>
                          <w:rFonts w:ascii="Arial" w:hAnsi="Arial" w:cs="Arial"/>
                          <w:lang w:val="en-GB"/>
                        </w:rPr>
                      </w:pPr>
                      <w:r w:rsidRPr="00236FA7">
                        <w:rPr>
                          <w:rFonts w:ascii="Arial" w:hAnsi="Arial" w:cs="Arial"/>
                          <w:lang w:val="en-GB"/>
                        </w:rPr>
                        <w:t>membership of a political association</w:t>
                      </w:r>
                    </w:p>
                    <w:p w14:paraId="784035C4" w14:textId="77777777" w:rsidR="00491A67" w:rsidRPr="00236FA7" w:rsidRDefault="00491A67" w:rsidP="00491A67">
                      <w:pPr>
                        <w:numPr>
                          <w:ilvl w:val="1"/>
                          <w:numId w:val="1"/>
                        </w:numPr>
                        <w:spacing w:after="60" w:line="240" w:lineRule="auto"/>
                        <w:rPr>
                          <w:rFonts w:ascii="Arial" w:hAnsi="Arial" w:cs="Arial"/>
                          <w:lang w:val="en-GB"/>
                        </w:rPr>
                      </w:pPr>
                      <w:r w:rsidRPr="00236FA7">
                        <w:rPr>
                          <w:rFonts w:ascii="Arial" w:hAnsi="Arial" w:cs="Arial"/>
                          <w:lang w:val="en-GB"/>
                        </w:rPr>
                        <w:t>religious beliefs or affiliations</w:t>
                      </w:r>
                    </w:p>
                    <w:p w14:paraId="525BA68C" w14:textId="77777777" w:rsidR="00491A67" w:rsidRPr="00236FA7" w:rsidRDefault="00491A67" w:rsidP="00491A67">
                      <w:pPr>
                        <w:numPr>
                          <w:ilvl w:val="1"/>
                          <w:numId w:val="1"/>
                        </w:numPr>
                        <w:spacing w:after="60" w:line="240" w:lineRule="auto"/>
                        <w:rPr>
                          <w:rFonts w:ascii="Arial" w:hAnsi="Arial" w:cs="Arial"/>
                          <w:lang w:val="en-GB"/>
                        </w:rPr>
                      </w:pPr>
                      <w:r w:rsidRPr="00236FA7">
                        <w:rPr>
                          <w:rFonts w:ascii="Arial" w:hAnsi="Arial" w:cs="Arial"/>
                          <w:lang w:val="en-GB"/>
                        </w:rPr>
                        <w:t>philosophical beliefs</w:t>
                      </w:r>
                    </w:p>
                    <w:p w14:paraId="21113CED" w14:textId="77777777" w:rsidR="00491A67" w:rsidRPr="00236FA7" w:rsidRDefault="00491A67" w:rsidP="00491A67">
                      <w:pPr>
                        <w:numPr>
                          <w:ilvl w:val="1"/>
                          <w:numId w:val="1"/>
                        </w:numPr>
                        <w:spacing w:after="60" w:line="240" w:lineRule="auto"/>
                        <w:rPr>
                          <w:rFonts w:ascii="Arial" w:hAnsi="Arial" w:cs="Arial"/>
                          <w:lang w:val="en-GB"/>
                        </w:rPr>
                      </w:pPr>
                      <w:r w:rsidRPr="00236FA7">
                        <w:rPr>
                          <w:rFonts w:ascii="Arial" w:hAnsi="Arial" w:cs="Arial"/>
                          <w:lang w:val="en-GB"/>
                        </w:rPr>
                        <w:t>membership of a professional or trade association</w:t>
                      </w:r>
                    </w:p>
                    <w:p w14:paraId="2D5B1170" w14:textId="77777777" w:rsidR="00491A67" w:rsidRPr="00236FA7" w:rsidRDefault="00491A67" w:rsidP="00491A67">
                      <w:pPr>
                        <w:numPr>
                          <w:ilvl w:val="1"/>
                          <w:numId w:val="1"/>
                        </w:numPr>
                        <w:spacing w:after="60" w:line="240" w:lineRule="auto"/>
                        <w:rPr>
                          <w:rFonts w:ascii="Arial" w:hAnsi="Arial" w:cs="Arial"/>
                          <w:lang w:val="en-GB"/>
                        </w:rPr>
                      </w:pPr>
                      <w:r w:rsidRPr="00236FA7">
                        <w:rPr>
                          <w:rFonts w:ascii="Arial" w:hAnsi="Arial" w:cs="Arial"/>
                          <w:lang w:val="en-GB"/>
                        </w:rPr>
                        <w:t>membership of a trade union</w:t>
                      </w:r>
                    </w:p>
                    <w:p w14:paraId="19B8B827" w14:textId="77777777" w:rsidR="00491A67" w:rsidRPr="00236FA7" w:rsidRDefault="00491A67" w:rsidP="00491A67">
                      <w:pPr>
                        <w:numPr>
                          <w:ilvl w:val="1"/>
                          <w:numId w:val="1"/>
                        </w:numPr>
                        <w:spacing w:after="60" w:line="240" w:lineRule="auto"/>
                        <w:rPr>
                          <w:rFonts w:ascii="Arial" w:hAnsi="Arial" w:cs="Arial"/>
                          <w:lang w:val="en-GB"/>
                        </w:rPr>
                      </w:pPr>
                      <w:r w:rsidRPr="00236FA7">
                        <w:rPr>
                          <w:rFonts w:ascii="Arial" w:hAnsi="Arial" w:cs="Arial"/>
                          <w:lang w:val="en-GB"/>
                        </w:rPr>
                        <w:t>sexual orientation or practices, or</w:t>
                      </w:r>
                    </w:p>
                    <w:p w14:paraId="5E7D6810" w14:textId="77777777" w:rsidR="00491A67" w:rsidRPr="00236FA7" w:rsidRDefault="00491A67" w:rsidP="00491A67">
                      <w:pPr>
                        <w:numPr>
                          <w:ilvl w:val="1"/>
                          <w:numId w:val="1"/>
                        </w:numPr>
                        <w:spacing w:after="60" w:line="240" w:lineRule="auto"/>
                        <w:rPr>
                          <w:rFonts w:ascii="Arial" w:hAnsi="Arial" w:cs="Arial"/>
                          <w:lang w:val="en-GB"/>
                        </w:rPr>
                      </w:pPr>
                      <w:r w:rsidRPr="00236FA7">
                        <w:rPr>
                          <w:rFonts w:ascii="Arial" w:hAnsi="Arial" w:cs="Arial"/>
                          <w:lang w:val="en-GB"/>
                        </w:rPr>
                        <w:t>criminal record</w:t>
                      </w:r>
                    </w:p>
                    <w:p w14:paraId="0C0E1AFD" w14:textId="77777777" w:rsidR="00491A67" w:rsidRPr="00236FA7" w:rsidRDefault="00491A67" w:rsidP="00491A67">
                      <w:pPr>
                        <w:numPr>
                          <w:ilvl w:val="0"/>
                          <w:numId w:val="1"/>
                        </w:numPr>
                        <w:spacing w:after="60" w:line="240" w:lineRule="auto"/>
                        <w:rPr>
                          <w:rFonts w:ascii="Arial" w:hAnsi="Arial" w:cs="Arial"/>
                          <w:lang w:val="en-GB"/>
                        </w:rPr>
                      </w:pPr>
                      <w:r w:rsidRPr="00236FA7">
                        <w:rPr>
                          <w:rFonts w:ascii="Arial" w:hAnsi="Arial" w:cs="Arial"/>
                          <w:lang w:val="en-GB"/>
                        </w:rPr>
                        <w:t>health information about an individual (see paragraphs B.74–B.78)</w:t>
                      </w:r>
                    </w:p>
                    <w:p w14:paraId="142E01FA" w14:textId="77777777" w:rsidR="00491A67" w:rsidRPr="00236FA7" w:rsidRDefault="00491A67" w:rsidP="00491A67">
                      <w:pPr>
                        <w:numPr>
                          <w:ilvl w:val="0"/>
                          <w:numId w:val="1"/>
                        </w:numPr>
                        <w:spacing w:after="60" w:line="240" w:lineRule="auto"/>
                        <w:rPr>
                          <w:rFonts w:ascii="Arial" w:hAnsi="Arial" w:cs="Arial"/>
                          <w:lang w:val="en-GB"/>
                        </w:rPr>
                      </w:pPr>
                      <w:r w:rsidRPr="00236FA7">
                        <w:rPr>
                          <w:rFonts w:ascii="Arial" w:hAnsi="Arial" w:cs="Arial"/>
                          <w:lang w:val="en-GB"/>
                        </w:rPr>
                        <w:t>genetic information (that is not otherwise health information)</w:t>
                      </w:r>
                    </w:p>
                    <w:p w14:paraId="440E91C9" w14:textId="77777777" w:rsidR="00491A67" w:rsidRPr="00236FA7" w:rsidRDefault="00491A67" w:rsidP="00491A67">
                      <w:pPr>
                        <w:numPr>
                          <w:ilvl w:val="0"/>
                          <w:numId w:val="1"/>
                        </w:numPr>
                        <w:spacing w:after="60" w:line="240" w:lineRule="auto"/>
                        <w:rPr>
                          <w:rFonts w:ascii="Arial" w:hAnsi="Arial" w:cs="Arial"/>
                          <w:lang w:val="en-GB"/>
                        </w:rPr>
                      </w:pPr>
                      <w:r w:rsidRPr="00236FA7">
                        <w:rPr>
                          <w:rFonts w:ascii="Arial" w:hAnsi="Arial" w:cs="Arial"/>
                          <w:lang w:val="en-GB"/>
                        </w:rPr>
                        <w:t>biometric information that is to be used for the purpose of automated biometric verification or biometric identification, or</w:t>
                      </w:r>
                    </w:p>
                    <w:p w14:paraId="7DFBAE2C" w14:textId="77777777" w:rsidR="00491A67" w:rsidRPr="00236FA7" w:rsidRDefault="00491A67" w:rsidP="00491A67">
                      <w:pPr>
                        <w:numPr>
                          <w:ilvl w:val="0"/>
                          <w:numId w:val="1"/>
                        </w:numPr>
                        <w:spacing w:after="60" w:line="240" w:lineRule="auto"/>
                        <w:rPr>
                          <w:rFonts w:ascii="Arial" w:hAnsi="Arial" w:cs="Arial"/>
                          <w:lang w:val="en-GB"/>
                        </w:rPr>
                      </w:pPr>
                      <w:r w:rsidRPr="00236FA7">
                        <w:rPr>
                          <w:rFonts w:ascii="Arial" w:hAnsi="Arial" w:cs="Arial"/>
                          <w:lang w:val="en-GB"/>
                        </w:rPr>
                        <w:t>biometric templates (s 6(1)).</w:t>
                      </w:r>
                    </w:p>
                  </w:txbxContent>
                </v:textbox>
                <w10:anchorlock/>
              </v:shape>
            </w:pict>
          </mc:Fallback>
        </mc:AlternateContent>
      </w:r>
    </w:p>
    <w:p w14:paraId="7E379BEF" w14:textId="77777777" w:rsidR="00491A67" w:rsidRPr="00236FA7" w:rsidRDefault="00491A67" w:rsidP="00236FA7">
      <w:pPr>
        <w:ind w:right="116"/>
        <w:rPr>
          <w:rFonts w:ascii="Arial" w:hAnsi="Arial" w:cs="Arial"/>
          <w:sz w:val="23"/>
          <w:szCs w:val="23"/>
        </w:rPr>
      </w:pPr>
      <w:r w:rsidRPr="00236FA7">
        <w:rPr>
          <w:rFonts w:ascii="Arial" w:hAnsi="Arial" w:cs="Arial"/>
          <w:sz w:val="23"/>
          <w:szCs w:val="23"/>
        </w:rPr>
        <w:t xml:space="preserve">Source: </w:t>
      </w:r>
      <w:hyperlink r:id="rId8" w:anchor="sensitive-information" w:history="1">
        <w:r w:rsidRPr="00236FA7">
          <w:rPr>
            <w:rStyle w:val="Hyperlink"/>
            <w:rFonts w:ascii="Arial" w:hAnsi="Arial" w:cs="Arial"/>
            <w:sz w:val="23"/>
            <w:szCs w:val="23"/>
          </w:rPr>
          <w:t>https://www.oaic.gov.au/agencies-and-organisations/app-guidelines/chapter-b-key-concepts#sensitive-information</w:t>
        </w:r>
      </w:hyperlink>
    </w:p>
    <w:p w14:paraId="36660A00" w14:textId="77777777" w:rsidR="00491A67" w:rsidRPr="00236FA7" w:rsidRDefault="00491A67" w:rsidP="00491A67">
      <w:pPr>
        <w:jc w:val="both"/>
        <w:rPr>
          <w:rFonts w:ascii="Arial" w:hAnsi="Arial" w:cs="Arial"/>
          <w:i/>
          <w:sz w:val="23"/>
          <w:szCs w:val="23"/>
        </w:rPr>
      </w:pPr>
      <w:r w:rsidRPr="00236FA7">
        <w:rPr>
          <w:rFonts w:ascii="Arial" w:hAnsi="Arial" w:cs="Arial"/>
          <w:i/>
          <w:sz w:val="23"/>
          <w:szCs w:val="23"/>
        </w:rPr>
        <w:t>Data Classification</w:t>
      </w:r>
    </w:p>
    <w:p w14:paraId="039A6451" w14:textId="77777777" w:rsidR="00491A67" w:rsidRPr="00236FA7" w:rsidRDefault="00491A67" w:rsidP="00491A67">
      <w:pPr>
        <w:jc w:val="both"/>
        <w:rPr>
          <w:rFonts w:ascii="Arial" w:hAnsi="Arial" w:cs="Arial"/>
          <w:sz w:val="23"/>
          <w:szCs w:val="23"/>
        </w:rPr>
      </w:pPr>
      <w:r w:rsidRPr="00236FA7">
        <w:rPr>
          <w:rFonts w:ascii="Arial" w:hAnsi="Arial" w:cs="Arial"/>
          <w:sz w:val="23"/>
          <w:szCs w:val="23"/>
        </w:rPr>
        <w:t>Data classification is a business process by which data is assessed and labelled (where appropriate) according to the potential impact of its release. Data determined to be more sensitive (according to defined criteria) typically requires different treatment and handling.</w:t>
      </w:r>
    </w:p>
    <w:p w14:paraId="55072162" w14:textId="77777777" w:rsidR="00491A67" w:rsidRPr="00236FA7" w:rsidRDefault="00491A67" w:rsidP="00491A67">
      <w:pPr>
        <w:jc w:val="both"/>
        <w:rPr>
          <w:rFonts w:ascii="Arial" w:hAnsi="Arial" w:cs="Arial"/>
          <w:sz w:val="23"/>
          <w:szCs w:val="23"/>
        </w:rPr>
      </w:pPr>
      <w:r w:rsidRPr="00236FA7">
        <w:rPr>
          <w:rFonts w:ascii="Arial" w:hAnsi="Arial" w:cs="Arial"/>
          <w:sz w:val="23"/>
          <w:szCs w:val="23"/>
        </w:rPr>
        <w:t>A sector-wide data classification system is an effective way of determining offshoring requirements for data.  As the Western Australian public sector does not yet have a data classification system in place, the Position adopts the APP definition of “sensitive information” as it is the simplest commonly understood framework to protect the most critical personal data in the WA public sector.</w:t>
      </w:r>
    </w:p>
    <w:p w14:paraId="0D98A205" w14:textId="77777777" w:rsidR="00491A67" w:rsidRPr="00236FA7" w:rsidRDefault="00491A67" w:rsidP="00491A67">
      <w:pPr>
        <w:jc w:val="both"/>
        <w:rPr>
          <w:rFonts w:ascii="Arial" w:hAnsi="Arial" w:cs="Arial"/>
          <w:sz w:val="23"/>
          <w:szCs w:val="23"/>
        </w:rPr>
      </w:pPr>
      <w:r w:rsidRPr="00236FA7">
        <w:rPr>
          <w:rFonts w:ascii="Arial" w:hAnsi="Arial" w:cs="Arial"/>
          <w:sz w:val="23"/>
          <w:szCs w:val="23"/>
        </w:rPr>
        <w:t>Data not captured in the APP definition, but to which an agency assigns higher sensitivity for other reasons, should not be offshored.</w:t>
      </w:r>
    </w:p>
    <w:p w14:paraId="338C3F22" w14:textId="77777777" w:rsidR="00491A67" w:rsidRPr="00236FA7" w:rsidRDefault="00491A67" w:rsidP="00491A67">
      <w:pPr>
        <w:keepNext/>
        <w:jc w:val="both"/>
        <w:rPr>
          <w:rFonts w:ascii="Arial" w:hAnsi="Arial" w:cs="Arial"/>
          <w:i/>
          <w:sz w:val="23"/>
          <w:szCs w:val="23"/>
        </w:rPr>
      </w:pPr>
      <w:r w:rsidRPr="00236FA7">
        <w:rPr>
          <w:rFonts w:ascii="Arial" w:hAnsi="Arial" w:cs="Arial"/>
          <w:i/>
          <w:sz w:val="23"/>
          <w:szCs w:val="23"/>
        </w:rPr>
        <w:lastRenderedPageBreak/>
        <w:t>Other Jurisdictions</w:t>
      </w:r>
    </w:p>
    <w:p w14:paraId="265EC05D" w14:textId="77777777" w:rsidR="00491A67" w:rsidRPr="00236FA7" w:rsidRDefault="00491A67" w:rsidP="00491A67">
      <w:pPr>
        <w:keepNext/>
        <w:jc w:val="both"/>
        <w:rPr>
          <w:rFonts w:ascii="Arial" w:hAnsi="Arial" w:cs="Arial"/>
          <w:sz w:val="23"/>
          <w:szCs w:val="23"/>
        </w:rPr>
      </w:pPr>
      <w:r w:rsidRPr="00236FA7">
        <w:rPr>
          <w:rFonts w:ascii="Arial" w:hAnsi="Arial" w:cs="Arial"/>
          <w:sz w:val="23"/>
          <w:szCs w:val="23"/>
        </w:rPr>
        <w:t>The Western Australian offshoring position adopts a similar standard for offshoring in other jurisdictions.</w:t>
      </w:r>
    </w:p>
    <w:p w14:paraId="1C066E6D" w14:textId="77777777" w:rsidR="00491A67" w:rsidRPr="00236FA7" w:rsidRDefault="00491A67" w:rsidP="00491A67">
      <w:pPr>
        <w:keepNext/>
        <w:jc w:val="both"/>
        <w:rPr>
          <w:rFonts w:ascii="Arial" w:hAnsi="Arial" w:cs="Arial"/>
          <w:sz w:val="23"/>
          <w:szCs w:val="23"/>
        </w:rPr>
      </w:pPr>
      <w:r w:rsidRPr="00236FA7">
        <w:rPr>
          <w:rFonts w:ascii="Arial" w:hAnsi="Arial" w:cs="Arial"/>
          <w:sz w:val="23"/>
          <w:szCs w:val="23"/>
        </w:rPr>
        <w:t xml:space="preserve">The Commonwealth, New South Wales, </w:t>
      </w:r>
      <w:proofErr w:type="gramStart"/>
      <w:r w:rsidRPr="00236FA7">
        <w:rPr>
          <w:rFonts w:ascii="Arial" w:hAnsi="Arial" w:cs="Arial"/>
          <w:sz w:val="23"/>
          <w:szCs w:val="23"/>
        </w:rPr>
        <w:t>Victoria</w:t>
      </w:r>
      <w:proofErr w:type="gramEnd"/>
      <w:r w:rsidRPr="00236FA7">
        <w:rPr>
          <w:rFonts w:ascii="Arial" w:hAnsi="Arial" w:cs="Arial"/>
          <w:sz w:val="23"/>
          <w:szCs w:val="23"/>
        </w:rPr>
        <w:t xml:space="preserve"> and Queensland all have legislative frameworks for information security and privacy.  In these jurisdictions, CLASSIFIED data (typically national security-related) cannot be offshored. However, other data (including sensitive and personal data) may be—provided it is subject to rigorous risk assessment, and the agency can reasonably ensure that record keeping and privacy requirements for the data are being met.</w:t>
      </w:r>
    </w:p>
    <w:p w14:paraId="3DC71FBE" w14:textId="77777777" w:rsidR="00491A67" w:rsidRPr="00236FA7" w:rsidRDefault="00491A67" w:rsidP="00DD4678">
      <w:pPr>
        <w:tabs>
          <w:tab w:val="left" w:pos="1230"/>
        </w:tabs>
        <w:jc w:val="both"/>
        <w:rPr>
          <w:rFonts w:ascii="Arial" w:hAnsi="Arial" w:cs="Arial"/>
          <w:sz w:val="28"/>
          <w:szCs w:val="36"/>
        </w:rPr>
      </w:pPr>
      <w:r w:rsidRPr="00236FA7">
        <w:rPr>
          <w:rFonts w:ascii="Arial" w:hAnsi="Arial" w:cs="Arial"/>
          <w:sz w:val="28"/>
          <w:szCs w:val="36"/>
        </w:rPr>
        <w:t>Useful tools</w:t>
      </w:r>
    </w:p>
    <w:p w14:paraId="1B199531" w14:textId="77777777" w:rsidR="00491A67" w:rsidRPr="00236FA7" w:rsidRDefault="00000000" w:rsidP="00DD4678">
      <w:pPr>
        <w:jc w:val="both"/>
        <w:rPr>
          <w:rFonts w:ascii="Arial" w:hAnsi="Arial" w:cs="Arial"/>
          <w:sz w:val="23"/>
          <w:szCs w:val="23"/>
        </w:rPr>
      </w:pPr>
      <w:hyperlink r:id="rId9" w:history="1">
        <w:r w:rsidR="00491A67" w:rsidRPr="00236FA7">
          <w:rPr>
            <w:rStyle w:val="Hyperlink"/>
            <w:rFonts w:ascii="Arial" w:hAnsi="Arial" w:cs="Arial"/>
            <w:sz w:val="23"/>
            <w:szCs w:val="23"/>
          </w:rPr>
          <w:t>State Records Office of Western Australia. State Records Act 2000</w:t>
        </w:r>
      </w:hyperlink>
    </w:p>
    <w:p w14:paraId="3F7D321F" w14:textId="77777777" w:rsidR="00491A67" w:rsidRPr="00236FA7" w:rsidRDefault="00000000" w:rsidP="00DD4678">
      <w:pPr>
        <w:jc w:val="both"/>
        <w:rPr>
          <w:rStyle w:val="Hyperlink"/>
          <w:rFonts w:ascii="Arial" w:hAnsi="Arial" w:cs="Arial"/>
          <w:sz w:val="23"/>
          <w:szCs w:val="23"/>
        </w:rPr>
      </w:pPr>
      <w:hyperlink r:id="rId10" w:history="1">
        <w:r w:rsidR="00491A67" w:rsidRPr="00236FA7">
          <w:rPr>
            <w:rStyle w:val="Hyperlink"/>
            <w:rFonts w:ascii="Arial" w:hAnsi="Arial" w:cs="Arial"/>
            <w:sz w:val="23"/>
            <w:szCs w:val="23"/>
          </w:rPr>
          <w:t xml:space="preserve">Australian Government, </w:t>
        </w:r>
        <w:r w:rsidR="00491A67" w:rsidRPr="00236FA7">
          <w:rPr>
            <w:rStyle w:val="Hyperlink"/>
            <w:rFonts w:ascii="Arial" w:hAnsi="Arial" w:cs="Arial"/>
            <w:i/>
            <w:sz w:val="23"/>
            <w:szCs w:val="23"/>
          </w:rPr>
          <w:t>Questions to ask about a cloud service</w:t>
        </w:r>
      </w:hyperlink>
      <w:r w:rsidR="00491A67" w:rsidRPr="00236FA7">
        <w:rPr>
          <w:rFonts w:ascii="Arial" w:hAnsi="Arial" w:cs="Arial"/>
          <w:sz w:val="23"/>
          <w:szCs w:val="23"/>
        </w:rPr>
        <w:t xml:space="preserve"> (Department of Communications). </w:t>
      </w:r>
    </w:p>
    <w:p w14:paraId="40F8A761" w14:textId="77777777" w:rsidR="00491A67" w:rsidRPr="00236FA7" w:rsidRDefault="00000000" w:rsidP="00DD4678">
      <w:pPr>
        <w:spacing w:before="240"/>
        <w:jc w:val="both"/>
        <w:rPr>
          <w:rFonts w:ascii="Arial" w:hAnsi="Arial" w:cs="Arial"/>
          <w:sz w:val="23"/>
          <w:szCs w:val="23"/>
        </w:rPr>
      </w:pPr>
      <w:hyperlink r:id="rId11" w:history="1">
        <w:r w:rsidR="00491A67" w:rsidRPr="00236FA7">
          <w:rPr>
            <w:rStyle w:val="Hyperlink"/>
            <w:rFonts w:ascii="Arial" w:hAnsi="Arial" w:cs="Arial"/>
            <w:sz w:val="23"/>
            <w:szCs w:val="23"/>
          </w:rPr>
          <w:t>Federal Australian Privacy Principles</w:t>
        </w:r>
      </w:hyperlink>
    </w:p>
    <w:p w14:paraId="31FC00CE" w14:textId="77777777" w:rsidR="00491A67" w:rsidRPr="00236FA7" w:rsidRDefault="00000000" w:rsidP="00DD4678">
      <w:pPr>
        <w:jc w:val="both"/>
        <w:rPr>
          <w:rFonts w:ascii="Arial" w:hAnsi="Arial" w:cs="Arial"/>
          <w:sz w:val="23"/>
          <w:szCs w:val="23"/>
        </w:rPr>
      </w:pPr>
      <w:hyperlink r:id="rId12" w:history="1">
        <w:r w:rsidR="00491A67" w:rsidRPr="00236FA7">
          <w:rPr>
            <w:rStyle w:val="Hyperlink"/>
            <w:rFonts w:ascii="Arial" w:hAnsi="Arial" w:cs="Arial"/>
            <w:sz w:val="23"/>
            <w:szCs w:val="23"/>
          </w:rPr>
          <w:t xml:space="preserve">Office of </w:t>
        </w:r>
        <w:r w:rsidR="00103D29" w:rsidRPr="00236FA7">
          <w:rPr>
            <w:rStyle w:val="Hyperlink"/>
            <w:rFonts w:ascii="Arial" w:hAnsi="Arial" w:cs="Arial"/>
            <w:sz w:val="23"/>
            <w:szCs w:val="23"/>
          </w:rPr>
          <w:t>Digital Government</w:t>
        </w:r>
        <w:r w:rsidR="00491A67" w:rsidRPr="00236FA7">
          <w:rPr>
            <w:rStyle w:val="Hyperlink"/>
            <w:rFonts w:ascii="Arial" w:hAnsi="Arial" w:cs="Arial"/>
            <w:sz w:val="23"/>
            <w:szCs w:val="23"/>
          </w:rPr>
          <w:t>, Open Data Policy, July 2015.</w:t>
        </w:r>
      </w:hyperlink>
    </w:p>
    <w:p w14:paraId="2BB7A472" w14:textId="77777777" w:rsidR="00491A67" w:rsidRPr="00236FA7" w:rsidRDefault="00000000" w:rsidP="00DD4678">
      <w:pPr>
        <w:jc w:val="both"/>
        <w:rPr>
          <w:rFonts w:ascii="Arial" w:hAnsi="Arial" w:cs="Arial"/>
          <w:sz w:val="23"/>
          <w:szCs w:val="23"/>
        </w:rPr>
      </w:pPr>
      <w:hyperlink r:id="rId13" w:history="1">
        <w:r w:rsidR="00491A67" w:rsidRPr="00236FA7">
          <w:rPr>
            <w:rStyle w:val="Hyperlink"/>
            <w:rFonts w:ascii="Arial" w:hAnsi="Arial" w:cs="Arial"/>
            <w:sz w:val="23"/>
            <w:szCs w:val="23"/>
          </w:rPr>
          <w:t xml:space="preserve">Office of </w:t>
        </w:r>
        <w:r w:rsidR="00103D29" w:rsidRPr="00236FA7">
          <w:rPr>
            <w:rStyle w:val="Hyperlink"/>
            <w:rFonts w:ascii="Arial" w:hAnsi="Arial" w:cs="Arial"/>
            <w:sz w:val="23"/>
            <w:szCs w:val="23"/>
          </w:rPr>
          <w:t>Digital Government</w:t>
        </w:r>
        <w:r w:rsidR="00491A67" w:rsidRPr="00236FA7">
          <w:rPr>
            <w:rStyle w:val="Hyperlink"/>
            <w:rFonts w:ascii="Arial" w:hAnsi="Arial" w:cs="Arial"/>
            <w:sz w:val="23"/>
            <w:szCs w:val="23"/>
          </w:rPr>
          <w:t>, Digital Security Policy, June 2017.</w:t>
        </w:r>
      </w:hyperlink>
    </w:p>
    <w:p w14:paraId="3F2C7970" w14:textId="77777777" w:rsidR="00B26CB4" w:rsidRPr="00236FA7" w:rsidRDefault="00000000" w:rsidP="00DD4678">
      <w:pPr>
        <w:jc w:val="both"/>
        <w:rPr>
          <w:rFonts w:ascii="Arial" w:hAnsi="Arial" w:cs="Arial"/>
          <w:sz w:val="23"/>
          <w:szCs w:val="23"/>
        </w:rPr>
      </w:pPr>
      <w:hyperlink r:id="rId14" w:history="1">
        <w:r w:rsidR="00491A67" w:rsidRPr="00236FA7">
          <w:rPr>
            <w:rStyle w:val="Hyperlink"/>
            <w:rFonts w:ascii="Arial" w:hAnsi="Arial" w:cs="Arial"/>
            <w:sz w:val="23"/>
            <w:szCs w:val="23"/>
          </w:rPr>
          <w:t xml:space="preserve">Office of </w:t>
        </w:r>
        <w:r w:rsidR="00103D29" w:rsidRPr="00236FA7">
          <w:rPr>
            <w:rStyle w:val="Hyperlink"/>
            <w:rFonts w:ascii="Arial" w:hAnsi="Arial" w:cs="Arial"/>
            <w:sz w:val="23"/>
            <w:szCs w:val="23"/>
          </w:rPr>
          <w:t>Digital Government</w:t>
        </w:r>
        <w:r w:rsidR="00491A67" w:rsidRPr="00236FA7">
          <w:rPr>
            <w:rStyle w:val="Hyperlink"/>
            <w:rFonts w:ascii="Arial" w:hAnsi="Arial" w:cs="Arial"/>
            <w:sz w:val="23"/>
            <w:szCs w:val="23"/>
          </w:rPr>
          <w:t>, ICT Disaster Recovery for Business Continuity Policy, April 2017.</w:t>
        </w:r>
      </w:hyperlink>
    </w:p>
    <w:sectPr w:rsidR="00B26CB4" w:rsidRPr="00236FA7" w:rsidSect="00491A67">
      <w:headerReference w:type="default" r:id="rId15"/>
      <w:pgSz w:w="11906" w:h="16838"/>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175D2" w14:textId="77777777" w:rsidR="00316C29" w:rsidRDefault="00316C29" w:rsidP="00B26CB4">
      <w:pPr>
        <w:spacing w:after="0" w:line="240" w:lineRule="auto"/>
      </w:pPr>
      <w:r>
        <w:separator/>
      </w:r>
    </w:p>
  </w:endnote>
  <w:endnote w:type="continuationSeparator" w:id="0">
    <w:p w14:paraId="6E8F475E" w14:textId="77777777" w:rsidR="00316C29" w:rsidRDefault="00316C29" w:rsidP="00B26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F8E91" w14:textId="77777777" w:rsidR="00316C29" w:rsidRDefault="00316C29" w:rsidP="00B26CB4">
      <w:pPr>
        <w:spacing w:after="0" w:line="240" w:lineRule="auto"/>
      </w:pPr>
      <w:r>
        <w:separator/>
      </w:r>
    </w:p>
  </w:footnote>
  <w:footnote w:type="continuationSeparator" w:id="0">
    <w:p w14:paraId="06AF2C71" w14:textId="77777777" w:rsidR="00316C29" w:rsidRDefault="00316C29" w:rsidP="00B26CB4">
      <w:pPr>
        <w:spacing w:after="0" w:line="240" w:lineRule="auto"/>
      </w:pPr>
      <w:r>
        <w:continuationSeparator/>
      </w:r>
    </w:p>
  </w:footnote>
  <w:footnote w:id="1">
    <w:p w14:paraId="612F8814" w14:textId="77777777" w:rsidR="00491A67" w:rsidRPr="00236FA7" w:rsidRDefault="00491A67" w:rsidP="00491A67">
      <w:pPr>
        <w:pStyle w:val="FootnoteText"/>
        <w:ind w:left="180" w:hanging="180"/>
        <w:rPr>
          <w:rFonts w:ascii="Arial" w:hAnsi="Arial" w:cs="Arial"/>
        </w:rPr>
      </w:pPr>
      <w:r w:rsidRPr="00236FA7">
        <w:rPr>
          <w:rStyle w:val="FootnoteReference"/>
          <w:rFonts w:ascii="Arial" w:hAnsi="Arial" w:cs="Arial"/>
        </w:rPr>
        <w:footnoteRef/>
      </w:r>
      <w:r w:rsidRPr="00236FA7">
        <w:rPr>
          <w:rFonts w:ascii="Arial" w:hAnsi="Arial" w:cs="Arial"/>
        </w:rPr>
        <w:t xml:space="preserve"> </w:t>
      </w:r>
      <w:r w:rsidRPr="00236FA7">
        <w:rPr>
          <w:rFonts w:ascii="Arial" w:hAnsi="Arial" w:cs="Arial"/>
        </w:rPr>
        <w:tab/>
      </w:r>
      <w:hyperlink r:id="rId1" w:anchor="sensitive-information" w:history="1">
        <w:r w:rsidRPr="00236FA7">
          <w:rPr>
            <w:rStyle w:val="Hyperlink"/>
            <w:rFonts w:ascii="Arial" w:hAnsi="Arial" w:cs="Arial"/>
          </w:rPr>
          <w:t>https://www.oaic.gov.au/agencies-and-organisations/app-guidelines/chapter-b-key-concepts#sensitive-information</w:t>
        </w:r>
      </w:hyperlink>
      <w:r w:rsidRPr="00236FA7">
        <w:rPr>
          <w:rFonts w:ascii="Arial" w:hAnsi="Arial" w:cs="Arial"/>
        </w:rPr>
        <w:t xml:space="preserve"> </w:t>
      </w:r>
    </w:p>
  </w:footnote>
  <w:footnote w:id="2">
    <w:p w14:paraId="778463F1" w14:textId="77777777" w:rsidR="00491A67" w:rsidRDefault="00491A67" w:rsidP="00491A67">
      <w:pPr>
        <w:pStyle w:val="FootnoteText"/>
        <w:tabs>
          <w:tab w:val="left" w:pos="180"/>
        </w:tabs>
        <w:ind w:left="180" w:hanging="180"/>
      </w:pPr>
      <w:r w:rsidRPr="00236FA7">
        <w:rPr>
          <w:rStyle w:val="FootnoteReference"/>
          <w:rFonts w:ascii="Arial" w:hAnsi="Arial" w:cs="Arial"/>
        </w:rPr>
        <w:footnoteRef/>
      </w:r>
      <w:r w:rsidRPr="00236FA7">
        <w:rPr>
          <w:rFonts w:ascii="Arial" w:hAnsi="Arial" w:cs="Arial"/>
        </w:rPr>
        <w:t xml:space="preserve"> </w:t>
      </w:r>
      <w:r w:rsidRPr="00236FA7">
        <w:rPr>
          <w:rFonts w:ascii="Arial" w:hAnsi="Arial" w:cs="Arial"/>
        </w:rPr>
        <w:tab/>
      </w:r>
      <w:hyperlink r:id="rId2" w:history="1">
        <w:r w:rsidRPr="00236FA7">
          <w:rPr>
            <w:rStyle w:val="Hyperlink"/>
            <w:rFonts w:ascii="Arial" w:hAnsi="Arial" w:cs="Arial"/>
          </w:rPr>
          <w:t>Department of Justice, 2017, Policy Framework and Standards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52E9F" w14:textId="77777777" w:rsidR="00491A67" w:rsidRDefault="004C5BFE">
    <w:pPr>
      <w:pStyle w:val="Header"/>
    </w:pPr>
    <w:r>
      <w:rPr>
        <w:noProof/>
        <w:lang w:eastAsia="en-AU"/>
      </w:rPr>
      <w:drawing>
        <wp:inline distT="0" distB="0" distL="0" distR="0" wp14:anchorId="3DF745EE" wp14:editId="5242A136">
          <wp:extent cx="2543175" cy="442291"/>
          <wp:effectExtent l="0" t="0" r="0" b="0"/>
          <wp:docPr id="19" name="Picture 19" descr="Office of Digital Government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logo_368x64.png"/>
                  <pic:cNvPicPr/>
                </pic:nvPicPr>
                <pic:blipFill>
                  <a:blip r:embed="rId1">
                    <a:extLst>
                      <a:ext uri="{28A0092B-C50C-407E-A947-70E740481C1C}">
                        <a14:useLocalDpi xmlns:a14="http://schemas.microsoft.com/office/drawing/2010/main" val="0"/>
                      </a:ext>
                    </a:extLst>
                  </a:blip>
                  <a:stretch>
                    <a:fillRect/>
                  </a:stretch>
                </pic:blipFill>
                <pic:spPr>
                  <a:xfrm>
                    <a:off x="0" y="0"/>
                    <a:ext cx="2609010" cy="45374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D2825" w14:textId="77777777" w:rsidR="00B26CB4" w:rsidRPr="00491A67" w:rsidRDefault="00B26CB4" w:rsidP="00491A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15:restartNumberingAfterBreak="0">
    <w:nsid w:val="47501626"/>
    <w:multiLevelType w:val="multilevel"/>
    <w:tmpl w:val="AADC4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82583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A67"/>
    <w:rsid w:val="0004631D"/>
    <w:rsid w:val="00103D29"/>
    <w:rsid w:val="001A58E7"/>
    <w:rsid w:val="001C545F"/>
    <w:rsid w:val="00236FA7"/>
    <w:rsid w:val="00316C29"/>
    <w:rsid w:val="00491A67"/>
    <w:rsid w:val="004C5BFE"/>
    <w:rsid w:val="00B26CB4"/>
    <w:rsid w:val="00CB18DD"/>
    <w:rsid w:val="00DD4678"/>
    <w:rsid w:val="00E779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60728"/>
  <w15:chartTrackingRefBased/>
  <w15:docId w15:val="{54B8BB86-40BE-463E-9E0B-CBC2AF741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CB4"/>
  </w:style>
  <w:style w:type="paragraph" w:styleId="Footer">
    <w:name w:val="footer"/>
    <w:basedOn w:val="Normal"/>
    <w:link w:val="FooterChar"/>
    <w:uiPriority w:val="99"/>
    <w:unhideWhenUsed/>
    <w:rsid w:val="00B26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CB4"/>
  </w:style>
  <w:style w:type="character" w:styleId="Hyperlink">
    <w:name w:val="Hyperlink"/>
    <w:basedOn w:val="DefaultParagraphFont"/>
    <w:uiPriority w:val="99"/>
    <w:unhideWhenUsed/>
    <w:rsid w:val="00491A67"/>
    <w:rPr>
      <w:color w:val="0563C1" w:themeColor="hyperlink"/>
      <w:u w:val="single"/>
    </w:rPr>
  </w:style>
  <w:style w:type="character" w:styleId="CommentReference">
    <w:name w:val="annotation reference"/>
    <w:basedOn w:val="DefaultParagraphFont"/>
    <w:uiPriority w:val="99"/>
    <w:semiHidden/>
    <w:unhideWhenUsed/>
    <w:rsid w:val="00491A67"/>
    <w:rPr>
      <w:sz w:val="16"/>
      <w:szCs w:val="16"/>
    </w:rPr>
  </w:style>
  <w:style w:type="paragraph" w:styleId="CommentText">
    <w:name w:val="annotation text"/>
    <w:basedOn w:val="Normal"/>
    <w:link w:val="CommentTextChar"/>
    <w:uiPriority w:val="99"/>
    <w:semiHidden/>
    <w:unhideWhenUsed/>
    <w:rsid w:val="00491A67"/>
    <w:pPr>
      <w:spacing w:line="240" w:lineRule="auto"/>
    </w:pPr>
    <w:rPr>
      <w:sz w:val="20"/>
      <w:szCs w:val="20"/>
    </w:rPr>
  </w:style>
  <w:style w:type="character" w:customStyle="1" w:styleId="CommentTextChar">
    <w:name w:val="Comment Text Char"/>
    <w:basedOn w:val="DefaultParagraphFont"/>
    <w:link w:val="CommentText"/>
    <w:uiPriority w:val="99"/>
    <w:semiHidden/>
    <w:rsid w:val="00491A67"/>
    <w:rPr>
      <w:sz w:val="20"/>
      <w:szCs w:val="20"/>
    </w:rPr>
  </w:style>
  <w:style w:type="paragraph" w:styleId="FootnoteText">
    <w:name w:val="footnote text"/>
    <w:basedOn w:val="Normal"/>
    <w:link w:val="FootnoteTextChar"/>
    <w:uiPriority w:val="99"/>
    <w:unhideWhenUsed/>
    <w:rsid w:val="00491A67"/>
    <w:pPr>
      <w:spacing w:after="0" w:line="240" w:lineRule="auto"/>
    </w:pPr>
    <w:rPr>
      <w:sz w:val="20"/>
      <w:szCs w:val="20"/>
    </w:rPr>
  </w:style>
  <w:style w:type="character" w:customStyle="1" w:styleId="FootnoteTextChar">
    <w:name w:val="Footnote Text Char"/>
    <w:basedOn w:val="DefaultParagraphFont"/>
    <w:link w:val="FootnoteText"/>
    <w:uiPriority w:val="99"/>
    <w:rsid w:val="00491A67"/>
    <w:rPr>
      <w:sz w:val="20"/>
      <w:szCs w:val="20"/>
    </w:rPr>
  </w:style>
  <w:style w:type="character" w:styleId="FootnoteReference">
    <w:name w:val="footnote reference"/>
    <w:basedOn w:val="DefaultParagraphFont"/>
    <w:uiPriority w:val="99"/>
    <w:semiHidden/>
    <w:unhideWhenUsed/>
    <w:rsid w:val="00491A67"/>
    <w:rPr>
      <w:vertAlign w:val="superscript"/>
    </w:rPr>
  </w:style>
  <w:style w:type="paragraph" w:styleId="BalloonText">
    <w:name w:val="Balloon Text"/>
    <w:basedOn w:val="Normal"/>
    <w:link w:val="BalloonTextChar"/>
    <w:uiPriority w:val="99"/>
    <w:semiHidden/>
    <w:unhideWhenUsed/>
    <w:rsid w:val="00491A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A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aic.gov.au/agencies-and-organisations/app-guidelines/chapter-b-key-concepts" TargetMode="External"/><Relationship Id="rId13" Type="http://schemas.openxmlformats.org/officeDocument/2006/relationships/hyperlink" Target="https://gcio.wa.gov.au/2016/05/25/digital-security-policy/"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gcio.wa.gov.au/2015/07/03/open-data-polic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aic.gov.au/individuals/privacy-fact-sheets/general/privacy-fact-sheet-17-australian-privacy-principl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ommunications.gov.au/sites/g/files/net301/f/questionstoaskyourprovider.pdf" TargetMode="External"/><Relationship Id="rId4" Type="http://schemas.openxmlformats.org/officeDocument/2006/relationships/webSettings" Target="webSettings.xml"/><Relationship Id="rId9" Type="http://schemas.openxmlformats.org/officeDocument/2006/relationships/hyperlink" Target="http://www.sro.wa.gov.au/state-recordkeeping/legislative-requirements/state-records-act-2000" TargetMode="External"/><Relationship Id="rId14" Type="http://schemas.openxmlformats.org/officeDocument/2006/relationships/hyperlink" Target="https://gcio.wa.gov.au/2016/05/25/ict-disaster-recovery-for-business-continuity-polic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epartment.dotag.wa.gov.au/_files/info_sharing_policy.pdf" TargetMode="External"/><Relationship Id="rId1" Type="http://schemas.openxmlformats.org/officeDocument/2006/relationships/hyperlink" Target="https://www.oaic.gov.au/agencies-and-organisations/app-guidelines/chapter-b-key-concep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CT%20Policy%20&amp;%20Governance\Cloud%20toolkit\Fact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Factsheet TEMPLATE.dotx</Template>
  <TotalTime>41</TotalTime>
  <Pages>4</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Finance</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Government data offshoring position and guidance</dc:title>
  <dc:subject/>
  <dc:creator>Franz, Sandra</dc:creator>
  <cp:keywords/>
  <dc:description/>
  <cp:lastModifiedBy>Trand, Robert</cp:lastModifiedBy>
  <cp:revision>8</cp:revision>
  <dcterms:created xsi:type="dcterms:W3CDTF">2018-06-19T05:52:00Z</dcterms:created>
  <dcterms:modified xsi:type="dcterms:W3CDTF">2023-06-08T04:34:00Z</dcterms:modified>
</cp:coreProperties>
</file>