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AA56B" w14:textId="77777777" w:rsidR="00043890" w:rsidRPr="00043890" w:rsidRDefault="00043890" w:rsidP="00043890">
      <w:pPr>
        <w:pStyle w:val="Heading1"/>
      </w:pPr>
      <w:bookmarkStart w:id="0" w:name="_Toc127282378"/>
      <w:bookmarkStart w:id="1" w:name="_Toc127344975"/>
      <w:bookmarkStart w:id="2" w:name="_Toc142913187"/>
      <w:r w:rsidRPr="00043890">
        <w:t>Agency Employee Rewards Policy Checklist</w:t>
      </w:r>
      <w:bookmarkEnd w:id="0"/>
      <w:bookmarkEnd w:id="1"/>
      <w:bookmarkEnd w:id="2"/>
    </w:p>
    <w:p w14:paraId="7BDB09E0" w14:textId="48E74B66" w:rsidR="00043890" w:rsidRPr="0006746C" w:rsidRDefault="00043890" w:rsidP="00161848">
      <w:pPr>
        <w:pBdr>
          <w:top w:val="single" w:sz="4" w:space="1" w:color="9E4A9C" w:themeColor="accent3"/>
          <w:left w:val="single" w:sz="4" w:space="1" w:color="9E4A9C" w:themeColor="accent3"/>
          <w:bottom w:val="single" w:sz="4" w:space="1" w:color="9E4A9C" w:themeColor="accent3"/>
          <w:right w:val="single" w:sz="4" w:space="1" w:color="9E4A9C" w:themeColor="accent3"/>
        </w:pBdr>
        <w:spacing w:after="120" w:line="22" w:lineRule="atLeast"/>
        <w:rPr>
          <w:b/>
        </w:rPr>
      </w:pPr>
      <w:r w:rsidRPr="0006746C">
        <w:rPr>
          <w:b/>
        </w:rPr>
        <w:t>About this checklist:</w:t>
      </w:r>
    </w:p>
    <w:p w14:paraId="3A2A18F3" w14:textId="44424889" w:rsidR="00043890" w:rsidRDefault="00043890" w:rsidP="00161848">
      <w:pPr>
        <w:pStyle w:val="BodyText"/>
        <w:pBdr>
          <w:top w:val="single" w:sz="4" w:space="1" w:color="9E4A9C" w:themeColor="accent3"/>
          <w:left w:val="single" w:sz="4" w:space="1" w:color="9E4A9C" w:themeColor="accent3"/>
          <w:bottom w:val="single" w:sz="4" w:space="1" w:color="9E4A9C" w:themeColor="accent3"/>
          <w:right w:val="single" w:sz="4" w:space="1" w:color="9E4A9C" w:themeColor="accent3"/>
        </w:pBdr>
      </w:pPr>
      <w:r w:rsidRPr="00654700">
        <w:t xml:space="preserve">This checklist </w:t>
      </w:r>
      <w:r>
        <w:t>is a guide to</w:t>
      </w:r>
      <w:r w:rsidRPr="00654700">
        <w:t xml:space="preserve"> assist WA Government agencies developing policies and procedures for the reward of innovative employees who contribute to the creation of new IP assets.</w:t>
      </w:r>
      <w:r w:rsidRPr="0006746C">
        <w:t xml:space="preserve">  </w:t>
      </w:r>
      <w:bookmarkStart w:id="3" w:name="_Toc127282379"/>
      <w:bookmarkStart w:id="4" w:name="_Toc127344976"/>
    </w:p>
    <w:p w14:paraId="7C0BF3B9" w14:textId="77777777" w:rsidR="00043890" w:rsidRPr="00161848" w:rsidRDefault="00043890" w:rsidP="00161848">
      <w:pPr>
        <w:pStyle w:val="Heading2"/>
      </w:pPr>
      <w:r w:rsidRPr="00161848">
        <w:t>How will the rewards process be initiated?</w:t>
      </w:r>
      <w:bookmarkEnd w:id="3"/>
      <w:bookmarkEnd w:id="4"/>
    </w:p>
    <w:p w14:paraId="7191EB0D" w14:textId="77777777" w:rsidR="00043890" w:rsidRPr="00043890" w:rsidRDefault="00043890" w:rsidP="00043890">
      <w:pPr>
        <w:pStyle w:val="BodyText"/>
      </w:pPr>
      <w:r w:rsidRPr="00043890">
        <w:t>The policy outlines:</w:t>
      </w:r>
    </w:p>
    <w:p w14:paraId="05F352D4" w14:textId="11CDD59D" w:rsidR="00043890" w:rsidRDefault="00043890" w:rsidP="00043890">
      <w:pPr>
        <w:spacing w:after="160" w:line="22" w:lineRule="atLeast"/>
      </w:pPr>
      <w:sdt>
        <w:sdtPr>
          <w:id w:val="-1591234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043890">
        <w:rPr>
          <w:rStyle w:val="BodyTextChar"/>
        </w:rPr>
        <w:t>How the rewards process is initiated and by whom?</w:t>
      </w:r>
    </w:p>
    <w:p w14:paraId="62BD414A" w14:textId="77777777" w:rsidR="00043890" w:rsidRPr="00043890" w:rsidRDefault="00043890" w:rsidP="00043890">
      <w:pPr>
        <w:pStyle w:val="Indent"/>
      </w:pPr>
      <w:r w:rsidRPr="00043890">
        <w:t>For example: recommendation of the head of the business unit to the CEO, nomination by the employee’s line manager to a senior officer.</w:t>
      </w:r>
    </w:p>
    <w:p w14:paraId="117EAF85" w14:textId="22D4E22D" w:rsidR="00043890" w:rsidRDefault="00043890" w:rsidP="00043890">
      <w:pPr>
        <w:spacing w:after="160" w:line="22" w:lineRule="atLeast"/>
      </w:pPr>
      <w:sdt>
        <w:sdtPr>
          <w:id w:val="-1137102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043890">
        <w:rPr>
          <w:rStyle w:val="BodyTextChar"/>
        </w:rPr>
        <w:t>When an employee reward will be considered?</w:t>
      </w:r>
    </w:p>
    <w:p w14:paraId="4420298E" w14:textId="77777777" w:rsidR="00043890" w:rsidRPr="00E6693D" w:rsidRDefault="00043890" w:rsidP="00043890">
      <w:pPr>
        <w:pStyle w:val="Indent"/>
      </w:pPr>
      <w:r w:rsidRPr="00E6693D">
        <w:t>For example: during the development of the commercialisation proposal, once commercialisation has been completed and the agency has received revenue.</w:t>
      </w:r>
    </w:p>
    <w:p w14:paraId="20E6F4D2" w14:textId="77777777" w:rsidR="00043890" w:rsidRPr="00043890" w:rsidRDefault="00043890" w:rsidP="00161848">
      <w:pPr>
        <w:pStyle w:val="Heading4"/>
      </w:pPr>
      <w:bookmarkStart w:id="5" w:name="_Toc127282380"/>
      <w:bookmarkStart w:id="6" w:name="_Toc127344977"/>
      <w:r w:rsidRPr="00043890">
        <w:t>Who is eligible for reward consideration?</w:t>
      </w:r>
      <w:bookmarkEnd w:id="5"/>
      <w:bookmarkEnd w:id="6"/>
    </w:p>
    <w:p w14:paraId="574AD3A9" w14:textId="77777777" w:rsidR="00043890" w:rsidRDefault="00043890" w:rsidP="00043890">
      <w:pPr>
        <w:pStyle w:val="BodyText"/>
      </w:pPr>
      <w:r>
        <w:t>The policy set outs the circumstances where an employee may be eligible to receive a:</w:t>
      </w:r>
    </w:p>
    <w:p w14:paraId="6CA6DD26" w14:textId="3FFBC6D2" w:rsidR="00043890" w:rsidRDefault="00043890" w:rsidP="00043890">
      <w:pPr>
        <w:pStyle w:val="BodyText"/>
      </w:pPr>
      <w:sdt>
        <w:sdtPr>
          <w:id w:val="610241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Non-monetary reward.</w:t>
      </w:r>
    </w:p>
    <w:p w14:paraId="587EE414" w14:textId="0FE30815" w:rsidR="00043890" w:rsidRPr="00E6693D" w:rsidRDefault="00043890" w:rsidP="00043890">
      <w:pPr>
        <w:pStyle w:val="BodyText"/>
      </w:pPr>
      <w:sdt>
        <w:sdtPr>
          <w:id w:val="619960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Monetary reward (see note below)</w:t>
      </w:r>
    </w:p>
    <w:tbl>
      <w:tblPr>
        <w:tblStyle w:val="TableGrid"/>
        <w:tblW w:w="0" w:type="auto"/>
        <w:tblBorders>
          <w:top w:val="single" w:sz="12" w:space="0" w:color="041049" w:themeColor="accent1"/>
          <w:left w:val="single" w:sz="12" w:space="0" w:color="041049" w:themeColor="accent1"/>
          <w:bottom w:val="single" w:sz="12" w:space="0" w:color="041049" w:themeColor="accent1"/>
          <w:right w:val="single" w:sz="12" w:space="0" w:color="041049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9"/>
      </w:tblGrid>
      <w:tr w:rsidR="00043890" w14:paraId="67674F78" w14:textId="77777777" w:rsidTr="00812290">
        <w:trPr>
          <w:trHeight w:val="1654"/>
        </w:trPr>
        <w:tc>
          <w:tcPr>
            <w:tcW w:w="9608" w:type="dxa"/>
            <w:shd w:val="clear" w:color="auto" w:fill="E3E8FD"/>
          </w:tcPr>
          <w:p w14:paraId="1700B50D" w14:textId="77777777" w:rsidR="00043890" w:rsidRPr="00A96EC9" w:rsidRDefault="00043890" w:rsidP="00043890">
            <w:pPr>
              <w:pStyle w:val="BodyText"/>
            </w:pPr>
            <w:r w:rsidRPr="00A96EC9">
              <w:t xml:space="preserve">The agency’s policy for monetary rewards must be consistent with the eligibility requirements under the WA Government IP Policy which include: </w:t>
            </w:r>
          </w:p>
          <w:p w14:paraId="112E68C6" w14:textId="77777777" w:rsidR="00043890" w:rsidRPr="00A96EC9" w:rsidRDefault="00043890" w:rsidP="00043890">
            <w:pPr>
              <w:pStyle w:val="BodyText"/>
              <w:numPr>
                <w:ilvl w:val="0"/>
                <w:numId w:val="47"/>
              </w:numPr>
              <w:rPr>
                <w:lang w:val="en-AU" w:eastAsia="en-AU"/>
              </w:rPr>
            </w:pPr>
            <w:r w:rsidRPr="00A96EC9">
              <w:rPr>
                <w:lang w:val="en-AU" w:eastAsia="en-AU"/>
              </w:rPr>
              <w:t>The employee is engaged on a permanent or fixed-term basis;;</w:t>
            </w:r>
          </w:p>
          <w:p w14:paraId="3C763E7C" w14:textId="77777777" w:rsidR="00043890" w:rsidRPr="00A96EC9" w:rsidRDefault="00043890" w:rsidP="00043890">
            <w:pPr>
              <w:pStyle w:val="BodyText"/>
              <w:numPr>
                <w:ilvl w:val="0"/>
                <w:numId w:val="47"/>
              </w:numPr>
              <w:rPr>
                <w:lang w:val="en-AU" w:eastAsia="en-AU"/>
              </w:rPr>
            </w:pPr>
            <w:r w:rsidRPr="00A96EC9">
              <w:t xml:space="preserve">The employee has made a direct and significant contribution to the creation of original IP rights (and not simply modifications, adaptions and improvements of existing IP rights); </w:t>
            </w:r>
          </w:p>
          <w:p w14:paraId="1F47EA9F" w14:textId="77777777" w:rsidR="00043890" w:rsidRPr="00A96EC9" w:rsidRDefault="00043890" w:rsidP="00043890">
            <w:pPr>
              <w:pStyle w:val="BodyText"/>
              <w:numPr>
                <w:ilvl w:val="0"/>
                <w:numId w:val="47"/>
              </w:numPr>
            </w:pPr>
            <w:r w:rsidRPr="00A96EC9">
              <w:t xml:space="preserve">There has been outstanding and extraordinary achievement by the employee far exceeding that generally expected from a person with the same or similar duties; </w:t>
            </w:r>
          </w:p>
          <w:p w14:paraId="2500ABDB" w14:textId="77777777" w:rsidR="00043890" w:rsidRPr="00A96EC9" w:rsidRDefault="00043890" w:rsidP="00043890">
            <w:pPr>
              <w:pStyle w:val="BodyText"/>
              <w:numPr>
                <w:ilvl w:val="0"/>
                <w:numId w:val="47"/>
              </w:numPr>
            </w:pPr>
            <w:r w:rsidRPr="00A96EC9">
              <w:t xml:space="preserve">The creation of significant, inventive (not simply innovative) and valuable State owned IP by the employee;  </w:t>
            </w:r>
          </w:p>
          <w:p w14:paraId="25CDBF16" w14:textId="77777777" w:rsidR="00043890" w:rsidRPr="00A96EC9" w:rsidRDefault="00043890" w:rsidP="00043890">
            <w:pPr>
              <w:pStyle w:val="BodyText"/>
              <w:numPr>
                <w:ilvl w:val="0"/>
                <w:numId w:val="47"/>
              </w:numPr>
            </w:pPr>
            <w:r w:rsidRPr="00A96EC9">
              <w:t>Extraordinary outcomes; and</w:t>
            </w:r>
          </w:p>
          <w:p w14:paraId="61287041" w14:textId="77777777" w:rsidR="00043890" w:rsidRPr="00A96EC9" w:rsidRDefault="00043890" w:rsidP="00043890">
            <w:pPr>
              <w:pStyle w:val="BodyText"/>
              <w:numPr>
                <w:ilvl w:val="0"/>
                <w:numId w:val="47"/>
              </w:numPr>
            </w:pPr>
            <w:r w:rsidRPr="00A96EC9">
              <w:t xml:space="preserve">The successful commercialisation of the State owned IP rights resulting in exceptional </w:t>
            </w:r>
            <w:r>
              <w:t>n</w:t>
            </w:r>
            <w:r w:rsidRPr="00A96EC9">
              <w:t xml:space="preserve">et </w:t>
            </w:r>
            <w:r>
              <w:t>r</w:t>
            </w:r>
            <w:r w:rsidRPr="00A96EC9">
              <w:t xml:space="preserve">evenue for the State. </w:t>
            </w:r>
          </w:p>
        </w:tc>
      </w:tr>
    </w:tbl>
    <w:p w14:paraId="016090FB" w14:textId="77777777" w:rsidR="00043890" w:rsidRPr="00E6693D" w:rsidRDefault="00043890" w:rsidP="00161848">
      <w:pPr>
        <w:pStyle w:val="Heading2"/>
      </w:pPr>
      <w:bookmarkStart w:id="7" w:name="_Toc127282381"/>
      <w:bookmarkStart w:id="8" w:name="_Toc127344978"/>
      <w:r w:rsidRPr="00E6693D">
        <w:t>What are the rewards available?</w:t>
      </w:r>
      <w:bookmarkEnd w:id="7"/>
      <w:bookmarkEnd w:id="8"/>
    </w:p>
    <w:p w14:paraId="70A68D40" w14:textId="77777777" w:rsidR="00043890" w:rsidRDefault="00043890" w:rsidP="00043890">
      <w:pPr>
        <w:pStyle w:val="BodyText"/>
      </w:pPr>
      <w:r>
        <w:t>The policy sets out:</w:t>
      </w:r>
    </w:p>
    <w:p w14:paraId="4085C690" w14:textId="045676E3" w:rsidR="00043890" w:rsidRDefault="00043890" w:rsidP="00043890">
      <w:pPr>
        <w:pStyle w:val="BodyText"/>
      </w:pPr>
      <w:sdt>
        <w:sdtPr>
          <w:id w:val="-91470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Non-monetary reward options available for consideration.</w:t>
      </w:r>
    </w:p>
    <w:p w14:paraId="671F607F" w14:textId="64426252" w:rsidR="00043890" w:rsidRDefault="00043890" w:rsidP="00043890">
      <w:pPr>
        <w:pStyle w:val="BodyText"/>
      </w:pPr>
      <w:sdt>
        <w:sdtPr>
          <w:id w:val="1311829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Monetary reward options available under </w:t>
      </w:r>
      <w:hyperlink r:id="rId11" w:history="1">
        <w:r w:rsidRPr="00043890">
          <w:rPr>
            <w:rStyle w:val="Hyperlink"/>
          </w:rPr>
          <w:t>WA Government IP Policy</w:t>
        </w:r>
      </w:hyperlink>
      <w:r>
        <w:t>: Section 8.</w:t>
      </w:r>
    </w:p>
    <w:p w14:paraId="5CD370FD" w14:textId="77777777" w:rsidR="00043890" w:rsidRDefault="00043890">
      <w:pPr>
        <w:spacing w:after="200"/>
        <w:rPr>
          <w:rFonts w:ascii="Arial" w:eastAsiaTheme="majorEastAsia" w:hAnsi="Arial" w:cstheme="majorBidi"/>
          <w:b/>
          <w:bCs/>
          <w:sz w:val="28"/>
          <w:szCs w:val="28"/>
          <w:lang w:val="en-US" w:bidi="en-US"/>
        </w:rPr>
      </w:pPr>
      <w:bookmarkStart w:id="9" w:name="_Toc127282382"/>
      <w:bookmarkStart w:id="10" w:name="_Toc127344979"/>
      <w:r>
        <w:br w:type="page"/>
      </w:r>
    </w:p>
    <w:p w14:paraId="39C5CE57" w14:textId="01315696" w:rsidR="00043890" w:rsidRPr="001D7D36" w:rsidRDefault="00043890" w:rsidP="00161848">
      <w:pPr>
        <w:pStyle w:val="Heading2"/>
      </w:pPr>
      <w:r w:rsidRPr="001D7D36">
        <w:t>How is the reward package developed?</w:t>
      </w:r>
      <w:bookmarkEnd w:id="9"/>
      <w:bookmarkEnd w:id="10"/>
    </w:p>
    <w:p w14:paraId="7489B027" w14:textId="77777777" w:rsidR="00043890" w:rsidRDefault="00043890" w:rsidP="00043890">
      <w:pPr>
        <w:pStyle w:val="BodyText"/>
      </w:pPr>
      <w:r>
        <w:t>The policy:</w:t>
      </w:r>
    </w:p>
    <w:p w14:paraId="6137AC1F" w14:textId="131B42E0" w:rsidR="00043890" w:rsidRDefault="00043890" w:rsidP="00043890">
      <w:pPr>
        <w:pStyle w:val="BodyText"/>
      </w:pPr>
      <w:sdt>
        <w:sdtPr>
          <w:id w:val="-522092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84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Identifies who is responsible for developing the rewards package.</w:t>
      </w:r>
    </w:p>
    <w:p w14:paraId="2FD30717" w14:textId="77777777" w:rsidR="00043890" w:rsidRPr="00E6693D" w:rsidRDefault="00043890" w:rsidP="00043890">
      <w:pPr>
        <w:pStyle w:val="Indent"/>
      </w:pPr>
      <w:r>
        <w:t>For c</w:t>
      </w:r>
      <w:r w:rsidRPr="00E6693D">
        <w:t>onsideration: Will the agency include a rewards panel in the process</w:t>
      </w:r>
      <w:r>
        <w:t>?</w:t>
      </w:r>
      <w:r w:rsidRPr="00E6693D">
        <w:t xml:space="preserve"> </w:t>
      </w:r>
    </w:p>
    <w:p w14:paraId="4DC3D16D" w14:textId="09067682" w:rsidR="00043890" w:rsidRDefault="00043890" w:rsidP="00043890">
      <w:pPr>
        <w:spacing w:after="160" w:line="22" w:lineRule="atLeast"/>
      </w:pPr>
      <w:sdt>
        <w:sdtPr>
          <w:id w:val="1447822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043890">
        <w:rPr>
          <w:rStyle w:val="BodyTextChar"/>
        </w:rPr>
        <w:t>Includes guidance for the assessment of potential reward and development of the package.</w:t>
      </w:r>
    </w:p>
    <w:p w14:paraId="6C4614CB" w14:textId="77777777" w:rsidR="00043890" w:rsidRDefault="00043890" w:rsidP="00043890">
      <w:pPr>
        <w:pStyle w:val="Indent"/>
      </w:pPr>
      <w:r w:rsidRPr="00E6693D">
        <w:t>For example: factors considered when determining appropriate type of reward, requirement to consult with the employee, options for seeking independent advice.</w:t>
      </w:r>
    </w:p>
    <w:p w14:paraId="5798938D" w14:textId="77777777" w:rsidR="00043890" w:rsidRDefault="00043890" w:rsidP="00043890">
      <w:pPr>
        <w:pStyle w:val="BodyText"/>
      </w:pPr>
      <w:bookmarkStart w:id="11" w:name="_GoBack"/>
      <w:r>
        <w:t xml:space="preserve">If the policy provides options for the establishment of a rewards panel, include guidance </w:t>
      </w:r>
      <w:bookmarkEnd w:id="11"/>
      <w:r>
        <w:t>regarding:</w:t>
      </w:r>
    </w:p>
    <w:p w14:paraId="13615FF7" w14:textId="40094E3C" w:rsidR="00043890" w:rsidRDefault="00043890" w:rsidP="00043890">
      <w:pPr>
        <w:spacing w:before="120" w:after="160" w:line="22" w:lineRule="atLeast"/>
      </w:pPr>
      <w:sdt>
        <w:sdtPr>
          <w:id w:val="-901285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043890">
        <w:rPr>
          <w:rStyle w:val="BodyTextChar"/>
        </w:rPr>
        <w:t>The role and membership of the panel.</w:t>
      </w:r>
    </w:p>
    <w:p w14:paraId="19AB551C" w14:textId="30687655" w:rsidR="00043890" w:rsidRPr="00043890" w:rsidRDefault="00043890" w:rsidP="00043890">
      <w:pPr>
        <w:spacing w:before="120" w:after="160" w:line="22" w:lineRule="atLeast"/>
        <w:rPr>
          <w:rStyle w:val="BodyTextChar"/>
        </w:rPr>
      </w:pPr>
      <w:sdt>
        <w:sdtPr>
          <w:id w:val="-370605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043890">
        <w:rPr>
          <w:rStyle w:val="BodyTextChar"/>
        </w:rPr>
        <w:t xml:space="preserve">The circumstances where matters will be referred to the panel for consideration. </w:t>
      </w:r>
    </w:p>
    <w:p w14:paraId="5CECC67F" w14:textId="77777777" w:rsidR="00043890" w:rsidRPr="00E6693D" w:rsidRDefault="00043890" w:rsidP="00043890">
      <w:pPr>
        <w:pStyle w:val="Indent"/>
      </w:pPr>
      <w:r w:rsidRPr="00E6693D">
        <w:t>For example: to consider a particular type of reward or where a proposed package exceeds a specified value.</w:t>
      </w:r>
    </w:p>
    <w:p w14:paraId="0287E03D" w14:textId="77777777" w:rsidR="00043890" w:rsidRDefault="00043890" w:rsidP="00043890">
      <w:pPr>
        <w:spacing w:before="120" w:after="160" w:line="22" w:lineRule="atLeast"/>
        <w:rPr>
          <w:b/>
        </w:rPr>
      </w:pPr>
      <w:r w:rsidRPr="007029AE">
        <w:rPr>
          <w:b/>
        </w:rPr>
        <w:t>Recommended inclusion:</w:t>
      </w:r>
    </w:p>
    <w:p w14:paraId="31B23F6E" w14:textId="7A099F31" w:rsidR="00043890" w:rsidRPr="00043890" w:rsidRDefault="00043890" w:rsidP="00043890">
      <w:pPr>
        <w:spacing w:after="160" w:line="22" w:lineRule="atLeast"/>
        <w:rPr>
          <w:rStyle w:val="BodyTextChar"/>
        </w:rPr>
      </w:pPr>
      <w:sdt>
        <w:sdtPr>
          <w:id w:val="399720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043890">
        <w:rPr>
          <w:rStyle w:val="BodyTextChar"/>
        </w:rPr>
        <w:t>The policy requires the employee to seek their own independent legal and financial advice.</w:t>
      </w:r>
    </w:p>
    <w:p w14:paraId="1E382C71" w14:textId="77777777" w:rsidR="00043890" w:rsidRPr="00E6693D" w:rsidRDefault="00043890" w:rsidP="00161848">
      <w:pPr>
        <w:pStyle w:val="Heading2"/>
      </w:pPr>
      <w:bookmarkStart w:id="12" w:name="_Toc127282383"/>
      <w:bookmarkStart w:id="13" w:name="_Toc127344980"/>
      <w:r w:rsidRPr="00E6693D">
        <w:t>How is the proposed reward package approved?</w:t>
      </w:r>
      <w:bookmarkEnd w:id="12"/>
      <w:bookmarkEnd w:id="13"/>
    </w:p>
    <w:p w14:paraId="6C0DAE7C" w14:textId="77777777" w:rsidR="00043890" w:rsidRDefault="00043890" w:rsidP="00043890">
      <w:pPr>
        <w:pStyle w:val="BodyText"/>
      </w:pPr>
      <w:r>
        <w:t>The policy sets out the process for agency approval of the rewards package including:</w:t>
      </w:r>
    </w:p>
    <w:p w14:paraId="63EBB72B" w14:textId="61AF30D2" w:rsidR="00043890" w:rsidRDefault="00161848" w:rsidP="00161848">
      <w:pPr>
        <w:spacing w:after="160" w:line="22" w:lineRule="atLeast"/>
      </w:pPr>
      <w:sdt>
        <w:sdtPr>
          <w:id w:val="1608540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43890" w:rsidRPr="00161848">
        <w:rPr>
          <w:rStyle w:val="BodyTextChar"/>
        </w:rPr>
        <w:t>The nominated approver of the package.</w:t>
      </w:r>
    </w:p>
    <w:p w14:paraId="64DECAA7" w14:textId="77777777" w:rsidR="00043890" w:rsidRPr="00E6693D" w:rsidRDefault="00043890" w:rsidP="00161848">
      <w:pPr>
        <w:pStyle w:val="Indent"/>
      </w:pPr>
      <w:r>
        <w:t>For c</w:t>
      </w:r>
      <w:r w:rsidRPr="00E6693D">
        <w:t xml:space="preserve">onsideration: the agency may wish adopt a tiered approach where the approving officer may vary depending on the nature or value of the proposed rewards package.  </w:t>
      </w:r>
    </w:p>
    <w:p w14:paraId="5211674C" w14:textId="74437FBC" w:rsidR="00043890" w:rsidRDefault="00161848" w:rsidP="00161848">
      <w:pPr>
        <w:spacing w:after="160" w:line="22" w:lineRule="atLeast"/>
      </w:pPr>
      <w:sdt>
        <w:sdtPr>
          <w:id w:val="-266696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43890" w:rsidRPr="00161848">
        <w:rPr>
          <w:rStyle w:val="BodyTextChar"/>
        </w:rPr>
        <w:t>Any documents to be prepared.</w:t>
      </w:r>
    </w:p>
    <w:p w14:paraId="00B4A767" w14:textId="77777777" w:rsidR="00043890" w:rsidRPr="00E6693D" w:rsidRDefault="00043890" w:rsidP="00161848">
      <w:pPr>
        <w:pStyle w:val="Indent"/>
      </w:pPr>
      <w:r w:rsidRPr="00E6693D">
        <w:t>For example: business case or report, contractual agreements or deeds.</w:t>
      </w:r>
    </w:p>
    <w:tbl>
      <w:tblPr>
        <w:tblStyle w:val="TableGrid"/>
        <w:tblW w:w="0" w:type="auto"/>
        <w:tblBorders>
          <w:top w:val="single" w:sz="12" w:space="0" w:color="041049" w:themeColor="accent1"/>
          <w:left w:val="single" w:sz="12" w:space="0" w:color="041049" w:themeColor="accent1"/>
          <w:bottom w:val="single" w:sz="12" w:space="0" w:color="041049" w:themeColor="accent1"/>
          <w:right w:val="single" w:sz="12" w:space="0" w:color="041049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9"/>
      </w:tblGrid>
      <w:tr w:rsidR="00043890" w14:paraId="09EB0683" w14:textId="77777777" w:rsidTr="00812290">
        <w:trPr>
          <w:trHeight w:val="567"/>
        </w:trPr>
        <w:tc>
          <w:tcPr>
            <w:tcW w:w="9608" w:type="dxa"/>
            <w:shd w:val="clear" w:color="auto" w:fill="E3E8FD"/>
          </w:tcPr>
          <w:p w14:paraId="1FB0AA86" w14:textId="77777777" w:rsidR="00161848" w:rsidRPr="00161848" w:rsidRDefault="00161848" w:rsidP="00161848">
            <w:pPr>
              <w:spacing w:before="120" w:after="120" w:line="22" w:lineRule="atLeast"/>
              <w:jc w:val="both"/>
              <w:rPr>
                <w:rFonts w:ascii="Arial" w:eastAsia="Arial" w:hAnsi="Arial" w:cs="Times New Roman"/>
                <w:sz w:val="22"/>
                <w:szCs w:val="22"/>
                <w:lang w:eastAsia="en-AU"/>
              </w:rPr>
            </w:pPr>
            <w:r w:rsidRPr="00161848">
              <w:rPr>
                <w:rFonts w:ascii="Arial" w:eastAsia="Arial" w:hAnsi="Arial" w:cs="Times New Roman"/>
                <w:sz w:val="22"/>
                <w:szCs w:val="22"/>
                <w:lang w:eastAsia="en-AU"/>
              </w:rPr>
              <w:t xml:space="preserve">The decision to provide a monetary reward to a WA public sector employee is discretionary and may only be made by the Treasurer or the relevant delegated Minister. </w:t>
            </w:r>
          </w:p>
          <w:p w14:paraId="28FCEBB3" w14:textId="578A9552" w:rsidR="00043890" w:rsidRPr="002651D1" w:rsidRDefault="00161848" w:rsidP="00161848">
            <w:pPr>
              <w:pStyle w:val="BodyText"/>
              <w:rPr>
                <w:lang w:eastAsia="en-AU"/>
              </w:rPr>
            </w:pPr>
            <w:r w:rsidRPr="00161848">
              <w:rPr>
                <w:rFonts w:ascii="Arial" w:eastAsia="Arial" w:hAnsi="Arial" w:cs="Times New Roman"/>
                <w:lang w:val="en-AU" w:eastAsia="en-AU"/>
              </w:rPr>
              <w:t xml:space="preserve">Agencies should refer to </w:t>
            </w:r>
            <w:r w:rsidRPr="00161848">
              <w:rPr>
                <w:rFonts w:ascii="Arial" w:eastAsia="Arial" w:hAnsi="Arial" w:cs="Times New Roman"/>
                <w:i/>
                <w:lang w:val="en-AU" w:eastAsia="en-AU"/>
              </w:rPr>
              <w:t>Treasurer’s Instruction 319 – Act of Grace payments</w:t>
            </w:r>
            <w:r w:rsidRPr="00161848">
              <w:rPr>
                <w:rFonts w:ascii="Arial" w:eastAsia="Arial" w:hAnsi="Arial" w:cs="Times New Roman"/>
                <w:lang w:val="en-AU" w:eastAsia="en-AU"/>
              </w:rPr>
              <w:t xml:space="preserve"> for information about the approval process.</w:t>
            </w:r>
          </w:p>
        </w:tc>
      </w:tr>
    </w:tbl>
    <w:p w14:paraId="48C2DE84" w14:textId="77777777" w:rsidR="00161848" w:rsidRDefault="00161848" w:rsidP="00161848">
      <w:pPr>
        <w:pStyle w:val="BodyText"/>
      </w:pPr>
      <w:bookmarkStart w:id="14" w:name="_Toc127282384"/>
      <w:bookmarkStart w:id="15" w:name="_Toc127344981"/>
    </w:p>
    <w:p w14:paraId="6DC3D492" w14:textId="77777777" w:rsidR="00161848" w:rsidRDefault="00161848" w:rsidP="00161848">
      <w:pPr>
        <w:pStyle w:val="BodyText"/>
        <w:rPr>
          <w:color w:val="041049" w:themeColor="accent1"/>
          <w:sz w:val="28"/>
          <w:szCs w:val="26"/>
        </w:rPr>
      </w:pPr>
      <w:r>
        <w:br w:type="page"/>
      </w:r>
    </w:p>
    <w:p w14:paraId="18658E92" w14:textId="76DF40BF" w:rsidR="00043890" w:rsidRPr="001D7D36" w:rsidRDefault="00043890" w:rsidP="00161848">
      <w:pPr>
        <w:pStyle w:val="Heading2"/>
      </w:pPr>
      <w:r w:rsidRPr="001D7D36">
        <w:t>Record keeping and reporting requirements</w:t>
      </w:r>
      <w:bookmarkEnd w:id="14"/>
      <w:bookmarkEnd w:id="15"/>
    </w:p>
    <w:p w14:paraId="0B1B3100" w14:textId="77777777" w:rsidR="00043890" w:rsidRDefault="00043890" w:rsidP="00161848">
      <w:pPr>
        <w:pStyle w:val="BodyText"/>
      </w:pPr>
      <w:r>
        <w:t>The policy:</w:t>
      </w:r>
    </w:p>
    <w:p w14:paraId="2D338071" w14:textId="680DAB9F" w:rsidR="00043890" w:rsidRDefault="00161848" w:rsidP="00161848">
      <w:pPr>
        <w:pStyle w:val="BodyText"/>
      </w:pPr>
      <w:sdt>
        <w:sdtPr>
          <w:id w:val="1575701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43890">
        <w:t>Provides for the establishment of a rewards register.</w:t>
      </w:r>
    </w:p>
    <w:p w14:paraId="2BD32A0F" w14:textId="68638270" w:rsidR="00043890" w:rsidRDefault="00161848" w:rsidP="00161848">
      <w:pPr>
        <w:pStyle w:val="BodyText"/>
      </w:pPr>
      <w:sdt>
        <w:sdtPr>
          <w:id w:val="1264198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43890">
        <w:t>Outlines the information to be included in the register.</w:t>
      </w:r>
    </w:p>
    <w:tbl>
      <w:tblPr>
        <w:tblStyle w:val="TableGrid"/>
        <w:tblW w:w="0" w:type="auto"/>
        <w:tblBorders>
          <w:top w:val="single" w:sz="4" w:space="0" w:color="9E4A9C" w:themeColor="accent3"/>
          <w:left w:val="single" w:sz="4" w:space="0" w:color="9E4A9C" w:themeColor="accent3"/>
          <w:bottom w:val="single" w:sz="4" w:space="0" w:color="9E4A9C" w:themeColor="accent3"/>
          <w:right w:val="single" w:sz="4" w:space="0" w:color="9E4A9C" w:themeColor="accent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9"/>
      </w:tblGrid>
      <w:tr w:rsidR="00043890" w14:paraId="13A43EB9" w14:textId="77777777" w:rsidTr="00812290">
        <w:tc>
          <w:tcPr>
            <w:tcW w:w="9628" w:type="dxa"/>
            <w:shd w:val="clear" w:color="auto" w:fill="F5EBF5"/>
          </w:tcPr>
          <w:p w14:paraId="5F0149B7" w14:textId="77777777" w:rsidR="00043890" w:rsidRPr="00161848" w:rsidRDefault="00043890" w:rsidP="00812290">
            <w:pPr>
              <w:spacing w:before="120" w:after="60" w:line="22" w:lineRule="atLeast"/>
              <w:rPr>
                <w:noProof/>
                <w:sz w:val="22"/>
                <w:szCs w:val="22"/>
                <w:lang w:eastAsia="en-AU"/>
              </w:rPr>
            </w:pPr>
            <w:r w:rsidRPr="00161848">
              <w:rPr>
                <w:noProof/>
                <w:sz w:val="22"/>
                <w:szCs w:val="22"/>
                <w:lang w:eastAsia="en-AU"/>
              </w:rPr>
              <w:t>At a minimum it is suggested that the register include the following information:</w:t>
            </w:r>
          </w:p>
          <w:p w14:paraId="4F75E5E2" w14:textId="77777777" w:rsidR="00043890" w:rsidRPr="00161848" w:rsidRDefault="00043890" w:rsidP="00043890">
            <w:pPr>
              <w:pStyle w:val="ListParagraph"/>
              <w:numPr>
                <w:ilvl w:val="0"/>
                <w:numId w:val="38"/>
              </w:numPr>
              <w:spacing w:after="60" w:line="22" w:lineRule="atLeast"/>
              <w:ind w:left="357" w:hanging="357"/>
              <w:contextualSpacing w:val="0"/>
              <w:rPr>
                <w:noProof/>
                <w:sz w:val="22"/>
                <w:szCs w:val="22"/>
                <w:lang w:eastAsia="en-AU"/>
              </w:rPr>
            </w:pPr>
            <w:r w:rsidRPr="00161848">
              <w:rPr>
                <w:noProof/>
                <w:sz w:val="22"/>
                <w:szCs w:val="22"/>
                <w:lang w:eastAsia="en-AU"/>
              </w:rPr>
              <w:t>Details of the reward recipient including their name, position title, level and salary.</w:t>
            </w:r>
          </w:p>
          <w:p w14:paraId="7900DC93" w14:textId="77777777" w:rsidR="00043890" w:rsidRPr="00161848" w:rsidRDefault="00043890" w:rsidP="00043890">
            <w:pPr>
              <w:pStyle w:val="ListParagraph"/>
              <w:numPr>
                <w:ilvl w:val="0"/>
                <w:numId w:val="38"/>
              </w:numPr>
              <w:spacing w:after="60" w:line="22" w:lineRule="atLeast"/>
              <w:ind w:left="357" w:hanging="357"/>
              <w:contextualSpacing w:val="0"/>
              <w:rPr>
                <w:noProof/>
                <w:sz w:val="22"/>
                <w:szCs w:val="22"/>
                <w:lang w:eastAsia="en-AU"/>
              </w:rPr>
            </w:pPr>
            <w:r w:rsidRPr="00161848">
              <w:rPr>
                <w:noProof/>
                <w:sz w:val="22"/>
                <w:szCs w:val="22"/>
                <w:lang w:eastAsia="en-AU"/>
              </w:rPr>
              <w:t>A description of the relevant IP asset.</w:t>
            </w:r>
          </w:p>
          <w:p w14:paraId="311AEC90" w14:textId="77777777" w:rsidR="00043890" w:rsidRPr="00161848" w:rsidRDefault="00043890" w:rsidP="00043890">
            <w:pPr>
              <w:pStyle w:val="ListParagraph"/>
              <w:numPr>
                <w:ilvl w:val="0"/>
                <w:numId w:val="38"/>
              </w:numPr>
              <w:spacing w:after="60" w:line="22" w:lineRule="atLeast"/>
              <w:ind w:left="357" w:hanging="357"/>
              <w:contextualSpacing w:val="0"/>
              <w:rPr>
                <w:noProof/>
                <w:sz w:val="22"/>
                <w:szCs w:val="22"/>
                <w:lang w:eastAsia="en-AU"/>
              </w:rPr>
            </w:pPr>
            <w:r w:rsidRPr="00161848">
              <w:rPr>
                <w:noProof/>
                <w:sz w:val="22"/>
                <w:szCs w:val="22"/>
                <w:lang w:eastAsia="en-AU"/>
              </w:rPr>
              <w:t>Details of the reward package including the nature of reward (lump sum payment, share of revenue etc.) and the monetary value.</w:t>
            </w:r>
          </w:p>
          <w:p w14:paraId="70F21F36" w14:textId="77777777" w:rsidR="00043890" w:rsidRPr="00C75512" w:rsidRDefault="00043890" w:rsidP="00043890">
            <w:pPr>
              <w:pStyle w:val="ListParagraph"/>
              <w:numPr>
                <w:ilvl w:val="0"/>
                <w:numId w:val="38"/>
              </w:numPr>
              <w:spacing w:after="60" w:line="22" w:lineRule="atLeast"/>
              <w:ind w:left="357" w:hanging="357"/>
              <w:contextualSpacing w:val="0"/>
              <w:rPr>
                <w:noProof/>
                <w:lang w:eastAsia="en-AU"/>
              </w:rPr>
            </w:pPr>
            <w:r w:rsidRPr="00161848">
              <w:rPr>
                <w:noProof/>
                <w:sz w:val="22"/>
                <w:szCs w:val="22"/>
                <w:lang w:eastAsia="en-AU"/>
              </w:rPr>
              <w:t>Details of any terms and conditions for the payment reward, for example paid only while employed by the agency or public service, schedule for period payments.</w:t>
            </w:r>
          </w:p>
        </w:tc>
      </w:tr>
    </w:tbl>
    <w:p w14:paraId="3E291F73" w14:textId="77777777" w:rsidR="00043890" w:rsidRPr="00E6693D" w:rsidRDefault="00043890" w:rsidP="00161848">
      <w:pPr>
        <w:pStyle w:val="Heading2"/>
      </w:pPr>
      <w:bookmarkStart w:id="16" w:name="_Toc127282385"/>
      <w:bookmarkStart w:id="17" w:name="_Toc127344982"/>
      <w:r w:rsidRPr="00E6693D">
        <w:t>How will disputes be managed?</w:t>
      </w:r>
      <w:bookmarkEnd w:id="16"/>
      <w:bookmarkEnd w:id="17"/>
      <w:r w:rsidRPr="00E6693D">
        <w:t xml:space="preserve"> </w:t>
      </w:r>
    </w:p>
    <w:p w14:paraId="4AA85698" w14:textId="77777777" w:rsidR="00043890" w:rsidRDefault="00043890" w:rsidP="00161848">
      <w:pPr>
        <w:pStyle w:val="BodyText"/>
      </w:pPr>
      <w:r>
        <w:t>It is recommended that the agency include a process for managing any grievances or disputes that may arise regarding:</w:t>
      </w:r>
    </w:p>
    <w:p w14:paraId="370EDA90" w14:textId="77777777" w:rsidR="00043890" w:rsidRDefault="00043890" w:rsidP="00161848">
      <w:pPr>
        <w:pStyle w:val="BodyText"/>
        <w:numPr>
          <w:ilvl w:val="0"/>
          <w:numId w:val="48"/>
        </w:numPr>
        <w:ind w:left="357" w:hanging="357"/>
        <w:contextualSpacing/>
      </w:pPr>
      <w:r>
        <w:t>the decision to nominate or reward a particular employee or group of employees;</w:t>
      </w:r>
    </w:p>
    <w:p w14:paraId="4FE39BE1" w14:textId="77777777" w:rsidR="00043890" w:rsidRDefault="00043890" w:rsidP="00161848">
      <w:pPr>
        <w:pStyle w:val="BodyText"/>
        <w:numPr>
          <w:ilvl w:val="0"/>
          <w:numId w:val="48"/>
        </w:numPr>
        <w:ind w:left="357" w:hanging="357"/>
        <w:contextualSpacing/>
      </w:pPr>
      <w:r>
        <w:t xml:space="preserve">the terms of any proposed rewards package; </w:t>
      </w:r>
    </w:p>
    <w:p w14:paraId="69DFF136" w14:textId="77777777" w:rsidR="00043890" w:rsidRDefault="00043890" w:rsidP="00161848">
      <w:pPr>
        <w:pStyle w:val="BodyText"/>
        <w:numPr>
          <w:ilvl w:val="0"/>
          <w:numId w:val="48"/>
        </w:numPr>
        <w:ind w:left="357" w:hanging="357"/>
      </w:pPr>
      <w:r>
        <w:t>decisions not to reward employees nominated for consideration or to offer a non-monetary reward only.</w:t>
      </w:r>
    </w:p>
    <w:p w14:paraId="4F3582BA" w14:textId="77777777" w:rsidR="00043890" w:rsidRDefault="00043890" w:rsidP="00161848">
      <w:pPr>
        <w:pStyle w:val="BodyText"/>
      </w:pPr>
      <w:r>
        <w:t>Matters addressed in the policy may include:</w:t>
      </w:r>
    </w:p>
    <w:p w14:paraId="52E4F8CE" w14:textId="21690504" w:rsidR="00043890" w:rsidRDefault="00161848" w:rsidP="00161848">
      <w:pPr>
        <w:pStyle w:val="BodyText"/>
      </w:pPr>
      <w:sdt>
        <w:sdtPr>
          <w:id w:val="1087957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43890">
        <w:t xml:space="preserve">How a dispute resolution process will be initiated. </w:t>
      </w:r>
    </w:p>
    <w:p w14:paraId="3529CB82" w14:textId="5A684E74" w:rsidR="00043890" w:rsidRDefault="00161848" w:rsidP="00161848">
      <w:pPr>
        <w:pStyle w:val="BodyText"/>
      </w:pPr>
      <w:sdt>
        <w:sdtPr>
          <w:id w:val="-1096096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43890">
        <w:t xml:space="preserve">Who is responsible for resolving disputes and any nominated decision makers. </w:t>
      </w:r>
    </w:p>
    <w:p w14:paraId="1F70F772" w14:textId="7454902E" w:rsidR="00043890" w:rsidRDefault="00161848" w:rsidP="00161848">
      <w:pPr>
        <w:pStyle w:val="BodyText"/>
      </w:pPr>
      <w:sdt>
        <w:sdtPr>
          <w:id w:val="293418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43890">
        <w:t xml:space="preserve">The matters that will and will not be considered. </w:t>
      </w:r>
    </w:p>
    <w:p w14:paraId="4BD19340" w14:textId="6405FDBD" w:rsidR="00043890" w:rsidRDefault="00161848" w:rsidP="00161848">
      <w:pPr>
        <w:pStyle w:val="BodyText"/>
      </w:pPr>
      <w:sdt>
        <w:sdtPr>
          <w:id w:val="47349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43890">
        <w:t>The procedure for dealing with any dispute.</w:t>
      </w:r>
    </w:p>
    <w:p w14:paraId="420AD8FD" w14:textId="77777777" w:rsidR="00043890" w:rsidRPr="00E6693D" w:rsidRDefault="00043890" w:rsidP="00161848">
      <w:pPr>
        <w:pStyle w:val="Indent"/>
      </w:pPr>
      <w:r w:rsidRPr="00E6693D">
        <w:t>For example: informal or formal meeting</w:t>
      </w:r>
      <w:r>
        <w:t xml:space="preserve"> with parties</w:t>
      </w:r>
      <w:r w:rsidRPr="00E6693D">
        <w:t>, mediation with independent party</w:t>
      </w:r>
      <w:r>
        <w:t>.</w:t>
      </w:r>
    </w:p>
    <w:p w14:paraId="35333A7A" w14:textId="412BB935" w:rsidR="00043890" w:rsidRDefault="00161848" w:rsidP="00161848">
      <w:pPr>
        <w:pStyle w:val="BodyText"/>
      </w:pPr>
      <w:sdt>
        <w:sdtPr>
          <w:id w:val="1060133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43890">
        <w:t>Any options to appeal a decision.</w:t>
      </w:r>
    </w:p>
    <w:tbl>
      <w:tblPr>
        <w:tblStyle w:val="TableGrid"/>
        <w:tblW w:w="0" w:type="auto"/>
        <w:tblBorders>
          <w:top w:val="single" w:sz="4" w:space="0" w:color="9E4A9C" w:themeColor="accent3"/>
          <w:left w:val="single" w:sz="4" w:space="0" w:color="9E4A9C" w:themeColor="accent3"/>
          <w:bottom w:val="single" w:sz="4" w:space="0" w:color="9E4A9C" w:themeColor="accent3"/>
          <w:right w:val="single" w:sz="4" w:space="0" w:color="9E4A9C" w:themeColor="accent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9"/>
      </w:tblGrid>
      <w:tr w:rsidR="00043890" w14:paraId="6FBE2E7B" w14:textId="77777777" w:rsidTr="00812290">
        <w:trPr>
          <w:trHeight w:val="612"/>
        </w:trPr>
        <w:tc>
          <w:tcPr>
            <w:tcW w:w="9628" w:type="dxa"/>
            <w:shd w:val="clear" w:color="auto" w:fill="F5EBF5"/>
            <w:vAlign w:val="center"/>
          </w:tcPr>
          <w:p w14:paraId="095728A0" w14:textId="77777777" w:rsidR="00043890" w:rsidRPr="00A256B5" w:rsidRDefault="00043890" w:rsidP="00812290">
            <w:pPr>
              <w:spacing w:before="120" w:after="120" w:line="22" w:lineRule="atLeast"/>
              <w:rPr>
                <w:color w:val="FF0000"/>
              </w:rPr>
            </w:pPr>
            <w:r w:rsidRPr="00161848">
              <w:rPr>
                <w:sz w:val="22"/>
              </w:rPr>
              <w:t>Remember to take into consideration the agency’s existing grievance and HR dispute resolution policies and procedures. Refer to Public Sector Commission Standards.</w:t>
            </w:r>
          </w:p>
        </w:tc>
      </w:tr>
    </w:tbl>
    <w:p w14:paraId="15F7EC2F" w14:textId="720D181E" w:rsidR="00860F4E" w:rsidRPr="00860F4E" w:rsidRDefault="00860F4E" w:rsidP="00161848">
      <w:pPr>
        <w:pStyle w:val="BodyText"/>
      </w:pPr>
    </w:p>
    <w:sectPr w:rsidR="00860F4E" w:rsidRPr="00860F4E" w:rsidSect="00362A8B">
      <w:headerReference w:type="default" r:id="rId12"/>
      <w:footerReference w:type="default" r:id="rId13"/>
      <w:footerReference w:type="first" r:id="rId14"/>
      <w:pgSz w:w="11907" w:h="16840" w:code="9"/>
      <w:pgMar w:top="1560" w:right="1304" w:bottom="851" w:left="1304" w:header="709" w:footer="3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0409A" w14:textId="77777777" w:rsidR="00292DBF" w:rsidRDefault="00292DBF" w:rsidP="00A4382C">
      <w:pPr>
        <w:spacing w:line="240" w:lineRule="auto"/>
      </w:pPr>
      <w:r>
        <w:separator/>
      </w:r>
    </w:p>
  </w:endnote>
  <w:endnote w:type="continuationSeparator" w:id="0">
    <w:p w14:paraId="673AEF65" w14:textId="77777777" w:rsidR="00292DBF" w:rsidRDefault="00292DBF" w:rsidP="00A4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41583" w14:textId="11ABF2D6" w:rsidR="00CC5FB3" w:rsidRPr="00161848" w:rsidRDefault="00161848" w:rsidP="0016184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408" behindDoc="1" locked="0" layoutInCell="1" allowOverlap="0" wp14:anchorId="312FD532" wp14:editId="1312AB5F">
          <wp:simplePos x="0" y="0"/>
          <wp:positionH relativeFrom="page">
            <wp:posOffset>8071</wp:posOffset>
          </wp:positionH>
          <wp:positionV relativeFrom="page">
            <wp:posOffset>10558255</wp:posOffset>
          </wp:positionV>
          <wp:extent cx="7596000" cy="188120"/>
          <wp:effectExtent l="0" t="0" r="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-Head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63" b="80034"/>
                  <a:stretch/>
                </pic:blipFill>
                <pic:spPr bwMode="auto">
                  <a:xfrm>
                    <a:off x="0" y="0"/>
                    <a:ext cx="7596000" cy="188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4384" behindDoc="1" locked="0" layoutInCell="1" allowOverlap="0" wp14:anchorId="4E450492" wp14:editId="48CD438F">
          <wp:simplePos x="0" y="0"/>
          <wp:positionH relativeFrom="page">
            <wp:posOffset>12120</wp:posOffset>
          </wp:positionH>
          <wp:positionV relativeFrom="page">
            <wp:posOffset>9465</wp:posOffset>
          </wp:positionV>
          <wp:extent cx="7583557" cy="906018"/>
          <wp:effectExtent l="0" t="0" r="0" b="889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557" cy="906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2A8B">
      <w:rPr>
        <w:sz w:val="20"/>
        <w:szCs w:val="20"/>
        <w:lang w:val="en-GB"/>
      </w:rPr>
      <w:t>WA Government Intellectual Property Policy</w:t>
    </w:r>
    <w:r w:rsidRPr="00362A8B">
      <w:rPr>
        <w:sz w:val="20"/>
        <w:szCs w:val="20"/>
      </w:rPr>
      <w:t xml:space="preserve"> Toolkit</w:t>
    </w:r>
    <w:r w:rsidRPr="00362A8B">
      <w:rPr>
        <w:sz w:val="20"/>
        <w:szCs w:val="20"/>
      </w:rPr>
      <w:ptab w:relativeTo="margin" w:alignment="center" w:leader="none"/>
    </w:r>
    <w:r w:rsidRPr="00362A8B">
      <w:rPr>
        <w:sz w:val="20"/>
        <w:szCs w:val="20"/>
      </w:rPr>
      <w:ptab w:relativeTo="margin" w:alignment="right" w:leader="none"/>
    </w:r>
    <w:sdt>
      <w:sdtPr>
        <w:rPr>
          <w:sz w:val="20"/>
          <w:szCs w:val="20"/>
        </w:rPr>
        <w:id w:val="-4747629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62A8B">
          <w:rPr>
            <w:sz w:val="20"/>
            <w:szCs w:val="20"/>
          </w:rPr>
          <w:fldChar w:fldCharType="begin"/>
        </w:r>
        <w:r w:rsidRPr="00362A8B">
          <w:rPr>
            <w:sz w:val="20"/>
            <w:szCs w:val="20"/>
          </w:rPr>
          <w:instrText xml:space="preserve"> PAGE   \* MERGEFORMAT </w:instrText>
        </w:r>
        <w:r w:rsidRPr="00362A8B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</w:t>
        </w:r>
        <w:r w:rsidRPr="00362A8B">
          <w:rPr>
            <w:noProof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2ACA2" w14:textId="35329C6C" w:rsidR="007218E4" w:rsidRPr="00362A8B" w:rsidRDefault="00043890" w:rsidP="00362A8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0" wp14:anchorId="32483C39" wp14:editId="5CC64313">
          <wp:simplePos x="0" y="0"/>
          <wp:positionH relativeFrom="page">
            <wp:posOffset>8071</wp:posOffset>
          </wp:positionH>
          <wp:positionV relativeFrom="page">
            <wp:posOffset>10558255</wp:posOffset>
          </wp:positionV>
          <wp:extent cx="7596000" cy="188120"/>
          <wp:effectExtent l="0" t="0" r="0" b="2540"/>
          <wp:wrapNone/>
          <wp:docPr id="224" name="Picture 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-Head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63" b="80034"/>
                  <a:stretch/>
                </pic:blipFill>
                <pic:spPr bwMode="auto">
                  <a:xfrm>
                    <a:off x="0" y="0"/>
                    <a:ext cx="7596000" cy="188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A8B">
      <w:rPr>
        <w:noProof/>
        <w:lang w:eastAsia="en-AU"/>
      </w:rPr>
      <w:drawing>
        <wp:anchor distT="0" distB="0" distL="114300" distR="114300" simplePos="0" relativeHeight="251660288" behindDoc="1" locked="0" layoutInCell="1" allowOverlap="0" wp14:anchorId="18E8EECA" wp14:editId="3B1D79F3">
          <wp:simplePos x="0" y="0"/>
          <wp:positionH relativeFrom="page">
            <wp:posOffset>12120</wp:posOffset>
          </wp:positionH>
          <wp:positionV relativeFrom="page">
            <wp:posOffset>9465</wp:posOffset>
          </wp:positionV>
          <wp:extent cx="7583557" cy="906018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557" cy="906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A8B" w:rsidRPr="00362A8B">
      <w:rPr>
        <w:sz w:val="20"/>
        <w:szCs w:val="20"/>
        <w:lang w:val="en-GB"/>
      </w:rPr>
      <w:t>WA Government Intellectual Property Policy</w:t>
    </w:r>
    <w:r w:rsidR="00362A8B" w:rsidRPr="00362A8B">
      <w:rPr>
        <w:sz w:val="20"/>
        <w:szCs w:val="20"/>
      </w:rPr>
      <w:t xml:space="preserve"> Toolkit</w:t>
    </w:r>
    <w:r w:rsidR="00362A8B" w:rsidRPr="00362A8B">
      <w:rPr>
        <w:sz w:val="20"/>
        <w:szCs w:val="20"/>
      </w:rPr>
      <w:ptab w:relativeTo="margin" w:alignment="center" w:leader="none"/>
    </w:r>
    <w:r w:rsidR="00362A8B" w:rsidRPr="00362A8B">
      <w:rPr>
        <w:sz w:val="20"/>
        <w:szCs w:val="20"/>
      </w:rPr>
      <w:ptab w:relativeTo="margin" w:alignment="right" w:leader="none"/>
    </w:r>
    <w:sdt>
      <w:sdtPr>
        <w:rPr>
          <w:sz w:val="20"/>
          <w:szCs w:val="20"/>
        </w:rPr>
        <w:id w:val="-21088846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62A8B" w:rsidRPr="00362A8B">
          <w:rPr>
            <w:sz w:val="20"/>
            <w:szCs w:val="20"/>
          </w:rPr>
          <w:fldChar w:fldCharType="begin"/>
        </w:r>
        <w:r w:rsidR="00362A8B" w:rsidRPr="00362A8B">
          <w:rPr>
            <w:sz w:val="20"/>
            <w:szCs w:val="20"/>
          </w:rPr>
          <w:instrText xml:space="preserve"> PAGE   \* MERGEFORMAT </w:instrText>
        </w:r>
        <w:r w:rsidR="00362A8B" w:rsidRPr="00362A8B">
          <w:rPr>
            <w:sz w:val="20"/>
            <w:szCs w:val="20"/>
          </w:rPr>
          <w:fldChar w:fldCharType="separate"/>
        </w:r>
        <w:r w:rsidR="00161848">
          <w:rPr>
            <w:noProof/>
            <w:sz w:val="20"/>
            <w:szCs w:val="20"/>
          </w:rPr>
          <w:t>1</w:t>
        </w:r>
        <w:r w:rsidR="00362A8B" w:rsidRPr="00362A8B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51915" w14:textId="77777777" w:rsidR="00292DBF" w:rsidRDefault="00292DBF" w:rsidP="00A4382C">
      <w:pPr>
        <w:spacing w:line="240" w:lineRule="auto"/>
      </w:pPr>
      <w:r>
        <w:separator/>
      </w:r>
    </w:p>
  </w:footnote>
  <w:footnote w:type="continuationSeparator" w:id="0">
    <w:p w14:paraId="6057398F" w14:textId="77777777" w:rsidR="00292DBF" w:rsidRDefault="00292DBF" w:rsidP="00A43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84B3D" w14:textId="77777777" w:rsidR="00292DBF" w:rsidRDefault="00292DB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0" wp14:anchorId="405D18FC" wp14:editId="4E945589">
          <wp:simplePos x="0" y="0"/>
          <wp:positionH relativeFrom="page">
            <wp:posOffset>12120</wp:posOffset>
          </wp:positionH>
          <wp:positionV relativeFrom="page">
            <wp:posOffset>9465</wp:posOffset>
          </wp:positionV>
          <wp:extent cx="7583557" cy="906018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557" cy="906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7303"/>
    <w:multiLevelType w:val="multilevel"/>
    <w:tmpl w:val="8754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041049" w:themeColor="accen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054E17"/>
    <w:multiLevelType w:val="hybridMultilevel"/>
    <w:tmpl w:val="381613D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443F4C"/>
    <w:multiLevelType w:val="multilevel"/>
    <w:tmpl w:val="677A26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4548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82E0674"/>
    <w:multiLevelType w:val="multilevel"/>
    <w:tmpl w:val="30E2B918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855516"/>
    <w:multiLevelType w:val="hybridMultilevel"/>
    <w:tmpl w:val="CCCC6D28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6" w15:restartNumberingAfterBreak="0">
    <w:nsid w:val="145B1187"/>
    <w:multiLevelType w:val="hybridMultilevel"/>
    <w:tmpl w:val="F7982312"/>
    <w:lvl w:ilvl="0" w:tplc="AA6C86DE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22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E47981"/>
    <w:multiLevelType w:val="multilevel"/>
    <w:tmpl w:val="0AA25E70"/>
    <w:numStyleLink w:val="AgencyBullets"/>
  </w:abstractNum>
  <w:abstractNum w:abstractNumId="8" w15:restartNumberingAfterBreak="0">
    <w:nsid w:val="1A804AD0"/>
    <w:multiLevelType w:val="hybridMultilevel"/>
    <w:tmpl w:val="9F7E3246"/>
    <w:lvl w:ilvl="0" w:tplc="8D74294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CA3DCE"/>
    <w:multiLevelType w:val="hybridMultilevel"/>
    <w:tmpl w:val="DCC4C52C"/>
    <w:lvl w:ilvl="0" w:tplc="8D74294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13D33"/>
    <w:multiLevelType w:val="hybridMultilevel"/>
    <w:tmpl w:val="033EA3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BD5741"/>
    <w:multiLevelType w:val="multilevel"/>
    <w:tmpl w:val="8754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041049" w:themeColor="accen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4" w15:restartNumberingAfterBreak="0">
    <w:nsid w:val="29351F66"/>
    <w:multiLevelType w:val="hybridMultilevel"/>
    <w:tmpl w:val="957C2B9C"/>
    <w:lvl w:ilvl="0" w:tplc="8D74294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D68CF"/>
    <w:multiLevelType w:val="multilevel"/>
    <w:tmpl w:val="8754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041049" w:themeColor="accen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2F21506A"/>
    <w:multiLevelType w:val="multilevel"/>
    <w:tmpl w:val="8754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041049" w:themeColor="accen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82A6787"/>
    <w:multiLevelType w:val="hybridMultilevel"/>
    <w:tmpl w:val="07E4F7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0C13A0"/>
    <w:multiLevelType w:val="hybridMultilevel"/>
    <w:tmpl w:val="125E0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01C1D"/>
    <w:multiLevelType w:val="hybridMultilevel"/>
    <w:tmpl w:val="174C0934"/>
    <w:lvl w:ilvl="0" w:tplc="02889D94">
      <w:start w:val="1"/>
      <w:numFmt w:val="bullet"/>
      <w:pStyle w:val="Indent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9FEB902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57E81"/>
    <w:multiLevelType w:val="hybridMultilevel"/>
    <w:tmpl w:val="E4063E64"/>
    <w:lvl w:ilvl="0" w:tplc="8D74294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F60A1"/>
    <w:multiLevelType w:val="multilevel"/>
    <w:tmpl w:val="77DEEFC4"/>
    <w:numStyleLink w:val="AgencyNumbers"/>
  </w:abstractNum>
  <w:abstractNum w:abstractNumId="22" w15:restartNumberingAfterBreak="0">
    <w:nsid w:val="41B20D18"/>
    <w:multiLevelType w:val="multilevel"/>
    <w:tmpl w:val="C4023126"/>
    <w:numStyleLink w:val="AgencyTableBullets"/>
  </w:abstractNum>
  <w:abstractNum w:abstractNumId="23" w15:restartNumberingAfterBreak="0">
    <w:nsid w:val="4474526F"/>
    <w:multiLevelType w:val="multilevel"/>
    <w:tmpl w:val="D5A4B100"/>
    <w:numStyleLink w:val="AgencyTableNumbers"/>
  </w:abstractNum>
  <w:abstractNum w:abstractNumId="24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5" w15:restartNumberingAfterBreak="0">
    <w:nsid w:val="5C2B2CD1"/>
    <w:multiLevelType w:val="hybridMultilevel"/>
    <w:tmpl w:val="47D29914"/>
    <w:lvl w:ilvl="0" w:tplc="8D74294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53695"/>
    <w:multiLevelType w:val="hybridMultilevel"/>
    <w:tmpl w:val="6B728E4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43164C"/>
    <w:multiLevelType w:val="hybridMultilevel"/>
    <w:tmpl w:val="51800C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8C7D74"/>
    <w:multiLevelType w:val="hybridMultilevel"/>
    <w:tmpl w:val="389ABD1C"/>
    <w:lvl w:ilvl="0" w:tplc="6DBAD00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224DF3"/>
    <w:multiLevelType w:val="hybridMultilevel"/>
    <w:tmpl w:val="A82297EC"/>
    <w:lvl w:ilvl="0" w:tplc="A42247F4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041049" w:themeColor="accent1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7B106B0E"/>
    <w:multiLevelType w:val="hybridMultilevel"/>
    <w:tmpl w:val="9C560E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5"/>
  </w:num>
  <w:num w:numId="4">
    <w:abstractNumId w:val="12"/>
  </w:num>
  <w:num w:numId="5">
    <w:abstractNumId w:val="21"/>
  </w:num>
  <w:num w:numId="6">
    <w:abstractNumId w:val="22"/>
  </w:num>
  <w:num w:numId="7">
    <w:abstractNumId w:val="23"/>
  </w:num>
  <w:num w:numId="8">
    <w:abstractNumId w:val="7"/>
  </w:num>
  <w:num w:numId="9">
    <w:abstractNumId w:val="7"/>
  </w:num>
  <w:num w:numId="10">
    <w:abstractNumId w:val="21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21"/>
  </w:num>
  <w:num w:numId="16">
    <w:abstractNumId w:val="21"/>
  </w:num>
  <w:num w:numId="17">
    <w:abstractNumId w:val="21"/>
  </w:num>
  <w:num w:numId="18">
    <w:abstractNumId w:val="21"/>
  </w:num>
  <w:num w:numId="19">
    <w:abstractNumId w:val="13"/>
  </w:num>
  <w:num w:numId="20">
    <w:abstractNumId w:val="24"/>
  </w:num>
  <w:num w:numId="21">
    <w:abstractNumId w:val="5"/>
  </w:num>
  <w:num w:numId="22">
    <w:abstractNumId w:val="12"/>
  </w:num>
  <w:num w:numId="23">
    <w:abstractNumId w:val="22"/>
  </w:num>
  <w:num w:numId="24">
    <w:abstractNumId w:val="23"/>
  </w:num>
  <w:num w:numId="25">
    <w:abstractNumId w:val="3"/>
  </w:num>
  <w:num w:numId="26">
    <w:abstractNumId w:val="2"/>
  </w:num>
  <w:num w:numId="27">
    <w:abstractNumId w:val="17"/>
  </w:num>
  <w:num w:numId="28">
    <w:abstractNumId w:val="1"/>
  </w:num>
  <w:num w:numId="29">
    <w:abstractNumId w:val="11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16"/>
  </w:num>
  <w:num w:numId="33">
    <w:abstractNumId w:val="15"/>
  </w:num>
  <w:num w:numId="34">
    <w:abstractNumId w:val="0"/>
  </w:num>
  <w:num w:numId="35">
    <w:abstractNumId w:val="4"/>
  </w:num>
  <w:num w:numId="36">
    <w:abstractNumId w:val="18"/>
  </w:num>
  <w:num w:numId="37">
    <w:abstractNumId w:val="6"/>
  </w:num>
  <w:num w:numId="38">
    <w:abstractNumId w:val="10"/>
  </w:num>
  <w:num w:numId="39">
    <w:abstractNumId w:val="8"/>
  </w:num>
  <w:num w:numId="40">
    <w:abstractNumId w:val="20"/>
  </w:num>
  <w:num w:numId="41">
    <w:abstractNumId w:val="25"/>
  </w:num>
  <w:num w:numId="42">
    <w:abstractNumId w:val="9"/>
  </w:num>
  <w:num w:numId="43">
    <w:abstractNumId w:val="14"/>
  </w:num>
  <w:num w:numId="44">
    <w:abstractNumId w:val="28"/>
  </w:num>
  <w:num w:numId="45">
    <w:abstractNumId w:val="19"/>
  </w:num>
  <w:num w:numId="46">
    <w:abstractNumId w:val="30"/>
  </w:num>
  <w:num w:numId="47">
    <w:abstractNumId w:val="26"/>
  </w:num>
  <w:num w:numId="48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BF"/>
    <w:rsid w:val="00005285"/>
    <w:rsid w:val="00030161"/>
    <w:rsid w:val="00043890"/>
    <w:rsid w:val="000628DD"/>
    <w:rsid w:val="00070650"/>
    <w:rsid w:val="00081F4F"/>
    <w:rsid w:val="00087E7C"/>
    <w:rsid w:val="000D6278"/>
    <w:rsid w:val="000F4B54"/>
    <w:rsid w:val="00101A4E"/>
    <w:rsid w:val="00117846"/>
    <w:rsid w:val="00127A81"/>
    <w:rsid w:val="00150D6F"/>
    <w:rsid w:val="0015286C"/>
    <w:rsid w:val="00161848"/>
    <w:rsid w:val="00161BAC"/>
    <w:rsid w:val="00166F4F"/>
    <w:rsid w:val="001723E2"/>
    <w:rsid w:val="00175B21"/>
    <w:rsid w:val="00182318"/>
    <w:rsid w:val="001853E7"/>
    <w:rsid w:val="001879E1"/>
    <w:rsid w:val="001C316F"/>
    <w:rsid w:val="001D2EB0"/>
    <w:rsid w:val="001E38AF"/>
    <w:rsid w:val="001F1168"/>
    <w:rsid w:val="0021319C"/>
    <w:rsid w:val="00217BF0"/>
    <w:rsid w:val="00243F51"/>
    <w:rsid w:val="002760CB"/>
    <w:rsid w:val="00292DBF"/>
    <w:rsid w:val="002D4783"/>
    <w:rsid w:val="002E7DD3"/>
    <w:rsid w:val="00306FAF"/>
    <w:rsid w:val="00307B64"/>
    <w:rsid w:val="00316310"/>
    <w:rsid w:val="00321C39"/>
    <w:rsid w:val="003263E6"/>
    <w:rsid w:val="00327D01"/>
    <w:rsid w:val="0033401D"/>
    <w:rsid w:val="00334E55"/>
    <w:rsid w:val="00345BFF"/>
    <w:rsid w:val="00362A8B"/>
    <w:rsid w:val="00371FB3"/>
    <w:rsid w:val="00375984"/>
    <w:rsid w:val="0038356A"/>
    <w:rsid w:val="003B68D0"/>
    <w:rsid w:val="003E78C6"/>
    <w:rsid w:val="003F4681"/>
    <w:rsid w:val="003F68F5"/>
    <w:rsid w:val="003F7D47"/>
    <w:rsid w:val="004108AE"/>
    <w:rsid w:val="00490548"/>
    <w:rsid w:val="004C12D6"/>
    <w:rsid w:val="004C3B9E"/>
    <w:rsid w:val="004F6AB4"/>
    <w:rsid w:val="00502FFE"/>
    <w:rsid w:val="00517B50"/>
    <w:rsid w:val="00521B09"/>
    <w:rsid w:val="0053027E"/>
    <w:rsid w:val="00556CD6"/>
    <w:rsid w:val="005C7F45"/>
    <w:rsid w:val="00612E61"/>
    <w:rsid w:val="00646CEC"/>
    <w:rsid w:val="00664B55"/>
    <w:rsid w:val="00685A4B"/>
    <w:rsid w:val="0069124D"/>
    <w:rsid w:val="006B372C"/>
    <w:rsid w:val="007218E4"/>
    <w:rsid w:val="00725843"/>
    <w:rsid w:val="00736097"/>
    <w:rsid w:val="00736B45"/>
    <w:rsid w:val="0075253D"/>
    <w:rsid w:val="007528AA"/>
    <w:rsid w:val="00757A2A"/>
    <w:rsid w:val="00765079"/>
    <w:rsid w:val="007A54B1"/>
    <w:rsid w:val="008565C8"/>
    <w:rsid w:val="00860F4E"/>
    <w:rsid w:val="008754BA"/>
    <w:rsid w:val="00875FE3"/>
    <w:rsid w:val="00884F47"/>
    <w:rsid w:val="0089012F"/>
    <w:rsid w:val="008A0283"/>
    <w:rsid w:val="008A72AE"/>
    <w:rsid w:val="008E0D74"/>
    <w:rsid w:val="008E41EC"/>
    <w:rsid w:val="008E742A"/>
    <w:rsid w:val="0092356B"/>
    <w:rsid w:val="00930BCD"/>
    <w:rsid w:val="00935B0B"/>
    <w:rsid w:val="0094285C"/>
    <w:rsid w:val="00943CC7"/>
    <w:rsid w:val="00944D7D"/>
    <w:rsid w:val="00953276"/>
    <w:rsid w:val="009532BA"/>
    <w:rsid w:val="009B0BD9"/>
    <w:rsid w:val="00A4382C"/>
    <w:rsid w:val="00A663DD"/>
    <w:rsid w:val="00A73213"/>
    <w:rsid w:val="00A768BE"/>
    <w:rsid w:val="00A804F9"/>
    <w:rsid w:val="00A826CA"/>
    <w:rsid w:val="00A865D9"/>
    <w:rsid w:val="00AD0559"/>
    <w:rsid w:val="00AE6CF0"/>
    <w:rsid w:val="00B4205B"/>
    <w:rsid w:val="00B45BCE"/>
    <w:rsid w:val="00B96B1B"/>
    <w:rsid w:val="00BB241A"/>
    <w:rsid w:val="00BC5B97"/>
    <w:rsid w:val="00BC790D"/>
    <w:rsid w:val="00BD452D"/>
    <w:rsid w:val="00BD7FE2"/>
    <w:rsid w:val="00C169C6"/>
    <w:rsid w:val="00C17C2B"/>
    <w:rsid w:val="00C524D8"/>
    <w:rsid w:val="00C55AAA"/>
    <w:rsid w:val="00C74436"/>
    <w:rsid w:val="00C851DC"/>
    <w:rsid w:val="00C95C39"/>
    <w:rsid w:val="00C97A98"/>
    <w:rsid w:val="00CB079B"/>
    <w:rsid w:val="00CC4376"/>
    <w:rsid w:val="00CC43BA"/>
    <w:rsid w:val="00CC5FB3"/>
    <w:rsid w:val="00D016D8"/>
    <w:rsid w:val="00D14F87"/>
    <w:rsid w:val="00D27E58"/>
    <w:rsid w:val="00D43849"/>
    <w:rsid w:val="00D5302E"/>
    <w:rsid w:val="00D6395F"/>
    <w:rsid w:val="00D71CF0"/>
    <w:rsid w:val="00D9127D"/>
    <w:rsid w:val="00DB3B0A"/>
    <w:rsid w:val="00DC07FF"/>
    <w:rsid w:val="00DE0A4C"/>
    <w:rsid w:val="00DE5B3B"/>
    <w:rsid w:val="00DF7BE7"/>
    <w:rsid w:val="00E262D6"/>
    <w:rsid w:val="00E26EED"/>
    <w:rsid w:val="00E30ABB"/>
    <w:rsid w:val="00E335C1"/>
    <w:rsid w:val="00E4041E"/>
    <w:rsid w:val="00E800BA"/>
    <w:rsid w:val="00E87942"/>
    <w:rsid w:val="00EB048B"/>
    <w:rsid w:val="00EC15C1"/>
    <w:rsid w:val="00ED1F45"/>
    <w:rsid w:val="00ED46ED"/>
    <w:rsid w:val="00F06689"/>
    <w:rsid w:val="00F07494"/>
    <w:rsid w:val="00F17A22"/>
    <w:rsid w:val="00F230CD"/>
    <w:rsid w:val="00F234F8"/>
    <w:rsid w:val="00F42B9C"/>
    <w:rsid w:val="00F47CE2"/>
    <w:rsid w:val="00F53BB2"/>
    <w:rsid w:val="00FA164E"/>
    <w:rsid w:val="00FA3B9E"/>
    <w:rsid w:val="00FB1CCB"/>
    <w:rsid w:val="00FD5004"/>
    <w:rsid w:val="00FE6C25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EA8843"/>
  <w15:chartTrackingRefBased/>
  <w15:docId w15:val="{B389C0AF-9A5B-4A75-832D-1526444F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292DBF"/>
    <w:pPr>
      <w:spacing w:after="0"/>
    </w:pPr>
  </w:style>
  <w:style w:type="paragraph" w:styleId="Heading1">
    <w:name w:val="heading 1"/>
    <w:basedOn w:val="Normal"/>
    <w:next w:val="BodyText"/>
    <w:link w:val="Heading1Char"/>
    <w:uiPriority w:val="9"/>
    <w:qFormat/>
    <w:rsid w:val="00043890"/>
    <w:pPr>
      <w:keepNext/>
      <w:keepLines/>
      <w:spacing w:before="240" w:after="240"/>
      <w:ind w:left="431" w:hanging="431"/>
      <w:jc w:val="center"/>
      <w:outlineLvl w:val="0"/>
    </w:pPr>
    <w:rPr>
      <w:rFonts w:ascii="Arial" w:hAnsi="Arial" w:cs="Times New Roman"/>
      <w:b/>
      <w:color w:val="041049"/>
      <w:sz w:val="32"/>
      <w:szCs w:val="32"/>
      <w:shd w:val="clear" w:color="auto" w:fill="FFFFFF"/>
      <w:lang w:val="en-GB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161848"/>
    <w:pPr>
      <w:keepNext/>
      <w:keepLines/>
      <w:spacing w:before="240" w:after="120"/>
      <w:ind w:left="862" w:hanging="862"/>
      <w:outlineLvl w:val="1"/>
    </w:pPr>
    <w:rPr>
      <w:rFonts w:eastAsiaTheme="minorHAnsi"/>
      <w:b/>
      <w:color w:val="041049" w:themeColor="accent1"/>
      <w:sz w:val="28"/>
      <w:szCs w:val="26"/>
      <w:lang w:val="en-GB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316310"/>
    <w:pPr>
      <w:numPr>
        <w:ilvl w:val="2"/>
      </w:numPr>
      <w:ind w:left="862" w:hanging="862"/>
      <w:outlineLvl w:val="2"/>
    </w:pPr>
    <w:rPr>
      <w:bCs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6310"/>
    <w:pPr>
      <w:outlineLvl w:val="3"/>
    </w:pPr>
    <w:rPr>
      <w:bCs w:val="0"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DBF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DBF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890"/>
    <w:rPr>
      <w:rFonts w:ascii="Arial" w:hAnsi="Arial" w:cs="Times New Roman"/>
      <w:b/>
      <w:color w:val="041049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61848"/>
    <w:rPr>
      <w:rFonts w:eastAsiaTheme="minorHAnsi"/>
      <w:b/>
      <w:color w:val="041049" w:themeColor="accent1"/>
      <w:sz w:val="28"/>
      <w:szCs w:val="2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19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19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19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19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19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20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20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20"/>
      </w:numPr>
      <w:spacing w:after="60"/>
    </w:p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20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20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043890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rsid w:val="00043890"/>
    <w:rPr>
      <w:rFonts w:eastAsiaTheme="minorHAnsi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6310"/>
  </w:style>
  <w:style w:type="character" w:customStyle="1" w:styleId="HeaderChar">
    <w:name w:val="Header Char"/>
    <w:basedOn w:val="DefaultParagraphFont"/>
    <w:link w:val="Header"/>
    <w:uiPriority w:val="99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3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926A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041049" w:themeColor="accent1"/>
        <w:left w:val="single" w:sz="8" w:space="0" w:color="041049" w:themeColor="accent1"/>
        <w:bottom w:val="single" w:sz="8" w:space="0" w:color="041049" w:themeColor="accent1"/>
        <w:right w:val="single" w:sz="8" w:space="0" w:color="0410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10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1049" w:themeColor="accent1"/>
          <w:left w:val="single" w:sz="8" w:space="0" w:color="041049" w:themeColor="accent1"/>
          <w:bottom w:val="single" w:sz="8" w:space="0" w:color="041049" w:themeColor="accent1"/>
          <w:right w:val="single" w:sz="8" w:space="0" w:color="0410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1049" w:themeColor="accent1"/>
          <w:left w:val="single" w:sz="8" w:space="0" w:color="041049" w:themeColor="accent1"/>
          <w:bottom w:val="single" w:sz="8" w:space="0" w:color="041049" w:themeColor="accent1"/>
          <w:right w:val="single" w:sz="8" w:space="0" w:color="041049" w:themeColor="accent1"/>
        </w:tcBorders>
      </w:tcPr>
    </w:tblStylePr>
    <w:tblStylePr w:type="band1Horz">
      <w:tblPr/>
      <w:tcPr>
        <w:tcBorders>
          <w:top w:val="single" w:sz="8" w:space="0" w:color="041049" w:themeColor="accent1"/>
          <w:left w:val="single" w:sz="8" w:space="0" w:color="041049" w:themeColor="accent1"/>
          <w:bottom w:val="single" w:sz="8" w:space="0" w:color="041049" w:themeColor="accent1"/>
          <w:right w:val="single" w:sz="8" w:space="0" w:color="041049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763774" w:themeColor="accent3" w:themeShade="BF"/>
    </w:rPr>
    <w:tblPr>
      <w:tblStyleRowBandSize w:val="1"/>
      <w:tblStyleColBandSize w:val="1"/>
      <w:tblBorders>
        <w:top w:val="single" w:sz="8" w:space="0" w:color="9E4A9C" w:themeColor="accent3"/>
        <w:bottom w:val="single" w:sz="8" w:space="0" w:color="9E4A9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4A9C" w:themeColor="accent3"/>
          <w:left w:val="nil"/>
          <w:bottom w:val="single" w:sz="8" w:space="0" w:color="9E4A9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4A9C" w:themeColor="accent3"/>
          <w:left w:val="nil"/>
          <w:bottom w:val="single" w:sz="8" w:space="0" w:color="9E4A9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D0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D0E8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3AC2D6" w:themeColor="accent2"/>
        <w:left w:val="single" w:sz="8" w:space="0" w:color="3AC2D6" w:themeColor="accent2"/>
        <w:bottom w:val="single" w:sz="8" w:space="0" w:color="3AC2D6" w:themeColor="accent2"/>
        <w:right w:val="single" w:sz="8" w:space="0" w:color="3AC2D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C2D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C2D6" w:themeColor="accent2"/>
          <w:left w:val="single" w:sz="8" w:space="0" w:color="3AC2D6" w:themeColor="accent2"/>
          <w:bottom w:val="single" w:sz="8" w:space="0" w:color="3AC2D6" w:themeColor="accent2"/>
          <w:right w:val="single" w:sz="8" w:space="0" w:color="3AC2D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C2D6" w:themeColor="accent2"/>
          <w:left w:val="single" w:sz="8" w:space="0" w:color="3AC2D6" w:themeColor="accent2"/>
          <w:bottom w:val="single" w:sz="8" w:space="0" w:color="3AC2D6" w:themeColor="accent2"/>
          <w:right w:val="single" w:sz="8" w:space="0" w:color="3AC2D6" w:themeColor="accent2"/>
        </w:tcBorders>
      </w:tcPr>
    </w:tblStylePr>
    <w:tblStylePr w:type="band1Horz">
      <w:tblPr/>
      <w:tcPr>
        <w:tcBorders>
          <w:top w:val="single" w:sz="8" w:space="0" w:color="3AC2D6" w:themeColor="accent2"/>
          <w:left w:val="single" w:sz="8" w:space="0" w:color="3AC2D6" w:themeColor="accent2"/>
          <w:bottom w:val="single" w:sz="8" w:space="0" w:color="3AC2D6" w:themeColor="accent2"/>
          <w:right w:val="single" w:sz="8" w:space="0" w:color="3AC2D6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2397A8" w:themeColor="accent2" w:themeShade="BF"/>
    </w:rPr>
    <w:tblPr>
      <w:tblStyleRowBandSize w:val="1"/>
      <w:tblStyleColBandSize w:val="1"/>
      <w:tblBorders>
        <w:top w:val="single" w:sz="8" w:space="0" w:color="3AC2D6" w:themeColor="accent2"/>
        <w:bottom w:val="single" w:sz="8" w:space="0" w:color="3AC2D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C2D6" w:themeColor="accent2"/>
          <w:left w:val="nil"/>
          <w:bottom w:val="single" w:sz="8" w:space="0" w:color="3AC2D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C2D6" w:themeColor="accent2"/>
          <w:left w:val="nil"/>
          <w:bottom w:val="single" w:sz="8" w:space="0" w:color="3AC2D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F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FF4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F9A01B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qFormat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23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24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030B36" w:themeColor="accent1" w:themeShade="BF"/>
    </w:rPr>
    <w:tblPr>
      <w:tblStyleRowBandSize w:val="1"/>
      <w:tblStyleColBandSize w:val="1"/>
      <w:tblBorders>
        <w:top w:val="single" w:sz="8" w:space="0" w:color="041049" w:themeColor="accent1"/>
        <w:bottom w:val="single" w:sz="8" w:space="0" w:color="0410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1049" w:themeColor="accent1"/>
          <w:left w:val="nil"/>
          <w:bottom w:val="single" w:sz="8" w:space="0" w:color="0410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1049" w:themeColor="accent1"/>
          <w:left w:val="nil"/>
          <w:bottom w:val="single" w:sz="8" w:space="0" w:color="0410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AA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AAF9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3AC2D6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DB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DB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DB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D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2DBF"/>
    <w:rPr>
      <w:vertAlign w:val="superscript"/>
    </w:rPr>
  </w:style>
  <w:style w:type="paragraph" w:customStyle="1" w:styleId="Bullet1">
    <w:name w:val="Bullet1"/>
    <w:basedOn w:val="Normal"/>
    <w:link w:val="Bullet1Char"/>
    <w:qFormat/>
    <w:rsid w:val="00292DBF"/>
    <w:pPr>
      <w:numPr>
        <w:numId w:val="25"/>
      </w:numPr>
      <w:spacing w:after="160" w:line="259" w:lineRule="auto"/>
      <w:contextualSpacing/>
    </w:pPr>
    <w:rPr>
      <w:rFonts w:eastAsiaTheme="minorHAnsi"/>
      <w:sz w:val="22"/>
      <w:szCs w:val="22"/>
    </w:rPr>
  </w:style>
  <w:style w:type="character" w:customStyle="1" w:styleId="Bullet1Char">
    <w:name w:val="Bullet1 Char"/>
    <w:basedOn w:val="DefaultParagraphFont"/>
    <w:link w:val="Bullet1"/>
    <w:rsid w:val="00292DBF"/>
    <w:rPr>
      <w:rFonts w:eastAsiaTheme="minorHAnsi"/>
      <w:sz w:val="22"/>
      <w:szCs w:val="22"/>
    </w:rPr>
  </w:style>
  <w:style w:type="paragraph" w:customStyle="1" w:styleId="Indent1">
    <w:name w:val="Indent1"/>
    <w:basedOn w:val="ListParagraph"/>
    <w:link w:val="Indent1Char"/>
    <w:qFormat/>
    <w:rsid w:val="00043890"/>
    <w:pPr>
      <w:numPr>
        <w:numId w:val="45"/>
      </w:numPr>
      <w:autoSpaceDE w:val="0"/>
      <w:autoSpaceDN w:val="0"/>
      <w:adjustRightInd w:val="0"/>
      <w:spacing w:after="160" w:line="240" w:lineRule="auto"/>
      <w:contextualSpacing w:val="0"/>
      <w:jc w:val="both"/>
    </w:pPr>
    <w:rPr>
      <w:rFonts w:ascii="Arial" w:eastAsiaTheme="minorHAnsi" w:hAnsi="Arial" w:cs="Arial"/>
    </w:rPr>
  </w:style>
  <w:style w:type="character" w:customStyle="1" w:styleId="Indent1Char">
    <w:name w:val="Indent1 Char"/>
    <w:basedOn w:val="DefaultParagraphFont"/>
    <w:link w:val="Indent1"/>
    <w:rsid w:val="00043890"/>
    <w:rPr>
      <w:rFonts w:ascii="Arial" w:eastAsiaTheme="minorHAnsi" w:hAnsi="Arial" w:cs="Arial"/>
    </w:rPr>
  </w:style>
  <w:style w:type="paragraph" w:customStyle="1" w:styleId="Indent">
    <w:name w:val="Indent"/>
    <w:basedOn w:val="BodyText"/>
    <w:uiPriority w:val="7"/>
    <w:qFormat/>
    <w:rsid w:val="00043890"/>
    <w:pPr>
      <w:ind w:left="360"/>
    </w:pPr>
    <w:rPr>
      <w:i/>
      <w:color w:val="9E4A9C" w:themeColor="accent3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6184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.gov.au/government/publications/western-australian-government-intellectual-property-policy-202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JTSI Corporate- Biodi">
      <a:dk1>
        <a:sysClr val="windowText" lastClr="000000"/>
      </a:dk1>
      <a:lt1>
        <a:sysClr val="window" lastClr="FFFFFF"/>
      </a:lt1>
      <a:dk2>
        <a:srgbClr val="041049"/>
      </a:dk2>
      <a:lt2>
        <a:srgbClr val="EEECE1"/>
      </a:lt2>
      <a:accent1>
        <a:srgbClr val="041049"/>
      </a:accent1>
      <a:accent2>
        <a:srgbClr val="3AC2D6"/>
      </a:accent2>
      <a:accent3>
        <a:srgbClr val="9E4A9C"/>
      </a:accent3>
      <a:accent4>
        <a:srgbClr val="ED1B34"/>
      </a:accent4>
      <a:accent5>
        <a:srgbClr val="F9A01B"/>
      </a:accent5>
      <a:accent6>
        <a:srgbClr val="F04E3E"/>
      </a:accent6>
      <a:hlink>
        <a:srgbClr val="0926AF"/>
      </a:hlink>
      <a:folHlink>
        <a:srgbClr val="F9A01B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F9B147A4768409A192229B13C0FDA" ma:contentTypeVersion="15" ma:contentTypeDescription="Create a new document." ma:contentTypeScope="" ma:versionID="afd357e3b3c266aebedad5474f6ff2c6">
  <xsd:schema xmlns:xsd="http://www.w3.org/2001/XMLSchema" xmlns:xs="http://www.w3.org/2001/XMLSchema" xmlns:p="http://schemas.microsoft.com/office/2006/metadata/properties" xmlns:ns3="f6029f91-7a00-4474-bd4e-c5601b0d2a3e" xmlns:ns4="61d54feb-00d5-4d8f-9b16-4e1680dc8995" targetNamespace="http://schemas.microsoft.com/office/2006/metadata/properties" ma:root="true" ma:fieldsID="a06c2a70e2d3e8b04d949225740a428f" ns3:_="" ns4:_="">
    <xsd:import namespace="f6029f91-7a00-4474-bd4e-c5601b0d2a3e"/>
    <xsd:import namespace="61d54feb-00d5-4d8f-9b16-4e1680dc89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29f91-7a00-4474-bd4e-c5601b0d2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54feb-00d5-4d8f-9b16-4e1680dc8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029f91-7a00-4474-bd4e-c5601b0d2a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C160E-D5FC-4583-B0F8-19BE47F53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29f91-7a00-4474-bd4e-c5601b0d2a3e"/>
    <ds:schemaRef ds:uri="61d54feb-00d5-4d8f-9b16-4e1680dc8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D0ADC5-CA70-492B-ADE4-CBBC617A269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1d54feb-00d5-4d8f-9b16-4e1680dc8995"/>
    <ds:schemaRef ds:uri="http://purl.org/dc/elements/1.1/"/>
    <ds:schemaRef ds:uri="http://schemas.microsoft.com/office/2006/metadata/properties"/>
    <ds:schemaRef ds:uri="http://schemas.microsoft.com/office/infopath/2007/PartnerControls"/>
    <ds:schemaRef ds:uri="f6029f91-7a00-4474-bd4e-c5601b0d2a3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36CE89-02CF-4517-B25A-37B52F8F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Mines and Petroleum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PROUSE, Libbee</dc:creator>
  <cp:keywords/>
  <dc:description/>
  <cp:lastModifiedBy>PROUSE, Libbee</cp:lastModifiedBy>
  <cp:revision>3</cp:revision>
  <cp:lastPrinted>2023-07-25T06:52:00Z</cp:lastPrinted>
  <dcterms:created xsi:type="dcterms:W3CDTF">2023-07-28T01:25:00Z</dcterms:created>
  <dcterms:modified xsi:type="dcterms:W3CDTF">2023-08-16T03:10:00Z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0x010100BADF9B147A4768409A192229B13C0FDA</vt:lpwstr>
  </property>
</Properties>
</file>