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8AFB" w14:textId="77777777" w:rsidR="00292DBF" w:rsidRPr="00C55AAA" w:rsidRDefault="00292DBF" w:rsidP="00292DBF">
      <w:pPr>
        <w:pStyle w:val="Heading1"/>
        <w:spacing w:before="120" w:after="120"/>
        <w:jc w:val="center"/>
        <w:rPr>
          <w:color w:val="041049" w:themeColor="text2"/>
          <w:szCs w:val="36"/>
        </w:rPr>
      </w:pPr>
      <w:bookmarkStart w:id="0" w:name="_Toc124327448"/>
      <w:bookmarkStart w:id="1" w:name="_Toc126583930"/>
      <w:bookmarkStart w:id="2" w:name="_Toc126584161"/>
      <w:bookmarkStart w:id="3" w:name="_Toc126584391"/>
      <w:bookmarkStart w:id="4" w:name="_Toc126584460"/>
      <w:bookmarkStart w:id="5" w:name="_Toc126655936"/>
      <w:bookmarkStart w:id="6" w:name="_Toc126670771"/>
      <w:bookmarkStart w:id="7" w:name="_Toc127538279"/>
      <w:bookmarkStart w:id="8" w:name="_Toc130811604"/>
      <w:r w:rsidRPr="00C55AAA">
        <w:rPr>
          <w:color w:val="041049" w:themeColor="text2"/>
          <w:szCs w:val="36"/>
        </w:rPr>
        <w:t>Agency IP policy and procedures checklist</w:t>
      </w:r>
      <w:bookmarkEnd w:id="0"/>
      <w:bookmarkEnd w:id="1"/>
      <w:bookmarkEnd w:id="2"/>
      <w:bookmarkEnd w:id="3"/>
      <w:bookmarkEnd w:id="4"/>
      <w:bookmarkEnd w:id="5"/>
      <w:bookmarkEnd w:id="6"/>
      <w:bookmarkEnd w:id="7"/>
      <w:bookmarkEnd w:id="8"/>
    </w:p>
    <w:p w14:paraId="16DAB127" w14:textId="77777777" w:rsidR="00292DBF" w:rsidRDefault="00292DBF" w:rsidP="00292DBF">
      <w:pPr>
        <w:pBdr>
          <w:top w:val="single" w:sz="4" w:space="1" w:color="041049" w:themeColor="accent1"/>
          <w:left w:val="single" w:sz="4" w:space="4" w:color="041049" w:themeColor="accent1"/>
          <w:bottom w:val="single" w:sz="4" w:space="1" w:color="041049" w:themeColor="accent1"/>
          <w:right w:val="single" w:sz="4" w:space="4" w:color="041049" w:themeColor="accent1"/>
        </w:pBdr>
        <w:spacing w:line="259" w:lineRule="auto"/>
        <w:rPr>
          <w:b/>
        </w:rPr>
      </w:pPr>
      <w:r w:rsidRPr="0006746C">
        <w:rPr>
          <w:b/>
        </w:rPr>
        <w:t>About this checklist:</w:t>
      </w:r>
    </w:p>
    <w:p w14:paraId="5ECAE335" w14:textId="77777777" w:rsidR="00292DBF" w:rsidRPr="00D276D2" w:rsidRDefault="00292DBF" w:rsidP="00292DBF">
      <w:pPr>
        <w:pStyle w:val="Bullet1"/>
        <w:pBdr>
          <w:top w:val="single" w:sz="4" w:space="1" w:color="041049" w:themeColor="accent1"/>
          <w:left w:val="single" w:sz="4" w:space="4" w:color="041049" w:themeColor="accent1"/>
          <w:bottom w:val="single" w:sz="4" w:space="1" w:color="041049" w:themeColor="accent1"/>
          <w:right w:val="single" w:sz="4" w:space="4" w:color="041049" w:themeColor="accent1"/>
        </w:pBdr>
        <w:spacing w:after="60"/>
        <w:ind w:left="284" w:hanging="284"/>
        <w:contextualSpacing w:val="0"/>
      </w:pPr>
      <w:r w:rsidRPr="00D276D2">
        <w:t>Agencies are required to ensure there are internal policies and guidelines in place to meet the intent, responsibilities and obligations outlined under the WA Government IP Policy.</w:t>
      </w:r>
    </w:p>
    <w:p w14:paraId="287B5161" w14:textId="77777777" w:rsidR="00292DBF" w:rsidRPr="0056139F" w:rsidRDefault="00292DBF" w:rsidP="00292DBF">
      <w:pPr>
        <w:pStyle w:val="Bullet1"/>
        <w:pBdr>
          <w:top w:val="single" w:sz="4" w:space="1" w:color="041049" w:themeColor="accent1"/>
          <w:left w:val="single" w:sz="4" w:space="4" w:color="041049" w:themeColor="accent1"/>
          <w:bottom w:val="single" w:sz="4" w:space="1" w:color="041049" w:themeColor="accent1"/>
          <w:right w:val="single" w:sz="4" w:space="4" w:color="041049" w:themeColor="accent1"/>
        </w:pBdr>
        <w:spacing w:after="60"/>
        <w:ind w:left="284" w:hanging="284"/>
        <w:contextualSpacing w:val="0"/>
        <w:rPr>
          <w:b/>
        </w:rPr>
      </w:pPr>
      <w:r w:rsidRPr="00D276D2">
        <w:t xml:space="preserve">This </w:t>
      </w:r>
      <w:r w:rsidRPr="00643A47">
        <w:t xml:space="preserve">checklist is a guide to assist agencies developing intellectual property (IP) policies and procedures. </w:t>
      </w:r>
    </w:p>
    <w:p w14:paraId="1DEDCA03" w14:textId="32F8E1BD" w:rsidR="00292DBF" w:rsidRPr="00D276D2" w:rsidRDefault="00292DBF" w:rsidP="00292DBF">
      <w:pPr>
        <w:pStyle w:val="Bullet1"/>
        <w:pBdr>
          <w:top w:val="single" w:sz="4" w:space="1" w:color="041049" w:themeColor="accent1"/>
          <w:left w:val="single" w:sz="4" w:space="4" w:color="041049" w:themeColor="accent1"/>
          <w:bottom w:val="single" w:sz="4" w:space="1" w:color="041049" w:themeColor="accent1"/>
          <w:right w:val="single" w:sz="4" w:space="4" w:color="041049" w:themeColor="accent1"/>
        </w:pBdr>
        <w:spacing w:after="60"/>
        <w:ind w:left="284" w:hanging="284"/>
        <w:contextualSpacing w:val="0"/>
        <w:rPr>
          <w:b/>
        </w:rPr>
      </w:pPr>
      <w:r w:rsidRPr="00643A47">
        <w:t>Any information</w:t>
      </w:r>
      <w:r w:rsidR="0092356B">
        <w:t xml:space="preserve"> identified in </w:t>
      </w:r>
      <w:r w:rsidR="0092356B">
        <w:rPr>
          <w:b/>
        </w:rPr>
        <w:t>bold</w:t>
      </w:r>
      <w:r w:rsidR="0092356B">
        <w:t xml:space="preserve"> corresponds to recommendations </w:t>
      </w:r>
      <w:r w:rsidRPr="00643A47">
        <w:t xml:space="preserve">under the </w:t>
      </w:r>
      <w:hyperlink r:id="rId11" w:history="1">
        <w:r w:rsidRPr="00612E61">
          <w:rPr>
            <w:rStyle w:val="Hyperlink"/>
            <w:b/>
          </w:rPr>
          <w:t>WA Government IP Policy</w:t>
        </w:r>
      </w:hyperlink>
      <w:r>
        <w:rPr>
          <w:rStyle w:val="FootnoteReference"/>
        </w:rPr>
        <w:footnoteReference w:id="1"/>
      </w:r>
      <w:r w:rsidRPr="00643A47">
        <w:t>.</w:t>
      </w:r>
      <w:r>
        <w:rPr>
          <w:b/>
        </w:rPr>
        <w:t xml:space="preserve"> </w:t>
      </w:r>
    </w:p>
    <w:p w14:paraId="466B8B6A" w14:textId="77777777" w:rsidR="00292DBF" w:rsidRDefault="00292DBF" w:rsidP="00C55AAA">
      <w:pPr>
        <w:spacing w:before="240" w:after="200" w:line="259" w:lineRule="auto"/>
        <w:jc w:val="both"/>
        <w:outlineLvl w:val="3"/>
        <w:rPr>
          <w:rFonts w:ascii="Arial" w:eastAsia="Arial" w:hAnsi="Arial" w:cs="Times New Roman"/>
          <w:b/>
          <w:color w:val="041049"/>
          <w:sz w:val="28"/>
          <w:szCs w:val="26"/>
          <w:lang w:val="en-GB"/>
        </w:rPr>
      </w:pPr>
      <w:r>
        <w:rPr>
          <w:rFonts w:ascii="Arial" w:eastAsia="Arial" w:hAnsi="Arial" w:cs="Times New Roman"/>
          <w:b/>
          <w:color w:val="041049"/>
          <w:sz w:val="28"/>
          <w:szCs w:val="26"/>
          <w:lang w:val="en-GB"/>
        </w:rPr>
        <w:t>Policy objectives</w:t>
      </w:r>
    </w:p>
    <w:p w14:paraId="26D02F6F" w14:textId="77777777" w:rsidR="00292DBF" w:rsidRPr="00F15466" w:rsidRDefault="008D1ECE" w:rsidP="00292DBF">
      <w:pPr>
        <w:pStyle w:val="BodyText"/>
        <w:tabs>
          <w:tab w:val="left" w:pos="567"/>
        </w:tabs>
        <w:spacing w:after="0" w:line="259" w:lineRule="auto"/>
        <w:ind w:left="357" w:hanging="425"/>
        <w:jc w:val="both"/>
        <w:rPr>
          <w:rFonts w:eastAsia="Arial" w:cs="Times New Roman"/>
          <w:b/>
          <w:color w:val="041049"/>
        </w:rPr>
      </w:pPr>
      <w:sdt>
        <w:sdtPr>
          <w:id w:val="244306349"/>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w:t>
      </w:r>
      <w:r w:rsidR="00292DBF" w:rsidRPr="00F15466">
        <w:t>Outline the key objectives of the agency</w:t>
      </w:r>
      <w:r w:rsidR="00292DBF">
        <w:t>’s IP</w:t>
      </w:r>
      <w:r w:rsidR="00292DBF" w:rsidRPr="00F15466">
        <w:t xml:space="preserve"> policy.</w:t>
      </w:r>
    </w:p>
    <w:p w14:paraId="1BB88B92" w14:textId="77777777" w:rsidR="00292DBF" w:rsidRPr="00292DBF" w:rsidRDefault="00292DBF" w:rsidP="00292DBF">
      <w:pPr>
        <w:pStyle w:val="ListParagraph"/>
        <w:tabs>
          <w:tab w:val="left" w:pos="426"/>
        </w:tabs>
        <w:spacing w:before="60" w:after="160" w:line="259" w:lineRule="auto"/>
        <w:ind w:left="425" w:firstLine="6"/>
        <w:rPr>
          <w:i/>
          <w:color w:val="041049" w:themeColor="accent1"/>
          <w:sz w:val="20"/>
        </w:rPr>
      </w:pPr>
      <w:r w:rsidRPr="00292DBF">
        <w:rPr>
          <w:i/>
          <w:color w:val="041049" w:themeColor="accent1"/>
          <w:sz w:val="20"/>
        </w:rPr>
        <w:t>For example to support the effective identification, management and use of agency IP for the benefit of the Western Australian community.</w:t>
      </w:r>
    </w:p>
    <w:p w14:paraId="11CF1624" w14:textId="60CC5731" w:rsidR="00292DBF" w:rsidRPr="00F15466" w:rsidRDefault="008D1ECE" w:rsidP="00292DBF">
      <w:pPr>
        <w:pStyle w:val="BodyText"/>
        <w:spacing w:after="0" w:line="259" w:lineRule="auto"/>
        <w:ind w:left="357" w:hanging="425"/>
        <w:jc w:val="both"/>
        <w:rPr>
          <w:rFonts w:eastAsia="Arial" w:cs="Times New Roman"/>
          <w:b/>
          <w:color w:val="041049"/>
        </w:rPr>
      </w:pPr>
      <w:sdt>
        <w:sdtPr>
          <w:id w:val="218946965"/>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685A4B">
        <w:t xml:space="preserve">   </w:t>
      </w:r>
      <w:r w:rsidR="00292DBF">
        <w:t>Outline the agency’s functions and the role of IP in achieving these objectives.</w:t>
      </w:r>
    </w:p>
    <w:p w14:paraId="50911C19" w14:textId="77777777" w:rsidR="00292DBF" w:rsidRPr="005C2B8A" w:rsidRDefault="00292DBF" w:rsidP="00292DBF">
      <w:pPr>
        <w:pStyle w:val="BodyText"/>
        <w:tabs>
          <w:tab w:val="left" w:pos="426"/>
        </w:tabs>
        <w:spacing w:before="60"/>
        <w:ind w:left="425" w:hanging="425"/>
        <w:rPr>
          <w:i/>
          <w:color w:val="9E4A9C" w:themeColor="accent3"/>
          <w:sz w:val="20"/>
        </w:rPr>
      </w:pPr>
      <w:r>
        <w:rPr>
          <w:i/>
          <w:color w:val="9E4A9C" w:themeColor="accent3"/>
          <w:sz w:val="20"/>
        </w:rPr>
        <w:tab/>
      </w:r>
      <w:r w:rsidRPr="00292DBF">
        <w:rPr>
          <w:i/>
          <w:color w:val="041049" w:themeColor="accent1"/>
          <w:sz w:val="20"/>
        </w:rPr>
        <w:t>This may include information about any agency specific legislation related to the development, use or commercialisation of IP.</w:t>
      </w:r>
    </w:p>
    <w:p w14:paraId="69EFCDAF" w14:textId="77777777" w:rsidR="00292DBF" w:rsidRDefault="00292DBF" w:rsidP="00C55AAA">
      <w:pPr>
        <w:spacing w:before="360" w:after="200" w:line="259" w:lineRule="auto"/>
        <w:jc w:val="both"/>
        <w:outlineLvl w:val="3"/>
        <w:rPr>
          <w:rFonts w:ascii="Arial" w:eastAsia="Arial" w:hAnsi="Arial" w:cs="Times New Roman"/>
          <w:b/>
          <w:color w:val="041049"/>
          <w:sz w:val="28"/>
          <w:szCs w:val="26"/>
          <w:lang w:val="en-GB"/>
        </w:rPr>
      </w:pPr>
      <w:r>
        <w:rPr>
          <w:rFonts w:ascii="Arial" w:eastAsia="Arial" w:hAnsi="Arial" w:cs="Times New Roman"/>
          <w:b/>
          <w:color w:val="041049"/>
          <w:sz w:val="28"/>
          <w:szCs w:val="26"/>
          <w:lang w:val="en-GB"/>
        </w:rPr>
        <w:t>Policy scope</w:t>
      </w:r>
    </w:p>
    <w:p w14:paraId="2FB2B447" w14:textId="4573D749" w:rsidR="00292DBF" w:rsidRDefault="008D1ECE" w:rsidP="00292DBF">
      <w:pPr>
        <w:pStyle w:val="BodyText"/>
        <w:spacing w:after="160" w:line="259" w:lineRule="auto"/>
        <w:ind w:left="425" w:hanging="425"/>
        <w:jc w:val="both"/>
      </w:pPr>
      <w:sdt>
        <w:sdtPr>
          <w:id w:val="-1981686200"/>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685A4B">
        <w:t xml:space="preserve">   </w:t>
      </w:r>
      <w:r w:rsidR="00292DBF">
        <w:t xml:space="preserve">Identify </w:t>
      </w:r>
      <w:proofErr w:type="gramStart"/>
      <w:r w:rsidR="00292DBF">
        <w:t>who</w:t>
      </w:r>
      <w:proofErr w:type="gramEnd"/>
      <w:r w:rsidR="00292DBF">
        <w:t xml:space="preserve"> the policy applies to, including any application to consultants, contracted or related parties.</w:t>
      </w:r>
    </w:p>
    <w:p w14:paraId="75BACB60" w14:textId="77777777" w:rsidR="00292DBF" w:rsidRPr="005876E2" w:rsidRDefault="00292DBF" w:rsidP="00C55AAA">
      <w:pPr>
        <w:spacing w:before="360" w:after="200" w:line="259" w:lineRule="auto"/>
        <w:jc w:val="both"/>
        <w:outlineLvl w:val="3"/>
        <w:rPr>
          <w:rFonts w:ascii="Arial" w:eastAsia="Arial" w:hAnsi="Arial" w:cs="Times New Roman"/>
          <w:b/>
          <w:color w:val="041049"/>
          <w:sz w:val="28"/>
          <w:szCs w:val="26"/>
          <w:lang w:val="en-GB"/>
        </w:rPr>
      </w:pPr>
      <w:r>
        <w:rPr>
          <w:rFonts w:ascii="Arial" w:eastAsia="Arial" w:hAnsi="Arial" w:cs="Times New Roman"/>
          <w:b/>
          <w:color w:val="041049"/>
          <w:sz w:val="28"/>
          <w:szCs w:val="26"/>
          <w:lang w:val="en-GB"/>
        </w:rPr>
        <w:t>Key roles and responsibilities</w:t>
      </w:r>
    </w:p>
    <w:p w14:paraId="1A191BF0" w14:textId="77777777" w:rsidR="00292DBF" w:rsidRDefault="008D1ECE" w:rsidP="00292DBF">
      <w:pPr>
        <w:pStyle w:val="BodyText"/>
        <w:spacing w:after="160" w:line="259" w:lineRule="auto"/>
        <w:ind w:left="426" w:hanging="426"/>
        <w:jc w:val="both"/>
      </w:pPr>
      <w:sdt>
        <w:sdtPr>
          <w:id w:val="1589963357"/>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Identify who has overarching responsibility for ensuring the agency meets its obligations under the WA Government IP Policy.</w:t>
      </w:r>
    </w:p>
    <w:p w14:paraId="5051759E" w14:textId="77777777" w:rsidR="00292DBF" w:rsidRPr="00C55AAA" w:rsidRDefault="00292DBF" w:rsidP="00345BFF">
      <w:pPr>
        <w:pStyle w:val="BodyText"/>
        <w:shd w:val="clear" w:color="auto" w:fill="E3E8FD"/>
        <w:spacing w:after="160" w:line="259" w:lineRule="auto"/>
        <w:ind w:left="426"/>
        <w:jc w:val="both"/>
        <w:rPr>
          <w:sz w:val="22"/>
        </w:rPr>
      </w:pPr>
      <w:r w:rsidRPr="00C55AAA">
        <w:rPr>
          <w:color w:val="041049" w:themeColor="accent1"/>
          <w:sz w:val="22"/>
          <w:szCs w:val="20"/>
        </w:rPr>
        <w:t>Unless otherwise delegated, the WA Government IP Policy provides that the Director General or the Chief Executive Officer to ensure that the IP Policy is considered in the management of IP within their agency.</w:t>
      </w:r>
    </w:p>
    <w:p w14:paraId="601A0769" w14:textId="77777777" w:rsidR="00292DBF" w:rsidRDefault="008D1ECE" w:rsidP="00292DBF">
      <w:pPr>
        <w:pStyle w:val="BodyText"/>
        <w:spacing w:before="240" w:after="160" w:line="259" w:lineRule="auto"/>
        <w:ind w:left="425" w:hanging="425"/>
        <w:jc w:val="both"/>
      </w:pPr>
      <w:sdt>
        <w:sdtPr>
          <w:id w:val="35549136"/>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Set out the roles and responsibilities related to IP management for key positions and business areas within the agency.</w:t>
      </w:r>
    </w:p>
    <w:p w14:paraId="619B3F41" w14:textId="77777777" w:rsidR="00292DBF" w:rsidRDefault="008D1ECE" w:rsidP="00C55AAA">
      <w:pPr>
        <w:pStyle w:val="BodyText"/>
        <w:spacing w:before="240" w:after="0" w:line="259" w:lineRule="auto"/>
        <w:ind w:left="425" w:hanging="425"/>
        <w:jc w:val="both"/>
        <w:rPr>
          <w:b/>
          <w:color w:val="041049" w:themeColor="accent1"/>
        </w:rPr>
      </w:pPr>
      <w:sdt>
        <w:sdtPr>
          <w:id w:val="-743023991"/>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w:t>
      </w:r>
      <w:r w:rsidR="00292DBF" w:rsidRPr="0056139F">
        <w:rPr>
          <w:b/>
          <w:color w:val="041049" w:themeColor="accent1"/>
        </w:rPr>
        <w:t>Clearly identif</w:t>
      </w:r>
      <w:r w:rsidR="00292DBF">
        <w:rPr>
          <w:b/>
          <w:color w:val="041049" w:themeColor="accent1"/>
        </w:rPr>
        <w:t>y</w:t>
      </w:r>
      <w:r w:rsidR="00292DBF" w:rsidRPr="0056139F">
        <w:rPr>
          <w:b/>
          <w:color w:val="041049" w:themeColor="accent1"/>
        </w:rPr>
        <w:t xml:space="preserve"> the key </w:t>
      </w:r>
      <w:r w:rsidR="00292DBF" w:rsidRPr="00FC6C7B">
        <w:rPr>
          <w:b/>
          <w:color w:val="041049" w:themeColor="accent1"/>
        </w:rPr>
        <w:t>decision-making</w:t>
      </w:r>
      <w:r w:rsidR="00292DBF" w:rsidRPr="0056139F">
        <w:rPr>
          <w:b/>
          <w:color w:val="041049" w:themeColor="accent1"/>
        </w:rPr>
        <w:t xml:space="preserve"> authorities required for IP decisions and approvals.</w:t>
      </w:r>
      <w:r w:rsidR="00292DBF">
        <w:rPr>
          <w:b/>
          <w:color w:val="041049" w:themeColor="accent1"/>
        </w:rPr>
        <w:t xml:space="preserve">  </w:t>
      </w:r>
    </w:p>
    <w:p w14:paraId="1BD680F9" w14:textId="77777777" w:rsidR="00292DBF" w:rsidRPr="00C55AAA" w:rsidRDefault="00292DBF" w:rsidP="00C55AAA">
      <w:pPr>
        <w:pStyle w:val="BodyText"/>
        <w:shd w:val="clear" w:color="auto" w:fill="E3E8FD"/>
        <w:spacing w:before="120" w:after="120" w:line="259" w:lineRule="auto"/>
        <w:ind w:left="425"/>
        <w:jc w:val="both"/>
        <w:rPr>
          <w:color w:val="041049" w:themeColor="accent1"/>
          <w:sz w:val="22"/>
          <w:szCs w:val="20"/>
        </w:rPr>
      </w:pPr>
      <w:r w:rsidRPr="00C55AAA">
        <w:rPr>
          <w:color w:val="041049" w:themeColor="accent1"/>
          <w:sz w:val="22"/>
          <w:szCs w:val="20"/>
        </w:rPr>
        <w:t xml:space="preserve">The WA Government IP Policy specifically identifies </w:t>
      </w:r>
      <w:proofErr w:type="gramStart"/>
      <w:r w:rsidRPr="00C55AAA">
        <w:rPr>
          <w:color w:val="041049" w:themeColor="accent1"/>
          <w:sz w:val="22"/>
          <w:szCs w:val="20"/>
        </w:rPr>
        <w:t>decision making</w:t>
      </w:r>
      <w:proofErr w:type="gramEnd"/>
      <w:r w:rsidRPr="00C55AAA">
        <w:rPr>
          <w:color w:val="041049" w:themeColor="accent1"/>
          <w:sz w:val="22"/>
          <w:szCs w:val="20"/>
        </w:rPr>
        <w:t xml:space="preserve"> or approval requirements for the following:</w:t>
      </w:r>
    </w:p>
    <w:p w14:paraId="0F1E9A90" w14:textId="77777777" w:rsidR="00292DBF" w:rsidRPr="00C55AAA" w:rsidRDefault="00292DBF" w:rsidP="00C55AAA">
      <w:pPr>
        <w:pStyle w:val="BodyText"/>
        <w:numPr>
          <w:ilvl w:val="0"/>
          <w:numId w:val="35"/>
        </w:numPr>
        <w:shd w:val="clear" w:color="auto" w:fill="E3E8FD"/>
        <w:spacing w:after="120" w:line="259" w:lineRule="auto"/>
        <w:ind w:left="782" w:hanging="357"/>
        <w:contextualSpacing/>
        <w:jc w:val="both"/>
        <w:rPr>
          <w:color w:val="041049" w:themeColor="accent1"/>
          <w:sz w:val="22"/>
          <w:szCs w:val="20"/>
        </w:rPr>
      </w:pPr>
      <w:r w:rsidRPr="00C55AAA">
        <w:rPr>
          <w:color w:val="041049" w:themeColor="accent1"/>
          <w:sz w:val="22"/>
          <w:szCs w:val="20"/>
        </w:rPr>
        <w:t>Joint ownership arrangements for IP assets,</w:t>
      </w:r>
    </w:p>
    <w:p w14:paraId="241C5271" w14:textId="77777777" w:rsidR="00292DBF" w:rsidRPr="00C55AAA" w:rsidRDefault="00292DBF" w:rsidP="00C55AAA">
      <w:pPr>
        <w:pStyle w:val="BodyText"/>
        <w:numPr>
          <w:ilvl w:val="0"/>
          <w:numId w:val="35"/>
        </w:numPr>
        <w:shd w:val="clear" w:color="auto" w:fill="E3E8FD"/>
        <w:spacing w:after="120" w:line="259" w:lineRule="auto"/>
        <w:ind w:left="782" w:hanging="357"/>
        <w:contextualSpacing/>
        <w:jc w:val="both"/>
        <w:rPr>
          <w:color w:val="041049" w:themeColor="accent1"/>
          <w:sz w:val="22"/>
          <w:szCs w:val="20"/>
        </w:rPr>
      </w:pPr>
      <w:r w:rsidRPr="00C55AAA">
        <w:rPr>
          <w:color w:val="041049" w:themeColor="accent1"/>
          <w:sz w:val="22"/>
          <w:szCs w:val="20"/>
        </w:rPr>
        <w:t>Undertaking of commercialisation activities,</w:t>
      </w:r>
    </w:p>
    <w:p w14:paraId="6D938181" w14:textId="77777777" w:rsidR="00292DBF" w:rsidRPr="00C55AAA" w:rsidRDefault="00292DBF" w:rsidP="00C55AAA">
      <w:pPr>
        <w:pStyle w:val="BodyText"/>
        <w:numPr>
          <w:ilvl w:val="0"/>
          <w:numId w:val="35"/>
        </w:numPr>
        <w:shd w:val="clear" w:color="auto" w:fill="E3E8FD"/>
        <w:spacing w:after="120" w:line="259" w:lineRule="auto"/>
        <w:ind w:left="782" w:hanging="357"/>
        <w:contextualSpacing/>
        <w:jc w:val="both"/>
        <w:rPr>
          <w:color w:val="041049" w:themeColor="accent1"/>
          <w:sz w:val="22"/>
          <w:szCs w:val="20"/>
        </w:rPr>
      </w:pPr>
      <w:r w:rsidRPr="00C55AAA">
        <w:rPr>
          <w:color w:val="041049" w:themeColor="accent1"/>
          <w:sz w:val="22"/>
          <w:szCs w:val="20"/>
        </w:rPr>
        <w:t>Commercialisation revenue sharing arrangements,</w:t>
      </w:r>
    </w:p>
    <w:p w14:paraId="4EDC2481" w14:textId="77777777" w:rsidR="00292DBF" w:rsidRPr="00C55AAA" w:rsidRDefault="00292DBF" w:rsidP="00C55AAA">
      <w:pPr>
        <w:pStyle w:val="BodyText"/>
        <w:numPr>
          <w:ilvl w:val="0"/>
          <w:numId w:val="35"/>
        </w:numPr>
        <w:shd w:val="clear" w:color="auto" w:fill="E3E8FD"/>
        <w:spacing w:after="120" w:line="259" w:lineRule="auto"/>
        <w:ind w:left="782" w:hanging="357"/>
        <w:contextualSpacing/>
        <w:jc w:val="both"/>
        <w:rPr>
          <w:color w:val="041049" w:themeColor="accent1"/>
          <w:sz w:val="22"/>
          <w:szCs w:val="20"/>
        </w:rPr>
      </w:pPr>
      <w:r w:rsidRPr="00C55AAA">
        <w:rPr>
          <w:color w:val="041049" w:themeColor="accent1"/>
          <w:sz w:val="22"/>
          <w:szCs w:val="20"/>
        </w:rPr>
        <w:t>The disposal of IP that is confidential, sensitive or incorporates licensed third party IP.</w:t>
      </w:r>
    </w:p>
    <w:p w14:paraId="6E713F67" w14:textId="77777777" w:rsidR="00292DBF" w:rsidRPr="00C55AAA" w:rsidRDefault="00292DBF" w:rsidP="00C55AAA">
      <w:pPr>
        <w:pStyle w:val="BodyText"/>
        <w:numPr>
          <w:ilvl w:val="0"/>
          <w:numId w:val="35"/>
        </w:numPr>
        <w:shd w:val="clear" w:color="auto" w:fill="E3E8FD"/>
        <w:spacing w:after="120" w:line="259" w:lineRule="auto"/>
        <w:ind w:left="782" w:hanging="357"/>
        <w:contextualSpacing/>
        <w:jc w:val="both"/>
        <w:rPr>
          <w:color w:val="041049" w:themeColor="accent1"/>
          <w:sz w:val="22"/>
          <w:szCs w:val="20"/>
        </w:rPr>
      </w:pPr>
      <w:r w:rsidRPr="00C55AAA">
        <w:rPr>
          <w:color w:val="041049" w:themeColor="accent1"/>
          <w:sz w:val="22"/>
          <w:szCs w:val="20"/>
        </w:rPr>
        <w:t>The reward of employees who develop significant, inventive and valuable IP.</w:t>
      </w:r>
    </w:p>
    <w:p w14:paraId="099A4AC2" w14:textId="77777777" w:rsidR="00292DBF" w:rsidRDefault="00292DBF" w:rsidP="00C55AAA">
      <w:pPr>
        <w:spacing w:before="360" w:after="200" w:line="259" w:lineRule="auto"/>
        <w:jc w:val="both"/>
        <w:outlineLvl w:val="3"/>
        <w:rPr>
          <w:rFonts w:ascii="Arial" w:eastAsia="Arial" w:hAnsi="Arial" w:cs="Times New Roman"/>
          <w:b/>
          <w:color w:val="041049"/>
          <w:sz w:val="28"/>
          <w:szCs w:val="26"/>
          <w:lang w:val="en-GB"/>
        </w:rPr>
      </w:pPr>
      <w:r>
        <w:rPr>
          <w:rFonts w:ascii="Arial" w:eastAsia="Arial" w:hAnsi="Arial" w:cs="Times New Roman"/>
          <w:b/>
          <w:color w:val="041049"/>
          <w:sz w:val="28"/>
          <w:szCs w:val="26"/>
          <w:lang w:val="en-GB"/>
        </w:rPr>
        <w:lastRenderedPageBreak/>
        <w:t>Management and protection of IP</w:t>
      </w:r>
    </w:p>
    <w:p w14:paraId="7F329D29" w14:textId="0CBCFB0E" w:rsidR="00292DBF" w:rsidRPr="00185B70" w:rsidRDefault="008D1ECE" w:rsidP="00C55AAA">
      <w:pPr>
        <w:pStyle w:val="BodyText"/>
        <w:spacing w:before="160" w:after="160" w:line="259" w:lineRule="auto"/>
        <w:ind w:left="425" w:hanging="425"/>
        <w:jc w:val="both"/>
        <w:rPr>
          <w:color w:val="041049" w:themeColor="accent1"/>
        </w:rPr>
      </w:pPr>
      <w:sdt>
        <w:sdtPr>
          <w:id w:val="857855883"/>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92356B">
        <w:t xml:space="preserve"> </w:t>
      </w:r>
      <w:r w:rsidR="00292DBF" w:rsidRPr="00332A83">
        <w:rPr>
          <w:b/>
          <w:color w:val="041049" w:themeColor="accent1"/>
        </w:rPr>
        <w:t xml:space="preserve">The policy </w:t>
      </w:r>
      <w:r w:rsidR="0092356B">
        <w:rPr>
          <w:b/>
          <w:color w:val="041049" w:themeColor="accent1"/>
        </w:rPr>
        <w:t>should</w:t>
      </w:r>
      <w:r w:rsidR="00292DBF" w:rsidRPr="00332A83">
        <w:rPr>
          <w:b/>
          <w:color w:val="041049" w:themeColor="accent1"/>
        </w:rPr>
        <w:t xml:space="preserve"> set out processes to identify and register IP owned, controlled and used by an agency. Processes to </w:t>
      </w:r>
      <w:proofErr w:type="gramStart"/>
      <w:r w:rsidR="00292DBF" w:rsidRPr="00332A83">
        <w:rPr>
          <w:b/>
          <w:color w:val="041049" w:themeColor="accent1"/>
        </w:rPr>
        <w:t>be addressed</w:t>
      </w:r>
      <w:proofErr w:type="gramEnd"/>
      <w:r w:rsidR="00292DBF" w:rsidRPr="00332A83">
        <w:rPr>
          <w:b/>
          <w:color w:val="041049" w:themeColor="accent1"/>
        </w:rPr>
        <w:t xml:space="preserve"> include:</w:t>
      </w:r>
    </w:p>
    <w:p w14:paraId="53C41FEF" w14:textId="77777777" w:rsidR="00292DBF" w:rsidRPr="00730513" w:rsidRDefault="008D1ECE" w:rsidP="00C55AAA">
      <w:pPr>
        <w:pStyle w:val="BodyText"/>
        <w:spacing w:before="160" w:after="160" w:line="259" w:lineRule="auto"/>
        <w:ind w:left="850" w:hanging="425"/>
        <w:jc w:val="both"/>
        <w:rPr>
          <w:b/>
          <w:color w:val="041049" w:themeColor="accent1"/>
        </w:rPr>
      </w:pPr>
      <w:sdt>
        <w:sdtPr>
          <w:id w:val="1016355461"/>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w:t>
      </w:r>
      <w:r w:rsidR="00292DBF" w:rsidRPr="00730513">
        <w:rPr>
          <w:b/>
          <w:color w:val="041049" w:themeColor="accent1"/>
        </w:rPr>
        <w:t>The identification of IP developed by employees, contractors, collaborators and researchers.</w:t>
      </w:r>
    </w:p>
    <w:p w14:paraId="2609FF59" w14:textId="77777777" w:rsidR="00292DBF" w:rsidRPr="00730513" w:rsidRDefault="008D1ECE" w:rsidP="00C55AAA">
      <w:pPr>
        <w:pStyle w:val="BodyText"/>
        <w:spacing w:before="160" w:after="0" w:line="259" w:lineRule="auto"/>
        <w:ind w:left="850" w:hanging="425"/>
        <w:jc w:val="both"/>
        <w:rPr>
          <w:b/>
          <w:color w:val="041049" w:themeColor="accent1"/>
        </w:rPr>
      </w:pPr>
      <w:sdt>
        <w:sdtPr>
          <w:id w:val="-163018153"/>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w:t>
      </w:r>
      <w:r w:rsidR="00292DBF" w:rsidRPr="00730513">
        <w:rPr>
          <w:b/>
          <w:color w:val="041049" w:themeColor="accent1"/>
        </w:rPr>
        <w:t xml:space="preserve">The maintenance </w:t>
      </w:r>
      <w:r w:rsidR="00292DBF">
        <w:rPr>
          <w:b/>
          <w:color w:val="041049" w:themeColor="accent1"/>
        </w:rPr>
        <w:t xml:space="preserve">of a register of IP assets with </w:t>
      </w:r>
      <w:r w:rsidR="00292DBF" w:rsidRPr="00730513">
        <w:rPr>
          <w:b/>
          <w:color w:val="041049" w:themeColor="accent1"/>
        </w:rPr>
        <w:t>financial, operational, strategic or public value.</w:t>
      </w:r>
    </w:p>
    <w:p w14:paraId="6895C5E8" w14:textId="77777777" w:rsidR="00292DBF" w:rsidRPr="00292DBF" w:rsidRDefault="00292DBF" w:rsidP="00C55AAA">
      <w:pPr>
        <w:pStyle w:val="BodyText"/>
        <w:spacing w:before="40"/>
        <w:ind w:left="851"/>
        <w:rPr>
          <w:i/>
          <w:color w:val="041049" w:themeColor="accent1"/>
          <w:sz w:val="20"/>
        </w:rPr>
      </w:pPr>
      <w:r w:rsidRPr="00292DBF">
        <w:rPr>
          <w:i/>
          <w:color w:val="041049" w:themeColor="accent1"/>
          <w:sz w:val="20"/>
        </w:rPr>
        <w:t>Consideration: the agency may wish to include guidance notes to assist in the assessment of ‘significant IP’ for inclusion in the register. Refer to the guidance in Section 5 of the IP Policy.</w:t>
      </w:r>
    </w:p>
    <w:p w14:paraId="54D6478C" w14:textId="77777777" w:rsidR="00292DBF" w:rsidRDefault="008D1ECE" w:rsidP="00C55AAA">
      <w:pPr>
        <w:pStyle w:val="BodyText"/>
        <w:spacing w:before="160" w:after="160" w:line="259" w:lineRule="auto"/>
        <w:ind w:left="850" w:hanging="425"/>
        <w:jc w:val="both"/>
        <w:rPr>
          <w:b/>
          <w:color w:val="041049" w:themeColor="accent1"/>
        </w:rPr>
      </w:pPr>
      <w:sdt>
        <w:sdtPr>
          <w:id w:val="-1980843259"/>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w:t>
      </w:r>
      <w:r w:rsidR="00292DBF" w:rsidRPr="00730513">
        <w:rPr>
          <w:b/>
          <w:color w:val="041049" w:themeColor="accent1"/>
        </w:rPr>
        <w:t>Periodic review and audit of IP assets</w:t>
      </w:r>
      <w:r w:rsidR="00292DBF">
        <w:rPr>
          <w:b/>
          <w:color w:val="041049" w:themeColor="accent1"/>
        </w:rPr>
        <w:t>.</w:t>
      </w:r>
    </w:p>
    <w:p w14:paraId="3B839FC6" w14:textId="77777777" w:rsidR="00292DBF" w:rsidRDefault="008D1ECE" w:rsidP="00C55AAA">
      <w:pPr>
        <w:pStyle w:val="BodyText"/>
        <w:spacing w:before="160" w:after="160" w:line="259" w:lineRule="auto"/>
        <w:ind w:left="425" w:hanging="425"/>
        <w:jc w:val="both"/>
      </w:pPr>
      <w:sdt>
        <w:sdtPr>
          <w:id w:val="630989206"/>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Set out any requirements or processes with respect to the assessment, registration and management of IP protections. </w:t>
      </w:r>
    </w:p>
    <w:p w14:paraId="43954792" w14:textId="764DB58B" w:rsidR="00292DBF" w:rsidRDefault="008D1ECE" w:rsidP="00C55AAA">
      <w:pPr>
        <w:pStyle w:val="BodyText"/>
        <w:spacing w:before="160" w:after="0" w:line="259" w:lineRule="auto"/>
        <w:ind w:left="425" w:hanging="425"/>
        <w:jc w:val="both"/>
      </w:pPr>
      <w:sdt>
        <w:sdtPr>
          <w:id w:val="-1153451073"/>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685A4B">
        <w:t xml:space="preserve">   </w:t>
      </w:r>
      <w:r w:rsidR="00292DBF">
        <w:t xml:space="preserve">Identify the process to </w:t>
      </w:r>
      <w:proofErr w:type="gramStart"/>
      <w:r w:rsidR="00292DBF">
        <w:t>be followed</w:t>
      </w:r>
      <w:proofErr w:type="gramEnd"/>
      <w:r w:rsidR="00292DBF">
        <w:t xml:space="preserve"> where the agency’s IP rights are infringed.</w:t>
      </w:r>
    </w:p>
    <w:p w14:paraId="50E7814F" w14:textId="77777777" w:rsidR="00292DBF" w:rsidRDefault="00292DBF" w:rsidP="00C55AAA">
      <w:pPr>
        <w:pStyle w:val="BodyText"/>
        <w:spacing w:before="40"/>
        <w:rPr>
          <w:i/>
          <w:color w:val="041049" w:themeColor="accent1"/>
          <w:sz w:val="20"/>
        </w:rPr>
      </w:pPr>
      <w:r w:rsidRPr="00292DBF">
        <w:rPr>
          <w:i/>
          <w:color w:val="041049" w:themeColor="accent1"/>
          <w:sz w:val="20"/>
        </w:rPr>
        <w:t xml:space="preserve">For </w:t>
      </w:r>
      <w:proofErr w:type="gramStart"/>
      <w:r w:rsidRPr="00292DBF">
        <w:rPr>
          <w:i/>
          <w:color w:val="041049" w:themeColor="accent1"/>
          <w:sz w:val="20"/>
        </w:rPr>
        <w:t>example:</w:t>
      </w:r>
      <w:proofErr w:type="gramEnd"/>
      <w:r w:rsidRPr="00292DBF">
        <w:rPr>
          <w:i/>
          <w:color w:val="041049" w:themeColor="accent1"/>
          <w:sz w:val="20"/>
        </w:rPr>
        <w:t xml:space="preserve"> how will be instances of possible infringement be reported, who will responsible for taking action and what actions will the agency consider. </w:t>
      </w:r>
    </w:p>
    <w:p w14:paraId="5C58824C" w14:textId="6836DD71" w:rsidR="00292DBF" w:rsidRPr="00C55AAA" w:rsidRDefault="00292DBF" w:rsidP="00345BFF">
      <w:pPr>
        <w:pStyle w:val="BodyText"/>
        <w:shd w:val="clear" w:color="auto" w:fill="E3E8FD"/>
        <w:spacing w:before="40"/>
        <w:jc w:val="both"/>
        <w:rPr>
          <w:color w:val="041049" w:themeColor="accent1"/>
          <w:sz w:val="22"/>
          <w:szCs w:val="20"/>
        </w:rPr>
      </w:pPr>
      <w:r w:rsidRPr="00C55AAA">
        <w:rPr>
          <w:b/>
          <w:color w:val="041049" w:themeColor="accent1"/>
          <w:sz w:val="22"/>
          <w:szCs w:val="20"/>
        </w:rPr>
        <w:t>Section 5</w:t>
      </w:r>
      <w:r w:rsidRPr="00C55AAA">
        <w:rPr>
          <w:color w:val="041049" w:themeColor="accent1"/>
          <w:sz w:val="22"/>
          <w:szCs w:val="20"/>
        </w:rPr>
        <w:t xml:space="preserve"> of the </w:t>
      </w:r>
      <w:r w:rsidRPr="00612E61">
        <w:rPr>
          <w:b/>
          <w:color w:val="041049" w:themeColor="accent1"/>
          <w:sz w:val="22"/>
          <w:szCs w:val="20"/>
        </w:rPr>
        <w:t>WA Government IP Policy</w:t>
      </w:r>
      <w:r w:rsidRPr="00C55AAA">
        <w:rPr>
          <w:color w:val="041049" w:themeColor="accent1"/>
          <w:sz w:val="22"/>
          <w:szCs w:val="20"/>
        </w:rPr>
        <w:t xml:space="preserve"> sets out a number of requirements for agencies related to the protection of IP assets and enforcement of IP rights.</w:t>
      </w:r>
    </w:p>
    <w:p w14:paraId="4A8B8C34" w14:textId="77777777" w:rsidR="00292DBF" w:rsidRDefault="00292DBF" w:rsidP="00C55AAA">
      <w:pPr>
        <w:spacing w:before="360" w:after="200" w:line="259" w:lineRule="auto"/>
        <w:jc w:val="both"/>
        <w:outlineLvl w:val="3"/>
        <w:rPr>
          <w:rFonts w:ascii="Arial" w:eastAsia="Arial" w:hAnsi="Arial" w:cs="Times New Roman"/>
          <w:b/>
          <w:color w:val="041049"/>
          <w:sz w:val="28"/>
          <w:szCs w:val="26"/>
          <w:lang w:val="en-GB"/>
        </w:rPr>
      </w:pPr>
      <w:r w:rsidRPr="00332A83">
        <w:rPr>
          <w:rFonts w:ascii="Arial" w:eastAsia="Arial" w:hAnsi="Arial" w:cs="Times New Roman"/>
          <w:b/>
          <w:color w:val="041049"/>
          <w:sz w:val="28"/>
          <w:szCs w:val="26"/>
          <w:lang w:val="en-GB"/>
        </w:rPr>
        <w:t>Ownership arrangements</w:t>
      </w:r>
    </w:p>
    <w:p w14:paraId="668E84A0" w14:textId="6F5B9054" w:rsidR="00292DBF" w:rsidRDefault="008D1ECE" w:rsidP="00C55AAA">
      <w:pPr>
        <w:pStyle w:val="BodyText"/>
        <w:spacing w:before="160" w:after="160" w:line="259" w:lineRule="auto"/>
        <w:ind w:left="425" w:hanging="425"/>
        <w:jc w:val="both"/>
      </w:pPr>
      <w:sdt>
        <w:sdtPr>
          <w:id w:val="-243348871"/>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685A4B">
        <w:t xml:space="preserve">   </w:t>
      </w:r>
      <w:r w:rsidR="00292DBF" w:rsidRPr="0024490E">
        <w:t xml:space="preserve">Establish procedures to </w:t>
      </w:r>
      <w:proofErr w:type="gramStart"/>
      <w:r w:rsidR="00292DBF" w:rsidRPr="0024490E">
        <w:t>identify,</w:t>
      </w:r>
      <w:proofErr w:type="gramEnd"/>
      <w:r w:rsidR="00292DBF" w:rsidRPr="0024490E">
        <w:t xml:space="preserve"> record and clarify ownership of agency IP.</w:t>
      </w:r>
    </w:p>
    <w:p w14:paraId="0482D0E2" w14:textId="437CB443" w:rsidR="00292DBF" w:rsidRDefault="008D1ECE" w:rsidP="00C55AAA">
      <w:pPr>
        <w:pStyle w:val="BodyText"/>
        <w:spacing w:before="160" w:after="160" w:line="259" w:lineRule="auto"/>
        <w:ind w:left="425" w:hanging="425"/>
        <w:jc w:val="both"/>
      </w:pPr>
      <w:sdt>
        <w:sdtPr>
          <w:id w:val="-631549726"/>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685A4B">
        <w:t xml:space="preserve">   </w:t>
      </w:r>
      <w:r w:rsidR="00292DBF">
        <w:t>Provide guidance the agency’s IP ownership arrangements for relevant settings such as:</w:t>
      </w:r>
    </w:p>
    <w:p w14:paraId="29943104" w14:textId="0A684EFA" w:rsidR="00292DBF" w:rsidRDefault="008D1ECE" w:rsidP="00C55AAA">
      <w:pPr>
        <w:pStyle w:val="BodyText"/>
        <w:spacing w:before="160" w:after="160" w:line="259" w:lineRule="auto"/>
        <w:ind w:left="850" w:hanging="425"/>
        <w:jc w:val="both"/>
      </w:pPr>
      <w:sdt>
        <w:sdtPr>
          <w:id w:val="967480240"/>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w:t>
      </w:r>
      <w:r w:rsidR="00C55AAA">
        <w:t xml:space="preserve"> </w:t>
      </w:r>
      <w:r w:rsidR="00292DBF">
        <w:t xml:space="preserve">Employment and secondment </w:t>
      </w:r>
      <w:proofErr w:type="gramStart"/>
      <w:r w:rsidR="00292DBF">
        <w:t>contracts which</w:t>
      </w:r>
      <w:proofErr w:type="gramEnd"/>
      <w:r w:rsidR="00292DBF">
        <w:t xml:space="preserve"> are likely to include research functions, duties to invent or innovate or result in the creation of IP. </w:t>
      </w:r>
    </w:p>
    <w:p w14:paraId="352921CC" w14:textId="77777777" w:rsidR="00292DBF" w:rsidRDefault="008D1ECE" w:rsidP="00C55AAA">
      <w:pPr>
        <w:pStyle w:val="BodyText"/>
        <w:spacing w:before="160" w:after="160" w:line="259" w:lineRule="auto"/>
        <w:ind w:left="850" w:hanging="425"/>
        <w:jc w:val="both"/>
      </w:pPr>
      <w:sdt>
        <w:sdtPr>
          <w:id w:val="916052679"/>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Contractors and suppliers.</w:t>
      </w:r>
    </w:p>
    <w:p w14:paraId="0602638F" w14:textId="77777777" w:rsidR="00292DBF" w:rsidRDefault="008D1ECE" w:rsidP="00C55AAA">
      <w:pPr>
        <w:pStyle w:val="BodyText"/>
        <w:spacing w:before="160" w:after="160" w:line="259" w:lineRule="auto"/>
        <w:ind w:left="850" w:hanging="425"/>
        <w:jc w:val="both"/>
      </w:pPr>
      <w:sdt>
        <w:sdtPr>
          <w:id w:val="1152338896"/>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Collaborative research projects and joint initiatives that are likely to result in the creation of IP. </w:t>
      </w:r>
    </w:p>
    <w:p w14:paraId="24B20D43" w14:textId="77777777" w:rsidR="00292DBF" w:rsidRDefault="008D1ECE" w:rsidP="00C55AAA">
      <w:pPr>
        <w:pStyle w:val="BodyText"/>
        <w:spacing w:before="160" w:after="0" w:line="259" w:lineRule="auto"/>
        <w:ind w:left="850" w:hanging="425"/>
        <w:jc w:val="both"/>
      </w:pPr>
      <w:sdt>
        <w:sdtPr>
          <w:id w:val="-1210182251"/>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Funding and grants. </w:t>
      </w:r>
    </w:p>
    <w:p w14:paraId="5DB3928A" w14:textId="77777777" w:rsidR="00292DBF" w:rsidRPr="00292DBF" w:rsidRDefault="00292DBF" w:rsidP="00C55AAA">
      <w:pPr>
        <w:pStyle w:val="BodyText"/>
        <w:spacing w:before="40"/>
        <w:ind w:left="425"/>
        <w:rPr>
          <w:i/>
          <w:color w:val="041049" w:themeColor="accent1"/>
          <w:sz w:val="20"/>
        </w:rPr>
      </w:pPr>
      <w:r w:rsidRPr="00292DBF">
        <w:rPr>
          <w:i/>
          <w:color w:val="041049" w:themeColor="accent1"/>
          <w:sz w:val="20"/>
        </w:rPr>
        <w:t xml:space="preserve">Consideration: agency policies should reinforce the requirements of the WA Government IP Policy to ensure IP ownership and rights </w:t>
      </w:r>
      <w:proofErr w:type="gramStart"/>
      <w:r w:rsidRPr="00292DBF">
        <w:rPr>
          <w:i/>
          <w:color w:val="041049" w:themeColor="accent1"/>
          <w:sz w:val="20"/>
        </w:rPr>
        <w:t>are clearly addressed</w:t>
      </w:r>
      <w:proofErr w:type="gramEnd"/>
      <w:r w:rsidRPr="00292DBF">
        <w:rPr>
          <w:i/>
          <w:color w:val="041049" w:themeColor="accent1"/>
          <w:sz w:val="20"/>
        </w:rPr>
        <w:t xml:space="preserve"> in all relevant agreements and contracts. </w:t>
      </w:r>
    </w:p>
    <w:p w14:paraId="4D0991BF" w14:textId="11F796A2" w:rsidR="00292DBF" w:rsidRDefault="008D1ECE" w:rsidP="00C55AAA">
      <w:pPr>
        <w:pStyle w:val="BodyText"/>
        <w:spacing w:before="160" w:after="0" w:line="259" w:lineRule="auto"/>
        <w:ind w:left="425" w:hanging="425"/>
        <w:jc w:val="both"/>
      </w:pPr>
      <w:sdt>
        <w:sdtPr>
          <w:id w:val="1292548854"/>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685A4B">
        <w:t xml:space="preserve">   </w:t>
      </w:r>
      <w:r w:rsidR="00292DBF" w:rsidRPr="0024490E">
        <w:t xml:space="preserve">Set out processes for the review of </w:t>
      </w:r>
      <w:r w:rsidR="00292DBF">
        <w:t xml:space="preserve">ongoing </w:t>
      </w:r>
      <w:r w:rsidR="00292DBF" w:rsidRPr="0024490E">
        <w:t>IP ownership arrangemen</w:t>
      </w:r>
      <w:r w:rsidR="00292DBF">
        <w:t>ts.</w:t>
      </w:r>
    </w:p>
    <w:p w14:paraId="03292F85" w14:textId="2E8B3A36" w:rsidR="00292DBF" w:rsidRDefault="00292DBF" w:rsidP="00C55AAA">
      <w:pPr>
        <w:pStyle w:val="BodyText"/>
        <w:ind w:left="425"/>
        <w:rPr>
          <w:i/>
          <w:color w:val="041049" w:themeColor="accent1"/>
          <w:sz w:val="20"/>
        </w:rPr>
      </w:pPr>
      <w:r w:rsidRPr="00292DBF">
        <w:rPr>
          <w:i/>
          <w:color w:val="041049" w:themeColor="accent1"/>
          <w:sz w:val="20"/>
        </w:rPr>
        <w:t xml:space="preserve">Consideration: these processes </w:t>
      </w:r>
      <w:proofErr w:type="gramStart"/>
      <w:r w:rsidRPr="00292DBF">
        <w:rPr>
          <w:i/>
          <w:color w:val="041049" w:themeColor="accent1"/>
          <w:sz w:val="20"/>
        </w:rPr>
        <w:t>may be linked</w:t>
      </w:r>
      <w:proofErr w:type="gramEnd"/>
      <w:r w:rsidRPr="00292DBF">
        <w:rPr>
          <w:i/>
          <w:color w:val="041049" w:themeColor="accent1"/>
          <w:sz w:val="20"/>
        </w:rPr>
        <w:t xml:space="preserve"> to the periodic review and audit of the agency’s IP assets.</w:t>
      </w:r>
    </w:p>
    <w:p w14:paraId="2E450182" w14:textId="5309D761" w:rsidR="00345BFF" w:rsidRPr="00C55AAA" w:rsidRDefault="00345BFF" w:rsidP="00C55AAA">
      <w:pPr>
        <w:pStyle w:val="BodyText"/>
        <w:shd w:val="clear" w:color="auto" w:fill="E3E8FD"/>
        <w:spacing w:after="120" w:line="259" w:lineRule="auto"/>
        <w:jc w:val="both"/>
        <w:rPr>
          <w:color w:val="041049" w:themeColor="accent1"/>
          <w:sz w:val="22"/>
          <w:szCs w:val="20"/>
        </w:rPr>
      </w:pPr>
      <w:r w:rsidRPr="00C55AAA">
        <w:rPr>
          <w:b/>
          <w:color w:val="041049" w:themeColor="accent1"/>
          <w:sz w:val="22"/>
          <w:szCs w:val="20"/>
        </w:rPr>
        <w:t>Sections 4 and 7</w:t>
      </w:r>
      <w:r w:rsidRPr="00C55AAA">
        <w:rPr>
          <w:color w:val="041049" w:themeColor="accent1"/>
          <w:sz w:val="22"/>
          <w:szCs w:val="20"/>
        </w:rPr>
        <w:t xml:space="preserve"> of the </w:t>
      </w:r>
      <w:r w:rsidR="00ED46ED" w:rsidRPr="00612E61">
        <w:rPr>
          <w:b/>
          <w:color w:val="041049" w:themeColor="accent1"/>
          <w:sz w:val="22"/>
          <w:szCs w:val="20"/>
        </w:rPr>
        <w:t>WA Government IP Policy</w:t>
      </w:r>
      <w:r w:rsidRPr="00C55AAA">
        <w:rPr>
          <w:color w:val="041049" w:themeColor="accent1"/>
          <w:sz w:val="22"/>
          <w:szCs w:val="20"/>
        </w:rPr>
        <w:t xml:space="preserve"> provides guidance regarding the assignment of ownership in different settings and factors for determining ongoing ownership arrangements.</w:t>
      </w:r>
      <w:r w:rsidR="00C55AAA">
        <w:rPr>
          <w:color w:val="041049" w:themeColor="accent1"/>
          <w:sz w:val="22"/>
          <w:szCs w:val="20"/>
        </w:rPr>
        <w:t xml:space="preserve"> </w:t>
      </w:r>
      <w:r w:rsidRPr="00C55AAA">
        <w:rPr>
          <w:color w:val="041049" w:themeColor="accent1"/>
          <w:sz w:val="22"/>
          <w:szCs w:val="20"/>
        </w:rPr>
        <w:t xml:space="preserve">The </w:t>
      </w:r>
      <w:hyperlink r:id="rId12" w:history="1">
        <w:r w:rsidRPr="0070222F">
          <w:rPr>
            <w:rStyle w:val="Hyperlink"/>
            <w:b/>
            <w:sz w:val="22"/>
            <w:szCs w:val="20"/>
          </w:rPr>
          <w:t>Guide for Ownership of WA Government IP</w:t>
        </w:r>
      </w:hyperlink>
      <w:r w:rsidRPr="00C55AAA">
        <w:rPr>
          <w:color w:val="041049" w:themeColor="accent1"/>
          <w:sz w:val="22"/>
          <w:szCs w:val="20"/>
        </w:rPr>
        <w:t xml:space="preserve"> may assist agencies developing supporting policies and procedures.  </w:t>
      </w:r>
    </w:p>
    <w:p w14:paraId="109A2551" w14:textId="77777777" w:rsidR="00292DBF" w:rsidRDefault="00292DBF" w:rsidP="00C55AAA">
      <w:pPr>
        <w:spacing w:before="360" w:after="200" w:line="259" w:lineRule="auto"/>
        <w:jc w:val="both"/>
        <w:outlineLvl w:val="3"/>
        <w:rPr>
          <w:rFonts w:ascii="Arial" w:eastAsia="Arial" w:hAnsi="Arial" w:cs="Times New Roman"/>
          <w:b/>
          <w:color w:val="041049"/>
          <w:sz w:val="28"/>
          <w:szCs w:val="26"/>
          <w:lang w:val="en-GB"/>
        </w:rPr>
      </w:pPr>
      <w:r>
        <w:rPr>
          <w:rFonts w:ascii="Arial" w:eastAsia="Arial" w:hAnsi="Arial" w:cs="Times New Roman"/>
          <w:b/>
          <w:color w:val="041049"/>
          <w:sz w:val="28"/>
          <w:szCs w:val="26"/>
          <w:lang w:val="en-GB"/>
        </w:rPr>
        <w:lastRenderedPageBreak/>
        <w:t>Commercialisation</w:t>
      </w:r>
    </w:p>
    <w:p w14:paraId="04963EEA" w14:textId="77777777" w:rsidR="00292DBF" w:rsidRDefault="008D1ECE" w:rsidP="00C55AAA">
      <w:pPr>
        <w:pStyle w:val="BodyText"/>
        <w:spacing w:before="120" w:after="160" w:line="259" w:lineRule="auto"/>
        <w:ind w:left="425" w:hanging="425"/>
        <w:jc w:val="both"/>
      </w:pPr>
      <w:sdt>
        <w:sdtPr>
          <w:id w:val="-755520353"/>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Outline the processes for commercialising agency IP assets. Issues to consider may include:</w:t>
      </w:r>
    </w:p>
    <w:p w14:paraId="12F84A1D" w14:textId="77777777" w:rsidR="00292DBF" w:rsidRPr="0041144C" w:rsidRDefault="008D1ECE" w:rsidP="00292DBF">
      <w:pPr>
        <w:pStyle w:val="BodyText"/>
        <w:spacing w:after="160" w:line="259" w:lineRule="auto"/>
        <w:ind w:left="850" w:hanging="425"/>
        <w:jc w:val="both"/>
        <w:rPr>
          <w:color w:val="000000" w:themeColor="text1"/>
        </w:rPr>
      </w:pPr>
      <w:sdt>
        <w:sdtPr>
          <w:id w:val="-1261988969"/>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w:t>
      </w:r>
      <w:r w:rsidR="00292DBF" w:rsidRPr="0041144C">
        <w:rPr>
          <w:color w:val="000000" w:themeColor="text1"/>
        </w:rPr>
        <w:t xml:space="preserve">How employees </w:t>
      </w:r>
      <w:r w:rsidR="00292DBF">
        <w:rPr>
          <w:color w:val="000000" w:themeColor="text1"/>
        </w:rPr>
        <w:t>will</w:t>
      </w:r>
      <w:r w:rsidR="00292DBF" w:rsidRPr="0041144C">
        <w:rPr>
          <w:color w:val="000000" w:themeColor="text1"/>
        </w:rPr>
        <w:t xml:space="preserve"> identify and report IP with commercial potential. </w:t>
      </w:r>
    </w:p>
    <w:p w14:paraId="5A3FE95D" w14:textId="77777777" w:rsidR="00292DBF" w:rsidRPr="0041144C" w:rsidRDefault="008D1ECE" w:rsidP="00292DBF">
      <w:pPr>
        <w:pStyle w:val="BodyText"/>
        <w:spacing w:after="160" w:line="259" w:lineRule="auto"/>
        <w:ind w:left="850" w:hanging="425"/>
        <w:jc w:val="both"/>
        <w:rPr>
          <w:color w:val="000000" w:themeColor="text1"/>
        </w:rPr>
      </w:pPr>
      <w:sdt>
        <w:sdtPr>
          <w:id w:val="1849367837"/>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w:t>
      </w:r>
      <w:r w:rsidR="00292DBF">
        <w:rPr>
          <w:color w:val="000000" w:themeColor="text1"/>
        </w:rPr>
        <w:t xml:space="preserve">Who will be responsible for the </w:t>
      </w:r>
      <w:r w:rsidR="00292DBF" w:rsidRPr="0041144C">
        <w:rPr>
          <w:color w:val="000000" w:themeColor="text1"/>
        </w:rPr>
        <w:t>assess</w:t>
      </w:r>
      <w:r w:rsidR="00292DBF">
        <w:rPr>
          <w:color w:val="000000" w:themeColor="text1"/>
        </w:rPr>
        <w:t xml:space="preserve">ment of </w:t>
      </w:r>
      <w:r w:rsidR="00292DBF" w:rsidRPr="0041144C">
        <w:rPr>
          <w:color w:val="000000" w:themeColor="text1"/>
        </w:rPr>
        <w:t>commercialisation opportunities?</w:t>
      </w:r>
    </w:p>
    <w:p w14:paraId="60E882C7" w14:textId="77777777" w:rsidR="00292DBF" w:rsidRDefault="008D1ECE" w:rsidP="00292DBF">
      <w:pPr>
        <w:pStyle w:val="BodyText"/>
        <w:spacing w:after="160" w:line="259" w:lineRule="auto"/>
        <w:ind w:left="850" w:hanging="425"/>
        <w:jc w:val="both"/>
        <w:rPr>
          <w:color w:val="000000" w:themeColor="text1"/>
        </w:rPr>
      </w:pPr>
      <w:sdt>
        <w:sdtPr>
          <w:id w:val="863021210"/>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w:t>
      </w:r>
      <w:r w:rsidR="00292DBF">
        <w:rPr>
          <w:color w:val="000000" w:themeColor="text1"/>
        </w:rPr>
        <w:t>T</w:t>
      </w:r>
      <w:r w:rsidR="00292DBF" w:rsidRPr="0041144C">
        <w:rPr>
          <w:color w:val="000000" w:themeColor="text1"/>
        </w:rPr>
        <w:t xml:space="preserve">he key issues to be assessed when considering whether it is appropriate to commercialise the </w:t>
      </w:r>
      <w:proofErr w:type="gramStart"/>
      <w:r w:rsidR="00292DBF" w:rsidRPr="0041144C">
        <w:rPr>
          <w:color w:val="000000" w:themeColor="text1"/>
        </w:rPr>
        <w:t>agency’s</w:t>
      </w:r>
      <w:proofErr w:type="gramEnd"/>
      <w:r w:rsidR="00292DBF" w:rsidRPr="0041144C">
        <w:rPr>
          <w:color w:val="000000" w:themeColor="text1"/>
        </w:rPr>
        <w:t xml:space="preserve"> IP. </w:t>
      </w:r>
    </w:p>
    <w:p w14:paraId="52EDFF02" w14:textId="77777777" w:rsidR="00292DBF" w:rsidRDefault="008D1ECE" w:rsidP="00292DBF">
      <w:pPr>
        <w:pStyle w:val="BodyText"/>
        <w:spacing w:after="160" w:line="259" w:lineRule="auto"/>
        <w:ind w:left="850" w:hanging="425"/>
        <w:jc w:val="both"/>
        <w:rPr>
          <w:color w:val="000000" w:themeColor="text1"/>
        </w:rPr>
      </w:pPr>
      <w:sdt>
        <w:sdtPr>
          <w:id w:val="1859695908"/>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w:t>
      </w:r>
      <w:r w:rsidR="00292DBF">
        <w:rPr>
          <w:color w:val="000000" w:themeColor="text1"/>
        </w:rPr>
        <w:t xml:space="preserve">The key considerations for the assignment or licensing of IP to third parties to develop and/or commercialise the IP. </w:t>
      </w:r>
    </w:p>
    <w:p w14:paraId="0F5CCD17" w14:textId="77777777" w:rsidR="00292DBF" w:rsidRDefault="008D1ECE" w:rsidP="00292DBF">
      <w:pPr>
        <w:pStyle w:val="BodyText"/>
        <w:spacing w:after="160" w:line="259" w:lineRule="auto"/>
        <w:ind w:left="850" w:hanging="425"/>
        <w:jc w:val="both"/>
        <w:rPr>
          <w:color w:val="000000" w:themeColor="text1"/>
        </w:rPr>
      </w:pPr>
      <w:sdt>
        <w:sdtPr>
          <w:id w:val="2043940016"/>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w:t>
      </w:r>
      <w:r w:rsidR="00292DBF">
        <w:rPr>
          <w:color w:val="000000" w:themeColor="text1"/>
        </w:rPr>
        <w:t>Requirements to seek relevant legal and expert advice to support commercialisation activities.</w:t>
      </w:r>
    </w:p>
    <w:p w14:paraId="7634AB44" w14:textId="19E05EEB" w:rsidR="00292DBF" w:rsidRDefault="008D1ECE" w:rsidP="00292DBF">
      <w:pPr>
        <w:pStyle w:val="BodyText"/>
        <w:spacing w:before="120" w:after="160" w:line="259" w:lineRule="auto"/>
        <w:ind w:left="850" w:hanging="425"/>
        <w:jc w:val="both"/>
      </w:pPr>
      <w:sdt>
        <w:sdtPr>
          <w:id w:val="175007045"/>
          <w14:checkbox>
            <w14:checked w14:val="0"/>
            <w14:checkedState w14:val="2612" w14:font="MS Gothic"/>
            <w14:uncheckedState w14:val="2610" w14:font="MS Gothic"/>
          </w14:checkbox>
        </w:sdtPr>
        <w:sdtEndPr/>
        <w:sdtContent>
          <w:r w:rsidR="00ED46ED">
            <w:rPr>
              <w:rFonts w:ascii="MS Gothic" w:eastAsia="MS Gothic" w:hAnsi="MS Gothic" w:hint="eastAsia"/>
            </w:rPr>
            <w:t>☐</w:t>
          </w:r>
        </w:sdtContent>
      </w:sdt>
      <w:r w:rsidR="00292DBF">
        <w:t xml:space="preserve">  Who is responsible for making decisions regarding the commercialisation of agency IP? </w:t>
      </w:r>
    </w:p>
    <w:p w14:paraId="1953CAB1" w14:textId="3B4EA895" w:rsidR="00C55AAA" w:rsidRPr="00C55AAA" w:rsidRDefault="00C55AAA" w:rsidP="00C55AAA">
      <w:pPr>
        <w:pStyle w:val="BodyText"/>
        <w:shd w:val="clear" w:color="auto" w:fill="E3E8FD"/>
        <w:spacing w:before="60" w:after="80" w:line="259" w:lineRule="auto"/>
        <w:jc w:val="both"/>
        <w:rPr>
          <w:color w:val="041049" w:themeColor="accent1"/>
          <w:sz w:val="22"/>
          <w:szCs w:val="20"/>
        </w:rPr>
      </w:pPr>
      <w:r w:rsidRPr="00C55AAA">
        <w:rPr>
          <w:b/>
          <w:color w:val="041049" w:themeColor="accent1"/>
          <w:sz w:val="22"/>
          <w:szCs w:val="20"/>
        </w:rPr>
        <w:t>Section 6</w:t>
      </w:r>
      <w:r w:rsidRPr="00C55AAA">
        <w:rPr>
          <w:color w:val="041049" w:themeColor="accent1"/>
          <w:sz w:val="22"/>
          <w:szCs w:val="20"/>
        </w:rPr>
        <w:t xml:space="preserve"> of the </w:t>
      </w:r>
      <w:r w:rsidR="00ED46ED" w:rsidRPr="00612E61">
        <w:rPr>
          <w:b/>
          <w:color w:val="041049" w:themeColor="accent1"/>
          <w:sz w:val="22"/>
          <w:szCs w:val="20"/>
        </w:rPr>
        <w:t>WA Government IP Policy</w:t>
      </w:r>
      <w:r w:rsidRPr="00C55AAA">
        <w:rPr>
          <w:color w:val="041049" w:themeColor="accent1"/>
          <w:sz w:val="22"/>
          <w:szCs w:val="20"/>
        </w:rPr>
        <w:t xml:space="preserve"> provides guidance regarding the commencement and pursuit of commercialisation activities. The </w:t>
      </w:r>
      <w:hyperlink r:id="rId13" w:history="1">
        <w:r w:rsidRPr="0070222F">
          <w:rPr>
            <w:rStyle w:val="Hyperlink"/>
            <w:b/>
            <w:sz w:val="22"/>
            <w:szCs w:val="20"/>
          </w:rPr>
          <w:t>Guide for Commercialising WA Government IP</w:t>
        </w:r>
      </w:hyperlink>
      <w:bookmarkStart w:id="9" w:name="_GoBack"/>
      <w:bookmarkEnd w:id="9"/>
      <w:r w:rsidRPr="00C55AAA">
        <w:rPr>
          <w:color w:val="041049" w:themeColor="accent1"/>
          <w:sz w:val="22"/>
          <w:szCs w:val="20"/>
        </w:rPr>
        <w:t xml:space="preserve"> includes a suggested process that </w:t>
      </w:r>
      <w:proofErr w:type="gramStart"/>
      <w:r w:rsidRPr="00C55AAA">
        <w:rPr>
          <w:color w:val="041049" w:themeColor="accent1"/>
          <w:sz w:val="22"/>
          <w:szCs w:val="20"/>
        </w:rPr>
        <w:t>may be used</w:t>
      </w:r>
      <w:proofErr w:type="gramEnd"/>
      <w:r w:rsidRPr="00C55AAA">
        <w:rPr>
          <w:color w:val="041049" w:themeColor="accent1"/>
          <w:sz w:val="22"/>
          <w:szCs w:val="20"/>
        </w:rPr>
        <w:t xml:space="preserve"> as starting point to develop agency policies and procedures.  </w:t>
      </w:r>
    </w:p>
    <w:p w14:paraId="6CCCCEAA" w14:textId="77777777" w:rsidR="00292DBF" w:rsidRDefault="008D1ECE" w:rsidP="00292DBF">
      <w:pPr>
        <w:pStyle w:val="BodyText"/>
        <w:spacing w:before="120" w:after="160" w:line="259" w:lineRule="auto"/>
        <w:ind w:left="425" w:hanging="425"/>
        <w:jc w:val="both"/>
        <w:rPr>
          <w:b/>
          <w:color w:val="041049" w:themeColor="accent1"/>
        </w:rPr>
      </w:pPr>
      <w:sdt>
        <w:sdtPr>
          <w:id w:val="72865760"/>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w:t>
      </w:r>
      <w:r w:rsidR="00292DBF">
        <w:rPr>
          <w:b/>
          <w:color w:val="041049" w:themeColor="accent1"/>
        </w:rPr>
        <w:t xml:space="preserve">Include procedures </w:t>
      </w:r>
      <w:proofErr w:type="gramStart"/>
      <w:r w:rsidR="00292DBF" w:rsidRPr="00AA5B7C">
        <w:rPr>
          <w:b/>
          <w:color w:val="041049" w:themeColor="accent1"/>
        </w:rPr>
        <w:t>for</w:t>
      </w:r>
      <w:proofErr w:type="gramEnd"/>
      <w:r w:rsidR="00292DBF">
        <w:rPr>
          <w:b/>
          <w:color w:val="041049" w:themeColor="accent1"/>
        </w:rPr>
        <w:t>:</w:t>
      </w:r>
    </w:p>
    <w:p w14:paraId="082134B1" w14:textId="09BC3C5C" w:rsidR="00292DBF" w:rsidRDefault="008D1ECE" w:rsidP="00292DBF">
      <w:pPr>
        <w:pStyle w:val="BodyText"/>
        <w:spacing w:before="240" w:after="0" w:line="259" w:lineRule="auto"/>
        <w:ind w:left="850" w:hanging="425"/>
        <w:jc w:val="both"/>
        <w:rPr>
          <w:b/>
          <w:color w:val="041049" w:themeColor="accent1"/>
        </w:rPr>
      </w:pPr>
      <w:sdt>
        <w:sdtPr>
          <w:id w:val="129453220"/>
          <w14:checkbox>
            <w14:checked w14:val="0"/>
            <w14:checkedState w14:val="2612" w14:font="MS Gothic"/>
            <w14:uncheckedState w14:val="2610" w14:font="MS Gothic"/>
          </w14:checkbox>
        </w:sdtPr>
        <w:sdtEndPr/>
        <w:sdtContent>
          <w:r w:rsidR="00ED46ED">
            <w:rPr>
              <w:rFonts w:ascii="MS Gothic" w:eastAsia="MS Gothic" w:hAnsi="MS Gothic" w:hint="eastAsia"/>
            </w:rPr>
            <w:t>☐</w:t>
          </w:r>
        </w:sdtContent>
      </w:sdt>
      <w:r w:rsidR="00292DBF">
        <w:t xml:space="preserve">  </w:t>
      </w:r>
      <w:r w:rsidR="00292DBF">
        <w:rPr>
          <w:b/>
          <w:color w:val="041049" w:themeColor="accent1"/>
        </w:rPr>
        <w:t>H</w:t>
      </w:r>
      <w:r w:rsidR="00292DBF" w:rsidRPr="00AA5B7C">
        <w:rPr>
          <w:b/>
          <w:color w:val="041049" w:themeColor="accent1"/>
        </w:rPr>
        <w:t xml:space="preserve">andling </w:t>
      </w:r>
      <w:r w:rsidR="00292DBF">
        <w:rPr>
          <w:b/>
          <w:color w:val="041049" w:themeColor="accent1"/>
        </w:rPr>
        <w:t xml:space="preserve">the </w:t>
      </w:r>
      <w:r w:rsidR="00292DBF" w:rsidRPr="00AA5B7C">
        <w:rPr>
          <w:b/>
          <w:color w:val="041049" w:themeColor="accent1"/>
        </w:rPr>
        <w:t>net proceeds of commercialisation</w:t>
      </w:r>
      <w:r w:rsidR="00292DBF">
        <w:rPr>
          <w:b/>
          <w:color w:val="041049" w:themeColor="accent1"/>
        </w:rPr>
        <w:t>.</w:t>
      </w:r>
    </w:p>
    <w:p w14:paraId="7CEF112F" w14:textId="77777777" w:rsidR="00292DBF" w:rsidRPr="00292DBF" w:rsidRDefault="00292DBF" w:rsidP="00292DBF">
      <w:pPr>
        <w:pStyle w:val="BodyText"/>
        <w:spacing w:before="40"/>
        <w:ind w:left="850"/>
        <w:rPr>
          <w:b/>
          <w:color w:val="041049" w:themeColor="accent1"/>
        </w:rPr>
      </w:pPr>
      <w:r w:rsidRPr="00292DBF">
        <w:rPr>
          <w:i/>
          <w:color w:val="041049" w:themeColor="accent1"/>
          <w:sz w:val="20"/>
        </w:rPr>
        <w:t xml:space="preserve">Consideration: this may include any options for benefit sharing arrangements with the inventor(s) of the IP and the business </w:t>
      </w:r>
      <w:proofErr w:type="gramStart"/>
      <w:r w:rsidRPr="00292DBF">
        <w:rPr>
          <w:i/>
          <w:color w:val="041049" w:themeColor="accent1"/>
          <w:sz w:val="20"/>
        </w:rPr>
        <w:t>unit which</w:t>
      </w:r>
      <w:proofErr w:type="gramEnd"/>
      <w:r w:rsidRPr="00292DBF">
        <w:rPr>
          <w:i/>
          <w:color w:val="041049" w:themeColor="accent1"/>
          <w:sz w:val="20"/>
        </w:rPr>
        <w:t xml:space="preserve"> originated the IP. </w:t>
      </w:r>
    </w:p>
    <w:p w14:paraId="7A7342B0" w14:textId="7580E2AC" w:rsidR="00292DBF" w:rsidRPr="00AA5B7C" w:rsidRDefault="008D1ECE" w:rsidP="00292DBF">
      <w:pPr>
        <w:pStyle w:val="BodyText"/>
        <w:spacing w:before="240" w:after="160" w:line="259" w:lineRule="auto"/>
        <w:ind w:left="850" w:hanging="425"/>
        <w:jc w:val="both"/>
        <w:rPr>
          <w:b/>
          <w:color w:val="041049" w:themeColor="accent1"/>
        </w:rPr>
      </w:pPr>
      <w:sdt>
        <w:sdtPr>
          <w:id w:val="2088649464"/>
          <w14:checkbox>
            <w14:checked w14:val="0"/>
            <w14:checkedState w14:val="2612" w14:font="MS Gothic"/>
            <w14:uncheckedState w14:val="2610" w14:font="MS Gothic"/>
          </w14:checkbox>
        </w:sdtPr>
        <w:sdtEndPr/>
        <w:sdtContent>
          <w:r w:rsidR="00ED46ED">
            <w:rPr>
              <w:rFonts w:ascii="MS Gothic" w:eastAsia="MS Gothic" w:hAnsi="MS Gothic" w:hint="eastAsia"/>
            </w:rPr>
            <w:t>☐</w:t>
          </w:r>
        </w:sdtContent>
      </w:sdt>
      <w:r w:rsidR="00292DBF">
        <w:t xml:space="preserve">  </w:t>
      </w:r>
      <w:r w:rsidR="00292DBF">
        <w:rPr>
          <w:b/>
          <w:color w:val="041049" w:themeColor="accent1"/>
        </w:rPr>
        <w:t>S</w:t>
      </w:r>
      <w:r w:rsidR="00292DBF" w:rsidRPr="00AA5B7C">
        <w:rPr>
          <w:b/>
          <w:color w:val="041049" w:themeColor="accent1"/>
        </w:rPr>
        <w:t xml:space="preserve">eeking </w:t>
      </w:r>
      <w:r w:rsidR="00292DBF">
        <w:rPr>
          <w:b/>
          <w:color w:val="041049" w:themeColor="accent1"/>
        </w:rPr>
        <w:t xml:space="preserve">a Treasurer’s authorisation to retain revenue under the </w:t>
      </w:r>
      <w:r w:rsidR="00292DBF" w:rsidRPr="00AA5B7C">
        <w:rPr>
          <w:b/>
          <w:color w:val="041049" w:themeColor="accent1"/>
        </w:rPr>
        <w:t xml:space="preserve">Financial Management (Net Appropriations) Determination 2022 </w:t>
      </w:r>
      <w:r w:rsidR="00292DBF">
        <w:rPr>
          <w:b/>
          <w:color w:val="041049" w:themeColor="accent1"/>
        </w:rPr>
        <w:t>when required.</w:t>
      </w:r>
    </w:p>
    <w:p w14:paraId="32D25BA4" w14:textId="77777777" w:rsidR="00292DBF" w:rsidRDefault="00292DBF" w:rsidP="00C55AAA">
      <w:pPr>
        <w:spacing w:before="360" w:after="200" w:line="259" w:lineRule="auto"/>
        <w:jc w:val="both"/>
        <w:outlineLvl w:val="3"/>
        <w:rPr>
          <w:rFonts w:ascii="Arial" w:eastAsia="Arial" w:hAnsi="Arial" w:cs="Times New Roman"/>
          <w:b/>
          <w:color w:val="041049"/>
          <w:sz w:val="28"/>
          <w:szCs w:val="26"/>
          <w:lang w:val="en-GB"/>
        </w:rPr>
      </w:pPr>
      <w:r>
        <w:rPr>
          <w:rFonts w:ascii="Arial" w:eastAsia="Arial" w:hAnsi="Arial" w:cs="Times New Roman"/>
          <w:b/>
          <w:color w:val="041049"/>
          <w:sz w:val="28"/>
          <w:szCs w:val="26"/>
          <w:lang w:val="en-GB"/>
        </w:rPr>
        <w:t>Disposals</w:t>
      </w:r>
    </w:p>
    <w:p w14:paraId="4B12663D" w14:textId="23679E87" w:rsidR="00292DBF" w:rsidRDefault="008D1ECE" w:rsidP="00292DBF">
      <w:pPr>
        <w:pStyle w:val="BodyText"/>
        <w:spacing w:before="120" w:after="160" w:line="259" w:lineRule="auto"/>
        <w:ind w:left="425" w:hanging="425"/>
        <w:jc w:val="both"/>
      </w:pPr>
      <w:sdt>
        <w:sdtPr>
          <w:id w:val="1683172846"/>
          <w14:checkbox>
            <w14:checked w14:val="0"/>
            <w14:checkedState w14:val="2612" w14:font="MS Gothic"/>
            <w14:uncheckedState w14:val="2610" w14:font="MS Gothic"/>
          </w14:checkbox>
        </w:sdtPr>
        <w:sdtEndPr/>
        <w:sdtContent>
          <w:r w:rsidR="00ED46ED">
            <w:rPr>
              <w:rFonts w:ascii="MS Gothic" w:eastAsia="MS Gothic" w:hAnsi="MS Gothic" w:hint="eastAsia"/>
            </w:rPr>
            <w:t>☐</w:t>
          </w:r>
        </w:sdtContent>
      </w:sdt>
      <w:r w:rsidR="00292DBF">
        <w:t xml:space="preserve">  Outline the process for disposing of agency IP assets. Issues to consider may include:</w:t>
      </w:r>
    </w:p>
    <w:p w14:paraId="1BE90CD3" w14:textId="19E024BA" w:rsidR="00292DBF" w:rsidRDefault="008D1ECE" w:rsidP="00292DBF">
      <w:pPr>
        <w:pStyle w:val="BodyText"/>
        <w:spacing w:before="120" w:after="160" w:line="259" w:lineRule="auto"/>
        <w:ind w:left="851" w:hanging="426"/>
        <w:jc w:val="both"/>
      </w:pPr>
      <w:sdt>
        <w:sdtPr>
          <w:id w:val="1702516736"/>
          <w14:checkbox>
            <w14:checked w14:val="0"/>
            <w14:checkedState w14:val="2612" w14:font="MS Gothic"/>
            <w14:uncheckedState w14:val="2610" w14:font="MS Gothic"/>
          </w14:checkbox>
        </w:sdtPr>
        <w:sdtEndPr/>
        <w:sdtContent>
          <w:r w:rsidR="00ED46ED">
            <w:rPr>
              <w:rFonts w:ascii="MS Gothic" w:eastAsia="MS Gothic" w:hAnsi="MS Gothic" w:hint="eastAsia"/>
            </w:rPr>
            <w:t>☐</w:t>
          </w:r>
        </w:sdtContent>
      </w:sdt>
      <w:r w:rsidR="00292DBF">
        <w:t xml:space="preserve">  </w:t>
      </w:r>
      <w:proofErr w:type="gramStart"/>
      <w:r w:rsidR="00292DBF">
        <w:t>When will the disposal of IP be considered</w:t>
      </w:r>
      <w:proofErr w:type="gramEnd"/>
      <w:r w:rsidR="00292DBF">
        <w:t>.</w:t>
      </w:r>
    </w:p>
    <w:p w14:paraId="569DCC40" w14:textId="4785667C" w:rsidR="00292DBF" w:rsidRDefault="008D1ECE" w:rsidP="00292DBF">
      <w:pPr>
        <w:pStyle w:val="BodyText"/>
        <w:spacing w:before="120" w:after="160" w:line="259" w:lineRule="auto"/>
        <w:ind w:left="851" w:hanging="426"/>
        <w:jc w:val="both"/>
      </w:pPr>
      <w:sdt>
        <w:sdtPr>
          <w:id w:val="1423913532"/>
          <w14:checkbox>
            <w14:checked w14:val="0"/>
            <w14:checkedState w14:val="2612" w14:font="MS Gothic"/>
            <w14:uncheckedState w14:val="2610" w14:font="MS Gothic"/>
          </w14:checkbox>
        </w:sdtPr>
        <w:sdtEndPr/>
        <w:sdtContent>
          <w:r w:rsidR="00ED46ED">
            <w:rPr>
              <w:rFonts w:ascii="MS Gothic" w:eastAsia="MS Gothic" w:hAnsi="MS Gothic" w:hint="eastAsia"/>
            </w:rPr>
            <w:t>☐</w:t>
          </w:r>
        </w:sdtContent>
      </w:sdt>
      <w:r w:rsidR="00292DBF">
        <w:t xml:space="preserve">  What factors </w:t>
      </w:r>
      <w:proofErr w:type="gramStart"/>
      <w:r w:rsidR="00292DBF">
        <w:t>will be considered</w:t>
      </w:r>
      <w:proofErr w:type="gramEnd"/>
      <w:r w:rsidR="00292DBF">
        <w:t xml:space="preserve"> as part of the assessment process.</w:t>
      </w:r>
    </w:p>
    <w:p w14:paraId="7EB185AB" w14:textId="43003BAF" w:rsidR="00292DBF" w:rsidRDefault="008D1ECE" w:rsidP="00292DBF">
      <w:pPr>
        <w:pStyle w:val="BodyText"/>
        <w:spacing w:before="120" w:after="160" w:line="259" w:lineRule="auto"/>
        <w:ind w:left="851" w:hanging="426"/>
        <w:jc w:val="both"/>
      </w:pPr>
      <w:sdt>
        <w:sdtPr>
          <w:id w:val="1035932365"/>
          <w14:checkbox>
            <w14:checked w14:val="0"/>
            <w14:checkedState w14:val="2612" w14:font="MS Gothic"/>
            <w14:uncheckedState w14:val="2610" w14:font="MS Gothic"/>
          </w14:checkbox>
        </w:sdtPr>
        <w:sdtEndPr/>
        <w:sdtContent>
          <w:r w:rsidR="00ED46ED">
            <w:rPr>
              <w:rFonts w:ascii="MS Gothic" w:eastAsia="MS Gothic" w:hAnsi="MS Gothic" w:hint="eastAsia"/>
            </w:rPr>
            <w:t>☐</w:t>
          </w:r>
        </w:sdtContent>
      </w:sdt>
      <w:r w:rsidR="00292DBF">
        <w:t xml:space="preserve">  Who is responsible for making decisions regarding the disposal of IP assets?</w:t>
      </w:r>
    </w:p>
    <w:p w14:paraId="7B61E9D4" w14:textId="21D924D9" w:rsidR="00292DBF" w:rsidRDefault="008D1ECE" w:rsidP="00292DBF">
      <w:pPr>
        <w:pStyle w:val="BodyText"/>
        <w:spacing w:before="120" w:after="160" w:line="259" w:lineRule="auto"/>
        <w:ind w:left="851" w:hanging="426"/>
        <w:jc w:val="both"/>
      </w:pPr>
      <w:sdt>
        <w:sdtPr>
          <w:id w:val="-1951929990"/>
          <w14:checkbox>
            <w14:checked w14:val="0"/>
            <w14:checkedState w14:val="2612" w14:font="MS Gothic"/>
            <w14:uncheckedState w14:val="2610" w14:font="MS Gothic"/>
          </w14:checkbox>
        </w:sdtPr>
        <w:sdtEndPr/>
        <w:sdtContent>
          <w:r w:rsidR="0092356B">
            <w:rPr>
              <w:rFonts w:ascii="MS Gothic" w:eastAsia="MS Gothic" w:hAnsi="MS Gothic" w:hint="eastAsia"/>
            </w:rPr>
            <w:t>☐</w:t>
          </w:r>
        </w:sdtContent>
      </w:sdt>
      <w:r w:rsidR="00292DBF">
        <w:t xml:space="preserve">  References to any of relevant agency policies and guidelines related to the disposal of assets. </w:t>
      </w:r>
    </w:p>
    <w:p w14:paraId="61A1F139" w14:textId="09AFC7AA" w:rsidR="00C55AAA" w:rsidRPr="00C55AAA" w:rsidRDefault="00C55AAA" w:rsidP="00C55AAA">
      <w:pPr>
        <w:pStyle w:val="BodyText"/>
        <w:shd w:val="clear" w:color="auto" w:fill="E3E8FD"/>
        <w:spacing w:before="60" w:after="80" w:line="259" w:lineRule="auto"/>
        <w:jc w:val="both"/>
        <w:rPr>
          <w:color w:val="041049" w:themeColor="accent1"/>
          <w:sz w:val="22"/>
          <w:szCs w:val="20"/>
        </w:rPr>
      </w:pPr>
      <w:r w:rsidRPr="00C55AAA">
        <w:rPr>
          <w:b/>
          <w:color w:val="041049" w:themeColor="accent1"/>
          <w:sz w:val="22"/>
          <w:szCs w:val="20"/>
        </w:rPr>
        <w:t>Section 7</w:t>
      </w:r>
      <w:r w:rsidRPr="00C55AAA">
        <w:rPr>
          <w:color w:val="041049" w:themeColor="accent1"/>
          <w:sz w:val="22"/>
          <w:szCs w:val="20"/>
        </w:rPr>
        <w:t xml:space="preserve"> of the </w:t>
      </w:r>
      <w:r w:rsidR="00ED46ED" w:rsidRPr="00612E61">
        <w:rPr>
          <w:b/>
          <w:color w:val="041049" w:themeColor="accent1"/>
          <w:sz w:val="22"/>
          <w:szCs w:val="20"/>
        </w:rPr>
        <w:t>WA Government IP Policy</w:t>
      </w:r>
      <w:r w:rsidRPr="00C55AAA">
        <w:rPr>
          <w:color w:val="041049" w:themeColor="accent1"/>
          <w:sz w:val="22"/>
          <w:szCs w:val="20"/>
        </w:rPr>
        <w:t xml:space="preserve"> provides guidance regarding the disposal of IP assets.  </w:t>
      </w:r>
    </w:p>
    <w:p w14:paraId="273EE24E" w14:textId="77777777" w:rsidR="00C55AAA" w:rsidRDefault="00C55AAA">
      <w:pPr>
        <w:spacing w:after="200"/>
        <w:rPr>
          <w:rFonts w:ascii="Arial" w:eastAsia="Arial" w:hAnsi="Arial" w:cs="Times New Roman"/>
          <w:b/>
          <w:color w:val="041049"/>
          <w:sz w:val="28"/>
          <w:szCs w:val="26"/>
          <w:lang w:val="en-GB"/>
        </w:rPr>
      </w:pPr>
      <w:r>
        <w:rPr>
          <w:rFonts w:ascii="Arial" w:eastAsia="Arial" w:hAnsi="Arial" w:cs="Times New Roman"/>
          <w:b/>
          <w:color w:val="041049"/>
          <w:sz w:val="28"/>
          <w:szCs w:val="26"/>
          <w:lang w:val="en-GB"/>
        </w:rPr>
        <w:br w:type="page"/>
      </w:r>
    </w:p>
    <w:p w14:paraId="3A043186" w14:textId="18343E18" w:rsidR="00292DBF" w:rsidRPr="00BA50D4" w:rsidRDefault="00292DBF" w:rsidP="00C55AAA">
      <w:pPr>
        <w:spacing w:before="360" w:after="200" w:line="259" w:lineRule="auto"/>
        <w:jc w:val="both"/>
        <w:outlineLvl w:val="3"/>
        <w:rPr>
          <w:rFonts w:ascii="Arial" w:eastAsia="Arial" w:hAnsi="Arial" w:cs="Times New Roman"/>
          <w:b/>
          <w:color w:val="041049"/>
          <w:sz w:val="28"/>
          <w:szCs w:val="26"/>
          <w:lang w:val="en-GB"/>
        </w:rPr>
      </w:pPr>
      <w:r w:rsidRPr="00BA50D4">
        <w:rPr>
          <w:rFonts w:ascii="Arial" w:eastAsia="Arial" w:hAnsi="Arial" w:cs="Times New Roman"/>
          <w:b/>
          <w:color w:val="041049"/>
          <w:sz w:val="28"/>
          <w:szCs w:val="26"/>
          <w:lang w:val="en-GB"/>
        </w:rPr>
        <w:lastRenderedPageBreak/>
        <w:t>Training and employee support</w:t>
      </w:r>
    </w:p>
    <w:p w14:paraId="4DECC1AA" w14:textId="2289C808" w:rsidR="00292DBF" w:rsidRDefault="008D1ECE" w:rsidP="00292DBF">
      <w:pPr>
        <w:pStyle w:val="BodyText"/>
        <w:spacing w:before="120" w:after="160" w:line="259" w:lineRule="auto"/>
        <w:ind w:left="425" w:hanging="425"/>
        <w:jc w:val="both"/>
        <w:rPr>
          <w:b/>
          <w:color w:val="041049" w:themeColor="accent1"/>
        </w:rPr>
      </w:pPr>
      <w:sdt>
        <w:sdtPr>
          <w:id w:val="1661352287"/>
          <w14:checkbox>
            <w14:checked w14:val="0"/>
            <w14:checkedState w14:val="2612" w14:font="MS Gothic"/>
            <w14:uncheckedState w14:val="2610" w14:font="MS Gothic"/>
          </w14:checkbox>
        </w:sdtPr>
        <w:sdtEndPr/>
        <w:sdtContent>
          <w:r w:rsidR="00C55AAA">
            <w:rPr>
              <w:rFonts w:ascii="MS Gothic" w:eastAsia="MS Gothic" w:hAnsi="MS Gothic" w:hint="eastAsia"/>
            </w:rPr>
            <w:t>☐</w:t>
          </w:r>
        </w:sdtContent>
      </w:sdt>
      <w:r w:rsidR="00292DBF">
        <w:t xml:space="preserve">  </w:t>
      </w:r>
      <w:r w:rsidR="00292DBF">
        <w:rPr>
          <w:b/>
          <w:color w:val="041049" w:themeColor="accent1"/>
        </w:rPr>
        <w:t xml:space="preserve">Include procedures to ensure employees are aware of their obligations in relation to IP and confidential information. </w:t>
      </w:r>
    </w:p>
    <w:p w14:paraId="0ECE6463" w14:textId="0EBFDCF1" w:rsidR="00292DBF" w:rsidRDefault="008D1ECE" w:rsidP="00292DBF">
      <w:pPr>
        <w:pStyle w:val="BodyText"/>
        <w:spacing w:before="120" w:after="160" w:line="259" w:lineRule="auto"/>
        <w:ind w:left="425" w:hanging="425"/>
        <w:jc w:val="both"/>
      </w:pPr>
      <w:sdt>
        <w:sdtPr>
          <w:id w:val="1054746387"/>
          <w14:checkbox>
            <w14:checked w14:val="0"/>
            <w14:checkedState w14:val="2612" w14:font="MS Gothic"/>
            <w14:uncheckedState w14:val="2610" w14:font="MS Gothic"/>
          </w14:checkbox>
        </w:sdtPr>
        <w:sdtEndPr/>
        <w:sdtContent>
          <w:r w:rsidR="00292DBF">
            <w:rPr>
              <w:rFonts w:ascii="MS Gothic" w:eastAsia="MS Gothic" w:hAnsi="MS Gothic" w:hint="eastAsia"/>
            </w:rPr>
            <w:t>☐</w:t>
          </w:r>
        </w:sdtContent>
      </w:sdt>
      <w:r w:rsidR="00292DBF">
        <w:t xml:space="preserve">  Set out training requirements for agency employees.</w:t>
      </w:r>
    </w:p>
    <w:p w14:paraId="631C6EA5" w14:textId="77777777" w:rsidR="00C55AAA" w:rsidRPr="00C55AAA" w:rsidRDefault="00C55AAA" w:rsidP="00C55AAA">
      <w:pPr>
        <w:pStyle w:val="BodyText"/>
        <w:shd w:val="clear" w:color="auto" w:fill="E3E8FD"/>
        <w:spacing w:after="120"/>
        <w:jc w:val="both"/>
        <w:rPr>
          <w:color w:val="041049" w:themeColor="accent1"/>
          <w:sz w:val="22"/>
          <w:szCs w:val="20"/>
        </w:rPr>
      </w:pPr>
      <w:r w:rsidRPr="00C55AAA">
        <w:rPr>
          <w:color w:val="041049" w:themeColor="accent1"/>
          <w:sz w:val="22"/>
          <w:szCs w:val="20"/>
        </w:rPr>
        <w:t>The WA Government IP Policy requires agencies to:</w:t>
      </w:r>
    </w:p>
    <w:p w14:paraId="54CD9804" w14:textId="77777777" w:rsidR="00C55AAA" w:rsidRPr="00C55AAA" w:rsidRDefault="00C55AAA" w:rsidP="00C55AAA">
      <w:pPr>
        <w:pStyle w:val="BodyText"/>
        <w:numPr>
          <w:ilvl w:val="0"/>
          <w:numId w:val="34"/>
        </w:numPr>
        <w:shd w:val="clear" w:color="auto" w:fill="E3E8FD"/>
        <w:spacing w:after="120" w:line="259" w:lineRule="auto"/>
        <w:ind w:left="425" w:hanging="425"/>
        <w:jc w:val="both"/>
        <w:rPr>
          <w:color w:val="041049" w:themeColor="accent1"/>
          <w:sz w:val="22"/>
          <w:szCs w:val="20"/>
        </w:rPr>
      </w:pPr>
      <w:r w:rsidRPr="00C55AAA">
        <w:rPr>
          <w:color w:val="041049" w:themeColor="accent1"/>
          <w:sz w:val="22"/>
          <w:szCs w:val="20"/>
        </w:rPr>
        <w:t>Provide suitable training to employees regarding IP related issues;</w:t>
      </w:r>
    </w:p>
    <w:p w14:paraId="54EC5D59" w14:textId="77777777" w:rsidR="00C55AAA" w:rsidRPr="00C55AAA" w:rsidRDefault="00C55AAA" w:rsidP="00C55AAA">
      <w:pPr>
        <w:pStyle w:val="BodyText"/>
        <w:numPr>
          <w:ilvl w:val="0"/>
          <w:numId w:val="34"/>
        </w:numPr>
        <w:shd w:val="clear" w:color="auto" w:fill="E3E8FD"/>
        <w:spacing w:after="120" w:line="259" w:lineRule="auto"/>
        <w:ind w:left="425" w:hanging="425"/>
        <w:jc w:val="both"/>
        <w:rPr>
          <w:color w:val="041049" w:themeColor="accent1"/>
          <w:sz w:val="22"/>
          <w:szCs w:val="20"/>
        </w:rPr>
      </w:pPr>
      <w:r w:rsidRPr="00C55AAA">
        <w:rPr>
          <w:color w:val="041049" w:themeColor="accent1"/>
          <w:sz w:val="22"/>
          <w:szCs w:val="20"/>
        </w:rPr>
        <w:t>Disseminate information to employees relating to the State’s ownership of IP and their obligations of confidence related to IP development and use.</w:t>
      </w:r>
    </w:p>
    <w:p w14:paraId="718BB5AE" w14:textId="720F6D98" w:rsidR="00C55AAA" w:rsidRPr="00C55AAA" w:rsidRDefault="00C55AAA" w:rsidP="00C55AAA">
      <w:pPr>
        <w:pStyle w:val="BodyText"/>
        <w:numPr>
          <w:ilvl w:val="0"/>
          <w:numId w:val="34"/>
        </w:numPr>
        <w:shd w:val="clear" w:color="auto" w:fill="E3E8FD"/>
        <w:spacing w:after="120" w:line="259" w:lineRule="auto"/>
        <w:ind w:left="425" w:hanging="425"/>
        <w:jc w:val="both"/>
        <w:rPr>
          <w:color w:val="041049" w:themeColor="accent1"/>
          <w:sz w:val="22"/>
          <w:szCs w:val="20"/>
        </w:rPr>
      </w:pPr>
      <w:r w:rsidRPr="00C55AAA">
        <w:rPr>
          <w:color w:val="041049" w:themeColor="accent1"/>
          <w:sz w:val="22"/>
          <w:szCs w:val="20"/>
        </w:rPr>
        <w:t>Implement measures to ensure compliance with this Policy, any enabling legislation, other Government policies and any agency level policies and procedures.</w:t>
      </w:r>
    </w:p>
    <w:p w14:paraId="66BEFE02" w14:textId="1019C385" w:rsidR="00292DBF" w:rsidRDefault="00292DBF" w:rsidP="00C55AAA">
      <w:pPr>
        <w:spacing w:before="360" w:after="200" w:line="259" w:lineRule="auto"/>
        <w:jc w:val="both"/>
        <w:outlineLvl w:val="3"/>
        <w:rPr>
          <w:rFonts w:ascii="Arial" w:eastAsia="Arial" w:hAnsi="Arial" w:cs="Times New Roman"/>
          <w:b/>
          <w:color w:val="041049"/>
          <w:sz w:val="28"/>
          <w:szCs w:val="26"/>
          <w:lang w:val="en-GB"/>
        </w:rPr>
      </w:pPr>
      <w:r w:rsidRPr="00BA50D4">
        <w:rPr>
          <w:rFonts w:ascii="Arial" w:eastAsia="Arial" w:hAnsi="Arial" w:cs="Times New Roman"/>
          <w:b/>
          <w:color w:val="041049"/>
          <w:sz w:val="28"/>
          <w:szCs w:val="26"/>
          <w:lang w:val="en-GB"/>
        </w:rPr>
        <w:t>Recognising employee contributions</w:t>
      </w:r>
    </w:p>
    <w:p w14:paraId="476E7771" w14:textId="4F116ACC" w:rsidR="00C55AAA" w:rsidRPr="00C55AAA" w:rsidRDefault="00C55AAA" w:rsidP="00C55AAA">
      <w:pPr>
        <w:pStyle w:val="BodyText"/>
        <w:pBdr>
          <w:top w:val="single" w:sz="8" w:space="1" w:color="041049" w:themeColor="accent1"/>
          <w:left w:val="single" w:sz="8" w:space="4" w:color="041049" w:themeColor="accent1"/>
          <w:bottom w:val="single" w:sz="8" w:space="1" w:color="041049" w:themeColor="accent1"/>
          <w:right w:val="single" w:sz="8" w:space="4" w:color="041049" w:themeColor="accent1"/>
        </w:pBdr>
        <w:spacing w:after="120"/>
        <w:jc w:val="both"/>
        <w:rPr>
          <w:b/>
          <w:color w:val="041049" w:themeColor="accent1"/>
          <w:szCs w:val="20"/>
        </w:rPr>
      </w:pPr>
      <w:r w:rsidRPr="00C55AAA">
        <w:rPr>
          <w:b/>
          <w:color w:val="041049" w:themeColor="accent1"/>
          <w:szCs w:val="20"/>
        </w:rPr>
        <w:t>The implementation of Section 8 of the WA Government IP Policy relating to employee recognition for IP creation is at the discretion of the agency.</w:t>
      </w:r>
    </w:p>
    <w:p w14:paraId="3B330C7D" w14:textId="6F9B1281" w:rsidR="00292DBF" w:rsidRPr="00C55AAA" w:rsidRDefault="008D1ECE" w:rsidP="00292DBF">
      <w:pPr>
        <w:pStyle w:val="Bullet1"/>
        <w:numPr>
          <w:ilvl w:val="0"/>
          <w:numId w:val="0"/>
        </w:numPr>
        <w:ind w:left="425" w:hanging="425"/>
        <w:contextualSpacing w:val="0"/>
        <w:rPr>
          <w:sz w:val="24"/>
        </w:rPr>
      </w:pPr>
      <w:sdt>
        <w:sdtPr>
          <w:rPr>
            <w:sz w:val="24"/>
          </w:rPr>
          <w:id w:val="1553260637"/>
          <w14:checkbox>
            <w14:checked w14:val="0"/>
            <w14:checkedState w14:val="2612" w14:font="MS Gothic"/>
            <w14:uncheckedState w14:val="2610" w14:font="MS Gothic"/>
          </w14:checkbox>
        </w:sdtPr>
        <w:sdtEndPr/>
        <w:sdtContent>
          <w:r w:rsidR="00C55AAA">
            <w:rPr>
              <w:rFonts w:ascii="MS Gothic" w:eastAsia="MS Gothic" w:hAnsi="MS Gothic" w:hint="eastAsia"/>
              <w:sz w:val="24"/>
            </w:rPr>
            <w:t>☐</w:t>
          </w:r>
        </w:sdtContent>
      </w:sdt>
      <w:r w:rsidR="00292DBF" w:rsidRPr="00C55AAA">
        <w:rPr>
          <w:sz w:val="24"/>
        </w:rPr>
        <w:t xml:space="preserve">   The agency may develop guidelines, procedures and policies to provide for non-monetary rewards and incentives, which comply with the intent and principles of the WA Government IP Policy.</w:t>
      </w:r>
    </w:p>
    <w:p w14:paraId="3072E6B0" w14:textId="77777777" w:rsidR="00292DBF" w:rsidRPr="00C55AAA" w:rsidRDefault="008D1ECE" w:rsidP="00292DBF">
      <w:pPr>
        <w:pStyle w:val="Bullet1"/>
        <w:numPr>
          <w:ilvl w:val="0"/>
          <w:numId w:val="0"/>
        </w:numPr>
        <w:ind w:left="425" w:hanging="425"/>
        <w:contextualSpacing w:val="0"/>
        <w:rPr>
          <w:sz w:val="24"/>
        </w:rPr>
      </w:pPr>
      <w:sdt>
        <w:sdtPr>
          <w:rPr>
            <w:sz w:val="24"/>
          </w:rPr>
          <w:id w:val="-1116220207"/>
          <w14:checkbox>
            <w14:checked w14:val="0"/>
            <w14:checkedState w14:val="2612" w14:font="MS Gothic"/>
            <w14:uncheckedState w14:val="2610" w14:font="MS Gothic"/>
          </w14:checkbox>
        </w:sdtPr>
        <w:sdtEndPr/>
        <w:sdtContent>
          <w:r w:rsidR="00292DBF" w:rsidRPr="00C55AAA">
            <w:rPr>
              <w:rFonts w:ascii="MS Gothic" w:eastAsia="MS Gothic" w:hAnsi="MS Gothic" w:hint="eastAsia"/>
              <w:sz w:val="24"/>
            </w:rPr>
            <w:t>☐</w:t>
          </w:r>
        </w:sdtContent>
      </w:sdt>
      <w:r w:rsidR="00292DBF" w:rsidRPr="00C55AAA">
        <w:rPr>
          <w:sz w:val="24"/>
        </w:rPr>
        <w:t xml:space="preserve">   The requirements for the payment of any monetary rewards are set out in Section 8 of the WA Government IP Policy. The agency may adopt internal policies and procedures to support the implementation of these requirements.</w:t>
      </w:r>
    </w:p>
    <w:p w14:paraId="4308A828" w14:textId="3CC1D6C6" w:rsidR="00292DBF" w:rsidRDefault="008D1ECE" w:rsidP="00292DBF">
      <w:pPr>
        <w:pStyle w:val="Bullet1"/>
        <w:numPr>
          <w:ilvl w:val="0"/>
          <w:numId w:val="0"/>
        </w:numPr>
        <w:ind w:left="425" w:hanging="425"/>
        <w:contextualSpacing w:val="0"/>
        <w:rPr>
          <w:sz w:val="24"/>
        </w:rPr>
      </w:pPr>
      <w:sdt>
        <w:sdtPr>
          <w:rPr>
            <w:sz w:val="24"/>
          </w:rPr>
          <w:id w:val="-945621834"/>
          <w14:checkbox>
            <w14:checked w14:val="0"/>
            <w14:checkedState w14:val="2612" w14:font="MS Gothic"/>
            <w14:uncheckedState w14:val="2610" w14:font="MS Gothic"/>
          </w14:checkbox>
        </w:sdtPr>
        <w:sdtEndPr/>
        <w:sdtContent>
          <w:r w:rsidR="00292DBF" w:rsidRPr="00C55AAA">
            <w:rPr>
              <w:rFonts w:ascii="MS Gothic" w:eastAsia="MS Gothic" w:hAnsi="MS Gothic" w:hint="eastAsia"/>
              <w:sz w:val="24"/>
            </w:rPr>
            <w:t>☐</w:t>
          </w:r>
        </w:sdtContent>
      </w:sdt>
      <w:r w:rsidR="00292DBF" w:rsidRPr="00C55AAA">
        <w:rPr>
          <w:sz w:val="24"/>
        </w:rPr>
        <w:t xml:space="preserve">   The agency may decide to address employee rewards in the IP policy or as a stand-alone document.</w:t>
      </w:r>
    </w:p>
    <w:p w14:paraId="327F1674" w14:textId="77777777" w:rsidR="00C55AAA" w:rsidRPr="00C55AAA" w:rsidRDefault="00C55AAA" w:rsidP="00C55AAA">
      <w:pPr>
        <w:shd w:val="clear" w:color="auto" w:fill="E3E8FD"/>
        <w:spacing w:before="120" w:after="120" w:line="259" w:lineRule="auto"/>
        <w:rPr>
          <w:b/>
          <w:color w:val="041049" w:themeColor="accent1"/>
          <w:sz w:val="22"/>
          <w:szCs w:val="20"/>
        </w:rPr>
      </w:pPr>
      <w:r w:rsidRPr="00C55AAA">
        <w:rPr>
          <w:b/>
          <w:color w:val="041049" w:themeColor="accent1"/>
          <w:sz w:val="22"/>
          <w:szCs w:val="20"/>
        </w:rPr>
        <w:t>Further information</w:t>
      </w:r>
    </w:p>
    <w:p w14:paraId="7F534C08" w14:textId="57A750F4" w:rsidR="00C55AAA" w:rsidRPr="00C55AAA" w:rsidRDefault="00ED46ED" w:rsidP="00C55AAA">
      <w:pPr>
        <w:pStyle w:val="BodyText"/>
        <w:numPr>
          <w:ilvl w:val="0"/>
          <w:numId w:val="33"/>
        </w:numPr>
        <w:shd w:val="clear" w:color="auto" w:fill="E3E8FD"/>
        <w:spacing w:before="60" w:after="80" w:line="259" w:lineRule="auto"/>
        <w:ind w:left="425" w:hanging="425"/>
        <w:jc w:val="both"/>
        <w:rPr>
          <w:color w:val="041049" w:themeColor="accent1"/>
          <w:sz w:val="22"/>
          <w:szCs w:val="20"/>
        </w:rPr>
      </w:pPr>
      <w:r w:rsidRPr="00612E61">
        <w:rPr>
          <w:b/>
          <w:color w:val="041049" w:themeColor="accent1"/>
          <w:sz w:val="22"/>
          <w:szCs w:val="20"/>
        </w:rPr>
        <w:t>WA Government IP Policy</w:t>
      </w:r>
      <w:r w:rsidR="00C55AAA" w:rsidRPr="00C55AAA">
        <w:rPr>
          <w:b/>
          <w:color w:val="041049" w:themeColor="accent1"/>
          <w:sz w:val="22"/>
          <w:szCs w:val="20"/>
        </w:rPr>
        <w:t>: Section 8</w:t>
      </w:r>
      <w:r w:rsidR="00C55AAA" w:rsidRPr="00C55AAA">
        <w:rPr>
          <w:color w:val="041049" w:themeColor="accent1"/>
          <w:sz w:val="22"/>
          <w:szCs w:val="20"/>
        </w:rPr>
        <w:t xml:space="preserve"> – Employee recognition for IP Creation.</w:t>
      </w:r>
    </w:p>
    <w:p w14:paraId="735941BE" w14:textId="01E1663C" w:rsidR="00C55AAA" w:rsidRPr="00C55AAA" w:rsidRDefault="0070222F" w:rsidP="00C55AAA">
      <w:pPr>
        <w:pStyle w:val="BodyText"/>
        <w:numPr>
          <w:ilvl w:val="0"/>
          <w:numId w:val="33"/>
        </w:numPr>
        <w:shd w:val="clear" w:color="auto" w:fill="E3E8FD"/>
        <w:spacing w:before="60" w:after="80" w:line="259" w:lineRule="auto"/>
        <w:ind w:left="425" w:hanging="425"/>
        <w:jc w:val="both"/>
        <w:rPr>
          <w:color w:val="041049" w:themeColor="accent1"/>
          <w:sz w:val="22"/>
          <w:szCs w:val="20"/>
        </w:rPr>
      </w:pPr>
      <w:hyperlink r:id="rId14" w:history="1">
        <w:r w:rsidR="00C55AAA" w:rsidRPr="0070222F">
          <w:rPr>
            <w:rStyle w:val="Hyperlink"/>
            <w:b/>
            <w:sz w:val="22"/>
            <w:szCs w:val="20"/>
          </w:rPr>
          <w:t>Guide for Rewarding Innovative WA Public Sector Employees</w:t>
        </w:r>
      </w:hyperlink>
      <w:r w:rsidR="00C55AAA" w:rsidRPr="00C55AAA">
        <w:rPr>
          <w:color w:val="041049" w:themeColor="accent1"/>
          <w:sz w:val="22"/>
          <w:szCs w:val="20"/>
        </w:rPr>
        <w:t xml:space="preserve"> (includes a checklist for developing an employee rewards policy).</w:t>
      </w:r>
    </w:p>
    <w:p w14:paraId="542E797F" w14:textId="77777777" w:rsidR="00292DBF" w:rsidRDefault="00292DBF" w:rsidP="00292DBF">
      <w:pPr>
        <w:spacing w:line="259" w:lineRule="auto"/>
      </w:pPr>
    </w:p>
    <w:p w14:paraId="15F7EC2F" w14:textId="77777777" w:rsidR="00860F4E" w:rsidRPr="00860F4E" w:rsidRDefault="00860F4E" w:rsidP="00860F4E">
      <w:pPr>
        <w:pStyle w:val="BodyText"/>
      </w:pPr>
    </w:p>
    <w:sectPr w:rsidR="00860F4E" w:rsidRPr="00860F4E" w:rsidSect="00362A8B">
      <w:headerReference w:type="default" r:id="rId15"/>
      <w:footerReference w:type="default" r:id="rId16"/>
      <w:footerReference w:type="first" r:id="rId17"/>
      <w:pgSz w:w="11907" w:h="16840" w:code="9"/>
      <w:pgMar w:top="1560" w:right="1304" w:bottom="851" w:left="130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8D31" w14:textId="77777777" w:rsidR="008D1ECE" w:rsidRDefault="008D1ECE" w:rsidP="00A4382C">
      <w:pPr>
        <w:spacing w:line="240" w:lineRule="auto"/>
      </w:pPr>
      <w:r>
        <w:separator/>
      </w:r>
    </w:p>
  </w:endnote>
  <w:endnote w:type="continuationSeparator" w:id="0">
    <w:p w14:paraId="4E27B877" w14:textId="77777777" w:rsidR="008D1ECE" w:rsidRDefault="008D1ECE"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1583" w14:textId="39F5FA86" w:rsidR="00CC5FB3" w:rsidRPr="00362A8B" w:rsidRDefault="00362A8B" w:rsidP="00362A8B">
    <w:pPr>
      <w:pStyle w:val="Footer"/>
      <w:rPr>
        <w:sz w:val="20"/>
        <w:szCs w:val="20"/>
      </w:rPr>
    </w:pPr>
    <w:r w:rsidRPr="00362A8B">
      <w:rPr>
        <w:sz w:val="20"/>
        <w:szCs w:val="20"/>
        <w:lang w:val="en-GB"/>
      </w:rPr>
      <w:t>WA Government Intellectual Property Policy</w:t>
    </w:r>
    <w:r w:rsidRPr="00362A8B">
      <w:rPr>
        <w:sz w:val="20"/>
        <w:szCs w:val="20"/>
      </w:rPr>
      <w:t xml:space="preserve"> Toolkit</w:t>
    </w:r>
    <w:r w:rsidRPr="00362A8B">
      <w:rPr>
        <w:sz w:val="20"/>
        <w:szCs w:val="20"/>
      </w:rPr>
      <w:ptab w:relativeTo="margin" w:alignment="center" w:leader="none"/>
    </w:r>
    <w:r w:rsidRPr="00362A8B">
      <w:rPr>
        <w:sz w:val="20"/>
        <w:szCs w:val="20"/>
      </w:rPr>
      <w:ptab w:relativeTo="margin" w:alignment="right" w:leader="none"/>
    </w:r>
    <w:sdt>
      <w:sdtPr>
        <w:rPr>
          <w:sz w:val="20"/>
          <w:szCs w:val="20"/>
        </w:rPr>
        <w:id w:val="1128044705"/>
        <w:docPartObj>
          <w:docPartGallery w:val="Page Numbers (Bottom of Page)"/>
          <w:docPartUnique/>
        </w:docPartObj>
      </w:sdtPr>
      <w:sdtEndPr>
        <w:rPr>
          <w:noProof/>
        </w:rPr>
      </w:sdtEndPr>
      <w:sdtContent>
        <w:r w:rsidRPr="00362A8B">
          <w:rPr>
            <w:sz w:val="20"/>
            <w:szCs w:val="20"/>
          </w:rPr>
          <w:fldChar w:fldCharType="begin"/>
        </w:r>
        <w:r w:rsidRPr="00362A8B">
          <w:rPr>
            <w:sz w:val="20"/>
            <w:szCs w:val="20"/>
          </w:rPr>
          <w:instrText xml:space="preserve"> PAGE   \* MERGEFORMAT </w:instrText>
        </w:r>
        <w:r w:rsidRPr="00362A8B">
          <w:rPr>
            <w:sz w:val="20"/>
            <w:szCs w:val="20"/>
          </w:rPr>
          <w:fldChar w:fldCharType="separate"/>
        </w:r>
        <w:r w:rsidR="0070222F">
          <w:rPr>
            <w:noProof/>
            <w:sz w:val="20"/>
            <w:szCs w:val="20"/>
          </w:rPr>
          <w:t>4</w:t>
        </w:r>
        <w:r w:rsidRPr="00362A8B">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ACA2" w14:textId="2B4FE985" w:rsidR="007218E4" w:rsidRPr="00362A8B" w:rsidRDefault="00362A8B" w:rsidP="00362A8B">
    <w:pPr>
      <w:pStyle w:val="Header"/>
    </w:pPr>
    <w:r>
      <w:rPr>
        <w:noProof/>
        <w:lang w:eastAsia="en-AU"/>
      </w:rPr>
      <w:drawing>
        <wp:anchor distT="0" distB="0" distL="114300" distR="114300" simplePos="0" relativeHeight="251660288" behindDoc="1" locked="0" layoutInCell="1" allowOverlap="0" wp14:anchorId="18E8EECA" wp14:editId="3B1D79F3">
          <wp:simplePos x="0" y="0"/>
          <wp:positionH relativeFrom="page">
            <wp:posOffset>12120</wp:posOffset>
          </wp:positionH>
          <wp:positionV relativeFrom="page">
            <wp:posOffset>9465</wp:posOffset>
          </wp:positionV>
          <wp:extent cx="7583557" cy="906018"/>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583557" cy="906018"/>
                  </a:xfrm>
                  <a:prstGeom prst="rect">
                    <a:avLst/>
                  </a:prstGeom>
                </pic:spPr>
              </pic:pic>
            </a:graphicData>
          </a:graphic>
          <wp14:sizeRelH relativeFrom="margin">
            <wp14:pctWidth>0</wp14:pctWidth>
          </wp14:sizeRelH>
          <wp14:sizeRelV relativeFrom="margin">
            <wp14:pctHeight>0</wp14:pctHeight>
          </wp14:sizeRelV>
        </wp:anchor>
      </w:drawing>
    </w:r>
    <w:r w:rsidRPr="00362A8B">
      <w:rPr>
        <w:sz w:val="20"/>
        <w:szCs w:val="20"/>
        <w:lang w:val="en-GB"/>
      </w:rPr>
      <w:t>WA Government Intellectual Property Policy</w:t>
    </w:r>
    <w:r w:rsidRPr="00362A8B">
      <w:rPr>
        <w:sz w:val="20"/>
        <w:szCs w:val="20"/>
      </w:rPr>
      <w:t xml:space="preserve"> Toolkit</w:t>
    </w:r>
    <w:r w:rsidRPr="00362A8B">
      <w:rPr>
        <w:sz w:val="20"/>
        <w:szCs w:val="20"/>
      </w:rPr>
      <w:ptab w:relativeTo="margin" w:alignment="center" w:leader="none"/>
    </w:r>
    <w:r w:rsidRPr="00362A8B">
      <w:rPr>
        <w:sz w:val="20"/>
        <w:szCs w:val="20"/>
      </w:rPr>
      <w:ptab w:relativeTo="margin" w:alignment="right" w:leader="none"/>
    </w:r>
    <w:sdt>
      <w:sdtPr>
        <w:rPr>
          <w:sz w:val="20"/>
          <w:szCs w:val="20"/>
        </w:rPr>
        <w:id w:val="-2108884683"/>
        <w:docPartObj>
          <w:docPartGallery w:val="Page Numbers (Bottom of Page)"/>
          <w:docPartUnique/>
        </w:docPartObj>
      </w:sdtPr>
      <w:sdtEndPr>
        <w:rPr>
          <w:noProof/>
        </w:rPr>
      </w:sdtEndPr>
      <w:sdtContent>
        <w:r w:rsidRPr="00362A8B">
          <w:rPr>
            <w:sz w:val="20"/>
            <w:szCs w:val="20"/>
          </w:rPr>
          <w:fldChar w:fldCharType="begin"/>
        </w:r>
        <w:r w:rsidRPr="00362A8B">
          <w:rPr>
            <w:sz w:val="20"/>
            <w:szCs w:val="20"/>
          </w:rPr>
          <w:instrText xml:space="preserve"> PAGE   \* MERGEFORMAT </w:instrText>
        </w:r>
        <w:r w:rsidRPr="00362A8B">
          <w:rPr>
            <w:sz w:val="20"/>
            <w:szCs w:val="20"/>
          </w:rPr>
          <w:fldChar w:fldCharType="separate"/>
        </w:r>
        <w:r w:rsidR="0070222F">
          <w:rPr>
            <w:noProof/>
            <w:sz w:val="20"/>
            <w:szCs w:val="20"/>
          </w:rPr>
          <w:t>1</w:t>
        </w:r>
        <w:r w:rsidRPr="00362A8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902C6" w14:textId="77777777" w:rsidR="008D1ECE" w:rsidRDefault="008D1ECE" w:rsidP="00A4382C">
      <w:pPr>
        <w:spacing w:line="240" w:lineRule="auto"/>
      </w:pPr>
      <w:r>
        <w:separator/>
      </w:r>
    </w:p>
  </w:footnote>
  <w:footnote w:type="continuationSeparator" w:id="0">
    <w:p w14:paraId="7728E55C" w14:textId="77777777" w:rsidR="008D1ECE" w:rsidRDefault="008D1ECE" w:rsidP="00A4382C">
      <w:pPr>
        <w:spacing w:line="240" w:lineRule="auto"/>
      </w:pPr>
      <w:r>
        <w:continuationSeparator/>
      </w:r>
    </w:p>
  </w:footnote>
  <w:footnote w:id="1">
    <w:p w14:paraId="225A15B4" w14:textId="77777777" w:rsidR="00292DBF" w:rsidRDefault="00292DBF" w:rsidP="00292DBF">
      <w:pPr>
        <w:pStyle w:val="FootnoteText"/>
      </w:pPr>
      <w:r>
        <w:rPr>
          <w:rStyle w:val="FootnoteReference"/>
        </w:rPr>
        <w:footnoteRef/>
      </w:r>
      <w:r>
        <w:t xml:space="preserve"> WA Government Intellectual Property Policy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84B3D" w14:textId="77777777" w:rsidR="00292DBF" w:rsidRDefault="00292DBF">
    <w:pPr>
      <w:pStyle w:val="Header"/>
    </w:pPr>
    <w:r>
      <w:rPr>
        <w:noProof/>
        <w:lang w:eastAsia="en-AU"/>
      </w:rPr>
      <w:drawing>
        <wp:anchor distT="0" distB="0" distL="114300" distR="114300" simplePos="0" relativeHeight="251658240" behindDoc="1" locked="0" layoutInCell="1" allowOverlap="0" wp14:anchorId="405D18FC" wp14:editId="4E945589">
          <wp:simplePos x="0" y="0"/>
          <wp:positionH relativeFrom="page">
            <wp:posOffset>12120</wp:posOffset>
          </wp:positionH>
          <wp:positionV relativeFrom="page">
            <wp:posOffset>9465</wp:posOffset>
          </wp:positionV>
          <wp:extent cx="7583557" cy="90601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583557" cy="9060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303"/>
    <w:multiLevelType w:val="multilevel"/>
    <w:tmpl w:val="87542A48"/>
    <w:lvl w:ilvl="0">
      <w:start w:val="1"/>
      <w:numFmt w:val="bullet"/>
      <w:lvlText w:val=""/>
      <w:lvlJc w:val="left"/>
      <w:pPr>
        <w:tabs>
          <w:tab w:val="num" w:pos="720"/>
        </w:tabs>
        <w:ind w:left="720" w:hanging="720"/>
      </w:pPr>
      <w:rPr>
        <w:rFonts w:ascii="Symbol" w:hAnsi="Symbol" w:hint="default"/>
        <w:color w:val="041049" w:themeColor="accen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054E17"/>
    <w:multiLevelType w:val="hybridMultilevel"/>
    <w:tmpl w:val="381613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1443F4C"/>
    <w:multiLevelType w:val="multilevel"/>
    <w:tmpl w:val="677A26B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4548"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2E0674"/>
    <w:multiLevelType w:val="multilevel"/>
    <w:tmpl w:val="30E2B918"/>
    <w:lvl w:ilvl="0">
      <w:start w:val="1"/>
      <w:numFmt w:val="bullet"/>
      <w:pStyle w:val="Bullet1"/>
      <w:lvlText w:val=""/>
      <w:lvlJc w:val="left"/>
      <w:pPr>
        <w:tabs>
          <w:tab w:val="num" w:pos="360"/>
        </w:tabs>
        <w:ind w:left="360" w:hanging="360"/>
      </w:pPr>
      <w:rPr>
        <w:rFonts w:ascii="Symbol" w:hAnsi="Symbol" w:hint="default"/>
        <w:color w:val="000000" w:themeColor="text1"/>
        <w:sz w:val="20"/>
        <w:szCs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855516"/>
    <w:multiLevelType w:val="hybridMultilevel"/>
    <w:tmpl w:val="CCCC6D2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6" w15:restartNumberingAfterBreak="0">
    <w:nsid w:val="19E47981"/>
    <w:multiLevelType w:val="multilevel"/>
    <w:tmpl w:val="0AA25E70"/>
    <w:numStyleLink w:val="AgencyBullets"/>
  </w:abstractNum>
  <w:abstractNum w:abstractNumId="7" w15:restartNumberingAfterBreak="0">
    <w:nsid w:val="1FBD5741"/>
    <w:multiLevelType w:val="multilevel"/>
    <w:tmpl w:val="87542A48"/>
    <w:lvl w:ilvl="0">
      <w:start w:val="1"/>
      <w:numFmt w:val="bullet"/>
      <w:lvlText w:val=""/>
      <w:lvlJc w:val="left"/>
      <w:pPr>
        <w:tabs>
          <w:tab w:val="num" w:pos="720"/>
        </w:tabs>
        <w:ind w:left="720" w:hanging="720"/>
      </w:pPr>
      <w:rPr>
        <w:rFonts w:ascii="Symbol" w:hAnsi="Symbol" w:hint="default"/>
        <w:color w:val="041049" w:themeColor="accen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0" w15:restartNumberingAfterBreak="0">
    <w:nsid w:val="2CDD68CF"/>
    <w:multiLevelType w:val="multilevel"/>
    <w:tmpl w:val="87542A48"/>
    <w:lvl w:ilvl="0">
      <w:start w:val="1"/>
      <w:numFmt w:val="bullet"/>
      <w:lvlText w:val=""/>
      <w:lvlJc w:val="left"/>
      <w:pPr>
        <w:tabs>
          <w:tab w:val="num" w:pos="720"/>
        </w:tabs>
        <w:ind w:left="720" w:hanging="720"/>
      </w:pPr>
      <w:rPr>
        <w:rFonts w:ascii="Symbol" w:hAnsi="Symbol" w:hint="default"/>
        <w:color w:val="041049" w:themeColor="accen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F21506A"/>
    <w:multiLevelType w:val="multilevel"/>
    <w:tmpl w:val="87542A48"/>
    <w:lvl w:ilvl="0">
      <w:start w:val="1"/>
      <w:numFmt w:val="bullet"/>
      <w:lvlText w:val=""/>
      <w:lvlJc w:val="left"/>
      <w:pPr>
        <w:tabs>
          <w:tab w:val="num" w:pos="720"/>
        </w:tabs>
        <w:ind w:left="720" w:hanging="720"/>
      </w:pPr>
      <w:rPr>
        <w:rFonts w:ascii="Symbol" w:hAnsi="Symbol" w:hint="default"/>
        <w:color w:val="041049" w:themeColor="accen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82A6787"/>
    <w:multiLevelType w:val="hybridMultilevel"/>
    <w:tmpl w:val="07E4F7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EF60A1"/>
    <w:multiLevelType w:val="multilevel"/>
    <w:tmpl w:val="77DEEFC4"/>
    <w:numStyleLink w:val="AgencyNumbers"/>
  </w:abstractNum>
  <w:abstractNum w:abstractNumId="14" w15:restartNumberingAfterBreak="0">
    <w:nsid w:val="41B20D18"/>
    <w:multiLevelType w:val="multilevel"/>
    <w:tmpl w:val="C4023126"/>
    <w:numStyleLink w:val="AgencyTableBullets"/>
  </w:abstractNum>
  <w:abstractNum w:abstractNumId="15" w15:restartNumberingAfterBreak="0">
    <w:nsid w:val="4474526F"/>
    <w:multiLevelType w:val="multilevel"/>
    <w:tmpl w:val="D5A4B100"/>
    <w:numStyleLink w:val="AgencyTableNumbers"/>
  </w:abstractNum>
  <w:abstractNum w:abstractNumId="16"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7" w15:restartNumberingAfterBreak="0">
    <w:nsid w:val="7A224DF3"/>
    <w:multiLevelType w:val="hybridMultilevel"/>
    <w:tmpl w:val="A82297EC"/>
    <w:lvl w:ilvl="0" w:tplc="A42247F4">
      <w:start w:val="1"/>
      <w:numFmt w:val="bullet"/>
      <w:lvlText w:val=""/>
      <w:lvlJc w:val="left"/>
      <w:pPr>
        <w:ind w:left="717" w:hanging="360"/>
      </w:pPr>
      <w:rPr>
        <w:rFonts w:ascii="Symbol" w:hAnsi="Symbol" w:hint="default"/>
        <w:color w:val="041049" w:themeColor="accent1"/>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9"/>
  </w:num>
  <w:num w:numId="2">
    <w:abstractNumId w:val="16"/>
  </w:num>
  <w:num w:numId="3">
    <w:abstractNumId w:val="5"/>
  </w:num>
  <w:num w:numId="4">
    <w:abstractNumId w:val="8"/>
  </w:num>
  <w:num w:numId="5">
    <w:abstractNumId w:val="13"/>
  </w:num>
  <w:num w:numId="6">
    <w:abstractNumId w:val="14"/>
  </w:num>
  <w:num w:numId="7">
    <w:abstractNumId w:val="15"/>
  </w:num>
  <w:num w:numId="8">
    <w:abstractNumId w:val="6"/>
  </w:num>
  <w:num w:numId="9">
    <w:abstractNumId w:val="6"/>
  </w:num>
  <w:num w:numId="10">
    <w:abstractNumId w:val="13"/>
  </w:num>
  <w:num w:numId="11">
    <w:abstractNumId w:val="6"/>
  </w:num>
  <w:num w:numId="12">
    <w:abstractNumId w:val="6"/>
  </w:num>
  <w:num w:numId="13">
    <w:abstractNumId w:val="6"/>
  </w:num>
  <w:num w:numId="14">
    <w:abstractNumId w:val="6"/>
  </w:num>
  <w:num w:numId="15">
    <w:abstractNumId w:val="13"/>
  </w:num>
  <w:num w:numId="16">
    <w:abstractNumId w:val="13"/>
  </w:num>
  <w:num w:numId="17">
    <w:abstractNumId w:val="13"/>
  </w:num>
  <w:num w:numId="18">
    <w:abstractNumId w:val="13"/>
  </w:num>
  <w:num w:numId="19">
    <w:abstractNumId w:val="9"/>
  </w:num>
  <w:num w:numId="20">
    <w:abstractNumId w:val="16"/>
  </w:num>
  <w:num w:numId="21">
    <w:abstractNumId w:val="5"/>
  </w:num>
  <w:num w:numId="22">
    <w:abstractNumId w:val="8"/>
  </w:num>
  <w:num w:numId="23">
    <w:abstractNumId w:val="14"/>
  </w:num>
  <w:num w:numId="24">
    <w:abstractNumId w:val="15"/>
  </w:num>
  <w:num w:numId="25">
    <w:abstractNumId w:val="3"/>
  </w:num>
  <w:num w:numId="26">
    <w:abstractNumId w:val="2"/>
  </w:num>
  <w:num w:numId="27">
    <w:abstractNumId w:val="12"/>
  </w:num>
  <w:num w:numId="28">
    <w:abstractNumId w:val="1"/>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1"/>
  </w:num>
  <w:num w:numId="33">
    <w:abstractNumId w:val="10"/>
  </w:num>
  <w:num w:numId="34">
    <w:abstractNumId w:val="0"/>
  </w:num>
  <w:num w:numId="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BF"/>
    <w:rsid w:val="00005285"/>
    <w:rsid w:val="00030161"/>
    <w:rsid w:val="000628DD"/>
    <w:rsid w:val="00070650"/>
    <w:rsid w:val="00081F4F"/>
    <w:rsid w:val="00087E7C"/>
    <w:rsid w:val="000D6278"/>
    <w:rsid w:val="000F4B54"/>
    <w:rsid w:val="00101A4E"/>
    <w:rsid w:val="00117846"/>
    <w:rsid w:val="00127A81"/>
    <w:rsid w:val="00150D6F"/>
    <w:rsid w:val="0015286C"/>
    <w:rsid w:val="00161BAC"/>
    <w:rsid w:val="00166F4F"/>
    <w:rsid w:val="001723E2"/>
    <w:rsid w:val="00175B21"/>
    <w:rsid w:val="00182318"/>
    <w:rsid w:val="001853E7"/>
    <w:rsid w:val="001879E1"/>
    <w:rsid w:val="001C316F"/>
    <w:rsid w:val="001D2EB0"/>
    <w:rsid w:val="001E38AF"/>
    <w:rsid w:val="001F1168"/>
    <w:rsid w:val="0021319C"/>
    <w:rsid w:val="00217BF0"/>
    <w:rsid w:val="00243F51"/>
    <w:rsid w:val="002760CB"/>
    <w:rsid w:val="00292DBF"/>
    <w:rsid w:val="002D4783"/>
    <w:rsid w:val="002E7DD3"/>
    <w:rsid w:val="00306FAF"/>
    <w:rsid w:val="00307B64"/>
    <w:rsid w:val="00316310"/>
    <w:rsid w:val="00321C39"/>
    <w:rsid w:val="003263E6"/>
    <w:rsid w:val="00327D01"/>
    <w:rsid w:val="0033401D"/>
    <w:rsid w:val="00334E55"/>
    <w:rsid w:val="00345BFF"/>
    <w:rsid w:val="00362A8B"/>
    <w:rsid w:val="00371FB3"/>
    <w:rsid w:val="00375984"/>
    <w:rsid w:val="0038356A"/>
    <w:rsid w:val="003B68D0"/>
    <w:rsid w:val="003E78C6"/>
    <w:rsid w:val="003F4681"/>
    <w:rsid w:val="003F68F5"/>
    <w:rsid w:val="003F7D47"/>
    <w:rsid w:val="004108AE"/>
    <w:rsid w:val="00490548"/>
    <w:rsid w:val="004C12D6"/>
    <w:rsid w:val="004C3B9E"/>
    <w:rsid w:val="004F6AB4"/>
    <w:rsid w:val="00502FFE"/>
    <w:rsid w:val="00517B50"/>
    <w:rsid w:val="00521B09"/>
    <w:rsid w:val="0053027E"/>
    <w:rsid w:val="00556CD6"/>
    <w:rsid w:val="005C7F45"/>
    <w:rsid w:val="00612E61"/>
    <w:rsid w:val="00646CEC"/>
    <w:rsid w:val="00664B55"/>
    <w:rsid w:val="00685A4B"/>
    <w:rsid w:val="0069124D"/>
    <w:rsid w:val="006B372C"/>
    <w:rsid w:val="0070222F"/>
    <w:rsid w:val="007218E4"/>
    <w:rsid w:val="00725843"/>
    <w:rsid w:val="00736097"/>
    <w:rsid w:val="00736B45"/>
    <w:rsid w:val="0075253D"/>
    <w:rsid w:val="007528AA"/>
    <w:rsid w:val="00757A2A"/>
    <w:rsid w:val="00765079"/>
    <w:rsid w:val="007A54B1"/>
    <w:rsid w:val="008565C8"/>
    <w:rsid w:val="00860F4E"/>
    <w:rsid w:val="008754BA"/>
    <w:rsid w:val="00875FE3"/>
    <w:rsid w:val="00884F47"/>
    <w:rsid w:val="0089012F"/>
    <w:rsid w:val="008A0283"/>
    <w:rsid w:val="008A72AE"/>
    <w:rsid w:val="008D1ECE"/>
    <w:rsid w:val="008E0D74"/>
    <w:rsid w:val="008E41EC"/>
    <w:rsid w:val="008E742A"/>
    <w:rsid w:val="0092356B"/>
    <w:rsid w:val="00930BCD"/>
    <w:rsid w:val="00935B0B"/>
    <w:rsid w:val="0094285C"/>
    <w:rsid w:val="00943CC7"/>
    <w:rsid w:val="00944D7D"/>
    <w:rsid w:val="00953276"/>
    <w:rsid w:val="009532BA"/>
    <w:rsid w:val="009B0BD9"/>
    <w:rsid w:val="00A4382C"/>
    <w:rsid w:val="00A663DD"/>
    <w:rsid w:val="00A73213"/>
    <w:rsid w:val="00A768BE"/>
    <w:rsid w:val="00A804F9"/>
    <w:rsid w:val="00A826CA"/>
    <w:rsid w:val="00A865D9"/>
    <w:rsid w:val="00AD0559"/>
    <w:rsid w:val="00AE6CF0"/>
    <w:rsid w:val="00B4205B"/>
    <w:rsid w:val="00B45BCE"/>
    <w:rsid w:val="00B96B1B"/>
    <w:rsid w:val="00BB241A"/>
    <w:rsid w:val="00BC5B97"/>
    <w:rsid w:val="00BC790D"/>
    <w:rsid w:val="00BD452D"/>
    <w:rsid w:val="00BD7FE2"/>
    <w:rsid w:val="00C169C6"/>
    <w:rsid w:val="00C17C2B"/>
    <w:rsid w:val="00C524D8"/>
    <w:rsid w:val="00C55AAA"/>
    <w:rsid w:val="00C74436"/>
    <w:rsid w:val="00C851DC"/>
    <w:rsid w:val="00C95C39"/>
    <w:rsid w:val="00C97A98"/>
    <w:rsid w:val="00CB079B"/>
    <w:rsid w:val="00CC4376"/>
    <w:rsid w:val="00CC43BA"/>
    <w:rsid w:val="00CC5FB3"/>
    <w:rsid w:val="00D016D8"/>
    <w:rsid w:val="00D14F87"/>
    <w:rsid w:val="00D27E58"/>
    <w:rsid w:val="00D43849"/>
    <w:rsid w:val="00D5302E"/>
    <w:rsid w:val="00D6395F"/>
    <w:rsid w:val="00D71CF0"/>
    <w:rsid w:val="00D9127D"/>
    <w:rsid w:val="00DB3B0A"/>
    <w:rsid w:val="00DC07FF"/>
    <w:rsid w:val="00DE0A4C"/>
    <w:rsid w:val="00DE5B3B"/>
    <w:rsid w:val="00DF7BE7"/>
    <w:rsid w:val="00E262D6"/>
    <w:rsid w:val="00E26EED"/>
    <w:rsid w:val="00E30ABB"/>
    <w:rsid w:val="00E335C1"/>
    <w:rsid w:val="00E4041E"/>
    <w:rsid w:val="00E800BA"/>
    <w:rsid w:val="00E87942"/>
    <w:rsid w:val="00EB048B"/>
    <w:rsid w:val="00EC15C1"/>
    <w:rsid w:val="00ED1F45"/>
    <w:rsid w:val="00ED46ED"/>
    <w:rsid w:val="00F06689"/>
    <w:rsid w:val="00F07494"/>
    <w:rsid w:val="00F17A22"/>
    <w:rsid w:val="00F230CD"/>
    <w:rsid w:val="00F234F8"/>
    <w:rsid w:val="00F42B9C"/>
    <w:rsid w:val="00F47CE2"/>
    <w:rsid w:val="00F53BB2"/>
    <w:rsid w:val="00FA1239"/>
    <w:rsid w:val="00FA164E"/>
    <w:rsid w:val="00FA3B9E"/>
    <w:rsid w:val="00FB1CCB"/>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8843"/>
  <w15:chartTrackingRefBased/>
  <w15:docId w15:val="{B389C0AF-9A5B-4A75-832D-1526444F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292DBF"/>
    <w:pPr>
      <w:spacing w:after="0"/>
    </w:pPr>
  </w:style>
  <w:style w:type="paragraph" w:styleId="Heading1">
    <w:name w:val="heading 1"/>
    <w:basedOn w:val="Normal"/>
    <w:next w:val="BodyText"/>
    <w:link w:val="Heading1Char"/>
    <w:uiPriority w:val="9"/>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9"/>
    <w:qFormat/>
    <w:rsid w:val="00316310"/>
    <w:pPr>
      <w:numPr>
        <w:ilvl w:val="1"/>
      </w:numPr>
      <w:outlineLvl w:val="1"/>
    </w:pPr>
    <w:rPr>
      <w:sz w:val="28"/>
      <w:szCs w:val="26"/>
    </w:rPr>
  </w:style>
  <w:style w:type="paragraph" w:styleId="Heading3">
    <w:name w:val="heading 3"/>
    <w:basedOn w:val="Heading2"/>
    <w:next w:val="BodyText"/>
    <w:link w:val="Heading3Char"/>
    <w:uiPriority w:val="9"/>
    <w:qFormat/>
    <w:rsid w:val="00316310"/>
    <w:pPr>
      <w:numPr>
        <w:ilvl w:val="2"/>
      </w:numPr>
      <w:outlineLvl w:val="2"/>
    </w:pPr>
    <w:rPr>
      <w:bCs w:val="0"/>
      <w:sz w:val="26"/>
    </w:rPr>
  </w:style>
  <w:style w:type="paragraph" w:styleId="Heading4">
    <w:name w:val="heading 4"/>
    <w:basedOn w:val="Heading3"/>
    <w:next w:val="Normal"/>
    <w:link w:val="Heading4Char"/>
    <w:uiPriority w:val="9"/>
    <w:unhideWhenUsed/>
    <w:qFormat/>
    <w:rsid w:val="00316310"/>
    <w:pPr>
      <w:outlineLvl w:val="3"/>
    </w:pPr>
    <w:rPr>
      <w:bCs/>
      <w:i/>
      <w:iCs/>
      <w:sz w:val="24"/>
    </w:rPr>
  </w:style>
  <w:style w:type="paragraph" w:styleId="Heading5">
    <w:name w:val="heading 5"/>
    <w:basedOn w:val="Heading4"/>
    <w:next w:val="Normal"/>
    <w:link w:val="Heading5Char"/>
    <w:uiPriority w:val="9"/>
    <w:unhideWhenUsed/>
    <w:qFormat/>
    <w:rsid w:val="00316310"/>
    <w:pPr>
      <w:outlineLvl w:val="4"/>
    </w:pPr>
    <w:rPr>
      <w:b w:val="0"/>
      <w:i w:val="0"/>
    </w:rPr>
  </w:style>
  <w:style w:type="paragraph" w:styleId="Heading6">
    <w:name w:val="heading 6"/>
    <w:basedOn w:val="Heading5"/>
    <w:next w:val="Normal"/>
    <w:link w:val="Heading6Char"/>
    <w:uiPriority w:val="9"/>
    <w:unhideWhenUsed/>
    <w:qFormat/>
    <w:rsid w:val="00316310"/>
    <w:pPr>
      <w:outlineLvl w:val="5"/>
    </w:pPr>
    <w:rPr>
      <w:i/>
      <w:iCs w:val="0"/>
    </w:rPr>
  </w:style>
  <w:style w:type="paragraph" w:styleId="Heading7">
    <w:name w:val="heading 7"/>
    <w:basedOn w:val="Normal"/>
    <w:next w:val="Normal"/>
    <w:link w:val="Heading7Char"/>
    <w:uiPriority w:val="9"/>
    <w:unhideWhenUsed/>
    <w:qFormat/>
    <w:rsid w:val="00FA3B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2DBF"/>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2DBF"/>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3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926A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041049" w:themeColor="accent1"/>
        <w:left w:val="single" w:sz="8" w:space="0" w:color="041049" w:themeColor="accent1"/>
        <w:bottom w:val="single" w:sz="8" w:space="0" w:color="041049" w:themeColor="accent1"/>
        <w:right w:val="single" w:sz="8" w:space="0" w:color="041049" w:themeColor="accent1"/>
      </w:tblBorders>
    </w:tblPr>
    <w:tblStylePr w:type="firstRow">
      <w:pPr>
        <w:spacing w:before="0" w:after="0" w:line="240" w:lineRule="auto"/>
      </w:pPr>
      <w:rPr>
        <w:b/>
        <w:bCs/>
        <w:color w:val="FFFFFF" w:themeColor="background1"/>
      </w:rPr>
      <w:tblPr/>
      <w:tcPr>
        <w:shd w:val="clear" w:color="auto" w:fill="041049" w:themeFill="accent1"/>
      </w:tcPr>
    </w:tblStylePr>
    <w:tblStylePr w:type="lastRow">
      <w:pPr>
        <w:spacing w:before="0" w:after="0" w:line="240" w:lineRule="auto"/>
      </w:pPr>
      <w:rPr>
        <w:b/>
        <w:bCs/>
      </w:rPr>
      <w:tblPr/>
      <w:tcPr>
        <w:tcBorders>
          <w:top w:val="double" w:sz="6" w:space="0" w:color="041049" w:themeColor="accent1"/>
          <w:left w:val="single" w:sz="8" w:space="0" w:color="041049" w:themeColor="accent1"/>
          <w:bottom w:val="single" w:sz="8" w:space="0" w:color="041049" w:themeColor="accent1"/>
          <w:right w:val="single" w:sz="8" w:space="0" w:color="041049" w:themeColor="accent1"/>
        </w:tcBorders>
      </w:tcPr>
    </w:tblStylePr>
    <w:tblStylePr w:type="firstCol">
      <w:rPr>
        <w:b/>
        <w:bCs/>
      </w:rPr>
    </w:tblStylePr>
    <w:tblStylePr w:type="lastCol">
      <w:rPr>
        <w:b/>
        <w:bCs/>
      </w:rPr>
    </w:tblStylePr>
    <w:tblStylePr w:type="band1Vert">
      <w:tblPr/>
      <w:tcPr>
        <w:tcBorders>
          <w:top w:val="single" w:sz="8" w:space="0" w:color="041049" w:themeColor="accent1"/>
          <w:left w:val="single" w:sz="8" w:space="0" w:color="041049" w:themeColor="accent1"/>
          <w:bottom w:val="single" w:sz="8" w:space="0" w:color="041049" w:themeColor="accent1"/>
          <w:right w:val="single" w:sz="8" w:space="0" w:color="041049" w:themeColor="accent1"/>
        </w:tcBorders>
      </w:tcPr>
    </w:tblStylePr>
    <w:tblStylePr w:type="band1Horz">
      <w:tblPr/>
      <w:tcPr>
        <w:tcBorders>
          <w:top w:val="single" w:sz="8" w:space="0" w:color="041049" w:themeColor="accent1"/>
          <w:left w:val="single" w:sz="8" w:space="0" w:color="041049" w:themeColor="accent1"/>
          <w:bottom w:val="single" w:sz="8" w:space="0" w:color="041049" w:themeColor="accent1"/>
          <w:right w:val="single" w:sz="8" w:space="0" w:color="041049" w:themeColor="accent1"/>
        </w:tcBorders>
      </w:tcPr>
    </w:tblStylePr>
  </w:style>
  <w:style w:type="table" w:styleId="LightShading-Accent3">
    <w:name w:val="Light Shading Accent 3"/>
    <w:basedOn w:val="TableNormal"/>
    <w:uiPriority w:val="60"/>
    <w:rsid w:val="00316310"/>
    <w:pPr>
      <w:spacing w:after="0" w:line="240" w:lineRule="auto"/>
    </w:pPr>
    <w:rPr>
      <w:color w:val="763774" w:themeColor="accent3" w:themeShade="BF"/>
    </w:rPr>
    <w:tblPr>
      <w:tblStyleRowBandSize w:val="1"/>
      <w:tblStyleColBandSize w:val="1"/>
      <w:tblBorders>
        <w:top w:val="single" w:sz="8" w:space="0" w:color="9E4A9C" w:themeColor="accent3"/>
        <w:bottom w:val="single" w:sz="8" w:space="0" w:color="9E4A9C" w:themeColor="accent3"/>
      </w:tblBorders>
    </w:tblPr>
    <w:tblStylePr w:type="firstRow">
      <w:pPr>
        <w:spacing w:before="0" w:after="0" w:line="240" w:lineRule="auto"/>
      </w:pPr>
      <w:rPr>
        <w:b/>
        <w:bCs/>
      </w:rPr>
      <w:tblPr/>
      <w:tcPr>
        <w:tcBorders>
          <w:top w:val="single" w:sz="8" w:space="0" w:color="9E4A9C" w:themeColor="accent3"/>
          <w:left w:val="nil"/>
          <w:bottom w:val="single" w:sz="8" w:space="0" w:color="9E4A9C" w:themeColor="accent3"/>
          <w:right w:val="nil"/>
          <w:insideH w:val="nil"/>
          <w:insideV w:val="nil"/>
        </w:tcBorders>
      </w:tcPr>
    </w:tblStylePr>
    <w:tblStylePr w:type="lastRow">
      <w:pPr>
        <w:spacing w:before="0" w:after="0" w:line="240" w:lineRule="auto"/>
      </w:pPr>
      <w:rPr>
        <w:b/>
        <w:bCs/>
      </w:rPr>
      <w:tblPr/>
      <w:tcPr>
        <w:tcBorders>
          <w:top w:val="single" w:sz="8" w:space="0" w:color="9E4A9C" w:themeColor="accent3"/>
          <w:left w:val="nil"/>
          <w:bottom w:val="single" w:sz="8" w:space="0" w:color="9E4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0E8" w:themeFill="accent3" w:themeFillTint="3F"/>
      </w:tcPr>
    </w:tblStylePr>
    <w:tblStylePr w:type="band1Horz">
      <w:tblPr/>
      <w:tcPr>
        <w:tcBorders>
          <w:left w:val="nil"/>
          <w:right w:val="nil"/>
          <w:insideH w:val="nil"/>
          <w:insideV w:val="nil"/>
        </w:tcBorders>
        <w:shd w:val="clear" w:color="auto" w:fill="E9D0E8"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3AC2D6" w:themeColor="accent2"/>
        <w:left w:val="single" w:sz="8" w:space="0" w:color="3AC2D6" w:themeColor="accent2"/>
        <w:bottom w:val="single" w:sz="8" w:space="0" w:color="3AC2D6" w:themeColor="accent2"/>
        <w:right w:val="single" w:sz="8" w:space="0" w:color="3AC2D6" w:themeColor="accent2"/>
      </w:tblBorders>
    </w:tblPr>
    <w:tblStylePr w:type="firstRow">
      <w:pPr>
        <w:spacing w:before="0" w:after="0" w:line="240" w:lineRule="auto"/>
      </w:pPr>
      <w:rPr>
        <w:b/>
        <w:bCs/>
        <w:color w:val="FFFFFF" w:themeColor="background1"/>
      </w:rPr>
      <w:tblPr/>
      <w:tcPr>
        <w:shd w:val="clear" w:color="auto" w:fill="3AC2D6" w:themeFill="accent2"/>
      </w:tcPr>
    </w:tblStylePr>
    <w:tblStylePr w:type="lastRow">
      <w:pPr>
        <w:spacing w:before="0" w:after="0" w:line="240" w:lineRule="auto"/>
      </w:pPr>
      <w:rPr>
        <w:b/>
        <w:bCs/>
      </w:rPr>
      <w:tblPr/>
      <w:tcPr>
        <w:tcBorders>
          <w:top w:val="double" w:sz="6" w:space="0" w:color="3AC2D6" w:themeColor="accent2"/>
          <w:left w:val="single" w:sz="8" w:space="0" w:color="3AC2D6" w:themeColor="accent2"/>
          <w:bottom w:val="single" w:sz="8" w:space="0" w:color="3AC2D6" w:themeColor="accent2"/>
          <w:right w:val="single" w:sz="8" w:space="0" w:color="3AC2D6" w:themeColor="accent2"/>
        </w:tcBorders>
      </w:tcPr>
    </w:tblStylePr>
    <w:tblStylePr w:type="firstCol">
      <w:rPr>
        <w:b/>
        <w:bCs/>
      </w:rPr>
    </w:tblStylePr>
    <w:tblStylePr w:type="lastCol">
      <w:rPr>
        <w:b/>
        <w:bCs/>
      </w:rPr>
    </w:tblStylePr>
    <w:tblStylePr w:type="band1Vert">
      <w:tblPr/>
      <w:tcPr>
        <w:tcBorders>
          <w:top w:val="single" w:sz="8" w:space="0" w:color="3AC2D6" w:themeColor="accent2"/>
          <w:left w:val="single" w:sz="8" w:space="0" w:color="3AC2D6" w:themeColor="accent2"/>
          <w:bottom w:val="single" w:sz="8" w:space="0" w:color="3AC2D6" w:themeColor="accent2"/>
          <w:right w:val="single" w:sz="8" w:space="0" w:color="3AC2D6" w:themeColor="accent2"/>
        </w:tcBorders>
      </w:tcPr>
    </w:tblStylePr>
    <w:tblStylePr w:type="band1Horz">
      <w:tblPr/>
      <w:tcPr>
        <w:tcBorders>
          <w:top w:val="single" w:sz="8" w:space="0" w:color="3AC2D6" w:themeColor="accent2"/>
          <w:left w:val="single" w:sz="8" w:space="0" w:color="3AC2D6" w:themeColor="accent2"/>
          <w:bottom w:val="single" w:sz="8" w:space="0" w:color="3AC2D6" w:themeColor="accent2"/>
          <w:right w:val="single" w:sz="8" w:space="0" w:color="3AC2D6" w:themeColor="accent2"/>
        </w:tcBorders>
      </w:tcPr>
    </w:tblStylePr>
  </w:style>
  <w:style w:type="table" w:styleId="LightShading-Accent2">
    <w:name w:val="Light Shading Accent 2"/>
    <w:basedOn w:val="TableNormal"/>
    <w:uiPriority w:val="60"/>
    <w:rsid w:val="00316310"/>
    <w:pPr>
      <w:spacing w:after="0" w:line="240" w:lineRule="auto"/>
    </w:pPr>
    <w:rPr>
      <w:color w:val="2397A8" w:themeColor="accent2" w:themeShade="BF"/>
    </w:rPr>
    <w:tblPr>
      <w:tblStyleRowBandSize w:val="1"/>
      <w:tblStyleColBandSize w:val="1"/>
      <w:tblBorders>
        <w:top w:val="single" w:sz="8" w:space="0" w:color="3AC2D6" w:themeColor="accent2"/>
        <w:bottom w:val="single" w:sz="8" w:space="0" w:color="3AC2D6" w:themeColor="accent2"/>
      </w:tblBorders>
    </w:tblPr>
    <w:tblStylePr w:type="firstRow">
      <w:pPr>
        <w:spacing w:before="0" w:after="0" w:line="240" w:lineRule="auto"/>
      </w:pPr>
      <w:rPr>
        <w:b/>
        <w:bCs/>
      </w:rPr>
      <w:tblPr/>
      <w:tcPr>
        <w:tcBorders>
          <w:top w:val="single" w:sz="8" w:space="0" w:color="3AC2D6" w:themeColor="accent2"/>
          <w:left w:val="nil"/>
          <w:bottom w:val="single" w:sz="8" w:space="0" w:color="3AC2D6" w:themeColor="accent2"/>
          <w:right w:val="nil"/>
          <w:insideH w:val="nil"/>
          <w:insideV w:val="nil"/>
        </w:tcBorders>
      </w:tcPr>
    </w:tblStylePr>
    <w:tblStylePr w:type="lastRow">
      <w:pPr>
        <w:spacing w:before="0" w:after="0" w:line="240" w:lineRule="auto"/>
      </w:pPr>
      <w:rPr>
        <w:b/>
        <w:bCs/>
      </w:rPr>
      <w:tblPr/>
      <w:tcPr>
        <w:tcBorders>
          <w:top w:val="single" w:sz="8" w:space="0" w:color="3AC2D6" w:themeColor="accent2"/>
          <w:left w:val="nil"/>
          <w:bottom w:val="single" w:sz="8" w:space="0" w:color="3AC2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FF4" w:themeFill="accent2" w:themeFillTint="3F"/>
      </w:tcPr>
    </w:tblStylePr>
    <w:tblStylePr w:type="band1Horz">
      <w:tblPr/>
      <w:tcPr>
        <w:tcBorders>
          <w:left w:val="nil"/>
          <w:right w:val="nil"/>
          <w:insideH w:val="nil"/>
          <w:insideV w:val="nil"/>
        </w:tcBorders>
        <w:shd w:val="clear" w:color="auto" w:fill="CEEFF4" w:themeFill="accent2" w:themeFillTint="3F"/>
      </w:tcPr>
    </w:tblStylePr>
  </w:style>
  <w:style w:type="character" w:styleId="FollowedHyperlink">
    <w:name w:val="FollowedHyperlink"/>
    <w:basedOn w:val="DefaultParagraphFont"/>
    <w:uiPriority w:val="99"/>
    <w:semiHidden/>
    <w:unhideWhenUsed/>
    <w:rsid w:val="00316310"/>
    <w:rPr>
      <w:color w:val="F9A01B"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030B36" w:themeColor="accent1" w:themeShade="BF"/>
    </w:rPr>
    <w:tblPr>
      <w:tblStyleRowBandSize w:val="1"/>
      <w:tblStyleColBandSize w:val="1"/>
      <w:tblBorders>
        <w:top w:val="single" w:sz="8" w:space="0" w:color="041049" w:themeColor="accent1"/>
        <w:bottom w:val="single" w:sz="8" w:space="0" w:color="041049" w:themeColor="accent1"/>
      </w:tblBorders>
    </w:tblPr>
    <w:tblStylePr w:type="firstRow">
      <w:pPr>
        <w:spacing w:before="0" w:after="0" w:line="240" w:lineRule="auto"/>
      </w:pPr>
      <w:rPr>
        <w:b/>
        <w:bCs/>
      </w:rPr>
      <w:tblPr/>
      <w:tcPr>
        <w:tcBorders>
          <w:top w:val="single" w:sz="8" w:space="0" w:color="041049" w:themeColor="accent1"/>
          <w:left w:val="nil"/>
          <w:bottom w:val="single" w:sz="8" w:space="0" w:color="041049" w:themeColor="accent1"/>
          <w:right w:val="nil"/>
          <w:insideH w:val="nil"/>
          <w:insideV w:val="nil"/>
        </w:tcBorders>
      </w:tcPr>
    </w:tblStylePr>
    <w:tblStylePr w:type="lastRow">
      <w:pPr>
        <w:spacing w:before="0" w:after="0" w:line="240" w:lineRule="auto"/>
      </w:pPr>
      <w:rPr>
        <w:b/>
        <w:bCs/>
      </w:rPr>
      <w:tblPr/>
      <w:tcPr>
        <w:tcBorders>
          <w:top w:val="single" w:sz="8" w:space="0" w:color="041049" w:themeColor="accent1"/>
          <w:left w:val="nil"/>
          <w:bottom w:val="single" w:sz="8" w:space="0" w:color="0410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AAF9" w:themeFill="accent1" w:themeFillTint="3F"/>
      </w:tcPr>
    </w:tblStylePr>
    <w:tblStylePr w:type="band1Horz">
      <w:tblPr/>
      <w:tcPr>
        <w:tcBorders>
          <w:left w:val="nil"/>
          <w:right w:val="nil"/>
          <w:insideH w:val="nil"/>
          <w:insideV w:val="nil"/>
        </w:tcBorders>
        <w:shd w:val="clear" w:color="auto" w:fill="99AAF9"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3AC2D6"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customStyle="1" w:styleId="Heading8Char">
    <w:name w:val="Heading 8 Char"/>
    <w:basedOn w:val="DefaultParagraphFont"/>
    <w:link w:val="Heading8"/>
    <w:uiPriority w:val="9"/>
    <w:semiHidden/>
    <w:rsid w:val="00292D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2DBF"/>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292DBF"/>
    <w:pPr>
      <w:spacing w:line="240" w:lineRule="auto"/>
    </w:pPr>
    <w:rPr>
      <w:sz w:val="20"/>
      <w:szCs w:val="20"/>
    </w:rPr>
  </w:style>
  <w:style w:type="character" w:customStyle="1" w:styleId="FootnoteTextChar">
    <w:name w:val="Footnote Text Char"/>
    <w:basedOn w:val="DefaultParagraphFont"/>
    <w:link w:val="FootnoteText"/>
    <w:uiPriority w:val="99"/>
    <w:semiHidden/>
    <w:rsid w:val="00292DBF"/>
    <w:rPr>
      <w:sz w:val="20"/>
      <w:szCs w:val="20"/>
    </w:rPr>
  </w:style>
  <w:style w:type="character" w:styleId="FootnoteReference">
    <w:name w:val="footnote reference"/>
    <w:basedOn w:val="DefaultParagraphFont"/>
    <w:uiPriority w:val="99"/>
    <w:semiHidden/>
    <w:unhideWhenUsed/>
    <w:rsid w:val="00292DBF"/>
    <w:rPr>
      <w:vertAlign w:val="superscript"/>
    </w:rPr>
  </w:style>
  <w:style w:type="paragraph" w:customStyle="1" w:styleId="Bullet1">
    <w:name w:val="Bullet1"/>
    <w:basedOn w:val="Normal"/>
    <w:link w:val="Bullet1Char"/>
    <w:qFormat/>
    <w:rsid w:val="00292DBF"/>
    <w:pPr>
      <w:numPr>
        <w:numId w:val="25"/>
      </w:numPr>
      <w:spacing w:after="160" w:line="259" w:lineRule="auto"/>
      <w:contextualSpacing/>
    </w:pPr>
    <w:rPr>
      <w:rFonts w:eastAsiaTheme="minorHAnsi"/>
      <w:sz w:val="22"/>
      <w:szCs w:val="22"/>
    </w:rPr>
  </w:style>
  <w:style w:type="character" w:customStyle="1" w:styleId="Bullet1Char">
    <w:name w:val="Bullet1 Char"/>
    <w:basedOn w:val="DefaultParagraphFont"/>
    <w:link w:val="Bullet1"/>
    <w:rsid w:val="00292DB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government/document-collections/western-australian-government-intellectual-property-policy-agency-toolkitps:/www.wa.gov.au/government/document-collections/western-australian-government-intellectual-property-policy-agency-toolk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gov.au/government/document-collections/western-australian-government-intellectual-property-policy-agency-toolkitps:/www.wa.gov.au/government/document-collections/western-australian-government-intellectual-property-policy-agency-toolk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publications/western-australian-government-intellectual-property-policy-202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document-collections/western-australian-government-intellectual-property-policy-agency-toolkitps:/www.wa.gov.au/government/document-collections/western-australian-government-intellectual-property-policy-agency-toolk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TSI Corporate- Biodi">
      <a:dk1>
        <a:sysClr val="windowText" lastClr="000000"/>
      </a:dk1>
      <a:lt1>
        <a:sysClr val="window" lastClr="FFFFFF"/>
      </a:lt1>
      <a:dk2>
        <a:srgbClr val="041049"/>
      </a:dk2>
      <a:lt2>
        <a:srgbClr val="EEECE1"/>
      </a:lt2>
      <a:accent1>
        <a:srgbClr val="041049"/>
      </a:accent1>
      <a:accent2>
        <a:srgbClr val="3AC2D6"/>
      </a:accent2>
      <a:accent3>
        <a:srgbClr val="9E4A9C"/>
      </a:accent3>
      <a:accent4>
        <a:srgbClr val="ED1B34"/>
      </a:accent4>
      <a:accent5>
        <a:srgbClr val="F9A01B"/>
      </a:accent5>
      <a:accent6>
        <a:srgbClr val="F04E3E"/>
      </a:accent6>
      <a:hlink>
        <a:srgbClr val="0926AF"/>
      </a:hlink>
      <a:folHlink>
        <a:srgbClr val="F9A01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F9B147A4768409A192229B13C0FDA" ma:contentTypeVersion="15" ma:contentTypeDescription="Create a new document." ma:contentTypeScope="" ma:versionID="afd357e3b3c266aebedad5474f6ff2c6">
  <xsd:schema xmlns:xsd="http://www.w3.org/2001/XMLSchema" xmlns:xs="http://www.w3.org/2001/XMLSchema" xmlns:p="http://schemas.microsoft.com/office/2006/metadata/properties" xmlns:ns3="f6029f91-7a00-4474-bd4e-c5601b0d2a3e" xmlns:ns4="61d54feb-00d5-4d8f-9b16-4e1680dc8995" targetNamespace="http://schemas.microsoft.com/office/2006/metadata/properties" ma:root="true" ma:fieldsID="a06c2a70e2d3e8b04d949225740a428f" ns3:_="" ns4:_="">
    <xsd:import namespace="f6029f91-7a00-4474-bd4e-c5601b0d2a3e"/>
    <xsd:import namespace="61d54feb-00d5-4d8f-9b16-4e1680dc89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29f91-7a00-4474-bd4e-c5601b0d2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54feb-00d5-4d8f-9b16-4e1680dc89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6029f91-7a00-4474-bd4e-c5601b0d2a3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160E-D5FC-4583-B0F8-19BE47F53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29f91-7a00-4474-bd4e-c5601b0d2a3e"/>
    <ds:schemaRef ds:uri="61d54feb-00d5-4d8f-9b16-4e1680dc8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f6029f91-7a00-4474-bd4e-c5601b0d2a3e"/>
  </ds:schemaRefs>
</ds:datastoreItem>
</file>

<file path=customXml/itemProps4.xml><?xml version="1.0" encoding="utf-8"?>
<ds:datastoreItem xmlns:ds="http://schemas.openxmlformats.org/officeDocument/2006/customXml" ds:itemID="{DDDDC517-5CB5-4011-B5C0-659BC5FB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PROUSE, Libbee</dc:creator>
  <cp:keywords/>
  <dc:description/>
  <cp:lastModifiedBy>PROUSE, Libbee</cp:lastModifiedBy>
  <cp:revision>4</cp:revision>
  <cp:lastPrinted>2023-07-25T06:52:00Z</cp:lastPrinted>
  <dcterms:created xsi:type="dcterms:W3CDTF">2023-07-28T01:25:00Z</dcterms:created>
  <dcterms:modified xsi:type="dcterms:W3CDTF">2023-08-25T03:37:00Z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0x010100BADF9B147A4768409A192229B13C0FDA</vt:lpwstr>
  </property>
</Properties>
</file>