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C1CB" w14:textId="49E5D663" w:rsidR="00F140D9" w:rsidRPr="004D0F80" w:rsidRDefault="00EE6AB4" w:rsidP="00607466">
      <w:pPr>
        <w:pStyle w:val="Heading1"/>
      </w:pPr>
      <w:r>
        <w:rPr>
          <w:noProof/>
        </w:rPr>
        <w:drawing>
          <wp:anchor distT="0" distB="0" distL="114300" distR="114300" simplePos="0" relativeHeight="251659264" behindDoc="0" locked="0" layoutInCell="1" allowOverlap="1" wp14:anchorId="617B5542" wp14:editId="7BCC5BC8">
            <wp:simplePos x="0" y="0"/>
            <wp:positionH relativeFrom="page">
              <wp:align>center</wp:align>
            </wp:positionH>
            <wp:positionV relativeFrom="page">
              <wp:align>top</wp:align>
            </wp:positionV>
            <wp:extent cx="7549200" cy="12960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87871"/>
                    <a:stretch/>
                  </pic:blipFill>
                  <pic:spPr bwMode="auto">
                    <a:xfrm>
                      <a:off x="0" y="0"/>
                      <a:ext cx="7549200" cy="129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40D9" w:rsidRPr="004D0F80">
        <w:t xml:space="preserve">Western Australian </w:t>
      </w:r>
      <w:r w:rsidR="00B30E46" w:rsidRPr="004D0F80">
        <w:t xml:space="preserve">Public Sector </w:t>
      </w:r>
      <w:r w:rsidR="00C51C2E" w:rsidRPr="004D0F80">
        <w:t xml:space="preserve">Quarterly </w:t>
      </w:r>
      <w:r w:rsidR="00B30E46" w:rsidRPr="004D0F80">
        <w:t>Workforce Report</w:t>
      </w:r>
      <w:r w:rsidR="00B30E46">
        <w:t xml:space="preserve"> – </w:t>
      </w:r>
      <w:r w:rsidR="0044046D">
        <w:t>Dec</w:t>
      </w:r>
      <w:r w:rsidR="00607466" w:rsidRPr="006A5FF7">
        <w:t xml:space="preserve">ember </w:t>
      </w:r>
      <w:r w:rsidR="00B30E46" w:rsidRPr="006A5FF7">
        <w:t>2020</w:t>
      </w:r>
    </w:p>
    <w:p w14:paraId="6D273999" w14:textId="11743C42" w:rsidR="00CC76B7" w:rsidRDefault="00CC76B7" w:rsidP="00607466">
      <w:pPr>
        <w:pStyle w:val="Heading2"/>
        <w:spacing w:before="400" w:beforeAutospacing="0" w:line="240" w:lineRule="exact"/>
      </w:pPr>
      <w:r w:rsidRPr="004D0F80">
        <w:t>About</w:t>
      </w:r>
      <w:r>
        <w:t xml:space="preserve"> this information</w:t>
      </w:r>
    </w:p>
    <w:p w14:paraId="14D98CE9" w14:textId="0B37E7D8" w:rsidR="00CC76B7" w:rsidRPr="008B64B5" w:rsidRDefault="00CC76B7" w:rsidP="00607466">
      <w:r w:rsidRPr="00484458">
        <w:t xml:space="preserve">This page presents a snapshot of the </w:t>
      </w:r>
      <w:r w:rsidR="000E1883">
        <w:t>p</w:t>
      </w:r>
      <w:r w:rsidRPr="00484458">
        <w:t xml:space="preserve">ublic </w:t>
      </w:r>
      <w:r w:rsidR="000E1883">
        <w:t>s</w:t>
      </w:r>
      <w:r w:rsidRPr="00484458">
        <w:t xml:space="preserve">ector workforce </w:t>
      </w:r>
      <w:r w:rsidR="0027558C" w:rsidRPr="00484458">
        <w:t xml:space="preserve">based on </w:t>
      </w:r>
      <w:r w:rsidRPr="00484458">
        <w:t>the mo</w:t>
      </w:r>
      <w:r w:rsidRPr="008B64B5">
        <w:t xml:space="preserve">st recent data available. More detailed workforce information (including information on other government entities) is available in the </w:t>
      </w:r>
      <w:hyperlink r:id="rId9" w:history="1">
        <w:r w:rsidR="000B67A1" w:rsidRPr="008B64B5">
          <w:rPr>
            <w:rStyle w:val="Hyperlink"/>
          </w:rPr>
          <w:t>State of the WA Government Sector Workforce 2019-20</w:t>
        </w:r>
      </w:hyperlink>
      <w:r w:rsidR="00EB09F0" w:rsidRPr="008B64B5">
        <w:t>.</w:t>
      </w:r>
      <w:r w:rsidR="004D0F80" w:rsidRPr="008B64B5">
        <w:rPr>
          <w:noProof/>
        </w:rPr>
        <w:t xml:space="preserve"> </w:t>
      </w:r>
    </w:p>
    <w:p w14:paraId="787158A3" w14:textId="58733DE2" w:rsidR="00C910D3" w:rsidRPr="008B64B5" w:rsidRDefault="00C910D3" w:rsidP="00607466">
      <w:r w:rsidRPr="008B64B5">
        <w:t xml:space="preserve">Please see the Commission’s </w:t>
      </w:r>
      <w:hyperlink r:id="rId10" w:history="1">
        <w:r w:rsidRPr="008B64B5">
          <w:rPr>
            <w:rStyle w:val="Hyperlink"/>
          </w:rPr>
          <w:t>About our workforce data</w:t>
        </w:r>
      </w:hyperlink>
      <w:r w:rsidRPr="008B64B5">
        <w:t xml:space="preserve"> page for </w:t>
      </w:r>
      <w:r w:rsidR="00142732" w:rsidRPr="008B64B5">
        <w:t>additional contextual</w:t>
      </w:r>
      <w:r w:rsidRPr="008B64B5">
        <w:t xml:space="preserve"> information.</w:t>
      </w:r>
    </w:p>
    <w:p w14:paraId="78FF7087" w14:textId="4D7BD8A7" w:rsidR="00F140D9" w:rsidRPr="006258A2" w:rsidRDefault="006258A2" w:rsidP="00607466">
      <w:pPr>
        <w:pStyle w:val="Heading2"/>
        <w:spacing w:before="400" w:beforeAutospacing="0" w:line="240" w:lineRule="exact"/>
      </w:pPr>
      <w:r w:rsidRPr="006258A2">
        <w:t>Overview</w:t>
      </w:r>
      <w:r w:rsidR="002500BA">
        <w:t xml:space="preserve"> of the </w:t>
      </w:r>
      <w:r w:rsidR="000E1883">
        <w:t>p</w:t>
      </w:r>
      <w:r w:rsidR="002500BA">
        <w:t xml:space="preserve">ublic </w:t>
      </w:r>
      <w:r w:rsidR="000E1883">
        <w:t>s</w:t>
      </w:r>
      <w:r w:rsidR="002500BA">
        <w:t>ector as of</w:t>
      </w:r>
      <w:r w:rsidR="00CC76B7">
        <w:t xml:space="preserve"> </w:t>
      </w:r>
      <w:r w:rsidR="0044046D">
        <w:t xml:space="preserve">December </w:t>
      </w:r>
      <w:r w:rsidR="00E47A3C">
        <w:t>2020</w:t>
      </w:r>
    </w:p>
    <w:tbl>
      <w:tblPr>
        <w:tblStyle w:val="GridTable1Light-Accent6"/>
        <w:tblW w:w="6800"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1678"/>
        <w:gridCol w:w="3704"/>
        <w:gridCol w:w="1418"/>
      </w:tblGrid>
      <w:tr w:rsidR="00F86D38" w:rsidRPr="004D0F80" w14:paraId="4F4C340A" w14:textId="77777777" w:rsidTr="006A5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gridSpan w:val="2"/>
            <w:tcBorders>
              <w:bottom w:val="none" w:sz="0" w:space="0" w:color="auto"/>
            </w:tcBorders>
          </w:tcPr>
          <w:p w14:paraId="5A966609" w14:textId="48F826EB" w:rsidR="00F86D38" w:rsidRPr="006A5FF7" w:rsidRDefault="00F86D38" w:rsidP="00EE6AB4">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Headcount</w:t>
            </w:r>
          </w:p>
        </w:tc>
        <w:tc>
          <w:tcPr>
            <w:tcW w:w="1418" w:type="dxa"/>
            <w:tcBorders>
              <w:bottom w:val="none" w:sz="0" w:space="0" w:color="auto"/>
            </w:tcBorders>
          </w:tcPr>
          <w:p w14:paraId="56D54886" w14:textId="4BD046E7" w:rsidR="00F86D38" w:rsidRPr="006A5FF7" w:rsidRDefault="00F60192" w:rsidP="00EE6AB4">
            <w:pPr>
              <w:pStyle w:val="TableText"/>
              <w:spacing w:before="0" w:beforeAutospacing="0" w:after="0" w:line="240" w:lineRule="auto"/>
              <w:jc w:val="right"/>
              <w:cnfStyle w:val="100000000000" w:firstRow="1" w:lastRow="0" w:firstColumn="0" w:lastColumn="0" w:oddVBand="0" w:evenVBand="0" w:oddHBand="0" w:evenHBand="0" w:firstRowFirstColumn="0" w:firstRowLastColumn="0" w:lastRowFirstColumn="0" w:lastRowLastColumn="0"/>
              <w:rPr>
                <w:b w:val="0"/>
                <w:sz w:val="21"/>
                <w:szCs w:val="21"/>
                <w:shd w:val="clear" w:color="auto" w:fill="FFFFFF"/>
              </w:rPr>
            </w:pPr>
            <w:r w:rsidRPr="006A5FF7">
              <w:rPr>
                <w:b w:val="0"/>
                <w:sz w:val="21"/>
                <w:szCs w:val="21"/>
                <w:shd w:val="clear" w:color="auto" w:fill="FFFFFF"/>
              </w:rPr>
              <w:t>148,</w:t>
            </w:r>
            <w:r w:rsidR="00CD2F1C">
              <w:rPr>
                <w:b w:val="0"/>
                <w:sz w:val="21"/>
                <w:szCs w:val="21"/>
                <w:shd w:val="clear" w:color="auto" w:fill="FFFFFF"/>
              </w:rPr>
              <w:t>532</w:t>
            </w:r>
          </w:p>
        </w:tc>
      </w:tr>
      <w:tr w:rsidR="00F86D38" w:rsidRPr="004D0F80" w14:paraId="33540417" w14:textId="77777777" w:rsidTr="006A5FF7">
        <w:tc>
          <w:tcPr>
            <w:cnfStyle w:val="001000000000" w:firstRow="0" w:lastRow="0" w:firstColumn="1" w:lastColumn="0" w:oddVBand="0" w:evenVBand="0" w:oddHBand="0" w:evenHBand="0" w:firstRowFirstColumn="0" w:firstRowLastColumn="0" w:lastRowFirstColumn="0" w:lastRowLastColumn="0"/>
            <w:tcW w:w="5382" w:type="dxa"/>
            <w:gridSpan w:val="2"/>
          </w:tcPr>
          <w:p w14:paraId="39754B09" w14:textId="23F91C90" w:rsidR="00F86D38" w:rsidRPr="006A5FF7" w:rsidRDefault="00F86D38" w:rsidP="00EE6AB4">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Full-time equivalent (FTE)</w:t>
            </w:r>
          </w:p>
        </w:tc>
        <w:tc>
          <w:tcPr>
            <w:tcW w:w="1418" w:type="dxa"/>
          </w:tcPr>
          <w:p w14:paraId="63CC6538" w14:textId="3AE93B83" w:rsidR="00F86D38" w:rsidRPr="006A5FF7" w:rsidRDefault="00F60192" w:rsidP="00EE6AB4">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117,</w:t>
            </w:r>
            <w:r w:rsidR="00CD2F1C">
              <w:rPr>
                <w:sz w:val="21"/>
                <w:szCs w:val="21"/>
                <w:shd w:val="clear" w:color="auto" w:fill="FFFFFF"/>
              </w:rPr>
              <w:t>664</w:t>
            </w:r>
          </w:p>
        </w:tc>
      </w:tr>
      <w:tr w:rsidR="00F86D38" w:rsidRPr="000610C7" w14:paraId="3C63FF01" w14:textId="77777777" w:rsidTr="006A5FF7">
        <w:tc>
          <w:tcPr>
            <w:cnfStyle w:val="001000000000" w:firstRow="0" w:lastRow="0" w:firstColumn="1" w:lastColumn="0" w:oddVBand="0" w:evenVBand="0" w:oddHBand="0" w:evenHBand="0" w:firstRowFirstColumn="0" w:firstRowLastColumn="0" w:lastRowFirstColumn="0" w:lastRowLastColumn="0"/>
            <w:tcW w:w="5382" w:type="dxa"/>
            <w:gridSpan w:val="2"/>
          </w:tcPr>
          <w:p w14:paraId="6BC13504" w14:textId="33674407" w:rsidR="00F86D38" w:rsidRPr="006A5FF7" w:rsidRDefault="00F86D38" w:rsidP="00EE6AB4">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General government expenses (</w:t>
            </w:r>
            <w:r w:rsidR="00CD2F1C">
              <w:rPr>
                <w:b w:val="0"/>
                <w:sz w:val="21"/>
                <w:szCs w:val="21"/>
                <w:shd w:val="clear" w:color="auto" w:fill="FFFFFF"/>
              </w:rPr>
              <w:t>December</w:t>
            </w:r>
            <w:r w:rsidR="000D7AD8" w:rsidRPr="006A5FF7">
              <w:rPr>
                <w:b w:val="0"/>
                <w:sz w:val="21"/>
                <w:szCs w:val="21"/>
                <w:shd w:val="clear" w:color="auto" w:fill="FFFFFF"/>
              </w:rPr>
              <w:t xml:space="preserve"> </w:t>
            </w:r>
            <w:r w:rsidRPr="006A5FF7">
              <w:rPr>
                <w:b w:val="0"/>
                <w:sz w:val="21"/>
                <w:szCs w:val="21"/>
                <w:shd w:val="clear" w:color="auto" w:fill="FFFFFF"/>
              </w:rPr>
              <w:t>quarter)</w:t>
            </w:r>
          </w:p>
        </w:tc>
        <w:tc>
          <w:tcPr>
            <w:tcW w:w="1418" w:type="dxa"/>
          </w:tcPr>
          <w:p w14:paraId="6E1BD269" w14:textId="16A3FE0A" w:rsidR="00F86D38" w:rsidRPr="006A5FF7" w:rsidRDefault="000D7AD8" w:rsidP="00EE6AB4">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173063">
              <w:rPr>
                <w:sz w:val="21"/>
                <w:szCs w:val="21"/>
                <w:shd w:val="clear" w:color="auto" w:fill="FFFFFF"/>
              </w:rPr>
              <w:t>$3,3</w:t>
            </w:r>
            <w:r w:rsidR="00173063" w:rsidRPr="00173063">
              <w:rPr>
                <w:sz w:val="21"/>
                <w:szCs w:val="21"/>
                <w:shd w:val="clear" w:color="auto" w:fill="FFFFFF"/>
              </w:rPr>
              <w:t>50</w:t>
            </w:r>
            <w:r w:rsidR="002E40BB" w:rsidRPr="00173063">
              <w:rPr>
                <w:sz w:val="21"/>
                <w:szCs w:val="21"/>
                <w:shd w:val="clear" w:color="auto" w:fill="FFFFFF"/>
              </w:rPr>
              <w:t>M</w:t>
            </w:r>
          </w:p>
        </w:tc>
      </w:tr>
      <w:tr w:rsidR="00F86D38" w:rsidRPr="000610C7" w14:paraId="3971AAC8" w14:textId="77777777" w:rsidTr="006A5FF7">
        <w:tc>
          <w:tcPr>
            <w:cnfStyle w:val="001000000000" w:firstRow="0" w:lastRow="0" w:firstColumn="1" w:lastColumn="0" w:oddVBand="0" w:evenVBand="0" w:oddHBand="0" w:evenHBand="0" w:firstRowFirstColumn="0" w:firstRowLastColumn="0" w:lastRowFirstColumn="0" w:lastRowLastColumn="0"/>
            <w:tcW w:w="5382" w:type="dxa"/>
            <w:gridSpan w:val="2"/>
          </w:tcPr>
          <w:p w14:paraId="75E52A65" w14:textId="27E8ECD3" w:rsidR="00F86D38" w:rsidRPr="006A5FF7" w:rsidRDefault="00F86D38" w:rsidP="00EE6AB4">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Senior Executive Service (SES)</w:t>
            </w:r>
          </w:p>
        </w:tc>
        <w:tc>
          <w:tcPr>
            <w:tcW w:w="1418" w:type="dxa"/>
          </w:tcPr>
          <w:p w14:paraId="73986BEF" w14:textId="2535310C" w:rsidR="00F86D38" w:rsidRPr="006A5FF7" w:rsidRDefault="001C2218" w:rsidP="00EE6AB4">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406</w:t>
            </w:r>
          </w:p>
        </w:tc>
      </w:tr>
      <w:tr w:rsidR="00F86D38" w:rsidRPr="000610C7" w14:paraId="2903238C" w14:textId="77777777" w:rsidTr="006A5FF7">
        <w:tc>
          <w:tcPr>
            <w:cnfStyle w:val="001000000000" w:firstRow="0" w:lastRow="0" w:firstColumn="1" w:lastColumn="0" w:oddVBand="0" w:evenVBand="0" w:oddHBand="0" w:evenHBand="0" w:firstRowFirstColumn="0" w:firstRowLastColumn="0" w:lastRowFirstColumn="0" w:lastRowLastColumn="0"/>
            <w:tcW w:w="5382" w:type="dxa"/>
            <w:gridSpan w:val="2"/>
          </w:tcPr>
          <w:p w14:paraId="5B9D79AB" w14:textId="75D1B13D" w:rsidR="00F86D38" w:rsidRPr="006A5FF7" w:rsidRDefault="006A5FF7" w:rsidP="00EE6AB4">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Public sector m</w:t>
            </w:r>
            <w:r w:rsidR="00F86D38" w:rsidRPr="006A5FF7">
              <w:rPr>
                <w:b w:val="0"/>
                <w:sz w:val="21"/>
                <w:szCs w:val="21"/>
                <w:shd w:val="clear" w:color="auto" w:fill="FFFFFF"/>
              </w:rPr>
              <w:t>edian age</w:t>
            </w:r>
          </w:p>
        </w:tc>
        <w:tc>
          <w:tcPr>
            <w:tcW w:w="1418" w:type="dxa"/>
          </w:tcPr>
          <w:p w14:paraId="4351825E" w14:textId="02202D53" w:rsidR="00F86D38" w:rsidRPr="006A5FF7" w:rsidRDefault="00CD2F1C" w:rsidP="00EE6AB4">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45</w:t>
            </w:r>
          </w:p>
        </w:tc>
      </w:tr>
      <w:tr w:rsidR="00F86D38" w:rsidRPr="000610C7" w14:paraId="609145EC" w14:textId="77777777" w:rsidTr="006A5FF7">
        <w:tc>
          <w:tcPr>
            <w:cnfStyle w:val="001000000000" w:firstRow="0" w:lastRow="0" w:firstColumn="1" w:lastColumn="0" w:oddVBand="0" w:evenVBand="0" w:oddHBand="0" w:evenHBand="0" w:firstRowFirstColumn="0" w:firstRowLastColumn="0" w:lastRowFirstColumn="0" w:lastRowLastColumn="0"/>
            <w:tcW w:w="1678" w:type="dxa"/>
            <w:vMerge w:val="restart"/>
          </w:tcPr>
          <w:p w14:paraId="1DE8E763" w14:textId="2B84DB0B" w:rsidR="00F86D38" w:rsidRPr="006A5FF7" w:rsidRDefault="00F86D38" w:rsidP="00EE6AB4">
            <w:pPr>
              <w:pStyle w:val="TableText"/>
              <w:spacing w:before="0" w:beforeAutospacing="0" w:after="0" w:line="240" w:lineRule="auto"/>
              <w:rPr>
                <w:b w:val="0"/>
                <w:sz w:val="21"/>
                <w:szCs w:val="21"/>
                <w:shd w:val="clear" w:color="auto" w:fill="FFFFFF"/>
              </w:rPr>
            </w:pPr>
            <w:r w:rsidRPr="006A5FF7">
              <w:rPr>
                <w:b w:val="0"/>
                <w:sz w:val="21"/>
                <w:szCs w:val="21"/>
                <w:shd w:val="clear" w:color="auto" w:fill="FFFFFF"/>
              </w:rPr>
              <w:t>Top 3 occupation groups (FTE)</w:t>
            </w:r>
          </w:p>
        </w:tc>
        <w:tc>
          <w:tcPr>
            <w:tcW w:w="3704" w:type="dxa"/>
          </w:tcPr>
          <w:p w14:paraId="0B019051" w14:textId="3955FB6D" w:rsidR="00F86D38" w:rsidRPr="006A5FF7" w:rsidRDefault="00F86D38" w:rsidP="00EE6AB4">
            <w:pPr>
              <w:pStyle w:val="TableText"/>
              <w:spacing w:before="0" w:beforeAutospacing="0" w:after="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Teachers</w:t>
            </w:r>
          </w:p>
        </w:tc>
        <w:tc>
          <w:tcPr>
            <w:tcW w:w="1418" w:type="dxa"/>
          </w:tcPr>
          <w:p w14:paraId="560A349D" w14:textId="6F8B7233" w:rsidR="00F86D38" w:rsidRPr="006A5FF7" w:rsidRDefault="00CD2F1C" w:rsidP="00EE6AB4">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18.7</w:t>
            </w:r>
            <w:r w:rsidR="00F86D38" w:rsidRPr="006A5FF7">
              <w:rPr>
                <w:sz w:val="21"/>
                <w:szCs w:val="21"/>
                <w:shd w:val="clear" w:color="auto" w:fill="FFFFFF"/>
              </w:rPr>
              <w:t>%</w:t>
            </w:r>
          </w:p>
        </w:tc>
      </w:tr>
      <w:tr w:rsidR="00F86D38" w:rsidRPr="000610C7" w14:paraId="526F70BD" w14:textId="77777777" w:rsidTr="006A5FF7">
        <w:tc>
          <w:tcPr>
            <w:cnfStyle w:val="001000000000" w:firstRow="0" w:lastRow="0" w:firstColumn="1" w:lastColumn="0" w:oddVBand="0" w:evenVBand="0" w:oddHBand="0" w:evenHBand="0" w:firstRowFirstColumn="0" w:firstRowLastColumn="0" w:lastRowFirstColumn="0" w:lastRowLastColumn="0"/>
            <w:tcW w:w="1678" w:type="dxa"/>
            <w:vMerge/>
          </w:tcPr>
          <w:p w14:paraId="4034553D" w14:textId="77777777" w:rsidR="00F86D38" w:rsidRPr="006A5FF7" w:rsidRDefault="00F86D38" w:rsidP="00EE6AB4">
            <w:pPr>
              <w:pStyle w:val="TableText"/>
              <w:spacing w:before="0" w:beforeAutospacing="0" w:after="0" w:line="240" w:lineRule="auto"/>
              <w:rPr>
                <w:b w:val="0"/>
                <w:sz w:val="21"/>
                <w:szCs w:val="21"/>
                <w:shd w:val="clear" w:color="auto" w:fill="FFFFFF"/>
              </w:rPr>
            </w:pPr>
          </w:p>
        </w:tc>
        <w:tc>
          <w:tcPr>
            <w:tcW w:w="3704" w:type="dxa"/>
          </w:tcPr>
          <w:p w14:paraId="32B6CB38" w14:textId="0EE45075" w:rsidR="00F86D38" w:rsidRPr="006A5FF7" w:rsidRDefault="00F86D38" w:rsidP="00EE6AB4">
            <w:pPr>
              <w:pStyle w:val="TableText"/>
              <w:spacing w:before="0" w:beforeAutospacing="0" w:after="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Clerical workers</w:t>
            </w:r>
          </w:p>
        </w:tc>
        <w:tc>
          <w:tcPr>
            <w:tcW w:w="1418" w:type="dxa"/>
          </w:tcPr>
          <w:p w14:paraId="299EF6D1" w14:textId="5BD76329" w:rsidR="00F86D38" w:rsidRPr="006A5FF7" w:rsidRDefault="00CD2F1C" w:rsidP="00EE6AB4">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Pr>
                <w:sz w:val="21"/>
                <w:szCs w:val="21"/>
                <w:shd w:val="clear" w:color="auto" w:fill="FFFFFF"/>
              </w:rPr>
              <w:t>16.7</w:t>
            </w:r>
            <w:r w:rsidR="00F86D38" w:rsidRPr="006A5FF7">
              <w:rPr>
                <w:sz w:val="21"/>
                <w:szCs w:val="21"/>
                <w:shd w:val="clear" w:color="auto" w:fill="FFFFFF"/>
              </w:rPr>
              <w:t>%</w:t>
            </w:r>
          </w:p>
        </w:tc>
      </w:tr>
      <w:tr w:rsidR="00F86D38" w:rsidRPr="000610C7" w14:paraId="2278A679" w14:textId="77777777" w:rsidTr="006A5FF7">
        <w:tc>
          <w:tcPr>
            <w:cnfStyle w:val="001000000000" w:firstRow="0" w:lastRow="0" w:firstColumn="1" w:lastColumn="0" w:oddVBand="0" w:evenVBand="0" w:oddHBand="0" w:evenHBand="0" w:firstRowFirstColumn="0" w:firstRowLastColumn="0" w:lastRowFirstColumn="0" w:lastRowLastColumn="0"/>
            <w:tcW w:w="1678" w:type="dxa"/>
            <w:vMerge/>
          </w:tcPr>
          <w:p w14:paraId="1844E113" w14:textId="77777777" w:rsidR="00F86D38" w:rsidRPr="006A5FF7" w:rsidRDefault="00F86D38" w:rsidP="00EE6AB4">
            <w:pPr>
              <w:pStyle w:val="TableText"/>
              <w:spacing w:before="0" w:beforeAutospacing="0" w:after="0" w:line="240" w:lineRule="auto"/>
              <w:rPr>
                <w:b w:val="0"/>
                <w:sz w:val="21"/>
                <w:szCs w:val="21"/>
                <w:shd w:val="clear" w:color="auto" w:fill="FFFFFF"/>
              </w:rPr>
            </w:pPr>
          </w:p>
        </w:tc>
        <w:tc>
          <w:tcPr>
            <w:tcW w:w="3704" w:type="dxa"/>
          </w:tcPr>
          <w:p w14:paraId="257B4449" w14:textId="60F81CBA" w:rsidR="00F86D38" w:rsidRPr="006A5FF7" w:rsidRDefault="00F86D38" w:rsidP="00EE6AB4">
            <w:pPr>
              <w:pStyle w:val="TableText"/>
              <w:spacing w:before="0" w:beforeAutospacing="0" w:after="0" w:line="240" w:lineRule="auto"/>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Nurses and midwives</w:t>
            </w:r>
          </w:p>
        </w:tc>
        <w:tc>
          <w:tcPr>
            <w:tcW w:w="1418" w:type="dxa"/>
          </w:tcPr>
          <w:p w14:paraId="04F768B5" w14:textId="63C41D41" w:rsidR="00F86D38" w:rsidRPr="006A5FF7" w:rsidRDefault="002677BA" w:rsidP="00EE6AB4">
            <w:pPr>
              <w:pStyle w:val="TableText"/>
              <w:spacing w:before="0" w:beforeAutospacing="0" w:after="0" w:line="240" w:lineRule="auto"/>
              <w:jc w:val="right"/>
              <w:cnfStyle w:val="000000000000" w:firstRow="0" w:lastRow="0" w:firstColumn="0" w:lastColumn="0" w:oddVBand="0" w:evenVBand="0" w:oddHBand="0" w:evenHBand="0" w:firstRowFirstColumn="0" w:firstRowLastColumn="0" w:lastRowFirstColumn="0" w:lastRowLastColumn="0"/>
              <w:rPr>
                <w:sz w:val="21"/>
                <w:szCs w:val="21"/>
                <w:shd w:val="clear" w:color="auto" w:fill="FFFFFF"/>
              </w:rPr>
            </w:pPr>
            <w:r w:rsidRPr="006A5FF7">
              <w:rPr>
                <w:sz w:val="21"/>
                <w:szCs w:val="21"/>
                <w:shd w:val="clear" w:color="auto" w:fill="FFFFFF"/>
              </w:rPr>
              <w:t>10.</w:t>
            </w:r>
            <w:r w:rsidR="00CD2F1C">
              <w:rPr>
                <w:sz w:val="21"/>
                <w:szCs w:val="21"/>
                <w:shd w:val="clear" w:color="auto" w:fill="FFFFFF"/>
              </w:rPr>
              <w:t>8</w:t>
            </w:r>
            <w:r w:rsidR="00F86D38" w:rsidRPr="006A5FF7">
              <w:rPr>
                <w:sz w:val="21"/>
                <w:szCs w:val="21"/>
                <w:shd w:val="clear" w:color="auto" w:fill="FFFFFF"/>
              </w:rPr>
              <w:t>%</w:t>
            </w:r>
          </w:p>
        </w:tc>
      </w:tr>
    </w:tbl>
    <w:p w14:paraId="7A27DC3C" w14:textId="2F7FA16C" w:rsidR="005211EB" w:rsidRPr="006A5FF7" w:rsidRDefault="005211EB" w:rsidP="00607466">
      <w:pPr>
        <w:rPr>
          <w:sz w:val="2"/>
          <w:shd w:val="clear" w:color="auto" w:fill="FFFFFF"/>
        </w:rPr>
      </w:pPr>
    </w:p>
    <w:tbl>
      <w:tblPr>
        <w:tblStyle w:val="CommissionTable1"/>
        <w:tblW w:w="8811" w:type="dxa"/>
        <w:tblBorders>
          <w:top w:val="single" w:sz="4" w:space="0" w:color="2B9947"/>
          <w:left w:val="single" w:sz="4" w:space="0" w:color="2B9947"/>
          <w:bottom w:val="single" w:sz="4" w:space="0" w:color="2B9947"/>
          <w:right w:val="single" w:sz="4" w:space="0" w:color="2B9947"/>
          <w:insideH w:val="single" w:sz="4" w:space="0" w:color="2B9947"/>
          <w:insideV w:val="single" w:sz="4" w:space="0" w:color="2B9947"/>
        </w:tblBorders>
        <w:tblLook w:val="04A0" w:firstRow="1" w:lastRow="0" w:firstColumn="1" w:lastColumn="0" w:noHBand="0" w:noVBand="1"/>
      </w:tblPr>
      <w:tblGrid>
        <w:gridCol w:w="3539"/>
        <w:gridCol w:w="1776"/>
        <w:gridCol w:w="1525"/>
        <w:gridCol w:w="1971"/>
      </w:tblGrid>
      <w:tr w:rsidR="00B271FA" w:rsidRPr="006A5FF7" w14:paraId="550C2343" w14:textId="77777777" w:rsidTr="006A5FF7">
        <w:trPr>
          <w:cnfStyle w:val="100000000000" w:firstRow="1" w:lastRow="0" w:firstColumn="0" w:lastColumn="0" w:oddVBand="0" w:evenVBand="0" w:oddHBand="0" w:evenHBand="0" w:firstRowFirstColumn="0" w:firstRowLastColumn="0" w:lastRowFirstColumn="0" w:lastRowLastColumn="0"/>
        </w:trPr>
        <w:tc>
          <w:tcPr>
            <w:tcW w:w="3539" w:type="dxa"/>
          </w:tcPr>
          <w:p w14:paraId="577EF88F" w14:textId="77777777" w:rsidR="00B271FA" w:rsidRPr="006A5FF7" w:rsidRDefault="00B271FA" w:rsidP="006A5FF7">
            <w:pPr>
              <w:spacing w:before="40" w:after="40"/>
              <w:ind w:right="245"/>
              <w:rPr>
                <w:color w:val="FFFFFF" w:themeColor="background1"/>
              </w:rPr>
            </w:pPr>
            <w:r w:rsidRPr="006A5FF7">
              <w:rPr>
                <w:color w:val="FFFFFF" w:themeColor="background1"/>
              </w:rPr>
              <w:t>Diversity groups</w:t>
            </w:r>
          </w:p>
        </w:tc>
        <w:tc>
          <w:tcPr>
            <w:tcW w:w="3301" w:type="dxa"/>
            <w:gridSpan w:val="2"/>
            <w:tcBorders>
              <w:bottom w:val="single" w:sz="4" w:space="0" w:color="2B9947"/>
            </w:tcBorders>
          </w:tcPr>
          <w:p w14:paraId="3D126E53" w14:textId="562A6209" w:rsidR="00B271FA" w:rsidRPr="006A5FF7" w:rsidRDefault="0070619F" w:rsidP="006A5FF7">
            <w:pPr>
              <w:spacing w:before="40" w:after="40"/>
              <w:ind w:right="245"/>
              <w:jc w:val="center"/>
              <w:rPr>
                <w:color w:val="FFFFFF" w:themeColor="background1"/>
              </w:rPr>
            </w:pPr>
            <w:r>
              <w:rPr>
                <w:color w:val="FFFFFF" w:themeColor="background1"/>
              </w:rPr>
              <w:t>Dec</w:t>
            </w:r>
            <w:r w:rsidRPr="006A5FF7">
              <w:rPr>
                <w:color w:val="FFFFFF" w:themeColor="background1"/>
              </w:rPr>
              <w:t xml:space="preserve"> </w:t>
            </w:r>
            <w:r w:rsidR="00B271FA" w:rsidRPr="006A5FF7">
              <w:rPr>
                <w:color w:val="FFFFFF" w:themeColor="background1"/>
              </w:rPr>
              <w:t>2020</w:t>
            </w:r>
          </w:p>
        </w:tc>
        <w:tc>
          <w:tcPr>
            <w:tcW w:w="1971" w:type="dxa"/>
            <w:tcBorders>
              <w:bottom w:val="single" w:sz="4" w:space="0" w:color="2B9947"/>
            </w:tcBorders>
            <w:vAlign w:val="bottom"/>
          </w:tcPr>
          <w:p w14:paraId="071F40F8" w14:textId="77777777" w:rsidR="00B271FA" w:rsidRPr="006A5FF7" w:rsidRDefault="00B271FA" w:rsidP="006A5FF7">
            <w:pPr>
              <w:spacing w:before="40" w:after="40"/>
              <w:jc w:val="center"/>
              <w:rPr>
                <w:color w:val="FFFFFF" w:themeColor="background1"/>
                <w:shd w:val="clear" w:color="auto" w:fill="FFFFFF"/>
              </w:rPr>
            </w:pPr>
            <w:r w:rsidRPr="006A5FF7">
              <w:rPr>
                <w:color w:val="FFFFFF" w:themeColor="background1"/>
              </w:rPr>
              <w:t>Aspirational target</w:t>
            </w:r>
          </w:p>
        </w:tc>
      </w:tr>
      <w:tr w:rsidR="00B271FA" w:rsidRPr="009308A2" w14:paraId="28E26A0F" w14:textId="77777777" w:rsidTr="006A5FF7">
        <w:tc>
          <w:tcPr>
            <w:tcW w:w="3539" w:type="dxa"/>
            <w:vMerge w:val="restart"/>
          </w:tcPr>
          <w:p w14:paraId="4DB1B1E2" w14:textId="77777777"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Women in SES</w:t>
            </w:r>
          </w:p>
        </w:tc>
        <w:tc>
          <w:tcPr>
            <w:tcW w:w="1776" w:type="dxa"/>
            <w:tcBorders>
              <w:right w:val="nil"/>
            </w:tcBorders>
          </w:tcPr>
          <w:p w14:paraId="3501FE33" w14:textId="77777777"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Representation</w:t>
            </w:r>
          </w:p>
        </w:tc>
        <w:tc>
          <w:tcPr>
            <w:tcW w:w="1525" w:type="dxa"/>
            <w:tcBorders>
              <w:left w:val="nil"/>
            </w:tcBorders>
          </w:tcPr>
          <w:p w14:paraId="2881AEDD" w14:textId="23569CA9" w:rsidR="00B271FA" w:rsidRPr="0044026E" w:rsidRDefault="001C2218"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43.1%</w:t>
            </w:r>
          </w:p>
        </w:tc>
        <w:tc>
          <w:tcPr>
            <w:tcW w:w="1971" w:type="dxa"/>
            <w:tcBorders>
              <w:bottom w:val="nil"/>
            </w:tcBorders>
          </w:tcPr>
          <w:p w14:paraId="121E20F1" w14:textId="77777777" w:rsidR="00B271FA" w:rsidRPr="0044026E" w:rsidRDefault="00B271FA" w:rsidP="006A5FF7">
            <w:pPr>
              <w:pStyle w:val="TableText"/>
              <w:spacing w:beforeAutospacing="0" w:line="240" w:lineRule="auto"/>
              <w:ind w:right="486"/>
              <w:contextualSpacing w:val="0"/>
              <w:jc w:val="right"/>
              <w:rPr>
                <w:sz w:val="21"/>
                <w:szCs w:val="21"/>
                <w:shd w:val="clear" w:color="auto" w:fill="FFFFFF"/>
              </w:rPr>
            </w:pPr>
            <w:r w:rsidRPr="0044026E">
              <w:rPr>
                <w:sz w:val="21"/>
                <w:szCs w:val="21"/>
                <w:shd w:val="clear" w:color="auto" w:fill="FFFFFF"/>
              </w:rPr>
              <w:t>50.0%</w:t>
            </w:r>
          </w:p>
        </w:tc>
      </w:tr>
      <w:tr w:rsidR="00B271FA" w:rsidRPr="009308A2" w14:paraId="4E9B6E30" w14:textId="77777777" w:rsidTr="006A5FF7">
        <w:trPr>
          <w:trHeight w:val="63"/>
        </w:trPr>
        <w:tc>
          <w:tcPr>
            <w:tcW w:w="3539" w:type="dxa"/>
            <w:vMerge/>
          </w:tcPr>
          <w:p w14:paraId="110B973F" w14:textId="77777777" w:rsidR="00B271FA" w:rsidRPr="0044026E"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04B5FE8B" w14:textId="77777777" w:rsidR="00B271FA" w:rsidRPr="0044026E" w:rsidRDefault="00B271FA" w:rsidP="006A5FF7">
            <w:pPr>
              <w:pStyle w:val="TableText"/>
              <w:spacing w:beforeAutospacing="0" w:line="240" w:lineRule="auto"/>
              <w:contextualSpacing w:val="0"/>
              <w:rPr>
                <w:sz w:val="21"/>
                <w:szCs w:val="21"/>
                <w:shd w:val="clear" w:color="auto" w:fill="FFFFFF"/>
              </w:rPr>
            </w:pPr>
            <w:r w:rsidRPr="0044026E">
              <w:rPr>
                <w:sz w:val="21"/>
                <w:szCs w:val="21"/>
                <w:shd w:val="clear" w:color="auto" w:fill="FFFFFF"/>
              </w:rPr>
              <w:t>Headcount</w:t>
            </w:r>
          </w:p>
        </w:tc>
        <w:tc>
          <w:tcPr>
            <w:tcW w:w="1525" w:type="dxa"/>
            <w:tcBorders>
              <w:left w:val="nil"/>
            </w:tcBorders>
          </w:tcPr>
          <w:p w14:paraId="54F2C5E1" w14:textId="77777777" w:rsidR="00B271FA" w:rsidRPr="0044026E" w:rsidRDefault="00B271FA" w:rsidP="006A5FF7">
            <w:pPr>
              <w:pStyle w:val="TableText"/>
              <w:spacing w:beforeAutospacing="0" w:line="240" w:lineRule="auto"/>
              <w:contextualSpacing w:val="0"/>
              <w:jc w:val="right"/>
              <w:rPr>
                <w:sz w:val="21"/>
                <w:szCs w:val="21"/>
                <w:shd w:val="clear" w:color="auto" w:fill="FFFFFF"/>
              </w:rPr>
            </w:pPr>
            <w:r w:rsidRPr="0044026E">
              <w:rPr>
                <w:sz w:val="21"/>
                <w:szCs w:val="21"/>
                <w:shd w:val="clear" w:color="auto" w:fill="FFFFFF"/>
              </w:rPr>
              <w:t>175</w:t>
            </w:r>
          </w:p>
        </w:tc>
        <w:tc>
          <w:tcPr>
            <w:tcW w:w="1971" w:type="dxa"/>
            <w:tcBorders>
              <w:top w:val="nil"/>
              <w:bottom w:val="single" w:sz="4" w:space="0" w:color="2B9947"/>
            </w:tcBorders>
          </w:tcPr>
          <w:p w14:paraId="009E291A" w14:textId="77777777" w:rsidR="00B271FA" w:rsidRPr="0044026E"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6AECC508" w14:textId="77777777" w:rsidTr="006A5FF7">
        <w:tc>
          <w:tcPr>
            <w:tcW w:w="3539" w:type="dxa"/>
            <w:vMerge w:val="restart"/>
          </w:tcPr>
          <w:p w14:paraId="3BDEF391"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Aboriginal and Torres Strait Islander people</w:t>
            </w:r>
          </w:p>
        </w:tc>
        <w:tc>
          <w:tcPr>
            <w:tcW w:w="1776" w:type="dxa"/>
            <w:tcBorders>
              <w:right w:val="nil"/>
            </w:tcBorders>
          </w:tcPr>
          <w:p w14:paraId="7332D59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003912D9" w14:textId="77777777" w:rsidR="00B271FA" w:rsidRPr="006A5FF7" w:rsidRDefault="00B271FA" w:rsidP="006A5FF7">
            <w:pPr>
              <w:pStyle w:val="TableText"/>
              <w:spacing w:beforeAutospacing="0" w:line="240" w:lineRule="auto"/>
              <w:contextualSpacing w:val="0"/>
              <w:jc w:val="right"/>
              <w:rPr>
                <w:sz w:val="21"/>
                <w:szCs w:val="21"/>
                <w:shd w:val="clear" w:color="auto" w:fill="FFFFFF"/>
              </w:rPr>
            </w:pPr>
            <w:r w:rsidRPr="006A5FF7">
              <w:rPr>
                <w:sz w:val="21"/>
                <w:szCs w:val="21"/>
                <w:shd w:val="clear" w:color="auto" w:fill="FFFFFF"/>
              </w:rPr>
              <w:t>2.7%</w:t>
            </w:r>
          </w:p>
        </w:tc>
        <w:tc>
          <w:tcPr>
            <w:tcW w:w="1971" w:type="dxa"/>
            <w:tcBorders>
              <w:bottom w:val="nil"/>
            </w:tcBorders>
          </w:tcPr>
          <w:p w14:paraId="2894AE3B"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3.7%</w:t>
            </w:r>
          </w:p>
        </w:tc>
      </w:tr>
      <w:tr w:rsidR="00B271FA" w:rsidRPr="009308A2" w14:paraId="0979DF9F" w14:textId="77777777" w:rsidTr="006A5FF7">
        <w:tc>
          <w:tcPr>
            <w:tcW w:w="3539" w:type="dxa"/>
            <w:vMerge/>
          </w:tcPr>
          <w:p w14:paraId="184FA398"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4243B00C"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39C58E2F" w14:textId="46B6CCAB" w:rsidR="00B271FA" w:rsidRPr="006A5FF7" w:rsidRDefault="00022074"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3,042</w:t>
            </w:r>
          </w:p>
        </w:tc>
        <w:tc>
          <w:tcPr>
            <w:tcW w:w="1971" w:type="dxa"/>
            <w:tcBorders>
              <w:top w:val="nil"/>
              <w:bottom w:val="single" w:sz="4" w:space="0" w:color="2B9947"/>
            </w:tcBorders>
          </w:tcPr>
          <w:p w14:paraId="6AEC6209"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02B3A48F" w14:textId="77777777" w:rsidTr="006A5FF7">
        <w:tc>
          <w:tcPr>
            <w:tcW w:w="3539" w:type="dxa"/>
            <w:vMerge w:val="restart"/>
          </w:tcPr>
          <w:p w14:paraId="23847D0D"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People with disability</w:t>
            </w:r>
          </w:p>
        </w:tc>
        <w:tc>
          <w:tcPr>
            <w:tcW w:w="1776" w:type="dxa"/>
            <w:tcBorders>
              <w:right w:val="nil"/>
            </w:tcBorders>
          </w:tcPr>
          <w:p w14:paraId="2CBE2E9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170E5304" w14:textId="77777777" w:rsidR="00B271FA" w:rsidRPr="006A5FF7" w:rsidRDefault="00B271FA" w:rsidP="006A5FF7">
            <w:pPr>
              <w:pStyle w:val="TableText"/>
              <w:spacing w:beforeAutospacing="0" w:line="240" w:lineRule="auto"/>
              <w:contextualSpacing w:val="0"/>
              <w:jc w:val="right"/>
              <w:rPr>
                <w:sz w:val="21"/>
                <w:szCs w:val="21"/>
                <w:shd w:val="clear" w:color="auto" w:fill="FFFFFF"/>
              </w:rPr>
            </w:pPr>
            <w:r w:rsidRPr="006A5FF7">
              <w:rPr>
                <w:sz w:val="21"/>
                <w:szCs w:val="21"/>
                <w:shd w:val="clear" w:color="auto" w:fill="FFFFFF"/>
              </w:rPr>
              <w:t>1.5%</w:t>
            </w:r>
          </w:p>
        </w:tc>
        <w:tc>
          <w:tcPr>
            <w:tcW w:w="1971" w:type="dxa"/>
            <w:tcBorders>
              <w:bottom w:val="nil"/>
            </w:tcBorders>
          </w:tcPr>
          <w:p w14:paraId="1B93731B"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5.0%</w:t>
            </w:r>
          </w:p>
        </w:tc>
      </w:tr>
      <w:tr w:rsidR="00B271FA" w:rsidRPr="009308A2" w14:paraId="029D7560" w14:textId="77777777" w:rsidTr="006A5FF7">
        <w:tc>
          <w:tcPr>
            <w:tcW w:w="3539" w:type="dxa"/>
            <w:vMerge/>
          </w:tcPr>
          <w:p w14:paraId="40BCBBF2"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2382FD06"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73318BF2" w14:textId="76E774B6" w:rsidR="00B271FA" w:rsidRPr="006A5FF7" w:rsidRDefault="00B271FA" w:rsidP="00022074">
            <w:pPr>
              <w:pStyle w:val="TableText"/>
              <w:spacing w:beforeAutospacing="0" w:line="240" w:lineRule="auto"/>
              <w:contextualSpacing w:val="0"/>
              <w:jc w:val="right"/>
              <w:rPr>
                <w:sz w:val="21"/>
                <w:szCs w:val="21"/>
                <w:shd w:val="clear" w:color="auto" w:fill="FFFFFF"/>
              </w:rPr>
            </w:pPr>
            <w:r w:rsidRPr="006A5FF7">
              <w:rPr>
                <w:sz w:val="21"/>
                <w:szCs w:val="21"/>
                <w:shd w:val="clear" w:color="auto" w:fill="FFFFFF"/>
              </w:rPr>
              <w:t>1,</w:t>
            </w:r>
            <w:r w:rsidR="00022074">
              <w:rPr>
                <w:sz w:val="21"/>
                <w:szCs w:val="21"/>
                <w:shd w:val="clear" w:color="auto" w:fill="FFFFFF"/>
              </w:rPr>
              <w:t>685</w:t>
            </w:r>
          </w:p>
        </w:tc>
        <w:tc>
          <w:tcPr>
            <w:tcW w:w="1971" w:type="dxa"/>
            <w:tcBorders>
              <w:top w:val="nil"/>
              <w:bottom w:val="single" w:sz="4" w:space="0" w:color="2B9947"/>
            </w:tcBorders>
          </w:tcPr>
          <w:p w14:paraId="4ED2A8AB"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7B27020C" w14:textId="77777777" w:rsidTr="006A5FF7">
        <w:tc>
          <w:tcPr>
            <w:tcW w:w="3539" w:type="dxa"/>
            <w:vMerge w:val="restart"/>
          </w:tcPr>
          <w:p w14:paraId="6DACA1C3"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Culturally and linguistically diverse people</w:t>
            </w:r>
          </w:p>
        </w:tc>
        <w:tc>
          <w:tcPr>
            <w:tcW w:w="1776" w:type="dxa"/>
            <w:tcBorders>
              <w:right w:val="nil"/>
            </w:tcBorders>
          </w:tcPr>
          <w:p w14:paraId="12C6B765"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6C766A57" w14:textId="757E58FD" w:rsidR="00B271FA" w:rsidRPr="006A5FF7" w:rsidRDefault="00022074"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14.4</w:t>
            </w:r>
            <w:r w:rsidR="00B271FA" w:rsidRPr="006A5FF7">
              <w:rPr>
                <w:sz w:val="21"/>
                <w:szCs w:val="21"/>
                <w:shd w:val="clear" w:color="auto" w:fill="FFFFFF"/>
              </w:rPr>
              <w:t>%</w:t>
            </w:r>
          </w:p>
        </w:tc>
        <w:tc>
          <w:tcPr>
            <w:tcW w:w="1971" w:type="dxa"/>
            <w:tcBorders>
              <w:bottom w:val="nil"/>
            </w:tcBorders>
          </w:tcPr>
          <w:p w14:paraId="15DA84D8"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15.5%</w:t>
            </w:r>
          </w:p>
        </w:tc>
      </w:tr>
      <w:tr w:rsidR="00B271FA" w:rsidRPr="009308A2" w14:paraId="57293750" w14:textId="77777777" w:rsidTr="006A5FF7">
        <w:tc>
          <w:tcPr>
            <w:tcW w:w="3539" w:type="dxa"/>
            <w:vMerge/>
          </w:tcPr>
          <w:p w14:paraId="22866D50"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1A1C5FB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4D90DE86" w14:textId="613AA94C" w:rsidR="00B271FA" w:rsidRPr="006A5FF7" w:rsidRDefault="00B271FA" w:rsidP="00022074">
            <w:pPr>
              <w:pStyle w:val="TableText"/>
              <w:spacing w:beforeAutospacing="0" w:line="240" w:lineRule="auto"/>
              <w:contextualSpacing w:val="0"/>
              <w:jc w:val="right"/>
              <w:rPr>
                <w:sz w:val="21"/>
                <w:szCs w:val="21"/>
                <w:shd w:val="clear" w:color="auto" w:fill="FFFFFF"/>
              </w:rPr>
            </w:pPr>
            <w:r w:rsidRPr="006A5FF7">
              <w:rPr>
                <w:sz w:val="21"/>
                <w:szCs w:val="21"/>
                <w:shd w:val="clear" w:color="auto" w:fill="FFFFFF"/>
              </w:rPr>
              <w:t>14,</w:t>
            </w:r>
            <w:r w:rsidR="00022074">
              <w:rPr>
                <w:sz w:val="21"/>
                <w:szCs w:val="21"/>
                <w:shd w:val="clear" w:color="auto" w:fill="FFFFFF"/>
              </w:rPr>
              <w:t>984</w:t>
            </w:r>
          </w:p>
        </w:tc>
        <w:tc>
          <w:tcPr>
            <w:tcW w:w="1971" w:type="dxa"/>
            <w:tcBorders>
              <w:top w:val="nil"/>
              <w:bottom w:val="single" w:sz="4" w:space="0" w:color="2B9947"/>
            </w:tcBorders>
          </w:tcPr>
          <w:p w14:paraId="49B59BDD"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2A45285F" w14:textId="77777777" w:rsidTr="006A5FF7">
        <w:tc>
          <w:tcPr>
            <w:tcW w:w="3539" w:type="dxa"/>
            <w:vMerge w:val="restart"/>
          </w:tcPr>
          <w:p w14:paraId="633BE395"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 xml:space="preserve">Youth </w:t>
            </w:r>
            <w:r w:rsidRPr="006A5FF7">
              <w:rPr>
                <w:sz w:val="21"/>
                <w:szCs w:val="21"/>
                <w:shd w:val="clear" w:color="auto" w:fill="FFFFFF"/>
              </w:rPr>
              <w:br/>
              <w:t>(aged 24 and under)</w:t>
            </w:r>
          </w:p>
        </w:tc>
        <w:tc>
          <w:tcPr>
            <w:tcW w:w="1776" w:type="dxa"/>
            <w:tcBorders>
              <w:right w:val="nil"/>
            </w:tcBorders>
          </w:tcPr>
          <w:p w14:paraId="0B96BE13"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31068471" w14:textId="10E71C14" w:rsidR="00B271FA" w:rsidRPr="006A5FF7" w:rsidRDefault="00CD2F1C"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4.1</w:t>
            </w:r>
            <w:r w:rsidR="00B271FA" w:rsidRPr="006A5FF7">
              <w:rPr>
                <w:sz w:val="21"/>
                <w:szCs w:val="21"/>
                <w:shd w:val="clear" w:color="auto" w:fill="FFFFFF"/>
              </w:rPr>
              <w:t>%</w:t>
            </w:r>
          </w:p>
        </w:tc>
        <w:tc>
          <w:tcPr>
            <w:tcW w:w="1971" w:type="dxa"/>
            <w:tcBorders>
              <w:bottom w:val="nil"/>
            </w:tcBorders>
          </w:tcPr>
          <w:p w14:paraId="6213BCF7"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5.8%</w:t>
            </w:r>
          </w:p>
        </w:tc>
      </w:tr>
      <w:tr w:rsidR="006A5FF7" w:rsidRPr="009308A2" w14:paraId="16C27AAB" w14:textId="77777777" w:rsidTr="006A5FF7">
        <w:tc>
          <w:tcPr>
            <w:tcW w:w="3539" w:type="dxa"/>
            <w:vMerge/>
          </w:tcPr>
          <w:p w14:paraId="3A2A99C8"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bottom w:val="single" w:sz="4" w:space="0" w:color="2B9947"/>
              <w:right w:val="nil"/>
            </w:tcBorders>
          </w:tcPr>
          <w:p w14:paraId="0F5A5C42"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bottom w:val="single" w:sz="4" w:space="0" w:color="2B9947"/>
            </w:tcBorders>
          </w:tcPr>
          <w:p w14:paraId="18921836" w14:textId="606957CF" w:rsidR="00B271FA" w:rsidRPr="006A5FF7" w:rsidRDefault="00CD2F1C"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6,053</w:t>
            </w:r>
          </w:p>
        </w:tc>
        <w:tc>
          <w:tcPr>
            <w:tcW w:w="1971" w:type="dxa"/>
            <w:tcBorders>
              <w:top w:val="nil"/>
              <w:bottom w:val="single" w:sz="4" w:space="0" w:color="2B9947"/>
            </w:tcBorders>
          </w:tcPr>
          <w:p w14:paraId="37B786FD"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p>
        </w:tc>
      </w:tr>
      <w:tr w:rsidR="00B271FA" w:rsidRPr="009308A2" w14:paraId="72F15DC5" w14:textId="77777777" w:rsidTr="006A5FF7">
        <w:tc>
          <w:tcPr>
            <w:tcW w:w="3539" w:type="dxa"/>
            <w:vMerge w:val="restart"/>
          </w:tcPr>
          <w:p w14:paraId="3DE8B508"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 xml:space="preserve">Mature </w:t>
            </w:r>
            <w:r w:rsidRPr="006A5FF7">
              <w:rPr>
                <w:sz w:val="21"/>
                <w:szCs w:val="21"/>
                <w:shd w:val="clear" w:color="auto" w:fill="FFFFFF"/>
              </w:rPr>
              <w:br/>
              <w:t>(aged 45 and over)</w:t>
            </w:r>
          </w:p>
        </w:tc>
        <w:tc>
          <w:tcPr>
            <w:tcW w:w="1776" w:type="dxa"/>
            <w:tcBorders>
              <w:right w:val="nil"/>
            </w:tcBorders>
          </w:tcPr>
          <w:p w14:paraId="2375D59D"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Representation</w:t>
            </w:r>
          </w:p>
        </w:tc>
        <w:tc>
          <w:tcPr>
            <w:tcW w:w="1525" w:type="dxa"/>
            <w:tcBorders>
              <w:left w:val="nil"/>
            </w:tcBorders>
          </w:tcPr>
          <w:p w14:paraId="7A90BC7A" w14:textId="11CA5847" w:rsidR="00B271FA" w:rsidRPr="006A5FF7" w:rsidRDefault="00022074"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52.4</w:t>
            </w:r>
            <w:r w:rsidR="00B271FA" w:rsidRPr="006A5FF7">
              <w:rPr>
                <w:sz w:val="21"/>
                <w:szCs w:val="21"/>
                <w:shd w:val="clear" w:color="auto" w:fill="FFFFFF"/>
              </w:rPr>
              <w:t>%</w:t>
            </w:r>
          </w:p>
        </w:tc>
        <w:tc>
          <w:tcPr>
            <w:tcW w:w="1971" w:type="dxa"/>
            <w:tcBorders>
              <w:bottom w:val="nil"/>
            </w:tcBorders>
          </w:tcPr>
          <w:p w14:paraId="1D9B895C" w14:textId="77777777" w:rsidR="00B271FA" w:rsidRPr="006A5FF7" w:rsidRDefault="00B271FA" w:rsidP="006A5FF7">
            <w:pPr>
              <w:pStyle w:val="TableText"/>
              <w:spacing w:beforeAutospacing="0" w:line="240" w:lineRule="auto"/>
              <w:ind w:right="486"/>
              <w:contextualSpacing w:val="0"/>
              <w:jc w:val="right"/>
              <w:rPr>
                <w:sz w:val="21"/>
                <w:szCs w:val="21"/>
                <w:shd w:val="clear" w:color="auto" w:fill="FFFFFF"/>
              </w:rPr>
            </w:pPr>
            <w:r w:rsidRPr="006A5FF7">
              <w:rPr>
                <w:sz w:val="21"/>
                <w:szCs w:val="21"/>
                <w:shd w:val="clear" w:color="auto" w:fill="FFFFFF"/>
              </w:rPr>
              <w:t>n/a</w:t>
            </w:r>
          </w:p>
        </w:tc>
      </w:tr>
      <w:tr w:rsidR="00B271FA" w:rsidRPr="009308A2" w14:paraId="5EA0B89C" w14:textId="77777777" w:rsidTr="006A5FF7">
        <w:tc>
          <w:tcPr>
            <w:tcW w:w="3539" w:type="dxa"/>
            <w:vMerge/>
          </w:tcPr>
          <w:p w14:paraId="30A7361E" w14:textId="77777777" w:rsidR="00B271FA" w:rsidRPr="006A5FF7" w:rsidRDefault="00B271FA" w:rsidP="006A5FF7">
            <w:pPr>
              <w:pStyle w:val="TableText"/>
              <w:spacing w:beforeAutospacing="0" w:line="240" w:lineRule="auto"/>
              <w:contextualSpacing w:val="0"/>
              <w:rPr>
                <w:sz w:val="21"/>
                <w:szCs w:val="21"/>
                <w:shd w:val="clear" w:color="auto" w:fill="FFFFFF"/>
              </w:rPr>
            </w:pPr>
          </w:p>
        </w:tc>
        <w:tc>
          <w:tcPr>
            <w:tcW w:w="1776" w:type="dxa"/>
            <w:tcBorders>
              <w:right w:val="nil"/>
            </w:tcBorders>
          </w:tcPr>
          <w:p w14:paraId="19D3F7F0" w14:textId="77777777" w:rsidR="00B271FA" w:rsidRPr="006A5FF7" w:rsidRDefault="00B271FA" w:rsidP="006A5FF7">
            <w:pPr>
              <w:pStyle w:val="TableText"/>
              <w:spacing w:beforeAutospacing="0" w:line="240" w:lineRule="auto"/>
              <w:contextualSpacing w:val="0"/>
              <w:rPr>
                <w:sz w:val="21"/>
                <w:szCs w:val="21"/>
                <w:shd w:val="clear" w:color="auto" w:fill="FFFFFF"/>
              </w:rPr>
            </w:pPr>
            <w:r w:rsidRPr="006A5FF7">
              <w:rPr>
                <w:sz w:val="21"/>
                <w:szCs w:val="21"/>
                <w:shd w:val="clear" w:color="auto" w:fill="FFFFFF"/>
              </w:rPr>
              <w:t>Headcount</w:t>
            </w:r>
          </w:p>
        </w:tc>
        <w:tc>
          <w:tcPr>
            <w:tcW w:w="1525" w:type="dxa"/>
            <w:tcBorders>
              <w:left w:val="nil"/>
            </w:tcBorders>
          </w:tcPr>
          <w:p w14:paraId="73DB8043" w14:textId="1843E14B" w:rsidR="00B271FA" w:rsidRPr="006A5FF7" w:rsidRDefault="00022074" w:rsidP="006A5FF7">
            <w:pPr>
              <w:pStyle w:val="TableText"/>
              <w:spacing w:beforeAutospacing="0" w:line="240" w:lineRule="auto"/>
              <w:contextualSpacing w:val="0"/>
              <w:jc w:val="right"/>
              <w:rPr>
                <w:sz w:val="21"/>
                <w:szCs w:val="21"/>
                <w:shd w:val="clear" w:color="auto" w:fill="FFFFFF"/>
              </w:rPr>
            </w:pPr>
            <w:r>
              <w:rPr>
                <w:sz w:val="21"/>
                <w:szCs w:val="21"/>
                <w:shd w:val="clear" w:color="auto" w:fill="FFFFFF"/>
              </w:rPr>
              <w:t>77,826</w:t>
            </w:r>
          </w:p>
        </w:tc>
        <w:tc>
          <w:tcPr>
            <w:tcW w:w="1971" w:type="dxa"/>
            <w:tcBorders>
              <w:top w:val="nil"/>
            </w:tcBorders>
          </w:tcPr>
          <w:p w14:paraId="46D46E85" w14:textId="77777777" w:rsidR="00B271FA" w:rsidRPr="006A5FF7" w:rsidRDefault="00B271FA" w:rsidP="006A5FF7">
            <w:pPr>
              <w:pStyle w:val="TableText"/>
              <w:spacing w:beforeAutospacing="0" w:line="240" w:lineRule="auto"/>
              <w:contextualSpacing w:val="0"/>
              <w:jc w:val="right"/>
              <w:rPr>
                <w:sz w:val="21"/>
                <w:szCs w:val="21"/>
                <w:shd w:val="clear" w:color="auto" w:fill="FFFFFF"/>
              </w:rPr>
            </w:pPr>
          </w:p>
        </w:tc>
      </w:tr>
    </w:tbl>
    <w:p w14:paraId="4D724E11" w14:textId="7CCB0A9B" w:rsidR="00CC76B7" w:rsidRPr="000610C7" w:rsidRDefault="00CC76B7" w:rsidP="00607466">
      <w:pPr>
        <w:pStyle w:val="Heading2"/>
      </w:pPr>
      <w:r w:rsidRPr="000610C7">
        <w:lastRenderedPageBreak/>
        <w:t>Sector profile</w:t>
      </w:r>
    </w:p>
    <w:p w14:paraId="3529C276" w14:textId="77777777" w:rsidR="004375DD" w:rsidRPr="004D0F80" w:rsidRDefault="004375DD" w:rsidP="00607466">
      <w:pPr>
        <w:pStyle w:val="Heading3"/>
      </w:pPr>
      <w:r w:rsidRPr="004D0F80">
        <w:t>Employment trends</w:t>
      </w:r>
    </w:p>
    <w:p w14:paraId="6D6F40EC" w14:textId="77777777" w:rsidR="008A73CD" w:rsidRDefault="00931992" w:rsidP="00FD38AA">
      <w:r w:rsidRPr="006243F1">
        <w:t xml:space="preserve">In </w:t>
      </w:r>
      <w:r w:rsidR="00022074">
        <w:t xml:space="preserve">December </w:t>
      </w:r>
      <w:r w:rsidRPr="006243F1">
        <w:t xml:space="preserve">2020 the WA public sector employed </w:t>
      </w:r>
      <w:r w:rsidRPr="006243F1">
        <w:rPr>
          <w:shd w:val="clear" w:color="auto" w:fill="FFFFFF"/>
        </w:rPr>
        <w:t>148,</w:t>
      </w:r>
      <w:r w:rsidR="00022074">
        <w:rPr>
          <w:shd w:val="clear" w:color="auto" w:fill="FFFFFF"/>
        </w:rPr>
        <w:t>532</w:t>
      </w:r>
      <w:r w:rsidRPr="006243F1">
        <w:rPr>
          <w:shd w:val="clear" w:color="auto" w:fill="FFFFFF"/>
        </w:rPr>
        <w:t xml:space="preserve"> </w:t>
      </w:r>
      <w:r w:rsidRPr="006243F1">
        <w:t xml:space="preserve">people, equating to </w:t>
      </w:r>
      <w:r w:rsidRPr="006243F1">
        <w:rPr>
          <w:shd w:val="clear" w:color="auto" w:fill="FFFFFF"/>
        </w:rPr>
        <w:t>117,</w:t>
      </w:r>
      <w:r w:rsidR="00022074">
        <w:rPr>
          <w:shd w:val="clear" w:color="auto" w:fill="FFFFFF"/>
        </w:rPr>
        <w:t xml:space="preserve">664 </w:t>
      </w:r>
      <w:r w:rsidRPr="006243F1">
        <w:t>full-time equivalent (FTE) employees.</w:t>
      </w:r>
      <w:r w:rsidR="008A73CD">
        <w:t xml:space="preserve"> </w:t>
      </w:r>
    </w:p>
    <w:p w14:paraId="6AE30889" w14:textId="385C729E" w:rsidR="00AA5212" w:rsidRDefault="00AA5212" w:rsidP="00AA5212">
      <w:pPr>
        <w:spacing w:after="0" w:line="240" w:lineRule="auto"/>
      </w:pPr>
      <w:r w:rsidRPr="006243F1">
        <w:t xml:space="preserve">In headcount terms, this reflected a quarterly increase of </w:t>
      </w:r>
      <w:r>
        <w:t xml:space="preserve">124 (+0.1%) </w:t>
      </w:r>
      <w:r w:rsidRPr="006243F1">
        <w:t xml:space="preserve">since </w:t>
      </w:r>
      <w:r w:rsidRPr="00A5247E">
        <w:t>September 2020,</w:t>
      </w:r>
      <w:r w:rsidRPr="006243F1">
        <w:t xml:space="preserve"> and an annual increase of </w:t>
      </w:r>
      <w:r w:rsidR="00A5247E">
        <w:t xml:space="preserve">4,946 (+3.4%) </w:t>
      </w:r>
      <w:r w:rsidRPr="006243F1">
        <w:t xml:space="preserve">since </w:t>
      </w:r>
      <w:r w:rsidR="00A5247E">
        <w:t>December</w:t>
      </w:r>
      <w:r w:rsidRPr="006243F1">
        <w:t xml:space="preserve"> 2019.</w:t>
      </w:r>
      <w:r>
        <w:t xml:space="preserve"> </w:t>
      </w:r>
      <w:r w:rsidRPr="006243F1">
        <w:t>In FTE te</w:t>
      </w:r>
      <w:r w:rsidR="00A5247E">
        <w:t>rms, this reflects a quarterly de</w:t>
      </w:r>
      <w:r w:rsidRPr="006243F1">
        <w:t xml:space="preserve">crease of </w:t>
      </w:r>
      <w:r w:rsidR="00A5247E" w:rsidRPr="008A73CD">
        <w:t xml:space="preserve">109 </w:t>
      </w:r>
      <w:r w:rsidR="00A5247E">
        <w:t>(</w:t>
      </w:r>
      <w:r w:rsidR="00A5247E">
        <w:noBreakHyphen/>
      </w:r>
      <w:r w:rsidR="00A5247E" w:rsidRPr="008A73CD">
        <w:t>0.1%)</w:t>
      </w:r>
      <w:r w:rsidR="00A5247E">
        <w:t xml:space="preserve"> </w:t>
      </w:r>
      <w:r w:rsidRPr="006243F1">
        <w:t xml:space="preserve">since </w:t>
      </w:r>
      <w:r w:rsidR="00A5247E">
        <w:t>September</w:t>
      </w:r>
      <w:r w:rsidRPr="006243F1">
        <w:t xml:space="preserve"> 2020 and an annual increase of </w:t>
      </w:r>
      <w:r w:rsidR="00A5247E">
        <w:t>4,521 (+4.0%)</w:t>
      </w:r>
      <w:r w:rsidRPr="006243F1">
        <w:t xml:space="preserve"> since </w:t>
      </w:r>
      <w:r w:rsidR="00A5247E">
        <w:t>December</w:t>
      </w:r>
      <w:r w:rsidRPr="006243F1">
        <w:t xml:space="preserve"> 2019.</w:t>
      </w:r>
    </w:p>
    <w:p w14:paraId="0CDF55D9" w14:textId="77777777" w:rsidR="00F955C4" w:rsidRDefault="00F955C4" w:rsidP="00FD38AA">
      <w:r>
        <w:t>The end of the academic year resulted in decreases in both headcount and FTE in the education sector:</w:t>
      </w:r>
    </w:p>
    <w:p w14:paraId="245FE5E2" w14:textId="4DBE877E" w:rsidR="00F955C4" w:rsidRPr="00517FE7" w:rsidRDefault="00173063" w:rsidP="00517FE7">
      <w:pPr>
        <w:pStyle w:val="ListParagraph"/>
        <w:numPr>
          <w:ilvl w:val="0"/>
          <w:numId w:val="14"/>
        </w:numPr>
      </w:pPr>
      <w:r w:rsidRPr="00A5247E">
        <w:t>Department of Education’s headcount and FTE de</w:t>
      </w:r>
      <w:r w:rsidR="00DD4EFB" w:rsidRPr="00A5247E">
        <w:t>creas</w:t>
      </w:r>
      <w:r w:rsidR="00F955C4">
        <w:t>ed</w:t>
      </w:r>
      <w:r w:rsidRPr="00A5247E">
        <w:t xml:space="preserve"> by 330 </w:t>
      </w:r>
      <w:r w:rsidR="00E21BDB" w:rsidRPr="00A5247E">
        <w:t xml:space="preserve">(-0.6%) </w:t>
      </w:r>
      <w:r w:rsidRPr="00A5247E">
        <w:t>and 5</w:t>
      </w:r>
      <w:r w:rsidR="00DD4EFB" w:rsidRPr="00A5247E">
        <w:t>33</w:t>
      </w:r>
      <w:r w:rsidR="00E21BDB" w:rsidRPr="00A5247E">
        <w:t xml:space="preserve"> </w:t>
      </w:r>
      <w:r w:rsidR="004704B6" w:rsidRPr="00A5247E">
        <w:t>(</w:t>
      </w:r>
      <w:r w:rsidR="004704B6">
        <w:noBreakHyphen/>
      </w:r>
      <w:r w:rsidR="00E21BDB" w:rsidRPr="00A5247E">
        <w:t>1.3%)</w:t>
      </w:r>
      <w:r w:rsidR="00DD4EFB" w:rsidRPr="00A5247E">
        <w:t xml:space="preserve"> respectively</w:t>
      </w:r>
      <w:r w:rsidR="008A73CD" w:rsidRPr="00A5247E">
        <w:t xml:space="preserve"> over the quarter</w:t>
      </w:r>
      <w:r w:rsidR="0070619F" w:rsidRPr="00A5247E">
        <w:t>.</w:t>
      </w:r>
      <w:r w:rsidR="00DD4EFB" w:rsidRPr="00A5247E">
        <w:t xml:space="preserve"> </w:t>
      </w:r>
      <w:proofErr w:type="gramStart"/>
      <w:r w:rsidR="00A5247E" w:rsidRPr="00A5247E">
        <w:t>Similar to</w:t>
      </w:r>
      <w:proofErr w:type="gramEnd"/>
      <w:r w:rsidR="00A5247E" w:rsidRPr="00A5247E">
        <w:t xml:space="preserve"> 2019, the </w:t>
      </w:r>
      <w:r w:rsidR="00A5247E" w:rsidRPr="00517FE7">
        <w:t>school term ended later than usual, resulting in a greater number of Department of Education employees appearing in the data (approximately 1700 FTE more than usual).</w:t>
      </w:r>
    </w:p>
    <w:p w14:paraId="0992C077" w14:textId="2B2D57BC" w:rsidR="00DD4EFB" w:rsidRPr="00517FE7" w:rsidRDefault="004704B6" w:rsidP="00517FE7">
      <w:pPr>
        <w:pStyle w:val="ListParagraph"/>
        <w:numPr>
          <w:ilvl w:val="0"/>
          <w:numId w:val="14"/>
        </w:numPr>
      </w:pPr>
      <w:r>
        <w:t>T</w:t>
      </w:r>
      <w:r w:rsidR="00DD4EFB">
        <w:t xml:space="preserve">he 5 TAFE </w:t>
      </w:r>
      <w:r w:rsidR="008A73CD">
        <w:t xml:space="preserve">colleges </w:t>
      </w:r>
      <w:r w:rsidR="00DD4EFB">
        <w:t xml:space="preserve">collectively decreased by </w:t>
      </w:r>
      <w:r w:rsidR="00FF482C">
        <w:t xml:space="preserve">352 headcount </w:t>
      </w:r>
      <w:r w:rsidR="00E21BDB">
        <w:t xml:space="preserve">(-7.5%) </w:t>
      </w:r>
      <w:r w:rsidR="00FF482C">
        <w:t>and 258 FTE</w:t>
      </w:r>
      <w:r w:rsidR="00E21BDB">
        <w:t xml:space="preserve"> </w:t>
      </w:r>
      <w:r w:rsidR="00A5247E">
        <w:br/>
      </w:r>
      <w:r w:rsidR="00E21BDB">
        <w:t>(-8.4%)</w:t>
      </w:r>
      <w:r w:rsidR="00FF482C">
        <w:t xml:space="preserve"> </w:t>
      </w:r>
      <w:r w:rsidR="008A73CD">
        <w:t xml:space="preserve">with </w:t>
      </w:r>
      <w:r w:rsidR="00A25DC0">
        <w:t xml:space="preserve">fewer </w:t>
      </w:r>
      <w:r w:rsidR="00FF482C">
        <w:t xml:space="preserve">casual staff </w:t>
      </w:r>
      <w:r w:rsidR="00A25DC0" w:rsidRPr="00517FE7">
        <w:t>required</w:t>
      </w:r>
      <w:r w:rsidR="00030603" w:rsidRPr="00517FE7">
        <w:t xml:space="preserve"> </w:t>
      </w:r>
      <w:r w:rsidR="00A5247E" w:rsidRPr="00517FE7">
        <w:t>outside of TAFE semesters</w:t>
      </w:r>
      <w:r w:rsidR="00FF482C" w:rsidRPr="00517FE7">
        <w:t>.</w:t>
      </w:r>
      <w:r w:rsidR="00DD4EFB" w:rsidRPr="00517FE7">
        <w:t xml:space="preserve"> </w:t>
      </w:r>
    </w:p>
    <w:p w14:paraId="5436F5E6" w14:textId="7D336A61" w:rsidR="00A5247E" w:rsidRDefault="00820973" w:rsidP="00FD38AA">
      <w:proofErr w:type="spellStart"/>
      <w:r>
        <w:t>Sectorwide</w:t>
      </w:r>
      <w:proofErr w:type="spellEnd"/>
      <w:r>
        <w:t>, t</w:t>
      </w:r>
      <w:r w:rsidR="00A25DC0">
        <w:t>h</w:t>
      </w:r>
      <w:r w:rsidR="00F955C4">
        <w:t>e</w:t>
      </w:r>
      <w:r w:rsidR="00A25DC0">
        <w:t xml:space="preserve"> </w:t>
      </w:r>
      <w:r w:rsidR="00BE223B">
        <w:t>decrease</w:t>
      </w:r>
      <w:r w:rsidR="00F955C4">
        <w:t>s</w:t>
      </w:r>
      <w:r w:rsidR="00BE223B">
        <w:t xml:space="preserve"> </w:t>
      </w:r>
      <w:r w:rsidR="00F955C4">
        <w:t>in the education sector were</w:t>
      </w:r>
      <w:r w:rsidR="00DD4EFB">
        <w:t xml:space="preserve"> partially offset by growth at other agencies</w:t>
      </w:r>
      <w:r w:rsidR="00A5247E">
        <w:t>:</w:t>
      </w:r>
    </w:p>
    <w:p w14:paraId="25A20827" w14:textId="77777777" w:rsidR="004560E9" w:rsidRPr="003D09A4" w:rsidRDefault="004560E9" w:rsidP="004560E9">
      <w:pPr>
        <w:numPr>
          <w:ilvl w:val="0"/>
          <w:numId w:val="14"/>
        </w:numPr>
        <w:contextualSpacing/>
        <w:rPr>
          <w:shd w:val="clear" w:color="auto" w:fill="FFFFFF"/>
        </w:rPr>
      </w:pPr>
      <w:r w:rsidRPr="003D09A4">
        <w:t xml:space="preserve">WA Health had a small quarterly increase of 271 headcount (+0.5%) and 217 FTE (+0.6%) compared to last </w:t>
      </w:r>
      <w:proofErr w:type="gramStart"/>
      <w:r w:rsidRPr="003D09A4">
        <w:t>quarter</w:t>
      </w:r>
      <w:proofErr w:type="gramEnd"/>
    </w:p>
    <w:p w14:paraId="541F7A89" w14:textId="356CB8BB" w:rsidR="004560E9" w:rsidRPr="007B22E9" w:rsidRDefault="004560E9" w:rsidP="004560E9">
      <w:pPr>
        <w:numPr>
          <w:ilvl w:val="0"/>
          <w:numId w:val="14"/>
        </w:numPr>
        <w:contextualSpacing/>
      </w:pPr>
      <w:r w:rsidRPr="003D09A4">
        <w:rPr>
          <w:shd w:val="clear" w:color="auto" w:fill="FFFFFF"/>
        </w:rPr>
        <w:t xml:space="preserve">Department of Biodiversity, Conservation and Attractions recorded </w:t>
      </w:r>
      <w:proofErr w:type="gramStart"/>
      <w:r w:rsidRPr="003D09A4">
        <w:rPr>
          <w:shd w:val="clear" w:color="auto" w:fill="FFFFFF"/>
        </w:rPr>
        <w:t>seasonally-related</w:t>
      </w:r>
      <w:proofErr w:type="gramEnd"/>
      <w:r w:rsidRPr="003D09A4">
        <w:rPr>
          <w:shd w:val="clear" w:color="auto" w:fill="FFFFFF"/>
        </w:rPr>
        <w:t xml:space="preserve"> increases of 115 headcount (+5.2%) and 127 FTE (+6.9%) reflecting increased capacity to respond to the summer bushfire </w:t>
      </w:r>
      <w:r w:rsidRPr="007B22E9">
        <w:rPr>
          <w:shd w:val="clear" w:color="auto" w:fill="FFFFFF"/>
        </w:rPr>
        <w:t>season and increases in casual nursery staff</w:t>
      </w:r>
    </w:p>
    <w:p w14:paraId="56ACC6B7" w14:textId="77777777" w:rsidR="004560E9" w:rsidRPr="007B22E9" w:rsidRDefault="004560E9" w:rsidP="004560E9">
      <w:pPr>
        <w:numPr>
          <w:ilvl w:val="0"/>
          <w:numId w:val="14"/>
        </w:numPr>
        <w:contextualSpacing/>
        <w:rPr>
          <w:shd w:val="clear" w:color="auto" w:fill="FFFFFF"/>
        </w:rPr>
      </w:pPr>
      <w:r>
        <w:rPr>
          <w:shd w:val="clear" w:color="auto" w:fill="FFFFFF"/>
        </w:rPr>
        <w:t xml:space="preserve">Following a period of reduced staffing levels due to the COVID-19 pandemic, </w:t>
      </w:r>
      <w:proofErr w:type="spellStart"/>
      <w:r w:rsidRPr="007B22E9">
        <w:rPr>
          <w:shd w:val="clear" w:color="auto" w:fill="FFFFFF"/>
        </w:rPr>
        <w:t>VenuesWest</w:t>
      </w:r>
      <w:proofErr w:type="spellEnd"/>
      <w:r w:rsidRPr="007B22E9">
        <w:rPr>
          <w:shd w:val="clear" w:color="auto" w:fill="FFFFFF"/>
        </w:rPr>
        <w:t xml:space="preserve"> </w:t>
      </w:r>
      <w:r>
        <w:rPr>
          <w:shd w:val="clear" w:color="auto" w:fill="FFFFFF"/>
        </w:rPr>
        <w:t xml:space="preserve">increased its workforce to </w:t>
      </w:r>
      <w:r w:rsidRPr="003B68ED">
        <w:rPr>
          <w:shd w:val="clear" w:color="auto" w:fill="FFFFFF"/>
        </w:rPr>
        <w:t>517 headcount (277 FTE)</w:t>
      </w:r>
      <w:r>
        <w:rPr>
          <w:shd w:val="clear" w:color="auto" w:fill="FFFFFF"/>
        </w:rPr>
        <w:t xml:space="preserve">, </w:t>
      </w:r>
      <w:proofErr w:type="gramStart"/>
      <w:r>
        <w:rPr>
          <w:shd w:val="clear" w:color="auto" w:fill="FFFFFF"/>
        </w:rPr>
        <w:t>similar to</w:t>
      </w:r>
      <w:proofErr w:type="gramEnd"/>
      <w:r>
        <w:rPr>
          <w:shd w:val="clear" w:color="auto" w:fill="FFFFFF"/>
        </w:rPr>
        <w:t xml:space="preserve"> its size in December 2020. </w:t>
      </w:r>
    </w:p>
    <w:p w14:paraId="4D684A69" w14:textId="77777777" w:rsidR="00931992" w:rsidRPr="008E261C" w:rsidRDefault="00931992" w:rsidP="00931992">
      <w:pPr>
        <w:spacing w:after="0" w:line="240" w:lineRule="auto"/>
      </w:pPr>
    </w:p>
    <w:p w14:paraId="4D203EB1" w14:textId="77777777" w:rsidR="0088303B" w:rsidRDefault="0088303B">
      <w:pPr>
        <w:spacing w:before="0" w:beforeAutospacing="0" w:after="160"/>
        <w:rPr>
          <w:rFonts w:ascii="Century Gothic" w:eastAsiaTheme="majorEastAsia" w:hAnsi="Century Gothic" w:cstheme="majorBidi"/>
          <w:color w:val="404040" w:themeColor="text1" w:themeTint="BF"/>
          <w:sz w:val="26"/>
          <w:szCs w:val="26"/>
          <w:shd w:val="clear" w:color="auto" w:fill="FFFFFF"/>
        </w:rPr>
      </w:pPr>
      <w:r>
        <w:rPr>
          <w:shd w:val="clear" w:color="auto" w:fill="FFFFFF"/>
        </w:rPr>
        <w:br w:type="page"/>
      </w:r>
    </w:p>
    <w:p w14:paraId="1C8695B5" w14:textId="532F0002" w:rsidR="00CC76B7" w:rsidRPr="00CC76B7" w:rsidRDefault="00CC76B7" w:rsidP="00607466">
      <w:pPr>
        <w:pStyle w:val="Heading3"/>
        <w:rPr>
          <w:shd w:val="clear" w:color="auto" w:fill="FFFFFF"/>
        </w:rPr>
      </w:pPr>
      <w:r w:rsidRPr="00CC76B7">
        <w:rPr>
          <w:shd w:val="clear" w:color="auto" w:fill="FFFFFF"/>
        </w:rPr>
        <w:lastRenderedPageBreak/>
        <w:t>Salaries expenditure</w:t>
      </w:r>
    </w:p>
    <w:p w14:paraId="53C4D425" w14:textId="63E94CB6" w:rsidR="00905088" w:rsidRDefault="00905088" w:rsidP="00607466">
      <w:r>
        <w:t>Salaries</w:t>
      </w:r>
      <w:r w:rsidR="000D7AD8">
        <w:t xml:space="preserve"> represent</w:t>
      </w:r>
      <w:r>
        <w:t xml:space="preserve"> </w:t>
      </w:r>
      <w:r w:rsidR="007E0645">
        <w:t xml:space="preserve">the single largest component of general government </w:t>
      </w:r>
      <w:r w:rsidR="00BD55E1">
        <w:t>expenses (41</w:t>
      </w:r>
      <w:r>
        <w:t xml:space="preserve">% </w:t>
      </w:r>
      <w:r w:rsidR="000D7AD8">
        <w:t xml:space="preserve">for </w:t>
      </w:r>
      <w:r w:rsidR="00BD55E1">
        <w:t>December 2020, or 45% if concurrent superannuation costs are also included</w:t>
      </w:r>
      <w:r>
        <w:t>).</w:t>
      </w:r>
    </w:p>
    <w:p w14:paraId="1F0A71F9" w14:textId="2998065E" w:rsidR="00D7121A" w:rsidRDefault="000D7AD8" w:rsidP="00607466">
      <w:r>
        <w:t>General</w:t>
      </w:r>
      <w:r w:rsidR="00905088">
        <w:t xml:space="preserve"> government salaries </w:t>
      </w:r>
      <w:r w:rsidR="00BD55E1">
        <w:t>for the first six months of 2020–21 grew by 5% to total $6,669 million</w:t>
      </w:r>
      <w:r w:rsidR="00500F12">
        <w:t xml:space="preserve"> (Figure 1)</w:t>
      </w:r>
      <w:r w:rsidR="00BD55E1">
        <w:t>.</w:t>
      </w:r>
    </w:p>
    <w:p w14:paraId="25CCE7A9" w14:textId="59ACDC6E" w:rsidR="00235732" w:rsidRDefault="00235732" w:rsidP="00607466">
      <w:pPr>
        <w:rPr>
          <w:sz w:val="20"/>
          <w:szCs w:val="20"/>
          <w:shd w:val="clear" w:color="auto" w:fill="FFFFFF"/>
        </w:rPr>
      </w:pPr>
      <w:r w:rsidRPr="00607466">
        <w:rPr>
          <w:sz w:val="20"/>
          <w:szCs w:val="20"/>
          <w:shd w:val="clear" w:color="auto" w:fill="FFFFFF"/>
        </w:rPr>
        <w:t xml:space="preserve">Figure 1. Salaries growth for the </w:t>
      </w:r>
      <w:r w:rsidR="00BA26FE" w:rsidRPr="00607466">
        <w:rPr>
          <w:sz w:val="20"/>
          <w:szCs w:val="20"/>
          <w:shd w:val="clear" w:color="auto" w:fill="FFFFFF"/>
        </w:rPr>
        <w:t>September quarter since 2010–11</w:t>
      </w:r>
      <w:r w:rsidR="00583006" w:rsidRPr="00607466">
        <w:rPr>
          <w:sz w:val="20"/>
          <w:szCs w:val="20"/>
          <w:shd w:val="clear" w:color="auto" w:fill="FFFFFF"/>
        </w:rPr>
        <w:t xml:space="preserve"> </w:t>
      </w:r>
      <w:r w:rsidRPr="00607466">
        <w:rPr>
          <w:sz w:val="20"/>
          <w:szCs w:val="20"/>
          <w:shd w:val="clear" w:color="auto" w:fill="FFFFFF"/>
        </w:rPr>
        <w:t>(general government)</w:t>
      </w:r>
    </w:p>
    <w:p w14:paraId="57913DFA" w14:textId="7AA615ED" w:rsidR="0092508A" w:rsidRPr="00607466" w:rsidRDefault="0092508A" w:rsidP="00607466">
      <w:pPr>
        <w:rPr>
          <w:sz w:val="20"/>
          <w:szCs w:val="20"/>
          <w:shd w:val="clear" w:color="auto" w:fill="FFFFFF"/>
        </w:rPr>
      </w:pPr>
      <w:r>
        <w:rPr>
          <w:noProof/>
          <w:sz w:val="20"/>
          <w:szCs w:val="20"/>
          <w:shd w:val="clear" w:color="auto" w:fill="FFFFFF"/>
        </w:rPr>
        <w:drawing>
          <wp:inline distT="0" distB="0" distL="0" distR="0" wp14:anchorId="76618298" wp14:editId="540B1FC5">
            <wp:extent cx="5709600" cy="3085200"/>
            <wp:effectExtent l="0" t="0" r="5715" b="127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9600" cy="3085200"/>
                    </a:xfrm>
                    <a:prstGeom prst="rect">
                      <a:avLst/>
                    </a:prstGeom>
                    <a:noFill/>
                  </pic:spPr>
                </pic:pic>
              </a:graphicData>
            </a:graphic>
          </wp:inline>
        </w:drawing>
      </w:r>
    </w:p>
    <w:p w14:paraId="6FBB2B37" w14:textId="1D3AB777" w:rsidR="00A81B43" w:rsidRPr="00607466" w:rsidRDefault="00A81B43" w:rsidP="00607466">
      <w:pPr>
        <w:rPr>
          <w:sz w:val="20"/>
          <w:szCs w:val="20"/>
          <w:lang w:eastAsia="zh-CN"/>
        </w:rPr>
      </w:pPr>
      <w:r w:rsidRPr="00607466">
        <w:rPr>
          <w:sz w:val="20"/>
          <w:szCs w:val="20"/>
          <w:lang w:eastAsia="zh-CN"/>
        </w:rPr>
        <w:t xml:space="preserve">[ALT text - </w:t>
      </w:r>
      <w:r w:rsidR="00F84448" w:rsidRPr="00607466">
        <w:rPr>
          <w:sz w:val="20"/>
          <w:szCs w:val="20"/>
        </w:rPr>
        <w:t xml:space="preserve">Salaries growth for the </w:t>
      </w:r>
      <w:r w:rsidR="0092508A">
        <w:rPr>
          <w:sz w:val="20"/>
          <w:szCs w:val="20"/>
        </w:rPr>
        <w:t>December quarter was 5.0</w:t>
      </w:r>
      <w:r w:rsidR="00BD55E1">
        <w:rPr>
          <w:sz w:val="20"/>
          <w:szCs w:val="20"/>
        </w:rPr>
        <w:t>%</w:t>
      </w:r>
      <w:r w:rsidR="007E0645" w:rsidRPr="00607466">
        <w:rPr>
          <w:sz w:val="20"/>
          <w:szCs w:val="20"/>
        </w:rPr>
        <w:t xml:space="preserve">, </w:t>
      </w:r>
      <w:r w:rsidR="00F84448" w:rsidRPr="00607466">
        <w:rPr>
          <w:sz w:val="20"/>
          <w:szCs w:val="20"/>
        </w:rPr>
        <w:t xml:space="preserve">compared to a ten-year average of </w:t>
      </w:r>
      <w:r w:rsidR="0092508A">
        <w:rPr>
          <w:sz w:val="20"/>
          <w:szCs w:val="20"/>
        </w:rPr>
        <w:t>4.4</w:t>
      </w:r>
      <w:r w:rsidR="00BD55E1">
        <w:rPr>
          <w:sz w:val="20"/>
          <w:szCs w:val="20"/>
        </w:rPr>
        <w:t>%</w:t>
      </w:r>
      <w:r w:rsidRPr="00607466">
        <w:rPr>
          <w:noProof/>
          <w:sz w:val="20"/>
          <w:szCs w:val="20"/>
        </w:rPr>
        <w:t>.]</w:t>
      </w:r>
    </w:p>
    <w:p w14:paraId="7A75E127" w14:textId="15474B88" w:rsidR="007C147E" w:rsidRPr="000610C7" w:rsidRDefault="0092508A" w:rsidP="00607466">
      <w:pPr>
        <w:rPr>
          <w:shd w:val="clear" w:color="auto" w:fill="FFFFFF"/>
        </w:rPr>
      </w:pPr>
      <w:r>
        <w:rPr>
          <w:shd w:val="clear" w:color="auto" w:fill="FFFFFF"/>
        </w:rPr>
        <w:t>Source: Department of Treasury</w:t>
      </w:r>
    </w:p>
    <w:p w14:paraId="730694A5" w14:textId="77777777" w:rsidR="00763D60" w:rsidRDefault="00763D60" w:rsidP="00607466">
      <w:pPr>
        <w:rPr>
          <w:color w:val="1A1A1A"/>
          <w:sz w:val="32"/>
          <w:szCs w:val="32"/>
        </w:rPr>
      </w:pPr>
      <w:r>
        <w:br w:type="page"/>
      </w:r>
    </w:p>
    <w:p w14:paraId="464FD60E" w14:textId="157DC352" w:rsidR="007C147E" w:rsidRDefault="00C96AD0" w:rsidP="00607466">
      <w:pPr>
        <w:pStyle w:val="Heading2"/>
      </w:pPr>
      <w:r>
        <w:lastRenderedPageBreak/>
        <w:t>Historical h</w:t>
      </w:r>
      <w:r w:rsidR="007C147E" w:rsidRPr="007C147E">
        <w:t>eadcount</w:t>
      </w:r>
      <w:r w:rsidR="000610C7">
        <w:t xml:space="preserve">, </w:t>
      </w:r>
      <w:proofErr w:type="gramStart"/>
      <w:r w:rsidR="000610C7">
        <w:t>FTE</w:t>
      </w:r>
      <w:proofErr w:type="gramEnd"/>
      <w:r w:rsidR="000610C7">
        <w:t xml:space="preserve"> and salaries expenditure </w:t>
      </w:r>
    </w:p>
    <w:tbl>
      <w:tblPr>
        <w:tblStyle w:val="ListTable3-Accent6"/>
        <w:tblW w:w="0" w:type="auto"/>
        <w:tblBorders>
          <w:insideH w:val="single" w:sz="4" w:space="0" w:color="70AD47" w:themeColor="accent6"/>
          <w:insideV w:val="single" w:sz="4" w:space="0" w:color="70AD47" w:themeColor="accent6"/>
        </w:tblBorders>
        <w:shd w:val="clear" w:color="auto" w:fill="2B9947"/>
        <w:tblLook w:val="04A0" w:firstRow="1" w:lastRow="0" w:firstColumn="1" w:lastColumn="0" w:noHBand="0" w:noVBand="1"/>
      </w:tblPr>
      <w:tblGrid>
        <w:gridCol w:w="2266"/>
        <w:gridCol w:w="1845"/>
        <w:gridCol w:w="1701"/>
        <w:gridCol w:w="2268"/>
      </w:tblGrid>
      <w:tr w:rsidR="00607466" w:rsidRPr="00607466" w14:paraId="244B2CDB" w14:textId="77777777" w:rsidTr="00607466">
        <w:trPr>
          <w:cnfStyle w:val="100000000000" w:firstRow="1" w:lastRow="0" w:firstColumn="0" w:lastColumn="0" w:oddVBand="0" w:evenVBand="0" w:oddHBand="0" w:evenHBand="0" w:firstRowFirstColumn="0" w:firstRowLastColumn="0" w:lastRowFirstColumn="0" w:lastRowLastColumn="0"/>
          <w:trHeight w:val="242"/>
        </w:trPr>
        <w:tc>
          <w:tcPr>
            <w:cnfStyle w:val="001000000100" w:firstRow="0" w:lastRow="0" w:firstColumn="1" w:lastColumn="0" w:oddVBand="0" w:evenVBand="0" w:oddHBand="0" w:evenHBand="0" w:firstRowFirstColumn="1" w:firstRowLastColumn="0" w:lastRowFirstColumn="0" w:lastRowLastColumn="0"/>
            <w:tcW w:w="2266" w:type="dxa"/>
            <w:shd w:val="clear" w:color="auto" w:fill="2B9947"/>
            <w:vAlign w:val="bottom"/>
          </w:tcPr>
          <w:p w14:paraId="7FD3C022" w14:textId="77777777" w:rsidR="007C147E" w:rsidRPr="00607466" w:rsidRDefault="007C147E" w:rsidP="001648F9">
            <w:pPr>
              <w:spacing w:before="60" w:beforeAutospacing="0" w:after="60"/>
              <w:rPr>
                <w:b w:val="0"/>
                <w:color w:val="FFFFFF" w:themeColor="background1"/>
                <w:lang w:val="en-US" w:eastAsia="zh-CN"/>
              </w:rPr>
            </w:pPr>
            <w:r w:rsidRPr="00607466">
              <w:rPr>
                <w:b w:val="0"/>
                <w:color w:val="FFFFFF" w:themeColor="background1"/>
                <w:lang w:val="en-US" w:eastAsia="zh-CN"/>
              </w:rPr>
              <w:t>Quarter</w:t>
            </w:r>
          </w:p>
        </w:tc>
        <w:tc>
          <w:tcPr>
            <w:tcW w:w="1845" w:type="dxa"/>
            <w:shd w:val="clear" w:color="auto" w:fill="2B9947"/>
            <w:vAlign w:val="bottom"/>
          </w:tcPr>
          <w:p w14:paraId="797ECB83" w14:textId="2CA23FE8" w:rsidR="007C147E" w:rsidRPr="00607466" w:rsidRDefault="007C147E" w:rsidP="001648F9">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Headcount</w:t>
            </w:r>
            <w:bookmarkStart w:id="0" w:name="_Ref501379223"/>
            <w:bookmarkEnd w:id="0"/>
          </w:p>
        </w:tc>
        <w:tc>
          <w:tcPr>
            <w:tcW w:w="1701" w:type="dxa"/>
            <w:shd w:val="clear" w:color="auto" w:fill="2B9947"/>
            <w:vAlign w:val="bottom"/>
          </w:tcPr>
          <w:p w14:paraId="105267D7" w14:textId="677A67F1" w:rsidR="007C147E" w:rsidRPr="00607466" w:rsidRDefault="007C147E" w:rsidP="001648F9">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FTE</w:t>
            </w:r>
            <w:bookmarkStart w:id="1" w:name="_Ref501379429"/>
            <w:bookmarkEnd w:id="1"/>
          </w:p>
        </w:tc>
        <w:tc>
          <w:tcPr>
            <w:tcW w:w="2268" w:type="dxa"/>
            <w:shd w:val="clear" w:color="auto" w:fill="2B9947"/>
          </w:tcPr>
          <w:p w14:paraId="44665156" w14:textId="321D982D" w:rsidR="007C147E" w:rsidRPr="00607466" w:rsidRDefault="007C147E" w:rsidP="001648F9">
            <w:pPr>
              <w:spacing w:before="60" w:beforeAutospacing="0" w:after="60"/>
              <w:jc w:val="center"/>
              <w:cnfStyle w:val="100000000000" w:firstRow="1" w:lastRow="0" w:firstColumn="0" w:lastColumn="0" w:oddVBand="0" w:evenVBand="0" w:oddHBand="0" w:evenHBand="0" w:firstRowFirstColumn="0" w:firstRowLastColumn="0" w:lastRowFirstColumn="0" w:lastRowLastColumn="0"/>
              <w:rPr>
                <w:b w:val="0"/>
                <w:color w:val="FFFFFF" w:themeColor="background1"/>
                <w:lang w:val="en-US" w:eastAsia="zh-CN"/>
              </w:rPr>
            </w:pPr>
            <w:r w:rsidRPr="00607466">
              <w:rPr>
                <w:b w:val="0"/>
                <w:color w:val="FFFFFF" w:themeColor="background1"/>
                <w:lang w:val="en-US" w:eastAsia="zh-CN"/>
              </w:rPr>
              <w:t xml:space="preserve">Salaries </w:t>
            </w:r>
            <w:r w:rsidR="00F27804" w:rsidRPr="00607466">
              <w:rPr>
                <w:b w:val="0"/>
                <w:color w:val="FFFFFF" w:themeColor="background1"/>
                <w:lang w:val="en-US" w:eastAsia="zh-CN"/>
              </w:rPr>
              <w:br/>
            </w:r>
            <w:r w:rsidRPr="00607466">
              <w:rPr>
                <w:b w:val="0"/>
                <w:color w:val="FFFFFF" w:themeColor="background1"/>
                <w:lang w:val="en-US" w:eastAsia="zh-CN"/>
              </w:rPr>
              <w:t>expenditure ($M)</w:t>
            </w:r>
          </w:p>
        </w:tc>
      </w:tr>
      <w:tr w:rsidR="007C147E" w:rsidRPr="00EB09F0" w14:paraId="6C73D5C3"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7304948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2015</w:t>
            </w:r>
          </w:p>
        </w:tc>
        <w:tc>
          <w:tcPr>
            <w:tcW w:w="1845" w:type="dxa"/>
            <w:tcBorders>
              <w:top w:val="none" w:sz="0" w:space="0" w:color="auto"/>
              <w:bottom w:val="none" w:sz="0" w:space="0" w:color="auto"/>
            </w:tcBorders>
            <w:shd w:val="clear" w:color="auto" w:fill="auto"/>
          </w:tcPr>
          <w:p w14:paraId="11C26652" w14:textId="72A5394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277</w:t>
            </w:r>
          </w:p>
        </w:tc>
        <w:tc>
          <w:tcPr>
            <w:tcW w:w="1701" w:type="dxa"/>
            <w:tcBorders>
              <w:top w:val="none" w:sz="0" w:space="0" w:color="auto"/>
              <w:bottom w:val="none" w:sz="0" w:space="0" w:color="auto"/>
            </w:tcBorders>
            <w:shd w:val="clear" w:color="auto" w:fill="auto"/>
          </w:tcPr>
          <w:p w14:paraId="69DC0DA9" w14:textId="5A9BB308"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919</w:t>
            </w:r>
          </w:p>
        </w:tc>
        <w:tc>
          <w:tcPr>
            <w:tcW w:w="2268" w:type="dxa"/>
            <w:tcBorders>
              <w:top w:val="none" w:sz="0" w:space="0" w:color="auto"/>
              <w:bottom w:val="none" w:sz="0" w:space="0" w:color="auto"/>
            </w:tcBorders>
            <w:shd w:val="clear" w:color="auto" w:fill="auto"/>
          </w:tcPr>
          <w:p w14:paraId="3A04FD3D" w14:textId="65649D0B"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837</w:t>
            </w:r>
          </w:p>
        </w:tc>
      </w:tr>
      <w:tr w:rsidR="007C147E" w:rsidRPr="00EB09F0" w14:paraId="586CB399"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32DC9A6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2015</w:t>
            </w:r>
          </w:p>
        </w:tc>
        <w:tc>
          <w:tcPr>
            <w:tcW w:w="1845" w:type="dxa"/>
            <w:shd w:val="clear" w:color="auto" w:fill="auto"/>
          </w:tcPr>
          <w:p w14:paraId="541CC905" w14:textId="29AEB55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520</w:t>
            </w:r>
          </w:p>
        </w:tc>
        <w:tc>
          <w:tcPr>
            <w:tcW w:w="1701" w:type="dxa"/>
            <w:shd w:val="clear" w:color="auto" w:fill="auto"/>
          </w:tcPr>
          <w:p w14:paraId="6F58AFF6" w14:textId="103A6A9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325</w:t>
            </w:r>
          </w:p>
        </w:tc>
        <w:tc>
          <w:tcPr>
            <w:tcW w:w="2268" w:type="dxa"/>
            <w:shd w:val="clear" w:color="auto" w:fill="auto"/>
          </w:tcPr>
          <w:p w14:paraId="386366D4" w14:textId="22662F8A"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888</w:t>
            </w:r>
          </w:p>
        </w:tc>
      </w:tr>
      <w:tr w:rsidR="007C147E" w:rsidRPr="00EB09F0" w14:paraId="14B66C56"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5D32D397"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2016</w:t>
            </w:r>
          </w:p>
        </w:tc>
        <w:tc>
          <w:tcPr>
            <w:tcW w:w="1845" w:type="dxa"/>
            <w:tcBorders>
              <w:top w:val="none" w:sz="0" w:space="0" w:color="auto"/>
              <w:bottom w:val="none" w:sz="0" w:space="0" w:color="auto"/>
            </w:tcBorders>
            <w:shd w:val="clear" w:color="auto" w:fill="auto"/>
          </w:tcPr>
          <w:p w14:paraId="01EC2DFD" w14:textId="2D93FDDE"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371</w:t>
            </w:r>
          </w:p>
        </w:tc>
        <w:tc>
          <w:tcPr>
            <w:tcW w:w="1701" w:type="dxa"/>
            <w:tcBorders>
              <w:top w:val="none" w:sz="0" w:space="0" w:color="auto"/>
              <w:bottom w:val="none" w:sz="0" w:space="0" w:color="auto"/>
            </w:tcBorders>
            <w:shd w:val="clear" w:color="auto" w:fill="auto"/>
          </w:tcPr>
          <w:p w14:paraId="5CACE620" w14:textId="1CC2EC76"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722</w:t>
            </w:r>
          </w:p>
        </w:tc>
        <w:tc>
          <w:tcPr>
            <w:tcW w:w="2268" w:type="dxa"/>
            <w:tcBorders>
              <w:top w:val="none" w:sz="0" w:space="0" w:color="auto"/>
              <w:bottom w:val="none" w:sz="0" w:space="0" w:color="auto"/>
            </w:tcBorders>
            <w:shd w:val="clear" w:color="auto" w:fill="auto"/>
          </w:tcPr>
          <w:p w14:paraId="700541B3" w14:textId="700B25A8"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801</w:t>
            </w:r>
          </w:p>
        </w:tc>
      </w:tr>
      <w:tr w:rsidR="007C147E" w:rsidRPr="00EB09F0" w14:paraId="19A26FDD"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3566DFE8"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2016</w:t>
            </w:r>
          </w:p>
        </w:tc>
        <w:tc>
          <w:tcPr>
            <w:tcW w:w="1845" w:type="dxa"/>
            <w:shd w:val="clear" w:color="auto" w:fill="auto"/>
          </w:tcPr>
          <w:p w14:paraId="46A897C1" w14:textId="0BCE26ED"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135</w:t>
            </w:r>
            <w:r w:rsidR="005F66C6">
              <w:rPr>
                <w:shd w:val="clear" w:color="auto" w:fill="FFFFFF"/>
              </w:rPr>
              <w:t>,</w:t>
            </w:r>
            <w:r w:rsidRPr="00EB09F0">
              <w:rPr>
                <w:shd w:val="clear" w:color="auto" w:fill="FFFFFF"/>
              </w:rPr>
              <w:t>770</w:t>
            </w:r>
          </w:p>
        </w:tc>
        <w:tc>
          <w:tcPr>
            <w:tcW w:w="1701" w:type="dxa"/>
            <w:shd w:val="clear" w:color="auto" w:fill="auto"/>
          </w:tcPr>
          <w:p w14:paraId="4CD2A419" w14:textId="73A6B67D"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107</w:t>
            </w:r>
            <w:r w:rsidR="005F66C6">
              <w:rPr>
                <w:shd w:val="clear" w:color="auto" w:fill="FFFFFF"/>
              </w:rPr>
              <w:t>,</w:t>
            </w:r>
            <w:r w:rsidRPr="00EB09F0">
              <w:rPr>
                <w:shd w:val="clear" w:color="auto" w:fill="FFFFFF"/>
              </w:rPr>
              <w:t>809</w:t>
            </w:r>
          </w:p>
        </w:tc>
        <w:tc>
          <w:tcPr>
            <w:tcW w:w="2268" w:type="dxa"/>
            <w:shd w:val="clear" w:color="auto" w:fill="auto"/>
          </w:tcPr>
          <w:p w14:paraId="47EE3CE1" w14:textId="7173CCF3"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857</w:t>
            </w:r>
          </w:p>
        </w:tc>
      </w:tr>
      <w:tr w:rsidR="007C147E" w:rsidRPr="00EB09F0" w14:paraId="05750C32"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7AA28E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2016</w:t>
            </w:r>
          </w:p>
        </w:tc>
        <w:tc>
          <w:tcPr>
            <w:tcW w:w="1845" w:type="dxa"/>
            <w:tcBorders>
              <w:top w:val="none" w:sz="0" w:space="0" w:color="auto"/>
              <w:bottom w:val="none" w:sz="0" w:space="0" w:color="auto"/>
            </w:tcBorders>
            <w:shd w:val="clear" w:color="auto" w:fill="auto"/>
          </w:tcPr>
          <w:p w14:paraId="25EF3767" w14:textId="53B0DBD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746</w:t>
            </w:r>
          </w:p>
        </w:tc>
        <w:tc>
          <w:tcPr>
            <w:tcW w:w="1701" w:type="dxa"/>
            <w:tcBorders>
              <w:top w:val="none" w:sz="0" w:space="0" w:color="auto"/>
              <w:bottom w:val="none" w:sz="0" w:space="0" w:color="auto"/>
            </w:tcBorders>
            <w:shd w:val="clear" w:color="auto" w:fill="auto"/>
          </w:tcPr>
          <w:p w14:paraId="652D20F7" w14:textId="3D41055F"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295</w:t>
            </w:r>
          </w:p>
        </w:tc>
        <w:tc>
          <w:tcPr>
            <w:tcW w:w="2268" w:type="dxa"/>
            <w:tcBorders>
              <w:top w:val="none" w:sz="0" w:space="0" w:color="auto"/>
              <w:bottom w:val="none" w:sz="0" w:space="0" w:color="auto"/>
            </w:tcBorders>
            <w:shd w:val="clear" w:color="auto" w:fill="auto"/>
          </w:tcPr>
          <w:p w14:paraId="0F568690" w14:textId="183BE416"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887</w:t>
            </w:r>
          </w:p>
        </w:tc>
      </w:tr>
      <w:tr w:rsidR="007C147E" w:rsidRPr="00EB09F0" w14:paraId="37DFFE0A"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6619162"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2016</w:t>
            </w:r>
          </w:p>
        </w:tc>
        <w:tc>
          <w:tcPr>
            <w:tcW w:w="1845" w:type="dxa"/>
            <w:shd w:val="clear" w:color="auto" w:fill="auto"/>
          </w:tcPr>
          <w:p w14:paraId="181357C9" w14:textId="4ECD8407"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135</w:t>
            </w:r>
            <w:r w:rsidR="005F66C6">
              <w:rPr>
                <w:shd w:val="clear" w:color="auto" w:fill="FFFFFF"/>
              </w:rPr>
              <w:t>,</w:t>
            </w:r>
            <w:r w:rsidRPr="00EB09F0">
              <w:rPr>
                <w:shd w:val="clear" w:color="auto" w:fill="FFFFFF"/>
              </w:rPr>
              <w:t>936</w:t>
            </w:r>
          </w:p>
        </w:tc>
        <w:tc>
          <w:tcPr>
            <w:tcW w:w="1701" w:type="dxa"/>
            <w:shd w:val="clear" w:color="auto" w:fill="auto"/>
          </w:tcPr>
          <w:p w14:paraId="391B852C" w14:textId="16A0D8D2"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106</w:t>
            </w:r>
            <w:r w:rsidR="005F66C6">
              <w:rPr>
                <w:shd w:val="clear" w:color="auto" w:fill="FFFFFF"/>
              </w:rPr>
              <w:t>,</w:t>
            </w:r>
            <w:r w:rsidRPr="00EB09F0">
              <w:rPr>
                <w:shd w:val="clear" w:color="auto" w:fill="FFFFFF"/>
              </w:rPr>
              <w:t>830</w:t>
            </w:r>
          </w:p>
        </w:tc>
        <w:tc>
          <w:tcPr>
            <w:tcW w:w="2268" w:type="dxa"/>
            <w:shd w:val="clear" w:color="auto" w:fill="auto"/>
          </w:tcPr>
          <w:p w14:paraId="6FD0C9F0" w14:textId="2D72851E"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931</w:t>
            </w:r>
          </w:p>
        </w:tc>
      </w:tr>
      <w:tr w:rsidR="007C147E" w:rsidRPr="00EB09F0" w14:paraId="4474A4E5"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721973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2017</w:t>
            </w:r>
          </w:p>
        </w:tc>
        <w:tc>
          <w:tcPr>
            <w:tcW w:w="1845" w:type="dxa"/>
            <w:tcBorders>
              <w:top w:val="none" w:sz="0" w:space="0" w:color="auto"/>
              <w:bottom w:val="none" w:sz="0" w:space="0" w:color="auto"/>
            </w:tcBorders>
            <w:shd w:val="clear" w:color="auto" w:fill="auto"/>
          </w:tcPr>
          <w:p w14:paraId="4EB384DB" w14:textId="35C9575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144</w:t>
            </w:r>
          </w:p>
        </w:tc>
        <w:tc>
          <w:tcPr>
            <w:tcW w:w="1701" w:type="dxa"/>
            <w:tcBorders>
              <w:top w:val="none" w:sz="0" w:space="0" w:color="auto"/>
              <w:bottom w:val="none" w:sz="0" w:space="0" w:color="auto"/>
            </w:tcBorders>
            <w:shd w:val="clear" w:color="auto" w:fill="auto"/>
          </w:tcPr>
          <w:p w14:paraId="57FC97E7" w14:textId="7927A861"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109</w:t>
            </w:r>
            <w:r w:rsidR="005F66C6">
              <w:rPr>
                <w:shd w:val="clear" w:color="auto" w:fill="FFFFFF"/>
              </w:rPr>
              <w:t>,</w:t>
            </w:r>
            <w:r w:rsidRPr="00EB09F0">
              <w:rPr>
                <w:shd w:val="clear" w:color="auto" w:fill="FFFFFF"/>
              </w:rPr>
              <w:t>895</w:t>
            </w:r>
          </w:p>
        </w:tc>
        <w:tc>
          <w:tcPr>
            <w:tcW w:w="2268" w:type="dxa"/>
            <w:tcBorders>
              <w:top w:val="none" w:sz="0" w:space="0" w:color="auto"/>
              <w:bottom w:val="none" w:sz="0" w:space="0" w:color="auto"/>
            </w:tcBorders>
            <w:shd w:val="clear" w:color="auto" w:fill="auto"/>
          </w:tcPr>
          <w:p w14:paraId="105C6AAA" w14:textId="79FD8531"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880</w:t>
            </w:r>
          </w:p>
        </w:tc>
      </w:tr>
      <w:tr w:rsidR="007C147E" w:rsidRPr="00EB09F0" w14:paraId="3DBA2E77"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9E6B451"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2017</w:t>
            </w:r>
          </w:p>
        </w:tc>
        <w:tc>
          <w:tcPr>
            <w:tcW w:w="1845" w:type="dxa"/>
            <w:shd w:val="clear" w:color="auto" w:fill="auto"/>
          </w:tcPr>
          <w:p w14:paraId="32A05A13" w14:textId="48F2F58F"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140</w:t>
            </w:r>
            <w:r w:rsidR="005F66C6">
              <w:rPr>
                <w:shd w:val="clear" w:color="auto" w:fill="FFFFFF"/>
              </w:rPr>
              <w:t>,</w:t>
            </w:r>
            <w:r w:rsidRPr="00EB09F0">
              <w:rPr>
                <w:shd w:val="clear" w:color="auto" w:fill="FFFFFF"/>
              </w:rPr>
              <w:t>403</w:t>
            </w:r>
          </w:p>
        </w:tc>
        <w:tc>
          <w:tcPr>
            <w:tcW w:w="1701" w:type="dxa"/>
            <w:shd w:val="clear" w:color="auto" w:fill="auto"/>
          </w:tcPr>
          <w:p w14:paraId="4CAC4BCA" w14:textId="7B9603FE"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662</w:t>
            </w:r>
          </w:p>
        </w:tc>
        <w:tc>
          <w:tcPr>
            <w:tcW w:w="2268" w:type="dxa"/>
            <w:shd w:val="clear" w:color="auto" w:fill="auto"/>
          </w:tcPr>
          <w:p w14:paraId="08E469C4" w14:textId="222A3ADB"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912</w:t>
            </w:r>
          </w:p>
        </w:tc>
      </w:tr>
      <w:tr w:rsidR="007C147E" w:rsidRPr="00EB09F0" w14:paraId="00C7239A"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A954FCB"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2017</w:t>
            </w:r>
          </w:p>
        </w:tc>
        <w:tc>
          <w:tcPr>
            <w:tcW w:w="1845" w:type="dxa"/>
            <w:tcBorders>
              <w:top w:val="none" w:sz="0" w:space="0" w:color="auto"/>
              <w:bottom w:val="none" w:sz="0" w:space="0" w:color="auto"/>
            </w:tcBorders>
            <w:shd w:val="clear" w:color="auto" w:fill="auto"/>
          </w:tcPr>
          <w:p w14:paraId="3D22D9F1" w14:textId="16B508F3"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141</w:t>
            </w:r>
            <w:r w:rsidR="005F66C6">
              <w:rPr>
                <w:shd w:val="clear" w:color="auto" w:fill="FFFFFF"/>
              </w:rPr>
              <w:t>,</w:t>
            </w:r>
            <w:r w:rsidRPr="00EB09F0">
              <w:rPr>
                <w:shd w:val="clear" w:color="auto" w:fill="FFFFFF"/>
              </w:rPr>
              <w:t>609</w:t>
            </w:r>
          </w:p>
        </w:tc>
        <w:tc>
          <w:tcPr>
            <w:tcW w:w="1701" w:type="dxa"/>
            <w:tcBorders>
              <w:top w:val="none" w:sz="0" w:space="0" w:color="auto"/>
              <w:bottom w:val="none" w:sz="0" w:space="0" w:color="auto"/>
            </w:tcBorders>
            <w:shd w:val="clear" w:color="auto" w:fill="auto"/>
          </w:tcPr>
          <w:p w14:paraId="7D0FB90E" w14:textId="3B9C54CB"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472</w:t>
            </w:r>
          </w:p>
        </w:tc>
        <w:tc>
          <w:tcPr>
            <w:tcW w:w="2268" w:type="dxa"/>
            <w:tcBorders>
              <w:top w:val="none" w:sz="0" w:space="0" w:color="auto"/>
              <w:bottom w:val="none" w:sz="0" w:space="0" w:color="auto"/>
            </w:tcBorders>
            <w:shd w:val="clear" w:color="auto" w:fill="auto"/>
          </w:tcPr>
          <w:p w14:paraId="5F3B4B5D" w14:textId="0759ABE1"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980</w:t>
            </w:r>
          </w:p>
        </w:tc>
      </w:tr>
      <w:tr w:rsidR="007C147E" w:rsidRPr="00EB09F0" w14:paraId="5124A480"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2AD853D"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2017</w:t>
            </w:r>
          </w:p>
        </w:tc>
        <w:tc>
          <w:tcPr>
            <w:tcW w:w="1845" w:type="dxa"/>
            <w:shd w:val="clear" w:color="auto" w:fill="auto"/>
          </w:tcPr>
          <w:p w14:paraId="05DD5B25" w14:textId="4663192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137</w:t>
            </w:r>
            <w:r w:rsidR="005F66C6">
              <w:rPr>
                <w:shd w:val="clear" w:color="auto" w:fill="FFFFFF"/>
              </w:rPr>
              <w:t>,</w:t>
            </w:r>
            <w:r w:rsidRPr="00EB09F0">
              <w:rPr>
                <w:shd w:val="clear" w:color="auto" w:fill="FFFFFF"/>
              </w:rPr>
              <w:t>878</w:t>
            </w:r>
          </w:p>
        </w:tc>
        <w:tc>
          <w:tcPr>
            <w:tcW w:w="1701" w:type="dxa"/>
            <w:shd w:val="clear" w:color="auto" w:fill="auto"/>
          </w:tcPr>
          <w:p w14:paraId="17FE3B56" w14:textId="24576CBF"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108</w:t>
            </w:r>
            <w:r w:rsidR="005F66C6">
              <w:rPr>
                <w:shd w:val="clear" w:color="auto" w:fill="FFFFFF"/>
              </w:rPr>
              <w:t>,</w:t>
            </w:r>
            <w:r w:rsidRPr="00EB09F0">
              <w:rPr>
                <w:shd w:val="clear" w:color="auto" w:fill="FFFFFF"/>
              </w:rPr>
              <w:t>371</w:t>
            </w:r>
          </w:p>
        </w:tc>
        <w:tc>
          <w:tcPr>
            <w:tcW w:w="2268" w:type="dxa"/>
            <w:shd w:val="clear" w:color="auto" w:fill="auto"/>
          </w:tcPr>
          <w:p w14:paraId="0F37221E" w14:textId="6B12E1D1"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029</w:t>
            </w:r>
          </w:p>
        </w:tc>
      </w:tr>
      <w:tr w:rsidR="007C147E" w:rsidRPr="00EB09F0" w14:paraId="2D2891C1"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5C7A6E8"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2018</w:t>
            </w:r>
          </w:p>
        </w:tc>
        <w:tc>
          <w:tcPr>
            <w:tcW w:w="1845" w:type="dxa"/>
            <w:tcBorders>
              <w:top w:val="none" w:sz="0" w:space="0" w:color="auto"/>
              <w:bottom w:val="none" w:sz="0" w:space="0" w:color="auto"/>
            </w:tcBorders>
            <w:shd w:val="clear" w:color="auto" w:fill="auto"/>
          </w:tcPr>
          <w:p w14:paraId="575AD50B" w14:textId="47DB4AFC"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140</w:t>
            </w:r>
            <w:r w:rsidR="005F66C6">
              <w:rPr>
                <w:shd w:val="clear" w:color="auto" w:fill="FFFFFF"/>
              </w:rPr>
              <w:t>,</w:t>
            </w:r>
            <w:r w:rsidRPr="00EB09F0">
              <w:rPr>
                <w:shd w:val="clear" w:color="auto" w:fill="FFFFFF"/>
              </w:rPr>
              <w:t>799</w:t>
            </w:r>
          </w:p>
        </w:tc>
        <w:tc>
          <w:tcPr>
            <w:tcW w:w="1701" w:type="dxa"/>
            <w:tcBorders>
              <w:top w:val="none" w:sz="0" w:space="0" w:color="auto"/>
              <w:bottom w:val="none" w:sz="0" w:space="0" w:color="auto"/>
            </w:tcBorders>
            <w:shd w:val="clear" w:color="auto" w:fill="auto"/>
          </w:tcPr>
          <w:p w14:paraId="52ABDAC4" w14:textId="06A18A62"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404</w:t>
            </w:r>
          </w:p>
        </w:tc>
        <w:tc>
          <w:tcPr>
            <w:tcW w:w="2268" w:type="dxa"/>
            <w:tcBorders>
              <w:top w:val="none" w:sz="0" w:space="0" w:color="auto"/>
              <w:bottom w:val="none" w:sz="0" w:space="0" w:color="auto"/>
            </w:tcBorders>
            <w:shd w:val="clear" w:color="auto" w:fill="auto"/>
          </w:tcPr>
          <w:p w14:paraId="25F46DE4" w14:textId="6BEBBD54"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049</w:t>
            </w:r>
          </w:p>
        </w:tc>
      </w:tr>
      <w:tr w:rsidR="007C147E" w:rsidRPr="00EB09F0" w14:paraId="1D75F231"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86C6F5C"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June 2018</w:t>
            </w:r>
          </w:p>
        </w:tc>
        <w:tc>
          <w:tcPr>
            <w:tcW w:w="1845" w:type="dxa"/>
            <w:shd w:val="clear" w:color="auto" w:fill="auto"/>
          </w:tcPr>
          <w:p w14:paraId="42F8D285" w14:textId="711EB0F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139</w:t>
            </w:r>
            <w:r w:rsidR="005F66C6">
              <w:rPr>
                <w:shd w:val="clear" w:color="auto" w:fill="FFFFFF"/>
              </w:rPr>
              <w:t>,</w:t>
            </w:r>
            <w:r w:rsidRPr="00EB09F0">
              <w:rPr>
                <w:shd w:val="clear" w:color="auto" w:fill="FFFFFF"/>
              </w:rPr>
              <w:t>812</w:t>
            </w:r>
          </w:p>
        </w:tc>
        <w:tc>
          <w:tcPr>
            <w:tcW w:w="1701" w:type="dxa"/>
            <w:shd w:val="clear" w:color="auto" w:fill="auto"/>
          </w:tcPr>
          <w:p w14:paraId="5EB117B3" w14:textId="0672DD4A"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110</w:t>
            </w:r>
            <w:r w:rsidR="005F66C6">
              <w:rPr>
                <w:shd w:val="clear" w:color="auto" w:fill="FFFFFF"/>
              </w:rPr>
              <w:t>,</w:t>
            </w:r>
            <w:r w:rsidRPr="00EB09F0">
              <w:rPr>
                <w:shd w:val="clear" w:color="auto" w:fill="FFFFFF"/>
              </w:rPr>
              <w:t>373</w:t>
            </w:r>
          </w:p>
        </w:tc>
        <w:tc>
          <w:tcPr>
            <w:tcW w:w="2268" w:type="dxa"/>
            <w:shd w:val="clear" w:color="auto" w:fill="auto"/>
          </w:tcPr>
          <w:p w14:paraId="4AE710A2" w14:textId="0436A2C5"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135</w:t>
            </w:r>
          </w:p>
        </w:tc>
      </w:tr>
      <w:tr w:rsidR="007C147E" w:rsidRPr="00EB09F0" w14:paraId="7198FF12"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50D90563"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September 2018</w:t>
            </w:r>
          </w:p>
        </w:tc>
        <w:tc>
          <w:tcPr>
            <w:tcW w:w="1845" w:type="dxa"/>
            <w:tcBorders>
              <w:top w:val="none" w:sz="0" w:space="0" w:color="auto"/>
              <w:bottom w:val="none" w:sz="0" w:space="0" w:color="auto"/>
            </w:tcBorders>
            <w:shd w:val="clear" w:color="auto" w:fill="auto"/>
          </w:tcPr>
          <w:p w14:paraId="30B07AA9" w14:textId="3C8091AB"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141</w:t>
            </w:r>
            <w:r w:rsidR="005F66C6">
              <w:rPr>
                <w:shd w:val="clear" w:color="auto" w:fill="FFFFFF"/>
              </w:rPr>
              <w:t>,</w:t>
            </w:r>
            <w:r w:rsidRPr="00EB09F0">
              <w:rPr>
                <w:shd w:val="clear" w:color="auto" w:fill="FFFFFF"/>
              </w:rPr>
              <w:t>744</w:t>
            </w:r>
          </w:p>
        </w:tc>
        <w:tc>
          <w:tcPr>
            <w:tcW w:w="1701" w:type="dxa"/>
            <w:tcBorders>
              <w:top w:val="none" w:sz="0" w:space="0" w:color="auto"/>
              <w:bottom w:val="none" w:sz="0" w:space="0" w:color="auto"/>
            </w:tcBorders>
            <w:shd w:val="clear" w:color="auto" w:fill="auto"/>
          </w:tcPr>
          <w:p w14:paraId="7D5E7B1C" w14:textId="4B202605"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255</w:t>
            </w:r>
          </w:p>
        </w:tc>
        <w:tc>
          <w:tcPr>
            <w:tcW w:w="2268" w:type="dxa"/>
            <w:tcBorders>
              <w:top w:val="none" w:sz="0" w:space="0" w:color="auto"/>
              <w:bottom w:val="none" w:sz="0" w:space="0" w:color="auto"/>
            </w:tcBorders>
            <w:shd w:val="clear" w:color="auto" w:fill="auto"/>
          </w:tcPr>
          <w:p w14:paraId="2CA5D995" w14:textId="42E6E150"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023</w:t>
            </w:r>
          </w:p>
        </w:tc>
      </w:tr>
      <w:tr w:rsidR="007C147E" w:rsidRPr="00EB09F0" w14:paraId="3494DDF2"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157E3C7E"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December 2018</w:t>
            </w:r>
          </w:p>
        </w:tc>
        <w:tc>
          <w:tcPr>
            <w:tcW w:w="1845" w:type="dxa"/>
            <w:shd w:val="clear" w:color="auto" w:fill="auto"/>
          </w:tcPr>
          <w:p w14:paraId="26E3776E" w14:textId="0554F280"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138</w:t>
            </w:r>
            <w:r w:rsidR="005F66C6">
              <w:rPr>
                <w:shd w:val="clear" w:color="auto" w:fill="FFFFFF"/>
              </w:rPr>
              <w:t>,</w:t>
            </w:r>
            <w:r w:rsidRPr="00EB09F0">
              <w:rPr>
                <w:shd w:val="clear" w:color="auto" w:fill="FFFFFF"/>
              </w:rPr>
              <w:t>678</w:t>
            </w:r>
          </w:p>
        </w:tc>
        <w:tc>
          <w:tcPr>
            <w:tcW w:w="1701" w:type="dxa"/>
            <w:shd w:val="clear" w:color="auto" w:fill="auto"/>
          </w:tcPr>
          <w:p w14:paraId="7F697FA3" w14:textId="27383418" w:rsidR="007C147E" w:rsidRPr="00EB09F0" w:rsidRDefault="007C147E"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40739E">
              <w:rPr>
                <w:shd w:val="clear" w:color="auto" w:fill="FFFFFF"/>
              </w:rPr>
              <w:t>108</w:t>
            </w:r>
            <w:r w:rsidR="005F66C6">
              <w:rPr>
                <w:shd w:val="clear" w:color="auto" w:fill="FFFFFF"/>
              </w:rPr>
              <w:t>,</w:t>
            </w:r>
            <w:r w:rsidR="0040739E" w:rsidRPr="0040739E">
              <w:rPr>
                <w:shd w:val="clear" w:color="auto" w:fill="FFFFFF"/>
              </w:rPr>
              <w:t>601</w:t>
            </w:r>
          </w:p>
        </w:tc>
        <w:tc>
          <w:tcPr>
            <w:tcW w:w="2268" w:type="dxa"/>
            <w:shd w:val="clear" w:color="auto" w:fill="auto"/>
          </w:tcPr>
          <w:p w14:paraId="0D5297C3" w14:textId="7B1550D7" w:rsidR="007C147E"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7C147E" w:rsidRPr="00EB09F0">
              <w:rPr>
                <w:shd w:val="clear" w:color="auto" w:fill="FFFFFF"/>
              </w:rPr>
              <w:t>091</w:t>
            </w:r>
          </w:p>
        </w:tc>
      </w:tr>
      <w:tr w:rsidR="007C147E" w:rsidRPr="00EB09F0" w14:paraId="4028E4BD"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4E13590A" w14:textId="77777777" w:rsidR="007C147E" w:rsidRPr="00607466" w:rsidRDefault="007C147E" w:rsidP="001648F9">
            <w:pPr>
              <w:spacing w:before="60" w:beforeAutospacing="0" w:after="60"/>
              <w:rPr>
                <w:b w:val="0"/>
                <w:bCs w:val="0"/>
                <w:shd w:val="clear" w:color="auto" w:fill="FFFFFF"/>
              </w:rPr>
            </w:pPr>
            <w:r w:rsidRPr="00607466">
              <w:rPr>
                <w:b w:val="0"/>
                <w:shd w:val="clear" w:color="auto" w:fill="FFFFFF"/>
              </w:rPr>
              <w:t>March 2019</w:t>
            </w:r>
          </w:p>
        </w:tc>
        <w:tc>
          <w:tcPr>
            <w:tcW w:w="1845" w:type="dxa"/>
            <w:tcBorders>
              <w:top w:val="none" w:sz="0" w:space="0" w:color="auto"/>
              <w:bottom w:val="none" w:sz="0" w:space="0" w:color="auto"/>
            </w:tcBorders>
            <w:shd w:val="clear" w:color="auto" w:fill="auto"/>
          </w:tcPr>
          <w:p w14:paraId="574BC373" w14:textId="75D485E5"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142</w:t>
            </w:r>
            <w:r w:rsidR="005F66C6">
              <w:rPr>
                <w:shd w:val="clear" w:color="auto" w:fill="FFFFFF"/>
              </w:rPr>
              <w:t>,</w:t>
            </w:r>
            <w:r w:rsidRPr="00EB09F0">
              <w:rPr>
                <w:shd w:val="clear" w:color="auto" w:fill="FFFFFF"/>
              </w:rPr>
              <w:t>278</w:t>
            </w:r>
          </w:p>
        </w:tc>
        <w:tc>
          <w:tcPr>
            <w:tcW w:w="1701" w:type="dxa"/>
            <w:tcBorders>
              <w:top w:val="none" w:sz="0" w:space="0" w:color="auto"/>
              <w:bottom w:val="none" w:sz="0" w:space="0" w:color="auto"/>
            </w:tcBorders>
            <w:shd w:val="clear" w:color="auto" w:fill="auto"/>
          </w:tcPr>
          <w:p w14:paraId="1096056C" w14:textId="2596977E" w:rsidR="007C147E" w:rsidRPr="00EB09F0" w:rsidRDefault="007C147E"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112</w:t>
            </w:r>
            <w:r w:rsidR="005F66C6">
              <w:rPr>
                <w:shd w:val="clear" w:color="auto" w:fill="FFFFFF"/>
              </w:rPr>
              <w:t>,</w:t>
            </w:r>
            <w:r w:rsidRPr="00EB09F0">
              <w:rPr>
                <w:shd w:val="clear" w:color="auto" w:fill="FFFFFF"/>
              </w:rPr>
              <w:t>099</w:t>
            </w:r>
          </w:p>
        </w:tc>
        <w:tc>
          <w:tcPr>
            <w:tcW w:w="2268" w:type="dxa"/>
            <w:tcBorders>
              <w:top w:val="none" w:sz="0" w:space="0" w:color="auto"/>
              <w:bottom w:val="none" w:sz="0" w:space="0" w:color="auto"/>
            </w:tcBorders>
            <w:shd w:val="clear" w:color="auto" w:fill="auto"/>
          </w:tcPr>
          <w:p w14:paraId="665AB043" w14:textId="3F73FE1A" w:rsidR="007C147E"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2</w:t>
            </w:r>
            <w:r w:rsidR="005164C9">
              <w:rPr>
                <w:shd w:val="clear" w:color="auto" w:fill="FFFFFF"/>
              </w:rPr>
              <w:t>,</w:t>
            </w:r>
            <w:r w:rsidR="007C147E" w:rsidRPr="00EB09F0">
              <w:rPr>
                <w:shd w:val="clear" w:color="auto" w:fill="FFFFFF"/>
              </w:rPr>
              <w:t>982</w:t>
            </w:r>
          </w:p>
        </w:tc>
      </w:tr>
      <w:tr w:rsidR="00623A1B" w:rsidRPr="00EB09F0" w14:paraId="15A2096C"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4FF2B123" w14:textId="0610CC2B" w:rsidR="00623A1B" w:rsidRPr="00607466" w:rsidRDefault="00623A1B" w:rsidP="001648F9">
            <w:pPr>
              <w:spacing w:before="60" w:beforeAutospacing="0" w:after="60"/>
              <w:rPr>
                <w:b w:val="0"/>
                <w:bCs w:val="0"/>
                <w:shd w:val="clear" w:color="auto" w:fill="FFFFFF"/>
              </w:rPr>
            </w:pPr>
            <w:r w:rsidRPr="00607466">
              <w:rPr>
                <w:b w:val="0"/>
                <w:shd w:val="clear" w:color="auto" w:fill="FFFFFF"/>
              </w:rPr>
              <w:t>June 2019</w:t>
            </w:r>
          </w:p>
        </w:tc>
        <w:tc>
          <w:tcPr>
            <w:tcW w:w="1845" w:type="dxa"/>
            <w:shd w:val="clear" w:color="auto" w:fill="auto"/>
          </w:tcPr>
          <w:p w14:paraId="2C826C39" w14:textId="035EAB25"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142</w:t>
            </w:r>
            <w:r w:rsidR="005F66C6">
              <w:rPr>
                <w:shd w:val="clear" w:color="auto" w:fill="FFFFFF"/>
              </w:rPr>
              <w:t>,</w:t>
            </w:r>
            <w:r w:rsidRPr="00EB09F0">
              <w:rPr>
                <w:shd w:val="clear" w:color="auto" w:fill="FFFFFF"/>
              </w:rPr>
              <w:t>735</w:t>
            </w:r>
          </w:p>
        </w:tc>
        <w:tc>
          <w:tcPr>
            <w:tcW w:w="1701" w:type="dxa"/>
            <w:shd w:val="clear" w:color="auto" w:fill="auto"/>
          </w:tcPr>
          <w:p w14:paraId="227E9EC0" w14:textId="445E54A1"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111</w:t>
            </w:r>
            <w:r w:rsidR="005F66C6">
              <w:rPr>
                <w:shd w:val="clear" w:color="auto" w:fill="FFFFFF"/>
              </w:rPr>
              <w:t>,</w:t>
            </w:r>
            <w:r w:rsidRPr="00EB09F0">
              <w:rPr>
                <w:shd w:val="clear" w:color="auto" w:fill="FFFFFF"/>
              </w:rPr>
              <w:t>932</w:t>
            </w:r>
          </w:p>
        </w:tc>
        <w:tc>
          <w:tcPr>
            <w:tcW w:w="2268" w:type="dxa"/>
            <w:shd w:val="clear" w:color="auto" w:fill="auto"/>
          </w:tcPr>
          <w:p w14:paraId="6E9CEFA2" w14:textId="61032B81" w:rsidR="00623A1B"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172</w:t>
            </w:r>
          </w:p>
        </w:tc>
      </w:tr>
      <w:tr w:rsidR="00623A1B" w:rsidRPr="00EB09F0" w14:paraId="302B54F3"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03432A0D" w14:textId="0B0D9C86" w:rsidR="00623A1B" w:rsidRPr="00607466" w:rsidRDefault="00623A1B" w:rsidP="001648F9">
            <w:pPr>
              <w:spacing w:before="60" w:beforeAutospacing="0" w:after="60"/>
              <w:rPr>
                <w:b w:val="0"/>
                <w:bCs w:val="0"/>
                <w:shd w:val="clear" w:color="auto" w:fill="FFFFFF"/>
              </w:rPr>
            </w:pPr>
            <w:r w:rsidRPr="00607466">
              <w:rPr>
                <w:b w:val="0"/>
                <w:shd w:val="clear" w:color="auto" w:fill="FFFFFF"/>
              </w:rPr>
              <w:t>September 2019</w:t>
            </w:r>
          </w:p>
        </w:tc>
        <w:tc>
          <w:tcPr>
            <w:tcW w:w="1845" w:type="dxa"/>
            <w:tcBorders>
              <w:top w:val="none" w:sz="0" w:space="0" w:color="auto"/>
              <w:bottom w:val="none" w:sz="0" w:space="0" w:color="auto"/>
            </w:tcBorders>
            <w:shd w:val="clear" w:color="auto" w:fill="auto"/>
          </w:tcPr>
          <w:p w14:paraId="42B0F9F5" w14:textId="73816522" w:rsidR="00623A1B" w:rsidRPr="00EB09F0" w:rsidRDefault="00623A1B"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143</w:t>
            </w:r>
            <w:r w:rsidR="005F66C6">
              <w:rPr>
                <w:shd w:val="clear" w:color="auto" w:fill="FFFFFF"/>
              </w:rPr>
              <w:t>,</w:t>
            </w:r>
            <w:r w:rsidRPr="00EB09F0">
              <w:rPr>
                <w:shd w:val="clear" w:color="auto" w:fill="FFFFFF"/>
              </w:rPr>
              <w:t>775</w:t>
            </w:r>
          </w:p>
        </w:tc>
        <w:tc>
          <w:tcPr>
            <w:tcW w:w="1701" w:type="dxa"/>
            <w:tcBorders>
              <w:top w:val="none" w:sz="0" w:space="0" w:color="auto"/>
              <w:bottom w:val="none" w:sz="0" w:space="0" w:color="auto"/>
            </w:tcBorders>
            <w:shd w:val="clear" w:color="auto" w:fill="auto"/>
          </w:tcPr>
          <w:p w14:paraId="1A71FF8E" w14:textId="30604183" w:rsidR="00623A1B" w:rsidRPr="00EB09F0" w:rsidRDefault="00623A1B"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sidRPr="00EB09F0">
              <w:rPr>
                <w:shd w:val="clear" w:color="auto" w:fill="FFFFFF"/>
              </w:rPr>
              <w:t>113</w:t>
            </w:r>
            <w:r w:rsidR="005F66C6">
              <w:rPr>
                <w:shd w:val="clear" w:color="auto" w:fill="FFFFFF"/>
              </w:rPr>
              <w:t>,</w:t>
            </w:r>
            <w:r w:rsidRPr="00EB09F0">
              <w:rPr>
                <w:shd w:val="clear" w:color="auto" w:fill="FFFFFF"/>
              </w:rPr>
              <w:t>367</w:t>
            </w:r>
          </w:p>
        </w:tc>
        <w:tc>
          <w:tcPr>
            <w:tcW w:w="2268" w:type="dxa"/>
            <w:tcBorders>
              <w:top w:val="none" w:sz="0" w:space="0" w:color="auto"/>
              <w:bottom w:val="none" w:sz="0" w:space="0" w:color="auto"/>
            </w:tcBorders>
            <w:shd w:val="clear" w:color="auto" w:fill="auto"/>
          </w:tcPr>
          <w:p w14:paraId="2265A302" w14:textId="54F677E8" w:rsidR="00623A1B" w:rsidRPr="00EB09F0" w:rsidRDefault="00E327C6"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140</w:t>
            </w:r>
          </w:p>
        </w:tc>
      </w:tr>
      <w:tr w:rsidR="00623A1B" w:rsidRPr="00EB09F0" w14:paraId="101147DA"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08A3FC39" w14:textId="6E985AB0" w:rsidR="00623A1B" w:rsidRPr="00607466" w:rsidRDefault="00623A1B" w:rsidP="001648F9">
            <w:pPr>
              <w:spacing w:before="60" w:beforeAutospacing="0" w:after="60"/>
              <w:rPr>
                <w:b w:val="0"/>
                <w:bCs w:val="0"/>
                <w:shd w:val="clear" w:color="auto" w:fill="FFFFFF"/>
              </w:rPr>
            </w:pPr>
            <w:r w:rsidRPr="00607466">
              <w:rPr>
                <w:b w:val="0"/>
                <w:shd w:val="clear" w:color="auto" w:fill="FFFFFF"/>
              </w:rPr>
              <w:t>December 2019</w:t>
            </w:r>
          </w:p>
        </w:tc>
        <w:tc>
          <w:tcPr>
            <w:tcW w:w="1845" w:type="dxa"/>
            <w:shd w:val="clear" w:color="auto" w:fill="auto"/>
          </w:tcPr>
          <w:p w14:paraId="160FD679" w14:textId="4F384E1C"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EB09F0">
              <w:rPr>
                <w:shd w:val="clear" w:color="auto" w:fill="FFFFFF"/>
              </w:rPr>
              <w:t>143</w:t>
            </w:r>
            <w:r w:rsidR="005F66C6">
              <w:rPr>
                <w:shd w:val="clear" w:color="auto" w:fill="FFFFFF"/>
              </w:rPr>
              <w:t>,</w:t>
            </w:r>
            <w:r w:rsidRPr="00EB09F0">
              <w:rPr>
                <w:shd w:val="clear" w:color="auto" w:fill="FFFFFF"/>
              </w:rPr>
              <w:t>586</w:t>
            </w:r>
          </w:p>
        </w:tc>
        <w:tc>
          <w:tcPr>
            <w:tcW w:w="1701" w:type="dxa"/>
            <w:shd w:val="clear" w:color="auto" w:fill="auto"/>
          </w:tcPr>
          <w:p w14:paraId="78A3A989" w14:textId="72587627" w:rsidR="00623A1B" w:rsidRPr="00EB09F0" w:rsidRDefault="00623A1B"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BB1612">
              <w:rPr>
                <w:shd w:val="clear" w:color="auto" w:fill="FFFFFF"/>
              </w:rPr>
              <w:t>113</w:t>
            </w:r>
            <w:r w:rsidR="005F66C6">
              <w:rPr>
                <w:shd w:val="clear" w:color="auto" w:fill="FFFFFF"/>
              </w:rPr>
              <w:t>,</w:t>
            </w:r>
            <w:r w:rsidRPr="00BB1612">
              <w:rPr>
                <w:shd w:val="clear" w:color="auto" w:fill="FFFFFF"/>
              </w:rPr>
              <w:t>143</w:t>
            </w:r>
          </w:p>
        </w:tc>
        <w:tc>
          <w:tcPr>
            <w:tcW w:w="2268" w:type="dxa"/>
            <w:shd w:val="clear" w:color="auto" w:fill="auto"/>
          </w:tcPr>
          <w:p w14:paraId="39ABD4D8" w14:textId="008F532E" w:rsidR="00623A1B" w:rsidRPr="00EB09F0" w:rsidRDefault="00E327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623A1B" w:rsidRPr="00EB09F0">
              <w:rPr>
                <w:shd w:val="clear" w:color="auto" w:fill="FFFFFF"/>
              </w:rPr>
              <w:t>212</w:t>
            </w:r>
          </w:p>
        </w:tc>
      </w:tr>
      <w:tr w:rsidR="004E0EE5" w:rsidRPr="00EB09F0" w14:paraId="1701671A"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22287206" w14:textId="483ED3C0" w:rsidR="004E0EE5" w:rsidRPr="00607466" w:rsidRDefault="004E0EE5" w:rsidP="001648F9">
            <w:pPr>
              <w:spacing w:before="60" w:beforeAutospacing="0" w:after="60"/>
              <w:rPr>
                <w:b w:val="0"/>
                <w:bCs w:val="0"/>
                <w:shd w:val="clear" w:color="auto" w:fill="FFFFFF"/>
              </w:rPr>
            </w:pPr>
            <w:r w:rsidRPr="00607466">
              <w:rPr>
                <w:b w:val="0"/>
                <w:shd w:val="clear" w:color="auto" w:fill="FFFFFF"/>
              </w:rPr>
              <w:t>March 2020</w:t>
            </w:r>
          </w:p>
        </w:tc>
        <w:tc>
          <w:tcPr>
            <w:tcW w:w="1845" w:type="dxa"/>
            <w:tcBorders>
              <w:top w:val="none" w:sz="0" w:space="0" w:color="auto"/>
              <w:bottom w:val="none" w:sz="0" w:space="0" w:color="auto"/>
            </w:tcBorders>
            <w:shd w:val="clear" w:color="auto" w:fill="auto"/>
          </w:tcPr>
          <w:p w14:paraId="04AB24A1" w14:textId="5951DD67" w:rsidR="004E0EE5" w:rsidRPr="00EB09F0" w:rsidRDefault="00D55AAF"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146</w:t>
            </w:r>
            <w:r w:rsidR="005F66C6">
              <w:rPr>
                <w:shd w:val="clear" w:color="auto" w:fill="FFFFFF"/>
              </w:rPr>
              <w:t>,</w:t>
            </w:r>
            <w:r>
              <w:rPr>
                <w:shd w:val="clear" w:color="auto" w:fill="FFFFFF"/>
              </w:rPr>
              <w:t>343</w:t>
            </w:r>
          </w:p>
        </w:tc>
        <w:tc>
          <w:tcPr>
            <w:tcW w:w="1701" w:type="dxa"/>
            <w:tcBorders>
              <w:top w:val="none" w:sz="0" w:space="0" w:color="auto"/>
              <w:bottom w:val="none" w:sz="0" w:space="0" w:color="auto"/>
            </w:tcBorders>
            <w:shd w:val="clear" w:color="auto" w:fill="auto"/>
          </w:tcPr>
          <w:p w14:paraId="34A8DCCD" w14:textId="1B94604C" w:rsidR="004E0EE5" w:rsidRPr="00BB1612" w:rsidRDefault="004E0EE5"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115</w:t>
            </w:r>
            <w:r w:rsidR="005F66C6">
              <w:rPr>
                <w:shd w:val="clear" w:color="auto" w:fill="FFFFFF"/>
              </w:rPr>
              <w:t>,</w:t>
            </w:r>
            <w:r w:rsidR="00D55AAF">
              <w:rPr>
                <w:shd w:val="clear" w:color="auto" w:fill="FFFFFF"/>
              </w:rPr>
              <w:t>548</w:t>
            </w:r>
          </w:p>
        </w:tc>
        <w:tc>
          <w:tcPr>
            <w:tcW w:w="2268" w:type="dxa"/>
            <w:tcBorders>
              <w:top w:val="none" w:sz="0" w:space="0" w:color="auto"/>
              <w:bottom w:val="none" w:sz="0" w:space="0" w:color="auto"/>
            </w:tcBorders>
            <w:shd w:val="clear" w:color="auto" w:fill="auto"/>
          </w:tcPr>
          <w:p w14:paraId="4D2B73AC" w14:textId="079725DB" w:rsidR="004E0EE5" w:rsidRDefault="008374F7"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w:t>
            </w:r>
            <w:r w:rsidR="005164C9">
              <w:rPr>
                <w:shd w:val="clear" w:color="auto" w:fill="FFFFFF"/>
              </w:rPr>
              <w:t>,</w:t>
            </w:r>
            <w:r w:rsidR="00DC38B1">
              <w:rPr>
                <w:shd w:val="clear" w:color="auto" w:fill="FFFFFF"/>
              </w:rPr>
              <w:t>147</w:t>
            </w:r>
          </w:p>
        </w:tc>
      </w:tr>
      <w:tr w:rsidR="005F66C6" w:rsidRPr="00EB09F0" w14:paraId="0C2153E8" w14:textId="77777777" w:rsidTr="00607466">
        <w:tc>
          <w:tcPr>
            <w:cnfStyle w:val="001000000000" w:firstRow="0" w:lastRow="0" w:firstColumn="1" w:lastColumn="0" w:oddVBand="0" w:evenVBand="0" w:oddHBand="0" w:evenHBand="0" w:firstRowFirstColumn="0" w:firstRowLastColumn="0" w:lastRowFirstColumn="0" w:lastRowLastColumn="0"/>
            <w:tcW w:w="2266" w:type="dxa"/>
            <w:tcBorders>
              <w:right w:val="none" w:sz="0" w:space="0" w:color="auto"/>
            </w:tcBorders>
            <w:shd w:val="clear" w:color="auto" w:fill="auto"/>
          </w:tcPr>
          <w:p w14:paraId="7AD82DEE" w14:textId="35C44291" w:rsidR="005F66C6" w:rsidRPr="00607466" w:rsidRDefault="005F66C6" w:rsidP="001648F9">
            <w:pPr>
              <w:spacing w:before="60" w:beforeAutospacing="0" w:after="60"/>
              <w:rPr>
                <w:b w:val="0"/>
                <w:bCs w:val="0"/>
                <w:shd w:val="clear" w:color="auto" w:fill="FFFFFF"/>
              </w:rPr>
            </w:pPr>
            <w:r w:rsidRPr="00607466">
              <w:rPr>
                <w:b w:val="0"/>
                <w:shd w:val="clear" w:color="auto" w:fill="FFFFFF"/>
              </w:rPr>
              <w:t>June 2020</w:t>
            </w:r>
          </w:p>
        </w:tc>
        <w:tc>
          <w:tcPr>
            <w:tcW w:w="1845" w:type="dxa"/>
            <w:shd w:val="clear" w:color="auto" w:fill="auto"/>
          </w:tcPr>
          <w:p w14:paraId="5266F07B" w14:textId="5B9F15E0" w:rsidR="005F66C6" w:rsidRDefault="005F66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146,562</w:t>
            </w:r>
          </w:p>
        </w:tc>
        <w:tc>
          <w:tcPr>
            <w:tcW w:w="1701" w:type="dxa"/>
            <w:shd w:val="clear" w:color="auto" w:fill="auto"/>
          </w:tcPr>
          <w:p w14:paraId="5224839C" w14:textId="5FF91F7C" w:rsidR="005F66C6" w:rsidRDefault="005F66C6"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116,878</w:t>
            </w:r>
          </w:p>
        </w:tc>
        <w:tc>
          <w:tcPr>
            <w:tcW w:w="2268" w:type="dxa"/>
            <w:shd w:val="clear" w:color="auto" w:fill="auto"/>
          </w:tcPr>
          <w:p w14:paraId="5DD9EB36" w14:textId="0E156689" w:rsidR="005F66C6" w:rsidRDefault="00905088"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3,366</w:t>
            </w:r>
          </w:p>
        </w:tc>
      </w:tr>
      <w:tr w:rsidR="005C4AC3" w:rsidRPr="00EB09F0" w14:paraId="1F59F062" w14:textId="77777777" w:rsidTr="006074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top w:val="none" w:sz="0" w:space="0" w:color="auto"/>
              <w:bottom w:val="none" w:sz="0" w:space="0" w:color="auto"/>
              <w:right w:val="none" w:sz="0" w:space="0" w:color="auto"/>
            </w:tcBorders>
            <w:shd w:val="clear" w:color="auto" w:fill="auto"/>
          </w:tcPr>
          <w:p w14:paraId="7655105E" w14:textId="1EA1D218" w:rsidR="005C4AC3" w:rsidRPr="00607466" w:rsidRDefault="005C4AC3" w:rsidP="001648F9">
            <w:pPr>
              <w:spacing w:before="60" w:beforeAutospacing="0" w:after="60"/>
              <w:rPr>
                <w:b w:val="0"/>
                <w:bCs w:val="0"/>
                <w:shd w:val="clear" w:color="auto" w:fill="FFFFFF"/>
              </w:rPr>
            </w:pPr>
            <w:r w:rsidRPr="00607466">
              <w:rPr>
                <w:b w:val="0"/>
                <w:shd w:val="clear" w:color="auto" w:fill="FFFFFF"/>
              </w:rPr>
              <w:t>September 2020</w:t>
            </w:r>
          </w:p>
        </w:tc>
        <w:tc>
          <w:tcPr>
            <w:tcW w:w="1845" w:type="dxa"/>
            <w:tcBorders>
              <w:top w:val="none" w:sz="0" w:space="0" w:color="auto"/>
              <w:bottom w:val="none" w:sz="0" w:space="0" w:color="auto"/>
            </w:tcBorders>
            <w:shd w:val="clear" w:color="auto" w:fill="auto"/>
          </w:tcPr>
          <w:p w14:paraId="3861E48E" w14:textId="4481C8BA" w:rsidR="005C4AC3" w:rsidRDefault="005C4AC3"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148,408</w:t>
            </w:r>
          </w:p>
        </w:tc>
        <w:tc>
          <w:tcPr>
            <w:tcW w:w="1701" w:type="dxa"/>
            <w:tcBorders>
              <w:top w:val="none" w:sz="0" w:space="0" w:color="auto"/>
              <w:bottom w:val="none" w:sz="0" w:space="0" w:color="auto"/>
            </w:tcBorders>
            <w:shd w:val="clear" w:color="auto" w:fill="auto"/>
          </w:tcPr>
          <w:p w14:paraId="1E89DF8C" w14:textId="04A514B0" w:rsidR="005C4AC3" w:rsidRDefault="005C4AC3"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117,773</w:t>
            </w:r>
          </w:p>
        </w:tc>
        <w:tc>
          <w:tcPr>
            <w:tcW w:w="2268" w:type="dxa"/>
            <w:tcBorders>
              <w:top w:val="none" w:sz="0" w:space="0" w:color="auto"/>
              <w:bottom w:val="none" w:sz="0" w:space="0" w:color="auto"/>
            </w:tcBorders>
            <w:shd w:val="clear" w:color="auto" w:fill="auto"/>
          </w:tcPr>
          <w:p w14:paraId="2A51CE09" w14:textId="349FE50D" w:rsidR="005C4AC3" w:rsidRDefault="005C4AC3" w:rsidP="001648F9">
            <w:pPr>
              <w:spacing w:before="60" w:beforeAutospacing="0" w:after="60"/>
              <w:jc w:val="cente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3,319</w:t>
            </w:r>
          </w:p>
        </w:tc>
      </w:tr>
      <w:tr w:rsidR="00022074" w:rsidRPr="00EB09F0" w14:paraId="4F03CED5" w14:textId="77777777" w:rsidTr="00607466">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7CD5DEFF" w14:textId="563001A3" w:rsidR="00022074" w:rsidRPr="00607466" w:rsidRDefault="00022074" w:rsidP="001648F9">
            <w:pPr>
              <w:spacing w:before="60" w:beforeAutospacing="0" w:after="60"/>
              <w:rPr>
                <w:b w:val="0"/>
                <w:shd w:val="clear" w:color="auto" w:fill="FFFFFF"/>
              </w:rPr>
            </w:pPr>
            <w:r>
              <w:rPr>
                <w:b w:val="0"/>
                <w:shd w:val="clear" w:color="auto" w:fill="FFFFFF"/>
              </w:rPr>
              <w:t>December 2020</w:t>
            </w:r>
          </w:p>
        </w:tc>
        <w:tc>
          <w:tcPr>
            <w:tcW w:w="1845" w:type="dxa"/>
            <w:shd w:val="clear" w:color="auto" w:fill="auto"/>
          </w:tcPr>
          <w:p w14:paraId="33D8C59D" w14:textId="34606DC0" w:rsidR="00022074" w:rsidRDefault="00022074"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148,532</w:t>
            </w:r>
          </w:p>
        </w:tc>
        <w:tc>
          <w:tcPr>
            <w:tcW w:w="1701" w:type="dxa"/>
            <w:shd w:val="clear" w:color="auto" w:fill="auto"/>
          </w:tcPr>
          <w:p w14:paraId="1E21DDF2" w14:textId="6A5396B7" w:rsidR="00022074" w:rsidRDefault="00022074"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117,664</w:t>
            </w:r>
          </w:p>
        </w:tc>
        <w:tc>
          <w:tcPr>
            <w:tcW w:w="2268" w:type="dxa"/>
            <w:shd w:val="clear" w:color="auto" w:fill="auto"/>
          </w:tcPr>
          <w:p w14:paraId="144C5273" w14:textId="67392948" w:rsidR="00022074" w:rsidRDefault="00173063" w:rsidP="001648F9">
            <w:pPr>
              <w:spacing w:before="60" w:beforeAutospacing="0" w:after="60"/>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3,350</w:t>
            </w:r>
          </w:p>
        </w:tc>
      </w:tr>
    </w:tbl>
    <w:p w14:paraId="464080CB" w14:textId="77777777" w:rsidR="005211EB" w:rsidRDefault="005211EB" w:rsidP="00647C0A"/>
    <w:p w14:paraId="2BFBEBA6" w14:textId="77777777" w:rsidR="005211EB" w:rsidRDefault="005211EB" w:rsidP="00DD61C1">
      <w:pPr>
        <w:rPr>
          <w:rFonts w:eastAsiaTheme="majorEastAsia"/>
        </w:rPr>
      </w:pPr>
      <w:r>
        <w:br w:type="page"/>
      </w:r>
    </w:p>
    <w:p w14:paraId="4DCCC76B" w14:textId="3399BD32" w:rsidR="00B72D78" w:rsidRDefault="00C96AD0" w:rsidP="00607466">
      <w:pPr>
        <w:pStyle w:val="Heading2"/>
      </w:pPr>
      <w:r w:rsidRPr="00C96AD0">
        <w:lastRenderedPageBreak/>
        <w:t xml:space="preserve">WA public sector entities staffing </w:t>
      </w:r>
      <w:proofErr w:type="gramStart"/>
      <w:r w:rsidRPr="00C96AD0">
        <w:t>levels</w:t>
      </w:r>
      <w:proofErr w:type="gramEnd"/>
    </w:p>
    <w:tbl>
      <w:tblPr>
        <w:tblStyle w:val="CommissionTable1"/>
        <w:tblW w:w="10114" w:type="dxa"/>
        <w:tblBorders>
          <w:top w:val="single" w:sz="8" w:space="0" w:color="2B9947"/>
          <w:left w:val="single" w:sz="8" w:space="0" w:color="2B9947"/>
          <w:bottom w:val="single" w:sz="8" w:space="0" w:color="2B9947"/>
          <w:right w:val="single" w:sz="8" w:space="0" w:color="2B9947"/>
          <w:insideH w:val="single" w:sz="8" w:space="0" w:color="2B9947"/>
          <w:insideV w:val="single" w:sz="8" w:space="0" w:color="2B9947"/>
        </w:tblBorders>
        <w:tblLayout w:type="fixed"/>
        <w:tblLook w:val="04A0" w:firstRow="1" w:lastRow="0" w:firstColumn="1" w:lastColumn="0" w:noHBand="0" w:noVBand="1"/>
      </w:tblPr>
      <w:tblGrid>
        <w:gridCol w:w="5093"/>
        <w:gridCol w:w="1347"/>
        <w:gridCol w:w="1347"/>
        <w:gridCol w:w="1163"/>
        <w:gridCol w:w="1164"/>
      </w:tblGrid>
      <w:tr w:rsidR="00607466" w:rsidRPr="00607466" w14:paraId="4EDFC1D0" w14:textId="77777777" w:rsidTr="001648F9">
        <w:trPr>
          <w:cnfStyle w:val="100000000000" w:firstRow="1" w:lastRow="0" w:firstColumn="0" w:lastColumn="0" w:oddVBand="0" w:evenVBand="0" w:oddHBand="0" w:evenHBand="0" w:firstRowFirstColumn="0" w:firstRowLastColumn="0" w:lastRowFirstColumn="0" w:lastRowLastColumn="0"/>
          <w:trHeight w:val="1035"/>
          <w:tblHeader/>
        </w:trPr>
        <w:tc>
          <w:tcPr>
            <w:tcW w:w="5093" w:type="dxa"/>
            <w:vAlign w:val="bottom"/>
            <w:hideMark/>
          </w:tcPr>
          <w:p w14:paraId="0E04D857" w14:textId="77777777" w:rsidR="0017783C" w:rsidRPr="00607466" w:rsidRDefault="0017783C" w:rsidP="001648F9">
            <w:pPr>
              <w:spacing w:before="60" w:beforeAutospacing="0" w:after="60"/>
              <w:contextualSpacing w:val="0"/>
              <w:rPr>
                <w:b w:val="0"/>
                <w:color w:val="FFFFFF" w:themeColor="background1"/>
              </w:rPr>
            </w:pPr>
            <w:r w:rsidRPr="00607466">
              <w:rPr>
                <w:b w:val="0"/>
                <w:color w:val="FFFFFF" w:themeColor="background1"/>
              </w:rPr>
              <w:t>Agency</w:t>
            </w:r>
          </w:p>
        </w:tc>
        <w:tc>
          <w:tcPr>
            <w:tcW w:w="1347" w:type="dxa"/>
            <w:vAlign w:val="bottom"/>
            <w:hideMark/>
          </w:tcPr>
          <w:p w14:paraId="6AEC38FA" w14:textId="1B5FB78D" w:rsidR="0017783C" w:rsidRPr="00607466" w:rsidRDefault="00070C4C" w:rsidP="001648F9">
            <w:pPr>
              <w:spacing w:before="60" w:beforeAutospacing="0" w:after="60"/>
              <w:contextualSpacing w:val="0"/>
              <w:jc w:val="center"/>
              <w:rPr>
                <w:b w:val="0"/>
                <w:color w:val="FFFFFF" w:themeColor="background1"/>
              </w:rPr>
            </w:pPr>
            <w:r>
              <w:rPr>
                <w:b w:val="0"/>
                <w:color w:val="FFFFFF" w:themeColor="background1"/>
              </w:rPr>
              <w:t>Dec</w:t>
            </w:r>
            <w:r w:rsidR="0017783C" w:rsidRPr="00607466">
              <w:rPr>
                <w:b w:val="0"/>
                <w:color w:val="FFFFFF" w:themeColor="background1"/>
              </w:rPr>
              <w:t>-20 Headcount</w:t>
            </w:r>
          </w:p>
        </w:tc>
        <w:tc>
          <w:tcPr>
            <w:tcW w:w="1347" w:type="dxa"/>
            <w:vAlign w:val="bottom"/>
            <w:hideMark/>
          </w:tcPr>
          <w:p w14:paraId="0352B194" w14:textId="51616A2F" w:rsidR="0017783C" w:rsidRPr="00607466" w:rsidRDefault="00070C4C" w:rsidP="00390E39">
            <w:pPr>
              <w:spacing w:before="60" w:beforeAutospacing="0" w:after="60"/>
              <w:contextualSpacing w:val="0"/>
              <w:jc w:val="center"/>
              <w:rPr>
                <w:b w:val="0"/>
                <w:color w:val="FFFFFF" w:themeColor="background1"/>
              </w:rPr>
            </w:pPr>
            <w:r>
              <w:rPr>
                <w:b w:val="0"/>
                <w:color w:val="FFFFFF" w:themeColor="background1"/>
              </w:rPr>
              <w:t>De</w:t>
            </w:r>
            <w:r w:rsidR="00390E39">
              <w:rPr>
                <w:b w:val="0"/>
                <w:color w:val="FFFFFF" w:themeColor="background1"/>
              </w:rPr>
              <w:t>c</w:t>
            </w:r>
            <w:r w:rsidR="0017783C" w:rsidRPr="00607466">
              <w:rPr>
                <w:b w:val="0"/>
                <w:color w:val="FFFFFF" w:themeColor="background1"/>
              </w:rPr>
              <w:t>-20 FTE</w:t>
            </w:r>
          </w:p>
        </w:tc>
        <w:tc>
          <w:tcPr>
            <w:tcW w:w="1163" w:type="dxa"/>
            <w:vAlign w:val="bottom"/>
            <w:hideMark/>
          </w:tcPr>
          <w:p w14:paraId="16733DD4" w14:textId="31C7B297" w:rsidR="0017783C" w:rsidRPr="00607466" w:rsidRDefault="0017783C">
            <w:pPr>
              <w:spacing w:before="60" w:beforeAutospacing="0" w:after="60"/>
              <w:contextualSpacing w:val="0"/>
              <w:jc w:val="center"/>
              <w:rPr>
                <w:b w:val="0"/>
                <w:color w:val="FFFFFF" w:themeColor="background1"/>
              </w:rPr>
            </w:pPr>
            <w:r w:rsidRPr="00607466">
              <w:rPr>
                <w:b w:val="0"/>
                <w:color w:val="FFFFFF" w:themeColor="background1"/>
              </w:rPr>
              <w:t xml:space="preserve">FTE change from </w:t>
            </w:r>
            <w:r w:rsidR="001648F9">
              <w:rPr>
                <w:b w:val="0"/>
                <w:color w:val="FFFFFF" w:themeColor="background1"/>
              </w:rPr>
              <w:br/>
            </w:r>
            <w:r w:rsidR="00070C4C">
              <w:rPr>
                <w:b w:val="0"/>
                <w:color w:val="FFFFFF" w:themeColor="background1"/>
              </w:rPr>
              <w:t>Sep</w:t>
            </w:r>
            <w:r w:rsidRPr="00607466">
              <w:rPr>
                <w:b w:val="0"/>
                <w:color w:val="FFFFFF" w:themeColor="background1"/>
              </w:rPr>
              <w:t>-</w:t>
            </w:r>
            <w:r w:rsidR="00F73E21" w:rsidRPr="00607466">
              <w:rPr>
                <w:b w:val="0"/>
                <w:color w:val="FFFFFF" w:themeColor="background1"/>
              </w:rPr>
              <w:t>20</w:t>
            </w:r>
          </w:p>
        </w:tc>
        <w:tc>
          <w:tcPr>
            <w:tcW w:w="1164" w:type="dxa"/>
            <w:vAlign w:val="bottom"/>
            <w:hideMark/>
          </w:tcPr>
          <w:p w14:paraId="5E17B74C" w14:textId="0703FE26" w:rsidR="0017783C" w:rsidRPr="00607466" w:rsidRDefault="0017783C">
            <w:pPr>
              <w:spacing w:before="60" w:beforeAutospacing="0" w:after="60"/>
              <w:contextualSpacing w:val="0"/>
              <w:jc w:val="center"/>
              <w:rPr>
                <w:b w:val="0"/>
                <w:color w:val="FFFFFF" w:themeColor="background1"/>
              </w:rPr>
            </w:pPr>
            <w:r w:rsidRPr="00607466">
              <w:rPr>
                <w:b w:val="0"/>
                <w:color w:val="FFFFFF" w:themeColor="background1"/>
              </w:rPr>
              <w:t xml:space="preserve">FTE change from </w:t>
            </w:r>
            <w:r w:rsidR="00070C4C">
              <w:rPr>
                <w:b w:val="0"/>
                <w:color w:val="FFFFFF" w:themeColor="background1"/>
              </w:rPr>
              <w:t>Dec</w:t>
            </w:r>
            <w:r w:rsidR="00F73E21" w:rsidRPr="00607466">
              <w:rPr>
                <w:b w:val="0"/>
                <w:color w:val="FFFFFF" w:themeColor="background1"/>
              </w:rPr>
              <w:t>-19</w:t>
            </w:r>
          </w:p>
        </w:tc>
      </w:tr>
      <w:tr w:rsidR="00526D6D" w:rsidRPr="00A9236C" w14:paraId="3D02EF30" w14:textId="77777777" w:rsidTr="00C40167">
        <w:trPr>
          <w:trHeight w:val="315"/>
        </w:trPr>
        <w:tc>
          <w:tcPr>
            <w:tcW w:w="5093" w:type="dxa"/>
            <w:noWrap/>
            <w:hideMark/>
          </w:tcPr>
          <w:p w14:paraId="791B3548" w14:textId="414F8ECD" w:rsidR="00526D6D" w:rsidRPr="00A9236C" w:rsidRDefault="00526D6D" w:rsidP="00526D6D">
            <w:pPr>
              <w:spacing w:before="60" w:beforeAutospacing="0" w:after="60"/>
              <w:contextualSpacing w:val="0"/>
              <w:rPr>
                <w:b/>
                <w:bCs/>
              </w:rPr>
            </w:pPr>
            <w:r w:rsidRPr="00A9236C">
              <w:rPr>
                <w:b/>
              </w:rPr>
              <w:t>Western Australian Public Sector</w:t>
            </w:r>
          </w:p>
        </w:tc>
        <w:tc>
          <w:tcPr>
            <w:tcW w:w="1347" w:type="dxa"/>
            <w:noWrap/>
            <w:hideMark/>
          </w:tcPr>
          <w:p w14:paraId="23D7FA80" w14:textId="0E7E4ECD" w:rsidR="00526D6D" w:rsidRPr="00526D6D" w:rsidRDefault="00526D6D" w:rsidP="00C40167">
            <w:pPr>
              <w:spacing w:before="60" w:beforeAutospacing="0" w:after="60"/>
              <w:contextualSpacing w:val="0"/>
              <w:jc w:val="right"/>
              <w:rPr>
                <w:b/>
              </w:rPr>
            </w:pPr>
            <w:r w:rsidRPr="00526D6D">
              <w:rPr>
                <w:b/>
              </w:rPr>
              <w:t>148,532</w:t>
            </w:r>
          </w:p>
        </w:tc>
        <w:tc>
          <w:tcPr>
            <w:tcW w:w="1347" w:type="dxa"/>
            <w:noWrap/>
            <w:hideMark/>
          </w:tcPr>
          <w:p w14:paraId="2FB1D758" w14:textId="408E8272" w:rsidR="00526D6D" w:rsidRPr="00526D6D" w:rsidRDefault="00526D6D" w:rsidP="00C40167">
            <w:pPr>
              <w:spacing w:before="60" w:beforeAutospacing="0" w:after="60"/>
              <w:contextualSpacing w:val="0"/>
              <w:jc w:val="right"/>
              <w:rPr>
                <w:b/>
              </w:rPr>
            </w:pPr>
            <w:r w:rsidRPr="00526D6D">
              <w:rPr>
                <w:b/>
              </w:rPr>
              <w:t>117,664</w:t>
            </w:r>
          </w:p>
        </w:tc>
        <w:tc>
          <w:tcPr>
            <w:tcW w:w="1163" w:type="dxa"/>
            <w:noWrap/>
            <w:hideMark/>
          </w:tcPr>
          <w:p w14:paraId="549F1273" w14:textId="4C0360A1" w:rsidR="00526D6D" w:rsidRPr="00526D6D" w:rsidRDefault="00526D6D" w:rsidP="00C40167">
            <w:pPr>
              <w:spacing w:before="60" w:beforeAutospacing="0" w:after="60"/>
              <w:contextualSpacing w:val="0"/>
              <w:jc w:val="right"/>
              <w:rPr>
                <w:b/>
              </w:rPr>
            </w:pPr>
            <w:r w:rsidRPr="00526D6D">
              <w:rPr>
                <w:b/>
              </w:rPr>
              <w:t>-109</w:t>
            </w:r>
          </w:p>
        </w:tc>
        <w:tc>
          <w:tcPr>
            <w:tcW w:w="1164" w:type="dxa"/>
            <w:noWrap/>
            <w:hideMark/>
          </w:tcPr>
          <w:p w14:paraId="7593AA8E" w14:textId="49203779" w:rsidR="00526D6D" w:rsidRPr="00526D6D" w:rsidRDefault="00526D6D" w:rsidP="00C40167">
            <w:pPr>
              <w:spacing w:before="60" w:beforeAutospacing="0" w:after="60"/>
              <w:contextualSpacing w:val="0"/>
              <w:jc w:val="right"/>
              <w:rPr>
                <w:b/>
              </w:rPr>
            </w:pPr>
            <w:r>
              <w:rPr>
                <w:b/>
              </w:rPr>
              <w:t>+</w:t>
            </w:r>
            <w:r w:rsidRPr="00526D6D">
              <w:rPr>
                <w:b/>
              </w:rPr>
              <w:t>4,521</w:t>
            </w:r>
          </w:p>
        </w:tc>
      </w:tr>
      <w:tr w:rsidR="00526D6D" w:rsidRPr="00C14672" w14:paraId="793EA623" w14:textId="77777777" w:rsidTr="00C40167">
        <w:trPr>
          <w:trHeight w:val="315"/>
        </w:trPr>
        <w:tc>
          <w:tcPr>
            <w:tcW w:w="5093" w:type="dxa"/>
            <w:noWrap/>
            <w:hideMark/>
          </w:tcPr>
          <w:p w14:paraId="349EE9F7" w14:textId="547CA569" w:rsidR="00526D6D" w:rsidRPr="005211EB" w:rsidRDefault="00526D6D" w:rsidP="00526D6D">
            <w:pPr>
              <w:spacing w:before="60" w:beforeAutospacing="0" w:after="60"/>
              <w:contextualSpacing w:val="0"/>
            </w:pPr>
            <w:r w:rsidRPr="005211EB">
              <w:t>Department of Education</w:t>
            </w:r>
          </w:p>
        </w:tc>
        <w:tc>
          <w:tcPr>
            <w:tcW w:w="1347" w:type="dxa"/>
            <w:noWrap/>
            <w:hideMark/>
          </w:tcPr>
          <w:p w14:paraId="4F82874A" w14:textId="31369BF6" w:rsidR="00526D6D" w:rsidRPr="004D2D10" w:rsidRDefault="00526D6D" w:rsidP="00C40167">
            <w:pPr>
              <w:spacing w:before="60" w:beforeAutospacing="0" w:after="60"/>
              <w:contextualSpacing w:val="0"/>
              <w:jc w:val="right"/>
            </w:pPr>
            <w:r>
              <w:t>55,200</w:t>
            </w:r>
          </w:p>
        </w:tc>
        <w:tc>
          <w:tcPr>
            <w:tcW w:w="1347" w:type="dxa"/>
            <w:noWrap/>
            <w:hideMark/>
          </w:tcPr>
          <w:p w14:paraId="5D8D0490" w14:textId="74584B0C" w:rsidR="00526D6D" w:rsidRPr="004D2D10" w:rsidRDefault="00526D6D" w:rsidP="00C40167">
            <w:pPr>
              <w:spacing w:before="60" w:beforeAutospacing="0" w:after="60"/>
              <w:contextualSpacing w:val="0"/>
              <w:jc w:val="right"/>
            </w:pPr>
            <w:r>
              <w:t>41,215</w:t>
            </w:r>
          </w:p>
        </w:tc>
        <w:tc>
          <w:tcPr>
            <w:tcW w:w="1163" w:type="dxa"/>
            <w:noWrap/>
            <w:hideMark/>
          </w:tcPr>
          <w:p w14:paraId="05F4EA9F" w14:textId="1DB079C1" w:rsidR="00526D6D" w:rsidRPr="004D2D10" w:rsidRDefault="00526D6D" w:rsidP="00C40167">
            <w:pPr>
              <w:spacing w:before="60" w:beforeAutospacing="0" w:after="60"/>
              <w:contextualSpacing w:val="0"/>
              <w:jc w:val="right"/>
            </w:pPr>
            <w:r>
              <w:t>-533</w:t>
            </w:r>
          </w:p>
        </w:tc>
        <w:tc>
          <w:tcPr>
            <w:tcW w:w="1164" w:type="dxa"/>
            <w:noWrap/>
            <w:hideMark/>
          </w:tcPr>
          <w:p w14:paraId="1FD9953A" w14:textId="01AED429" w:rsidR="00526D6D" w:rsidRPr="004D2D10" w:rsidRDefault="00526D6D" w:rsidP="00C40167">
            <w:pPr>
              <w:spacing w:before="60" w:beforeAutospacing="0" w:after="60"/>
              <w:contextualSpacing w:val="0"/>
              <w:jc w:val="right"/>
            </w:pPr>
            <w:r>
              <w:t>+1,198</w:t>
            </w:r>
          </w:p>
        </w:tc>
      </w:tr>
      <w:tr w:rsidR="00526D6D" w:rsidRPr="00C14672" w14:paraId="4AE236CC" w14:textId="77777777" w:rsidTr="00C40167">
        <w:trPr>
          <w:trHeight w:val="315"/>
        </w:trPr>
        <w:tc>
          <w:tcPr>
            <w:tcW w:w="5093" w:type="dxa"/>
            <w:noWrap/>
          </w:tcPr>
          <w:p w14:paraId="28CC9079" w14:textId="01BEA695" w:rsidR="00526D6D" w:rsidRPr="005211EB" w:rsidRDefault="00526D6D" w:rsidP="00526D6D">
            <w:pPr>
              <w:spacing w:before="60" w:beforeAutospacing="0" w:after="60"/>
              <w:contextualSpacing w:val="0"/>
            </w:pPr>
            <w:r w:rsidRPr="005211EB">
              <w:t xml:space="preserve">WA Health </w:t>
            </w:r>
          </w:p>
        </w:tc>
        <w:tc>
          <w:tcPr>
            <w:tcW w:w="1347" w:type="dxa"/>
            <w:noWrap/>
          </w:tcPr>
          <w:p w14:paraId="4ACF33BE" w14:textId="37D59B52" w:rsidR="00526D6D" w:rsidRPr="004D2D10" w:rsidRDefault="00526D6D" w:rsidP="00C40167">
            <w:pPr>
              <w:spacing w:before="60" w:beforeAutospacing="0" w:after="60"/>
              <w:contextualSpacing w:val="0"/>
              <w:jc w:val="right"/>
            </w:pPr>
            <w:r>
              <w:t>50,244</w:t>
            </w:r>
          </w:p>
        </w:tc>
        <w:tc>
          <w:tcPr>
            <w:tcW w:w="1347" w:type="dxa"/>
            <w:noWrap/>
          </w:tcPr>
          <w:p w14:paraId="0A00EC4C" w14:textId="5EBDCF3A" w:rsidR="00526D6D" w:rsidRPr="004D2D10" w:rsidRDefault="00526D6D" w:rsidP="00C40167">
            <w:pPr>
              <w:spacing w:before="60" w:beforeAutospacing="0" w:after="60"/>
              <w:contextualSpacing w:val="0"/>
              <w:jc w:val="right"/>
            </w:pPr>
            <w:r>
              <w:t>38,302</w:t>
            </w:r>
          </w:p>
        </w:tc>
        <w:tc>
          <w:tcPr>
            <w:tcW w:w="1163" w:type="dxa"/>
            <w:noWrap/>
          </w:tcPr>
          <w:p w14:paraId="6075E524" w14:textId="1BC39506" w:rsidR="00526D6D" w:rsidRPr="004D2D10" w:rsidRDefault="00526D6D" w:rsidP="00C40167">
            <w:pPr>
              <w:spacing w:before="60" w:beforeAutospacing="0" w:after="60"/>
              <w:contextualSpacing w:val="0"/>
              <w:jc w:val="right"/>
            </w:pPr>
            <w:r>
              <w:t>+217</w:t>
            </w:r>
          </w:p>
        </w:tc>
        <w:tc>
          <w:tcPr>
            <w:tcW w:w="1164" w:type="dxa"/>
            <w:noWrap/>
          </w:tcPr>
          <w:p w14:paraId="25E48580" w14:textId="52F872B3" w:rsidR="00526D6D" w:rsidRPr="004D2D10" w:rsidRDefault="00526D6D" w:rsidP="00C40167">
            <w:pPr>
              <w:spacing w:before="60" w:beforeAutospacing="0" w:after="60"/>
              <w:contextualSpacing w:val="0"/>
              <w:jc w:val="right"/>
            </w:pPr>
            <w:r>
              <w:t>+2,193</w:t>
            </w:r>
          </w:p>
        </w:tc>
      </w:tr>
      <w:tr w:rsidR="00526D6D" w:rsidRPr="00C14672" w14:paraId="5DA1E791" w14:textId="77777777" w:rsidTr="00C40167">
        <w:trPr>
          <w:trHeight w:val="315"/>
        </w:trPr>
        <w:tc>
          <w:tcPr>
            <w:tcW w:w="5093" w:type="dxa"/>
            <w:noWrap/>
            <w:hideMark/>
          </w:tcPr>
          <w:p w14:paraId="73788546" w14:textId="1C47BFB0" w:rsidR="00526D6D" w:rsidRPr="005211EB" w:rsidRDefault="00526D6D" w:rsidP="00526D6D">
            <w:pPr>
              <w:spacing w:before="60" w:beforeAutospacing="0" w:after="60"/>
              <w:ind w:left="447"/>
              <w:contextualSpacing w:val="0"/>
            </w:pPr>
            <w:r w:rsidRPr="005211EB">
              <w:t>North Metropolitan Health Service</w:t>
            </w:r>
          </w:p>
        </w:tc>
        <w:tc>
          <w:tcPr>
            <w:tcW w:w="1347" w:type="dxa"/>
            <w:noWrap/>
            <w:hideMark/>
          </w:tcPr>
          <w:p w14:paraId="719DB24E" w14:textId="491B48DC" w:rsidR="00526D6D" w:rsidRPr="004D2D10" w:rsidRDefault="00526D6D" w:rsidP="00C40167">
            <w:pPr>
              <w:spacing w:before="60" w:beforeAutospacing="0" w:after="60"/>
              <w:contextualSpacing w:val="0"/>
              <w:jc w:val="right"/>
            </w:pPr>
            <w:r>
              <w:t>11,537</w:t>
            </w:r>
          </w:p>
        </w:tc>
        <w:tc>
          <w:tcPr>
            <w:tcW w:w="1347" w:type="dxa"/>
            <w:noWrap/>
            <w:hideMark/>
          </w:tcPr>
          <w:p w14:paraId="49CE5F7C" w14:textId="09406CD6" w:rsidR="00526D6D" w:rsidRPr="004D2D10" w:rsidRDefault="00526D6D" w:rsidP="00C40167">
            <w:pPr>
              <w:spacing w:before="60" w:beforeAutospacing="0" w:after="60"/>
              <w:contextualSpacing w:val="0"/>
              <w:jc w:val="right"/>
            </w:pPr>
            <w:r>
              <w:t>8,667</w:t>
            </w:r>
          </w:p>
        </w:tc>
        <w:tc>
          <w:tcPr>
            <w:tcW w:w="1163" w:type="dxa"/>
            <w:noWrap/>
            <w:hideMark/>
          </w:tcPr>
          <w:p w14:paraId="0D31E959" w14:textId="07352F87" w:rsidR="00526D6D" w:rsidRPr="004D2D10" w:rsidRDefault="00526D6D" w:rsidP="00C40167">
            <w:pPr>
              <w:spacing w:before="60" w:beforeAutospacing="0" w:after="60"/>
              <w:contextualSpacing w:val="0"/>
              <w:jc w:val="right"/>
            </w:pPr>
            <w:r>
              <w:t>-73</w:t>
            </w:r>
          </w:p>
        </w:tc>
        <w:tc>
          <w:tcPr>
            <w:tcW w:w="1164" w:type="dxa"/>
            <w:noWrap/>
            <w:hideMark/>
          </w:tcPr>
          <w:p w14:paraId="4ED1B1E1" w14:textId="5761772B" w:rsidR="00526D6D" w:rsidRPr="004D2D10" w:rsidRDefault="00526D6D" w:rsidP="00C40167">
            <w:pPr>
              <w:spacing w:before="60" w:beforeAutospacing="0" w:after="60"/>
              <w:contextualSpacing w:val="0"/>
              <w:jc w:val="right"/>
            </w:pPr>
            <w:r>
              <w:t>-125</w:t>
            </w:r>
          </w:p>
        </w:tc>
      </w:tr>
      <w:tr w:rsidR="00526D6D" w:rsidRPr="00C14672" w14:paraId="1BD15359" w14:textId="77777777" w:rsidTr="00C40167">
        <w:trPr>
          <w:trHeight w:val="315"/>
        </w:trPr>
        <w:tc>
          <w:tcPr>
            <w:tcW w:w="5093" w:type="dxa"/>
            <w:noWrap/>
            <w:hideMark/>
          </w:tcPr>
          <w:p w14:paraId="273D95EC" w14:textId="76470656" w:rsidR="00526D6D" w:rsidRPr="005211EB" w:rsidRDefault="00526D6D" w:rsidP="00526D6D">
            <w:pPr>
              <w:spacing w:before="60" w:beforeAutospacing="0" w:after="60"/>
              <w:ind w:left="447"/>
              <w:contextualSpacing w:val="0"/>
            </w:pPr>
            <w:r w:rsidRPr="005211EB">
              <w:t>WA Country Health Service</w:t>
            </w:r>
          </w:p>
        </w:tc>
        <w:tc>
          <w:tcPr>
            <w:tcW w:w="1347" w:type="dxa"/>
            <w:noWrap/>
            <w:hideMark/>
          </w:tcPr>
          <w:p w14:paraId="00AD35F6" w14:textId="28874453" w:rsidR="00526D6D" w:rsidRPr="004D2D10" w:rsidRDefault="00526D6D" w:rsidP="00C40167">
            <w:pPr>
              <w:spacing w:before="60" w:beforeAutospacing="0" w:after="60"/>
              <w:contextualSpacing w:val="0"/>
              <w:jc w:val="right"/>
            </w:pPr>
            <w:r>
              <w:t>10,231</w:t>
            </w:r>
          </w:p>
        </w:tc>
        <w:tc>
          <w:tcPr>
            <w:tcW w:w="1347" w:type="dxa"/>
            <w:noWrap/>
            <w:hideMark/>
          </w:tcPr>
          <w:p w14:paraId="0FFBCCD3" w14:textId="1CC3CBED" w:rsidR="00526D6D" w:rsidRPr="004D2D10" w:rsidRDefault="00526D6D" w:rsidP="00C40167">
            <w:pPr>
              <w:spacing w:before="60" w:beforeAutospacing="0" w:after="60"/>
              <w:contextualSpacing w:val="0"/>
              <w:jc w:val="right"/>
            </w:pPr>
            <w:r>
              <w:t>7,812</w:t>
            </w:r>
          </w:p>
        </w:tc>
        <w:tc>
          <w:tcPr>
            <w:tcW w:w="1163" w:type="dxa"/>
            <w:noWrap/>
            <w:hideMark/>
          </w:tcPr>
          <w:p w14:paraId="49ED85CE" w14:textId="3D9ABDDB" w:rsidR="00526D6D" w:rsidRPr="004D2D10" w:rsidRDefault="00526D6D" w:rsidP="00C40167">
            <w:pPr>
              <w:spacing w:before="60" w:beforeAutospacing="0" w:after="60"/>
              <w:contextualSpacing w:val="0"/>
              <w:jc w:val="right"/>
            </w:pPr>
            <w:r>
              <w:t>-70</w:t>
            </w:r>
          </w:p>
        </w:tc>
        <w:tc>
          <w:tcPr>
            <w:tcW w:w="1164" w:type="dxa"/>
            <w:noWrap/>
            <w:hideMark/>
          </w:tcPr>
          <w:p w14:paraId="38331C4C" w14:textId="6158FC02" w:rsidR="00526D6D" w:rsidRPr="004D2D10" w:rsidRDefault="00526D6D" w:rsidP="00C40167">
            <w:pPr>
              <w:spacing w:before="60" w:beforeAutospacing="0" w:after="60"/>
              <w:contextualSpacing w:val="0"/>
              <w:jc w:val="right"/>
            </w:pPr>
            <w:r>
              <w:t>+374</w:t>
            </w:r>
          </w:p>
        </w:tc>
      </w:tr>
      <w:tr w:rsidR="00526D6D" w:rsidRPr="00C14672" w14:paraId="20C956EA" w14:textId="77777777" w:rsidTr="00C40167">
        <w:trPr>
          <w:trHeight w:val="315"/>
        </w:trPr>
        <w:tc>
          <w:tcPr>
            <w:tcW w:w="5093" w:type="dxa"/>
            <w:noWrap/>
            <w:hideMark/>
          </w:tcPr>
          <w:p w14:paraId="4877389A" w14:textId="0FF39069" w:rsidR="00526D6D" w:rsidRPr="005211EB" w:rsidRDefault="00526D6D" w:rsidP="00526D6D">
            <w:pPr>
              <w:spacing w:before="60" w:beforeAutospacing="0" w:after="60"/>
              <w:ind w:left="447"/>
              <w:contextualSpacing w:val="0"/>
            </w:pPr>
            <w:r w:rsidRPr="005211EB">
              <w:t>South Metropolitan Health Service</w:t>
            </w:r>
          </w:p>
        </w:tc>
        <w:tc>
          <w:tcPr>
            <w:tcW w:w="1347" w:type="dxa"/>
            <w:noWrap/>
            <w:hideMark/>
          </w:tcPr>
          <w:p w14:paraId="20C3396C" w14:textId="0BB005BA" w:rsidR="00526D6D" w:rsidRPr="004D2D10" w:rsidRDefault="00526D6D" w:rsidP="00C40167">
            <w:pPr>
              <w:spacing w:before="60" w:beforeAutospacing="0" w:after="60"/>
              <w:contextualSpacing w:val="0"/>
              <w:jc w:val="right"/>
            </w:pPr>
            <w:r>
              <w:t>9,409</w:t>
            </w:r>
          </w:p>
        </w:tc>
        <w:tc>
          <w:tcPr>
            <w:tcW w:w="1347" w:type="dxa"/>
            <w:noWrap/>
            <w:hideMark/>
          </w:tcPr>
          <w:p w14:paraId="7C7EB707" w14:textId="5832CCAC" w:rsidR="00526D6D" w:rsidRPr="004D2D10" w:rsidRDefault="00526D6D" w:rsidP="00C40167">
            <w:pPr>
              <w:spacing w:before="60" w:beforeAutospacing="0" w:after="60"/>
              <w:contextualSpacing w:val="0"/>
              <w:jc w:val="right"/>
            </w:pPr>
            <w:r>
              <w:t>7,170</w:t>
            </w:r>
          </w:p>
        </w:tc>
        <w:tc>
          <w:tcPr>
            <w:tcW w:w="1163" w:type="dxa"/>
            <w:noWrap/>
            <w:hideMark/>
          </w:tcPr>
          <w:p w14:paraId="24407CBC" w14:textId="290C0611" w:rsidR="00526D6D" w:rsidRPr="004D2D10" w:rsidRDefault="00526D6D" w:rsidP="00C40167">
            <w:pPr>
              <w:spacing w:before="60" w:beforeAutospacing="0" w:after="60"/>
              <w:contextualSpacing w:val="0"/>
              <w:jc w:val="right"/>
            </w:pPr>
            <w:r>
              <w:t>+99</w:t>
            </w:r>
          </w:p>
        </w:tc>
        <w:tc>
          <w:tcPr>
            <w:tcW w:w="1164" w:type="dxa"/>
            <w:noWrap/>
            <w:hideMark/>
          </w:tcPr>
          <w:p w14:paraId="58FDEF11" w14:textId="4B078D63" w:rsidR="00526D6D" w:rsidRPr="004D2D10" w:rsidRDefault="00526D6D" w:rsidP="00C40167">
            <w:pPr>
              <w:spacing w:before="60" w:beforeAutospacing="0" w:after="60"/>
              <w:contextualSpacing w:val="0"/>
              <w:jc w:val="right"/>
            </w:pPr>
            <w:r>
              <w:t>+403</w:t>
            </w:r>
          </w:p>
        </w:tc>
      </w:tr>
      <w:tr w:rsidR="00526D6D" w:rsidRPr="00C14672" w14:paraId="023862C5" w14:textId="77777777" w:rsidTr="00C40167">
        <w:trPr>
          <w:trHeight w:val="315"/>
        </w:trPr>
        <w:tc>
          <w:tcPr>
            <w:tcW w:w="5093" w:type="dxa"/>
            <w:noWrap/>
            <w:hideMark/>
          </w:tcPr>
          <w:p w14:paraId="67180C86" w14:textId="7773066B" w:rsidR="00526D6D" w:rsidRPr="005211EB" w:rsidRDefault="00526D6D" w:rsidP="00526D6D">
            <w:pPr>
              <w:spacing w:before="60" w:beforeAutospacing="0" w:after="60"/>
              <w:ind w:left="447"/>
              <w:contextualSpacing w:val="0"/>
            </w:pPr>
            <w:r w:rsidRPr="005211EB">
              <w:t>East Metropolitan Health Service</w:t>
            </w:r>
          </w:p>
        </w:tc>
        <w:tc>
          <w:tcPr>
            <w:tcW w:w="1347" w:type="dxa"/>
            <w:noWrap/>
            <w:hideMark/>
          </w:tcPr>
          <w:p w14:paraId="20A54F64" w14:textId="3FF2F03B" w:rsidR="00526D6D" w:rsidRPr="004D2D10" w:rsidRDefault="00526D6D" w:rsidP="00C40167">
            <w:pPr>
              <w:spacing w:before="60" w:beforeAutospacing="0" w:after="60"/>
              <w:contextualSpacing w:val="0"/>
              <w:jc w:val="right"/>
            </w:pPr>
            <w:r>
              <w:t>8,435</w:t>
            </w:r>
          </w:p>
        </w:tc>
        <w:tc>
          <w:tcPr>
            <w:tcW w:w="1347" w:type="dxa"/>
            <w:noWrap/>
            <w:hideMark/>
          </w:tcPr>
          <w:p w14:paraId="00E37996" w14:textId="4BD98457" w:rsidR="00526D6D" w:rsidRPr="004D2D10" w:rsidRDefault="00526D6D" w:rsidP="00C40167">
            <w:pPr>
              <w:spacing w:before="60" w:beforeAutospacing="0" w:after="60"/>
              <w:contextualSpacing w:val="0"/>
              <w:jc w:val="right"/>
            </w:pPr>
            <w:r>
              <w:t>6,582</w:t>
            </w:r>
          </w:p>
        </w:tc>
        <w:tc>
          <w:tcPr>
            <w:tcW w:w="1163" w:type="dxa"/>
            <w:noWrap/>
            <w:hideMark/>
          </w:tcPr>
          <w:p w14:paraId="31BC2332" w14:textId="6E931E21" w:rsidR="00526D6D" w:rsidRPr="004D2D10" w:rsidRDefault="00526D6D" w:rsidP="00C40167">
            <w:pPr>
              <w:spacing w:before="60" w:beforeAutospacing="0" w:after="60"/>
              <w:contextualSpacing w:val="0"/>
              <w:jc w:val="right"/>
            </w:pPr>
            <w:r>
              <w:t>+127</w:t>
            </w:r>
          </w:p>
        </w:tc>
        <w:tc>
          <w:tcPr>
            <w:tcW w:w="1164" w:type="dxa"/>
            <w:noWrap/>
            <w:hideMark/>
          </w:tcPr>
          <w:p w14:paraId="199EF562" w14:textId="6BE59945" w:rsidR="00526D6D" w:rsidRPr="004D2D10" w:rsidRDefault="00526D6D" w:rsidP="00C40167">
            <w:pPr>
              <w:spacing w:before="60" w:beforeAutospacing="0" w:after="60"/>
              <w:contextualSpacing w:val="0"/>
              <w:jc w:val="right"/>
            </w:pPr>
            <w:r>
              <w:t>+384</w:t>
            </w:r>
          </w:p>
        </w:tc>
      </w:tr>
      <w:tr w:rsidR="00526D6D" w:rsidRPr="00C14672" w14:paraId="145AC281" w14:textId="77777777" w:rsidTr="00C40167">
        <w:trPr>
          <w:trHeight w:val="315"/>
        </w:trPr>
        <w:tc>
          <w:tcPr>
            <w:tcW w:w="5093" w:type="dxa"/>
            <w:noWrap/>
            <w:hideMark/>
          </w:tcPr>
          <w:p w14:paraId="372813DE" w14:textId="1EDF8EB6" w:rsidR="00526D6D" w:rsidRPr="005211EB" w:rsidRDefault="00526D6D" w:rsidP="00526D6D">
            <w:pPr>
              <w:spacing w:before="60" w:beforeAutospacing="0" w:after="60"/>
              <w:ind w:left="447"/>
              <w:contextualSpacing w:val="0"/>
            </w:pPr>
            <w:r w:rsidRPr="005211EB">
              <w:t>Child and Adolescent Health Service</w:t>
            </w:r>
          </w:p>
        </w:tc>
        <w:tc>
          <w:tcPr>
            <w:tcW w:w="1347" w:type="dxa"/>
            <w:noWrap/>
            <w:hideMark/>
          </w:tcPr>
          <w:p w14:paraId="178EF2C2" w14:textId="45A83393" w:rsidR="00526D6D" w:rsidRPr="004D2D10" w:rsidRDefault="00526D6D" w:rsidP="00C40167">
            <w:pPr>
              <w:spacing w:before="60" w:beforeAutospacing="0" w:after="60"/>
              <w:contextualSpacing w:val="0"/>
              <w:jc w:val="right"/>
            </w:pPr>
            <w:r>
              <w:t>5,059</w:t>
            </w:r>
          </w:p>
        </w:tc>
        <w:tc>
          <w:tcPr>
            <w:tcW w:w="1347" w:type="dxa"/>
            <w:noWrap/>
            <w:hideMark/>
          </w:tcPr>
          <w:p w14:paraId="6203BE69" w14:textId="109F7B89" w:rsidR="00526D6D" w:rsidRPr="004D2D10" w:rsidRDefault="00526D6D" w:rsidP="00C40167">
            <w:pPr>
              <w:spacing w:before="60" w:beforeAutospacing="0" w:after="60"/>
              <w:contextualSpacing w:val="0"/>
              <w:jc w:val="right"/>
            </w:pPr>
            <w:r>
              <w:t>3,657</w:t>
            </w:r>
          </w:p>
        </w:tc>
        <w:tc>
          <w:tcPr>
            <w:tcW w:w="1163" w:type="dxa"/>
            <w:noWrap/>
            <w:hideMark/>
          </w:tcPr>
          <w:p w14:paraId="44ACBC5A" w14:textId="73BDB265" w:rsidR="00526D6D" w:rsidRPr="004D2D10" w:rsidRDefault="00526D6D" w:rsidP="00C40167">
            <w:pPr>
              <w:spacing w:before="60" w:beforeAutospacing="0" w:after="60"/>
              <w:contextualSpacing w:val="0"/>
              <w:jc w:val="right"/>
            </w:pPr>
            <w:r>
              <w:t>-1</w:t>
            </w:r>
          </w:p>
        </w:tc>
        <w:tc>
          <w:tcPr>
            <w:tcW w:w="1164" w:type="dxa"/>
            <w:noWrap/>
            <w:hideMark/>
          </w:tcPr>
          <w:p w14:paraId="31C2AC5A" w14:textId="58D48149" w:rsidR="00526D6D" w:rsidRPr="004D2D10" w:rsidRDefault="00526D6D" w:rsidP="00C40167">
            <w:pPr>
              <w:spacing w:before="60" w:beforeAutospacing="0" w:after="60"/>
              <w:contextualSpacing w:val="0"/>
              <w:jc w:val="right"/>
            </w:pPr>
            <w:r>
              <w:t>+539</w:t>
            </w:r>
          </w:p>
        </w:tc>
      </w:tr>
      <w:tr w:rsidR="00526D6D" w:rsidRPr="00C14672" w14:paraId="0A080A0F" w14:textId="77777777" w:rsidTr="00C40167">
        <w:trPr>
          <w:trHeight w:val="318"/>
        </w:trPr>
        <w:tc>
          <w:tcPr>
            <w:tcW w:w="5093" w:type="dxa"/>
            <w:noWrap/>
          </w:tcPr>
          <w:p w14:paraId="60A9EB48" w14:textId="2F8C78B4" w:rsidR="00526D6D" w:rsidRPr="005211EB" w:rsidRDefault="00526D6D" w:rsidP="00526D6D">
            <w:pPr>
              <w:spacing w:before="60" w:beforeAutospacing="0" w:after="60"/>
              <w:ind w:left="447"/>
              <w:contextualSpacing w:val="0"/>
            </w:pPr>
            <w:r>
              <w:t>PathWest</w:t>
            </w:r>
          </w:p>
        </w:tc>
        <w:tc>
          <w:tcPr>
            <w:tcW w:w="1347" w:type="dxa"/>
            <w:noWrap/>
          </w:tcPr>
          <w:p w14:paraId="71B419FF" w14:textId="5AC5F21F" w:rsidR="00526D6D" w:rsidRDefault="00526D6D" w:rsidP="00C40167">
            <w:pPr>
              <w:spacing w:before="60" w:beforeAutospacing="0" w:after="60"/>
              <w:contextualSpacing w:val="0"/>
              <w:jc w:val="right"/>
            </w:pPr>
            <w:r>
              <w:t>2,227</w:t>
            </w:r>
          </w:p>
        </w:tc>
        <w:tc>
          <w:tcPr>
            <w:tcW w:w="1347" w:type="dxa"/>
            <w:noWrap/>
          </w:tcPr>
          <w:p w14:paraId="25563A9C" w14:textId="003E1D6A" w:rsidR="00526D6D" w:rsidRDefault="00526D6D" w:rsidP="00C40167">
            <w:pPr>
              <w:spacing w:before="60" w:beforeAutospacing="0" w:after="60"/>
              <w:contextualSpacing w:val="0"/>
              <w:jc w:val="right"/>
            </w:pPr>
            <w:r>
              <w:t>1,807</w:t>
            </w:r>
          </w:p>
        </w:tc>
        <w:tc>
          <w:tcPr>
            <w:tcW w:w="1163" w:type="dxa"/>
            <w:noWrap/>
          </w:tcPr>
          <w:p w14:paraId="78132698" w14:textId="623C7714" w:rsidR="00526D6D" w:rsidRDefault="00526D6D" w:rsidP="00C40167">
            <w:pPr>
              <w:spacing w:before="60" w:beforeAutospacing="0" w:after="60"/>
              <w:contextualSpacing w:val="0"/>
              <w:jc w:val="right"/>
            </w:pPr>
            <w:r>
              <w:t>+64</w:t>
            </w:r>
          </w:p>
        </w:tc>
        <w:tc>
          <w:tcPr>
            <w:tcW w:w="1164" w:type="dxa"/>
            <w:noWrap/>
          </w:tcPr>
          <w:p w14:paraId="11BC90B4" w14:textId="5DAFA42E" w:rsidR="00526D6D" w:rsidRDefault="00526D6D" w:rsidP="00C40167">
            <w:pPr>
              <w:spacing w:before="60" w:beforeAutospacing="0" w:after="60"/>
              <w:contextualSpacing w:val="0"/>
              <w:jc w:val="right"/>
            </w:pPr>
            <w:r>
              <w:t>+112</w:t>
            </w:r>
          </w:p>
        </w:tc>
      </w:tr>
      <w:tr w:rsidR="00526D6D" w:rsidRPr="00C14672" w14:paraId="3A82AF46" w14:textId="77777777" w:rsidTr="00C40167">
        <w:trPr>
          <w:trHeight w:val="318"/>
        </w:trPr>
        <w:tc>
          <w:tcPr>
            <w:tcW w:w="5093" w:type="dxa"/>
            <w:noWrap/>
            <w:hideMark/>
          </w:tcPr>
          <w:p w14:paraId="52E744C8" w14:textId="029DCBEF" w:rsidR="00526D6D" w:rsidRPr="005211EB" w:rsidRDefault="00526D6D" w:rsidP="00526D6D">
            <w:pPr>
              <w:spacing w:before="60" w:beforeAutospacing="0" w:after="60"/>
              <w:ind w:left="447"/>
              <w:contextualSpacing w:val="0"/>
            </w:pPr>
            <w:r>
              <w:t>Health Support Services</w:t>
            </w:r>
          </w:p>
        </w:tc>
        <w:tc>
          <w:tcPr>
            <w:tcW w:w="1347" w:type="dxa"/>
            <w:noWrap/>
            <w:hideMark/>
          </w:tcPr>
          <w:p w14:paraId="0D468646" w14:textId="76E5383C" w:rsidR="00526D6D" w:rsidRPr="004D2D10" w:rsidRDefault="00526D6D" w:rsidP="00C40167">
            <w:pPr>
              <w:spacing w:before="60" w:beforeAutospacing="0" w:after="60"/>
              <w:contextualSpacing w:val="0"/>
              <w:jc w:val="right"/>
            </w:pPr>
            <w:r>
              <w:t>2,205</w:t>
            </w:r>
          </w:p>
        </w:tc>
        <w:tc>
          <w:tcPr>
            <w:tcW w:w="1347" w:type="dxa"/>
            <w:noWrap/>
            <w:hideMark/>
          </w:tcPr>
          <w:p w14:paraId="6599E832" w14:textId="12C147BB" w:rsidR="00526D6D" w:rsidRPr="004D2D10" w:rsidRDefault="00526D6D" w:rsidP="00C40167">
            <w:pPr>
              <w:spacing w:before="60" w:beforeAutospacing="0" w:after="60"/>
              <w:contextualSpacing w:val="0"/>
              <w:jc w:val="right"/>
            </w:pPr>
            <w:r>
              <w:t>1,596</w:t>
            </w:r>
          </w:p>
        </w:tc>
        <w:tc>
          <w:tcPr>
            <w:tcW w:w="1163" w:type="dxa"/>
            <w:noWrap/>
            <w:hideMark/>
          </w:tcPr>
          <w:p w14:paraId="5C6DABEA" w14:textId="6B77C00F" w:rsidR="00526D6D" w:rsidRPr="004D2D10" w:rsidRDefault="00526D6D" w:rsidP="00C40167">
            <w:pPr>
              <w:spacing w:before="60" w:beforeAutospacing="0" w:after="60"/>
              <w:contextualSpacing w:val="0"/>
              <w:jc w:val="right"/>
            </w:pPr>
            <w:r>
              <w:t>+7</w:t>
            </w:r>
          </w:p>
        </w:tc>
        <w:tc>
          <w:tcPr>
            <w:tcW w:w="1164" w:type="dxa"/>
            <w:noWrap/>
            <w:hideMark/>
          </w:tcPr>
          <w:p w14:paraId="76692378" w14:textId="3C879EB9" w:rsidR="00526D6D" w:rsidRPr="004D2D10" w:rsidRDefault="00526D6D" w:rsidP="00C40167">
            <w:pPr>
              <w:spacing w:before="60" w:beforeAutospacing="0" w:after="60"/>
              <w:contextualSpacing w:val="0"/>
              <w:jc w:val="right"/>
            </w:pPr>
            <w:r>
              <w:t>+300</w:t>
            </w:r>
          </w:p>
        </w:tc>
      </w:tr>
      <w:tr w:rsidR="00526D6D" w:rsidRPr="00C14672" w14:paraId="798ED191" w14:textId="77777777" w:rsidTr="00C40167">
        <w:trPr>
          <w:trHeight w:val="315"/>
        </w:trPr>
        <w:tc>
          <w:tcPr>
            <w:tcW w:w="5093" w:type="dxa"/>
            <w:noWrap/>
            <w:hideMark/>
          </w:tcPr>
          <w:p w14:paraId="431384CB" w14:textId="5232B5CF" w:rsidR="00526D6D" w:rsidRPr="005211EB" w:rsidRDefault="00526D6D" w:rsidP="00526D6D">
            <w:pPr>
              <w:spacing w:before="60" w:beforeAutospacing="0" w:after="60"/>
              <w:ind w:left="444"/>
              <w:contextualSpacing w:val="0"/>
            </w:pPr>
            <w:r w:rsidRPr="005211EB">
              <w:t>Department of Health</w:t>
            </w:r>
          </w:p>
        </w:tc>
        <w:tc>
          <w:tcPr>
            <w:tcW w:w="1347" w:type="dxa"/>
            <w:noWrap/>
            <w:hideMark/>
          </w:tcPr>
          <w:p w14:paraId="5EDA426D" w14:textId="06F89073" w:rsidR="00526D6D" w:rsidRPr="004D2D10" w:rsidRDefault="00526D6D" w:rsidP="00C40167">
            <w:pPr>
              <w:spacing w:before="60" w:beforeAutospacing="0" w:after="60"/>
              <w:contextualSpacing w:val="0"/>
              <w:jc w:val="right"/>
            </w:pPr>
            <w:r>
              <w:t>1,141</w:t>
            </w:r>
          </w:p>
        </w:tc>
        <w:tc>
          <w:tcPr>
            <w:tcW w:w="1347" w:type="dxa"/>
            <w:noWrap/>
            <w:hideMark/>
          </w:tcPr>
          <w:p w14:paraId="763331E7" w14:textId="50FDBCE4" w:rsidR="00526D6D" w:rsidRPr="004D2D10" w:rsidRDefault="00526D6D" w:rsidP="00C40167">
            <w:pPr>
              <w:spacing w:before="60" w:beforeAutospacing="0" w:after="60"/>
              <w:contextualSpacing w:val="0"/>
              <w:jc w:val="right"/>
            </w:pPr>
            <w:r>
              <w:t>1,011</w:t>
            </w:r>
          </w:p>
        </w:tc>
        <w:tc>
          <w:tcPr>
            <w:tcW w:w="1163" w:type="dxa"/>
            <w:noWrap/>
            <w:hideMark/>
          </w:tcPr>
          <w:p w14:paraId="250E50BF" w14:textId="23AC8F3F" w:rsidR="00526D6D" w:rsidRPr="004D2D10" w:rsidRDefault="00526D6D" w:rsidP="00C40167">
            <w:pPr>
              <w:spacing w:before="60" w:beforeAutospacing="0" w:after="60"/>
              <w:contextualSpacing w:val="0"/>
              <w:jc w:val="right"/>
            </w:pPr>
            <w:r>
              <w:t>+63</w:t>
            </w:r>
          </w:p>
        </w:tc>
        <w:tc>
          <w:tcPr>
            <w:tcW w:w="1164" w:type="dxa"/>
            <w:noWrap/>
            <w:hideMark/>
          </w:tcPr>
          <w:p w14:paraId="313C8388" w14:textId="5578D1DA" w:rsidR="00526D6D" w:rsidRPr="004D2D10" w:rsidRDefault="00526D6D" w:rsidP="00C40167">
            <w:pPr>
              <w:spacing w:before="60" w:beforeAutospacing="0" w:after="60"/>
              <w:contextualSpacing w:val="0"/>
              <w:jc w:val="right"/>
            </w:pPr>
            <w:r>
              <w:t>+205</w:t>
            </w:r>
          </w:p>
        </w:tc>
      </w:tr>
      <w:tr w:rsidR="00C53454" w:rsidRPr="00C14672" w14:paraId="6BFBF1A4" w14:textId="77777777" w:rsidTr="00C40167">
        <w:trPr>
          <w:trHeight w:val="315"/>
        </w:trPr>
        <w:tc>
          <w:tcPr>
            <w:tcW w:w="5093" w:type="dxa"/>
            <w:noWrap/>
            <w:hideMark/>
          </w:tcPr>
          <w:p w14:paraId="4831D733" w14:textId="7FFED3ED" w:rsidR="00C53454" w:rsidRPr="005211EB" w:rsidRDefault="00C53454" w:rsidP="00C53454">
            <w:pPr>
              <w:spacing w:before="60" w:beforeAutospacing="0" w:after="60"/>
              <w:contextualSpacing w:val="0"/>
            </w:pPr>
            <w:r w:rsidRPr="005211EB">
              <w:t>Department of Justice</w:t>
            </w:r>
            <w:r w:rsidR="00173063">
              <w:rPr>
                <w:rStyle w:val="EndnoteReference"/>
              </w:rPr>
              <w:endnoteReference w:id="1"/>
            </w:r>
          </w:p>
        </w:tc>
        <w:tc>
          <w:tcPr>
            <w:tcW w:w="1347" w:type="dxa"/>
            <w:noWrap/>
            <w:hideMark/>
          </w:tcPr>
          <w:p w14:paraId="3B19A77E" w14:textId="5A8EBF9B" w:rsidR="00C53454" w:rsidRPr="004D2D10" w:rsidRDefault="00C53454" w:rsidP="00C40167">
            <w:pPr>
              <w:spacing w:before="60" w:beforeAutospacing="0" w:after="60"/>
              <w:contextualSpacing w:val="0"/>
              <w:jc w:val="right"/>
            </w:pPr>
            <w:r>
              <w:t>7,408</w:t>
            </w:r>
          </w:p>
        </w:tc>
        <w:tc>
          <w:tcPr>
            <w:tcW w:w="1347" w:type="dxa"/>
            <w:noWrap/>
            <w:hideMark/>
          </w:tcPr>
          <w:p w14:paraId="623B6B68" w14:textId="4F65282D" w:rsidR="00C53454" w:rsidRPr="004D2D10" w:rsidRDefault="00C53454" w:rsidP="00C40167">
            <w:pPr>
              <w:spacing w:before="60" w:beforeAutospacing="0" w:after="60"/>
              <w:contextualSpacing w:val="0"/>
              <w:jc w:val="right"/>
            </w:pPr>
            <w:r>
              <w:t>6,899</w:t>
            </w:r>
          </w:p>
        </w:tc>
        <w:tc>
          <w:tcPr>
            <w:tcW w:w="1163" w:type="dxa"/>
            <w:noWrap/>
            <w:hideMark/>
          </w:tcPr>
          <w:p w14:paraId="1C945E6F" w14:textId="36F8C023" w:rsidR="00C53454" w:rsidRPr="004D2D10" w:rsidRDefault="00C53454" w:rsidP="00C40167">
            <w:pPr>
              <w:spacing w:before="60" w:beforeAutospacing="0" w:after="60"/>
              <w:contextualSpacing w:val="0"/>
              <w:jc w:val="right"/>
            </w:pPr>
            <w:r>
              <w:t>+65</w:t>
            </w:r>
          </w:p>
        </w:tc>
        <w:tc>
          <w:tcPr>
            <w:tcW w:w="1164" w:type="dxa"/>
            <w:noWrap/>
            <w:hideMark/>
          </w:tcPr>
          <w:p w14:paraId="02F78026" w14:textId="2C907113" w:rsidR="00C53454" w:rsidRPr="004D2D10" w:rsidRDefault="00C53454" w:rsidP="00C40167">
            <w:pPr>
              <w:spacing w:before="60" w:beforeAutospacing="0" w:after="60"/>
              <w:contextualSpacing w:val="0"/>
              <w:jc w:val="right"/>
            </w:pPr>
            <w:r>
              <w:t>+509</w:t>
            </w:r>
          </w:p>
        </w:tc>
      </w:tr>
      <w:tr w:rsidR="00C53454" w:rsidRPr="00C14672" w14:paraId="27610C0C" w14:textId="77777777" w:rsidTr="00C40167">
        <w:trPr>
          <w:trHeight w:val="315"/>
        </w:trPr>
        <w:tc>
          <w:tcPr>
            <w:tcW w:w="5093" w:type="dxa"/>
            <w:noWrap/>
            <w:hideMark/>
          </w:tcPr>
          <w:p w14:paraId="3B72177E" w14:textId="474F0685" w:rsidR="00C53454" w:rsidRPr="005211EB" w:rsidRDefault="00C53454" w:rsidP="00C53454">
            <w:pPr>
              <w:spacing w:before="60" w:beforeAutospacing="0" w:after="60"/>
              <w:contextualSpacing w:val="0"/>
            </w:pPr>
            <w:r w:rsidRPr="005211EB">
              <w:t xml:space="preserve">Department of Communities </w:t>
            </w:r>
            <w:r w:rsidRPr="005211EB">
              <w:rPr>
                <w:rStyle w:val="EndnoteReference"/>
              </w:rPr>
              <w:endnoteReference w:id="2"/>
            </w:r>
          </w:p>
        </w:tc>
        <w:tc>
          <w:tcPr>
            <w:tcW w:w="1347" w:type="dxa"/>
            <w:noWrap/>
            <w:hideMark/>
          </w:tcPr>
          <w:p w14:paraId="22FC115F" w14:textId="30C0547F" w:rsidR="00C53454" w:rsidRPr="004D2D10" w:rsidRDefault="00C53454" w:rsidP="00C40167">
            <w:pPr>
              <w:spacing w:before="60" w:beforeAutospacing="0" w:after="60"/>
              <w:contextualSpacing w:val="0"/>
              <w:jc w:val="right"/>
            </w:pPr>
            <w:r>
              <w:t>6,065</w:t>
            </w:r>
          </w:p>
        </w:tc>
        <w:tc>
          <w:tcPr>
            <w:tcW w:w="1347" w:type="dxa"/>
            <w:noWrap/>
            <w:hideMark/>
          </w:tcPr>
          <w:p w14:paraId="3B331FC3" w14:textId="1DAF6D7C" w:rsidR="00C53454" w:rsidRPr="004D2D10" w:rsidRDefault="00C53454" w:rsidP="00C40167">
            <w:pPr>
              <w:spacing w:before="60" w:beforeAutospacing="0" w:after="60"/>
              <w:contextualSpacing w:val="0"/>
              <w:jc w:val="right"/>
            </w:pPr>
            <w:r>
              <w:t>5,341</w:t>
            </w:r>
          </w:p>
        </w:tc>
        <w:tc>
          <w:tcPr>
            <w:tcW w:w="1163" w:type="dxa"/>
            <w:noWrap/>
            <w:hideMark/>
          </w:tcPr>
          <w:p w14:paraId="335642CC" w14:textId="406097F9" w:rsidR="00C53454" w:rsidRPr="004D2D10" w:rsidRDefault="00C53454" w:rsidP="00C40167">
            <w:pPr>
              <w:spacing w:before="60" w:beforeAutospacing="0" w:after="60"/>
              <w:contextualSpacing w:val="0"/>
              <w:jc w:val="right"/>
            </w:pPr>
            <w:r>
              <w:t>-16</w:t>
            </w:r>
          </w:p>
        </w:tc>
        <w:tc>
          <w:tcPr>
            <w:tcW w:w="1164" w:type="dxa"/>
            <w:noWrap/>
            <w:hideMark/>
          </w:tcPr>
          <w:p w14:paraId="0F4D667A" w14:textId="7038A4CD" w:rsidR="00C53454" w:rsidRPr="004D2D10" w:rsidRDefault="00C53454" w:rsidP="00C40167">
            <w:pPr>
              <w:spacing w:before="60" w:beforeAutospacing="0" w:after="60"/>
              <w:contextualSpacing w:val="0"/>
              <w:jc w:val="right"/>
            </w:pPr>
            <w:r>
              <w:t>-277</w:t>
            </w:r>
          </w:p>
        </w:tc>
      </w:tr>
      <w:tr w:rsidR="00C53454" w:rsidRPr="00C14672" w14:paraId="54BA2ED5" w14:textId="77777777" w:rsidTr="00C40167">
        <w:trPr>
          <w:trHeight w:val="315"/>
        </w:trPr>
        <w:tc>
          <w:tcPr>
            <w:tcW w:w="5093" w:type="dxa"/>
            <w:noWrap/>
            <w:hideMark/>
          </w:tcPr>
          <w:p w14:paraId="53089CB9" w14:textId="3AF3B6C8" w:rsidR="00C53454" w:rsidRPr="005211EB" w:rsidRDefault="00C53454" w:rsidP="00C53454">
            <w:pPr>
              <w:spacing w:before="60" w:beforeAutospacing="0" w:after="60"/>
              <w:contextualSpacing w:val="0"/>
            </w:pPr>
            <w:r w:rsidRPr="005211EB">
              <w:t xml:space="preserve">Western Australia Police </w:t>
            </w:r>
            <w:r w:rsidRPr="005211EB">
              <w:rPr>
                <w:rStyle w:val="EndnoteReference"/>
              </w:rPr>
              <w:endnoteReference w:id="3"/>
            </w:r>
          </w:p>
        </w:tc>
        <w:tc>
          <w:tcPr>
            <w:tcW w:w="1347" w:type="dxa"/>
            <w:noWrap/>
            <w:hideMark/>
          </w:tcPr>
          <w:p w14:paraId="0C714BF0" w14:textId="3D19C64F" w:rsidR="00C53454" w:rsidRPr="004D2D10" w:rsidRDefault="00C53454" w:rsidP="00C40167">
            <w:pPr>
              <w:spacing w:before="60" w:beforeAutospacing="0" w:after="60"/>
              <w:contextualSpacing w:val="0"/>
              <w:jc w:val="right"/>
            </w:pPr>
            <w:r>
              <w:t>2,908</w:t>
            </w:r>
          </w:p>
        </w:tc>
        <w:tc>
          <w:tcPr>
            <w:tcW w:w="1347" w:type="dxa"/>
            <w:noWrap/>
            <w:hideMark/>
          </w:tcPr>
          <w:p w14:paraId="717AEAC9" w14:textId="54A46855" w:rsidR="00C53454" w:rsidRPr="004D2D10" w:rsidRDefault="00C53454" w:rsidP="00C40167">
            <w:pPr>
              <w:spacing w:before="60" w:beforeAutospacing="0" w:after="60"/>
              <w:contextualSpacing w:val="0"/>
              <w:jc w:val="right"/>
            </w:pPr>
            <w:r>
              <w:t>2,164</w:t>
            </w:r>
          </w:p>
        </w:tc>
        <w:tc>
          <w:tcPr>
            <w:tcW w:w="1163" w:type="dxa"/>
            <w:noWrap/>
            <w:hideMark/>
          </w:tcPr>
          <w:p w14:paraId="138E0E7E" w14:textId="316F7E28" w:rsidR="00C53454" w:rsidRPr="004D2D10" w:rsidRDefault="00C53454" w:rsidP="00C40167">
            <w:pPr>
              <w:spacing w:before="60" w:beforeAutospacing="0" w:after="60"/>
              <w:contextualSpacing w:val="0"/>
              <w:jc w:val="right"/>
            </w:pPr>
            <w:r>
              <w:t>-11</w:t>
            </w:r>
          </w:p>
        </w:tc>
        <w:tc>
          <w:tcPr>
            <w:tcW w:w="1164" w:type="dxa"/>
            <w:noWrap/>
            <w:hideMark/>
          </w:tcPr>
          <w:p w14:paraId="4BCEB9C9" w14:textId="60654ABE" w:rsidR="00C53454" w:rsidRPr="004D2D10" w:rsidRDefault="00C53454" w:rsidP="00C40167">
            <w:pPr>
              <w:spacing w:before="60" w:beforeAutospacing="0" w:after="60"/>
              <w:contextualSpacing w:val="0"/>
              <w:jc w:val="right"/>
            </w:pPr>
            <w:r>
              <w:t>+33</w:t>
            </w:r>
          </w:p>
        </w:tc>
      </w:tr>
      <w:tr w:rsidR="00C53454" w:rsidRPr="00C14672" w14:paraId="08E46EA2" w14:textId="77777777" w:rsidTr="00C40167">
        <w:trPr>
          <w:trHeight w:val="315"/>
        </w:trPr>
        <w:tc>
          <w:tcPr>
            <w:tcW w:w="5093" w:type="dxa"/>
            <w:noWrap/>
            <w:hideMark/>
          </w:tcPr>
          <w:p w14:paraId="05A380EB" w14:textId="0EB504F2" w:rsidR="00C53454" w:rsidRPr="005211EB" w:rsidRDefault="00C53454" w:rsidP="00C53454">
            <w:pPr>
              <w:spacing w:before="60" w:beforeAutospacing="0" w:after="60"/>
              <w:contextualSpacing w:val="0"/>
            </w:pPr>
            <w:r w:rsidRPr="005211EB">
              <w:t xml:space="preserve">Department of Biodiversity, Conservation and Attractions </w:t>
            </w:r>
            <w:r w:rsidRPr="005211EB">
              <w:rPr>
                <w:rStyle w:val="EndnoteReference"/>
              </w:rPr>
              <w:endnoteReference w:id="4"/>
            </w:r>
          </w:p>
        </w:tc>
        <w:tc>
          <w:tcPr>
            <w:tcW w:w="1347" w:type="dxa"/>
            <w:noWrap/>
            <w:hideMark/>
          </w:tcPr>
          <w:p w14:paraId="6C955B2F" w14:textId="2215FC47" w:rsidR="00C53454" w:rsidRPr="004D2D10" w:rsidRDefault="00C53454" w:rsidP="00C40167">
            <w:pPr>
              <w:spacing w:before="60" w:beforeAutospacing="0" w:after="60"/>
              <w:contextualSpacing w:val="0"/>
              <w:jc w:val="right"/>
            </w:pPr>
            <w:r>
              <w:t>2,328</w:t>
            </w:r>
          </w:p>
        </w:tc>
        <w:tc>
          <w:tcPr>
            <w:tcW w:w="1347" w:type="dxa"/>
            <w:noWrap/>
            <w:hideMark/>
          </w:tcPr>
          <w:p w14:paraId="38D81389" w14:textId="6FC711D3" w:rsidR="00C53454" w:rsidRPr="004D2D10" w:rsidRDefault="00C53454" w:rsidP="00C40167">
            <w:pPr>
              <w:spacing w:before="60" w:beforeAutospacing="0" w:after="60"/>
              <w:contextualSpacing w:val="0"/>
              <w:jc w:val="right"/>
            </w:pPr>
            <w:r>
              <w:t>1,980</w:t>
            </w:r>
          </w:p>
        </w:tc>
        <w:tc>
          <w:tcPr>
            <w:tcW w:w="1163" w:type="dxa"/>
            <w:noWrap/>
            <w:hideMark/>
          </w:tcPr>
          <w:p w14:paraId="5472332E" w14:textId="02D8CBEF" w:rsidR="00C53454" w:rsidRPr="004D2D10" w:rsidRDefault="00C53454" w:rsidP="00C40167">
            <w:pPr>
              <w:spacing w:before="60" w:beforeAutospacing="0" w:after="60"/>
              <w:contextualSpacing w:val="0"/>
              <w:jc w:val="right"/>
            </w:pPr>
            <w:r>
              <w:t>+127</w:t>
            </w:r>
          </w:p>
        </w:tc>
        <w:tc>
          <w:tcPr>
            <w:tcW w:w="1164" w:type="dxa"/>
            <w:noWrap/>
            <w:hideMark/>
          </w:tcPr>
          <w:p w14:paraId="3C223F55" w14:textId="6EA8CFAB" w:rsidR="00C53454" w:rsidRPr="004D2D10" w:rsidRDefault="00C53454" w:rsidP="00C40167">
            <w:pPr>
              <w:spacing w:before="60" w:beforeAutospacing="0" w:after="60"/>
              <w:contextualSpacing w:val="0"/>
              <w:jc w:val="right"/>
            </w:pPr>
            <w:r>
              <w:t>+48</w:t>
            </w:r>
          </w:p>
        </w:tc>
      </w:tr>
      <w:tr w:rsidR="00C53454" w:rsidRPr="00C14672" w14:paraId="7997FDD9" w14:textId="77777777" w:rsidTr="00C40167">
        <w:trPr>
          <w:trHeight w:val="315"/>
        </w:trPr>
        <w:tc>
          <w:tcPr>
            <w:tcW w:w="5093" w:type="dxa"/>
            <w:noWrap/>
            <w:hideMark/>
          </w:tcPr>
          <w:p w14:paraId="052DF8F6" w14:textId="7851440C" w:rsidR="00C53454" w:rsidRPr="005211EB" w:rsidRDefault="00C53454" w:rsidP="00C53454">
            <w:pPr>
              <w:spacing w:before="60" w:beforeAutospacing="0" w:after="60"/>
              <w:contextualSpacing w:val="0"/>
            </w:pPr>
            <w:r w:rsidRPr="005211EB">
              <w:t>Public Transport Authority</w:t>
            </w:r>
          </w:p>
        </w:tc>
        <w:tc>
          <w:tcPr>
            <w:tcW w:w="1347" w:type="dxa"/>
            <w:noWrap/>
            <w:hideMark/>
          </w:tcPr>
          <w:p w14:paraId="4FB496EF" w14:textId="28EB6124" w:rsidR="00C53454" w:rsidRPr="004D2D10" w:rsidRDefault="00C53454" w:rsidP="00C40167">
            <w:pPr>
              <w:spacing w:before="60" w:beforeAutospacing="0" w:after="60"/>
              <w:contextualSpacing w:val="0"/>
              <w:jc w:val="right"/>
            </w:pPr>
            <w:r>
              <w:t>2,198</w:t>
            </w:r>
          </w:p>
        </w:tc>
        <w:tc>
          <w:tcPr>
            <w:tcW w:w="1347" w:type="dxa"/>
            <w:noWrap/>
            <w:hideMark/>
          </w:tcPr>
          <w:p w14:paraId="5E0F370C" w14:textId="6ADB6A47" w:rsidR="00C53454" w:rsidRPr="004D2D10" w:rsidRDefault="00C53454" w:rsidP="00C40167">
            <w:pPr>
              <w:spacing w:before="60" w:beforeAutospacing="0" w:after="60"/>
              <w:contextualSpacing w:val="0"/>
              <w:jc w:val="right"/>
            </w:pPr>
            <w:r>
              <w:t>2,119</w:t>
            </w:r>
          </w:p>
        </w:tc>
        <w:tc>
          <w:tcPr>
            <w:tcW w:w="1163" w:type="dxa"/>
            <w:noWrap/>
            <w:hideMark/>
          </w:tcPr>
          <w:p w14:paraId="08BFBA9A" w14:textId="698A1299" w:rsidR="00C53454" w:rsidRPr="004D2D10" w:rsidRDefault="00C53454" w:rsidP="00C40167">
            <w:pPr>
              <w:spacing w:before="60" w:beforeAutospacing="0" w:after="60"/>
              <w:contextualSpacing w:val="0"/>
              <w:jc w:val="right"/>
            </w:pPr>
            <w:r>
              <w:t>+15</w:t>
            </w:r>
          </w:p>
        </w:tc>
        <w:tc>
          <w:tcPr>
            <w:tcW w:w="1164" w:type="dxa"/>
            <w:noWrap/>
            <w:hideMark/>
          </w:tcPr>
          <w:p w14:paraId="3E66675C" w14:textId="04AB47A1" w:rsidR="00C53454" w:rsidRPr="004D2D10" w:rsidRDefault="00C53454" w:rsidP="00C40167">
            <w:pPr>
              <w:spacing w:before="60" w:beforeAutospacing="0" w:after="60"/>
              <w:contextualSpacing w:val="0"/>
              <w:jc w:val="right"/>
            </w:pPr>
            <w:r>
              <w:t>+150</w:t>
            </w:r>
          </w:p>
        </w:tc>
      </w:tr>
      <w:tr w:rsidR="00C53454" w:rsidRPr="00C14672" w14:paraId="18B23686" w14:textId="77777777" w:rsidTr="00C40167">
        <w:trPr>
          <w:trHeight w:val="315"/>
        </w:trPr>
        <w:tc>
          <w:tcPr>
            <w:tcW w:w="5093" w:type="dxa"/>
            <w:noWrap/>
          </w:tcPr>
          <w:p w14:paraId="3AA88DF6" w14:textId="56B3284F" w:rsidR="00C53454" w:rsidRPr="005211EB" w:rsidRDefault="00C53454" w:rsidP="00C53454">
            <w:pPr>
              <w:spacing w:before="60" w:beforeAutospacing="0" w:after="60"/>
              <w:contextualSpacing w:val="0"/>
            </w:pPr>
            <w:r w:rsidRPr="005211EB">
              <w:t xml:space="preserve">Department of Primary Industries and Regional Development </w:t>
            </w:r>
            <w:r w:rsidRPr="005211EB">
              <w:rPr>
                <w:rStyle w:val="EndnoteReference"/>
              </w:rPr>
              <w:endnoteReference w:id="5"/>
            </w:r>
          </w:p>
        </w:tc>
        <w:tc>
          <w:tcPr>
            <w:tcW w:w="1347" w:type="dxa"/>
            <w:noWrap/>
          </w:tcPr>
          <w:p w14:paraId="6F5AE052" w14:textId="06E9AE79" w:rsidR="00C53454" w:rsidRDefault="00C53454" w:rsidP="00C40167">
            <w:pPr>
              <w:spacing w:before="60" w:beforeAutospacing="0" w:after="60"/>
              <w:contextualSpacing w:val="0"/>
              <w:jc w:val="right"/>
            </w:pPr>
            <w:r>
              <w:t>1,788</w:t>
            </w:r>
          </w:p>
        </w:tc>
        <w:tc>
          <w:tcPr>
            <w:tcW w:w="1347" w:type="dxa"/>
            <w:noWrap/>
          </w:tcPr>
          <w:p w14:paraId="0C5C8E59" w14:textId="4F48A2B3" w:rsidR="00C53454" w:rsidRDefault="00C53454" w:rsidP="00C40167">
            <w:pPr>
              <w:spacing w:before="60" w:beforeAutospacing="0" w:after="60"/>
              <w:contextualSpacing w:val="0"/>
              <w:jc w:val="right"/>
            </w:pPr>
            <w:r>
              <w:t>1,627</w:t>
            </w:r>
          </w:p>
        </w:tc>
        <w:tc>
          <w:tcPr>
            <w:tcW w:w="1163" w:type="dxa"/>
            <w:noWrap/>
          </w:tcPr>
          <w:p w14:paraId="55CD96D1" w14:textId="1C5BA652" w:rsidR="00C53454" w:rsidRDefault="00C53454" w:rsidP="00C40167">
            <w:pPr>
              <w:spacing w:before="60" w:beforeAutospacing="0" w:after="60"/>
              <w:contextualSpacing w:val="0"/>
              <w:jc w:val="right"/>
            </w:pPr>
            <w:r>
              <w:t>+16</w:t>
            </w:r>
          </w:p>
        </w:tc>
        <w:tc>
          <w:tcPr>
            <w:tcW w:w="1164" w:type="dxa"/>
            <w:noWrap/>
          </w:tcPr>
          <w:p w14:paraId="4B1FA964" w14:textId="709DFCFA" w:rsidR="00C53454" w:rsidRDefault="00C53454" w:rsidP="00C40167">
            <w:pPr>
              <w:spacing w:before="60" w:beforeAutospacing="0" w:after="60"/>
              <w:contextualSpacing w:val="0"/>
              <w:jc w:val="right"/>
            </w:pPr>
            <w:r>
              <w:t>+75</w:t>
            </w:r>
          </w:p>
        </w:tc>
      </w:tr>
      <w:tr w:rsidR="00C53454" w:rsidRPr="00C14672" w14:paraId="1ABA7414" w14:textId="77777777" w:rsidTr="00C40167">
        <w:trPr>
          <w:trHeight w:val="315"/>
        </w:trPr>
        <w:tc>
          <w:tcPr>
            <w:tcW w:w="5093" w:type="dxa"/>
            <w:noWrap/>
            <w:hideMark/>
          </w:tcPr>
          <w:p w14:paraId="2E4D5AA6" w14:textId="6C389C72" w:rsidR="00C53454" w:rsidRPr="005211EB" w:rsidRDefault="00C53454" w:rsidP="00C53454">
            <w:pPr>
              <w:spacing w:before="60" w:beforeAutospacing="0" w:after="60"/>
              <w:contextualSpacing w:val="0"/>
            </w:pPr>
            <w:r w:rsidRPr="005211EB">
              <w:t>Department of Fire and Emergency Services</w:t>
            </w:r>
          </w:p>
        </w:tc>
        <w:tc>
          <w:tcPr>
            <w:tcW w:w="1347" w:type="dxa"/>
            <w:noWrap/>
            <w:hideMark/>
          </w:tcPr>
          <w:p w14:paraId="689B6EFD" w14:textId="095291D4" w:rsidR="00C53454" w:rsidRPr="004D2D10" w:rsidRDefault="00C53454" w:rsidP="00C40167">
            <w:pPr>
              <w:spacing w:before="60" w:beforeAutospacing="0" w:after="60"/>
              <w:contextualSpacing w:val="0"/>
              <w:jc w:val="right"/>
            </w:pPr>
            <w:r>
              <w:t>1,769</w:t>
            </w:r>
          </w:p>
        </w:tc>
        <w:tc>
          <w:tcPr>
            <w:tcW w:w="1347" w:type="dxa"/>
            <w:noWrap/>
            <w:hideMark/>
          </w:tcPr>
          <w:p w14:paraId="2DFDD433" w14:textId="0B905216" w:rsidR="00C53454" w:rsidRPr="004D2D10" w:rsidRDefault="00C53454" w:rsidP="00C40167">
            <w:pPr>
              <w:spacing w:before="60" w:beforeAutospacing="0" w:after="60"/>
              <w:contextualSpacing w:val="0"/>
              <w:jc w:val="right"/>
            </w:pPr>
            <w:r>
              <w:t>1,681</w:t>
            </w:r>
          </w:p>
        </w:tc>
        <w:tc>
          <w:tcPr>
            <w:tcW w:w="1163" w:type="dxa"/>
            <w:noWrap/>
            <w:hideMark/>
          </w:tcPr>
          <w:p w14:paraId="7DC27EC4" w14:textId="1D1BE3DB" w:rsidR="00C53454" w:rsidRPr="004D2D10" w:rsidRDefault="00C53454" w:rsidP="00C40167">
            <w:pPr>
              <w:spacing w:before="60" w:beforeAutospacing="0" w:after="60"/>
              <w:contextualSpacing w:val="0"/>
              <w:jc w:val="right"/>
            </w:pPr>
            <w:r>
              <w:t>+19</w:t>
            </w:r>
          </w:p>
        </w:tc>
        <w:tc>
          <w:tcPr>
            <w:tcW w:w="1164" w:type="dxa"/>
            <w:noWrap/>
            <w:hideMark/>
          </w:tcPr>
          <w:p w14:paraId="29862808" w14:textId="0E414F5F" w:rsidR="00C53454" w:rsidRPr="004D2D10" w:rsidRDefault="00C53454" w:rsidP="00C40167">
            <w:pPr>
              <w:spacing w:before="60" w:beforeAutospacing="0" w:after="60"/>
              <w:contextualSpacing w:val="0"/>
              <w:jc w:val="right"/>
            </w:pPr>
            <w:r>
              <w:t>+32</w:t>
            </w:r>
          </w:p>
        </w:tc>
      </w:tr>
      <w:tr w:rsidR="00C53454" w:rsidRPr="00C14672" w14:paraId="2E5D35A6" w14:textId="77777777" w:rsidTr="00C40167">
        <w:trPr>
          <w:trHeight w:val="315"/>
        </w:trPr>
        <w:tc>
          <w:tcPr>
            <w:tcW w:w="5093" w:type="dxa"/>
            <w:noWrap/>
            <w:hideMark/>
          </w:tcPr>
          <w:p w14:paraId="7E03ED71" w14:textId="2BC99C80" w:rsidR="00C53454" w:rsidRPr="005211EB" w:rsidRDefault="00C53454" w:rsidP="001D5DEC">
            <w:pPr>
              <w:spacing w:before="60" w:beforeAutospacing="0" w:after="60"/>
              <w:contextualSpacing w:val="0"/>
            </w:pPr>
            <w:r w:rsidRPr="005211EB">
              <w:t>Department of Mines,</w:t>
            </w:r>
            <w:r w:rsidR="001D5DEC">
              <w:t xml:space="preserve"> Industry Regulation and Safety</w:t>
            </w:r>
          </w:p>
        </w:tc>
        <w:tc>
          <w:tcPr>
            <w:tcW w:w="1347" w:type="dxa"/>
            <w:noWrap/>
            <w:hideMark/>
          </w:tcPr>
          <w:p w14:paraId="77B90182" w14:textId="4DBC0DD2" w:rsidR="00C53454" w:rsidRPr="004D2D10" w:rsidRDefault="00C53454" w:rsidP="00C40167">
            <w:pPr>
              <w:spacing w:before="60" w:beforeAutospacing="0" w:after="60"/>
              <w:contextualSpacing w:val="0"/>
              <w:jc w:val="right"/>
            </w:pPr>
            <w:r>
              <w:t>1,747</w:t>
            </w:r>
          </w:p>
        </w:tc>
        <w:tc>
          <w:tcPr>
            <w:tcW w:w="1347" w:type="dxa"/>
            <w:noWrap/>
            <w:hideMark/>
          </w:tcPr>
          <w:p w14:paraId="0F7BC301" w14:textId="22BB9E73" w:rsidR="00C53454" w:rsidRPr="004D2D10" w:rsidRDefault="00C53454" w:rsidP="00C40167">
            <w:pPr>
              <w:spacing w:before="60" w:beforeAutospacing="0" w:after="60"/>
              <w:contextualSpacing w:val="0"/>
              <w:jc w:val="right"/>
            </w:pPr>
            <w:r>
              <w:t>1,627</w:t>
            </w:r>
          </w:p>
        </w:tc>
        <w:tc>
          <w:tcPr>
            <w:tcW w:w="1163" w:type="dxa"/>
            <w:noWrap/>
            <w:hideMark/>
          </w:tcPr>
          <w:p w14:paraId="19F4AAB3" w14:textId="16A0F406" w:rsidR="00C53454" w:rsidRPr="004D2D10" w:rsidRDefault="00C53454" w:rsidP="00C40167">
            <w:pPr>
              <w:spacing w:before="60" w:beforeAutospacing="0" w:after="60"/>
              <w:contextualSpacing w:val="0"/>
              <w:jc w:val="right"/>
            </w:pPr>
            <w:r>
              <w:t>+1</w:t>
            </w:r>
          </w:p>
        </w:tc>
        <w:tc>
          <w:tcPr>
            <w:tcW w:w="1164" w:type="dxa"/>
            <w:noWrap/>
            <w:hideMark/>
          </w:tcPr>
          <w:p w14:paraId="5A454461" w14:textId="17E8AC5D" w:rsidR="00C53454" w:rsidRPr="004D2D10" w:rsidRDefault="00C53454" w:rsidP="00C40167">
            <w:pPr>
              <w:spacing w:before="60" w:beforeAutospacing="0" w:after="60"/>
              <w:contextualSpacing w:val="0"/>
              <w:jc w:val="right"/>
            </w:pPr>
            <w:r>
              <w:t>+84</w:t>
            </w:r>
          </w:p>
        </w:tc>
      </w:tr>
      <w:tr w:rsidR="00C53454" w:rsidRPr="00C14672" w14:paraId="4BA958C1" w14:textId="77777777" w:rsidTr="00C40167">
        <w:trPr>
          <w:trHeight w:val="315"/>
        </w:trPr>
        <w:tc>
          <w:tcPr>
            <w:tcW w:w="5093" w:type="dxa"/>
            <w:noWrap/>
            <w:hideMark/>
          </w:tcPr>
          <w:p w14:paraId="40ADD6AC" w14:textId="739E2650" w:rsidR="00C53454" w:rsidRPr="005211EB" w:rsidRDefault="00C53454" w:rsidP="00C53454">
            <w:pPr>
              <w:spacing w:before="60" w:beforeAutospacing="0" w:after="60"/>
              <w:contextualSpacing w:val="0"/>
            </w:pPr>
            <w:r w:rsidRPr="005211EB">
              <w:t>Department of Transport</w:t>
            </w:r>
          </w:p>
        </w:tc>
        <w:tc>
          <w:tcPr>
            <w:tcW w:w="1347" w:type="dxa"/>
            <w:noWrap/>
            <w:hideMark/>
          </w:tcPr>
          <w:p w14:paraId="68116584" w14:textId="47CC6895" w:rsidR="00C53454" w:rsidRPr="004D2D10" w:rsidRDefault="00C53454" w:rsidP="00C40167">
            <w:pPr>
              <w:spacing w:before="60" w:beforeAutospacing="0" w:after="60"/>
              <w:contextualSpacing w:val="0"/>
              <w:jc w:val="right"/>
            </w:pPr>
            <w:r>
              <w:t>1,543</w:t>
            </w:r>
          </w:p>
        </w:tc>
        <w:tc>
          <w:tcPr>
            <w:tcW w:w="1347" w:type="dxa"/>
            <w:noWrap/>
            <w:hideMark/>
          </w:tcPr>
          <w:p w14:paraId="7E705B68" w14:textId="0F9100E8" w:rsidR="00C53454" w:rsidRPr="004D2D10" w:rsidRDefault="00C53454" w:rsidP="00C40167">
            <w:pPr>
              <w:spacing w:before="60" w:beforeAutospacing="0" w:after="60"/>
              <w:contextualSpacing w:val="0"/>
              <w:jc w:val="right"/>
            </w:pPr>
            <w:r>
              <w:t>1,417</w:t>
            </w:r>
          </w:p>
        </w:tc>
        <w:tc>
          <w:tcPr>
            <w:tcW w:w="1163" w:type="dxa"/>
            <w:noWrap/>
            <w:hideMark/>
          </w:tcPr>
          <w:p w14:paraId="376F988C" w14:textId="4F5DC2F4" w:rsidR="00C53454" w:rsidRPr="004D2D10" w:rsidRDefault="00C53454" w:rsidP="00C40167">
            <w:pPr>
              <w:spacing w:before="60" w:beforeAutospacing="0" w:after="60"/>
              <w:contextualSpacing w:val="0"/>
              <w:jc w:val="right"/>
            </w:pPr>
            <w:r>
              <w:t>+2</w:t>
            </w:r>
          </w:p>
        </w:tc>
        <w:tc>
          <w:tcPr>
            <w:tcW w:w="1164" w:type="dxa"/>
            <w:noWrap/>
            <w:hideMark/>
          </w:tcPr>
          <w:p w14:paraId="4F3BFEC3" w14:textId="29DF3B33" w:rsidR="00C53454" w:rsidRPr="004D2D10" w:rsidRDefault="00C53454" w:rsidP="00C40167">
            <w:pPr>
              <w:jc w:val="right"/>
            </w:pPr>
            <w:r>
              <w:t>+56</w:t>
            </w:r>
          </w:p>
        </w:tc>
      </w:tr>
      <w:tr w:rsidR="00C53454" w:rsidRPr="00C14672" w14:paraId="5CE4D164" w14:textId="77777777" w:rsidTr="00C40167">
        <w:trPr>
          <w:trHeight w:val="315"/>
        </w:trPr>
        <w:tc>
          <w:tcPr>
            <w:tcW w:w="5093" w:type="dxa"/>
            <w:noWrap/>
            <w:hideMark/>
          </w:tcPr>
          <w:p w14:paraId="3ABEBCC1" w14:textId="181CEAEB" w:rsidR="00C53454" w:rsidRPr="005211EB" w:rsidRDefault="00C53454" w:rsidP="00C53454">
            <w:pPr>
              <w:spacing w:before="60" w:beforeAutospacing="0" w:after="60"/>
              <w:contextualSpacing w:val="0"/>
            </w:pPr>
            <w:r w:rsidRPr="005211EB">
              <w:t>North Metropolitan TAFE</w:t>
            </w:r>
          </w:p>
        </w:tc>
        <w:tc>
          <w:tcPr>
            <w:tcW w:w="1347" w:type="dxa"/>
            <w:noWrap/>
            <w:hideMark/>
          </w:tcPr>
          <w:p w14:paraId="425C0D62" w14:textId="0A1DFBDE" w:rsidR="00C53454" w:rsidRPr="004D2D10" w:rsidRDefault="00C53454" w:rsidP="00C40167">
            <w:pPr>
              <w:spacing w:before="60" w:beforeAutospacing="0" w:after="60"/>
              <w:contextualSpacing w:val="0"/>
              <w:jc w:val="right"/>
            </w:pPr>
            <w:r>
              <w:t>1,329</w:t>
            </w:r>
          </w:p>
        </w:tc>
        <w:tc>
          <w:tcPr>
            <w:tcW w:w="1347" w:type="dxa"/>
            <w:noWrap/>
            <w:hideMark/>
          </w:tcPr>
          <w:p w14:paraId="607A3733" w14:textId="254B755C" w:rsidR="00C53454" w:rsidRPr="004D2D10" w:rsidRDefault="00C53454" w:rsidP="00C40167">
            <w:pPr>
              <w:spacing w:before="60" w:beforeAutospacing="0" w:after="60"/>
              <w:contextualSpacing w:val="0"/>
              <w:jc w:val="right"/>
            </w:pPr>
            <w:r>
              <w:t>1,097</w:t>
            </w:r>
          </w:p>
        </w:tc>
        <w:tc>
          <w:tcPr>
            <w:tcW w:w="1163" w:type="dxa"/>
            <w:noWrap/>
            <w:hideMark/>
          </w:tcPr>
          <w:p w14:paraId="4BA48E1F" w14:textId="2FA75ABF" w:rsidR="00C53454" w:rsidRPr="004D2D10" w:rsidRDefault="00C53454" w:rsidP="00C40167">
            <w:pPr>
              <w:spacing w:before="60" w:beforeAutospacing="0" w:after="60"/>
              <w:contextualSpacing w:val="0"/>
              <w:jc w:val="right"/>
            </w:pPr>
            <w:r>
              <w:t>-85</w:t>
            </w:r>
          </w:p>
        </w:tc>
        <w:tc>
          <w:tcPr>
            <w:tcW w:w="1164" w:type="dxa"/>
            <w:noWrap/>
            <w:hideMark/>
          </w:tcPr>
          <w:p w14:paraId="02ED1900" w14:textId="3E674814" w:rsidR="00C53454" w:rsidRPr="004D2D10" w:rsidRDefault="00C53454" w:rsidP="00C40167">
            <w:pPr>
              <w:spacing w:before="60" w:beforeAutospacing="0" w:after="60"/>
              <w:contextualSpacing w:val="0"/>
              <w:jc w:val="right"/>
            </w:pPr>
            <w:r>
              <w:t>+9</w:t>
            </w:r>
          </w:p>
        </w:tc>
      </w:tr>
      <w:tr w:rsidR="00C53454" w:rsidRPr="00C14672" w14:paraId="29F754D3" w14:textId="77777777" w:rsidTr="00C40167">
        <w:trPr>
          <w:trHeight w:val="315"/>
        </w:trPr>
        <w:tc>
          <w:tcPr>
            <w:tcW w:w="5093" w:type="dxa"/>
            <w:noWrap/>
            <w:hideMark/>
          </w:tcPr>
          <w:p w14:paraId="5141D29B" w14:textId="5EFD0E5E" w:rsidR="00C53454" w:rsidRPr="005211EB" w:rsidRDefault="00C53454" w:rsidP="00C53454">
            <w:pPr>
              <w:spacing w:before="60" w:beforeAutospacing="0" w:after="60"/>
              <w:contextualSpacing w:val="0"/>
            </w:pPr>
            <w:r w:rsidRPr="005211EB">
              <w:t>South Metropolitan TAFE</w:t>
            </w:r>
          </w:p>
        </w:tc>
        <w:tc>
          <w:tcPr>
            <w:tcW w:w="1347" w:type="dxa"/>
            <w:noWrap/>
            <w:hideMark/>
          </w:tcPr>
          <w:p w14:paraId="653956A7" w14:textId="42BB09CC" w:rsidR="00C53454" w:rsidRPr="004D2D10" w:rsidRDefault="00C53454" w:rsidP="00C40167">
            <w:pPr>
              <w:spacing w:before="60" w:beforeAutospacing="0" w:after="60"/>
              <w:contextualSpacing w:val="0"/>
              <w:jc w:val="right"/>
            </w:pPr>
            <w:r>
              <w:t>1,308</w:t>
            </w:r>
          </w:p>
        </w:tc>
        <w:tc>
          <w:tcPr>
            <w:tcW w:w="1347" w:type="dxa"/>
            <w:noWrap/>
            <w:hideMark/>
          </w:tcPr>
          <w:p w14:paraId="63BE3668" w14:textId="1E18C349" w:rsidR="00C53454" w:rsidRPr="004D2D10" w:rsidRDefault="00C53454" w:rsidP="00C40167">
            <w:pPr>
              <w:spacing w:before="60" w:beforeAutospacing="0" w:after="60"/>
              <w:contextualSpacing w:val="0"/>
              <w:jc w:val="right"/>
            </w:pPr>
            <w:r>
              <w:t>1,108</w:t>
            </w:r>
          </w:p>
        </w:tc>
        <w:tc>
          <w:tcPr>
            <w:tcW w:w="1163" w:type="dxa"/>
            <w:noWrap/>
            <w:hideMark/>
          </w:tcPr>
          <w:p w14:paraId="133A29A6" w14:textId="5FEF85EE" w:rsidR="00C53454" w:rsidRPr="004D2D10" w:rsidRDefault="00C53454" w:rsidP="00C40167">
            <w:pPr>
              <w:spacing w:before="60" w:beforeAutospacing="0" w:after="60"/>
              <w:contextualSpacing w:val="0"/>
              <w:jc w:val="right"/>
            </w:pPr>
            <w:r>
              <w:t>-87</w:t>
            </w:r>
          </w:p>
        </w:tc>
        <w:tc>
          <w:tcPr>
            <w:tcW w:w="1164" w:type="dxa"/>
            <w:noWrap/>
            <w:hideMark/>
          </w:tcPr>
          <w:p w14:paraId="395C6E11" w14:textId="1556BCB4" w:rsidR="00C53454" w:rsidRPr="004D2D10" w:rsidRDefault="00C53454" w:rsidP="00C40167">
            <w:pPr>
              <w:spacing w:before="60" w:beforeAutospacing="0" w:after="60"/>
              <w:contextualSpacing w:val="0"/>
              <w:jc w:val="right"/>
            </w:pPr>
            <w:r>
              <w:t>+47</w:t>
            </w:r>
          </w:p>
        </w:tc>
      </w:tr>
      <w:tr w:rsidR="00C53454" w:rsidRPr="00C14672" w14:paraId="530EA4C8" w14:textId="77777777" w:rsidTr="00C40167">
        <w:trPr>
          <w:trHeight w:val="315"/>
        </w:trPr>
        <w:tc>
          <w:tcPr>
            <w:tcW w:w="5093" w:type="dxa"/>
            <w:noWrap/>
            <w:vAlign w:val="bottom"/>
            <w:hideMark/>
          </w:tcPr>
          <w:p w14:paraId="20BF1D1E" w14:textId="1EAFD4FA" w:rsidR="00C53454" w:rsidRPr="005211EB" w:rsidRDefault="00C53454" w:rsidP="00C53454">
            <w:pPr>
              <w:spacing w:before="60" w:beforeAutospacing="0" w:after="60"/>
              <w:contextualSpacing w:val="0"/>
            </w:pPr>
            <w:r>
              <w:t xml:space="preserve">Department of Local Government, </w:t>
            </w:r>
            <w:proofErr w:type="gramStart"/>
            <w:r>
              <w:t>Sport</w:t>
            </w:r>
            <w:proofErr w:type="gramEnd"/>
            <w:r>
              <w:t xml:space="preserve"> and Cultural Industries</w:t>
            </w:r>
          </w:p>
        </w:tc>
        <w:tc>
          <w:tcPr>
            <w:tcW w:w="1347" w:type="dxa"/>
            <w:noWrap/>
            <w:hideMark/>
          </w:tcPr>
          <w:p w14:paraId="5ECCD659" w14:textId="01B76FF1" w:rsidR="00C53454" w:rsidRPr="005E0E6E" w:rsidRDefault="00C53454" w:rsidP="00C40167">
            <w:pPr>
              <w:spacing w:before="60" w:beforeAutospacing="0" w:after="60"/>
              <w:contextualSpacing w:val="0"/>
              <w:jc w:val="right"/>
            </w:pPr>
            <w:r>
              <w:t>1,187</w:t>
            </w:r>
          </w:p>
        </w:tc>
        <w:tc>
          <w:tcPr>
            <w:tcW w:w="1347" w:type="dxa"/>
            <w:noWrap/>
            <w:hideMark/>
          </w:tcPr>
          <w:p w14:paraId="7347F4FD" w14:textId="50F43BC9" w:rsidR="00C53454" w:rsidRPr="005E0E6E" w:rsidRDefault="00C53454" w:rsidP="00C40167">
            <w:pPr>
              <w:spacing w:before="60" w:beforeAutospacing="0" w:after="60"/>
              <w:contextualSpacing w:val="0"/>
              <w:jc w:val="right"/>
            </w:pPr>
            <w:r>
              <w:t>917</w:t>
            </w:r>
          </w:p>
        </w:tc>
        <w:tc>
          <w:tcPr>
            <w:tcW w:w="1163" w:type="dxa"/>
            <w:noWrap/>
            <w:hideMark/>
          </w:tcPr>
          <w:p w14:paraId="2A8E73E4" w14:textId="420490E6" w:rsidR="00C53454" w:rsidRPr="005E0E6E" w:rsidRDefault="00C53454" w:rsidP="00C40167">
            <w:pPr>
              <w:spacing w:before="60" w:beforeAutospacing="0" w:after="60"/>
              <w:contextualSpacing w:val="0"/>
              <w:jc w:val="right"/>
            </w:pPr>
            <w:r>
              <w:t>-18</w:t>
            </w:r>
          </w:p>
        </w:tc>
        <w:tc>
          <w:tcPr>
            <w:tcW w:w="1164" w:type="dxa"/>
            <w:noWrap/>
            <w:hideMark/>
          </w:tcPr>
          <w:p w14:paraId="3600AD8C" w14:textId="272B9ADD" w:rsidR="00C53454" w:rsidRPr="005E0E6E" w:rsidRDefault="00C53454" w:rsidP="00C40167">
            <w:pPr>
              <w:spacing w:before="60" w:beforeAutospacing="0" w:after="60"/>
              <w:contextualSpacing w:val="0"/>
              <w:jc w:val="right"/>
            </w:pPr>
            <w:r>
              <w:t>+48</w:t>
            </w:r>
          </w:p>
        </w:tc>
      </w:tr>
      <w:tr w:rsidR="00C53454" w:rsidRPr="00C14672" w14:paraId="71E7C541" w14:textId="77777777" w:rsidTr="00C40167">
        <w:trPr>
          <w:trHeight w:val="315"/>
        </w:trPr>
        <w:tc>
          <w:tcPr>
            <w:tcW w:w="5093" w:type="dxa"/>
            <w:noWrap/>
            <w:vAlign w:val="bottom"/>
            <w:hideMark/>
          </w:tcPr>
          <w:p w14:paraId="16199D11" w14:textId="2177CDDB" w:rsidR="00C53454" w:rsidRPr="005211EB" w:rsidRDefault="00C53454" w:rsidP="00C53454">
            <w:pPr>
              <w:spacing w:before="60" w:beforeAutospacing="0" w:after="60"/>
              <w:contextualSpacing w:val="0"/>
            </w:pPr>
            <w:r>
              <w:t>Main Roads Western Australia</w:t>
            </w:r>
          </w:p>
        </w:tc>
        <w:tc>
          <w:tcPr>
            <w:tcW w:w="1347" w:type="dxa"/>
            <w:noWrap/>
            <w:hideMark/>
          </w:tcPr>
          <w:p w14:paraId="6FAB5F0D" w14:textId="6C8A053A" w:rsidR="00C53454" w:rsidRPr="005E0E6E" w:rsidRDefault="00C53454" w:rsidP="00C40167">
            <w:pPr>
              <w:spacing w:before="60" w:beforeAutospacing="0" w:after="60"/>
              <w:contextualSpacing w:val="0"/>
              <w:jc w:val="right"/>
            </w:pPr>
            <w:r>
              <w:t>1,181</w:t>
            </w:r>
          </w:p>
        </w:tc>
        <w:tc>
          <w:tcPr>
            <w:tcW w:w="1347" w:type="dxa"/>
            <w:noWrap/>
            <w:hideMark/>
          </w:tcPr>
          <w:p w14:paraId="1C6A79AD" w14:textId="01761E64" w:rsidR="00C53454" w:rsidRPr="005E0E6E" w:rsidRDefault="00C53454" w:rsidP="00C40167">
            <w:pPr>
              <w:spacing w:before="60" w:beforeAutospacing="0" w:after="60"/>
              <w:contextualSpacing w:val="0"/>
              <w:jc w:val="right"/>
            </w:pPr>
            <w:r>
              <w:t>1,138</w:t>
            </w:r>
          </w:p>
        </w:tc>
        <w:tc>
          <w:tcPr>
            <w:tcW w:w="1163" w:type="dxa"/>
            <w:noWrap/>
            <w:hideMark/>
          </w:tcPr>
          <w:p w14:paraId="3BCA9061" w14:textId="4ADE7F9B" w:rsidR="00C53454" w:rsidRPr="005E0E6E" w:rsidRDefault="00C53454" w:rsidP="00C40167">
            <w:pPr>
              <w:spacing w:before="60" w:beforeAutospacing="0" w:after="60"/>
              <w:contextualSpacing w:val="0"/>
              <w:jc w:val="right"/>
            </w:pPr>
            <w:r>
              <w:t>+15</w:t>
            </w:r>
          </w:p>
        </w:tc>
        <w:tc>
          <w:tcPr>
            <w:tcW w:w="1164" w:type="dxa"/>
            <w:noWrap/>
            <w:hideMark/>
          </w:tcPr>
          <w:p w14:paraId="6511AB5C" w14:textId="1F962EA3" w:rsidR="00C53454" w:rsidRPr="005E0E6E" w:rsidRDefault="00C53454" w:rsidP="00C40167">
            <w:pPr>
              <w:spacing w:before="60" w:beforeAutospacing="0" w:after="60"/>
              <w:contextualSpacing w:val="0"/>
              <w:jc w:val="right"/>
            </w:pPr>
            <w:r>
              <w:t>+85</w:t>
            </w:r>
          </w:p>
        </w:tc>
      </w:tr>
      <w:tr w:rsidR="00C53454" w:rsidRPr="00C14672" w14:paraId="329A25B5" w14:textId="77777777" w:rsidTr="00C40167">
        <w:trPr>
          <w:trHeight w:val="315"/>
        </w:trPr>
        <w:tc>
          <w:tcPr>
            <w:tcW w:w="5093" w:type="dxa"/>
            <w:noWrap/>
            <w:vAlign w:val="bottom"/>
            <w:hideMark/>
          </w:tcPr>
          <w:p w14:paraId="638750D6" w14:textId="799A5217" w:rsidR="00C53454" w:rsidRPr="005211EB" w:rsidRDefault="00C53454" w:rsidP="00C53454">
            <w:pPr>
              <w:spacing w:before="60" w:beforeAutospacing="0" w:after="60"/>
              <w:contextualSpacing w:val="0"/>
            </w:pPr>
            <w:r>
              <w:t>Department of Finance</w:t>
            </w:r>
          </w:p>
        </w:tc>
        <w:tc>
          <w:tcPr>
            <w:tcW w:w="1347" w:type="dxa"/>
            <w:noWrap/>
            <w:hideMark/>
          </w:tcPr>
          <w:p w14:paraId="59351641" w14:textId="76631B36" w:rsidR="00C53454" w:rsidRPr="005E0E6E" w:rsidRDefault="00C53454" w:rsidP="00C40167">
            <w:pPr>
              <w:spacing w:before="60" w:beforeAutospacing="0" w:after="60"/>
              <w:contextualSpacing w:val="0"/>
              <w:jc w:val="right"/>
            </w:pPr>
            <w:r>
              <w:t>1,067</w:t>
            </w:r>
          </w:p>
        </w:tc>
        <w:tc>
          <w:tcPr>
            <w:tcW w:w="1347" w:type="dxa"/>
            <w:noWrap/>
            <w:hideMark/>
          </w:tcPr>
          <w:p w14:paraId="64A3A6C2" w14:textId="5757F41A" w:rsidR="00C53454" w:rsidRPr="005E0E6E" w:rsidRDefault="00C53454" w:rsidP="00C40167">
            <w:pPr>
              <w:spacing w:before="60" w:beforeAutospacing="0" w:after="60"/>
              <w:contextualSpacing w:val="0"/>
              <w:jc w:val="right"/>
            </w:pPr>
            <w:r>
              <w:t>999</w:t>
            </w:r>
          </w:p>
        </w:tc>
        <w:tc>
          <w:tcPr>
            <w:tcW w:w="1163" w:type="dxa"/>
            <w:noWrap/>
            <w:hideMark/>
          </w:tcPr>
          <w:p w14:paraId="754156EF" w14:textId="7BD957C4" w:rsidR="00C53454" w:rsidRPr="005E0E6E" w:rsidRDefault="00C53454" w:rsidP="00C40167">
            <w:pPr>
              <w:spacing w:before="60" w:beforeAutospacing="0" w:after="60"/>
              <w:contextualSpacing w:val="0"/>
              <w:jc w:val="right"/>
            </w:pPr>
            <w:r>
              <w:t>+52</w:t>
            </w:r>
          </w:p>
        </w:tc>
        <w:tc>
          <w:tcPr>
            <w:tcW w:w="1164" w:type="dxa"/>
            <w:noWrap/>
            <w:hideMark/>
          </w:tcPr>
          <w:p w14:paraId="66B115B1" w14:textId="5E5EA641" w:rsidR="00C53454" w:rsidRPr="005E0E6E" w:rsidRDefault="00C53454" w:rsidP="00C40167">
            <w:pPr>
              <w:spacing w:before="60" w:beforeAutospacing="0" w:after="60"/>
              <w:contextualSpacing w:val="0"/>
              <w:jc w:val="right"/>
            </w:pPr>
            <w:r>
              <w:t>+102</w:t>
            </w:r>
          </w:p>
        </w:tc>
      </w:tr>
      <w:tr w:rsidR="00C53454" w:rsidRPr="00C14672" w14:paraId="250CB023" w14:textId="77777777" w:rsidTr="00C40167">
        <w:trPr>
          <w:trHeight w:val="315"/>
        </w:trPr>
        <w:tc>
          <w:tcPr>
            <w:tcW w:w="5093" w:type="dxa"/>
            <w:noWrap/>
            <w:vAlign w:val="bottom"/>
            <w:hideMark/>
          </w:tcPr>
          <w:p w14:paraId="5EA554A3" w14:textId="23305B8F" w:rsidR="00C53454" w:rsidRPr="005211EB" w:rsidRDefault="00C53454" w:rsidP="00C53454">
            <w:pPr>
              <w:spacing w:before="60" w:beforeAutospacing="0" w:after="60"/>
              <w:contextualSpacing w:val="0"/>
            </w:pPr>
            <w:r>
              <w:t>Department of Water and Environmental Regulation</w:t>
            </w:r>
          </w:p>
        </w:tc>
        <w:tc>
          <w:tcPr>
            <w:tcW w:w="1347" w:type="dxa"/>
            <w:noWrap/>
            <w:hideMark/>
          </w:tcPr>
          <w:p w14:paraId="07ACE0C9" w14:textId="44B7276B" w:rsidR="00C53454" w:rsidRPr="005E0E6E" w:rsidRDefault="00C53454" w:rsidP="00C40167">
            <w:pPr>
              <w:spacing w:before="60" w:beforeAutospacing="0" w:after="60"/>
              <w:contextualSpacing w:val="0"/>
              <w:jc w:val="right"/>
            </w:pPr>
            <w:r>
              <w:t>954</w:t>
            </w:r>
          </w:p>
        </w:tc>
        <w:tc>
          <w:tcPr>
            <w:tcW w:w="1347" w:type="dxa"/>
            <w:noWrap/>
            <w:hideMark/>
          </w:tcPr>
          <w:p w14:paraId="0E384442" w14:textId="042F40C2" w:rsidR="00C53454" w:rsidRPr="005E0E6E" w:rsidRDefault="00C53454" w:rsidP="00C40167">
            <w:pPr>
              <w:spacing w:before="60" w:beforeAutospacing="0" w:after="60"/>
              <w:contextualSpacing w:val="0"/>
              <w:jc w:val="right"/>
            </w:pPr>
            <w:r>
              <w:t>852</w:t>
            </w:r>
          </w:p>
        </w:tc>
        <w:tc>
          <w:tcPr>
            <w:tcW w:w="1163" w:type="dxa"/>
            <w:noWrap/>
            <w:hideMark/>
          </w:tcPr>
          <w:p w14:paraId="1F9F4529" w14:textId="160C894D" w:rsidR="00C53454" w:rsidRPr="005E0E6E" w:rsidRDefault="00C53454" w:rsidP="00C40167">
            <w:pPr>
              <w:spacing w:before="60" w:beforeAutospacing="0" w:after="60"/>
              <w:contextualSpacing w:val="0"/>
              <w:jc w:val="right"/>
            </w:pPr>
            <w:r>
              <w:t>-16</w:t>
            </w:r>
          </w:p>
        </w:tc>
        <w:tc>
          <w:tcPr>
            <w:tcW w:w="1164" w:type="dxa"/>
            <w:noWrap/>
            <w:hideMark/>
          </w:tcPr>
          <w:p w14:paraId="3C2CFDAD" w14:textId="5566B6E5" w:rsidR="00C53454" w:rsidRPr="005E0E6E" w:rsidRDefault="00C53454" w:rsidP="00C40167">
            <w:pPr>
              <w:spacing w:before="60" w:beforeAutospacing="0" w:after="60"/>
              <w:contextualSpacing w:val="0"/>
              <w:jc w:val="right"/>
            </w:pPr>
            <w:r>
              <w:t>-5</w:t>
            </w:r>
          </w:p>
        </w:tc>
      </w:tr>
      <w:tr w:rsidR="00C53454" w:rsidRPr="00C14672" w14:paraId="050801A4" w14:textId="77777777" w:rsidTr="00C40167">
        <w:trPr>
          <w:trHeight w:val="315"/>
        </w:trPr>
        <w:tc>
          <w:tcPr>
            <w:tcW w:w="5093" w:type="dxa"/>
            <w:noWrap/>
            <w:vAlign w:val="bottom"/>
            <w:hideMark/>
          </w:tcPr>
          <w:p w14:paraId="72CE03D5" w14:textId="28F9F98B" w:rsidR="00C53454" w:rsidRPr="005211EB" w:rsidRDefault="00C53454" w:rsidP="00C53454">
            <w:pPr>
              <w:spacing w:before="60" w:beforeAutospacing="0" w:after="60"/>
              <w:contextualSpacing w:val="0"/>
            </w:pPr>
            <w:r>
              <w:lastRenderedPageBreak/>
              <w:t>Department of Planning, Lands and Heritage</w:t>
            </w:r>
          </w:p>
        </w:tc>
        <w:tc>
          <w:tcPr>
            <w:tcW w:w="1347" w:type="dxa"/>
            <w:noWrap/>
            <w:hideMark/>
          </w:tcPr>
          <w:p w14:paraId="6475E967" w14:textId="745AC1E6" w:rsidR="00C53454" w:rsidRPr="005E0E6E" w:rsidRDefault="00C53454" w:rsidP="00C40167">
            <w:pPr>
              <w:spacing w:before="60" w:beforeAutospacing="0" w:after="60"/>
              <w:contextualSpacing w:val="0"/>
              <w:jc w:val="right"/>
            </w:pPr>
            <w:r>
              <w:t>868</w:t>
            </w:r>
          </w:p>
        </w:tc>
        <w:tc>
          <w:tcPr>
            <w:tcW w:w="1347" w:type="dxa"/>
            <w:noWrap/>
            <w:hideMark/>
          </w:tcPr>
          <w:p w14:paraId="1A880B55" w14:textId="5D80D9E2" w:rsidR="00C53454" w:rsidRPr="005E0E6E" w:rsidRDefault="00C53454" w:rsidP="00C40167">
            <w:pPr>
              <w:spacing w:before="60" w:beforeAutospacing="0" w:after="60"/>
              <w:contextualSpacing w:val="0"/>
              <w:jc w:val="right"/>
            </w:pPr>
            <w:r>
              <w:t>790</w:t>
            </w:r>
          </w:p>
        </w:tc>
        <w:tc>
          <w:tcPr>
            <w:tcW w:w="1163" w:type="dxa"/>
            <w:noWrap/>
            <w:hideMark/>
          </w:tcPr>
          <w:p w14:paraId="70277978" w14:textId="5E1CCF6B" w:rsidR="00C53454" w:rsidRPr="005E0E6E" w:rsidRDefault="00C53454" w:rsidP="00C40167">
            <w:pPr>
              <w:spacing w:before="60" w:beforeAutospacing="0" w:after="60"/>
              <w:contextualSpacing w:val="0"/>
              <w:jc w:val="right"/>
            </w:pPr>
            <w:r>
              <w:t>+11</w:t>
            </w:r>
          </w:p>
        </w:tc>
        <w:tc>
          <w:tcPr>
            <w:tcW w:w="1164" w:type="dxa"/>
            <w:noWrap/>
            <w:hideMark/>
          </w:tcPr>
          <w:p w14:paraId="356BD646" w14:textId="58059FE7" w:rsidR="00C53454" w:rsidRPr="005E0E6E" w:rsidRDefault="00C53454" w:rsidP="00C40167">
            <w:pPr>
              <w:spacing w:before="60" w:beforeAutospacing="0" w:after="60"/>
              <w:contextualSpacing w:val="0"/>
              <w:jc w:val="right"/>
            </w:pPr>
            <w:r>
              <w:t>+7</w:t>
            </w:r>
          </w:p>
        </w:tc>
      </w:tr>
      <w:tr w:rsidR="00C53454" w:rsidRPr="00C14672" w14:paraId="4C818384" w14:textId="77777777" w:rsidTr="00C40167">
        <w:trPr>
          <w:trHeight w:val="315"/>
        </w:trPr>
        <w:tc>
          <w:tcPr>
            <w:tcW w:w="5093" w:type="dxa"/>
            <w:noWrap/>
            <w:vAlign w:val="bottom"/>
            <w:hideMark/>
          </w:tcPr>
          <w:p w14:paraId="1F33ABA0" w14:textId="6A469D00" w:rsidR="00C53454" w:rsidRPr="005211EB" w:rsidRDefault="00C53454" w:rsidP="00C53454">
            <w:pPr>
              <w:spacing w:before="60" w:beforeAutospacing="0" w:after="60"/>
              <w:contextualSpacing w:val="0"/>
            </w:pPr>
            <w:r>
              <w:t>Department of the Premier and Cabinet</w:t>
            </w:r>
          </w:p>
        </w:tc>
        <w:tc>
          <w:tcPr>
            <w:tcW w:w="1347" w:type="dxa"/>
            <w:noWrap/>
            <w:hideMark/>
          </w:tcPr>
          <w:p w14:paraId="1C4BD1B3" w14:textId="11563684" w:rsidR="00C53454" w:rsidRPr="005E0E6E" w:rsidRDefault="00C53454" w:rsidP="00C40167">
            <w:pPr>
              <w:spacing w:before="60" w:beforeAutospacing="0" w:after="60"/>
              <w:contextualSpacing w:val="0"/>
              <w:jc w:val="right"/>
            </w:pPr>
            <w:r>
              <w:t>630</w:t>
            </w:r>
          </w:p>
        </w:tc>
        <w:tc>
          <w:tcPr>
            <w:tcW w:w="1347" w:type="dxa"/>
            <w:noWrap/>
            <w:hideMark/>
          </w:tcPr>
          <w:p w14:paraId="23B878D3" w14:textId="56F948C4" w:rsidR="00C53454" w:rsidRPr="005E0E6E" w:rsidRDefault="00C53454" w:rsidP="00C40167">
            <w:pPr>
              <w:spacing w:before="60" w:beforeAutospacing="0" w:after="60"/>
              <w:contextualSpacing w:val="0"/>
              <w:jc w:val="right"/>
            </w:pPr>
            <w:r>
              <w:t>556</w:t>
            </w:r>
          </w:p>
        </w:tc>
        <w:tc>
          <w:tcPr>
            <w:tcW w:w="1163" w:type="dxa"/>
            <w:noWrap/>
            <w:hideMark/>
          </w:tcPr>
          <w:p w14:paraId="7700045A" w14:textId="4CA2534D" w:rsidR="00C53454" w:rsidRPr="005E0E6E" w:rsidRDefault="00C53454" w:rsidP="00C40167">
            <w:pPr>
              <w:spacing w:before="60" w:beforeAutospacing="0" w:after="60"/>
              <w:contextualSpacing w:val="0"/>
              <w:jc w:val="right"/>
            </w:pPr>
            <w:r>
              <w:t>+9</w:t>
            </w:r>
          </w:p>
        </w:tc>
        <w:tc>
          <w:tcPr>
            <w:tcW w:w="1164" w:type="dxa"/>
            <w:noWrap/>
            <w:hideMark/>
          </w:tcPr>
          <w:p w14:paraId="56B3D865" w14:textId="03068D22" w:rsidR="00C53454" w:rsidRPr="005E0E6E" w:rsidRDefault="00C53454" w:rsidP="00C40167">
            <w:pPr>
              <w:spacing w:before="60" w:beforeAutospacing="0" w:after="60"/>
              <w:contextualSpacing w:val="0"/>
              <w:jc w:val="right"/>
            </w:pPr>
            <w:r>
              <w:t>+28</w:t>
            </w:r>
          </w:p>
        </w:tc>
      </w:tr>
      <w:tr w:rsidR="00C53454" w:rsidRPr="00C14672" w14:paraId="6606E85D" w14:textId="77777777" w:rsidTr="00C40167">
        <w:trPr>
          <w:trHeight w:val="315"/>
        </w:trPr>
        <w:tc>
          <w:tcPr>
            <w:tcW w:w="5093" w:type="dxa"/>
            <w:noWrap/>
            <w:vAlign w:val="bottom"/>
            <w:hideMark/>
          </w:tcPr>
          <w:p w14:paraId="1F9F3D37" w14:textId="7DB84E0D" w:rsidR="00C53454" w:rsidRPr="005211EB" w:rsidRDefault="00C53454" w:rsidP="00C53454">
            <w:pPr>
              <w:spacing w:before="60" w:beforeAutospacing="0" w:after="60"/>
              <w:contextualSpacing w:val="0"/>
            </w:pPr>
            <w:proofErr w:type="spellStart"/>
            <w:r>
              <w:t>VenuesWest</w:t>
            </w:r>
            <w:proofErr w:type="spellEnd"/>
          </w:p>
        </w:tc>
        <w:tc>
          <w:tcPr>
            <w:tcW w:w="1347" w:type="dxa"/>
            <w:noWrap/>
            <w:hideMark/>
          </w:tcPr>
          <w:p w14:paraId="3AFC2DCA" w14:textId="1D4646EB" w:rsidR="00C53454" w:rsidRPr="005E0E6E" w:rsidRDefault="00C53454" w:rsidP="00C40167">
            <w:pPr>
              <w:spacing w:before="60" w:beforeAutospacing="0" w:after="60"/>
              <w:contextualSpacing w:val="0"/>
              <w:jc w:val="right"/>
            </w:pPr>
            <w:r>
              <w:t>517</w:t>
            </w:r>
          </w:p>
        </w:tc>
        <w:tc>
          <w:tcPr>
            <w:tcW w:w="1347" w:type="dxa"/>
            <w:noWrap/>
            <w:hideMark/>
          </w:tcPr>
          <w:p w14:paraId="77756ACE" w14:textId="327F53BC" w:rsidR="00C53454" w:rsidRPr="005E0E6E" w:rsidRDefault="00C53454" w:rsidP="00C40167">
            <w:pPr>
              <w:spacing w:before="60" w:beforeAutospacing="0" w:after="60"/>
              <w:contextualSpacing w:val="0"/>
              <w:jc w:val="right"/>
            </w:pPr>
            <w:r>
              <w:t>277</w:t>
            </w:r>
          </w:p>
        </w:tc>
        <w:tc>
          <w:tcPr>
            <w:tcW w:w="1163" w:type="dxa"/>
            <w:noWrap/>
            <w:hideMark/>
          </w:tcPr>
          <w:p w14:paraId="6E8F6B87" w14:textId="21AF59D0" w:rsidR="00C53454" w:rsidRPr="005E0E6E" w:rsidRDefault="00C53454" w:rsidP="00C40167">
            <w:pPr>
              <w:spacing w:before="60" w:beforeAutospacing="0" w:after="60"/>
              <w:contextualSpacing w:val="0"/>
              <w:jc w:val="right"/>
            </w:pPr>
            <w:r>
              <w:t>+170</w:t>
            </w:r>
          </w:p>
        </w:tc>
        <w:tc>
          <w:tcPr>
            <w:tcW w:w="1164" w:type="dxa"/>
            <w:noWrap/>
            <w:hideMark/>
          </w:tcPr>
          <w:p w14:paraId="0F1CFC47" w14:textId="4F1AAB88" w:rsidR="00C53454" w:rsidRPr="005E0E6E" w:rsidRDefault="00C53454" w:rsidP="00C40167">
            <w:pPr>
              <w:spacing w:before="60" w:beforeAutospacing="0" w:after="60"/>
              <w:contextualSpacing w:val="0"/>
              <w:jc w:val="right"/>
            </w:pPr>
            <w:r>
              <w:t>+15</w:t>
            </w:r>
          </w:p>
        </w:tc>
      </w:tr>
      <w:tr w:rsidR="00C53454" w:rsidRPr="00C14672" w14:paraId="7B8354A2" w14:textId="77777777" w:rsidTr="00C40167">
        <w:trPr>
          <w:trHeight w:val="315"/>
        </w:trPr>
        <w:tc>
          <w:tcPr>
            <w:tcW w:w="5093" w:type="dxa"/>
            <w:noWrap/>
            <w:vAlign w:val="bottom"/>
            <w:hideMark/>
          </w:tcPr>
          <w:p w14:paraId="320D16F2" w14:textId="47C6414A" w:rsidR="00C53454" w:rsidRPr="005211EB" w:rsidRDefault="00C53454" w:rsidP="00C53454">
            <w:pPr>
              <w:spacing w:before="60" w:beforeAutospacing="0" w:after="60"/>
              <w:contextualSpacing w:val="0"/>
            </w:pPr>
            <w:r>
              <w:t>South Regional TAFE</w:t>
            </w:r>
          </w:p>
        </w:tc>
        <w:tc>
          <w:tcPr>
            <w:tcW w:w="1347" w:type="dxa"/>
            <w:noWrap/>
            <w:hideMark/>
          </w:tcPr>
          <w:p w14:paraId="3B360F9E" w14:textId="3806E50B" w:rsidR="00C53454" w:rsidRPr="005E0E6E" w:rsidRDefault="00C53454" w:rsidP="00C40167">
            <w:pPr>
              <w:spacing w:before="60" w:beforeAutospacing="0" w:after="60"/>
              <w:contextualSpacing w:val="0"/>
              <w:jc w:val="right"/>
            </w:pPr>
            <w:r>
              <w:t>506</w:t>
            </w:r>
          </w:p>
        </w:tc>
        <w:tc>
          <w:tcPr>
            <w:tcW w:w="1347" w:type="dxa"/>
            <w:noWrap/>
            <w:hideMark/>
          </w:tcPr>
          <w:p w14:paraId="2401E1BD" w14:textId="0583B664" w:rsidR="00C53454" w:rsidRPr="005E0E6E" w:rsidRDefault="00C53454" w:rsidP="00C40167">
            <w:pPr>
              <w:spacing w:before="60" w:beforeAutospacing="0" w:after="60"/>
              <w:contextualSpacing w:val="0"/>
              <w:jc w:val="right"/>
            </w:pPr>
            <w:r>
              <w:t>373</w:t>
            </w:r>
          </w:p>
        </w:tc>
        <w:tc>
          <w:tcPr>
            <w:tcW w:w="1163" w:type="dxa"/>
            <w:noWrap/>
            <w:hideMark/>
          </w:tcPr>
          <w:p w14:paraId="773DD21E" w14:textId="6EA28AFC" w:rsidR="00C53454" w:rsidRPr="005E0E6E" w:rsidRDefault="00C53454" w:rsidP="00C40167">
            <w:pPr>
              <w:spacing w:before="60" w:beforeAutospacing="0" w:after="60"/>
              <w:contextualSpacing w:val="0"/>
              <w:jc w:val="right"/>
            </w:pPr>
            <w:r>
              <w:t>-55</w:t>
            </w:r>
          </w:p>
        </w:tc>
        <w:tc>
          <w:tcPr>
            <w:tcW w:w="1164" w:type="dxa"/>
            <w:noWrap/>
            <w:hideMark/>
          </w:tcPr>
          <w:p w14:paraId="19B2CD86" w14:textId="56F6208D" w:rsidR="00C53454" w:rsidRPr="005E0E6E" w:rsidRDefault="00C53454" w:rsidP="00C40167">
            <w:pPr>
              <w:spacing w:before="60" w:beforeAutospacing="0" w:after="60"/>
              <w:contextualSpacing w:val="0"/>
              <w:jc w:val="right"/>
            </w:pPr>
            <w:r>
              <w:t>+22</w:t>
            </w:r>
          </w:p>
        </w:tc>
      </w:tr>
      <w:tr w:rsidR="00C53454" w:rsidRPr="00C14672" w14:paraId="2BFE0C41" w14:textId="77777777" w:rsidTr="00C40167">
        <w:trPr>
          <w:trHeight w:val="315"/>
        </w:trPr>
        <w:tc>
          <w:tcPr>
            <w:tcW w:w="5093" w:type="dxa"/>
            <w:noWrap/>
            <w:vAlign w:val="bottom"/>
            <w:hideMark/>
          </w:tcPr>
          <w:p w14:paraId="7852CB93" w14:textId="5F68BC65" w:rsidR="00C53454" w:rsidRPr="005211EB" w:rsidRDefault="00C53454" w:rsidP="00C53454">
            <w:pPr>
              <w:spacing w:before="60" w:beforeAutospacing="0" w:after="60"/>
              <w:contextualSpacing w:val="0"/>
            </w:pPr>
            <w:r>
              <w:t>Landgate</w:t>
            </w:r>
          </w:p>
        </w:tc>
        <w:tc>
          <w:tcPr>
            <w:tcW w:w="1347" w:type="dxa"/>
            <w:noWrap/>
            <w:hideMark/>
          </w:tcPr>
          <w:p w14:paraId="1B58C901" w14:textId="1F3C32BB" w:rsidR="00C53454" w:rsidRPr="005E0E6E" w:rsidRDefault="00C53454" w:rsidP="00C40167">
            <w:pPr>
              <w:spacing w:before="60" w:beforeAutospacing="0" w:after="60"/>
              <w:contextualSpacing w:val="0"/>
              <w:jc w:val="right"/>
            </w:pPr>
            <w:r>
              <w:t>502</w:t>
            </w:r>
          </w:p>
        </w:tc>
        <w:tc>
          <w:tcPr>
            <w:tcW w:w="1347" w:type="dxa"/>
            <w:noWrap/>
            <w:hideMark/>
          </w:tcPr>
          <w:p w14:paraId="3823F5EB" w14:textId="4C42A585" w:rsidR="00C53454" w:rsidRPr="005E0E6E" w:rsidRDefault="00C53454" w:rsidP="00C40167">
            <w:pPr>
              <w:spacing w:before="60" w:beforeAutospacing="0" w:after="60"/>
              <w:contextualSpacing w:val="0"/>
              <w:jc w:val="right"/>
            </w:pPr>
            <w:r>
              <w:t>462</w:t>
            </w:r>
          </w:p>
        </w:tc>
        <w:tc>
          <w:tcPr>
            <w:tcW w:w="1163" w:type="dxa"/>
            <w:noWrap/>
            <w:hideMark/>
          </w:tcPr>
          <w:p w14:paraId="569E07F2" w14:textId="02C485B9" w:rsidR="00C53454" w:rsidRPr="005E0E6E" w:rsidRDefault="00C53454" w:rsidP="00C40167">
            <w:pPr>
              <w:spacing w:before="60" w:beforeAutospacing="0" w:after="60"/>
              <w:contextualSpacing w:val="0"/>
              <w:jc w:val="right"/>
            </w:pPr>
            <w:r>
              <w:t>-1</w:t>
            </w:r>
          </w:p>
        </w:tc>
        <w:tc>
          <w:tcPr>
            <w:tcW w:w="1164" w:type="dxa"/>
            <w:noWrap/>
            <w:hideMark/>
          </w:tcPr>
          <w:p w14:paraId="07A3A503" w14:textId="78C2D892" w:rsidR="00C53454" w:rsidRPr="005E0E6E" w:rsidRDefault="00C53454" w:rsidP="00C40167">
            <w:pPr>
              <w:spacing w:before="60" w:beforeAutospacing="0" w:after="60"/>
              <w:contextualSpacing w:val="0"/>
              <w:jc w:val="right"/>
            </w:pPr>
            <w:r>
              <w:t>-13</w:t>
            </w:r>
          </w:p>
        </w:tc>
      </w:tr>
      <w:tr w:rsidR="00C53454" w:rsidRPr="00C14672" w14:paraId="1BE0CE16" w14:textId="77777777" w:rsidTr="00C40167">
        <w:trPr>
          <w:trHeight w:val="315"/>
        </w:trPr>
        <w:tc>
          <w:tcPr>
            <w:tcW w:w="5093" w:type="dxa"/>
            <w:noWrap/>
            <w:vAlign w:val="bottom"/>
            <w:hideMark/>
          </w:tcPr>
          <w:p w14:paraId="4C28DAE0" w14:textId="744E2BDB" w:rsidR="00C53454" w:rsidRPr="005211EB" w:rsidRDefault="00C53454" w:rsidP="00C53454">
            <w:pPr>
              <w:spacing w:before="60" w:beforeAutospacing="0" w:after="60"/>
              <w:contextualSpacing w:val="0"/>
            </w:pPr>
            <w:r>
              <w:t>Department of Training and Workforce Development</w:t>
            </w:r>
          </w:p>
        </w:tc>
        <w:tc>
          <w:tcPr>
            <w:tcW w:w="1347" w:type="dxa"/>
            <w:noWrap/>
            <w:hideMark/>
          </w:tcPr>
          <w:p w14:paraId="5661A53B" w14:textId="6059042C" w:rsidR="00C53454" w:rsidRPr="005E0E6E" w:rsidRDefault="00C53454" w:rsidP="00C40167">
            <w:pPr>
              <w:spacing w:before="60" w:beforeAutospacing="0" w:after="60"/>
              <w:contextualSpacing w:val="0"/>
              <w:jc w:val="right"/>
            </w:pPr>
            <w:r>
              <w:t>484</w:t>
            </w:r>
          </w:p>
        </w:tc>
        <w:tc>
          <w:tcPr>
            <w:tcW w:w="1347" w:type="dxa"/>
            <w:noWrap/>
            <w:hideMark/>
          </w:tcPr>
          <w:p w14:paraId="7B0CAAD0" w14:textId="32A8E9F9" w:rsidR="00C53454" w:rsidRPr="005E0E6E" w:rsidRDefault="00C53454" w:rsidP="00C40167">
            <w:pPr>
              <w:spacing w:before="60" w:beforeAutospacing="0" w:after="60"/>
              <w:contextualSpacing w:val="0"/>
              <w:jc w:val="right"/>
            </w:pPr>
            <w:r>
              <w:t>430</w:t>
            </w:r>
          </w:p>
        </w:tc>
        <w:tc>
          <w:tcPr>
            <w:tcW w:w="1163" w:type="dxa"/>
            <w:noWrap/>
            <w:hideMark/>
          </w:tcPr>
          <w:p w14:paraId="3001DA5C" w14:textId="4042A781" w:rsidR="00C53454" w:rsidRPr="005E0E6E" w:rsidRDefault="00C53454" w:rsidP="00C40167">
            <w:pPr>
              <w:spacing w:before="60" w:beforeAutospacing="0" w:after="60"/>
              <w:contextualSpacing w:val="0"/>
              <w:jc w:val="right"/>
            </w:pPr>
            <w:r>
              <w:t>+12</w:t>
            </w:r>
          </w:p>
        </w:tc>
        <w:tc>
          <w:tcPr>
            <w:tcW w:w="1164" w:type="dxa"/>
            <w:noWrap/>
            <w:hideMark/>
          </w:tcPr>
          <w:p w14:paraId="5222CB5F" w14:textId="0146894E" w:rsidR="00C53454" w:rsidRPr="005E0E6E" w:rsidRDefault="00C53454" w:rsidP="00C40167">
            <w:pPr>
              <w:spacing w:before="60" w:beforeAutospacing="0" w:after="60"/>
              <w:contextualSpacing w:val="0"/>
              <w:jc w:val="right"/>
            </w:pPr>
            <w:r>
              <w:t>+14</w:t>
            </w:r>
          </w:p>
        </w:tc>
      </w:tr>
      <w:tr w:rsidR="00C53454" w:rsidRPr="00C14672" w14:paraId="7F062F0C" w14:textId="77777777" w:rsidTr="00C40167">
        <w:trPr>
          <w:trHeight w:val="315"/>
        </w:trPr>
        <w:tc>
          <w:tcPr>
            <w:tcW w:w="5093" w:type="dxa"/>
            <w:noWrap/>
            <w:vAlign w:val="bottom"/>
            <w:hideMark/>
          </w:tcPr>
          <w:p w14:paraId="1A4EDBEA" w14:textId="5CB93FCD" w:rsidR="00C53454" w:rsidRPr="005211EB" w:rsidRDefault="00C53454" w:rsidP="00C53454">
            <w:pPr>
              <w:spacing w:before="60" w:beforeAutospacing="0" w:after="60"/>
              <w:contextualSpacing w:val="0"/>
            </w:pPr>
            <w:r>
              <w:t>Insurance Commission of Western Australia</w:t>
            </w:r>
          </w:p>
        </w:tc>
        <w:tc>
          <w:tcPr>
            <w:tcW w:w="1347" w:type="dxa"/>
            <w:noWrap/>
            <w:hideMark/>
          </w:tcPr>
          <w:p w14:paraId="5E576324" w14:textId="0804EC5E" w:rsidR="00C53454" w:rsidRPr="005E0E6E" w:rsidRDefault="00C53454" w:rsidP="00C40167">
            <w:pPr>
              <w:spacing w:before="60" w:beforeAutospacing="0" w:after="60"/>
              <w:contextualSpacing w:val="0"/>
              <w:jc w:val="right"/>
            </w:pPr>
            <w:r>
              <w:t>415</w:t>
            </w:r>
          </w:p>
        </w:tc>
        <w:tc>
          <w:tcPr>
            <w:tcW w:w="1347" w:type="dxa"/>
            <w:noWrap/>
            <w:hideMark/>
          </w:tcPr>
          <w:p w14:paraId="598352B0" w14:textId="71FCC3B4" w:rsidR="00C53454" w:rsidRPr="005E0E6E" w:rsidRDefault="00C53454" w:rsidP="00C40167">
            <w:pPr>
              <w:spacing w:before="60" w:beforeAutospacing="0" w:after="60"/>
              <w:contextualSpacing w:val="0"/>
              <w:jc w:val="right"/>
            </w:pPr>
            <w:r>
              <w:t>376</w:t>
            </w:r>
          </w:p>
        </w:tc>
        <w:tc>
          <w:tcPr>
            <w:tcW w:w="1163" w:type="dxa"/>
            <w:noWrap/>
            <w:hideMark/>
          </w:tcPr>
          <w:p w14:paraId="1E081862" w14:textId="00E59F24" w:rsidR="00C53454" w:rsidRPr="005E0E6E" w:rsidRDefault="00C53454" w:rsidP="00C40167">
            <w:pPr>
              <w:spacing w:before="60" w:beforeAutospacing="0" w:after="60"/>
              <w:contextualSpacing w:val="0"/>
              <w:jc w:val="right"/>
            </w:pPr>
            <w:r>
              <w:t>-3</w:t>
            </w:r>
          </w:p>
        </w:tc>
        <w:tc>
          <w:tcPr>
            <w:tcW w:w="1164" w:type="dxa"/>
            <w:noWrap/>
            <w:hideMark/>
          </w:tcPr>
          <w:p w14:paraId="379C3767" w14:textId="7BFA47DE" w:rsidR="00C53454" w:rsidRPr="005E0E6E" w:rsidRDefault="00C53454" w:rsidP="00C40167">
            <w:pPr>
              <w:spacing w:before="60" w:beforeAutospacing="0" w:after="60"/>
              <w:contextualSpacing w:val="0"/>
              <w:jc w:val="right"/>
            </w:pPr>
            <w:r>
              <w:t>-9</w:t>
            </w:r>
          </w:p>
        </w:tc>
      </w:tr>
      <w:tr w:rsidR="00C53454" w:rsidRPr="00C14672" w14:paraId="319D4A4E" w14:textId="77777777" w:rsidTr="00C40167">
        <w:trPr>
          <w:trHeight w:val="315"/>
        </w:trPr>
        <w:tc>
          <w:tcPr>
            <w:tcW w:w="5093" w:type="dxa"/>
            <w:noWrap/>
            <w:vAlign w:val="bottom"/>
            <w:hideMark/>
          </w:tcPr>
          <w:p w14:paraId="2B47EE40" w14:textId="6FCE7429" w:rsidR="00C53454" w:rsidRPr="005211EB" w:rsidRDefault="00C53454" w:rsidP="00C53454">
            <w:pPr>
              <w:spacing w:before="60" w:beforeAutospacing="0" w:after="60"/>
              <w:contextualSpacing w:val="0"/>
            </w:pPr>
            <w:r>
              <w:t>Central Regional TAFE</w:t>
            </w:r>
          </w:p>
        </w:tc>
        <w:tc>
          <w:tcPr>
            <w:tcW w:w="1347" w:type="dxa"/>
            <w:noWrap/>
            <w:hideMark/>
          </w:tcPr>
          <w:p w14:paraId="018BCFB7" w14:textId="05FB9B64" w:rsidR="00C53454" w:rsidRPr="005E0E6E" w:rsidRDefault="00C53454" w:rsidP="00C40167">
            <w:pPr>
              <w:spacing w:before="60" w:beforeAutospacing="0" w:after="60"/>
              <w:contextualSpacing w:val="0"/>
              <w:jc w:val="right"/>
            </w:pPr>
            <w:r>
              <w:t>389</w:t>
            </w:r>
          </w:p>
        </w:tc>
        <w:tc>
          <w:tcPr>
            <w:tcW w:w="1347" w:type="dxa"/>
            <w:noWrap/>
            <w:hideMark/>
          </w:tcPr>
          <w:p w14:paraId="6BAC5760" w14:textId="2A9D0616" w:rsidR="00C53454" w:rsidRPr="005E0E6E" w:rsidRDefault="00C53454" w:rsidP="00C40167">
            <w:pPr>
              <w:spacing w:before="60" w:beforeAutospacing="0" w:after="60"/>
              <w:contextualSpacing w:val="0"/>
              <w:jc w:val="right"/>
            </w:pPr>
            <w:r>
              <w:t>327</w:t>
            </w:r>
          </w:p>
        </w:tc>
        <w:tc>
          <w:tcPr>
            <w:tcW w:w="1163" w:type="dxa"/>
            <w:noWrap/>
            <w:hideMark/>
          </w:tcPr>
          <w:p w14:paraId="4DA0EB0C" w14:textId="2E7CEF60" w:rsidR="00C53454" w:rsidRPr="005E0E6E" w:rsidRDefault="00C53454" w:rsidP="00C40167">
            <w:pPr>
              <w:spacing w:before="60" w:beforeAutospacing="0" w:after="60"/>
              <w:contextualSpacing w:val="0"/>
              <w:jc w:val="right"/>
            </w:pPr>
            <w:r>
              <w:t>-28</w:t>
            </w:r>
          </w:p>
        </w:tc>
        <w:tc>
          <w:tcPr>
            <w:tcW w:w="1164" w:type="dxa"/>
            <w:noWrap/>
            <w:hideMark/>
          </w:tcPr>
          <w:p w14:paraId="31660367" w14:textId="0C5A52D6" w:rsidR="00C53454" w:rsidRPr="005E0E6E" w:rsidRDefault="00C53454" w:rsidP="00C40167">
            <w:pPr>
              <w:spacing w:before="60" w:beforeAutospacing="0" w:after="60"/>
              <w:contextualSpacing w:val="0"/>
              <w:jc w:val="right"/>
            </w:pPr>
            <w:r>
              <w:t>+17</w:t>
            </w:r>
          </w:p>
        </w:tc>
      </w:tr>
      <w:tr w:rsidR="00C53454" w:rsidRPr="00C14672" w14:paraId="1DF12170" w14:textId="77777777" w:rsidTr="00C40167">
        <w:trPr>
          <w:trHeight w:val="315"/>
        </w:trPr>
        <w:tc>
          <w:tcPr>
            <w:tcW w:w="5093" w:type="dxa"/>
            <w:noWrap/>
            <w:vAlign w:val="bottom"/>
            <w:hideMark/>
          </w:tcPr>
          <w:p w14:paraId="7A385B8A" w14:textId="31416F8A" w:rsidR="00C53454" w:rsidRPr="005211EB" w:rsidRDefault="00C53454" w:rsidP="00C53454">
            <w:pPr>
              <w:spacing w:before="60" w:beforeAutospacing="0" w:after="60"/>
              <w:contextualSpacing w:val="0"/>
            </w:pPr>
            <w:r>
              <w:t>Legal Aid Commission of Western Australia</w:t>
            </w:r>
          </w:p>
        </w:tc>
        <w:tc>
          <w:tcPr>
            <w:tcW w:w="1347" w:type="dxa"/>
            <w:noWrap/>
            <w:hideMark/>
          </w:tcPr>
          <w:p w14:paraId="5F1CA8BA" w14:textId="3BBD8E07" w:rsidR="00C53454" w:rsidRPr="005E0E6E" w:rsidRDefault="00C53454" w:rsidP="00C40167">
            <w:pPr>
              <w:spacing w:before="60" w:beforeAutospacing="0" w:after="60"/>
              <w:contextualSpacing w:val="0"/>
              <w:jc w:val="right"/>
            </w:pPr>
            <w:r>
              <w:t>362</w:t>
            </w:r>
          </w:p>
        </w:tc>
        <w:tc>
          <w:tcPr>
            <w:tcW w:w="1347" w:type="dxa"/>
            <w:noWrap/>
            <w:hideMark/>
          </w:tcPr>
          <w:p w14:paraId="6981E17A" w14:textId="47A6936D" w:rsidR="00C53454" w:rsidRPr="005E0E6E" w:rsidRDefault="00C53454" w:rsidP="00C40167">
            <w:pPr>
              <w:spacing w:before="60" w:beforeAutospacing="0" w:after="60"/>
              <w:contextualSpacing w:val="0"/>
              <w:jc w:val="right"/>
            </w:pPr>
            <w:r>
              <w:t>319</w:t>
            </w:r>
          </w:p>
        </w:tc>
        <w:tc>
          <w:tcPr>
            <w:tcW w:w="1163" w:type="dxa"/>
            <w:noWrap/>
            <w:hideMark/>
          </w:tcPr>
          <w:p w14:paraId="36B3F377" w14:textId="312AAD92" w:rsidR="00C53454" w:rsidRPr="005E0E6E" w:rsidRDefault="00C53454" w:rsidP="00C40167">
            <w:pPr>
              <w:spacing w:before="60" w:beforeAutospacing="0" w:after="60"/>
              <w:contextualSpacing w:val="0"/>
              <w:jc w:val="right"/>
            </w:pPr>
            <w:r>
              <w:t>+10</w:t>
            </w:r>
          </w:p>
        </w:tc>
        <w:tc>
          <w:tcPr>
            <w:tcW w:w="1164" w:type="dxa"/>
            <w:noWrap/>
            <w:hideMark/>
          </w:tcPr>
          <w:p w14:paraId="308FF685" w14:textId="4B5E4A89" w:rsidR="00C53454" w:rsidRPr="005E0E6E" w:rsidRDefault="00C53454" w:rsidP="00C40167">
            <w:pPr>
              <w:spacing w:before="60" w:beforeAutospacing="0" w:after="60"/>
              <w:contextualSpacing w:val="0"/>
              <w:jc w:val="right"/>
            </w:pPr>
            <w:r>
              <w:t>+15</w:t>
            </w:r>
          </w:p>
        </w:tc>
      </w:tr>
      <w:tr w:rsidR="00C53454" w:rsidRPr="00C14672" w14:paraId="5E53624F" w14:textId="77777777" w:rsidTr="00C40167">
        <w:trPr>
          <w:trHeight w:val="315"/>
        </w:trPr>
        <w:tc>
          <w:tcPr>
            <w:tcW w:w="5093" w:type="dxa"/>
            <w:noWrap/>
            <w:vAlign w:val="bottom"/>
            <w:hideMark/>
          </w:tcPr>
          <w:p w14:paraId="469C865A" w14:textId="68889E09" w:rsidR="00C53454" w:rsidRPr="005211EB" w:rsidRDefault="00C53454" w:rsidP="00C53454">
            <w:pPr>
              <w:spacing w:before="60" w:beforeAutospacing="0" w:after="60"/>
              <w:contextualSpacing w:val="0"/>
            </w:pPr>
            <w:r>
              <w:t>Mental Health Commission</w:t>
            </w:r>
          </w:p>
        </w:tc>
        <w:tc>
          <w:tcPr>
            <w:tcW w:w="1347" w:type="dxa"/>
            <w:noWrap/>
            <w:hideMark/>
          </w:tcPr>
          <w:p w14:paraId="7DDAFB2A" w14:textId="5DBE0CF2" w:rsidR="00C53454" w:rsidRPr="005E0E6E" w:rsidRDefault="00C53454" w:rsidP="00C40167">
            <w:pPr>
              <w:spacing w:before="60" w:beforeAutospacing="0" w:after="60"/>
              <w:contextualSpacing w:val="0"/>
              <w:jc w:val="right"/>
            </w:pPr>
            <w:r>
              <w:t>352</w:t>
            </w:r>
          </w:p>
        </w:tc>
        <w:tc>
          <w:tcPr>
            <w:tcW w:w="1347" w:type="dxa"/>
            <w:noWrap/>
            <w:hideMark/>
          </w:tcPr>
          <w:p w14:paraId="54E27D9B" w14:textId="23FDEBCE" w:rsidR="00C53454" w:rsidRPr="005E0E6E" w:rsidRDefault="00C53454" w:rsidP="00C40167">
            <w:pPr>
              <w:spacing w:before="60" w:beforeAutospacing="0" w:after="60"/>
              <w:contextualSpacing w:val="0"/>
              <w:jc w:val="right"/>
            </w:pPr>
            <w:r>
              <w:t>293</w:t>
            </w:r>
          </w:p>
        </w:tc>
        <w:tc>
          <w:tcPr>
            <w:tcW w:w="1163" w:type="dxa"/>
            <w:noWrap/>
            <w:hideMark/>
          </w:tcPr>
          <w:p w14:paraId="0FF98D2F" w14:textId="00894F53" w:rsidR="00C53454" w:rsidRPr="005E0E6E" w:rsidRDefault="00C53454" w:rsidP="00C40167">
            <w:pPr>
              <w:spacing w:before="60" w:beforeAutospacing="0" w:after="60"/>
              <w:contextualSpacing w:val="0"/>
              <w:jc w:val="right"/>
            </w:pPr>
            <w:r>
              <w:t>+4</w:t>
            </w:r>
          </w:p>
        </w:tc>
        <w:tc>
          <w:tcPr>
            <w:tcW w:w="1164" w:type="dxa"/>
            <w:noWrap/>
            <w:hideMark/>
          </w:tcPr>
          <w:p w14:paraId="73AA10CC" w14:textId="68BD85A1" w:rsidR="00C53454" w:rsidRPr="005E0E6E" w:rsidRDefault="00C53454" w:rsidP="00C40167">
            <w:pPr>
              <w:spacing w:before="60" w:beforeAutospacing="0" w:after="60"/>
              <w:contextualSpacing w:val="0"/>
              <w:jc w:val="right"/>
            </w:pPr>
            <w:r>
              <w:t>+14</w:t>
            </w:r>
          </w:p>
        </w:tc>
      </w:tr>
      <w:tr w:rsidR="00C53454" w:rsidRPr="00C14672" w14:paraId="3DCEE4F7" w14:textId="77777777" w:rsidTr="00C40167">
        <w:trPr>
          <w:trHeight w:val="315"/>
        </w:trPr>
        <w:tc>
          <w:tcPr>
            <w:tcW w:w="5093" w:type="dxa"/>
            <w:noWrap/>
            <w:vAlign w:val="bottom"/>
            <w:hideMark/>
          </w:tcPr>
          <w:p w14:paraId="3FEF68CF" w14:textId="58536F45" w:rsidR="00C53454" w:rsidRPr="005211EB" w:rsidRDefault="00C53454" w:rsidP="00C53454">
            <w:pPr>
              <w:spacing w:before="60" w:beforeAutospacing="0" w:after="60"/>
              <w:contextualSpacing w:val="0"/>
            </w:pPr>
            <w:r>
              <w:t xml:space="preserve">Department of Jobs, Tourism, </w:t>
            </w:r>
            <w:proofErr w:type="gramStart"/>
            <w:r>
              <w:t>Science</w:t>
            </w:r>
            <w:proofErr w:type="gramEnd"/>
            <w:r>
              <w:t xml:space="preserve"> and Innovation</w:t>
            </w:r>
          </w:p>
        </w:tc>
        <w:tc>
          <w:tcPr>
            <w:tcW w:w="1347" w:type="dxa"/>
            <w:noWrap/>
            <w:hideMark/>
          </w:tcPr>
          <w:p w14:paraId="5E94AD8E" w14:textId="29E8CDA8" w:rsidR="00C53454" w:rsidRPr="005E0E6E" w:rsidRDefault="00C53454" w:rsidP="00C40167">
            <w:pPr>
              <w:spacing w:before="60" w:beforeAutospacing="0" w:after="60"/>
              <w:contextualSpacing w:val="0"/>
              <w:jc w:val="right"/>
            </w:pPr>
            <w:r>
              <w:t>324</w:t>
            </w:r>
          </w:p>
        </w:tc>
        <w:tc>
          <w:tcPr>
            <w:tcW w:w="1347" w:type="dxa"/>
            <w:noWrap/>
            <w:hideMark/>
          </w:tcPr>
          <w:p w14:paraId="08D3110F" w14:textId="56F8E033" w:rsidR="00C53454" w:rsidRPr="005E0E6E" w:rsidRDefault="00C53454" w:rsidP="00C40167">
            <w:pPr>
              <w:spacing w:before="60" w:beforeAutospacing="0" w:after="60"/>
              <w:contextualSpacing w:val="0"/>
              <w:jc w:val="right"/>
            </w:pPr>
            <w:r>
              <w:t>290</w:t>
            </w:r>
          </w:p>
        </w:tc>
        <w:tc>
          <w:tcPr>
            <w:tcW w:w="1163" w:type="dxa"/>
            <w:noWrap/>
            <w:hideMark/>
          </w:tcPr>
          <w:p w14:paraId="24421237" w14:textId="256FB226" w:rsidR="00C53454" w:rsidRPr="005E0E6E" w:rsidRDefault="00C53454" w:rsidP="00C40167">
            <w:pPr>
              <w:spacing w:before="60" w:beforeAutospacing="0" w:after="60"/>
              <w:contextualSpacing w:val="0"/>
              <w:jc w:val="right"/>
            </w:pPr>
            <w:r>
              <w:t>-1</w:t>
            </w:r>
          </w:p>
        </w:tc>
        <w:tc>
          <w:tcPr>
            <w:tcW w:w="1164" w:type="dxa"/>
            <w:noWrap/>
            <w:hideMark/>
          </w:tcPr>
          <w:p w14:paraId="15C19070" w14:textId="54E10ED4" w:rsidR="00C53454" w:rsidRPr="005E0E6E" w:rsidRDefault="00C53454" w:rsidP="00C40167">
            <w:pPr>
              <w:spacing w:before="60" w:beforeAutospacing="0" w:after="60"/>
              <w:contextualSpacing w:val="0"/>
              <w:jc w:val="right"/>
            </w:pPr>
            <w:r>
              <w:t>+11</w:t>
            </w:r>
          </w:p>
        </w:tc>
      </w:tr>
      <w:tr w:rsidR="00C53454" w:rsidRPr="00C14672" w14:paraId="688D8B78" w14:textId="77777777" w:rsidTr="00C40167">
        <w:trPr>
          <w:trHeight w:val="315"/>
        </w:trPr>
        <w:tc>
          <w:tcPr>
            <w:tcW w:w="5093" w:type="dxa"/>
            <w:noWrap/>
            <w:vAlign w:val="bottom"/>
            <w:hideMark/>
          </w:tcPr>
          <w:p w14:paraId="4532AE1F" w14:textId="57CFC801" w:rsidR="00C53454" w:rsidRPr="005211EB" w:rsidRDefault="00C53454" w:rsidP="00C53454">
            <w:pPr>
              <w:spacing w:before="60" w:beforeAutospacing="0" w:after="60"/>
              <w:contextualSpacing w:val="0"/>
            </w:pPr>
            <w:r>
              <w:t>Office of the Director of Public Prosecutions</w:t>
            </w:r>
          </w:p>
        </w:tc>
        <w:tc>
          <w:tcPr>
            <w:tcW w:w="1347" w:type="dxa"/>
            <w:noWrap/>
            <w:hideMark/>
          </w:tcPr>
          <w:p w14:paraId="444EC5A9" w14:textId="713CFAA9" w:rsidR="00C53454" w:rsidRPr="005E0E6E" w:rsidRDefault="00C53454" w:rsidP="00C40167">
            <w:pPr>
              <w:spacing w:before="60" w:beforeAutospacing="0" w:after="60"/>
              <w:contextualSpacing w:val="0"/>
              <w:jc w:val="right"/>
            </w:pPr>
            <w:r>
              <w:t>308</w:t>
            </w:r>
          </w:p>
        </w:tc>
        <w:tc>
          <w:tcPr>
            <w:tcW w:w="1347" w:type="dxa"/>
            <w:noWrap/>
            <w:hideMark/>
          </w:tcPr>
          <w:p w14:paraId="1D01BB8A" w14:textId="1722A664" w:rsidR="00C53454" w:rsidRPr="005E0E6E" w:rsidRDefault="00C53454" w:rsidP="00C40167">
            <w:pPr>
              <w:spacing w:before="60" w:beforeAutospacing="0" w:after="60"/>
              <w:contextualSpacing w:val="0"/>
              <w:jc w:val="right"/>
            </w:pPr>
            <w:r>
              <w:t>277</w:t>
            </w:r>
          </w:p>
        </w:tc>
        <w:tc>
          <w:tcPr>
            <w:tcW w:w="1163" w:type="dxa"/>
            <w:noWrap/>
            <w:hideMark/>
          </w:tcPr>
          <w:p w14:paraId="66845A1F" w14:textId="2960F4B9" w:rsidR="00C53454" w:rsidRPr="005E0E6E" w:rsidRDefault="00C53454" w:rsidP="00C40167">
            <w:pPr>
              <w:spacing w:before="60" w:beforeAutospacing="0" w:after="60"/>
              <w:contextualSpacing w:val="0"/>
              <w:jc w:val="right"/>
            </w:pPr>
            <w:r>
              <w:t>+10</w:t>
            </w:r>
          </w:p>
        </w:tc>
        <w:tc>
          <w:tcPr>
            <w:tcW w:w="1164" w:type="dxa"/>
            <w:noWrap/>
            <w:hideMark/>
          </w:tcPr>
          <w:p w14:paraId="7E8251EA" w14:textId="1BF5B821" w:rsidR="00C53454" w:rsidRPr="005E0E6E" w:rsidRDefault="00C53454" w:rsidP="00C40167">
            <w:pPr>
              <w:spacing w:before="60" w:beforeAutospacing="0" w:after="60"/>
              <w:contextualSpacing w:val="0"/>
              <w:jc w:val="right"/>
            </w:pPr>
            <w:r>
              <w:t>+17</w:t>
            </w:r>
          </w:p>
        </w:tc>
      </w:tr>
      <w:tr w:rsidR="00173063" w:rsidRPr="00C14672" w14:paraId="0B9716F0" w14:textId="77777777" w:rsidTr="00C40167">
        <w:trPr>
          <w:trHeight w:val="315"/>
        </w:trPr>
        <w:tc>
          <w:tcPr>
            <w:tcW w:w="5093" w:type="dxa"/>
            <w:noWrap/>
            <w:vAlign w:val="bottom"/>
            <w:hideMark/>
          </w:tcPr>
          <w:p w14:paraId="192C7867" w14:textId="0DD98F6B" w:rsidR="00173063" w:rsidRPr="005211EB" w:rsidRDefault="00173063" w:rsidP="00173063">
            <w:pPr>
              <w:spacing w:before="60" w:beforeAutospacing="0" w:after="60"/>
              <w:contextualSpacing w:val="0"/>
            </w:pPr>
            <w:r>
              <w:t>North Regional TAFE</w:t>
            </w:r>
          </w:p>
        </w:tc>
        <w:tc>
          <w:tcPr>
            <w:tcW w:w="1347" w:type="dxa"/>
            <w:noWrap/>
            <w:hideMark/>
          </w:tcPr>
          <w:p w14:paraId="5A13B9EB" w14:textId="69DC23B9" w:rsidR="00173063" w:rsidRPr="005E0E6E" w:rsidRDefault="00173063" w:rsidP="00C40167">
            <w:pPr>
              <w:spacing w:before="60" w:beforeAutospacing="0" w:after="60"/>
              <w:contextualSpacing w:val="0"/>
              <w:jc w:val="right"/>
            </w:pPr>
            <w:r>
              <w:t>300</w:t>
            </w:r>
          </w:p>
        </w:tc>
        <w:tc>
          <w:tcPr>
            <w:tcW w:w="1347" w:type="dxa"/>
            <w:noWrap/>
            <w:hideMark/>
          </w:tcPr>
          <w:p w14:paraId="41D0568B" w14:textId="43125494" w:rsidR="00173063" w:rsidRPr="005E0E6E" w:rsidRDefault="00173063" w:rsidP="00C40167">
            <w:pPr>
              <w:spacing w:before="60" w:beforeAutospacing="0" w:after="60"/>
              <w:contextualSpacing w:val="0"/>
              <w:jc w:val="right"/>
            </w:pPr>
            <w:r>
              <w:t>277</w:t>
            </w:r>
          </w:p>
        </w:tc>
        <w:tc>
          <w:tcPr>
            <w:tcW w:w="1163" w:type="dxa"/>
            <w:noWrap/>
            <w:hideMark/>
          </w:tcPr>
          <w:p w14:paraId="7094FB18" w14:textId="06B451F8" w:rsidR="00173063" w:rsidRPr="005E0E6E" w:rsidRDefault="00173063" w:rsidP="00C40167">
            <w:pPr>
              <w:spacing w:before="60" w:beforeAutospacing="0" w:after="60"/>
              <w:contextualSpacing w:val="0"/>
              <w:jc w:val="right"/>
            </w:pPr>
            <w:r>
              <w:t>-3</w:t>
            </w:r>
          </w:p>
        </w:tc>
        <w:tc>
          <w:tcPr>
            <w:tcW w:w="1164" w:type="dxa"/>
            <w:noWrap/>
            <w:hideMark/>
          </w:tcPr>
          <w:p w14:paraId="1E71B770" w14:textId="343822AE" w:rsidR="00173063" w:rsidRPr="005E0E6E" w:rsidRDefault="00173063" w:rsidP="00C40167">
            <w:pPr>
              <w:spacing w:before="60" w:beforeAutospacing="0" w:after="60"/>
              <w:contextualSpacing w:val="0"/>
              <w:jc w:val="right"/>
            </w:pPr>
            <w:r>
              <w:t>-6</w:t>
            </w:r>
          </w:p>
        </w:tc>
      </w:tr>
      <w:tr w:rsidR="00173063" w:rsidRPr="00C14672" w14:paraId="31938CD7" w14:textId="77777777" w:rsidTr="00C40167">
        <w:trPr>
          <w:trHeight w:val="315"/>
        </w:trPr>
        <w:tc>
          <w:tcPr>
            <w:tcW w:w="5093" w:type="dxa"/>
            <w:noWrap/>
            <w:vAlign w:val="bottom"/>
            <w:hideMark/>
          </w:tcPr>
          <w:p w14:paraId="3E57A119" w14:textId="0C31EA8E" w:rsidR="00173063" w:rsidRPr="005211EB" w:rsidRDefault="00173063" w:rsidP="00173063">
            <w:pPr>
              <w:spacing w:before="60" w:beforeAutospacing="0" w:after="60"/>
              <w:contextualSpacing w:val="0"/>
            </w:pPr>
            <w:r>
              <w:t>Department of Treasury</w:t>
            </w:r>
          </w:p>
        </w:tc>
        <w:tc>
          <w:tcPr>
            <w:tcW w:w="1347" w:type="dxa"/>
            <w:noWrap/>
            <w:hideMark/>
          </w:tcPr>
          <w:p w14:paraId="42CC007E" w14:textId="07C0FC47" w:rsidR="00173063" w:rsidRPr="005E0E6E" w:rsidRDefault="00173063" w:rsidP="00C40167">
            <w:pPr>
              <w:spacing w:before="60" w:beforeAutospacing="0" w:after="60"/>
              <w:contextualSpacing w:val="0"/>
              <w:jc w:val="right"/>
            </w:pPr>
            <w:r>
              <w:t>277</w:t>
            </w:r>
          </w:p>
        </w:tc>
        <w:tc>
          <w:tcPr>
            <w:tcW w:w="1347" w:type="dxa"/>
            <w:noWrap/>
            <w:hideMark/>
          </w:tcPr>
          <w:p w14:paraId="273BB565" w14:textId="7D8F256D" w:rsidR="00173063" w:rsidRPr="005E0E6E" w:rsidRDefault="00173063" w:rsidP="00C40167">
            <w:pPr>
              <w:spacing w:before="60" w:beforeAutospacing="0" w:after="60"/>
              <w:contextualSpacing w:val="0"/>
              <w:jc w:val="right"/>
            </w:pPr>
            <w:r>
              <w:t>255</w:t>
            </w:r>
          </w:p>
        </w:tc>
        <w:tc>
          <w:tcPr>
            <w:tcW w:w="1163" w:type="dxa"/>
            <w:noWrap/>
            <w:hideMark/>
          </w:tcPr>
          <w:p w14:paraId="38AAB271" w14:textId="2C82CB1A" w:rsidR="00173063" w:rsidRPr="005E0E6E" w:rsidRDefault="00173063" w:rsidP="00C40167">
            <w:pPr>
              <w:spacing w:before="60" w:beforeAutospacing="0" w:after="60"/>
              <w:contextualSpacing w:val="0"/>
              <w:jc w:val="right"/>
            </w:pPr>
            <w:r>
              <w:t>-2</w:t>
            </w:r>
          </w:p>
        </w:tc>
        <w:tc>
          <w:tcPr>
            <w:tcW w:w="1164" w:type="dxa"/>
            <w:noWrap/>
            <w:hideMark/>
          </w:tcPr>
          <w:p w14:paraId="078C6F39" w14:textId="6342D1C2" w:rsidR="00173063" w:rsidRPr="005E0E6E" w:rsidRDefault="00173063" w:rsidP="00C40167">
            <w:pPr>
              <w:spacing w:before="60" w:beforeAutospacing="0" w:after="60"/>
              <w:contextualSpacing w:val="0"/>
              <w:jc w:val="right"/>
            </w:pPr>
            <w:r>
              <w:t>+12</w:t>
            </w:r>
          </w:p>
        </w:tc>
      </w:tr>
      <w:tr w:rsidR="00173063" w:rsidRPr="00C14672" w14:paraId="4476B0A9" w14:textId="77777777" w:rsidTr="00C40167">
        <w:trPr>
          <w:trHeight w:val="315"/>
        </w:trPr>
        <w:tc>
          <w:tcPr>
            <w:tcW w:w="5093" w:type="dxa"/>
            <w:noWrap/>
            <w:vAlign w:val="bottom"/>
            <w:hideMark/>
          </w:tcPr>
          <w:p w14:paraId="048ED140" w14:textId="6A828C05" w:rsidR="00173063" w:rsidRPr="005211EB" w:rsidRDefault="00173063" w:rsidP="00173063">
            <w:pPr>
              <w:spacing w:before="60" w:beforeAutospacing="0" w:after="60"/>
              <w:contextualSpacing w:val="0"/>
            </w:pPr>
            <w:proofErr w:type="spellStart"/>
            <w:r>
              <w:t>Lotterywest</w:t>
            </w:r>
            <w:proofErr w:type="spellEnd"/>
          </w:p>
        </w:tc>
        <w:tc>
          <w:tcPr>
            <w:tcW w:w="1347" w:type="dxa"/>
            <w:noWrap/>
            <w:hideMark/>
          </w:tcPr>
          <w:p w14:paraId="75FE401D" w14:textId="6C1B2382" w:rsidR="00173063" w:rsidRPr="005E0E6E" w:rsidRDefault="00173063" w:rsidP="00C40167">
            <w:pPr>
              <w:spacing w:before="60" w:beforeAutospacing="0" w:after="60"/>
              <w:contextualSpacing w:val="0"/>
              <w:jc w:val="right"/>
            </w:pPr>
            <w:r>
              <w:t>259</w:t>
            </w:r>
          </w:p>
        </w:tc>
        <w:tc>
          <w:tcPr>
            <w:tcW w:w="1347" w:type="dxa"/>
            <w:noWrap/>
            <w:hideMark/>
          </w:tcPr>
          <w:p w14:paraId="35EE9DC2" w14:textId="4CD91429" w:rsidR="00173063" w:rsidRPr="005E0E6E" w:rsidRDefault="00173063" w:rsidP="00C40167">
            <w:pPr>
              <w:spacing w:before="60" w:beforeAutospacing="0" w:after="60"/>
              <w:contextualSpacing w:val="0"/>
              <w:jc w:val="right"/>
            </w:pPr>
            <w:r>
              <w:t>241</w:t>
            </w:r>
          </w:p>
        </w:tc>
        <w:tc>
          <w:tcPr>
            <w:tcW w:w="1163" w:type="dxa"/>
            <w:noWrap/>
            <w:hideMark/>
          </w:tcPr>
          <w:p w14:paraId="1E26F3D2" w14:textId="47D5A508" w:rsidR="00173063" w:rsidRPr="005E0E6E" w:rsidRDefault="00173063" w:rsidP="00C40167">
            <w:pPr>
              <w:spacing w:before="60" w:beforeAutospacing="0" w:after="60"/>
              <w:contextualSpacing w:val="0"/>
              <w:jc w:val="right"/>
            </w:pPr>
            <w:r>
              <w:t>-5</w:t>
            </w:r>
          </w:p>
        </w:tc>
        <w:tc>
          <w:tcPr>
            <w:tcW w:w="1164" w:type="dxa"/>
            <w:noWrap/>
            <w:hideMark/>
          </w:tcPr>
          <w:p w14:paraId="576478AF" w14:textId="40ACC4CB" w:rsidR="00173063" w:rsidRPr="005E0E6E" w:rsidRDefault="00173063" w:rsidP="00C40167">
            <w:pPr>
              <w:spacing w:before="60" w:beforeAutospacing="0" w:after="60"/>
              <w:contextualSpacing w:val="0"/>
              <w:jc w:val="right"/>
            </w:pPr>
            <w:r>
              <w:t>-6</w:t>
            </w:r>
          </w:p>
        </w:tc>
      </w:tr>
      <w:tr w:rsidR="00173063" w:rsidRPr="00C14672" w14:paraId="746E7068" w14:textId="77777777" w:rsidTr="00C40167">
        <w:trPr>
          <w:trHeight w:val="315"/>
        </w:trPr>
        <w:tc>
          <w:tcPr>
            <w:tcW w:w="5093" w:type="dxa"/>
            <w:noWrap/>
            <w:vAlign w:val="bottom"/>
            <w:hideMark/>
          </w:tcPr>
          <w:p w14:paraId="18640A21" w14:textId="75E6677F" w:rsidR="00173063" w:rsidRPr="005211EB" w:rsidRDefault="00173063" w:rsidP="00173063">
            <w:pPr>
              <w:spacing w:before="60" w:beforeAutospacing="0" w:after="60"/>
              <w:contextualSpacing w:val="0"/>
            </w:pPr>
            <w:r>
              <w:t>Forest Products Commission</w:t>
            </w:r>
          </w:p>
        </w:tc>
        <w:tc>
          <w:tcPr>
            <w:tcW w:w="1347" w:type="dxa"/>
            <w:noWrap/>
            <w:hideMark/>
          </w:tcPr>
          <w:p w14:paraId="50E55972" w14:textId="3D517198" w:rsidR="00173063" w:rsidRPr="005E0E6E" w:rsidRDefault="00173063" w:rsidP="00C40167">
            <w:pPr>
              <w:spacing w:before="60" w:beforeAutospacing="0" w:after="60"/>
              <w:contextualSpacing w:val="0"/>
              <w:jc w:val="right"/>
            </w:pPr>
            <w:r>
              <w:t>197</w:t>
            </w:r>
          </w:p>
        </w:tc>
        <w:tc>
          <w:tcPr>
            <w:tcW w:w="1347" w:type="dxa"/>
            <w:noWrap/>
            <w:hideMark/>
          </w:tcPr>
          <w:p w14:paraId="09A552DE" w14:textId="5605DE75" w:rsidR="00173063" w:rsidRPr="005E0E6E" w:rsidRDefault="00173063" w:rsidP="00C40167">
            <w:pPr>
              <w:spacing w:before="60" w:beforeAutospacing="0" w:after="60"/>
              <w:contextualSpacing w:val="0"/>
              <w:jc w:val="right"/>
            </w:pPr>
            <w:r>
              <w:t>185</w:t>
            </w:r>
          </w:p>
        </w:tc>
        <w:tc>
          <w:tcPr>
            <w:tcW w:w="1163" w:type="dxa"/>
            <w:noWrap/>
            <w:hideMark/>
          </w:tcPr>
          <w:p w14:paraId="2668CA12" w14:textId="78003759" w:rsidR="00173063" w:rsidRPr="005E0E6E" w:rsidRDefault="00173063" w:rsidP="00C40167">
            <w:pPr>
              <w:spacing w:before="60" w:beforeAutospacing="0" w:after="60"/>
              <w:contextualSpacing w:val="0"/>
              <w:jc w:val="right"/>
            </w:pPr>
            <w:r>
              <w:t>+16</w:t>
            </w:r>
          </w:p>
        </w:tc>
        <w:tc>
          <w:tcPr>
            <w:tcW w:w="1164" w:type="dxa"/>
            <w:noWrap/>
            <w:hideMark/>
          </w:tcPr>
          <w:p w14:paraId="1D1CC997" w14:textId="42A4EFE7" w:rsidR="00173063" w:rsidRPr="005E0E6E" w:rsidRDefault="00173063" w:rsidP="00C40167">
            <w:pPr>
              <w:spacing w:before="60" w:beforeAutospacing="0" w:after="60"/>
              <w:contextualSpacing w:val="0"/>
              <w:jc w:val="right"/>
            </w:pPr>
            <w:r>
              <w:t>+2</w:t>
            </w:r>
          </w:p>
        </w:tc>
      </w:tr>
      <w:tr w:rsidR="00173063" w:rsidRPr="00C14672" w14:paraId="7A90AFDB" w14:textId="77777777" w:rsidTr="00C40167">
        <w:trPr>
          <w:trHeight w:val="315"/>
        </w:trPr>
        <w:tc>
          <w:tcPr>
            <w:tcW w:w="5093" w:type="dxa"/>
            <w:noWrap/>
            <w:vAlign w:val="bottom"/>
            <w:hideMark/>
          </w:tcPr>
          <w:p w14:paraId="4BDB3BB8" w14:textId="6D670447" w:rsidR="00173063" w:rsidRPr="005211EB" w:rsidRDefault="00173063" w:rsidP="00173063">
            <w:pPr>
              <w:spacing w:before="60" w:beforeAutospacing="0" w:after="60"/>
              <w:contextualSpacing w:val="0"/>
            </w:pPr>
            <w:r>
              <w:t>Office of the Auditor General</w:t>
            </w:r>
          </w:p>
        </w:tc>
        <w:tc>
          <w:tcPr>
            <w:tcW w:w="1347" w:type="dxa"/>
            <w:noWrap/>
            <w:hideMark/>
          </w:tcPr>
          <w:p w14:paraId="348ED816" w14:textId="64EB4225" w:rsidR="00173063" w:rsidRPr="005E0E6E" w:rsidRDefault="00173063" w:rsidP="00C40167">
            <w:pPr>
              <w:spacing w:before="60" w:beforeAutospacing="0" w:after="60"/>
              <w:contextualSpacing w:val="0"/>
              <w:jc w:val="right"/>
            </w:pPr>
            <w:r>
              <w:t>175</w:t>
            </w:r>
          </w:p>
        </w:tc>
        <w:tc>
          <w:tcPr>
            <w:tcW w:w="1347" w:type="dxa"/>
            <w:noWrap/>
            <w:hideMark/>
          </w:tcPr>
          <w:p w14:paraId="6704A074" w14:textId="5654BD68" w:rsidR="00173063" w:rsidRPr="005E0E6E" w:rsidRDefault="00173063" w:rsidP="00C40167">
            <w:pPr>
              <w:spacing w:before="60" w:beforeAutospacing="0" w:after="60"/>
              <w:contextualSpacing w:val="0"/>
              <w:jc w:val="right"/>
            </w:pPr>
            <w:r>
              <w:t>164</w:t>
            </w:r>
          </w:p>
        </w:tc>
        <w:tc>
          <w:tcPr>
            <w:tcW w:w="1163" w:type="dxa"/>
            <w:noWrap/>
            <w:hideMark/>
          </w:tcPr>
          <w:p w14:paraId="378C6186" w14:textId="06E7CA3E" w:rsidR="00173063" w:rsidRPr="005E0E6E" w:rsidRDefault="00173063" w:rsidP="00C40167">
            <w:pPr>
              <w:spacing w:before="60" w:beforeAutospacing="0" w:after="60"/>
              <w:contextualSpacing w:val="0"/>
              <w:jc w:val="right"/>
            </w:pPr>
            <w:r>
              <w:t>+5</w:t>
            </w:r>
          </w:p>
        </w:tc>
        <w:tc>
          <w:tcPr>
            <w:tcW w:w="1164" w:type="dxa"/>
            <w:noWrap/>
            <w:hideMark/>
          </w:tcPr>
          <w:p w14:paraId="1F86344A" w14:textId="75B2EAA1" w:rsidR="00173063" w:rsidRPr="005E0E6E" w:rsidRDefault="00173063" w:rsidP="00C40167">
            <w:pPr>
              <w:spacing w:before="60" w:beforeAutospacing="0" w:after="60"/>
              <w:contextualSpacing w:val="0"/>
              <w:jc w:val="right"/>
            </w:pPr>
            <w:r>
              <w:t>+14</w:t>
            </w:r>
          </w:p>
        </w:tc>
      </w:tr>
      <w:tr w:rsidR="00173063" w:rsidRPr="00C14672" w14:paraId="424B810F" w14:textId="77777777" w:rsidTr="00C40167">
        <w:trPr>
          <w:trHeight w:val="315"/>
        </w:trPr>
        <w:tc>
          <w:tcPr>
            <w:tcW w:w="5093" w:type="dxa"/>
            <w:noWrap/>
            <w:vAlign w:val="bottom"/>
            <w:hideMark/>
          </w:tcPr>
          <w:p w14:paraId="1BB74E82" w14:textId="0F04A478" w:rsidR="00173063" w:rsidRPr="005211EB" w:rsidRDefault="00173063" w:rsidP="00173063">
            <w:pPr>
              <w:spacing w:before="60" w:beforeAutospacing="0" w:after="60"/>
              <w:contextualSpacing w:val="0"/>
            </w:pPr>
            <w:r>
              <w:t>Metropolitan Cemeteries Board</w:t>
            </w:r>
          </w:p>
        </w:tc>
        <w:tc>
          <w:tcPr>
            <w:tcW w:w="1347" w:type="dxa"/>
            <w:noWrap/>
            <w:hideMark/>
          </w:tcPr>
          <w:p w14:paraId="624BA512" w14:textId="18ED43EF" w:rsidR="00173063" w:rsidRPr="005E0E6E" w:rsidRDefault="00173063" w:rsidP="00C40167">
            <w:pPr>
              <w:spacing w:before="60" w:beforeAutospacing="0" w:after="60"/>
              <w:contextualSpacing w:val="0"/>
              <w:jc w:val="right"/>
            </w:pPr>
            <w:r>
              <w:t>163</w:t>
            </w:r>
          </w:p>
        </w:tc>
        <w:tc>
          <w:tcPr>
            <w:tcW w:w="1347" w:type="dxa"/>
            <w:noWrap/>
            <w:hideMark/>
          </w:tcPr>
          <w:p w14:paraId="0B088732" w14:textId="6CD0FF72" w:rsidR="00173063" w:rsidRPr="005E0E6E" w:rsidRDefault="00173063" w:rsidP="00C40167">
            <w:pPr>
              <w:spacing w:before="60" w:beforeAutospacing="0" w:after="60"/>
              <w:contextualSpacing w:val="0"/>
              <w:jc w:val="right"/>
            </w:pPr>
            <w:r>
              <w:t>149</w:t>
            </w:r>
          </w:p>
        </w:tc>
        <w:tc>
          <w:tcPr>
            <w:tcW w:w="1163" w:type="dxa"/>
            <w:noWrap/>
            <w:hideMark/>
          </w:tcPr>
          <w:p w14:paraId="613752F7" w14:textId="6A2C4FE7" w:rsidR="00173063" w:rsidRPr="005E0E6E" w:rsidRDefault="00173063" w:rsidP="00C40167">
            <w:pPr>
              <w:spacing w:before="60" w:beforeAutospacing="0" w:after="60"/>
              <w:contextualSpacing w:val="0"/>
              <w:jc w:val="right"/>
            </w:pPr>
            <w:r>
              <w:t>-3</w:t>
            </w:r>
          </w:p>
        </w:tc>
        <w:tc>
          <w:tcPr>
            <w:tcW w:w="1164" w:type="dxa"/>
            <w:noWrap/>
            <w:hideMark/>
          </w:tcPr>
          <w:p w14:paraId="2276CAB7" w14:textId="0C123BEF" w:rsidR="00173063" w:rsidRPr="005E0E6E" w:rsidRDefault="00173063" w:rsidP="00C40167">
            <w:pPr>
              <w:spacing w:before="60" w:beforeAutospacing="0" w:after="60"/>
              <w:contextualSpacing w:val="0"/>
              <w:jc w:val="right"/>
            </w:pPr>
            <w:r>
              <w:t>0</w:t>
            </w:r>
          </w:p>
        </w:tc>
      </w:tr>
      <w:tr w:rsidR="00173063" w:rsidRPr="00C14672" w14:paraId="7A19C751" w14:textId="77777777" w:rsidTr="00C40167">
        <w:trPr>
          <w:trHeight w:val="315"/>
        </w:trPr>
        <w:tc>
          <w:tcPr>
            <w:tcW w:w="5093" w:type="dxa"/>
            <w:noWrap/>
            <w:vAlign w:val="bottom"/>
            <w:hideMark/>
          </w:tcPr>
          <w:p w14:paraId="65A2E73A" w14:textId="27126169" w:rsidR="00173063" w:rsidRPr="005211EB" w:rsidRDefault="00173063" w:rsidP="00173063">
            <w:pPr>
              <w:spacing w:before="60" w:beforeAutospacing="0" w:after="60"/>
              <w:contextualSpacing w:val="0"/>
            </w:pPr>
            <w:r>
              <w:t>Public Sector Commission</w:t>
            </w:r>
          </w:p>
        </w:tc>
        <w:tc>
          <w:tcPr>
            <w:tcW w:w="1347" w:type="dxa"/>
            <w:noWrap/>
            <w:hideMark/>
          </w:tcPr>
          <w:p w14:paraId="358D808D" w14:textId="4D2EA837" w:rsidR="00173063" w:rsidRPr="005E0E6E" w:rsidRDefault="00173063" w:rsidP="00C40167">
            <w:pPr>
              <w:spacing w:before="60" w:beforeAutospacing="0" w:after="60"/>
              <w:contextualSpacing w:val="0"/>
              <w:jc w:val="right"/>
            </w:pPr>
            <w:r>
              <w:t>151</w:t>
            </w:r>
          </w:p>
        </w:tc>
        <w:tc>
          <w:tcPr>
            <w:tcW w:w="1347" w:type="dxa"/>
            <w:noWrap/>
            <w:hideMark/>
          </w:tcPr>
          <w:p w14:paraId="10896AF5" w14:textId="7725EA3E" w:rsidR="00173063" w:rsidRPr="005E0E6E" w:rsidRDefault="00173063" w:rsidP="00C40167">
            <w:pPr>
              <w:spacing w:before="60" w:beforeAutospacing="0" w:after="60"/>
              <w:contextualSpacing w:val="0"/>
              <w:jc w:val="right"/>
            </w:pPr>
            <w:r>
              <w:t>122</w:t>
            </w:r>
          </w:p>
        </w:tc>
        <w:tc>
          <w:tcPr>
            <w:tcW w:w="1163" w:type="dxa"/>
            <w:noWrap/>
            <w:hideMark/>
          </w:tcPr>
          <w:p w14:paraId="02D8E24B" w14:textId="603A7F1C" w:rsidR="00173063" w:rsidRPr="005E0E6E" w:rsidRDefault="00173063" w:rsidP="00C40167">
            <w:pPr>
              <w:spacing w:before="60" w:beforeAutospacing="0" w:after="60"/>
              <w:contextualSpacing w:val="0"/>
              <w:jc w:val="right"/>
            </w:pPr>
            <w:r>
              <w:t>+5</w:t>
            </w:r>
          </w:p>
        </w:tc>
        <w:tc>
          <w:tcPr>
            <w:tcW w:w="1164" w:type="dxa"/>
            <w:noWrap/>
            <w:hideMark/>
          </w:tcPr>
          <w:p w14:paraId="556E0DF1" w14:textId="771BF33B" w:rsidR="00173063" w:rsidRPr="005E0E6E" w:rsidRDefault="00173063" w:rsidP="00C40167">
            <w:pPr>
              <w:spacing w:before="60" w:beforeAutospacing="0" w:after="60"/>
              <w:contextualSpacing w:val="0"/>
              <w:jc w:val="right"/>
            </w:pPr>
            <w:r>
              <w:t>+6</w:t>
            </w:r>
          </w:p>
        </w:tc>
      </w:tr>
      <w:tr w:rsidR="00173063" w:rsidRPr="00C14672" w14:paraId="43AB44EC" w14:textId="77777777" w:rsidTr="00C40167">
        <w:trPr>
          <w:trHeight w:val="315"/>
        </w:trPr>
        <w:tc>
          <w:tcPr>
            <w:tcW w:w="5093" w:type="dxa"/>
            <w:noWrap/>
            <w:vAlign w:val="bottom"/>
            <w:hideMark/>
          </w:tcPr>
          <w:p w14:paraId="4A006D6E" w14:textId="25A775C2" w:rsidR="00173063" w:rsidRPr="005211EB" w:rsidRDefault="00173063" w:rsidP="00173063">
            <w:pPr>
              <w:spacing w:before="60" w:beforeAutospacing="0" w:after="60"/>
              <w:contextualSpacing w:val="0"/>
            </w:pPr>
            <w:proofErr w:type="spellStart"/>
            <w:r>
              <w:t>ChemCentre</w:t>
            </w:r>
            <w:proofErr w:type="spellEnd"/>
          </w:p>
        </w:tc>
        <w:tc>
          <w:tcPr>
            <w:tcW w:w="1347" w:type="dxa"/>
            <w:noWrap/>
            <w:hideMark/>
          </w:tcPr>
          <w:p w14:paraId="0D72EA4F" w14:textId="2BE1D482" w:rsidR="00173063" w:rsidRPr="005E0E6E" w:rsidRDefault="00173063" w:rsidP="00C40167">
            <w:pPr>
              <w:spacing w:before="60" w:beforeAutospacing="0" w:after="60"/>
              <w:contextualSpacing w:val="0"/>
              <w:jc w:val="right"/>
            </w:pPr>
            <w:r>
              <w:t>143</w:t>
            </w:r>
          </w:p>
        </w:tc>
        <w:tc>
          <w:tcPr>
            <w:tcW w:w="1347" w:type="dxa"/>
            <w:noWrap/>
            <w:hideMark/>
          </w:tcPr>
          <w:p w14:paraId="0C9387E8" w14:textId="1BA199F7" w:rsidR="00173063" w:rsidRPr="005E0E6E" w:rsidRDefault="00173063" w:rsidP="00C40167">
            <w:pPr>
              <w:spacing w:before="60" w:beforeAutospacing="0" w:after="60"/>
              <w:contextualSpacing w:val="0"/>
              <w:jc w:val="right"/>
            </w:pPr>
            <w:r>
              <w:t>133</w:t>
            </w:r>
          </w:p>
        </w:tc>
        <w:tc>
          <w:tcPr>
            <w:tcW w:w="1163" w:type="dxa"/>
            <w:noWrap/>
            <w:hideMark/>
          </w:tcPr>
          <w:p w14:paraId="12D19365" w14:textId="038C05C9" w:rsidR="00173063" w:rsidRPr="005E0E6E" w:rsidRDefault="00173063" w:rsidP="00C40167">
            <w:pPr>
              <w:spacing w:before="60" w:beforeAutospacing="0" w:after="60"/>
              <w:contextualSpacing w:val="0"/>
              <w:jc w:val="right"/>
            </w:pPr>
            <w:r>
              <w:t>-3</w:t>
            </w:r>
          </w:p>
        </w:tc>
        <w:tc>
          <w:tcPr>
            <w:tcW w:w="1164" w:type="dxa"/>
            <w:noWrap/>
            <w:hideMark/>
          </w:tcPr>
          <w:p w14:paraId="0D104171" w14:textId="36A685E4" w:rsidR="00173063" w:rsidRPr="005E0E6E" w:rsidRDefault="00173063" w:rsidP="00C40167">
            <w:pPr>
              <w:spacing w:before="60" w:beforeAutospacing="0" w:after="60"/>
              <w:contextualSpacing w:val="0"/>
              <w:jc w:val="right"/>
            </w:pPr>
            <w:r>
              <w:t>-4</w:t>
            </w:r>
          </w:p>
        </w:tc>
      </w:tr>
      <w:tr w:rsidR="00173063" w:rsidRPr="00C14672" w14:paraId="1E22F7B4" w14:textId="77777777" w:rsidTr="00C40167">
        <w:trPr>
          <w:trHeight w:val="315"/>
        </w:trPr>
        <w:tc>
          <w:tcPr>
            <w:tcW w:w="5093" w:type="dxa"/>
            <w:noWrap/>
            <w:vAlign w:val="bottom"/>
            <w:hideMark/>
          </w:tcPr>
          <w:p w14:paraId="1C7FE668" w14:textId="06DF9409" w:rsidR="00173063" w:rsidRPr="005211EB" w:rsidRDefault="00173063" w:rsidP="00173063">
            <w:pPr>
              <w:spacing w:before="60" w:beforeAutospacing="0" w:after="60"/>
              <w:contextualSpacing w:val="0"/>
            </w:pPr>
            <w:proofErr w:type="spellStart"/>
            <w:r>
              <w:t>WorkCover</w:t>
            </w:r>
            <w:proofErr w:type="spellEnd"/>
            <w:r>
              <w:t xml:space="preserve"> Western Australia</w:t>
            </w:r>
          </w:p>
        </w:tc>
        <w:tc>
          <w:tcPr>
            <w:tcW w:w="1347" w:type="dxa"/>
            <w:noWrap/>
            <w:hideMark/>
          </w:tcPr>
          <w:p w14:paraId="71B6E0FF" w14:textId="6487FBD4" w:rsidR="00173063" w:rsidRPr="005E0E6E" w:rsidRDefault="00173063" w:rsidP="00C40167">
            <w:pPr>
              <w:spacing w:before="60" w:beforeAutospacing="0" w:after="60"/>
              <w:contextualSpacing w:val="0"/>
              <w:jc w:val="right"/>
            </w:pPr>
            <w:r>
              <w:t>142</w:t>
            </w:r>
          </w:p>
        </w:tc>
        <w:tc>
          <w:tcPr>
            <w:tcW w:w="1347" w:type="dxa"/>
            <w:noWrap/>
            <w:hideMark/>
          </w:tcPr>
          <w:p w14:paraId="0FE27FD7" w14:textId="3334AD5C" w:rsidR="00173063" w:rsidRPr="005E0E6E" w:rsidRDefault="00173063" w:rsidP="00C40167">
            <w:pPr>
              <w:spacing w:before="60" w:beforeAutospacing="0" w:after="60"/>
              <w:contextualSpacing w:val="0"/>
              <w:jc w:val="right"/>
            </w:pPr>
            <w:r>
              <w:t>133</w:t>
            </w:r>
          </w:p>
        </w:tc>
        <w:tc>
          <w:tcPr>
            <w:tcW w:w="1163" w:type="dxa"/>
            <w:noWrap/>
            <w:hideMark/>
          </w:tcPr>
          <w:p w14:paraId="7F4F0F7A" w14:textId="10F16033" w:rsidR="00173063" w:rsidRPr="005E0E6E" w:rsidRDefault="00173063" w:rsidP="00C40167">
            <w:pPr>
              <w:spacing w:before="60" w:beforeAutospacing="0" w:after="60"/>
              <w:contextualSpacing w:val="0"/>
              <w:jc w:val="right"/>
            </w:pPr>
            <w:r>
              <w:t>+7</w:t>
            </w:r>
          </w:p>
        </w:tc>
        <w:tc>
          <w:tcPr>
            <w:tcW w:w="1164" w:type="dxa"/>
            <w:noWrap/>
            <w:hideMark/>
          </w:tcPr>
          <w:p w14:paraId="1711BA40" w14:textId="18556AFF" w:rsidR="00173063" w:rsidRPr="005E0E6E" w:rsidRDefault="00173063" w:rsidP="00C40167">
            <w:pPr>
              <w:spacing w:before="60" w:beforeAutospacing="0" w:after="60"/>
              <w:contextualSpacing w:val="0"/>
              <w:jc w:val="right"/>
            </w:pPr>
            <w:r>
              <w:t>+10</w:t>
            </w:r>
          </w:p>
        </w:tc>
      </w:tr>
      <w:tr w:rsidR="00173063" w:rsidRPr="00C14672" w14:paraId="6A64CDF5" w14:textId="77777777" w:rsidTr="00C40167">
        <w:trPr>
          <w:trHeight w:val="315"/>
        </w:trPr>
        <w:tc>
          <w:tcPr>
            <w:tcW w:w="5093" w:type="dxa"/>
            <w:noWrap/>
            <w:vAlign w:val="bottom"/>
            <w:hideMark/>
          </w:tcPr>
          <w:p w14:paraId="3E856EAF" w14:textId="4A765387" w:rsidR="00173063" w:rsidRPr="005211EB" w:rsidRDefault="00173063" w:rsidP="00173063">
            <w:pPr>
              <w:spacing w:before="60" w:beforeAutospacing="0" w:after="60"/>
              <w:contextualSpacing w:val="0"/>
            </w:pPr>
            <w:r>
              <w:t>Corruption and Crime Commission</w:t>
            </w:r>
          </w:p>
        </w:tc>
        <w:tc>
          <w:tcPr>
            <w:tcW w:w="1347" w:type="dxa"/>
            <w:noWrap/>
            <w:hideMark/>
          </w:tcPr>
          <w:p w14:paraId="1FF4158E" w14:textId="1EA6BB49" w:rsidR="00173063" w:rsidRPr="005E0E6E" w:rsidRDefault="00173063" w:rsidP="00C40167">
            <w:pPr>
              <w:spacing w:before="60" w:beforeAutospacing="0" w:after="60"/>
              <w:contextualSpacing w:val="0"/>
              <w:jc w:val="right"/>
            </w:pPr>
            <w:r>
              <w:t>135</w:t>
            </w:r>
          </w:p>
        </w:tc>
        <w:tc>
          <w:tcPr>
            <w:tcW w:w="1347" w:type="dxa"/>
            <w:noWrap/>
            <w:hideMark/>
          </w:tcPr>
          <w:p w14:paraId="71EBA43A" w14:textId="23746C7E" w:rsidR="00173063" w:rsidRPr="005E0E6E" w:rsidRDefault="00173063" w:rsidP="00C40167">
            <w:pPr>
              <w:spacing w:before="60" w:beforeAutospacing="0" w:after="60"/>
              <w:contextualSpacing w:val="0"/>
              <w:jc w:val="right"/>
            </w:pPr>
            <w:r>
              <w:t>126</w:t>
            </w:r>
          </w:p>
        </w:tc>
        <w:tc>
          <w:tcPr>
            <w:tcW w:w="1163" w:type="dxa"/>
            <w:noWrap/>
            <w:hideMark/>
          </w:tcPr>
          <w:p w14:paraId="78083562" w14:textId="04B84B94" w:rsidR="00173063" w:rsidRPr="005E0E6E" w:rsidRDefault="00173063" w:rsidP="00C40167">
            <w:pPr>
              <w:spacing w:before="60" w:beforeAutospacing="0" w:after="60"/>
              <w:contextualSpacing w:val="0"/>
              <w:jc w:val="right"/>
            </w:pPr>
            <w:r>
              <w:t>0</w:t>
            </w:r>
          </w:p>
        </w:tc>
        <w:tc>
          <w:tcPr>
            <w:tcW w:w="1164" w:type="dxa"/>
            <w:noWrap/>
            <w:hideMark/>
          </w:tcPr>
          <w:p w14:paraId="6DF4FB97" w14:textId="5F7E6212" w:rsidR="00173063" w:rsidRPr="005E0E6E" w:rsidRDefault="00173063" w:rsidP="00C40167">
            <w:pPr>
              <w:spacing w:before="60" w:beforeAutospacing="0" w:after="60"/>
              <w:contextualSpacing w:val="0"/>
              <w:jc w:val="right"/>
            </w:pPr>
            <w:r>
              <w:t>+5</w:t>
            </w:r>
          </w:p>
        </w:tc>
      </w:tr>
      <w:tr w:rsidR="00173063" w:rsidRPr="00C14672" w14:paraId="56A3C84A" w14:textId="77777777" w:rsidTr="00C40167">
        <w:trPr>
          <w:trHeight w:val="315"/>
        </w:trPr>
        <w:tc>
          <w:tcPr>
            <w:tcW w:w="5093" w:type="dxa"/>
            <w:noWrap/>
            <w:vAlign w:val="bottom"/>
            <w:hideMark/>
          </w:tcPr>
          <w:p w14:paraId="383E24D1" w14:textId="26C795C6" w:rsidR="00173063" w:rsidRPr="005211EB" w:rsidRDefault="00173063" w:rsidP="00173063">
            <w:pPr>
              <w:spacing w:before="60" w:beforeAutospacing="0" w:after="60"/>
              <w:contextualSpacing w:val="0"/>
            </w:pPr>
            <w:r>
              <w:t>Ombudsman Western Australia</w:t>
            </w:r>
          </w:p>
        </w:tc>
        <w:tc>
          <w:tcPr>
            <w:tcW w:w="1347" w:type="dxa"/>
            <w:noWrap/>
            <w:hideMark/>
          </w:tcPr>
          <w:p w14:paraId="43174695" w14:textId="3AD42181" w:rsidR="00173063" w:rsidRPr="005E0E6E" w:rsidRDefault="00173063" w:rsidP="00C40167">
            <w:pPr>
              <w:spacing w:before="60" w:beforeAutospacing="0" w:after="60"/>
              <w:contextualSpacing w:val="0"/>
              <w:jc w:val="right"/>
            </w:pPr>
            <w:r>
              <w:t>77</w:t>
            </w:r>
          </w:p>
        </w:tc>
        <w:tc>
          <w:tcPr>
            <w:tcW w:w="1347" w:type="dxa"/>
            <w:noWrap/>
            <w:hideMark/>
          </w:tcPr>
          <w:p w14:paraId="6EFBA81B" w14:textId="28DC66F6" w:rsidR="00173063" w:rsidRPr="005E0E6E" w:rsidRDefault="00173063" w:rsidP="00C40167">
            <w:pPr>
              <w:spacing w:before="60" w:beforeAutospacing="0" w:after="60"/>
              <w:contextualSpacing w:val="0"/>
              <w:jc w:val="right"/>
            </w:pPr>
            <w:r>
              <w:t>65</w:t>
            </w:r>
          </w:p>
        </w:tc>
        <w:tc>
          <w:tcPr>
            <w:tcW w:w="1163" w:type="dxa"/>
            <w:noWrap/>
            <w:hideMark/>
          </w:tcPr>
          <w:p w14:paraId="476CF5D1" w14:textId="4049FAB9" w:rsidR="00173063" w:rsidRPr="005E0E6E" w:rsidRDefault="00173063" w:rsidP="00C40167">
            <w:pPr>
              <w:spacing w:before="60" w:beforeAutospacing="0" w:after="60"/>
              <w:contextualSpacing w:val="0"/>
              <w:jc w:val="right"/>
            </w:pPr>
            <w:r>
              <w:t>+1</w:t>
            </w:r>
          </w:p>
        </w:tc>
        <w:tc>
          <w:tcPr>
            <w:tcW w:w="1164" w:type="dxa"/>
            <w:noWrap/>
            <w:hideMark/>
          </w:tcPr>
          <w:p w14:paraId="3A1F1CE1" w14:textId="1D8180CF" w:rsidR="00173063" w:rsidRPr="005E0E6E" w:rsidRDefault="00173063" w:rsidP="00C40167">
            <w:pPr>
              <w:spacing w:before="60" w:beforeAutospacing="0" w:after="60"/>
              <w:contextualSpacing w:val="0"/>
              <w:jc w:val="right"/>
            </w:pPr>
            <w:r>
              <w:t>+1</w:t>
            </w:r>
          </w:p>
        </w:tc>
      </w:tr>
      <w:tr w:rsidR="00173063" w:rsidRPr="00C14672" w14:paraId="5A59E187" w14:textId="77777777" w:rsidTr="00C40167">
        <w:trPr>
          <w:trHeight w:val="315"/>
        </w:trPr>
        <w:tc>
          <w:tcPr>
            <w:tcW w:w="5093" w:type="dxa"/>
            <w:noWrap/>
            <w:vAlign w:val="bottom"/>
            <w:hideMark/>
          </w:tcPr>
          <w:p w14:paraId="6447B5F1" w14:textId="3E830B24" w:rsidR="00173063" w:rsidRPr="005211EB" w:rsidRDefault="00173063" w:rsidP="00173063">
            <w:pPr>
              <w:spacing w:before="60" w:beforeAutospacing="0" w:after="60"/>
              <w:contextualSpacing w:val="0"/>
            </w:pPr>
            <w:r>
              <w:t>Economic Regulation Authority</w:t>
            </w:r>
          </w:p>
        </w:tc>
        <w:tc>
          <w:tcPr>
            <w:tcW w:w="1347" w:type="dxa"/>
            <w:noWrap/>
            <w:hideMark/>
          </w:tcPr>
          <w:p w14:paraId="2E1BD071" w14:textId="2C5B10D3" w:rsidR="00173063" w:rsidRPr="005E0E6E" w:rsidRDefault="00173063" w:rsidP="00C40167">
            <w:pPr>
              <w:spacing w:before="60" w:beforeAutospacing="0" w:after="60"/>
              <w:contextualSpacing w:val="0"/>
              <w:jc w:val="right"/>
            </w:pPr>
            <w:r>
              <w:t>70</w:t>
            </w:r>
          </w:p>
        </w:tc>
        <w:tc>
          <w:tcPr>
            <w:tcW w:w="1347" w:type="dxa"/>
            <w:noWrap/>
            <w:hideMark/>
          </w:tcPr>
          <w:p w14:paraId="7C185C7C" w14:textId="0FD778EF" w:rsidR="00173063" w:rsidRPr="005E0E6E" w:rsidRDefault="00173063" w:rsidP="00C40167">
            <w:pPr>
              <w:spacing w:before="60" w:beforeAutospacing="0" w:after="60"/>
              <w:contextualSpacing w:val="0"/>
              <w:jc w:val="right"/>
            </w:pPr>
            <w:r>
              <w:t>63</w:t>
            </w:r>
          </w:p>
        </w:tc>
        <w:tc>
          <w:tcPr>
            <w:tcW w:w="1163" w:type="dxa"/>
            <w:noWrap/>
            <w:hideMark/>
          </w:tcPr>
          <w:p w14:paraId="4DA0EE4B" w14:textId="3DD8A7D5" w:rsidR="00173063" w:rsidRPr="005E0E6E" w:rsidRDefault="00173063" w:rsidP="00C40167">
            <w:pPr>
              <w:spacing w:before="60" w:beforeAutospacing="0" w:after="60"/>
              <w:contextualSpacing w:val="0"/>
              <w:jc w:val="right"/>
            </w:pPr>
            <w:r>
              <w:t>-1</w:t>
            </w:r>
          </w:p>
        </w:tc>
        <w:tc>
          <w:tcPr>
            <w:tcW w:w="1164" w:type="dxa"/>
            <w:noWrap/>
            <w:hideMark/>
          </w:tcPr>
          <w:p w14:paraId="31E286CB" w14:textId="387902FC" w:rsidR="00173063" w:rsidRPr="005E0E6E" w:rsidRDefault="00173063" w:rsidP="00C40167">
            <w:pPr>
              <w:spacing w:before="60" w:beforeAutospacing="0" w:after="60"/>
              <w:contextualSpacing w:val="0"/>
              <w:jc w:val="right"/>
            </w:pPr>
            <w:r>
              <w:t>+1</w:t>
            </w:r>
          </w:p>
        </w:tc>
      </w:tr>
      <w:tr w:rsidR="00173063" w:rsidRPr="00C14672" w14:paraId="4AEACCAB" w14:textId="77777777" w:rsidTr="00C40167">
        <w:trPr>
          <w:trHeight w:val="315"/>
        </w:trPr>
        <w:tc>
          <w:tcPr>
            <w:tcW w:w="5093" w:type="dxa"/>
            <w:noWrap/>
            <w:vAlign w:val="bottom"/>
            <w:hideMark/>
          </w:tcPr>
          <w:p w14:paraId="452DD255" w14:textId="2B93FF47" w:rsidR="00173063" w:rsidRPr="005211EB" w:rsidRDefault="00173063" w:rsidP="00173063">
            <w:pPr>
              <w:spacing w:before="60" w:beforeAutospacing="0" w:after="60"/>
              <w:contextualSpacing w:val="0"/>
            </w:pPr>
            <w:r>
              <w:t>Animal Resources Centre</w:t>
            </w:r>
          </w:p>
        </w:tc>
        <w:tc>
          <w:tcPr>
            <w:tcW w:w="1347" w:type="dxa"/>
            <w:noWrap/>
            <w:hideMark/>
          </w:tcPr>
          <w:p w14:paraId="09EADC00" w14:textId="26116DCF" w:rsidR="00173063" w:rsidRPr="005E0E6E" w:rsidRDefault="00173063" w:rsidP="00C40167">
            <w:pPr>
              <w:spacing w:before="60" w:beforeAutospacing="0" w:after="60"/>
              <w:contextualSpacing w:val="0"/>
              <w:jc w:val="right"/>
            </w:pPr>
            <w:r>
              <w:t>63</w:t>
            </w:r>
          </w:p>
        </w:tc>
        <w:tc>
          <w:tcPr>
            <w:tcW w:w="1347" w:type="dxa"/>
            <w:noWrap/>
            <w:hideMark/>
          </w:tcPr>
          <w:p w14:paraId="1206ACAB" w14:textId="0CEA5B3A" w:rsidR="00173063" w:rsidRPr="005E0E6E" w:rsidRDefault="00173063" w:rsidP="00C40167">
            <w:pPr>
              <w:spacing w:before="60" w:beforeAutospacing="0" w:after="60"/>
              <w:contextualSpacing w:val="0"/>
              <w:jc w:val="right"/>
            </w:pPr>
            <w:r>
              <w:t>59</w:t>
            </w:r>
          </w:p>
        </w:tc>
        <w:tc>
          <w:tcPr>
            <w:tcW w:w="1163" w:type="dxa"/>
            <w:noWrap/>
            <w:hideMark/>
          </w:tcPr>
          <w:p w14:paraId="251AC63C" w14:textId="2F8A7587" w:rsidR="00173063" w:rsidRPr="005E0E6E" w:rsidRDefault="00173063" w:rsidP="00C40167">
            <w:pPr>
              <w:spacing w:before="60" w:beforeAutospacing="0" w:after="60"/>
              <w:contextualSpacing w:val="0"/>
              <w:jc w:val="right"/>
            </w:pPr>
            <w:r>
              <w:t>+3</w:t>
            </w:r>
          </w:p>
        </w:tc>
        <w:tc>
          <w:tcPr>
            <w:tcW w:w="1164" w:type="dxa"/>
            <w:noWrap/>
            <w:hideMark/>
          </w:tcPr>
          <w:p w14:paraId="0F33A26C" w14:textId="36A38C61" w:rsidR="00173063" w:rsidRPr="005E0E6E" w:rsidRDefault="00173063" w:rsidP="00C40167">
            <w:pPr>
              <w:spacing w:before="60" w:beforeAutospacing="0" w:after="60"/>
              <w:contextualSpacing w:val="0"/>
              <w:jc w:val="right"/>
            </w:pPr>
            <w:r>
              <w:t>-2</w:t>
            </w:r>
          </w:p>
        </w:tc>
      </w:tr>
      <w:tr w:rsidR="00173063" w:rsidRPr="00C14672" w14:paraId="30E54262" w14:textId="77777777" w:rsidTr="00C40167">
        <w:trPr>
          <w:trHeight w:val="315"/>
        </w:trPr>
        <w:tc>
          <w:tcPr>
            <w:tcW w:w="5093" w:type="dxa"/>
            <w:noWrap/>
            <w:vAlign w:val="bottom"/>
            <w:hideMark/>
          </w:tcPr>
          <w:p w14:paraId="2CBAA83E" w14:textId="19A85FE9" w:rsidR="00173063" w:rsidRPr="005211EB" w:rsidRDefault="00173063" w:rsidP="00173063">
            <w:pPr>
              <w:spacing w:before="60" w:beforeAutospacing="0" w:after="60"/>
              <w:contextualSpacing w:val="0"/>
            </w:pPr>
            <w:r>
              <w:t>Small Business Development Corporation</w:t>
            </w:r>
          </w:p>
        </w:tc>
        <w:tc>
          <w:tcPr>
            <w:tcW w:w="1347" w:type="dxa"/>
            <w:noWrap/>
            <w:hideMark/>
          </w:tcPr>
          <w:p w14:paraId="0FD5307D" w14:textId="6418920C" w:rsidR="00173063" w:rsidRPr="005E0E6E" w:rsidRDefault="00173063" w:rsidP="00C40167">
            <w:pPr>
              <w:spacing w:before="60" w:beforeAutospacing="0" w:after="60"/>
              <w:contextualSpacing w:val="0"/>
              <w:jc w:val="right"/>
            </w:pPr>
            <w:r>
              <w:t>62</w:t>
            </w:r>
          </w:p>
        </w:tc>
        <w:tc>
          <w:tcPr>
            <w:tcW w:w="1347" w:type="dxa"/>
            <w:noWrap/>
            <w:hideMark/>
          </w:tcPr>
          <w:p w14:paraId="00B1D659" w14:textId="49F92E55" w:rsidR="00173063" w:rsidRPr="005E0E6E" w:rsidRDefault="00173063" w:rsidP="00C40167">
            <w:pPr>
              <w:spacing w:before="60" w:beforeAutospacing="0" w:after="60"/>
              <w:contextualSpacing w:val="0"/>
              <w:jc w:val="right"/>
            </w:pPr>
            <w:r>
              <w:t>54</w:t>
            </w:r>
          </w:p>
        </w:tc>
        <w:tc>
          <w:tcPr>
            <w:tcW w:w="1163" w:type="dxa"/>
            <w:noWrap/>
            <w:hideMark/>
          </w:tcPr>
          <w:p w14:paraId="4178CAE1" w14:textId="1AEBDC32" w:rsidR="00173063" w:rsidRPr="005E0E6E" w:rsidRDefault="00173063" w:rsidP="00C40167">
            <w:pPr>
              <w:spacing w:before="60" w:beforeAutospacing="0" w:after="60"/>
              <w:contextualSpacing w:val="0"/>
              <w:jc w:val="right"/>
            </w:pPr>
            <w:r>
              <w:t>-1</w:t>
            </w:r>
          </w:p>
        </w:tc>
        <w:tc>
          <w:tcPr>
            <w:tcW w:w="1164" w:type="dxa"/>
            <w:noWrap/>
            <w:hideMark/>
          </w:tcPr>
          <w:p w14:paraId="520BFC92" w14:textId="593A6FCD" w:rsidR="00173063" w:rsidRPr="005E0E6E" w:rsidRDefault="00173063" w:rsidP="00C40167">
            <w:pPr>
              <w:spacing w:before="60" w:beforeAutospacing="0" w:after="60"/>
              <w:contextualSpacing w:val="0"/>
              <w:jc w:val="right"/>
            </w:pPr>
            <w:r>
              <w:t>-1</w:t>
            </w:r>
          </w:p>
        </w:tc>
      </w:tr>
      <w:tr w:rsidR="00173063" w:rsidRPr="00C14672" w14:paraId="01D5BAF4" w14:textId="77777777" w:rsidTr="00C40167">
        <w:trPr>
          <w:trHeight w:val="315"/>
        </w:trPr>
        <w:tc>
          <w:tcPr>
            <w:tcW w:w="5093" w:type="dxa"/>
            <w:noWrap/>
            <w:vAlign w:val="bottom"/>
            <w:hideMark/>
          </w:tcPr>
          <w:p w14:paraId="66307F2B" w14:textId="77052D5E" w:rsidR="00173063" w:rsidRPr="005211EB" w:rsidRDefault="00173063" w:rsidP="00173063">
            <w:pPr>
              <w:spacing w:before="60" w:beforeAutospacing="0" w:after="60"/>
              <w:contextualSpacing w:val="0"/>
            </w:pPr>
            <w:r>
              <w:t>GESB</w:t>
            </w:r>
          </w:p>
        </w:tc>
        <w:tc>
          <w:tcPr>
            <w:tcW w:w="1347" w:type="dxa"/>
            <w:noWrap/>
            <w:hideMark/>
          </w:tcPr>
          <w:p w14:paraId="6D8B7F17" w14:textId="4FF7B308" w:rsidR="00173063" w:rsidRPr="005E0E6E" w:rsidRDefault="00173063" w:rsidP="00C40167">
            <w:pPr>
              <w:spacing w:before="60" w:beforeAutospacing="0" w:after="60"/>
              <w:contextualSpacing w:val="0"/>
              <w:jc w:val="right"/>
            </w:pPr>
            <w:r>
              <w:t>59</w:t>
            </w:r>
          </w:p>
        </w:tc>
        <w:tc>
          <w:tcPr>
            <w:tcW w:w="1347" w:type="dxa"/>
            <w:noWrap/>
            <w:hideMark/>
          </w:tcPr>
          <w:p w14:paraId="1B9799D5" w14:textId="396986AC" w:rsidR="00173063" w:rsidRPr="005E0E6E" w:rsidRDefault="00173063" w:rsidP="00C40167">
            <w:pPr>
              <w:spacing w:before="60" w:beforeAutospacing="0" w:after="60"/>
              <w:contextualSpacing w:val="0"/>
              <w:jc w:val="right"/>
            </w:pPr>
            <w:r>
              <w:t>53</w:t>
            </w:r>
          </w:p>
        </w:tc>
        <w:tc>
          <w:tcPr>
            <w:tcW w:w="1163" w:type="dxa"/>
            <w:noWrap/>
            <w:hideMark/>
          </w:tcPr>
          <w:p w14:paraId="21F53940" w14:textId="2A674F4A" w:rsidR="00173063" w:rsidRPr="005E0E6E" w:rsidRDefault="00173063" w:rsidP="00C40167">
            <w:pPr>
              <w:spacing w:before="60" w:beforeAutospacing="0" w:after="60"/>
              <w:contextualSpacing w:val="0"/>
              <w:jc w:val="right"/>
            </w:pPr>
            <w:r>
              <w:t>0</w:t>
            </w:r>
          </w:p>
        </w:tc>
        <w:tc>
          <w:tcPr>
            <w:tcW w:w="1164" w:type="dxa"/>
            <w:noWrap/>
            <w:hideMark/>
          </w:tcPr>
          <w:p w14:paraId="57A220EB" w14:textId="0155489C" w:rsidR="00173063" w:rsidRPr="005E0E6E" w:rsidRDefault="00173063" w:rsidP="00C40167">
            <w:pPr>
              <w:spacing w:before="60" w:beforeAutospacing="0" w:after="60"/>
              <w:contextualSpacing w:val="0"/>
              <w:jc w:val="right"/>
            </w:pPr>
            <w:r>
              <w:t>+3</w:t>
            </w:r>
          </w:p>
        </w:tc>
      </w:tr>
      <w:tr w:rsidR="00173063" w:rsidRPr="00C14672" w14:paraId="07C8F8DA" w14:textId="77777777" w:rsidTr="00C40167">
        <w:trPr>
          <w:trHeight w:val="315"/>
        </w:trPr>
        <w:tc>
          <w:tcPr>
            <w:tcW w:w="5093" w:type="dxa"/>
            <w:noWrap/>
            <w:vAlign w:val="bottom"/>
            <w:hideMark/>
          </w:tcPr>
          <w:p w14:paraId="7F71E579" w14:textId="09D0ABAD" w:rsidR="00173063" w:rsidRPr="005211EB" w:rsidRDefault="00173063" w:rsidP="00173063">
            <w:pPr>
              <w:spacing w:before="60" w:beforeAutospacing="0" w:after="60"/>
              <w:contextualSpacing w:val="0"/>
            </w:pPr>
            <w:r>
              <w:t>Metropolitan Redevelopment Authority</w:t>
            </w:r>
          </w:p>
        </w:tc>
        <w:tc>
          <w:tcPr>
            <w:tcW w:w="1347" w:type="dxa"/>
            <w:noWrap/>
            <w:hideMark/>
          </w:tcPr>
          <w:p w14:paraId="4F7D540F" w14:textId="0A44985B" w:rsidR="00173063" w:rsidRPr="005E0E6E" w:rsidRDefault="00173063" w:rsidP="00C40167">
            <w:pPr>
              <w:spacing w:before="60" w:beforeAutospacing="0" w:after="60"/>
              <w:contextualSpacing w:val="0"/>
              <w:jc w:val="right"/>
            </w:pPr>
            <w:r>
              <w:t>47</w:t>
            </w:r>
          </w:p>
        </w:tc>
        <w:tc>
          <w:tcPr>
            <w:tcW w:w="1347" w:type="dxa"/>
            <w:noWrap/>
            <w:hideMark/>
          </w:tcPr>
          <w:p w14:paraId="160EB305" w14:textId="79BD819A" w:rsidR="00173063" w:rsidRPr="005E0E6E" w:rsidRDefault="00173063" w:rsidP="00C40167">
            <w:pPr>
              <w:spacing w:before="60" w:beforeAutospacing="0" w:after="60"/>
              <w:contextualSpacing w:val="0"/>
              <w:jc w:val="right"/>
            </w:pPr>
            <w:r>
              <w:t>41</w:t>
            </w:r>
          </w:p>
        </w:tc>
        <w:tc>
          <w:tcPr>
            <w:tcW w:w="1163" w:type="dxa"/>
            <w:noWrap/>
            <w:hideMark/>
          </w:tcPr>
          <w:p w14:paraId="4CF68C0D" w14:textId="0C4491FA" w:rsidR="00173063" w:rsidRPr="005E0E6E" w:rsidRDefault="00173063" w:rsidP="00C40167">
            <w:pPr>
              <w:spacing w:before="60" w:beforeAutospacing="0" w:after="60"/>
              <w:contextualSpacing w:val="0"/>
              <w:jc w:val="right"/>
            </w:pPr>
            <w:r>
              <w:t>-8</w:t>
            </w:r>
          </w:p>
        </w:tc>
        <w:tc>
          <w:tcPr>
            <w:tcW w:w="1164" w:type="dxa"/>
            <w:noWrap/>
            <w:hideMark/>
          </w:tcPr>
          <w:p w14:paraId="2967A245" w14:textId="5D5C5CB2" w:rsidR="00173063" w:rsidRPr="005E0E6E" w:rsidRDefault="00173063" w:rsidP="00C40167">
            <w:pPr>
              <w:spacing w:before="60" w:beforeAutospacing="0" w:after="60"/>
              <w:contextualSpacing w:val="0"/>
              <w:jc w:val="right"/>
            </w:pPr>
            <w:r>
              <w:t>-54</w:t>
            </w:r>
          </w:p>
        </w:tc>
      </w:tr>
      <w:tr w:rsidR="00173063" w:rsidRPr="00C14672" w14:paraId="7350B3AD" w14:textId="77777777" w:rsidTr="00C40167">
        <w:trPr>
          <w:trHeight w:val="315"/>
        </w:trPr>
        <w:tc>
          <w:tcPr>
            <w:tcW w:w="5093" w:type="dxa"/>
            <w:noWrap/>
            <w:vAlign w:val="bottom"/>
            <w:hideMark/>
          </w:tcPr>
          <w:p w14:paraId="43FF771F" w14:textId="798ABC9E" w:rsidR="00173063" w:rsidRPr="005211EB" w:rsidRDefault="00173063" w:rsidP="00173063">
            <w:pPr>
              <w:spacing w:before="60" w:beforeAutospacing="0" w:after="60"/>
              <w:contextualSpacing w:val="0"/>
            </w:pPr>
            <w:r>
              <w:t>Western Australian Electoral Commission</w:t>
            </w:r>
          </w:p>
        </w:tc>
        <w:tc>
          <w:tcPr>
            <w:tcW w:w="1347" w:type="dxa"/>
            <w:noWrap/>
            <w:hideMark/>
          </w:tcPr>
          <w:p w14:paraId="3A89B562" w14:textId="04ADFF6D" w:rsidR="00173063" w:rsidRPr="005E0E6E" w:rsidRDefault="00173063" w:rsidP="00C40167">
            <w:pPr>
              <w:spacing w:before="60" w:beforeAutospacing="0" w:after="60"/>
              <w:contextualSpacing w:val="0"/>
              <w:jc w:val="right"/>
            </w:pPr>
            <w:r>
              <w:t>46</w:t>
            </w:r>
          </w:p>
        </w:tc>
        <w:tc>
          <w:tcPr>
            <w:tcW w:w="1347" w:type="dxa"/>
            <w:noWrap/>
            <w:hideMark/>
          </w:tcPr>
          <w:p w14:paraId="50003144" w14:textId="24F7DBEA" w:rsidR="00173063" w:rsidRPr="005E0E6E" w:rsidRDefault="00173063" w:rsidP="00C40167">
            <w:pPr>
              <w:spacing w:before="60" w:beforeAutospacing="0" w:after="60"/>
              <w:contextualSpacing w:val="0"/>
              <w:jc w:val="right"/>
            </w:pPr>
            <w:r>
              <w:t>45</w:t>
            </w:r>
          </w:p>
        </w:tc>
        <w:tc>
          <w:tcPr>
            <w:tcW w:w="1163" w:type="dxa"/>
            <w:noWrap/>
            <w:hideMark/>
          </w:tcPr>
          <w:p w14:paraId="326ECE2D" w14:textId="7EF4BE83" w:rsidR="00173063" w:rsidRPr="005E0E6E" w:rsidRDefault="00173063" w:rsidP="00C40167">
            <w:pPr>
              <w:spacing w:before="60" w:beforeAutospacing="0" w:after="60"/>
              <w:contextualSpacing w:val="0"/>
              <w:jc w:val="right"/>
            </w:pPr>
            <w:r>
              <w:t>0</w:t>
            </w:r>
          </w:p>
        </w:tc>
        <w:tc>
          <w:tcPr>
            <w:tcW w:w="1164" w:type="dxa"/>
            <w:noWrap/>
            <w:hideMark/>
          </w:tcPr>
          <w:p w14:paraId="5FE87155" w14:textId="6D16172E" w:rsidR="00173063" w:rsidRPr="005E0E6E" w:rsidRDefault="00173063" w:rsidP="00C40167">
            <w:pPr>
              <w:spacing w:before="60" w:beforeAutospacing="0" w:after="60"/>
              <w:contextualSpacing w:val="0"/>
              <w:jc w:val="right"/>
            </w:pPr>
            <w:r>
              <w:t>+6</w:t>
            </w:r>
          </w:p>
        </w:tc>
      </w:tr>
      <w:tr w:rsidR="00173063" w:rsidRPr="00C14672" w14:paraId="14818DB0" w14:textId="77777777" w:rsidTr="00C40167">
        <w:trPr>
          <w:trHeight w:val="315"/>
        </w:trPr>
        <w:tc>
          <w:tcPr>
            <w:tcW w:w="5093" w:type="dxa"/>
            <w:noWrap/>
            <w:vAlign w:val="bottom"/>
            <w:hideMark/>
          </w:tcPr>
          <w:p w14:paraId="7A09DFF7" w14:textId="00A68796" w:rsidR="00173063" w:rsidRPr="005211EB" w:rsidRDefault="00173063" w:rsidP="00173063">
            <w:pPr>
              <w:spacing w:before="60" w:beforeAutospacing="0" w:after="60"/>
              <w:contextualSpacing w:val="0"/>
            </w:pPr>
            <w:r>
              <w:t>Legal Practice Board</w:t>
            </w:r>
          </w:p>
        </w:tc>
        <w:tc>
          <w:tcPr>
            <w:tcW w:w="1347" w:type="dxa"/>
            <w:noWrap/>
            <w:hideMark/>
          </w:tcPr>
          <w:p w14:paraId="67E20B20" w14:textId="5F4E5A08" w:rsidR="00173063" w:rsidRPr="005E0E6E" w:rsidRDefault="00173063" w:rsidP="00C40167">
            <w:pPr>
              <w:spacing w:before="60" w:beforeAutospacing="0" w:after="60"/>
              <w:contextualSpacing w:val="0"/>
              <w:jc w:val="right"/>
            </w:pPr>
            <w:r>
              <w:t>45</w:t>
            </w:r>
          </w:p>
        </w:tc>
        <w:tc>
          <w:tcPr>
            <w:tcW w:w="1347" w:type="dxa"/>
            <w:noWrap/>
            <w:hideMark/>
          </w:tcPr>
          <w:p w14:paraId="65D1C954" w14:textId="577FACE8" w:rsidR="00173063" w:rsidRPr="005E0E6E" w:rsidRDefault="00173063" w:rsidP="00C40167">
            <w:pPr>
              <w:spacing w:before="60" w:beforeAutospacing="0" w:after="60"/>
              <w:contextualSpacing w:val="0"/>
              <w:jc w:val="right"/>
            </w:pPr>
            <w:r>
              <w:t>42</w:t>
            </w:r>
          </w:p>
        </w:tc>
        <w:tc>
          <w:tcPr>
            <w:tcW w:w="1163" w:type="dxa"/>
            <w:noWrap/>
            <w:hideMark/>
          </w:tcPr>
          <w:p w14:paraId="3C257B46" w14:textId="54CFB729" w:rsidR="00173063" w:rsidRPr="005E0E6E" w:rsidRDefault="00173063" w:rsidP="00C40167">
            <w:pPr>
              <w:spacing w:before="60" w:beforeAutospacing="0" w:after="60"/>
              <w:contextualSpacing w:val="0"/>
              <w:jc w:val="right"/>
            </w:pPr>
            <w:r>
              <w:t>-2</w:t>
            </w:r>
          </w:p>
        </w:tc>
        <w:tc>
          <w:tcPr>
            <w:tcW w:w="1164" w:type="dxa"/>
            <w:noWrap/>
            <w:hideMark/>
          </w:tcPr>
          <w:p w14:paraId="04F70B85" w14:textId="3BD57FE7" w:rsidR="00173063" w:rsidRPr="005E0E6E" w:rsidRDefault="00173063" w:rsidP="00C40167">
            <w:pPr>
              <w:spacing w:before="60" w:beforeAutospacing="0" w:after="60"/>
              <w:contextualSpacing w:val="0"/>
              <w:jc w:val="right"/>
            </w:pPr>
            <w:r>
              <w:t>+1</w:t>
            </w:r>
          </w:p>
        </w:tc>
      </w:tr>
      <w:tr w:rsidR="00173063" w:rsidRPr="00C14672" w14:paraId="32EC44C2" w14:textId="77777777" w:rsidTr="00C40167">
        <w:trPr>
          <w:trHeight w:val="315"/>
        </w:trPr>
        <w:tc>
          <w:tcPr>
            <w:tcW w:w="5093" w:type="dxa"/>
            <w:noWrap/>
            <w:vAlign w:val="bottom"/>
            <w:hideMark/>
          </w:tcPr>
          <w:p w14:paraId="49255E65" w14:textId="0D7A6E45" w:rsidR="00173063" w:rsidRPr="005211EB" w:rsidRDefault="00173063" w:rsidP="00173063">
            <w:pPr>
              <w:spacing w:before="60" w:beforeAutospacing="0" w:after="60"/>
              <w:contextualSpacing w:val="0"/>
            </w:pPr>
            <w:r>
              <w:lastRenderedPageBreak/>
              <w:t>Department of the Registrar, Western Australian Industrial Relations Commission</w:t>
            </w:r>
          </w:p>
        </w:tc>
        <w:tc>
          <w:tcPr>
            <w:tcW w:w="1347" w:type="dxa"/>
            <w:noWrap/>
            <w:hideMark/>
          </w:tcPr>
          <w:p w14:paraId="39A33124" w14:textId="6B69229A" w:rsidR="00173063" w:rsidRPr="005E0E6E" w:rsidRDefault="00173063" w:rsidP="00C40167">
            <w:pPr>
              <w:spacing w:before="60" w:beforeAutospacing="0" w:after="60"/>
              <w:contextualSpacing w:val="0"/>
              <w:jc w:val="right"/>
            </w:pPr>
            <w:r>
              <w:t>40</w:t>
            </w:r>
          </w:p>
        </w:tc>
        <w:tc>
          <w:tcPr>
            <w:tcW w:w="1347" w:type="dxa"/>
            <w:noWrap/>
            <w:hideMark/>
          </w:tcPr>
          <w:p w14:paraId="44A113DC" w14:textId="209DFE14" w:rsidR="00173063" w:rsidRPr="005E0E6E" w:rsidRDefault="00173063" w:rsidP="00C40167">
            <w:pPr>
              <w:spacing w:before="60" w:beforeAutospacing="0" w:after="60"/>
              <w:contextualSpacing w:val="0"/>
              <w:jc w:val="right"/>
            </w:pPr>
            <w:r>
              <w:t>39</w:t>
            </w:r>
          </w:p>
        </w:tc>
        <w:tc>
          <w:tcPr>
            <w:tcW w:w="1163" w:type="dxa"/>
            <w:noWrap/>
            <w:hideMark/>
          </w:tcPr>
          <w:p w14:paraId="7283BA55" w14:textId="091768F7" w:rsidR="00173063" w:rsidRPr="005E0E6E" w:rsidRDefault="00173063" w:rsidP="00C40167">
            <w:pPr>
              <w:spacing w:before="60" w:beforeAutospacing="0" w:after="60"/>
              <w:contextualSpacing w:val="0"/>
              <w:jc w:val="right"/>
            </w:pPr>
            <w:r>
              <w:t>+3</w:t>
            </w:r>
          </w:p>
        </w:tc>
        <w:tc>
          <w:tcPr>
            <w:tcW w:w="1164" w:type="dxa"/>
            <w:noWrap/>
            <w:hideMark/>
          </w:tcPr>
          <w:p w14:paraId="42903FCC" w14:textId="5E3ADFA9" w:rsidR="00173063" w:rsidRPr="005E0E6E" w:rsidRDefault="00173063" w:rsidP="00C40167">
            <w:pPr>
              <w:spacing w:before="60" w:beforeAutospacing="0" w:after="60"/>
              <w:contextualSpacing w:val="0"/>
              <w:jc w:val="right"/>
            </w:pPr>
            <w:r>
              <w:t>+3</w:t>
            </w:r>
          </w:p>
        </w:tc>
      </w:tr>
      <w:tr w:rsidR="00173063" w:rsidRPr="00C14672" w14:paraId="6A4518F8" w14:textId="77777777" w:rsidTr="00C40167">
        <w:trPr>
          <w:trHeight w:val="315"/>
        </w:trPr>
        <w:tc>
          <w:tcPr>
            <w:tcW w:w="5093" w:type="dxa"/>
            <w:noWrap/>
            <w:vAlign w:val="bottom"/>
            <w:hideMark/>
          </w:tcPr>
          <w:p w14:paraId="2D16A38A" w14:textId="7897C748" w:rsidR="00173063" w:rsidRPr="005211EB" w:rsidRDefault="00173063" w:rsidP="00173063">
            <w:pPr>
              <w:spacing w:before="60" w:beforeAutospacing="0" w:after="60"/>
              <w:contextualSpacing w:val="0"/>
            </w:pPr>
            <w:r>
              <w:t>National Trust of Australia (W.A.)</w:t>
            </w:r>
          </w:p>
        </w:tc>
        <w:tc>
          <w:tcPr>
            <w:tcW w:w="1347" w:type="dxa"/>
            <w:noWrap/>
            <w:hideMark/>
          </w:tcPr>
          <w:p w14:paraId="588CAF89" w14:textId="303EA2B1" w:rsidR="00173063" w:rsidRPr="005E0E6E" w:rsidRDefault="00173063" w:rsidP="00C40167">
            <w:pPr>
              <w:spacing w:before="60" w:beforeAutospacing="0" w:after="60"/>
              <w:contextualSpacing w:val="0"/>
              <w:jc w:val="right"/>
            </w:pPr>
            <w:r>
              <w:t>35</w:t>
            </w:r>
          </w:p>
        </w:tc>
        <w:tc>
          <w:tcPr>
            <w:tcW w:w="1347" w:type="dxa"/>
            <w:noWrap/>
            <w:hideMark/>
          </w:tcPr>
          <w:p w14:paraId="283702C6" w14:textId="4A596BED" w:rsidR="00173063" w:rsidRPr="005E0E6E" w:rsidRDefault="00173063" w:rsidP="00C40167">
            <w:pPr>
              <w:spacing w:before="60" w:beforeAutospacing="0" w:after="60"/>
              <w:contextualSpacing w:val="0"/>
              <w:jc w:val="right"/>
            </w:pPr>
            <w:r>
              <w:t>25</w:t>
            </w:r>
          </w:p>
        </w:tc>
        <w:tc>
          <w:tcPr>
            <w:tcW w:w="1163" w:type="dxa"/>
            <w:noWrap/>
            <w:hideMark/>
          </w:tcPr>
          <w:p w14:paraId="61721DE6" w14:textId="63FB06E4" w:rsidR="00173063" w:rsidRPr="005E0E6E" w:rsidRDefault="00173063" w:rsidP="00C40167">
            <w:pPr>
              <w:spacing w:before="60" w:beforeAutospacing="0" w:after="60"/>
              <w:contextualSpacing w:val="0"/>
              <w:jc w:val="right"/>
            </w:pPr>
            <w:r>
              <w:t>-4</w:t>
            </w:r>
          </w:p>
        </w:tc>
        <w:tc>
          <w:tcPr>
            <w:tcW w:w="1164" w:type="dxa"/>
            <w:noWrap/>
            <w:hideMark/>
          </w:tcPr>
          <w:p w14:paraId="71F1F4B1" w14:textId="4591C230" w:rsidR="00173063" w:rsidRPr="005E0E6E" w:rsidRDefault="00173063" w:rsidP="00C40167">
            <w:pPr>
              <w:spacing w:before="60" w:beforeAutospacing="0" w:after="60"/>
              <w:contextualSpacing w:val="0"/>
              <w:jc w:val="right"/>
            </w:pPr>
            <w:r>
              <w:t>-1</w:t>
            </w:r>
          </w:p>
        </w:tc>
      </w:tr>
      <w:tr w:rsidR="00173063" w:rsidRPr="00C14672" w14:paraId="67965D59" w14:textId="77777777" w:rsidTr="00C40167">
        <w:trPr>
          <w:trHeight w:val="315"/>
        </w:trPr>
        <w:tc>
          <w:tcPr>
            <w:tcW w:w="5093" w:type="dxa"/>
            <w:noWrap/>
            <w:vAlign w:val="bottom"/>
            <w:hideMark/>
          </w:tcPr>
          <w:p w14:paraId="77DBC6DF" w14:textId="630ED916" w:rsidR="00173063" w:rsidRPr="005211EB" w:rsidRDefault="00173063" w:rsidP="00173063">
            <w:pPr>
              <w:spacing w:before="60" w:beforeAutospacing="0" w:after="60"/>
              <w:contextualSpacing w:val="0"/>
            </w:pPr>
            <w:r>
              <w:t>Western Australian Meat Industry Authority</w:t>
            </w:r>
          </w:p>
        </w:tc>
        <w:tc>
          <w:tcPr>
            <w:tcW w:w="1347" w:type="dxa"/>
            <w:noWrap/>
            <w:hideMark/>
          </w:tcPr>
          <w:p w14:paraId="45693E9D" w14:textId="7C0630C9" w:rsidR="00173063" w:rsidRPr="005E0E6E" w:rsidRDefault="00173063" w:rsidP="00C40167">
            <w:pPr>
              <w:spacing w:before="60" w:beforeAutospacing="0" w:after="60"/>
              <w:contextualSpacing w:val="0"/>
              <w:jc w:val="right"/>
            </w:pPr>
            <w:r>
              <w:t>28</w:t>
            </w:r>
          </w:p>
        </w:tc>
        <w:tc>
          <w:tcPr>
            <w:tcW w:w="1347" w:type="dxa"/>
            <w:noWrap/>
            <w:hideMark/>
          </w:tcPr>
          <w:p w14:paraId="7193F28F" w14:textId="21CAD949" w:rsidR="00173063" w:rsidRPr="005E0E6E" w:rsidRDefault="00173063" w:rsidP="00C40167">
            <w:pPr>
              <w:spacing w:before="60" w:beforeAutospacing="0" w:after="60"/>
              <w:contextualSpacing w:val="0"/>
              <w:jc w:val="right"/>
            </w:pPr>
            <w:r>
              <w:t>18</w:t>
            </w:r>
          </w:p>
        </w:tc>
        <w:tc>
          <w:tcPr>
            <w:tcW w:w="1163" w:type="dxa"/>
            <w:noWrap/>
            <w:hideMark/>
          </w:tcPr>
          <w:p w14:paraId="53CD5CDF" w14:textId="28602A32" w:rsidR="00173063" w:rsidRPr="005E0E6E" w:rsidRDefault="00173063" w:rsidP="00C40167">
            <w:pPr>
              <w:spacing w:before="60" w:beforeAutospacing="0" w:after="60"/>
              <w:contextualSpacing w:val="0"/>
              <w:jc w:val="right"/>
            </w:pPr>
            <w:r>
              <w:t>+1</w:t>
            </w:r>
          </w:p>
        </w:tc>
        <w:tc>
          <w:tcPr>
            <w:tcW w:w="1164" w:type="dxa"/>
            <w:noWrap/>
            <w:hideMark/>
          </w:tcPr>
          <w:p w14:paraId="0870B9D9" w14:textId="7CD6431F" w:rsidR="00173063" w:rsidRPr="005E0E6E" w:rsidRDefault="00173063" w:rsidP="00C40167">
            <w:pPr>
              <w:spacing w:before="60" w:beforeAutospacing="0" w:after="60"/>
              <w:contextualSpacing w:val="0"/>
              <w:jc w:val="right"/>
            </w:pPr>
            <w:r>
              <w:t>+3</w:t>
            </w:r>
          </w:p>
        </w:tc>
      </w:tr>
      <w:tr w:rsidR="00173063" w:rsidRPr="00C14672" w14:paraId="5820C3E0" w14:textId="77777777" w:rsidTr="00C40167">
        <w:trPr>
          <w:trHeight w:val="315"/>
        </w:trPr>
        <w:tc>
          <w:tcPr>
            <w:tcW w:w="5093" w:type="dxa"/>
            <w:noWrap/>
            <w:vAlign w:val="bottom"/>
            <w:hideMark/>
          </w:tcPr>
          <w:p w14:paraId="0E87FCEC" w14:textId="3EBA3E5C" w:rsidR="00173063" w:rsidRPr="005211EB" w:rsidRDefault="00173063" w:rsidP="00173063">
            <w:pPr>
              <w:spacing w:before="60" w:beforeAutospacing="0" w:after="60"/>
              <w:contextualSpacing w:val="0"/>
            </w:pPr>
            <w:r>
              <w:t>Construction Training Fund</w:t>
            </w:r>
          </w:p>
        </w:tc>
        <w:tc>
          <w:tcPr>
            <w:tcW w:w="1347" w:type="dxa"/>
            <w:noWrap/>
            <w:hideMark/>
          </w:tcPr>
          <w:p w14:paraId="11FE9831" w14:textId="67CBF9F8" w:rsidR="00173063" w:rsidRPr="005E0E6E" w:rsidRDefault="00173063" w:rsidP="00C40167">
            <w:pPr>
              <w:spacing w:before="60" w:beforeAutospacing="0" w:after="60"/>
              <w:contextualSpacing w:val="0"/>
              <w:jc w:val="right"/>
            </w:pPr>
            <w:r>
              <w:t>22</w:t>
            </w:r>
          </w:p>
        </w:tc>
        <w:tc>
          <w:tcPr>
            <w:tcW w:w="1347" w:type="dxa"/>
            <w:noWrap/>
            <w:hideMark/>
          </w:tcPr>
          <w:p w14:paraId="6F215AF4" w14:textId="49EDEAC6" w:rsidR="00173063" w:rsidRPr="005E0E6E" w:rsidRDefault="00173063" w:rsidP="00C40167">
            <w:pPr>
              <w:spacing w:before="60" w:beforeAutospacing="0" w:after="60"/>
              <w:contextualSpacing w:val="0"/>
              <w:jc w:val="right"/>
            </w:pPr>
            <w:r>
              <w:t>20</w:t>
            </w:r>
          </w:p>
        </w:tc>
        <w:tc>
          <w:tcPr>
            <w:tcW w:w="1163" w:type="dxa"/>
            <w:noWrap/>
            <w:hideMark/>
          </w:tcPr>
          <w:p w14:paraId="6DAB2398" w14:textId="12EBEB18" w:rsidR="00173063" w:rsidRPr="005E0E6E" w:rsidRDefault="00173063" w:rsidP="00C40167">
            <w:pPr>
              <w:spacing w:before="60" w:beforeAutospacing="0" w:after="60"/>
              <w:contextualSpacing w:val="0"/>
              <w:jc w:val="right"/>
            </w:pPr>
            <w:r>
              <w:t>-1</w:t>
            </w:r>
          </w:p>
        </w:tc>
        <w:tc>
          <w:tcPr>
            <w:tcW w:w="1164" w:type="dxa"/>
            <w:noWrap/>
            <w:hideMark/>
          </w:tcPr>
          <w:p w14:paraId="59818038" w14:textId="36A0DEBE" w:rsidR="00173063" w:rsidRPr="005E0E6E" w:rsidRDefault="00173063" w:rsidP="00C40167">
            <w:pPr>
              <w:spacing w:before="60" w:beforeAutospacing="0" w:after="60"/>
              <w:contextualSpacing w:val="0"/>
              <w:jc w:val="right"/>
            </w:pPr>
            <w:r>
              <w:t>0</w:t>
            </w:r>
          </w:p>
        </w:tc>
      </w:tr>
      <w:tr w:rsidR="00173063" w:rsidRPr="00C14672" w14:paraId="316C26DA" w14:textId="77777777" w:rsidTr="00C40167">
        <w:trPr>
          <w:trHeight w:val="315"/>
        </w:trPr>
        <w:tc>
          <w:tcPr>
            <w:tcW w:w="5093" w:type="dxa"/>
            <w:noWrap/>
            <w:vAlign w:val="bottom"/>
            <w:hideMark/>
          </w:tcPr>
          <w:p w14:paraId="7C0758EA" w14:textId="66BBFA81" w:rsidR="00173063" w:rsidRPr="005211EB" w:rsidRDefault="00173063" w:rsidP="00173063">
            <w:pPr>
              <w:spacing w:before="60" w:beforeAutospacing="0" w:after="60"/>
              <w:contextualSpacing w:val="0"/>
            </w:pPr>
            <w:r>
              <w:t>Office of the Inspector of Custodial Services</w:t>
            </w:r>
          </w:p>
        </w:tc>
        <w:tc>
          <w:tcPr>
            <w:tcW w:w="1347" w:type="dxa"/>
            <w:noWrap/>
            <w:hideMark/>
          </w:tcPr>
          <w:p w14:paraId="40EB0278" w14:textId="38875501" w:rsidR="00173063" w:rsidRPr="005E0E6E" w:rsidRDefault="00173063" w:rsidP="00C40167">
            <w:pPr>
              <w:spacing w:before="60" w:beforeAutospacing="0" w:after="60"/>
              <w:contextualSpacing w:val="0"/>
              <w:jc w:val="right"/>
            </w:pPr>
            <w:r>
              <w:t>18</w:t>
            </w:r>
          </w:p>
        </w:tc>
        <w:tc>
          <w:tcPr>
            <w:tcW w:w="1347" w:type="dxa"/>
            <w:noWrap/>
            <w:hideMark/>
          </w:tcPr>
          <w:p w14:paraId="12CA7A02" w14:textId="144ED3E0" w:rsidR="00173063" w:rsidRPr="005E0E6E" w:rsidRDefault="00173063" w:rsidP="00C40167">
            <w:pPr>
              <w:spacing w:before="60" w:beforeAutospacing="0" w:after="60"/>
              <w:contextualSpacing w:val="0"/>
              <w:jc w:val="right"/>
            </w:pPr>
            <w:r>
              <w:t>15</w:t>
            </w:r>
          </w:p>
        </w:tc>
        <w:tc>
          <w:tcPr>
            <w:tcW w:w="1163" w:type="dxa"/>
            <w:noWrap/>
            <w:hideMark/>
          </w:tcPr>
          <w:p w14:paraId="7CB74BFB" w14:textId="6B400A89" w:rsidR="00173063" w:rsidRPr="005E0E6E" w:rsidRDefault="00173063" w:rsidP="00C40167">
            <w:pPr>
              <w:spacing w:before="60" w:beforeAutospacing="0" w:after="60"/>
              <w:contextualSpacing w:val="0"/>
              <w:jc w:val="right"/>
            </w:pPr>
            <w:r>
              <w:t>+1</w:t>
            </w:r>
          </w:p>
        </w:tc>
        <w:tc>
          <w:tcPr>
            <w:tcW w:w="1164" w:type="dxa"/>
            <w:noWrap/>
            <w:hideMark/>
          </w:tcPr>
          <w:p w14:paraId="1EEAD14D" w14:textId="60BE221A" w:rsidR="00173063" w:rsidRPr="005E0E6E" w:rsidRDefault="00173063" w:rsidP="00C40167">
            <w:pPr>
              <w:spacing w:before="60" w:beforeAutospacing="0" w:after="60"/>
              <w:contextualSpacing w:val="0"/>
              <w:jc w:val="right"/>
            </w:pPr>
            <w:r>
              <w:t>+1</w:t>
            </w:r>
          </w:p>
        </w:tc>
      </w:tr>
      <w:tr w:rsidR="00173063" w:rsidRPr="00C14672" w14:paraId="657089E4" w14:textId="77777777" w:rsidTr="00C40167">
        <w:trPr>
          <w:trHeight w:val="315"/>
        </w:trPr>
        <w:tc>
          <w:tcPr>
            <w:tcW w:w="5093" w:type="dxa"/>
            <w:noWrap/>
            <w:vAlign w:val="bottom"/>
          </w:tcPr>
          <w:p w14:paraId="7EE15C08" w14:textId="21DDD52E" w:rsidR="00173063" w:rsidRPr="005211EB" w:rsidRDefault="00173063" w:rsidP="00173063">
            <w:pPr>
              <w:spacing w:before="60" w:beforeAutospacing="0" w:after="60"/>
              <w:contextualSpacing w:val="0"/>
            </w:pPr>
            <w:r>
              <w:t>Health and Disability Services Complaints Office</w:t>
            </w:r>
          </w:p>
        </w:tc>
        <w:tc>
          <w:tcPr>
            <w:tcW w:w="1347" w:type="dxa"/>
            <w:noWrap/>
          </w:tcPr>
          <w:p w14:paraId="26948EDA" w14:textId="266E073A" w:rsidR="00173063" w:rsidRPr="005E0E6E" w:rsidRDefault="00173063" w:rsidP="00C40167">
            <w:pPr>
              <w:spacing w:before="60" w:beforeAutospacing="0" w:after="60"/>
              <w:contextualSpacing w:val="0"/>
              <w:jc w:val="right"/>
            </w:pPr>
            <w:r>
              <w:t>17</w:t>
            </w:r>
          </w:p>
        </w:tc>
        <w:tc>
          <w:tcPr>
            <w:tcW w:w="1347" w:type="dxa"/>
            <w:noWrap/>
          </w:tcPr>
          <w:p w14:paraId="2C39030F" w14:textId="4181062F" w:rsidR="00173063" w:rsidRPr="005E0E6E" w:rsidRDefault="00173063" w:rsidP="00C40167">
            <w:pPr>
              <w:spacing w:before="60" w:beforeAutospacing="0" w:after="60"/>
              <w:contextualSpacing w:val="0"/>
              <w:jc w:val="right"/>
            </w:pPr>
            <w:r>
              <w:t>14</w:t>
            </w:r>
          </w:p>
        </w:tc>
        <w:tc>
          <w:tcPr>
            <w:tcW w:w="1163" w:type="dxa"/>
            <w:noWrap/>
          </w:tcPr>
          <w:p w14:paraId="22372354" w14:textId="0E9BB114" w:rsidR="00173063" w:rsidRPr="005E0E6E" w:rsidRDefault="00173063" w:rsidP="00C40167">
            <w:pPr>
              <w:spacing w:before="60" w:beforeAutospacing="0" w:after="60"/>
              <w:contextualSpacing w:val="0"/>
              <w:jc w:val="right"/>
            </w:pPr>
            <w:r>
              <w:t>-5</w:t>
            </w:r>
          </w:p>
        </w:tc>
        <w:tc>
          <w:tcPr>
            <w:tcW w:w="1164" w:type="dxa"/>
            <w:noWrap/>
          </w:tcPr>
          <w:p w14:paraId="38530EEE" w14:textId="40E2C347" w:rsidR="00173063" w:rsidRPr="005E0E6E" w:rsidRDefault="00173063" w:rsidP="00C40167">
            <w:pPr>
              <w:spacing w:before="60" w:beforeAutospacing="0" w:after="60"/>
              <w:contextualSpacing w:val="0"/>
              <w:jc w:val="right"/>
            </w:pPr>
            <w:r>
              <w:t>-1</w:t>
            </w:r>
          </w:p>
        </w:tc>
      </w:tr>
      <w:tr w:rsidR="00173063" w:rsidRPr="00C14672" w14:paraId="7FBB960F" w14:textId="77777777" w:rsidTr="00C40167">
        <w:trPr>
          <w:trHeight w:val="315"/>
        </w:trPr>
        <w:tc>
          <w:tcPr>
            <w:tcW w:w="5093" w:type="dxa"/>
            <w:noWrap/>
            <w:vAlign w:val="bottom"/>
            <w:hideMark/>
          </w:tcPr>
          <w:p w14:paraId="1D1B55A9" w14:textId="46D36CD2" w:rsidR="00173063" w:rsidRPr="005211EB" w:rsidRDefault="00173063" w:rsidP="00173063">
            <w:pPr>
              <w:spacing w:before="60" w:beforeAutospacing="0" w:after="60"/>
              <w:contextualSpacing w:val="0"/>
            </w:pPr>
            <w:r>
              <w:t>Infrastructure WA</w:t>
            </w:r>
          </w:p>
        </w:tc>
        <w:tc>
          <w:tcPr>
            <w:tcW w:w="1347" w:type="dxa"/>
            <w:noWrap/>
            <w:hideMark/>
          </w:tcPr>
          <w:p w14:paraId="3CB1ED6A" w14:textId="5255F937" w:rsidR="00173063" w:rsidRPr="005E0E6E" w:rsidRDefault="00173063" w:rsidP="00C40167">
            <w:pPr>
              <w:spacing w:before="60" w:beforeAutospacing="0" w:after="60"/>
              <w:contextualSpacing w:val="0"/>
              <w:jc w:val="right"/>
            </w:pPr>
            <w:r>
              <w:t>16</w:t>
            </w:r>
          </w:p>
        </w:tc>
        <w:tc>
          <w:tcPr>
            <w:tcW w:w="1347" w:type="dxa"/>
            <w:noWrap/>
            <w:hideMark/>
          </w:tcPr>
          <w:p w14:paraId="10EDDE1E" w14:textId="79BA58C4" w:rsidR="00173063" w:rsidRPr="005E0E6E" w:rsidRDefault="00173063" w:rsidP="00C40167">
            <w:pPr>
              <w:spacing w:before="60" w:beforeAutospacing="0" w:after="60"/>
              <w:contextualSpacing w:val="0"/>
              <w:jc w:val="right"/>
            </w:pPr>
            <w:r>
              <w:t>16</w:t>
            </w:r>
          </w:p>
        </w:tc>
        <w:tc>
          <w:tcPr>
            <w:tcW w:w="1163" w:type="dxa"/>
            <w:noWrap/>
            <w:hideMark/>
          </w:tcPr>
          <w:p w14:paraId="106ED9E0" w14:textId="12100076" w:rsidR="00173063" w:rsidRPr="005E0E6E" w:rsidRDefault="00173063" w:rsidP="00C40167">
            <w:pPr>
              <w:spacing w:before="60" w:beforeAutospacing="0" w:after="60"/>
              <w:contextualSpacing w:val="0"/>
              <w:jc w:val="right"/>
            </w:pPr>
            <w:r>
              <w:t>+3</w:t>
            </w:r>
          </w:p>
        </w:tc>
        <w:tc>
          <w:tcPr>
            <w:tcW w:w="1164" w:type="dxa"/>
            <w:noWrap/>
            <w:hideMark/>
          </w:tcPr>
          <w:p w14:paraId="07A929F7" w14:textId="78DA7DA2" w:rsidR="00173063" w:rsidRPr="005E0E6E" w:rsidRDefault="00173063" w:rsidP="00C40167">
            <w:pPr>
              <w:spacing w:before="60" w:beforeAutospacing="0" w:after="60"/>
              <w:contextualSpacing w:val="0"/>
              <w:jc w:val="right"/>
            </w:pPr>
            <w:r>
              <w:t>+15</w:t>
            </w:r>
          </w:p>
        </w:tc>
      </w:tr>
      <w:tr w:rsidR="00173063" w:rsidRPr="00C14672" w14:paraId="0AF3CCC2" w14:textId="77777777" w:rsidTr="00C40167">
        <w:trPr>
          <w:trHeight w:val="315"/>
        </w:trPr>
        <w:tc>
          <w:tcPr>
            <w:tcW w:w="5093" w:type="dxa"/>
            <w:noWrap/>
            <w:vAlign w:val="bottom"/>
            <w:hideMark/>
          </w:tcPr>
          <w:p w14:paraId="5A78B987" w14:textId="755A966F" w:rsidR="00173063" w:rsidRPr="005211EB" w:rsidRDefault="00173063" w:rsidP="00173063">
            <w:pPr>
              <w:spacing w:before="60" w:beforeAutospacing="0" w:after="60"/>
              <w:contextualSpacing w:val="0"/>
            </w:pPr>
            <w:r>
              <w:t>Commissioner for Children and Young People</w:t>
            </w:r>
          </w:p>
        </w:tc>
        <w:tc>
          <w:tcPr>
            <w:tcW w:w="1347" w:type="dxa"/>
            <w:noWrap/>
            <w:hideMark/>
          </w:tcPr>
          <w:p w14:paraId="64726873" w14:textId="470B8C9B" w:rsidR="00173063" w:rsidRPr="004D2D10" w:rsidRDefault="00173063" w:rsidP="00C40167">
            <w:pPr>
              <w:spacing w:before="60" w:beforeAutospacing="0" w:after="60"/>
              <w:contextualSpacing w:val="0"/>
              <w:jc w:val="right"/>
            </w:pPr>
            <w:r>
              <w:t>16</w:t>
            </w:r>
          </w:p>
        </w:tc>
        <w:tc>
          <w:tcPr>
            <w:tcW w:w="1347" w:type="dxa"/>
            <w:noWrap/>
            <w:hideMark/>
          </w:tcPr>
          <w:p w14:paraId="141E0003" w14:textId="123FAE40" w:rsidR="00173063" w:rsidRPr="004D2D10" w:rsidRDefault="00173063" w:rsidP="00C40167">
            <w:pPr>
              <w:spacing w:before="60" w:beforeAutospacing="0" w:after="60"/>
              <w:contextualSpacing w:val="0"/>
              <w:jc w:val="right"/>
            </w:pPr>
            <w:r>
              <w:t>15</w:t>
            </w:r>
          </w:p>
        </w:tc>
        <w:tc>
          <w:tcPr>
            <w:tcW w:w="1163" w:type="dxa"/>
            <w:noWrap/>
            <w:hideMark/>
          </w:tcPr>
          <w:p w14:paraId="5DF32CB5" w14:textId="6BFDC25E" w:rsidR="00173063" w:rsidRPr="004D2D10" w:rsidRDefault="00173063" w:rsidP="00C40167">
            <w:pPr>
              <w:spacing w:before="60" w:beforeAutospacing="0" w:after="60"/>
              <w:contextualSpacing w:val="0"/>
              <w:jc w:val="right"/>
            </w:pPr>
            <w:r>
              <w:t>0</w:t>
            </w:r>
          </w:p>
        </w:tc>
        <w:tc>
          <w:tcPr>
            <w:tcW w:w="1164" w:type="dxa"/>
            <w:noWrap/>
            <w:hideMark/>
          </w:tcPr>
          <w:p w14:paraId="55070FBE" w14:textId="5793168D" w:rsidR="00173063" w:rsidRPr="004D2D10" w:rsidRDefault="00173063" w:rsidP="00C40167">
            <w:pPr>
              <w:spacing w:before="60" w:beforeAutospacing="0" w:after="60"/>
              <w:contextualSpacing w:val="0"/>
              <w:jc w:val="right"/>
            </w:pPr>
            <w:r>
              <w:t>+1</w:t>
            </w:r>
          </w:p>
        </w:tc>
      </w:tr>
      <w:tr w:rsidR="00173063" w:rsidRPr="00C14672" w14:paraId="71AAF909" w14:textId="77777777" w:rsidTr="00C40167">
        <w:trPr>
          <w:trHeight w:val="315"/>
        </w:trPr>
        <w:tc>
          <w:tcPr>
            <w:tcW w:w="5093" w:type="dxa"/>
            <w:noWrap/>
            <w:vAlign w:val="bottom"/>
            <w:hideMark/>
          </w:tcPr>
          <w:p w14:paraId="4602F50F" w14:textId="45D3D2E8" w:rsidR="00173063" w:rsidRPr="005211EB" w:rsidRDefault="00173063" w:rsidP="00173063">
            <w:pPr>
              <w:spacing w:before="60" w:beforeAutospacing="0" w:after="60"/>
              <w:contextualSpacing w:val="0"/>
            </w:pPr>
            <w:r>
              <w:t>Office of the Information Commissioner</w:t>
            </w:r>
          </w:p>
        </w:tc>
        <w:tc>
          <w:tcPr>
            <w:tcW w:w="1347" w:type="dxa"/>
            <w:noWrap/>
            <w:hideMark/>
          </w:tcPr>
          <w:p w14:paraId="7A801E55" w14:textId="6DD01A17" w:rsidR="00173063" w:rsidRPr="005E0E6E" w:rsidRDefault="00173063" w:rsidP="00C40167">
            <w:pPr>
              <w:spacing w:before="60" w:beforeAutospacing="0" w:after="60"/>
              <w:contextualSpacing w:val="0"/>
              <w:jc w:val="right"/>
            </w:pPr>
            <w:r>
              <w:t>13</w:t>
            </w:r>
          </w:p>
        </w:tc>
        <w:tc>
          <w:tcPr>
            <w:tcW w:w="1347" w:type="dxa"/>
            <w:noWrap/>
            <w:hideMark/>
          </w:tcPr>
          <w:p w14:paraId="20189393" w14:textId="200331B4" w:rsidR="00173063" w:rsidRPr="005E0E6E" w:rsidRDefault="00173063" w:rsidP="00C40167">
            <w:pPr>
              <w:spacing w:before="60" w:beforeAutospacing="0" w:after="60"/>
              <w:contextualSpacing w:val="0"/>
              <w:jc w:val="right"/>
            </w:pPr>
            <w:r>
              <w:t>12</w:t>
            </w:r>
          </w:p>
        </w:tc>
        <w:tc>
          <w:tcPr>
            <w:tcW w:w="1163" w:type="dxa"/>
            <w:noWrap/>
            <w:hideMark/>
          </w:tcPr>
          <w:p w14:paraId="69E22912" w14:textId="6955253D" w:rsidR="00173063" w:rsidRPr="005E0E6E" w:rsidRDefault="00173063" w:rsidP="00C40167">
            <w:pPr>
              <w:spacing w:before="60" w:beforeAutospacing="0" w:after="60"/>
              <w:contextualSpacing w:val="0"/>
              <w:jc w:val="right"/>
            </w:pPr>
            <w:r>
              <w:t>0</w:t>
            </w:r>
          </w:p>
        </w:tc>
        <w:tc>
          <w:tcPr>
            <w:tcW w:w="1164" w:type="dxa"/>
            <w:noWrap/>
            <w:hideMark/>
          </w:tcPr>
          <w:p w14:paraId="244E79FF" w14:textId="664FC677" w:rsidR="00173063" w:rsidRPr="005E0E6E" w:rsidRDefault="00173063" w:rsidP="00C40167">
            <w:pPr>
              <w:spacing w:before="60" w:beforeAutospacing="0" w:after="60"/>
              <w:contextualSpacing w:val="0"/>
              <w:jc w:val="right"/>
            </w:pPr>
            <w:r>
              <w:t>+2</w:t>
            </w:r>
          </w:p>
        </w:tc>
      </w:tr>
      <w:tr w:rsidR="00173063" w:rsidRPr="00C14672" w14:paraId="7AE71784" w14:textId="77777777" w:rsidTr="00C40167">
        <w:trPr>
          <w:trHeight w:val="315"/>
        </w:trPr>
        <w:tc>
          <w:tcPr>
            <w:tcW w:w="5093" w:type="dxa"/>
            <w:noWrap/>
            <w:vAlign w:val="bottom"/>
            <w:hideMark/>
          </w:tcPr>
          <w:p w14:paraId="4720C076" w14:textId="78D42F21" w:rsidR="00173063" w:rsidRPr="005211EB" w:rsidRDefault="00173063" w:rsidP="00173063">
            <w:pPr>
              <w:spacing w:before="60" w:beforeAutospacing="0" w:after="60"/>
              <w:contextualSpacing w:val="0"/>
            </w:pPr>
            <w:r>
              <w:t>Keep Australia Beautiful WA</w:t>
            </w:r>
          </w:p>
        </w:tc>
        <w:tc>
          <w:tcPr>
            <w:tcW w:w="1347" w:type="dxa"/>
            <w:noWrap/>
            <w:hideMark/>
          </w:tcPr>
          <w:p w14:paraId="4E8441D0" w14:textId="32356A83" w:rsidR="00173063" w:rsidRPr="005E0E6E" w:rsidRDefault="00173063" w:rsidP="00C40167">
            <w:pPr>
              <w:spacing w:before="60" w:beforeAutospacing="0" w:after="60"/>
              <w:contextualSpacing w:val="0"/>
              <w:jc w:val="right"/>
            </w:pPr>
            <w:r>
              <w:t>12</w:t>
            </w:r>
          </w:p>
        </w:tc>
        <w:tc>
          <w:tcPr>
            <w:tcW w:w="1347" w:type="dxa"/>
            <w:noWrap/>
            <w:hideMark/>
          </w:tcPr>
          <w:p w14:paraId="42DDA553" w14:textId="3883C076" w:rsidR="00173063" w:rsidRPr="005E0E6E" w:rsidRDefault="00173063" w:rsidP="00C40167">
            <w:pPr>
              <w:spacing w:before="60" w:beforeAutospacing="0" w:after="60"/>
              <w:contextualSpacing w:val="0"/>
              <w:jc w:val="right"/>
            </w:pPr>
            <w:r>
              <w:t>11</w:t>
            </w:r>
          </w:p>
        </w:tc>
        <w:tc>
          <w:tcPr>
            <w:tcW w:w="1163" w:type="dxa"/>
            <w:noWrap/>
            <w:hideMark/>
          </w:tcPr>
          <w:p w14:paraId="4C1C360C" w14:textId="62814F56" w:rsidR="00173063" w:rsidRPr="005E0E6E" w:rsidRDefault="00173063" w:rsidP="00C40167">
            <w:pPr>
              <w:spacing w:before="60" w:beforeAutospacing="0" w:after="60"/>
              <w:contextualSpacing w:val="0"/>
              <w:jc w:val="right"/>
            </w:pPr>
            <w:r>
              <w:t>+1</w:t>
            </w:r>
          </w:p>
        </w:tc>
        <w:tc>
          <w:tcPr>
            <w:tcW w:w="1164" w:type="dxa"/>
            <w:noWrap/>
            <w:hideMark/>
          </w:tcPr>
          <w:p w14:paraId="71523C7A" w14:textId="08D27EF4" w:rsidR="00173063" w:rsidRPr="005E0E6E" w:rsidRDefault="00173063" w:rsidP="00C40167">
            <w:pPr>
              <w:spacing w:before="60" w:beforeAutospacing="0" w:after="60"/>
              <w:contextualSpacing w:val="0"/>
              <w:jc w:val="right"/>
            </w:pPr>
            <w:r>
              <w:t>+2</w:t>
            </w:r>
          </w:p>
        </w:tc>
      </w:tr>
      <w:tr w:rsidR="00173063" w:rsidRPr="00C14672" w14:paraId="68F409C8" w14:textId="77777777" w:rsidTr="00C40167">
        <w:trPr>
          <w:trHeight w:val="315"/>
        </w:trPr>
        <w:tc>
          <w:tcPr>
            <w:tcW w:w="5093" w:type="dxa"/>
            <w:noWrap/>
            <w:vAlign w:val="bottom"/>
            <w:hideMark/>
          </w:tcPr>
          <w:p w14:paraId="0E7E2542" w14:textId="25119346" w:rsidR="00173063" w:rsidRPr="005211EB" w:rsidRDefault="00173063" w:rsidP="00173063">
            <w:pPr>
              <w:spacing w:before="60" w:beforeAutospacing="0" w:after="60"/>
              <w:contextualSpacing w:val="0"/>
            </w:pPr>
            <w:r>
              <w:t>Burswood Park Board</w:t>
            </w:r>
          </w:p>
        </w:tc>
        <w:tc>
          <w:tcPr>
            <w:tcW w:w="1347" w:type="dxa"/>
            <w:noWrap/>
            <w:hideMark/>
          </w:tcPr>
          <w:p w14:paraId="186803A9" w14:textId="2AC3AF42" w:rsidR="00173063" w:rsidRPr="005E0E6E" w:rsidRDefault="00173063" w:rsidP="00C40167">
            <w:pPr>
              <w:spacing w:before="60" w:beforeAutospacing="0" w:after="60"/>
              <w:contextualSpacing w:val="0"/>
              <w:jc w:val="right"/>
            </w:pPr>
            <w:r>
              <w:t>8</w:t>
            </w:r>
          </w:p>
        </w:tc>
        <w:tc>
          <w:tcPr>
            <w:tcW w:w="1347" w:type="dxa"/>
            <w:noWrap/>
            <w:hideMark/>
          </w:tcPr>
          <w:p w14:paraId="69612416" w14:textId="6BFB9A22" w:rsidR="00173063" w:rsidRPr="005E0E6E" w:rsidRDefault="00173063" w:rsidP="00C40167">
            <w:pPr>
              <w:spacing w:before="60" w:beforeAutospacing="0" w:after="60"/>
              <w:contextualSpacing w:val="0"/>
              <w:jc w:val="right"/>
            </w:pPr>
            <w:r>
              <w:t>6</w:t>
            </w:r>
          </w:p>
        </w:tc>
        <w:tc>
          <w:tcPr>
            <w:tcW w:w="1163" w:type="dxa"/>
            <w:noWrap/>
            <w:hideMark/>
          </w:tcPr>
          <w:p w14:paraId="4EB25AF3" w14:textId="0F82BB56" w:rsidR="00173063" w:rsidRPr="005E0E6E" w:rsidRDefault="00173063" w:rsidP="00C40167">
            <w:pPr>
              <w:spacing w:before="60" w:beforeAutospacing="0" w:after="60"/>
              <w:contextualSpacing w:val="0"/>
              <w:jc w:val="right"/>
            </w:pPr>
            <w:r>
              <w:t>+1</w:t>
            </w:r>
          </w:p>
        </w:tc>
        <w:tc>
          <w:tcPr>
            <w:tcW w:w="1164" w:type="dxa"/>
            <w:noWrap/>
            <w:hideMark/>
          </w:tcPr>
          <w:p w14:paraId="2B57F8E4" w14:textId="7765CA43" w:rsidR="00173063" w:rsidRPr="005E0E6E" w:rsidRDefault="00173063" w:rsidP="00C40167">
            <w:pPr>
              <w:spacing w:before="60" w:beforeAutospacing="0" w:after="60"/>
              <w:contextualSpacing w:val="0"/>
              <w:jc w:val="right"/>
            </w:pPr>
            <w:r>
              <w:t>+1</w:t>
            </w:r>
          </w:p>
        </w:tc>
      </w:tr>
      <w:tr w:rsidR="00173063" w:rsidRPr="00C14672" w14:paraId="46AAEE4D" w14:textId="77777777" w:rsidTr="00C40167">
        <w:trPr>
          <w:trHeight w:val="315"/>
        </w:trPr>
        <w:tc>
          <w:tcPr>
            <w:tcW w:w="5093" w:type="dxa"/>
            <w:noWrap/>
            <w:vAlign w:val="bottom"/>
            <w:hideMark/>
          </w:tcPr>
          <w:p w14:paraId="75283E61" w14:textId="76FBD9D5" w:rsidR="00173063" w:rsidRPr="005211EB" w:rsidRDefault="00173063" w:rsidP="00173063">
            <w:pPr>
              <w:spacing w:before="60" w:beforeAutospacing="0" w:after="60"/>
              <w:contextualSpacing w:val="0"/>
            </w:pPr>
            <w:r>
              <w:t>Veterinary Surgeons' Board</w:t>
            </w:r>
          </w:p>
        </w:tc>
        <w:tc>
          <w:tcPr>
            <w:tcW w:w="1347" w:type="dxa"/>
            <w:noWrap/>
            <w:hideMark/>
          </w:tcPr>
          <w:p w14:paraId="23EE11B1" w14:textId="65409D5B" w:rsidR="00173063" w:rsidRPr="005E0E6E" w:rsidRDefault="00173063" w:rsidP="00C40167">
            <w:pPr>
              <w:spacing w:before="60" w:beforeAutospacing="0" w:after="60"/>
              <w:contextualSpacing w:val="0"/>
              <w:jc w:val="right"/>
            </w:pPr>
            <w:r>
              <w:t>6</w:t>
            </w:r>
          </w:p>
        </w:tc>
        <w:tc>
          <w:tcPr>
            <w:tcW w:w="1347" w:type="dxa"/>
            <w:noWrap/>
            <w:hideMark/>
          </w:tcPr>
          <w:p w14:paraId="7F296FEA" w14:textId="3D6C8597" w:rsidR="00173063" w:rsidRPr="005E0E6E" w:rsidRDefault="00173063" w:rsidP="00C40167">
            <w:pPr>
              <w:spacing w:before="60" w:beforeAutospacing="0" w:after="60"/>
              <w:contextualSpacing w:val="0"/>
              <w:jc w:val="right"/>
            </w:pPr>
            <w:r>
              <w:t>5</w:t>
            </w:r>
          </w:p>
        </w:tc>
        <w:tc>
          <w:tcPr>
            <w:tcW w:w="1163" w:type="dxa"/>
            <w:noWrap/>
            <w:hideMark/>
          </w:tcPr>
          <w:p w14:paraId="73B7622F" w14:textId="5018EB7D" w:rsidR="00173063" w:rsidRPr="005E0E6E" w:rsidRDefault="00173063" w:rsidP="00C40167">
            <w:pPr>
              <w:spacing w:before="60" w:beforeAutospacing="0" w:after="60"/>
              <w:contextualSpacing w:val="0"/>
              <w:jc w:val="right"/>
            </w:pPr>
            <w:r>
              <w:t>+1</w:t>
            </w:r>
          </w:p>
        </w:tc>
        <w:tc>
          <w:tcPr>
            <w:tcW w:w="1164" w:type="dxa"/>
            <w:noWrap/>
            <w:hideMark/>
          </w:tcPr>
          <w:p w14:paraId="5D3EA0C8" w14:textId="44AE820F" w:rsidR="00173063" w:rsidRPr="005E0E6E" w:rsidRDefault="00173063" w:rsidP="00C40167">
            <w:pPr>
              <w:spacing w:before="60" w:beforeAutospacing="0" w:after="60"/>
              <w:contextualSpacing w:val="0"/>
              <w:jc w:val="right"/>
            </w:pPr>
            <w:r>
              <w:t>0</w:t>
            </w:r>
          </w:p>
        </w:tc>
      </w:tr>
      <w:tr w:rsidR="00173063" w:rsidRPr="00C14672" w14:paraId="3AFCDE00" w14:textId="77777777" w:rsidTr="00C40167">
        <w:trPr>
          <w:trHeight w:val="315"/>
        </w:trPr>
        <w:tc>
          <w:tcPr>
            <w:tcW w:w="5093" w:type="dxa"/>
            <w:noWrap/>
            <w:vAlign w:val="bottom"/>
            <w:hideMark/>
          </w:tcPr>
          <w:p w14:paraId="2684CB0D" w14:textId="6E1451E1" w:rsidR="00173063" w:rsidRPr="005211EB" w:rsidRDefault="00173063" w:rsidP="00173063">
            <w:pPr>
              <w:spacing w:before="60" w:beforeAutospacing="0" w:after="60"/>
              <w:contextualSpacing w:val="0"/>
            </w:pPr>
            <w:r>
              <w:t xml:space="preserve">Minerals Research Institute of Western </w:t>
            </w:r>
            <w:proofErr w:type="gramStart"/>
            <w:r>
              <w:t>Australia  (</w:t>
            </w:r>
            <w:proofErr w:type="gramEnd"/>
            <w:r>
              <w:t>MRIWA)</w:t>
            </w:r>
          </w:p>
        </w:tc>
        <w:tc>
          <w:tcPr>
            <w:tcW w:w="1347" w:type="dxa"/>
            <w:noWrap/>
            <w:hideMark/>
          </w:tcPr>
          <w:p w14:paraId="4F6E8BB6" w14:textId="46A10878" w:rsidR="00173063" w:rsidRPr="005E0E6E" w:rsidRDefault="00173063" w:rsidP="00C40167">
            <w:pPr>
              <w:spacing w:before="60" w:beforeAutospacing="0" w:after="60"/>
              <w:contextualSpacing w:val="0"/>
              <w:jc w:val="right"/>
            </w:pPr>
            <w:r>
              <w:t>5</w:t>
            </w:r>
          </w:p>
        </w:tc>
        <w:tc>
          <w:tcPr>
            <w:tcW w:w="1347" w:type="dxa"/>
            <w:noWrap/>
            <w:hideMark/>
          </w:tcPr>
          <w:p w14:paraId="5EF2A4B9" w14:textId="5AF51E16" w:rsidR="00173063" w:rsidRPr="005E0E6E" w:rsidRDefault="00173063" w:rsidP="00C40167">
            <w:pPr>
              <w:spacing w:before="60" w:beforeAutospacing="0" w:after="60"/>
              <w:contextualSpacing w:val="0"/>
              <w:jc w:val="right"/>
            </w:pPr>
            <w:r>
              <w:t>5</w:t>
            </w:r>
          </w:p>
        </w:tc>
        <w:tc>
          <w:tcPr>
            <w:tcW w:w="1163" w:type="dxa"/>
            <w:noWrap/>
            <w:hideMark/>
          </w:tcPr>
          <w:p w14:paraId="1DA644B8" w14:textId="1AF1873B" w:rsidR="00173063" w:rsidRPr="005E0E6E" w:rsidRDefault="00173063" w:rsidP="00C40167">
            <w:pPr>
              <w:spacing w:before="60" w:beforeAutospacing="0" w:after="60"/>
              <w:contextualSpacing w:val="0"/>
              <w:jc w:val="right"/>
            </w:pPr>
            <w:r>
              <w:t>0</w:t>
            </w:r>
          </w:p>
        </w:tc>
        <w:tc>
          <w:tcPr>
            <w:tcW w:w="1164" w:type="dxa"/>
            <w:noWrap/>
            <w:hideMark/>
          </w:tcPr>
          <w:p w14:paraId="0EA715D2" w14:textId="59C94F68" w:rsidR="00173063" w:rsidRPr="005E0E6E" w:rsidRDefault="00173063" w:rsidP="00C40167">
            <w:pPr>
              <w:spacing w:before="60" w:beforeAutospacing="0" w:after="60"/>
              <w:contextualSpacing w:val="0"/>
              <w:jc w:val="right"/>
            </w:pPr>
            <w:r>
              <w:t>0</w:t>
            </w:r>
          </w:p>
        </w:tc>
      </w:tr>
      <w:tr w:rsidR="00173063" w:rsidRPr="00C14672" w14:paraId="57E7BEB1" w14:textId="77777777" w:rsidTr="00C40167">
        <w:trPr>
          <w:trHeight w:val="315"/>
        </w:trPr>
        <w:tc>
          <w:tcPr>
            <w:tcW w:w="5093" w:type="dxa"/>
            <w:noWrap/>
            <w:vAlign w:val="bottom"/>
            <w:hideMark/>
          </w:tcPr>
          <w:p w14:paraId="11DD6F22" w14:textId="3B7D6922" w:rsidR="00173063" w:rsidRPr="005211EB" w:rsidRDefault="00173063" w:rsidP="00173063">
            <w:pPr>
              <w:spacing w:before="60" w:beforeAutospacing="0" w:after="60"/>
              <w:contextualSpacing w:val="0"/>
            </w:pPr>
            <w:r>
              <w:t>Architects Board of Western Australia</w:t>
            </w:r>
          </w:p>
        </w:tc>
        <w:tc>
          <w:tcPr>
            <w:tcW w:w="1347" w:type="dxa"/>
            <w:noWrap/>
            <w:hideMark/>
          </w:tcPr>
          <w:p w14:paraId="76FD299D" w14:textId="3DC3A180" w:rsidR="00173063" w:rsidRPr="005E0E6E" w:rsidRDefault="00173063" w:rsidP="00C40167">
            <w:pPr>
              <w:spacing w:before="60" w:beforeAutospacing="0" w:after="60"/>
              <w:contextualSpacing w:val="0"/>
              <w:jc w:val="right"/>
            </w:pPr>
            <w:r>
              <w:t>2</w:t>
            </w:r>
          </w:p>
        </w:tc>
        <w:tc>
          <w:tcPr>
            <w:tcW w:w="1347" w:type="dxa"/>
            <w:noWrap/>
            <w:hideMark/>
          </w:tcPr>
          <w:p w14:paraId="69326A10" w14:textId="3F9D2C39" w:rsidR="00173063" w:rsidRPr="005E0E6E" w:rsidRDefault="00173063" w:rsidP="00C40167">
            <w:pPr>
              <w:spacing w:before="60" w:beforeAutospacing="0" w:after="60"/>
              <w:contextualSpacing w:val="0"/>
              <w:jc w:val="right"/>
            </w:pPr>
            <w:r>
              <w:t>2</w:t>
            </w:r>
          </w:p>
        </w:tc>
        <w:tc>
          <w:tcPr>
            <w:tcW w:w="1163" w:type="dxa"/>
            <w:noWrap/>
            <w:hideMark/>
          </w:tcPr>
          <w:p w14:paraId="4E1BD5BB" w14:textId="6BE26C37" w:rsidR="00173063" w:rsidRPr="005E0E6E" w:rsidRDefault="00173063" w:rsidP="00C40167">
            <w:pPr>
              <w:spacing w:before="60" w:beforeAutospacing="0" w:after="60"/>
              <w:contextualSpacing w:val="0"/>
              <w:jc w:val="right"/>
            </w:pPr>
            <w:r>
              <w:t>0</w:t>
            </w:r>
          </w:p>
        </w:tc>
        <w:tc>
          <w:tcPr>
            <w:tcW w:w="1164" w:type="dxa"/>
            <w:noWrap/>
            <w:hideMark/>
          </w:tcPr>
          <w:p w14:paraId="1CE352AF" w14:textId="0785BCA9" w:rsidR="00173063" w:rsidRPr="005E0E6E" w:rsidRDefault="00173063" w:rsidP="00C40167">
            <w:pPr>
              <w:spacing w:before="60" w:beforeAutospacing="0" w:after="60"/>
              <w:contextualSpacing w:val="0"/>
              <w:jc w:val="right"/>
            </w:pPr>
            <w:r>
              <w:t>0</w:t>
            </w:r>
          </w:p>
        </w:tc>
      </w:tr>
      <w:tr w:rsidR="00173063" w:rsidRPr="00C14672" w14:paraId="0980587A" w14:textId="77777777" w:rsidTr="00C40167">
        <w:trPr>
          <w:trHeight w:val="315"/>
        </w:trPr>
        <w:tc>
          <w:tcPr>
            <w:tcW w:w="5093" w:type="dxa"/>
            <w:noWrap/>
            <w:vAlign w:val="bottom"/>
            <w:hideMark/>
          </w:tcPr>
          <w:p w14:paraId="708B7233" w14:textId="05641E8A" w:rsidR="00173063" w:rsidRPr="005211EB" w:rsidRDefault="00173063" w:rsidP="00173063">
            <w:pPr>
              <w:spacing w:before="60" w:beforeAutospacing="0" w:after="60"/>
              <w:contextualSpacing w:val="0"/>
            </w:pPr>
            <w:r>
              <w:t>Salaries and Allowances Tribunal</w:t>
            </w:r>
          </w:p>
        </w:tc>
        <w:tc>
          <w:tcPr>
            <w:tcW w:w="1347" w:type="dxa"/>
            <w:noWrap/>
            <w:hideMark/>
          </w:tcPr>
          <w:p w14:paraId="30A90FEE" w14:textId="73B0CEBA" w:rsidR="00173063" w:rsidRPr="005E0E6E" w:rsidRDefault="00173063" w:rsidP="00C40167">
            <w:pPr>
              <w:spacing w:before="60" w:beforeAutospacing="0" w:after="60"/>
              <w:contextualSpacing w:val="0"/>
              <w:jc w:val="right"/>
            </w:pPr>
            <w:r>
              <w:t>2</w:t>
            </w:r>
          </w:p>
        </w:tc>
        <w:tc>
          <w:tcPr>
            <w:tcW w:w="1347" w:type="dxa"/>
            <w:noWrap/>
            <w:hideMark/>
          </w:tcPr>
          <w:p w14:paraId="60D4EB9C" w14:textId="192AC882" w:rsidR="00173063" w:rsidRPr="005E0E6E" w:rsidRDefault="00173063" w:rsidP="00C40167">
            <w:pPr>
              <w:spacing w:before="60" w:beforeAutospacing="0" w:after="60"/>
              <w:contextualSpacing w:val="0"/>
              <w:jc w:val="right"/>
            </w:pPr>
            <w:r>
              <w:t>2</w:t>
            </w:r>
          </w:p>
        </w:tc>
        <w:tc>
          <w:tcPr>
            <w:tcW w:w="1163" w:type="dxa"/>
            <w:noWrap/>
            <w:hideMark/>
          </w:tcPr>
          <w:p w14:paraId="635FAAD1" w14:textId="4ED712F2" w:rsidR="00173063" w:rsidRPr="005E0E6E" w:rsidRDefault="00173063" w:rsidP="00C40167">
            <w:pPr>
              <w:spacing w:before="60" w:beforeAutospacing="0" w:after="60"/>
              <w:contextualSpacing w:val="0"/>
              <w:jc w:val="right"/>
            </w:pPr>
            <w:r>
              <w:t>0</w:t>
            </w:r>
          </w:p>
        </w:tc>
        <w:tc>
          <w:tcPr>
            <w:tcW w:w="1164" w:type="dxa"/>
            <w:noWrap/>
            <w:hideMark/>
          </w:tcPr>
          <w:p w14:paraId="68290A63" w14:textId="67059FC9" w:rsidR="00173063" w:rsidRPr="005E0E6E" w:rsidRDefault="00173063" w:rsidP="00C40167">
            <w:pPr>
              <w:spacing w:before="60" w:beforeAutospacing="0" w:after="60"/>
              <w:contextualSpacing w:val="0"/>
              <w:jc w:val="right"/>
            </w:pPr>
            <w:r>
              <w:t>0</w:t>
            </w:r>
          </w:p>
        </w:tc>
      </w:tr>
    </w:tbl>
    <w:p w14:paraId="460A601D" w14:textId="77777777" w:rsidR="0017783C" w:rsidRPr="0017783C" w:rsidRDefault="0017783C" w:rsidP="00607466">
      <w:pPr>
        <w:sectPr w:rsidR="0017783C" w:rsidRPr="0017783C" w:rsidSect="00EE6AB4">
          <w:footerReference w:type="default" r:id="rId12"/>
          <w:headerReference w:type="first" r:id="rId13"/>
          <w:footnotePr>
            <w:pos w:val="beneathText"/>
          </w:footnotePr>
          <w:type w:val="continuous"/>
          <w:pgSz w:w="11906" w:h="16838"/>
          <w:pgMar w:top="1440" w:right="1440" w:bottom="1440" w:left="1440" w:header="709" w:footer="709" w:gutter="0"/>
          <w:cols w:space="708"/>
          <w:docGrid w:linePitch="360"/>
        </w:sectPr>
      </w:pPr>
    </w:p>
    <w:p w14:paraId="109DD161" w14:textId="5A3C13B4" w:rsidR="00BC2116" w:rsidRPr="00C736B0" w:rsidRDefault="00BC2116" w:rsidP="00607466"/>
    <w:p w14:paraId="6A4CA3DC" w14:textId="77777777" w:rsidR="00DC38B1" w:rsidRDefault="00DC38B1" w:rsidP="00607466">
      <w:pPr>
        <w:pStyle w:val="Heading2"/>
        <w:sectPr w:rsidR="00DC38B1" w:rsidSect="00B72D78">
          <w:type w:val="continuous"/>
          <w:pgSz w:w="11906" w:h="16838"/>
          <w:pgMar w:top="1440" w:right="1440" w:bottom="1440" w:left="1440" w:header="708" w:footer="708" w:gutter="0"/>
          <w:cols w:space="708"/>
          <w:docGrid w:linePitch="360"/>
        </w:sectPr>
      </w:pPr>
    </w:p>
    <w:p w14:paraId="6DE1E2D0" w14:textId="7E75B29E" w:rsidR="006258A2" w:rsidRPr="00142732" w:rsidRDefault="00C66375" w:rsidP="00607466">
      <w:pPr>
        <w:pStyle w:val="Heading2"/>
      </w:pPr>
      <w:r>
        <w:lastRenderedPageBreak/>
        <w:t>Data quality statement</w:t>
      </w:r>
    </w:p>
    <w:p w14:paraId="3903A897" w14:textId="77777777" w:rsidR="00115034" w:rsidRDefault="00115034" w:rsidP="00115034">
      <w:r>
        <w:t xml:space="preserve">Information is based on an aggregate of agency supplied data, collected quarterly through the Human Resource Minimum Obligatory Information Requirement (HR MOIR). Data is supplied by agencies according to the guidelines set out in </w:t>
      </w:r>
      <w:r w:rsidRPr="000670C1">
        <w:rPr>
          <w:i/>
        </w:rPr>
        <w:t>HR MOIR Data Definitions 1.5.1</w:t>
      </w:r>
      <w:r>
        <w:t xml:space="preserve">. </w:t>
      </w:r>
    </w:p>
    <w:p w14:paraId="36E49AED" w14:textId="2CB461CD" w:rsidR="00C66375" w:rsidRDefault="00115034" w:rsidP="00607466">
      <w:r>
        <w:t xml:space="preserve">The information provided reflects the Commission’s holdings at the date of release. Workforce data is occasionally revised for quality, and corrections applied may result in figures being adjusted over time. </w:t>
      </w:r>
      <w:r w:rsidRPr="00115034">
        <w:t xml:space="preserve">This information relates only to Public Sector (Department, </w:t>
      </w:r>
      <w:proofErr w:type="gramStart"/>
      <w:r w:rsidRPr="00115034">
        <w:t>SES</w:t>
      </w:r>
      <w:proofErr w:type="gramEnd"/>
      <w:r w:rsidRPr="00115034">
        <w:t xml:space="preserve"> and non-SES agencies), and excludes sworn officers of the WA Police Force, public universities, local governments, government trading enterprises and other authorities.</w:t>
      </w:r>
    </w:p>
    <w:p w14:paraId="3AB7ADED" w14:textId="77777777" w:rsidR="00C66375" w:rsidRPr="00C66375" w:rsidRDefault="00C66375" w:rsidP="00607466">
      <w:r w:rsidRPr="00C66375">
        <w:t>All data is accurate as reported to us by contributing agencies.</w:t>
      </w:r>
    </w:p>
    <w:p w14:paraId="2515E35B" w14:textId="749C700E" w:rsidR="0001245B" w:rsidRDefault="00115034" w:rsidP="00607466">
      <w:r w:rsidRPr="00115034">
        <w:t>As some figures have been rounded, discrepancies may occur between sums of the component items and totals.</w:t>
      </w:r>
      <w:r>
        <w:t xml:space="preserve"> </w:t>
      </w:r>
      <w:r w:rsidR="0001245B" w:rsidRPr="0001245B">
        <w:t>Salaries expenditure</w:t>
      </w:r>
      <w:r w:rsidR="0001245B">
        <w:t xml:space="preserve"> data and information is provided by the Department of Treasury.</w:t>
      </w:r>
    </w:p>
    <w:p w14:paraId="2EE0B7FE" w14:textId="609B8F0D" w:rsidR="006258A2" w:rsidRPr="00142732" w:rsidRDefault="006258A2" w:rsidP="00607466">
      <w:pPr>
        <w:pStyle w:val="Heading2"/>
      </w:pPr>
      <w:r w:rsidRPr="00142732">
        <w:t>Contact</w:t>
      </w:r>
    </w:p>
    <w:p w14:paraId="7DFF4C75" w14:textId="705D7427" w:rsidR="006258A2" w:rsidRPr="00607466" w:rsidRDefault="006258A2" w:rsidP="00607466">
      <w:r w:rsidRPr="00607466">
        <w:t xml:space="preserve">All enquiries about the Public Sector Commission’s data should be directed to </w:t>
      </w:r>
      <w:hyperlink r:id="rId14" w:history="1">
        <w:r w:rsidRPr="00607466">
          <w:t>stateadministrator@psc.wa.gov.au</w:t>
        </w:r>
      </w:hyperlink>
      <w:r w:rsidRPr="00607466">
        <w:t xml:space="preserve">. </w:t>
      </w:r>
    </w:p>
    <w:p w14:paraId="5F7095F4" w14:textId="7D359FEF" w:rsidR="00C736B0" w:rsidRDefault="00C736B0" w:rsidP="00607466"/>
    <w:p w14:paraId="0D457C0E" w14:textId="3DB4CBAD" w:rsidR="00C736B0" w:rsidRDefault="00C736B0" w:rsidP="00607466"/>
    <w:p w14:paraId="5BF6743A" w14:textId="77777777" w:rsidR="00C736B0" w:rsidRPr="00142732" w:rsidRDefault="00C736B0" w:rsidP="00607466"/>
    <w:sectPr w:rsidR="00C736B0" w:rsidRPr="00142732" w:rsidSect="00DC3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410C" w14:textId="77777777" w:rsidR="00E5580E" w:rsidRDefault="00E5580E" w:rsidP="00607466">
      <w:r>
        <w:separator/>
      </w:r>
    </w:p>
  </w:endnote>
  <w:endnote w:type="continuationSeparator" w:id="0">
    <w:p w14:paraId="6889DF07" w14:textId="77777777" w:rsidR="00E5580E" w:rsidRDefault="00E5580E" w:rsidP="00607466">
      <w:r>
        <w:continuationSeparator/>
      </w:r>
    </w:p>
  </w:endnote>
  <w:endnote w:id="1">
    <w:p w14:paraId="6E152A66" w14:textId="762279B2" w:rsidR="00517FE7" w:rsidRDefault="00517FE7">
      <w:pPr>
        <w:pStyle w:val="EndnoteText"/>
      </w:pPr>
      <w:r>
        <w:rPr>
          <w:rStyle w:val="EndnoteReference"/>
        </w:rPr>
        <w:endnoteRef/>
      </w:r>
      <w:r>
        <w:t xml:space="preserve"> As of 1 December, staff of the Equal Opportunity Commission (EOC) were transitioned to the Department of Justice (except for the Commissioner)</w:t>
      </w:r>
      <w:r w:rsidRPr="00E47372">
        <w:rPr>
          <w:shd w:val="clear" w:color="auto" w:fill="FFFFFF" w:themeFill="background1"/>
        </w:rPr>
        <w:t xml:space="preserve">. For the purposes of this report, the </w:t>
      </w:r>
      <w:r>
        <w:rPr>
          <w:shd w:val="clear" w:color="auto" w:fill="FFFFFF" w:themeFill="background1"/>
        </w:rPr>
        <w:t>Commissioner is</w:t>
      </w:r>
      <w:r w:rsidRPr="00E47372">
        <w:rPr>
          <w:shd w:val="clear" w:color="auto" w:fill="FFFFFF" w:themeFill="background1"/>
        </w:rPr>
        <w:t xml:space="preserve"> included in the Department</w:t>
      </w:r>
      <w:r w:rsidDel="00AE5150">
        <w:t xml:space="preserve"> </w:t>
      </w:r>
      <w:r>
        <w:t>of Justice.</w:t>
      </w:r>
    </w:p>
  </w:endnote>
  <w:endnote w:id="2">
    <w:p w14:paraId="3DB9EB84" w14:textId="3F14334D" w:rsidR="00517FE7" w:rsidRPr="00E47372" w:rsidRDefault="00517FE7" w:rsidP="00607466">
      <w:pPr>
        <w:pStyle w:val="EndnoteText"/>
        <w:spacing w:before="0" w:beforeAutospacing="0"/>
      </w:pPr>
      <w:r w:rsidRPr="00E47372">
        <w:rPr>
          <w:rStyle w:val="EndnoteReference"/>
          <w:sz w:val="19"/>
          <w:szCs w:val="19"/>
        </w:rPr>
        <w:endnoteRef/>
      </w:r>
      <w:r w:rsidRPr="00E47372">
        <w:t xml:space="preserve"> </w:t>
      </w:r>
      <w:r w:rsidR="001D5DEC">
        <w:t>Staffing numbers for t</w:t>
      </w:r>
      <w:r w:rsidRPr="00E47372">
        <w:rPr>
          <w:shd w:val="clear" w:color="auto" w:fill="FFFFFF" w:themeFill="background1"/>
        </w:rPr>
        <w:t xml:space="preserve">he Department of Communities </w:t>
      </w:r>
      <w:r w:rsidR="001D5DEC">
        <w:rPr>
          <w:shd w:val="clear" w:color="auto" w:fill="FFFFFF" w:themeFill="background1"/>
        </w:rPr>
        <w:t xml:space="preserve">includes </w:t>
      </w:r>
      <w:r w:rsidRPr="00E47372">
        <w:rPr>
          <w:shd w:val="clear" w:color="auto" w:fill="FFFFFF" w:themeFill="background1"/>
        </w:rPr>
        <w:t>the Disability Serv</w:t>
      </w:r>
      <w:r>
        <w:rPr>
          <w:shd w:val="clear" w:color="auto" w:fill="FFFFFF" w:themeFill="background1"/>
        </w:rPr>
        <w:t xml:space="preserve">ices Commission </w:t>
      </w:r>
      <w:r w:rsidRPr="00E47372">
        <w:rPr>
          <w:shd w:val="clear" w:color="auto" w:fill="FFFFFF" w:themeFill="background1"/>
        </w:rPr>
        <w:t>and Housing Authority</w:t>
      </w:r>
      <w:r w:rsidR="001D5DEC">
        <w:rPr>
          <w:shd w:val="clear" w:color="auto" w:fill="FFFFFF" w:themeFill="background1"/>
        </w:rPr>
        <w:t>.</w:t>
      </w:r>
    </w:p>
  </w:endnote>
  <w:endnote w:id="3">
    <w:p w14:paraId="32B7F84A" w14:textId="7E16F66E" w:rsidR="00517FE7" w:rsidRPr="00E47372" w:rsidRDefault="00517FE7" w:rsidP="00607466">
      <w:pPr>
        <w:pStyle w:val="EndnoteText"/>
        <w:spacing w:before="0" w:beforeAutospacing="0"/>
      </w:pPr>
      <w:r w:rsidRPr="00E47372">
        <w:rPr>
          <w:rStyle w:val="EndnoteReference"/>
          <w:sz w:val="19"/>
          <w:szCs w:val="19"/>
        </w:rPr>
        <w:endnoteRef/>
      </w:r>
      <w:r w:rsidRPr="00E47372">
        <w:t xml:space="preserve"> </w:t>
      </w:r>
      <w:r w:rsidRPr="00E47372">
        <w:rPr>
          <w:shd w:val="clear" w:color="auto" w:fill="FFFFFF" w:themeFill="background1"/>
        </w:rPr>
        <w:t xml:space="preserve">Sworn officers are employed by the Police Force (a non-public sector entity as defined in the </w:t>
      </w:r>
      <w:r w:rsidRPr="00DC38B1">
        <w:rPr>
          <w:i/>
          <w:shd w:val="clear" w:color="auto" w:fill="FFFFFF" w:themeFill="background1"/>
        </w:rPr>
        <w:t>Public Sector Management Act 1994</w:t>
      </w:r>
      <w:r w:rsidRPr="00E47372">
        <w:rPr>
          <w:shd w:val="clear" w:color="auto" w:fill="FFFFFF" w:themeFill="background1"/>
        </w:rPr>
        <w:t>), separate from the Police Service.</w:t>
      </w:r>
    </w:p>
  </w:endnote>
  <w:endnote w:id="4">
    <w:p w14:paraId="518B7953" w14:textId="429CD8FF" w:rsidR="00517FE7" w:rsidRPr="00E47372" w:rsidRDefault="00517FE7" w:rsidP="00607466">
      <w:pPr>
        <w:pStyle w:val="EndnoteText"/>
        <w:spacing w:before="0" w:beforeAutospacing="0"/>
      </w:pPr>
      <w:r w:rsidRPr="00E47372">
        <w:rPr>
          <w:rStyle w:val="EndnoteReference"/>
          <w:shd w:val="clear" w:color="auto" w:fill="FFFFFF" w:themeFill="background1"/>
        </w:rPr>
        <w:endnoteRef/>
      </w:r>
      <w:r w:rsidRPr="00E47372">
        <w:rPr>
          <w:shd w:val="clear" w:color="auto" w:fill="FFFFFF" w:themeFill="background1"/>
        </w:rPr>
        <w:t xml:space="preserve"> </w:t>
      </w:r>
      <w:r w:rsidR="001D5DEC">
        <w:t>Staffing numbers for t</w:t>
      </w:r>
      <w:r w:rsidR="001D5DEC" w:rsidRPr="00E47372">
        <w:rPr>
          <w:shd w:val="clear" w:color="auto" w:fill="FFFFFF" w:themeFill="background1"/>
        </w:rPr>
        <w:t xml:space="preserve">he </w:t>
      </w:r>
      <w:r w:rsidRPr="00E47372">
        <w:rPr>
          <w:shd w:val="clear" w:color="auto" w:fill="FFFFFF" w:themeFill="background1"/>
        </w:rPr>
        <w:t>Department of Biodiversity, Conservation and Attractions includes the Botanic Gardens and</w:t>
      </w:r>
      <w:r>
        <w:rPr>
          <w:shd w:val="clear" w:color="auto" w:fill="FFFFFF" w:themeFill="background1"/>
        </w:rPr>
        <w:t xml:space="preserve"> Parks Authority</w:t>
      </w:r>
      <w:r w:rsidRPr="00E47372">
        <w:rPr>
          <w:shd w:val="clear" w:color="auto" w:fill="FFFFFF" w:themeFill="background1"/>
        </w:rPr>
        <w:t xml:space="preserve">, Rottnest </w:t>
      </w:r>
      <w:r>
        <w:rPr>
          <w:shd w:val="clear" w:color="auto" w:fill="FFFFFF" w:themeFill="background1"/>
        </w:rPr>
        <w:t>Island Authority</w:t>
      </w:r>
      <w:r w:rsidRPr="00E47372">
        <w:rPr>
          <w:shd w:val="clear" w:color="auto" w:fill="FFFFFF" w:themeFill="background1"/>
        </w:rPr>
        <w:t>, and Zoological Parks Authority</w:t>
      </w:r>
      <w:r w:rsidR="001D5DEC">
        <w:rPr>
          <w:shd w:val="clear" w:color="auto" w:fill="FFFFFF" w:themeFill="background1"/>
        </w:rPr>
        <w:t>.</w:t>
      </w:r>
    </w:p>
  </w:endnote>
  <w:endnote w:id="5">
    <w:p w14:paraId="321E4820" w14:textId="58F0E38D" w:rsidR="00517FE7" w:rsidRPr="00E47372" w:rsidRDefault="00517FE7" w:rsidP="00607466">
      <w:pPr>
        <w:pStyle w:val="EndnoteText"/>
        <w:spacing w:before="0" w:beforeAutospacing="0"/>
      </w:pPr>
      <w:r w:rsidRPr="00E47372">
        <w:rPr>
          <w:rStyle w:val="EndnoteReference"/>
          <w:shd w:val="clear" w:color="auto" w:fill="FFFFFF" w:themeFill="background1"/>
        </w:rPr>
        <w:endnoteRef/>
      </w:r>
      <w:r w:rsidRPr="00E47372">
        <w:rPr>
          <w:shd w:val="clear" w:color="auto" w:fill="FFFFFF" w:themeFill="background1"/>
        </w:rPr>
        <w:t xml:space="preserve"> </w:t>
      </w:r>
      <w:r w:rsidR="001D5DEC">
        <w:t>Staffing numbers for t</w:t>
      </w:r>
      <w:r w:rsidR="001D5DEC" w:rsidRPr="00E47372">
        <w:rPr>
          <w:shd w:val="clear" w:color="auto" w:fill="FFFFFF" w:themeFill="background1"/>
        </w:rPr>
        <w:t xml:space="preserve">he </w:t>
      </w:r>
      <w:r w:rsidRPr="00E47372">
        <w:rPr>
          <w:shd w:val="clear" w:color="auto" w:fill="FFFFFF" w:themeFill="background1"/>
        </w:rPr>
        <w:t>Department of Primary Industries and Regional Development,</w:t>
      </w:r>
      <w:r w:rsidR="001D5DEC">
        <w:rPr>
          <w:shd w:val="clear" w:color="auto" w:fill="FFFFFF" w:themeFill="background1"/>
        </w:rPr>
        <w:t xml:space="preserve"> includes</w:t>
      </w:r>
      <w:r w:rsidRPr="00E47372">
        <w:rPr>
          <w:shd w:val="clear" w:color="auto" w:fill="FFFFFF" w:themeFill="background1"/>
        </w:rPr>
        <w:t xml:space="preserve"> </w:t>
      </w:r>
      <w:r w:rsidR="001D5DEC">
        <w:rPr>
          <w:shd w:val="clear" w:color="auto" w:fill="FFFFFF" w:themeFill="background1"/>
        </w:rPr>
        <w:t>the nine regional development commissions.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A693" w14:textId="77777777" w:rsidR="00517FE7" w:rsidRPr="00DD61C1" w:rsidRDefault="00517FE7" w:rsidP="00DD61C1">
    <w:pPr>
      <w:spacing w:before="0" w:beforeAutospacing="0" w:after="120"/>
      <w:rPr>
        <w:rFonts w:eastAsiaTheme="minorHAnsi"/>
        <w:color w:val="auto"/>
        <w:szCs w:val="24"/>
        <w:lang w:eastAsia="en-US"/>
      </w:rPr>
    </w:pPr>
    <w:r w:rsidRPr="00DD61C1">
      <w:rPr>
        <w:rFonts w:ascii="Century Gothic" w:eastAsiaTheme="minorHAnsi" w:hAnsi="Century Gothic"/>
        <w:noProof/>
        <w:color w:val="auto"/>
        <w:sz w:val="18"/>
        <w:szCs w:val="24"/>
      </w:rPr>
      <mc:AlternateContent>
        <mc:Choice Requires="wps">
          <w:drawing>
            <wp:anchor distT="0" distB="0" distL="114300" distR="114300" simplePos="0" relativeHeight="251663360" behindDoc="0" locked="0" layoutInCell="1" allowOverlap="1" wp14:anchorId="2C8ADC5F" wp14:editId="2C6362A7">
              <wp:simplePos x="0" y="0"/>
              <wp:positionH relativeFrom="margin">
                <wp:posOffset>-21265</wp:posOffset>
              </wp:positionH>
              <wp:positionV relativeFrom="paragraph">
                <wp:posOffset>130411</wp:posOffset>
              </wp:positionV>
              <wp:extent cx="5736708" cy="0"/>
              <wp:effectExtent l="0" t="0" r="35560" b="19050"/>
              <wp:wrapNone/>
              <wp:docPr id="72" name="Straight Connector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36708" cy="0"/>
                      </a:xfrm>
                      <a:prstGeom prst="line">
                        <a:avLst/>
                      </a:prstGeom>
                      <a:noFill/>
                      <a:ln w="12700" cap="flat" cmpd="sng" algn="ctr">
                        <a:solidFill>
                          <a:srgbClr val="2B9947"/>
                        </a:solidFill>
                        <a:prstDash val="solid"/>
                        <a:miter lim="800000"/>
                      </a:ln>
                      <a:effectLst/>
                    </wps:spPr>
                    <wps:bodyPr/>
                  </wps:wsp>
                </a:graphicData>
              </a:graphic>
              <wp14:sizeRelH relativeFrom="margin">
                <wp14:pctWidth>0</wp14:pctWidth>
              </wp14:sizeRelH>
            </wp:anchor>
          </w:drawing>
        </mc:Choice>
        <mc:Fallback>
          <w:pict>
            <v:line w14:anchorId="7D225202" id="Straight Connector 72" o:spid="_x0000_s1026" alt="&quot;&quot;"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10.25pt" to="450.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" strokecolor="#2b9947" strokeweight="1pt">
              <v:stroke joinstyle="miter"/>
              <w10:wrap anchorx="margin"/>
            </v:line>
          </w:pict>
        </mc:Fallback>
      </mc:AlternateContent>
    </w:r>
  </w:p>
  <w:p w14:paraId="5F2705AA" w14:textId="4CFEC038" w:rsidR="00517FE7" w:rsidRPr="00DD61C1" w:rsidRDefault="00517FE7" w:rsidP="00DD61C1">
    <w:pPr>
      <w:tabs>
        <w:tab w:val="right" w:pos="9026"/>
      </w:tabs>
      <w:spacing w:before="0" w:beforeAutospacing="0" w:after="0"/>
      <w:rPr>
        <w:rFonts w:ascii="Century Gothic" w:eastAsiaTheme="minorHAnsi" w:hAnsi="Century Gothic"/>
        <w:color w:val="auto"/>
        <w:sz w:val="18"/>
        <w:szCs w:val="24"/>
        <w:lang w:eastAsia="en-US"/>
      </w:rPr>
    </w:pPr>
    <w:r>
      <w:rPr>
        <w:rFonts w:ascii="Century Gothic" w:eastAsiaTheme="minorHAnsi" w:hAnsi="Century Gothic"/>
        <w:color w:val="auto"/>
        <w:sz w:val="18"/>
        <w:szCs w:val="24"/>
        <w:lang w:eastAsia="en-US"/>
      </w:rPr>
      <w:t>Public Sector Quarterly Workforce Report</w:t>
    </w:r>
    <w:r w:rsidRPr="00DD61C1">
      <w:rPr>
        <w:rFonts w:ascii="Century Gothic" w:eastAsiaTheme="minorHAnsi" w:hAnsi="Century Gothic"/>
        <w:color w:val="auto"/>
        <w:sz w:val="18"/>
        <w:szCs w:val="24"/>
        <w:lang w:eastAsia="en-US"/>
      </w:rPr>
      <w:t xml:space="preserve"> – </w:t>
    </w:r>
    <w:r>
      <w:rPr>
        <w:rFonts w:ascii="Century Gothic" w:eastAsiaTheme="minorHAnsi" w:hAnsi="Century Gothic"/>
        <w:color w:val="auto"/>
        <w:sz w:val="18"/>
        <w:szCs w:val="24"/>
        <w:lang w:eastAsia="en-US"/>
      </w:rPr>
      <w:t>Dec</w:t>
    </w:r>
    <w:r w:rsidRPr="00DD61C1">
      <w:rPr>
        <w:rFonts w:ascii="Century Gothic" w:eastAsiaTheme="minorHAnsi" w:hAnsi="Century Gothic"/>
        <w:color w:val="auto"/>
        <w:sz w:val="18"/>
        <w:szCs w:val="24"/>
        <w:lang w:eastAsia="en-US"/>
      </w:rPr>
      <w:t>ember 2020</w:t>
    </w:r>
    <w:sdt>
      <w:sdtPr>
        <w:rPr>
          <w:rFonts w:ascii="Century Gothic" w:eastAsiaTheme="minorHAnsi" w:hAnsi="Century Gothic" w:cs="Calibri Light"/>
          <w:color w:val="auto"/>
          <w:sz w:val="18"/>
          <w:szCs w:val="24"/>
          <w:lang w:eastAsia="en-US"/>
        </w:rPr>
        <w:id w:val="1279605289"/>
        <w:docPartObj>
          <w:docPartGallery w:val="Page Numbers (Bottom of Page)"/>
          <w:docPartUnique/>
        </w:docPartObj>
      </w:sdtPr>
      <w:sdtEndPr>
        <w:rPr>
          <w:rFonts w:cs="Arial"/>
          <w:noProof/>
        </w:rPr>
      </w:sdtEndPr>
      <w:sdtContent>
        <w:r w:rsidRPr="00DD61C1">
          <w:rPr>
            <w:rFonts w:ascii="Century Gothic" w:eastAsiaTheme="minorHAnsi" w:hAnsi="Century Gothic" w:cs="Calibri Light"/>
            <w:color w:val="auto"/>
            <w:sz w:val="18"/>
            <w:szCs w:val="24"/>
            <w:lang w:eastAsia="en-US"/>
          </w:rPr>
          <w:tab/>
        </w:r>
        <w:r w:rsidRPr="00DD61C1">
          <w:rPr>
            <w:rFonts w:ascii="Century Gothic" w:eastAsiaTheme="minorHAnsi" w:hAnsi="Century Gothic"/>
            <w:color w:val="auto"/>
            <w:sz w:val="18"/>
            <w:szCs w:val="24"/>
            <w:lang w:eastAsia="en-US"/>
          </w:rPr>
          <w:fldChar w:fldCharType="begin"/>
        </w:r>
        <w:r w:rsidRPr="00DD61C1">
          <w:rPr>
            <w:rFonts w:ascii="Century Gothic" w:eastAsiaTheme="minorHAnsi" w:hAnsi="Century Gothic"/>
            <w:color w:val="auto"/>
            <w:sz w:val="18"/>
            <w:szCs w:val="24"/>
            <w:lang w:eastAsia="en-US"/>
          </w:rPr>
          <w:instrText xml:space="preserve"> PAGE   \* MERGEFORMAT </w:instrText>
        </w:r>
        <w:r w:rsidRPr="00DD61C1">
          <w:rPr>
            <w:rFonts w:ascii="Century Gothic" w:eastAsiaTheme="minorHAnsi" w:hAnsi="Century Gothic"/>
            <w:color w:val="auto"/>
            <w:sz w:val="18"/>
            <w:szCs w:val="24"/>
            <w:lang w:eastAsia="en-US"/>
          </w:rPr>
          <w:fldChar w:fldCharType="separate"/>
        </w:r>
        <w:r w:rsidR="001D2D48">
          <w:rPr>
            <w:rFonts w:ascii="Century Gothic" w:eastAsiaTheme="minorHAnsi" w:hAnsi="Century Gothic"/>
            <w:noProof/>
            <w:color w:val="auto"/>
            <w:sz w:val="18"/>
            <w:szCs w:val="24"/>
            <w:lang w:eastAsia="en-US"/>
          </w:rPr>
          <w:t>1</w:t>
        </w:r>
        <w:r w:rsidRPr="00DD61C1">
          <w:rPr>
            <w:rFonts w:ascii="Century Gothic" w:eastAsiaTheme="minorHAnsi" w:hAnsi="Century Gothic"/>
            <w:noProof/>
            <w:color w:val="auto"/>
            <w:sz w:val="18"/>
            <w:szCs w:val="24"/>
            <w:lang w:eastAsia="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751E" w14:textId="77777777" w:rsidR="00E5580E" w:rsidRDefault="00E5580E" w:rsidP="00607466">
      <w:r>
        <w:separator/>
      </w:r>
    </w:p>
  </w:footnote>
  <w:footnote w:type="continuationSeparator" w:id="0">
    <w:p w14:paraId="70C63CC0" w14:textId="77777777" w:rsidR="00E5580E" w:rsidRDefault="00E5580E" w:rsidP="0060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9A9" w14:textId="28603EC0" w:rsidR="00517FE7" w:rsidRDefault="00517FE7" w:rsidP="00607466">
    <w:pPr>
      <w:pStyle w:val="Header"/>
    </w:pPr>
    <w:r>
      <w:rPr>
        <w:noProof/>
      </w:rPr>
      <w:drawing>
        <wp:anchor distT="0" distB="0" distL="114300" distR="114300" simplePos="0" relativeHeight="251661312" behindDoc="0" locked="0" layoutInCell="1" allowOverlap="1" wp14:anchorId="0F540C57" wp14:editId="69EA13EB">
          <wp:simplePos x="0" y="0"/>
          <wp:positionH relativeFrom="page">
            <wp:posOffset>15240</wp:posOffset>
          </wp:positionH>
          <wp:positionV relativeFrom="paragraph">
            <wp:posOffset>-457835</wp:posOffset>
          </wp:positionV>
          <wp:extent cx="7548785" cy="10026502"/>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6097"/>
                  <a:stretch/>
                </pic:blipFill>
                <pic:spPr bwMode="auto">
                  <a:xfrm>
                    <a:off x="0" y="0"/>
                    <a:ext cx="7548785" cy="100265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572AA"/>
    <w:multiLevelType w:val="hybridMultilevel"/>
    <w:tmpl w:val="146E4656"/>
    <w:lvl w:ilvl="0" w:tplc="B290C11E">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CC2ED9"/>
    <w:multiLevelType w:val="hybridMultilevel"/>
    <w:tmpl w:val="0438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73B37"/>
    <w:multiLevelType w:val="hybridMultilevel"/>
    <w:tmpl w:val="E78CA0B2"/>
    <w:lvl w:ilvl="0" w:tplc="53CE5910">
      <w:start w:val="1"/>
      <w:numFmt w:val="bullet"/>
      <w:lvlText w:val="•"/>
      <w:lvlJc w:val="left"/>
      <w:pPr>
        <w:tabs>
          <w:tab w:val="num" w:pos="720"/>
        </w:tabs>
        <w:ind w:left="720" w:hanging="360"/>
      </w:pPr>
      <w:rPr>
        <w:rFonts w:ascii="Arial" w:hAnsi="Arial" w:hint="default"/>
      </w:rPr>
    </w:lvl>
    <w:lvl w:ilvl="1" w:tplc="3A6CB686" w:tentative="1">
      <w:start w:val="1"/>
      <w:numFmt w:val="bullet"/>
      <w:lvlText w:val="•"/>
      <w:lvlJc w:val="left"/>
      <w:pPr>
        <w:tabs>
          <w:tab w:val="num" w:pos="1440"/>
        </w:tabs>
        <w:ind w:left="1440" w:hanging="360"/>
      </w:pPr>
      <w:rPr>
        <w:rFonts w:ascii="Arial" w:hAnsi="Arial" w:hint="default"/>
      </w:rPr>
    </w:lvl>
    <w:lvl w:ilvl="2" w:tplc="A642DB82" w:tentative="1">
      <w:start w:val="1"/>
      <w:numFmt w:val="bullet"/>
      <w:lvlText w:val="•"/>
      <w:lvlJc w:val="left"/>
      <w:pPr>
        <w:tabs>
          <w:tab w:val="num" w:pos="2160"/>
        </w:tabs>
        <w:ind w:left="2160" w:hanging="360"/>
      </w:pPr>
      <w:rPr>
        <w:rFonts w:ascii="Arial" w:hAnsi="Arial" w:hint="default"/>
      </w:rPr>
    </w:lvl>
    <w:lvl w:ilvl="3" w:tplc="AC6A05CE" w:tentative="1">
      <w:start w:val="1"/>
      <w:numFmt w:val="bullet"/>
      <w:lvlText w:val="•"/>
      <w:lvlJc w:val="left"/>
      <w:pPr>
        <w:tabs>
          <w:tab w:val="num" w:pos="2880"/>
        </w:tabs>
        <w:ind w:left="2880" w:hanging="360"/>
      </w:pPr>
      <w:rPr>
        <w:rFonts w:ascii="Arial" w:hAnsi="Arial" w:hint="default"/>
      </w:rPr>
    </w:lvl>
    <w:lvl w:ilvl="4" w:tplc="2CA2A52A" w:tentative="1">
      <w:start w:val="1"/>
      <w:numFmt w:val="bullet"/>
      <w:lvlText w:val="•"/>
      <w:lvlJc w:val="left"/>
      <w:pPr>
        <w:tabs>
          <w:tab w:val="num" w:pos="3600"/>
        </w:tabs>
        <w:ind w:left="3600" w:hanging="360"/>
      </w:pPr>
      <w:rPr>
        <w:rFonts w:ascii="Arial" w:hAnsi="Arial" w:hint="default"/>
      </w:rPr>
    </w:lvl>
    <w:lvl w:ilvl="5" w:tplc="CF4E8900" w:tentative="1">
      <w:start w:val="1"/>
      <w:numFmt w:val="bullet"/>
      <w:lvlText w:val="•"/>
      <w:lvlJc w:val="left"/>
      <w:pPr>
        <w:tabs>
          <w:tab w:val="num" w:pos="4320"/>
        </w:tabs>
        <w:ind w:left="4320" w:hanging="360"/>
      </w:pPr>
      <w:rPr>
        <w:rFonts w:ascii="Arial" w:hAnsi="Arial" w:hint="default"/>
      </w:rPr>
    </w:lvl>
    <w:lvl w:ilvl="6" w:tplc="695441CA" w:tentative="1">
      <w:start w:val="1"/>
      <w:numFmt w:val="bullet"/>
      <w:lvlText w:val="•"/>
      <w:lvlJc w:val="left"/>
      <w:pPr>
        <w:tabs>
          <w:tab w:val="num" w:pos="5040"/>
        </w:tabs>
        <w:ind w:left="5040" w:hanging="360"/>
      </w:pPr>
      <w:rPr>
        <w:rFonts w:ascii="Arial" w:hAnsi="Arial" w:hint="default"/>
      </w:rPr>
    </w:lvl>
    <w:lvl w:ilvl="7" w:tplc="648A6742" w:tentative="1">
      <w:start w:val="1"/>
      <w:numFmt w:val="bullet"/>
      <w:lvlText w:val="•"/>
      <w:lvlJc w:val="left"/>
      <w:pPr>
        <w:tabs>
          <w:tab w:val="num" w:pos="5760"/>
        </w:tabs>
        <w:ind w:left="5760" w:hanging="360"/>
      </w:pPr>
      <w:rPr>
        <w:rFonts w:ascii="Arial" w:hAnsi="Arial" w:hint="default"/>
      </w:rPr>
    </w:lvl>
    <w:lvl w:ilvl="8" w:tplc="D11010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341C27"/>
    <w:multiLevelType w:val="hybridMultilevel"/>
    <w:tmpl w:val="505AD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1089A"/>
    <w:multiLevelType w:val="hybridMultilevel"/>
    <w:tmpl w:val="6A6A0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412EF9"/>
    <w:multiLevelType w:val="hybridMultilevel"/>
    <w:tmpl w:val="7E7602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28A0B79"/>
    <w:multiLevelType w:val="hybridMultilevel"/>
    <w:tmpl w:val="AC641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704B11"/>
    <w:multiLevelType w:val="hybridMultilevel"/>
    <w:tmpl w:val="E4ECF662"/>
    <w:lvl w:ilvl="0" w:tplc="BD5CEBA6">
      <w:start w:val="1"/>
      <w:numFmt w:val="bullet"/>
      <w:lvlText w:val=""/>
      <w:lvlJc w:val="left"/>
      <w:pPr>
        <w:ind w:left="360" w:hanging="360"/>
      </w:pPr>
      <w:rPr>
        <w:rFonts w:ascii="Symbol" w:hAnsi="Symbol" w:hint="default"/>
      </w:rPr>
    </w:lvl>
    <w:lvl w:ilvl="1" w:tplc="D604FBC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D594D9F"/>
    <w:multiLevelType w:val="hybridMultilevel"/>
    <w:tmpl w:val="45622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03042C"/>
    <w:multiLevelType w:val="hybridMultilevel"/>
    <w:tmpl w:val="7C485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1A0DCE"/>
    <w:multiLevelType w:val="hybridMultilevel"/>
    <w:tmpl w:val="8D5A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A95A15"/>
    <w:multiLevelType w:val="hybridMultilevel"/>
    <w:tmpl w:val="23885A4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2" w15:restartNumberingAfterBreak="0">
    <w:nsid w:val="725F6CFA"/>
    <w:multiLevelType w:val="hybridMultilevel"/>
    <w:tmpl w:val="F3FE0ADA"/>
    <w:lvl w:ilvl="0" w:tplc="83B09AEC">
      <w:start w:val="1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AF7308"/>
    <w:multiLevelType w:val="multilevel"/>
    <w:tmpl w:val="960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26974"/>
    <w:multiLevelType w:val="hybridMultilevel"/>
    <w:tmpl w:val="96385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9621119">
    <w:abstractNumId w:val="13"/>
  </w:num>
  <w:num w:numId="2" w16cid:durableId="1945990324">
    <w:abstractNumId w:val="12"/>
  </w:num>
  <w:num w:numId="3" w16cid:durableId="506215182">
    <w:abstractNumId w:val="5"/>
  </w:num>
  <w:num w:numId="4" w16cid:durableId="555822751">
    <w:abstractNumId w:val="7"/>
  </w:num>
  <w:num w:numId="5" w16cid:durableId="1066758921">
    <w:abstractNumId w:val="9"/>
  </w:num>
  <w:num w:numId="6" w16cid:durableId="2057973254">
    <w:abstractNumId w:val="1"/>
  </w:num>
  <w:num w:numId="7" w16cid:durableId="1048841167">
    <w:abstractNumId w:val="6"/>
  </w:num>
  <w:num w:numId="8" w16cid:durableId="1212227439">
    <w:abstractNumId w:val="10"/>
  </w:num>
  <w:num w:numId="9" w16cid:durableId="355621540">
    <w:abstractNumId w:val="0"/>
  </w:num>
  <w:num w:numId="10" w16cid:durableId="978455334">
    <w:abstractNumId w:val="14"/>
  </w:num>
  <w:num w:numId="11" w16cid:durableId="1629315368">
    <w:abstractNumId w:val="2"/>
  </w:num>
  <w:num w:numId="12" w16cid:durableId="533737267">
    <w:abstractNumId w:val="11"/>
  </w:num>
  <w:num w:numId="13" w16cid:durableId="40247747">
    <w:abstractNumId w:val="8"/>
  </w:num>
  <w:num w:numId="14" w16cid:durableId="1647127290">
    <w:abstractNumId w:val="3"/>
  </w:num>
  <w:num w:numId="15" w16cid:durableId="1441338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D9"/>
    <w:rsid w:val="000039AA"/>
    <w:rsid w:val="0001245B"/>
    <w:rsid w:val="000163A9"/>
    <w:rsid w:val="00017D66"/>
    <w:rsid w:val="00022074"/>
    <w:rsid w:val="00024274"/>
    <w:rsid w:val="0003049E"/>
    <w:rsid w:val="00030603"/>
    <w:rsid w:val="000610C7"/>
    <w:rsid w:val="000633EC"/>
    <w:rsid w:val="00066AAA"/>
    <w:rsid w:val="000670C1"/>
    <w:rsid w:val="00070C4C"/>
    <w:rsid w:val="00073FAA"/>
    <w:rsid w:val="000903CB"/>
    <w:rsid w:val="00093DCC"/>
    <w:rsid w:val="000A3161"/>
    <w:rsid w:val="000B67A1"/>
    <w:rsid w:val="000C4D29"/>
    <w:rsid w:val="000D0B9E"/>
    <w:rsid w:val="000D1422"/>
    <w:rsid w:val="000D297F"/>
    <w:rsid w:val="000D7AD8"/>
    <w:rsid w:val="000E1883"/>
    <w:rsid w:val="00112F25"/>
    <w:rsid w:val="00115034"/>
    <w:rsid w:val="001164A8"/>
    <w:rsid w:val="00124A29"/>
    <w:rsid w:val="00142732"/>
    <w:rsid w:val="001533F4"/>
    <w:rsid w:val="00155969"/>
    <w:rsid w:val="00156AF1"/>
    <w:rsid w:val="00160270"/>
    <w:rsid w:val="00161957"/>
    <w:rsid w:val="0016263F"/>
    <w:rsid w:val="001648F9"/>
    <w:rsid w:val="00166066"/>
    <w:rsid w:val="00166F9C"/>
    <w:rsid w:val="00167A36"/>
    <w:rsid w:val="00173063"/>
    <w:rsid w:val="00176402"/>
    <w:rsid w:val="001772B6"/>
    <w:rsid w:val="0017783C"/>
    <w:rsid w:val="001819FB"/>
    <w:rsid w:val="001943ED"/>
    <w:rsid w:val="00194F4C"/>
    <w:rsid w:val="001B3D81"/>
    <w:rsid w:val="001B563A"/>
    <w:rsid w:val="001C2218"/>
    <w:rsid w:val="001C2AD2"/>
    <w:rsid w:val="001D2D48"/>
    <w:rsid w:val="001D5DEC"/>
    <w:rsid w:val="001E2493"/>
    <w:rsid w:val="001F5036"/>
    <w:rsid w:val="00220804"/>
    <w:rsid w:val="00225510"/>
    <w:rsid w:val="00235732"/>
    <w:rsid w:val="00237216"/>
    <w:rsid w:val="00243430"/>
    <w:rsid w:val="002443EF"/>
    <w:rsid w:val="0024476A"/>
    <w:rsid w:val="002470F4"/>
    <w:rsid w:val="002500BA"/>
    <w:rsid w:val="002506AA"/>
    <w:rsid w:val="0025175B"/>
    <w:rsid w:val="00254FD5"/>
    <w:rsid w:val="00266709"/>
    <w:rsid w:val="002677BA"/>
    <w:rsid w:val="00273A8D"/>
    <w:rsid w:val="002741E8"/>
    <w:rsid w:val="0027558C"/>
    <w:rsid w:val="002861A8"/>
    <w:rsid w:val="0029182E"/>
    <w:rsid w:val="00297FF6"/>
    <w:rsid w:val="002D4961"/>
    <w:rsid w:val="002E40BB"/>
    <w:rsid w:val="00303049"/>
    <w:rsid w:val="00303693"/>
    <w:rsid w:val="00307CD4"/>
    <w:rsid w:val="0031286C"/>
    <w:rsid w:val="00323411"/>
    <w:rsid w:val="003239DA"/>
    <w:rsid w:val="003401E6"/>
    <w:rsid w:val="00344738"/>
    <w:rsid w:val="00350690"/>
    <w:rsid w:val="00353B63"/>
    <w:rsid w:val="00360B0E"/>
    <w:rsid w:val="00361907"/>
    <w:rsid w:val="00362E86"/>
    <w:rsid w:val="00370A08"/>
    <w:rsid w:val="00370A3C"/>
    <w:rsid w:val="00372658"/>
    <w:rsid w:val="0037417C"/>
    <w:rsid w:val="00380750"/>
    <w:rsid w:val="00383E02"/>
    <w:rsid w:val="00390E39"/>
    <w:rsid w:val="00391A65"/>
    <w:rsid w:val="00396099"/>
    <w:rsid w:val="003B5090"/>
    <w:rsid w:val="003B67F9"/>
    <w:rsid w:val="003B7136"/>
    <w:rsid w:val="003D4C38"/>
    <w:rsid w:val="003D7A87"/>
    <w:rsid w:val="003E1971"/>
    <w:rsid w:val="003E1A9C"/>
    <w:rsid w:val="003E40AB"/>
    <w:rsid w:val="003E5358"/>
    <w:rsid w:val="003F31B7"/>
    <w:rsid w:val="00402C29"/>
    <w:rsid w:val="00405CAE"/>
    <w:rsid w:val="0040739E"/>
    <w:rsid w:val="0041564A"/>
    <w:rsid w:val="00423313"/>
    <w:rsid w:val="00425F5A"/>
    <w:rsid w:val="004338CC"/>
    <w:rsid w:val="004375DD"/>
    <w:rsid w:val="0044026E"/>
    <w:rsid w:val="0044046D"/>
    <w:rsid w:val="00443D3E"/>
    <w:rsid w:val="00455B8B"/>
    <w:rsid w:val="004560E9"/>
    <w:rsid w:val="004619AD"/>
    <w:rsid w:val="004704B6"/>
    <w:rsid w:val="00480722"/>
    <w:rsid w:val="00484458"/>
    <w:rsid w:val="004939BE"/>
    <w:rsid w:val="00495618"/>
    <w:rsid w:val="0049790C"/>
    <w:rsid w:val="004B0540"/>
    <w:rsid w:val="004B4E73"/>
    <w:rsid w:val="004C1114"/>
    <w:rsid w:val="004C7EDF"/>
    <w:rsid w:val="004D0F80"/>
    <w:rsid w:val="004D2D10"/>
    <w:rsid w:val="004E0EE5"/>
    <w:rsid w:val="00500F12"/>
    <w:rsid w:val="00504075"/>
    <w:rsid w:val="0051632C"/>
    <w:rsid w:val="005164C9"/>
    <w:rsid w:val="00517FE7"/>
    <w:rsid w:val="005211EB"/>
    <w:rsid w:val="00526D6D"/>
    <w:rsid w:val="005430B9"/>
    <w:rsid w:val="00557EEB"/>
    <w:rsid w:val="00562226"/>
    <w:rsid w:val="005660CE"/>
    <w:rsid w:val="00566F6A"/>
    <w:rsid w:val="00572E33"/>
    <w:rsid w:val="00576493"/>
    <w:rsid w:val="0058211D"/>
    <w:rsid w:val="00583006"/>
    <w:rsid w:val="00590449"/>
    <w:rsid w:val="0059550D"/>
    <w:rsid w:val="005A0512"/>
    <w:rsid w:val="005A6E16"/>
    <w:rsid w:val="005B22C8"/>
    <w:rsid w:val="005C4AC3"/>
    <w:rsid w:val="005C5C7B"/>
    <w:rsid w:val="005C79A8"/>
    <w:rsid w:val="005E0E6E"/>
    <w:rsid w:val="005E2237"/>
    <w:rsid w:val="005E38F4"/>
    <w:rsid w:val="005E5722"/>
    <w:rsid w:val="005E7A49"/>
    <w:rsid w:val="005F66C6"/>
    <w:rsid w:val="00607466"/>
    <w:rsid w:val="006122AC"/>
    <w:rsid w:val="00622D0C"/>
    <w:rsid w:val="00623A1B"/>
    <w:rsid w:val="006258A2"/>
    <w:rsid w:val="006369EB"/>
    <w:rsid w:val="00647C0A"/>
    <w:rsid w:val="0065446D"/>
    <w:rsid w:val="00664DAC"/>
    <w:rsid w:val="00665B90"/>
    <w:rsid w:val="00677EE7"/>
    <w:rsid w:val="0068227C"/>
    <w:rsid w:val="00684AFE"/>
    <w:rsid w:val="006908B0"/>
    <w:rsid w:val="006961F2"/>
    <w:rsid w:val="006A5FF7"/>
    <w:rsid w:val="006B2D39"/>
    <w:rsid w:val="006B3054"/>
    <w:rsid w:val="006C5CBE"/>
    <w:rsid w:val="006D3B95"/>
    <w:rsid w:val="006D595F"/>
    <w:rsid w:val="0070136C"/>
    <w:rsid w:val="0070439F"/>
    <w:rsid w:val="0070619F"/>
    <w:rsid w:val="007070EE"/>
    <w:rsid w:val="00724A8B"/>
    <w:rsid w:val="0072796E"/>
    <w:rsid w:val="00727EE6"/>
    <w:rsid w:val="007376EF"/>
    <w:rsid w:val="0074648E"/>
    <w:rsid w:val="007472F0"/>
    <w:rsid w:val="0074786D"/>
    <w:rsid w:val="0075296C"/>
    <w:rsid w:val="00757BD6"/>
    <w:rsid w:val="00763D60"/>
    <w:rsid w:val="00785C66"/>
    <w:rsid w:val="00792A3A"/>
    <w:rsid w:val="007947EA"/>
    <w:rsid w:val="007B4FC7"/>
    <w:rsid w:val="007C147E"/>
    <w:rsid w:val="007D31EE"/>
    <w:rsid w:val="007D4DB2"/>
    <w:rsid w:val="007D74F4"/>
    <w:rsid w:val="007E0645"/>
    <w:rsid w:val="007F2DA5"/>
    <w:rsid w:val="007F6A2C"/>
    <w:rsid w:val="00803B35"/>
    <w:rsid w:val="00815189"/>
    <w:rsid w:val="00820973"/>
    <w:rsid w:val="00822699"/>
    <w:rsid w:val="00826F9F"/>
    <w:rsid w:val="00835C76"/>
    <w:rsid w:val="008374F7"/>
    <w:rsid w:val="00841678"/>
    <w:rsid w:val="00880F9C"/>
    <w:rsid w:val="0088303B"/>
    <w:rsid w:val="008A73CD"/>
    <w:rsid w:val="008B2549"/>
    <w:rsid w:val="008B64B5"/>
    <w:rsid w:val="008E60DB"/>
    <w:rsid w:val="008F0DDE"/>
    <w:rsid w:val="008F67C0"/>
    <w:rsid w:val="0090220D"/>
    <w:rsid w:val="00904528"/>
    <w:rsid w:val="00904564"/>
    <w:rsid w:val="00905088"/>
    <w:rsid w:val="009228C1"/>
    <w:rsid w:val="0092508A"/>
    <w:rsid w:val="00931992"/>
    <w:rsid w:val="009348F3"/>
    <w:rsid w:val="00952CFF"/>
    <w:rsid w:val="00955AD6"/>
    <w:rsid w:val="00972AB7"/>
    <w:rsid w:val="00981050"/>
    <w:rsid w:val="00987BF2"/>
    <w:rsid w:val="00994760"/>
    <w:rsid w:val="0099607C"/>
    <w:rsid w:val="00997333"/>
    <w:rsid w:val="009C012D"/>
    <w:rsid w:val="009C28B3"/>
    <w:rsid w:val="009D43F4"/>
    <w:rsid w:val="009D4B14"/>
    <w:rsid w:val="009D4F20"/>
    <w:rsid w:val="009F2188"/>
    <w:rsid w:val="009F516F"/>
    <w:rsid w:val="009F5326"/>
    <w:rsid w:val="00A03D1D"/>
    <w:rsid w:val="00A112D3"/>
    <w:rsid w:val="00A14F67"/>
    <w:rsid w:val="00A21ABE"/>
    <w:rsid w:val="00A25DC0"/>
    <w:rsid w:val="00A26E99"/>
    <w:rsid w:val="00A41CC5"/>
    <w:rsid w:val="00A4444D"/>
    <w:rsid w:val="00A5247E"/>
    <w:rsid w:val="00A60109"/>
    <w:rsid w:val="00A60D4F"/>
    <w:rsid w:val="00A60D76"/>
    <w:rsid w:val="00A61904"/>
    <w:rsid w:val="00A64506"/>
    <w:rsid w:val="00A67125"/>
    <w:rsid w:val="00A81B43"/>
    <w:rsid w:val="00A9236C"/>
    <w:rsid w:val="00A969C2"/>
    <w:rsid w:val="00AA0B53"/>
    <w:rsid w:val="00AA5212"/>
    <w:rsid w:val="00AE23DF"/>
    <w:rsid w:val="00AE35DD"/>
    <w:rsid w:val="00AE5150"/>
    <w:rsid w:val="00AF4110"/>
    <w:rsid w:val="00B043C4"/>
    <w:rsid w:val="00B12D35"/>
    <w:rsid w:val="00B22A8E"/>
    <w:rsid w:val="00B271FA"/>
    <w:rsid w:val="00B30E46"/>
    <w:rsid w:val="00B316D7"/>
    <w:rsid w:val="00B563B1"/>
    <w:rsid w:val="00B57116"/>
    <w:rsid w:val="00B728CC"/>
    <w:rsid w:val="00B72D78"/>
    <w:rsid w:val="00B7476C"/>
    <w:rsid w:val="00B75F29"/>
    <w:rsid w:val="00B76FBB"/>
    <w:rsid w:val="00B83360"/>
    <w:rsid w:val="00BA26FE"/>
    <w:rsid w:val="00BA5DD5"/>
    <w:rsid w:val="00BB1612"/>
    <w:rsid w:val="00BB74E6"/>
    <w:rsid w:val="00BC2116"/>
    <w:rsid w:val="00BC6761"/>
    <w:rsid w:val="00BC6983"/>
    <w:rsid w:val="00BD55E1"/>
    <w:rsid w:val="00BE086E"/>
    <w:rsid w:val="00BE223B"/>
    <w:rsid w:val="00BF4A87"/>
    <w:rsid w:val="00C050EB"/>
    <w:rsid w:val="00C07157"/>
    <w:rsid w:val="00C13BC1"/>
    <w:rsid w:val="00C14672"/>
    <w:rsid w:val="00C36EDA"/>
    <w:rsid w:val="00C40167"/>
    <w:rsid w:val="00C51C2E"/>
    <w:rsid w:val="00C53454"/>
    <w:rsid w:val="00C63010"/>
    <w:rsid w:val="00C66375"/>
    <w:rsid w:val="00C736B0"/>
    <w:rsid w:val="00C81E22"/>
    <w:rsid w:val="00C8204B"/>
    <w:rsid w:val="00C910D3"/>
    <w:rsid w:val="00C928CA"/>
    <w:rsid w:val="00C96AD0"/>
    <w:rsid w:val="00C96C7E"/>
    <w:rsid w:val="00CA1B50"/>
    <w:rsid w:val="00CA4321"/>
    <w:rsid w:val="00CA7882"/>
    <w:rsid w:val="00CB15A1"/>
    <w:rsid w:val="00CB36F5"/>
    <w:rsid w:val="00CC22E0"/>
    <w:rsid w:val="00CC76B7"/>
    <w:rsid w:val="00CD2F1C"/>
    <w:rsid w:val="00CD7582"/>
    <w:rsid w:val="00CE4FCA"/>
    <w:rsid w:val="00CF3CF5"/>
    <w:rsid w:val="00D22474"/>
    <w:rsid w:val="00D30820"/>
    <w:rsid w:val="00D35FC7"/>
    <w:rsid w:val="00D42F5B"/>
    <w:rsid w:val="00D453C8"/>
    <w:rsid w:val="00D47BA3"/>
    <w:rsid w:val="00D55AAF"/>
    <w:rsid w:val="00D65FD3"/>
    <w:rsid w:val="00D7121A"/>
    <w:rsid w:val="00D762E2"/>
    <w:rsid w:val="00D84310"/>
    <w:rsid w:val="00D932B6"/>
    <w:rsid w:val="00DA0E34"/>
    <w:rsid w:val="00DA2C0E"/>
    <w:rsid w:val="00DA35A9"/>
    <w:rsid w:val="00DA3DB1"/>
    <w:rsid w:val="00DA5773"/>
    <w:rsid w:val="00DB0BDA"/>
    <w:rsid w:val="00DC0A1B"/>
    <w:rsid w:val="00DC3674"/>
    <w:rsid w:val="00DC38B1"/>
    <w:rsid w:val="00DD16E2"/>
    <w:rsid w:val="00DD4EFB"/>
    <w:rsid w:val="00DD5F21"/>
    <w:rsid w:val="00DD61C1"/>
    <w:rsid w:val="00E107F3"/>
    <w:rsid w:val="00E119AB"/>
    <w:rsid w:val="00E21BDB"/>
    <w:rsid w:val="00E23D5E"/>
    <w:rsid w:val="00E32716"/>
    <w:rsid w:val="00E327C6"/>
    <w:rsid w:val="00E47372"/>
    <w:rsid w:val="00E47A3C"/>
    <w:rsid w:val="00E5580E"/>
    <w:rsid w:val="00E62899"/>
    <w:rsid w:val="00E64377"/>
    <w:rsid w:val="00E84001"/>
    <w:rsid w:val="00EB0109"/>
    <w:rsid w:val="00EB09F0"/>
    <w:rsid w:val="00EB4AC2"/>
    <w:rsid w:val="00ED289B"/>
    <w:rsid w:val="00EE6AB4"/>
    <w:rsid w:val="00EF4B0F"/>
    <w:rsid w:val="00EF64F7"/>
    <w:rsid w:val="00EF6C1F"/>
    <w:rsid w:val="00F140D9"/>
    <w:rsid w:val="00F27804"/>
    <w:rsid w:val="00F4323B"/>
    <w:rsid w:val="00F54D74"/>
    <w:rsid w:val="00F55570"/>
    <w:rsid w:val="00F60192"/>
    <w:rsid w:val="00F73E21"/>
    <w:rsid w:val="00F77A0C"/>
    <w:rsid w:val="00F84448"/>
    <w:rsid w:val="00F86D38"/>
    <w:rsid w:val="00F955C4"/>
    <w:rsid w:val="00FB056F"/>
    <w:rsid w:val="00FB39F8"/>
    <w:rsid w:val="00FB6D7D"/>
    <w:rsid w:val="00FB6F6B"/>
    <w:rsid w:val="00FD38AA"/>
    <w:rsid w:val="00FD7641"/>
    <w:rsid w:val="00FE17DB"/>
    <w:rsid w:val="00FE7DE9"/>
    <w:rsid w:val="00FF1F8E"/>
    <w:rsid w:val="00FF345E"/>
    <w:rsid w:val="00FF48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9F3D"/>
  <w15:chartTrackingRefBased/>
  <w15:docId w15:val="{E272EB0D-3016-492D-8538-0E460CA5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466"/>
    <w:pPr>
      <w:spacing w:before="100" w:beforeAutospacing="1" w:after="100"/>
    </w:pPr>
    <w:rPr>
      <w:rFonts w:ascii="Arial" w:eastAsia="Times New Roman" w:hAnsi="Arial" w:cs="Arial"/>
      <w:color w:val="000000"/>
      <w:lang w:eastAsia="en-AU"/>
    </w:rPr>
  </w:style>
  <w:style w:type="paragraph" w:styleId="Heading1">
    <w:name w:val="heading 1"/>
    <w:basedOn w:val="Title"/>
    <w:link w:val="Heading1Char"/>
    <w:uiPriority w:val="9"/>
    <w:qFormat/>
    <w:rsid w:val="004D0F80"/>
    <w:pPr>
      <w:outlineLvl w:val="0"/>
    </w:pPr>
  </w:style>
  <w:style w:type="paragraph" w:styleId="Heading2">
    <w:name w:val="heading 2"/>
    <w:basedOn w:val="Normal"/>
    <w:next w:val="Normal"/>
    <w:link w:val="Heading2Char"/>
    <w:uiPriority w:val="9"/>
    <w:unhideWhenUsed/>
    <w:qFormat/>
    <w:rsid w:val="004D0F80"/>
    <w:pPr>
      <w:shd w:val="clear" w:color="auto" w:fill="FFFFFF"/>
      <w:spacing w:afterAutospacing="1" w:line="713" w:lineRule="atLeast"/>
      <w:outlineLvl w:val="1"/>
    </w:pPr>
    <w:rPr>
      <w:rFonts w:ascii="Century Gothic" w:eastAsiaTheme="majorEastAsia" w:hAnsi="Century Gothic" w:cstheme="majorBidi"/>
      <w:color w:val="000000" w:themeColor="text1"/>
      <w:sz w:val="32"/>
      <w:szCs w:val="32"/>
      <w14:textFill>
        <w14:solidFill>
          <w14:schemeClr w14:val="tx1">
            <w14:lumMod w14:val="85000"/>
            <w14:lumOff w14:val="15000"/>
            <w14:lumMod w14:val="25000"/>
          </w14:schemeClr>
        </w14:solidFill>
      </w14:textFill>
    </w:rPr>
  </w:style>
  <w:style w:type="paragraph" w:styleId="Heading3">
    <w:name w:val="heading 3"/>
    <w:basedOn w:val="Normal"/>
    <w:next w:val="Normal"/>
    <w:link w:val="Heading3Char"/>
    <w:uiPriority w:val="9"/>
    <w:unhideWhenUsed/>
    <w:qFormat/>
    <w:rsid w:val="004D0F80"/>
    <w:pPr>
      <w:outlineLvl w:val="2"/>
    </w:pPr>
    <w:rPr>
      <w:rFonts w:ascii="Century Gothic" w:eastAsiaTheme="majorEastAsia" w:hAnsi="Century Gothic" w:cstheme="majorBidi"/>
      <w:color w:val="404040" w:themeColor="text1" w:themeTint="BF"/>
      <w:sz w:val="26"/>
      <w:szCs w:val="26"/>
    </w:rPr>
  </w:style>
  <w:style w:type="paragraph" w:styleId="Heading4">
    <w:name w:val="heading 4"/>
    <w:basedOn w:val="Normal"/>
    <w:next w:val="Normal"/>
    <w:link w:val="Heading4Char"/>
    <w:uiPriority w:val="9"/>
    <w:unhideWhenUsed/>
    <w:qFormat/>
    <w:rsid w:val="00F140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80"/>
    <w:rPr>
      <w:rFonts w:ascii="Century Gothic" w:eastAsiaTheme="majorEastAsia" w:hAnsi="Century Gothic" w:cstheme="majorBidi"/>
      <w:color w:val="2B9947"/>
      <w:spacing w:val="-10"/>
      <w:kern w:val="28"/>
      <w:sz w:val="56"/>
      <w:szCs w:val="56"/>
    </w:rPr>
  </w:style>
  <w:style w:type="character" w:customStyle="1" w:styleId="Heading2Char">
    <w:name w:val="Heading 2 Char"/>
    <w:basedOn w:val="DefaultParagraphFont"/>
    <w:link w:val="Heading2"/>
    <w:uiPriority w:val="9"/>
    <w:rsid w:val="004D0F80"/>
    <w:rPr>
      <w:rFonts w:ascii="Century Gothic" w:eastAsiaTheme="majorEastAsia" w:hAnsi="Century Gothic" w:cstheme="majorBidi"/>
      <w:color w:val="000000" w:themeColor="text1"/>
      <w:sz w:val="32"/>
      <w:szCs w:val="32"/>
      <w:shd w:val="clear" w:color="auto" w:fill="FFFFFF"/>
      <w14:textFill>
        <w14:solidFill>
          <w14:schemeClr w14:val="tx1">
            <w14:lumMod w14:val="85000"/>
            <w14:lumOff w14:val="15000"/>
            <w14:lumMod w14:val="25000"/>
          </w14:schemeClr>
        </w14:solidFill>
      </w14:textFill>
    </w:rPr>
  </w:style>
  <w:style w:type="character" w:customStyle="1" w:styleId="Heading3Char">
    <w:name w:val="Heading 3 Char"/>
    <w:basedOn w:val="DefaultParagraphFont"/>
    <w:link w:val="Heading3"/>
    <w:uiPriority w:val="9"/>
    <w:rsid w:val="004D0F80"/>
    <w:rPr>
      <w:rFonts w:ascii="Century Gothic" w:eastAsiaTheme="majorEastAsia" w:hAnsi="Century Gothic" w:cstheme="majorBidi"/>
      <w:color w:val="404040" w:themeColor="text1" w:themeTint="BF"/>
      <w:sz w:val="26"/>
      <w:szCs w:val="26"/>
    </w:rPr>
  </w:style>
  <w:style w:type="character" w:customStyle="1" w:styleId="Heading4Char">
    <w:name w:val="Heading 4 Char"/>
    <w:basedOn w:val="DefaultParagraphFont"/>
    <w:link w:val="Heading4"/>
    <w:rsid w:val="00F140D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411"/>
    <w:pPr>
      <w:ind w:left="720"/>
      <w:contextualSpacing/>
    </w:pPr>
  </w:style>
  <w:style w:type="character" w:styleId="Hyperlink">
    <w:name w:val="Hyperlink"/>
    <w:uiPriority w:val="99"/>
    <w:rsid w:val="006258A2"/>
    <w:rPr>
      <w:color w:val="0000FF"/>
      <w:u w:val="single"/>
    </w:rPr>
  </w:style>
  <w:style w:type="table" w:styleId="TableGrid">
    <w:name w:val="Table Grid"/>
    <w:basedOn w:val="TableNormal"/>
    <w:uiPriority w:val="39"/>
    <w:rsid w:val="0062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B7"/>
    <w:rPr>
      <w:rFonts w:ascii="Segoe UI" w:hAnsi="Segoe UI" w:cs="Segoe UI"/>
      <w:sz w:val="18"/>
      <w:szCs w:val="18"/>
    </w:rPr>
  </w:style>
  <w:style w:type="character" w:styleId="CommentReference">
    <w:name w:val="annotation reference"/>
    <w:basedOn w:val="DefaultParagraphFont"/>
    <w:uiPriority w:val="99"/>
    <w:unhideWhenUsed/>
    <w:rsid w:val="00CC76B7"/>
    <w:rPr>
      <w:sz w:val="16"/>
      <w:szCs w:val="16"/>
    </w:rPr>
  </w:style>
  <w:style w:type="paragraph" w:styleId="CommentText">
    <w:name w:val="annotation text"/>
    <w:basedOn w:val="Normal"/>
    <w:link w:val="CommentTextChar"/>
    <w:uiPriority w:val="99"/>
    <w:unhideWhenUsed/>
    <w:rsid w:val="00CC76B7"/>
    <w:pPr>
      <w:spacing w:line="240" w:lineRule="auto"/>
    </w:pPr>
    <w:rPr>
      <w:sz w:val="20"/>
      <w:szCs w:val="20"/>
    </w:rPr>
  </w:style>
  <w:style w:type="character" w:customStyle="1" w:styleId="CommentTextChar">
    <w:name w:val="Comment Text Char"/>
    <w:basedOn w:val="DefaultParagraphFont"/>
    <w:link w:val="CommentText"/>
    <w:uiPriority w:val="99"/>
    <w:rsid w:val="00CC76B7"/>
    <w:rPr>
      <w:sz w:val="20"/>
      <w:szCs w:val="20"/>
    </w:rPr>
  </w:style>
  <w:style w:type="paragraph" w:styleId="CommentSubject">
    <w:name w:val="annotation subject"/>
    <w:basedOn w:val="CommentText"/>
    <w:next w:val="CommentText"/>
    <w:link w:val="CommentSubjectChar"/>
    <w:uiPriority w:val="99"/>
    <w:semiHidden/>
    <w:unhideWhenUsed/>
    <w:rsid w:val="00CC76B7"/>
    <w:rPr>
      <w:b/>
      <w:bCs/>
    </w:rPr>
  </w:style>
  <w:style w:type="character" w:customStyle="1" w:styleId="CommentSubjectChar">
    <w:name w:val="Comment Subject Char"/>
    <w:basedOn w:val="CommentTextChar"/>
    <w:link w:val="CommentSubject"/>
    <w:uiPriority w:val="99"/>
    <w:semiHidden/>
    <w:rsid w:val="00CC76B7"/>
    <w:rPr>
      <w:b/>
      <w:bCs/>
      <w:sz w:val="20"/>
      <w:szCs w:val="20"/>
    </w:rPr>
  </w:style>
  <w:style w:type="paragraph" w:styleId="FootnoteText">
    <w:name w:val="footnote text"/>
    <w:basedOn w:val="Normal"/>
    <w:link w:val="FootnoteTextChar"/>
    <w:uiPriority w:val="99"/>
    <w:rsid w:val="00CC76B7"/>
    <w:pPr>
      <w:spacing w:after="0" w:line="240" w:lineRule="auto"/>
    </w:pPr>
    <w:rPr>
      <w:rFonts w:eastAsia="Arial Unicode MS" w:cs="Times New Roman"/>
      <w:sz w:val="20"/>
      <w:szCs w:val="20"/>
      <w:lang w:val="en-US" w:eastAsia="zh-CN"/>
    </w:rPr>
  </w:style>
  <w:style w:type="character" w:customStyle="1" w:styleId="FootnoteTextChar">
    <w:name w:val="Footnote Text Char"/>
    <w:basedOn w:val="DefaultParagraphFont"/>
    <w:link w:val="FootnoteText"/>
    <w:uiPriority w:val="99"/>
    <w:rsid w:val="00CC76B7"/>
    <w:rPr>
      <w:rFonts w:ascii="Arial" w:eastAsia="Arial Unicode MS" w:hAnsi="Arial" w:cs="Times New Roman"/>
      <w:sz w:val="20"/>
      <w:szCs w:val="20"/>
      <w:lang w:val="en-US" w:eastAsia="zh-CN"/>
    </w:rPr>
  </w:style>
  <w:style w:type="character" w:styleId="FootnoteReference">
    <w:name w:val="footnote reference"/>
    <w:basedOn w:val="DefaultParagraphFont"/>
    <w:uiPriority w:val="99"/>
    <w:rsid w:val="00CC76B7"/>
    <w:rPr>
      <w:vertAlign w:val="superscript"/>
    </w:rPr>
  </w:style>
  <w:style w:type="paragraph" w:styleId="Caption">
    <w:name w:val="caption"/>
    <w:basedOn w:val="Normal"/>
    <w:next w:val="Normal"/>
    <w:uiPriority w:val="35"/>
    <w:unhideWhenUsed/>
    <w:qFormat/>
    <w:rsid w:val="007C147E"/>
    <w:pPr>
      <w:spacing w:before="240" w:after="240" w:line="240" w:lineRule="auto"/>
    </w:pPr>
    <w:rPr>
      <w:rFonts w:eastAsia="Arial Unicode MS" w:cs="Times New Roman"/>
      <w:b/>
      <w:bCs/>
      <w:sz w:val="20"/>
      <w:szCs w:val="20"/>
      <w:lang w:val="en-US" w:eastAsia="zh-CN"/>
    </w:rPr>
  </w:style>
  <w:style w:type="table" w:styleId="TableGridLight">
    <w:name w:val="Grid Table Light"/>
    <w:basedOn w:val="TableNormal"/>
    <w:uiPriority w:val="40"/>
    <w:rsid w:val="007C14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7C147E"/>
    <w:pPr>
      <w:spacing w:after="0" w:line="240" w:lineRule="auto"/>
    </w:pPr>
    <w:rPr>
      <w:sz w:val="20"/>
      <w:szCs w:val="20"/>
    </w:rPr>
  </w:style>
  <w:style w:type="character" w:customStyle="1" w:styleId="EndnoteTextChar">
    <w:name w:val="Endnote Text Char"/>
    <w:basedOn w:val="DefaultParagraphFont"/>
    <w:link w:val="EndnoteText"/>
    <w:uiPriority w:val="99"/>
    <w:rsid w:val="007C147E"/>
    <w:rPr>
      <w:sz w:val="20"/>
      <w:szCs w:val="20"/>
    </w:rPr>
  </w:style>
  <w:style w:type="character" w:styleId="EndnoteReference">
    <w:name w:val="endnote reference"/>
    <w:basedOn w:val="DefaultParagraphFont"/>
    <w:uiPriority w:val="99"/>
    <w:unhideWhenUsed/>
    <w:rsid w:val="007C147E"/>
    <w:rPr>
      <w:vertAlign w:val="superscript"/>
    </w:rPr>
  </w:style>
  <w:style w:type="character" w:styleId="FollowedHyperlink">
    <w:name w:val="FollowedHyperlink"/>
    <w:basedOn w:val="DefaultParagraphFont"/>
    <w:uiPriority w:val="99"/>
    <w:semiHidden/>
    <w:unhideWhenUsed/>
    <w:rsid w:val="005B22C8"/>
    <w:rPr>
      <w:color w:val="954F72" w:themeColor="followedHyperlink"/>
      <w:u w:val="single"/>
    </w:rPr>
  </w:style>
  <w:style w:type="paragraph" w:customStyle="1" w:styleId="ListParagraph2">
    <w:name w:val="List Paragraph 2"/>
    <w:basedOn w:val="ListParagraph"/>
    <w:qFormat/>
    <w:rsid w:val="00484458"/>
    <w:pPr>
      <w:spacing w:before="60" w:after="60" w:line="276" w:lineRule="auto"/>
      <w:ind w:left="706" w:hanging="360"/>
      <w:contextualSpacing w:val="0"/>
    </w:pPr>
    <w:rPr>
      <w:sz w:val="23"/>
      <w:szCs w:val="23"/>
    </w:rPr>
  </w:style>
  <w:style w:type="paragraph" w:customStyle="1" w:styleId="TableText">
    <w:name w:val="Table Text"/>
    <w:basedOn w:val="Normal"/>
    <w:qFormat/>
    <w:rsid w:val="000610C7"/>
    <w:pPr>
      <w:spacing w:before="60" w:after="60" w:line="276" w:lineRule="auto"/>
    </w:pPr>
    <w:rPr>
      <w:rFonts w:eastAsia="Arial Unicode MS" w:cs="Times New Roman"/>
      <w:bCs/>
      <w:sz w:val="23"/>
      <w:szCs w:val="20"/>
      <w:lang w:val="en-US" w:eastAsia="zh-CN"/>
    </w:rPr>
  </w:style>
  <w:style w:type="paragraph" w:customStyle="1" w:styleId="BodyText1">
    <w:name w:val="Body Text1"/>
    <w:basedOn w:val="Normal"/>
    <w:rsid w:val="001164A8"/>
    <w:pPr>
      <w:spacing w:after="200" w:line="280" w:lineRule="exact"/>
      <w:jc w:val="both"/>
    </w:pPr>
    <w:rPr>
      <w:rFonts w:ascii="Times New Roman" w:hAnsi="Times New Roman" w:cs="Times New Roman"/>
    </w:rPr>
  </w:style>
  <w:style w:type="table" w:styleId="PlainTable2">
    <w:name w:val="Plain Table 2"/>
    <w:basedOn w:val="TableNormal"/>
    <w:uiPriority w:val="42"/>
    <w:rsid w:val="00EF6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194F4C"/>
    <w:pPr>
      <w:spacing w:after="0" w:line="240" w:lineRule="auto"/>
    </w:pPr>
  </w:style>
  <w:style w:type="paragraph" w:styleId="Header">
    <w:name w:val="header"/>
    <w:basedOn w:val="Normal"/>
    <w:link w:val="HeaderChar"/>
    <w:uiPriority w:val="99"/>
    <w:unhideWhenUsed/>
    <w:rsid w:val="004D0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F80"/>
  </w:style>
  <w:style w:type="paragraph" w:styleId="Footer">
    <w:name w:val="footer"/>
    <w:basedOn w:val="Normal"/>
    <w:link w:val="FooterChar"/>
    <w:uiPriority w:val="99"/>
    <w:unhideWhenUsed/>
    <w:rsid w:val="004D0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F80"/>
  </w:style>
  <w:style w:type="paragraph" w:styleId="Title">
    <w:name w:val="Title"/>
    <w:basedOn w:val="Normal"/>
    <w:next w:val="Normal"/>
    <w:link w:val="TitleChar"/>
    <w:autoRedefine/>
    <w:uiPriority w:val="10"/>
    <w:qFormat/>
    <w:rsid w:val="004D0F80"/>
    <w:pPr>
      <w:spacing w:after="0" w:line="240" w:lineRule="auto"/>
      <w:contextualSpacing/>
    </w:pPr>
    <w:rPr>
      <w:rFonts w:ascii="Century Gothic" w:eastAsiaTheme="majorEastAsia" w:hAnsi="Century Gothic" w:cstheme="majorBidi"/>
      <w:color w:val="2B9947"/>
      <w:spacing w:val="-10"/>
      <w:kern w:val="28"/>
      <w:sz w:val="56"/>
      <w:szCs w:val="56"/>
    </w:rPr>
  </w:style>
  <w:style w:type="character" w:customStyle="1" w:styleId="TitleChar">
    <w:name w:val="Title Char"/>
    <w:basedOn w:val="DefaultParagraphFont"/>
    <w:link w:val="Title"/>
    <w:uiPriority w:val="10"/>
    <w:rsid w:val="004D0F80"/>
    <w:rPr>
      <w:rFonts w:ascii="Century Gothic" w:eastAsiaTheme="majorEastAsia" w:hAnsi="Century Gothic" w:cstheme="majorBidi"/>
      <w:color w:val="2B9947"/>
      <w:spacing w:val="-10"/>
      <w:kern w:val="28"/>
      <w:sz w:val="56"/>
      <w:szCs w:val="56"/>
    </w:rPr>
  </w:style>
  <w:style w:type="table" w:styleId="ListTable1Light-Accent6">
    <w:name w:val="List Table 1 Light Accent 6"/>
    <w:basedOn w:val="TableNormal"/>
    <w:uiPriority w:val="46"/>
    <w:rsid w:val="004D0F8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4D0F8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4D0F8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CommissionTable1">
    <w:name w:val="Commission Table 1"/>
    <w:basedOn w:val="TableNormal"/>
    <w:uiPriority w:val="99"/>
    <w:rsid w:val="004D0F80"/>
    <w:pPr>
      <w:spacing w:before="120" w:after="120" w:line="240" w:lineRule="auto"/>
      <w:contextualSpacing/>
    </w:pPr>
    <w:rPr>
      <w:rFonts w:ascii="Arial" w:hAnsi="Arial"/>
    </w:rPr>
    <w:tblPr>
      <w:tblBorders>
        <w:top w:val="single" w:sz="12" w:space="0" w:color="2B9947"/>
        <w:left w:val="single" w:sz="12" w:space="0" w:color="2B9947"/>
        <w:bottom w:val="single" w:sz="12" w:space="0" w:color="2B9947"/>
        <w:right w:val="single" w:sz="12" w:space="0" w:color="2B9947"/>
        <w:insideH w:val="single" w:sz="12" w:space="0" w:color="2B9947"/>
        <w:insideV w:val="single" w:sz="12" w:space="0" w:color="2B9947"/>
      </w:tblBorders>
    </w:tblPr>
    <w:tcPr>
      <w:vAlign w:val="center"/>
    </w:tcPr>
    <w:tblStylePr w:type="firstRow">
      <w:rPr>
        <w:rFonts w:ascii="Arial" w:hAnsi="Arial"/>
        <w:b/>
        <w:color w:val="FFFFFF" w:themeColor="background1"/>
        <w:sz w:val="22"/>
      </w:rPr>
      <w:tblPr/>
      <w:tcPr>
        <w:shd w:val="clear" w:color="auto" w:fill="2B9947"/>
      </w:tcPr>
    </w:tblStylePr>
  </w:style>
  <w:style w:type="table" w:customStyle="1" w:styleId="TableGrid1">
    <w:name w:val="Table Grid1"/>
    <w:basedOn w:val="TableNormal"/>
    <w:next w:val="TableGrid"/>
    <w:semiHidden/>
    <w:rsid w:val="00B27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8581">
      <w:bodyDiv w:val="1"/>
      <w:marLeft w:val="0"/>
      <w:marRight w:val="0"/>
      <w:marTop w:val="0"/>
      <w:marBottom w:val="0"/>
      <w:divBdr>
        <w:top w:val="none" w:sz="0" w:space="0" w:color="auto"/>
        <w:left w:val="none" w:sz="0" w:space="0" w:color="auto"/>
        <w:bottom w:val="none" w:sz="0" w:space="0" w:color="auto"/>
        <w:right w:val="none" w:sz="0" w:space="0" w:color="auto"/>
      </w:divBdr>
    </w:div>
    <w:div w:id="135101322">
      <w:bodyDiv w:val="1"/>
      <w:marLeft w:val="0"/>
      <w:marRight w:val="0"/>
      <w:marTop w:val="0"/>
      <w:marBottom w:val="0"/>
      <w:divBdr>
        <w:top w:val="none" w:sz="0" w:space="0" w:color="auto"/>
        <w:left w:val="none" w:sz="0" w:space="0" w:color="auto"/>
        <w:bottom w:val="none" w:sz="0" w:space="0" w:color="auto"/>
        <w:right w:val="none" w:sz="0" w:space="0" w:color="auto"/>
      </w:divBdr>
    </w:div>
    <w:div w:id="136456053">
      <w:bodyDiv w:val="1"/>
      <w:marLeft w:val="0"/>
      <w:marRight w:val="0"/>
      <w:marTop w:val="0"/>
      <w:marBottom w:val="0"/>
      <w:divBdr>
        <w:top w:val="none" w:sz="0" w:space="0" w:color="auto"/>
        <w:left w:val="none" w:sz="0" w:space="0" w:color="auto"/>
        <w:bottom w:val="none" w:sz="0" w:space="0" w:color="auto"/>
        <w:right w:val="none" w:sz="0" w:space="0" w:color="auto"/>
      </w:divBdr>
    </w:div>
    <w:div w:id="145972678">
      <w:bodyDiv w:val="1"/>
      <w:marLeft w:val="0"/>
      <w:marRight w:val="0"/>
      <w:marTop w:val="0"/>
      <w:marBottom w:val="0"/>
      <w:divBdr>
        <w:top w:val="none" w:sz="0" w:space="0" w:color="auto"/>
        <w:left w:val="none" w:sz="0" w:space="0" w:color="auto"/>
        <w:bottom w:val="none" w:sz="0" w:space="0" w:color="auto"/>
        <w:right w:val="none" w:sz="0" w:space="0" w:color="auto"/>
      </w:divBdr>
    </w:div>
    <w:div w:id="349647200">
      <w:bodyDiv w:val="1"/>
      <w:marLeft w:val="0"/>
      <w:marRight w:val="0"/>
      <w:marTop w:val="0"/>
      <w:marBottom w:val="0"/>
      <w:divBdr>
        <w:top w:val="none" w:sz="0" w:space="0" w:color="auto"/>
        <w:left w:val="none" w:sz="0" w:space="0" w:color="auto"/>
        <w:bottom w:val="none" w:sz="0" w:space="0" w:color="auto"/>
        <w:right w:val="none" w:sz="0" w:space="0" w:color="auto"/>
      </w:divBdr>
    </w:div>
    <w:div w:id="479886858">
      <w:bodyDiv w:val="1"/>
      <w:marLeft w:val="0"/>
      <w:marRight w:val="0"/>
      <w:marTop w:val="0"/>
      <w:marBottom w:val="0"/>
      <w:divBdr>
        <w:top w:val="none" w:sz="0" w:space="0" w:color="auto"/>
        <w:left w:val="none" w:sz="0" w:space="0" w:color="auto"/>
        <w:bottom w:val="none" w:sz="0" w:space="0" w:color="auto"/>
        <w:right w:val="none" w:sz="0" w:space="0" w:color="auto"/>
      </w:divBdr>
    </w:div>
    <w:div w:id="532571398">
      <w:bodyDiv w:val="1"/>
      <w:marLeft w:val="0"/>
      <w:marRight w:val="0"/>
      <w:marTop w:val="0"/>
      <w:marBottom w:val="0"/>
      <w:divBdr>
        <w:top w:val="none" w:sz="0" w:space="0" w:color="auto"/>
        <w:left w:val="none" w:sz="0" w:space="0" w:color="auto"/>
        <w:bottom w:val="none" w:sz="0" w:space="0" w:color="auto"/>
        <w:right w:val="none" w:sz="0" w:space="0" w:color="auto"/>
      </w:divBdr>
    </w:div>
    <w:div w:id="649291309">
      <w:bodyDiv w:val="1"/>
      <w:marLeft w:val="0"/>
      <w:marRight w:val="0"/>
      <w:marTop w:val="0"/>
      <w:marBottom w:val="0"/>
      <w:divBdr>
        <w:top w:val="none" w:sz="0" w:space="0" w:color="auto"/>
        <w:left w:val="none" w:sz="0" w:space="0" w:color="auto"/>
        <w:bottom w:val="none" w:sz="0" w:space="0" w:color="auto"/>
        <w:right w:val="none" w:sz="0" w:space="0" w:color="auto"/>
      </w:divBdr>
    </w:div>
    <w:div w:id="660502905">
      <w:bodyDiv w:val="1"/>
      <w:marLeft w:val="0"/>
      <w:marRight w:val="0"/>
      <w:marTop w:val="0"/>
      <w:marBottom w:val="0"/>
      <w:divBdr>
        <w:top w:val="none" w:sz="0" w:space="0" w:color="auto"/>
        <w:left w:val="none" w:sz="0" w:space="0" w:color="auto"/>
        <w:bottom w:val="none" w:sz="0" w:space="0" w:color="auto"/>
        <w:right w:val="none" w:sz="0" w:space="0" w:color="auto"/>
      </w:divBdr>
    </w:div>
    <w:div w:id="665279852">
      <w:bodyDiv w:val="1"/>
      <w:marLeft w:val="0"/>
      <w:marRight w:val="0"/>
      <w:marTop w:val="0"/>
      <w:marBottom w:val="0"/>
      <w:divBdr>
        <w:top w:val="none" w:sz="0" w:space="0" w:color="auto"/>
        <w:left w:val="none" w:sz="0" w:space="0" w:color="auto"/>
        <w:bottom w:val="none" w:sz="0" w:space="0" w:color="auto"/>
        <w:right w:val="none" w:sz="0" w:space="0" w:color="auto"/>
      </w:divBdr>
    </w:div>
    <w:div w:id="705956644">
      <w:bodyDiv w:val="1"/>
      <w:marLeft w:val="0"/>
      <w:marRight w:val="0"/>
      <w:marTop w:val="0"/>
      <w:marBottom w:val="0"/>
      <w:divBdr>
        <w:top w:val="none" w:sz="0" w:space="0" w:color="auto"/>
        <w:left w:val="none" w:sz="0" w:space="0" w:color="auto"/>
        <w:bottom w:val="none" w:sz="0" w:space="0" w:color="auto"/>
        <w:right w:val="none" w:sz="0" w:space="0" w:color="auto"/>
      </w:divBdr>
    </w:div>
    <w:div w:id="735587685">
      <w:bodyDiv w:val="1"/>
      <w:marLeft w:val="0"/>
      <w:marRight w:val="0"/>
      <w:marTop w:val="0"/>
      <w:marBottom w:val="0"/>
      <w:divBdr>
        <w:top w:val="none" w:sz="0" w:space="0" w:color="auto"/>
        <w:left w:val="none" w:sz="0" w:space="0" w:color="auto"/>
        <w:bottom w:val="none" w:sz="0" w:space="0" w:color="auto"/>
        <w:right w:val="none" w:sz="0" w:space="0" w:color="auto"/>
      </w:divBdr>
    </w:div>
    <w:div w:id="745036108">
      <w:bodyDiv w:val="1"/>
      <w:marLeft w:val="0"/>
      <w:marRight w:val="0"/>
      <w:marTop w:val="0"/>
      <w:marBottom w:val="0"/>
      <w:divBdr>
        <w:top w:val="none" w:sz="0" w:space="0" w:color="auto"/>
        <w:left w:val="none" w:sz="0" w:space="0" w:color="auto"/>
        <w:bottom w:val="none" w:sz="0" w:space="0" w:color="auto"/>
        <w:right w:val="none" w:sz="0" w:space="0" w:color="auto"/>
      </w:divBdr>
    </w:div>
    <w:div w:id="1850758307">
      <w:bodyDiv w:val="1"/>
      <w:marLeft w:val="0"/>
      <w:marRight w:val="0"/>
      <w:marTop w:val="0"/>
      <w:marBottom w:val="0"/>
      <w:divBdr>
        <w:top w:val="none" w:sz="0" w:space="0" w:color="auto"/>
        <w:left w:val="none" w:sz="0" w:space="0" w:color="auto"/>
        <w:bottom w:val="none" w:sz="0" w:space="0" w:color="auto"/>
        <w:right w:val="none" w:sz="0" w:space="0" w:color="auto"/>
      </w:divBdr>
    </w:div>
    <w:div w:id="1877233356">
      <w:bodyDiv w:val="1"/>
      <w:marLeft w:val="0"/>
      <w:marRight w:val="0"/>
      <w:marTop w:val="0"/>
      <w:marBottom w:val="0"/>
      <w:divBdr>
        <w:top w:val="none" w:sz="0" w:space="0" w:color="auto"/>
        <w:left w:val="none" w:sz="0" w:space="0" w:color="auto"/>
        <w:bottom w:val="none" w:sz="0" w:space="0" w:color="auto"/>
        <w:right w:val="none" w:sz="0" w:space="0" w:color="auto"/>
      </w:divBdr>
      <w:divsChild>
        <w:div w:id="1946689074">
          <w:marLeft w:val="274"/>
          <w:marRight w:val="0"/>
          <w:marTop w:val="0"/>
          <w:marBottom w:val="0"/>
          <w:divBdr>
            <w:top w:val="none" w:sz="0" w:space="0" w:color="auto"/>
            <w:left w:val="none" w:sz="0" w:space="0" w:color="auto"/>
            <w:bottom w:val="none" w:sz="0" w:space="0" w:color="auto"/>
            <w:right w:val="none" w:sz="0" w:space="0" w:color="auto"/>
          </w:divBdr>
        </w:div>
      </w:divsChild>
    </w:div>
    <w:div w:id="1939017895">
      <w:bodyDiv w:val="1"/>
      <w:marLeft w:val="0"/>
      <w:marRight w:val="0"/>
      <w:marTop w:val="0"/>
      <w:marBottom w:val="0"/>
      <w:divBdr>
        <w:top w:val="none" w:sz="0" w:space="0" w:color="auto"/>
        <w:left w:val="none" w:sz="0" w:space="0" w:color="auto"/>
        <w:bottom w:val="none" w:sz="0" w:space="0" w:color="auto"/>
        <w:right w:val="none" w:sz="0" w:space="0" w:color="auto"/>
      </w:divBdr>
    </w:div>
    <w:div w:id="198967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a.gov.au/government/publications/about-our-workforce-data" TargetMode="External"/><Relationship Id="rId4" Type="http://schemas.openxmlformats.org/officeDocument/2006/relationships/settings" Target="settings.xml"/><Relationship Id="rId9" Type="http://schemas.openxmlformats.org/officeDocument/2006/relationships/hyperlink" Target="https://www.wa.gov.au/government/publications/state-of-the-wa-government-sector-workforce-2019-20" TargetMode="External"/><Relationship Id="rId14" Type="http://schemas.openxmlformats.org/officeDocument/2006/relationships/hyperlink" Target="mailto:stateadministrator@psc.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E925-E0B2-4205-A55A-562F1F98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Public Sector Quarterly Workforce Report - December 2020</dc:title>
  <dc:subject/>
  <dc:creator>Public Sector Commission</dc:creator>
  <cp:keywords/>
  <dc:description/>
  <cp:lastModifiedBy>Partridge, Julian</cp:lastModifiedBy>
  <cp:revision>7</cp:revision>
  <cp:lastPrinted>2021-02-25T09:29:00Z</cp:lastPrinted>
  <dcterms:created xsi:type="dcterms:W3CDTF">2021-03-16T09:11:00Z</dcterms:created>
  <dcterms:modified xsi:type="dcterms:W3CDTF">2023-11-10T07:46:00Z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2023-11-10T07:46:51Z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11b5de14-6b4d-44f3-88be-9f4db6ae39dc</vt:lpwstr>
  </property>
  <property fmtid="{D5CDD505-2E9C-101B-9397-08002B2CF9AE}" pid="8" name="MSIP_Label_9debd643-ebde-44ed-8e8b-40a2ae139fe2_ContentBits">
    <vt:lpwstr>0</vt:lpwstr>
  </property>
</Properties>
</file>