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CFA28" w14:textId="036D9464" w:rsidR="00261EA1" w:rsidRPr="0089763B" w:rsidRDefault="00261EA1" w:rsidP="00261EA1">
      <w:pPr>
        <w:pStyle w:val="Heading1"/>
        <w:spacing w:before="100" w:beforeAutospacing="1" w:after="0" w:line="240" w:lineRule="auto"/>
        <w:contextualSpacing/>
        <w:rPr>
          <w:rFonts w:ascii="Century Gothic" w:eastAsiaTheme="majorEastAsia" w:hAnsi="Century Gothic" w:cstheme="majorBidi"/>
          <w:b w:val="0"/>
          <w:bCs w:val="0"/>
          <w:color w:val="2B9947"/>
          <w:spacing w:val="-10"/>
          <w:kern w:val="28"/>
          <w:sz w:val="56"/>
          <w:szCs w:val="56"/>
        </w:rPr>
      </w:pPr>
      <w:r w:rsidRPr="0089763B">
        <w:rPr>
          <w:rFonts w:ascii="Century Gothic" w:eastAsiaTheme="majorEastAsia" w:hAnsi="Century Gothic" w:cstheme="majorBidi"/>
          <w:b w:val="0"/>
          <w:bCs w:val="0"/>
          <w:color w:val="2B9947"/>
          <w:spacing w:val="-10"/>
          <w:kern w:val="28"/>
          <w:sz w:val="56"/>
          <w:szCs w:val="56"/>
        </w:rPr>
        <w:t xml:space="preserve">Western Australian </w:t>
      </w:r>
      <w:r w:rsidR="00F2790F" w:rsidRPr="0089763B">
        <w:rPr>
          <w:rFonts w:ascii="Century Gothic" w:eastAsiaTheme="majorEastAsia" w:hAnsi="Century Gothic" w:cstheme="majorBidi"/>
          <w:b w:val="0"/>
          <w:bCs w:val="0"/>
          <w:color w:val="2B9947"/>
          <w:spacing w:val="-10"/>
          <w:kern w:val="28"/>
          <w:sz w:val="56"/>
          <w:szCs w:val="56"/>
        </w:rPr>
        <w:t>Public Sector Quart</w:t>
      </w:r>
      <w:r>
        <w:rPr>
          <w:noProof/>
        </w:rPr>
        <w:drawing>
          <wp:anchor distT="0" distB="0" distL="114300" distR="114300" simplePos="0" relativeHeight="251659264" behindDoc="0" locked="0" layoutInCell="1" allowOverlap="1" wp14:anchorId="3F55C5CB" wp14:editId="3D71A80C">
            <wp:simplePos x="0" y="0"/>
            <wp:positionH relativeFrom="page">
              <wp:align>center</wp:align>
            </wp:positionH>
            <wp:positionV relativeFrom="page">
              <wp:align>top</wp:align>
            </wp:positionV>
            <wp:extent cx="7549200" cy="129600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87871"/>
                    <a:stretch/>
                  </pic:blipFill>
                  <pic:spPr bwMode="auto">
                    <a:xfrm>
                      <a:off x="0" y="0"/>
                      <a:ext cx="7549200" cy="129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790F" w:rsidRPr="0089763B">
        <w:rPr>
          <w:rFonts w:ascii="Century Gothic" w:eastAsiaTheme="majorEastAsia" w:hAnsi="Century Gothic" w:cstheme="majorBidi"/>
          <w:b w:val="0"/>
          <w:bCs w:val="0"/>
          <w:color w:val="2B9947"/>
          <w:spacing w:val="-10"/>
          <w:kern w:val="28"/>
          <w:sz w:val="56"/>
          <w:szCs w:val="56"/>
        </w:rPr>
        <w:t xml:space="preserve">erly Workforce Report – </w:t>
      </w:r>
      <w:r>
        <w:rPr>
          <w:rFonts w:ascii="Century Gothic" w:eastAsiaTheme="majorEastAsia" w:hAnsi="Century Gothic" w:cstheme="majorBidi"/>
          <w:b w:val="0"/>
          <w:bCs w:val="0"/>
          <w:color w:val="2B9947"/>
          <w:spacing w:val="-10"/>
          <w:kern w:val="28"/>
          <w:sz w:val="56"/>
          <w:szCs w:val="56"/>
        </w:rPr>
        <w:t xml:space="preserve">March </w:t>
      </w:r>
      <w:r w:rsidR="00F2790F">
        <w:rPr>
          <w:rFonts w:ascii="Century Gothic" w:eastAsiaTheme="majorEastAsia" w:hAnsi="Century Gothic" w:cstheme="majorBidi"/>
          <w:b w:val="0"/>
          <w:bCs w:val="0"/>
          <w:color w:val="2B9947"/>
          <w:spacing w:val="-10"/>
          <w:kern w:val="28"/>
          <w:sz w:val="56"/>
          <w:szCs w:val="56"/>
        </w:rPr>
        <w:t>2020</w:t>
      </w:r>
    </w:p>
    <w:p w14:paraId="6D273999" w14:textId="77777777" w:rsidR="00CC76B7" w:rsidRDefault="00CC76B7" w:rsidP="000610C7">
      <w:pPr>
        <w:pStyle w:val="Heading2"/>
      </w:pPr>
      <w:r>
        <w:t>About this information</w:t>
      </w:r>
    </w:p>
    <w:p w14:paraId="14D98CE9" w14:textId="1C809CE3" w:rsidR="00CC76B7" w:rsidRPr="00484458" w:rsidRDefault="00CC76B7" w:rsidP="00CC76B7">
      <w:pPr>
        <w:shd w:val="clear" w:color="auto" w:fill="FFFFFF"/>
        <w:spacing w:before="100" w:beforeAutospacing="1" w:after="100" w:afterAutospacing="1" w:line="276" w:lineRule="auto"/>
        <w:outlineLvl w:val="1"/>
        <w:rPr>
          <w:rFonts w:ascii="Arial" w:eastAsia="Times New Roman" w:hAnsi="Arial" w:cs="Arial"/>
          <w:color w:val="000000"/>
          <w:sz w:val="24"/>
          <w:szCs w:val="24"/>
          <w:lang w:eastAsia="en-AU"/>
        </w:rPr>
      </w:pPr>
      <w:r w:rsidRPr="00484458">
        <w:rPr>
          <w:rFonts w:ascii="Arial" w:eastAsia="Times New Roman" w:hAnsi="Arial" w:cs="Arial"/>
          <w:color w:val="000000"/>
          <w:sz w:val="24"/>
          <w:szCs w:val="24"/>
          <w:lang w:eastAsia="en-AU"/>
        </w:rPr>
        <w:t xml:space="preserve">This page presents a snapshot of the Public Sector workforce </w:t>
      </w:r>
      <w:r w:rsidR="0027558C" w:rsidRPr="00484458">
        <w:rPr>
          <w:rFonts w:ascii="Arial" w:eastAsia="Times New Roman" w:hAnsi="Arial" w:cs="Arial"/>
          <w:color w:val="000000"/>
          <w:sz w:val="24"/>
          <w:szCs w:val="24"/>
          <w:lang w:eastAsia="en-AU"/>
        </w:rPr>
        <w:t xml:space="preserve">based on </w:t>
      </w:r>
      <w:r w:rsidRPr="00484458">
        <w:rPr>
          <w:rFonts w:ascii="Arial" w:eastAsia="Times New Roman" w:hAnsi="Arial" w:cs="Arial"/>
          <w:color w:val="000000"/>
          <w:sz w:val="24"/>
          <w:szCs w:val="24"/>
          <w:lang w:eastAsia="en-AU"/>
        </w:rPr>
        <w:t xml:space="preserve">the most recent data available. More detailed workforce information (including information on other government entities) is available in the </w:t>
      </w:r>
      <w:hyperlink r:id="rId9" w:history="1">
        <w:r w:rsidRPr="00484458">
          <w:rPr>
            <w:rStyle w:val="Hyperlink"/>
            <w:rFonts w:ascii="Arial" w:eastAsia="Times New Roman" w:hAnsi="Arial" w:cs="Arial"/>
            <w:sz w:val="24"/>
            <w:szCs w:val="24"/>
            <w:lang w:eastAsia="en-AU"/>
          </w:rPr>
          <w:t>State of the Western Australian Government Sector Workforce 2018/19</w:t>
        </w:r>
      </w:hyperlink>
      <w:r w:rsidR="00EB09F0">
        <w:rPr>
          <w:rFonts w:ascii="Arial" w:eastAsia="Times New Roman" w:hAnsi="Arial" w:cs="Arial"/>
          <w:color w:val="000000"/>
          <w:sz w:val="24"/>
          <w:szCs w:val="24"/>
          <w:lang w:eastAsia="en-AU"/>
        </w:rPr>
        <w:t>.</w:t>
      </w:r>
    </w:p>
    <w:p w14:paraId="787158A3" w14:textId="58733DE2" w:rsidR="00C910D3" w:rsidRPr="00484458" w:rsidRDefault="00C910D3" w:rsidP="00CC76B7">
      <w:pPr>
        <w:shd w:val="clear" w:color="auto" w:fill="FFFFFF"/>
        <w:spacing w:before="100" w:beforeAutospacing="1" w:after="100" w:afterAutospacing="1" w:line="276" w:lineRule="auto"/>
        <w:outlineLvl w:val="1"/>
        <w:rPr>
          <w:rFonts w:ascii="Arial" w:eastAsia="Times New Roman" w:hAnsi="Arial" w:cs="Arial"/>
          <w:color w:val="000000"/>
          <w:sz w:val="24"/>
          <w:szCs w:val="24"/>
          <w:lang w:eastAsia="en-AU"/>
        </w:rPr>
      </w:pPr>
      <w:r w:rsidRPr="00484458">
        <w:rPr>
          <w:rFonts w:ascii="Arial" w:eastAsia="Times New Roman" w:hAnsi="Arial" w:cs="Arial"/>
          <w:color w:val="000000"/>
          <w:sz w:val="24"/>
          <w:szCs w:val="24"/>
          <w:lang w:eastAsia="en-AU"/>
        </w:rPr>
        <w:t xml:space="preserve">Please see the Commission’s </w:t>
      </w:r>
      <w:hyperlink r:id="rId10" w:history="1">
        <w:r w:rsidRPr="00484458">
          <w:rPr>
            <w:rStyle w:val="Hyperlink"/>
            <w:rFonts w:ascii="Arial" w:eastAsia="Times New Roman" w:hAnsi="Arial" w:cs="Arial"/>
            <w:sz w:val="24"/>
            <w:szCs w:val="24"/>
            <w:lang w:eastAsia="en-AU"/>
          </w:rPr>
          <w:t>About our workforce data</w:t>
        </w:r>
      </w:hyperlink>
      <w:r w:rsidRPr="00484458">
        <w:rPr>
          <w:rFonts w:ascii="Arial" w:eastAsia="Times New Roman" w:hAnsi="Arial" w:cs="Arial"/>
          <w:color w:val="000000"/>
          <w:sz w:val="24"/>
          <w:szCs w:val="24"/>
          <w:lang w:eastAsia="en-AU"/>
        </w:rPr>
        <w:t xml:space="preserve"> page for </w:t>
      </w:r>
      <w:r w:rsidR="00142732">
        <w:rPr>
          <w:rFonts w:ascii="Arial" w:eastAsia="Times New Roman" w:hAnsi="Arial" w:cs="Arial"/>
          <w:color w:val="000000"/>
          <w:sz w:val="24"/>
          <w:szCs w:val="24"/>
          <w:lang w:eastAsia="en-AU"/>
        </w:rPr>
        <w:t>additional contextual</w:t>
      </w:r>
      <w:r w:rsidRPr="00484458">
        <w:rPr>
          <w:rFonts w:ascii="Arial" w:eastAsia="Times New Roman" w:hAnsi="Arial" w:cs="Arial"/>
          <w:color w:val="000000"/>
          <w:sz w:val="24"/>
          <w:szCs w:val="24"/>
          <w:lang w:eastAsia="en-AU"/>
        </w:rPr>
        <w:t xml:space="preserve"> information.</w:t>
      </w:r>
    </w:p>
    <w:p w14:paraId="78FF7087" w14:textId="2DF0E2E1" w:rsidR="00F140D9" w:rsidRPr="006258A2" w:rsidRDefault="006258A2" w:rsidP="000610C7">
      <w:pPr>
        <w:pStyle w:val="Heading2"/>
      </w:pPr>
      <w:r w:rsidRPr="006258A2">
        <w:t>Overview</w:t>
      </w:r>
      <w:r w:rsidR="002500BA">
        <w:t xml:space="preserve"> of the Public Sector as of</w:t>
      </w:r>
      <w:r w:rsidR="00CC76B7">
        <w:t xml:space="preserve"> </w:t>
      </w:r>
      <w:r w:rsidR="00FB056F">
        <w:t xml:space="preserve">31 </w:t>
      </w:r>
      <w:r w:rsidR="00E47A3C">
        <w:t>March 2020</w:t>
      </w:r>
    </w:p>
    <w:tbl>
      <w:tblPr>
        <w:tblStyle w:val="TableGrid"/>
        <w:tblW w:w="7435" w:type="dxa"/>
        <w:tblBorders>
          <w:left w:val="none" w:sz="0" w:space="0" w:color="auto"/>
          <w:right w:val="none" w:sz="0" w:space="0" w:color="auto"/>
          <w:insideV w:val="none" w:sz="0" w:space="0" w:color="auto"/>
        </w:tblBorders>
        <w:tblLook w:val="04A0" w:firstRow="1" w:lastRow="0" w:firstColumn="1" w:lastColumn="0" w:noHBand="0" w:noVBand="1"/>
      </w:tblPr>
      <w:tblGrid>
        <w:gridCol w:w="1701"/>
        <w:gridCol w:w="4253"/>
        <w:gridCol w:w="1481"/>
      </w:tblGrid>
      <w:tr w:rsidR="00F86D38" w:rsidRPr="000610C7" w14:paraId="4F4C340A" w14:textId="77777777" w:rsidTr="00F27804">
        <w:tc>
          <w:tcPr>
            <w:tcW w:w="5954" w:type="dxa"/>
            <w:gridSpan w:val="2"/>
          </w:tcPr>
          <w:p w14:paraId="5A966609" w14:textId="48F826EB" w:rsidR="00F86D38" w:rsidRPr="000610C7" w:rsidRDefault="00F86D38" w:rsidP="00261EA1">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Headcount</w:t>
            </w:r>
          </w:p>
        </w:tc>
        <w:tc>
          <w:tcPr>
            <w:tcW w:w="1481" w:type="dxa"/>
          </w:tcPr>
          <w:p w14:paraId="56D54886" w14:textId="330C4423" w:rsidR="00F86D38" w:rsidRPr="000610C7" w:rsidRDefault="00F86D38" w:rsidP="00261EA1">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146 343 </w:t>
            </w:r>
          </w:p>
        </w:tc>
      </w:tr>
      <w:tr w:rsidR="00F86D38" w:rsidRPr="00BB1612" w14:paraId="33540417" w14:textId="77777777" w:rsidTr="00F27804">
        <w:tc>
          <w:tcPr>
            <w:tcW w:w="5954" w:type="dxa"/>
            <w:gridSpan w:val="2"/>
          </w:tcPr>
          <w:p w14:paraId="39754B09" w14:textId="23F91C90" w:rsidR="00F86D38" w:rsidRPr="000610C7" w:rsidRDefault="00F86D38" w:rsidP="00261EA1">
            <w:pPr>
              <w:rPr>
                <w:rFonts w:ascii="Arial" w:hAnsi="Arial" w:cs="Arial"/>
                <w:color w:val="000000"/>
                <w:sz w:val="24"/>
                <w:szCs w:val="24"/>
                <w:shd w:val="clear" w:color="auto" w:fill="FFFFFF"/>
              </w:rPr>
            </w:pPr>
            <w:r>
              <w:rPr>
                <w:rFonts w:ascii="Arial" w:hAnsi="Arial" w:cs="Arial"/>
                <w:color w:val="000000"/>
                <w:sz w:val="24"/>
                <w:szCs w:val="24"/>
                <w:shd w:val="clear" w:color="auto" w:fill="FFFFFF"/>
              </w:rPr>
              <w:t>Full-t</w:t>
            </w:r>
            <w:r w:rsidRPr="000610C7">
              <w:rPr>
                <w:rFonts w:ascii="Arial" w:hAnsi="Arial" w:cs="Arial"/>
                <w:color w:val="000000"/>
                <w:sz w:val="24"/>
                <w:szCs w:val="24"/>
                <w:shd w:val="clear" w:color="auto" w:fill="FFFFFF"/>
              </w:rPr>
              <w:t xml:space="preserve">ime </w:t>
            </w:r>
            <w:r>
              <w:rPr>
                <w:rFonts w:ascii="Arial" w:hAnsi="Arial" w:cs="Arial"/>
                <w:color w:val="000000"/>
                <w:sz w:val="24"/>
                <w:szCs w:val="24"/>
                <w:shd w:val="clear" w:color="auto" w:fill="FFFFFF"/>
              </w:rPr>
              <w:t>e</w:t>
            </w:r>
            <w:r w:rsidRPr="000610C7">
              <w:rPr>
                <w:rFonts w:ascii="Arial" w:hAnsi="Arial" w:cs="Arial"/>
                <w:color w:val="000000"/>
                <w:sz w:val="24"/>
                <w:szCs w:val="24"/>
                <w:shd w:val="clear" w:color="auto" w:fill="FFFFFF"/>
              </w:rPr>
              <w:t>quivalent (FTE)</w:t>
            </w:r>
          </w:p>
        </w:tc>
        <w:tc>
          <w:tcPr>
            <w:tcW w:w="1481" w:type="dxa"/>
          </w:tcPr>
          <w:p w14:paraId="63CC6538" w14:textId="19BC5A70" w:rsidR="00F86D38" w:rsidRPr="00BB1612" w:rsidRDefault="00F86D38" w:rsidP="00261EA1">
            <w:pPr>
              <w:jc w:val="right"/>
              <w:rPr>
                <w:rFonts w:ascii="Arial" w:hAnsi="Arial" w:cs="Arial"/>
                <w:color w:val="000000"/>
                <w:sz w:val="24"/>
                <w:szCs w:val="24"/>
                <w:shd w:val="clear" w:color="auto" w:fill="FFFFFF"/>
              </w:rPr>
            </w:pPr>
            <w:r w:rsidRPr="00BB1612">
              <w:rPr>
                <w:rFonts w:ascii="Arial" w:hAnsi="Arial" w:cs="Arial"/>
                <w:color w:val="000000"/>
                <w:sz w:val="24"/>
                <w:szCs w:val="24"/>
                <w:shd w:val="clear" w:color="auto" w:fill="FFFFFF"/>
              </w:rPr>
              <w:t>1</w:t>
            </w:r>
            <w:r>
              <w:rPr>
                <w:rFonts w:ascii="Arial" w:hAnsi="Arial" w:cs="Arial"/>
                <w:color w:val="000000"/>
                <w:sz w:val="24"/>
                <w:szCs w:val="24"/>
                <w:shd w:val="clear" w:color="auto" w:fill="FFFFFF"/>
              </w:rPr>
              <w:t>15</w:t>
            </w:r>
            <w:r w:rsidRPr="00BB1612">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548</w:t>
            </w:r>
          </w:p>
        </w:tc>
      </w:tr>
      <w:tr w:rsidR="00F86D38" w:rsidRPr="000610C7" w14:paraId="59960817" w14:textId="77777777" w:rsidTr="00F27804">
        <w:tc>
          <w:tcPr>
            <w:tcW w:w="5954" w:type="dxa"/>
            <w:gridSpan w:val="2"/>
          </w:tcPr>
          <w:p w14:paraId="392DABAA" w14:textId="77777777" w:rsidR="00F86D38" w:rsidRPr="000610C7" w:rsidRDefault="00F86D38" w:rsidP="00261EA1">
            <w:pPr>
              <w:rPr>
                <w:rFonts w:ascii="Arial" w:hAnsi="Arial" w:cs="Arial"/>
                <w:color w:val="000000"/>
                <w:sz w:val="24"/>
                <w:szCs w:val="24"/>
                <w:shd w:val="clear" w:color="auto" w:fill="FFFFFF"/>
              </w:rPr>
            </w:pPr>
          </w:p>
        </w:tc>
        <w:tc>
          <w:tcPr>
            <w:tcW w:w="1481" w:type="dxa"/>
          </w:tcPr>
          <w:p w14:paraId="281F7346" w14:textId="77777777" w:rsidR="00F86D38" w:rsidRPr="000610C7" w:rsidRDefault="00F86D38" w:rsidP="00261EA1">
            <w:pPr>
              <w:jc w:val="right"/>
              <w:rPr>
                <w:rFonts w:ascii="Arial" w:hAnsi="Arial" w:cs="Arial"/>
                <w:color w:val="000000"/>
                <w:sz w:val="24"/>
                <w:szCs w:val="24"/>
                <w:shd w:val="clear" w:color="auto" w:fill="FFFFFF"/>
              </w:rPr>
            </w:pPr>
          </w:p>
        </w:tc>
      </w:tr>
      <w:tr w:rsidR="00F86D38" w:rsidRPr="000610C7" w14:paraId="3C63FF01" w14:textId="77777777" w:rsidTr="00F27804">
        <w:tc>
          <w:tcPr>
            <w:tcW w:w="5954" w:type="dxa"/>
            <w:gridSpan w:val="2"/>
          </w:tcPr>
          <w:p w14:paraId="6BC13504" w14:textId="3E691439" w:rsidR="00F86D38" w:rsidRPr="000610C7" w:rsidRDefault="00F86D38" w:rsidP="00261EA1">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General government expenses</w:t>
            </w:r>
            <w:r>
              <w:rPr>
                <w:rFonts w:ascii="Arial" w:hAnsi="Arial" w:cs="Arial"/>
                <w:color w:val="000000"/>
                <w:sz w:val="24"/>
                <w:szCs w:val="24"/>
                <w:shd w:val="clear" w:color="auto" w:fill="FFFFFF"/>
              </w:rPr>
              <w:t xml:space="preserve"> (March quarter)</w:t>
            </w:r>
          </w:p>
        </w:tc>
        <w:tc>
          <w:tcPr>
            <w:tcW w:w="1481" w:type="dxa"/>
          </w:tcPr>
          <w:p w14:paraId="6E1BD269" w14:textId="1F5FD065" w:rsidR="00F86D38" w:rsidRPr="000610C7" w:rsidRDefault="00F86D38" w:rsidP="00261EA1">
            <w:pPr>
              <w:jc w:val="right"/>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w:t>
            </w:r>
            <w:r w:rsidRPr="000610C7">
              <w:rPr>
                <w:rFonts w:ascii="Arial" w:hAnsi="Arial" w:cs="Arial"/>
                <w:color w:val="000000"/>
                <w:sz w:val="24"/>
                <w:szCs w:val="24"/>
              </w:rPr>
              <w:t xml:space="preserve">3 </w:t>
            </w:r>
            <w:r>
              <w:rPr>
                <w:rFonts w:ascii="Arial" w:hAnsi="Arial" w:cs="Arial"/>
                <w:color w:val="000000"/>
                <w:sz w:val="24"/>
                <w:szCs w:val="24"/>
              </w:rPr>
              <w:t>147</w:t>
            </w:r>
            <w:r w:rsidRPr="000610C7">
              <w:rPr>
                <w:rFonts w:ascii="Arial" w:hAnsi="Arial" w:cs="Arial"/>
                <w:color w:val="000000"/>
                <w:sz w:val="24"/>
                <w:szCs w:val="24"/>
                <w:shd w:val="clear" w:color="auto" w:fill="FFFFFF"/>
              </w:rPr>
              <w:t>M</w:t>
            </w:r>
          </w:p>
        </w:tc>
      </w:tr>
      <w:tr w:rsidR="00F86D38" w:rsidRPr="000610C7" w14:paraId="3B81995C" w14:textId="77777777" w:rsidTr="00F27804">
        <w:tc>
          <w:tcPr>
            <w:tcW w:w="5954" w:type="dxa"/>
            <w:gridSpan w:val="2"/>
          </w:tcPr>
          <w:p w14:paraId="633AA2C0" w14:textId="77777777" w:rsidR="00F86D38" w:rsidRPr="000610C7" w:rsidRDefault="00F86D38" w:rsidP="00261EA1">
            <w:pPr>
              <w:rPr>
                <w:rFonts w:ascii="Arial" w:hAnsi="Arial" w:cs="Arial"/>
                <w:color w:val="000000"/>
                <w:sz w:val="24"/>
                <w:szCs w:val="24"/>
                <w:shd w:val="clear" w:color="auto" w:fill="FFFFFF"/>
              </w:rPr>
            </w:pPr>
          </w:p>
        </w:tc>
        <w:tc>
          <w:tcPr>
            <w:tcW w:w="1481" w:type="dxa"/>
          </w:tcPr>
          <w:p w14:paraId="5B829456" w14:textId="77777777" w:rsidR="00F86D38" w:rsidRPr="000610C7" w:rsidRDefault="00F86D38" w:rsidP="00261EA1">
            <w:pPr>
              <w:jc w:val="right"/>
              <w:rPr>
                <w:rFonts w:ascii="Arial" w:hAnsi="Arial" w:cs="Arial"/>
                <w:color w:val="000000"/>
                <w:sz w:val="24"/>
                <w:szCs w:val="24"/>
                <w:shd w:val="clear" w:color="auto" w:fill="FFFFFF"/>
              </w:rPr>
            </w:pPr>
          </w:p>
        </w:tc>
      </w:tr>
      <w:tr w:rsidR="00F86D38" w:rsidRPr="000610C7" w14:paraId="3971AAC8" w14:textId="77777777" w:rsidTr="00F27804">
        <w:tc>
          <w:tcPr>
            <w:tcW w:w="5954" w:type="dxa"/>
            <w:gridSpan w:val="2"/>
          </w:tcPr>
          <w:p w14:paraId="75E52A65" w14:textId="27E8ECD3" w:rsidR="00F86D38" w:rsidRPr="000610C7" w:rsidRDefault="00F86D38" w:rsidP="00261EA1">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Senior Executive Service (SES)</w:t>
            </w:r>
          </w:p>
        </w:tc>
        <w:tc>
          <w:tcPr>
            <w:tcW w:w="1481" w:type="dxa"/>
          </w:tcPr>
          <w:p w14:paraId="73986BEF" w14:textId="72742B9E" w:rsidR="00F86D38" w:rsidRPr="000610C7" w:rsidRDefault="00F86D38" w:rsidP="00261EA1">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412</w:t>
            </w:r>
          </w:p>
        </w:tc>
      </w:tr>
      <w:tr w:rsidR="00F86D38" w:rsidRPr="000610C7" w14:paraId="38189F6F" w14:textId="77777777" w:rsidTr="00F27804">
        <w:tc>
          <w:tcPr>
            <w:tcW w:w="5954" w:type="dxa"/>
            <w:gridSpan w:val="2"/>
          </w:tcPr>
          <w:p w14:paraId="58B19757" w14:textId="1DA3D282" w:rsidR="00F86D38" w:rsidRPr="000610C7" w:rsidRDefault="00F86D38" w:rsidP="00261EA1">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Women in SES</w:t>
            </w:r>
            <w:r w:rsidRPr="000610C7">
              <w:rPr>
                <w:rFonts w:ascii="Arial" w:hAnsi="Arial" w:cs="Arial"/>
                <w:color w:val="000000"/>
                <w:sz w:val="24"/>
                <w:szCs w:val="24"/>
                <w:shd w:val="clear" w:color="auto" w:fill="FFFFFF"/>
              </w:rPr>
              <w:tab/>
            </w:r>
          </w:p>
        </w:tc>
        <w:tc>
          <w:tcPr>
            <w:tcW w:w="1481" w:type="dxa"/>
          </w:tcPr>
          <w:p w14:paraId="3007D8E5" w14:textId="231F9A03" w:rsidR="00F86D38" w:rsidRPr="000610C7" w:rsidRDefault="00F86D38" w:rsidP="00261EA1">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175</w:t>
            </w:r>
          </w:p>
        </w:tc>
      </w:tr>
      <w:tr w:rsidR="00F86D38" w:rsidRPr="000610C7" w14:paraId="4F4FA106" w14:textId="77777777" w:rsidTr="00F27804">
        <w:tc>
          <w:tcPr>
            <w:tcW w:w="5954" w:type="dxa"/>
            <w:gridSpan w:val="2"/>
          </w:tcPr>
          <w:p w14:paraId="23A941CA" w14:textId="77777777" w:rsidR="00F86D38" w:rsidRPr="000610C7" w:rsidRDefault="00F86D38" w:rsidP="00261EA1">
            <w:pPr>
              <w:rPr>
                <w:rFonts w:ascii="Arial" w:hAnsi="Arial" w:cs="Arial"/>
                <w:color w:val="000000"/>
                <w:sz w:val="24"/>
                <w:szCs w:val="24"/>
                <w:shd w:val="clear" w:color="auto" w:fill="FFFFFF"/>
              </w:rPr>
            </w:pPr>
          </w:p>
        </w:tc>
        <w:tc>
          <w:tcPr>
            <w:tcW w:w="1481" w:type="dxa"/>
          </w:tcPr>
          <w:p w14:paraId="2F4D9B68" w14:textId="77777777" w:rsidR="00F86D38" w:rsidRPr="000610C7" w:rsidRDefault="00F86D38" w:rsidP="00261EA1">
            <w:pPr>
              <w:jc w:val="right"/>
              <w:rPr>
                <w:rFonts w:ascii="Arial" w:hAnsi="Arial" w:cs="Arial"/>
                <w:color w:val="000000"/>
                <w:sz w:val="24"/>
                <w:szCs w:val="24"/>
                <w:shd w:val="clear" w:color="auto" w:fill="FFFFFF"/>
              </w:rPr>
            </w:pPr>
          </w:p>
        </w:tc>
      </w:tr>
      <w:tr w:rsidR="00F86D38" w:rsidRPr="000610C7" w14:paraId="29F56C9D" w14:textId="77777777" w:rsidTr="00F27804">
        <w:tc>
          <w:tcPr>
            <w:tcW w:w="5954" w:type="dxa"/>
            <w:gridSpan w:val="2"/>
          </w:tcPr>
          <w:p w14:paraId="3CE13E85" w14:textId="33C1254F" w:rsidR="00F86D38" w:rsidRPr="000610C7" w:rsidRDefault="00F86D38" w:rsidP="00261EA1">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Aboriginal and Torres Strait Islander</w:t>
            </w:r>
          </w:p>
        </w:tc>
        <w:tc>
          <w:tcPr>
            <w:tcW w:w="1481" w:type="dxa"/>
          </w:tcPr>
          <w:p w14:paraId="282837E7" w14:textId="74612F18" w:rsidR="00F86D38" w:rsidRPr="000610C7" w:rsidRDefault="00F86D38" w:rsidP="00261EA1">
            <w:pPr>
              <w:jc w:val="right"/>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2.7%</w:t>
            </w:r>
          </w:p>
        </w:tc>
      </w:tr>
      <w:tr w:rsidR="00F86D38" w:rsidRPr="000610C7" w14:paraId="091458C4" w14:textId="77777777" w:rsidTr="00F27804">
        <w:tc>
          <w:tcPr>
            <w:tcW w:w="5954" w:type="dxa"/>
            <w:gridSpan w:val="2"/>
          </w:tcPr>
          <w:p w14:paraId="475498C1" w14:textId="157DE8DE" w:rsidR="00F86D38" w:rsidRPr="000610C7" w:rsidRDefault="00F86D38" w:rsidP="00261EA1">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People with disability</w:t>
            </w:r>
          </w:p>
        </w:tc>
        <w:tc>
          <w:tcPr>
            <w:tcW w:w="1481" w:type="dxa"/>
          </w:tcPr>
          <w:p w14:paraId="1374F62A" w14:textId="3A3377BD" w:rsidR="00F86D38" w:rsidRPr="000610C7" w:rsidRDefault="00F86D38" w:rsidP="00261EA1">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1.5</w:t>
            </w:r>
            <w:r w:rsidRPr="000610C7">
              <w:rPr>
                <w:rFonts w:ascii="Arial" w:hAnsi="Arial" w:cs="Arial"/>
                <w:color w:val="000000"/>
                <w:sz w:val="24"/>
                <w:szCs w:val="24"/>
                <w:shd w:val="clear" w:color="auto" w:fill="FFFFFF"/>
              </w:rPr>
              <w:t>%</w:t>
            </w:r>
          </w:p>
        </w:tc>
      </w:tr>
      <w:tr w:rsidR="00F86D38" w:rsidRPr="000610C7" w14:paraId="7C2D5086" w14:textId="77777777" w:rsidTr="00F27804">
        <w:tc>
          <w:tcPr>
            <w:tcW w:w="5954" w:type="dxa"/>
            <w:gridSpan w:val="2"/>
          </w:tcPr>
          <w:p w14:paraId="6C9E10D2" w14:textId="0C3FF4F3" w:rsidR="00F86D38" w:rsidRPr="000610C7" w:rsidRDefault="00F86D38" w:rsidP="00261EA1">
            <w:pPr>
              <w:rPr>
                <w:rFonts w:ascii="Arial" w:hAnsi="Arial" w:cs="Arial"/>
                <w:color w:val="000000"/>
                <w:sz w:val="24"/>
                <w:szCs w:val="24"/>
                <w:shd w:val="clear" w:color="auto" w:fill="FFFFFF"/>
              </w:rPr>
            </w:pPr>
            <w:r>
              <w:rPr>
                <w:rFonts w:ascii="Arial" w:hAnsi="Arial" w:cs="Arial"/>
                <w:color w:val="000000"/>
                <w:sz w:val="24"/>
                <w:szCs w:val="24"/>
                <w:shd w:val="clear" w:color="auto" w:fill="FFFFFF"/>
              </w:rPr>
              <w:t>Culturally and</w:t>
            </w:r>
            <w:r w:rsidRPr="000610C7">
              <w:rPr>
                <w:rFonts w:ascii="Arial" w:hAnsi="Arial" w:cs="Arial"/>
                <w:color w:val="000000"/>
                <w:sz w:val="24"/>
                <w:szCs w:val="24"/>
                <w:shd w:val="clear" w:color="auto" w:fill="FFFFFF"/>
              </w:rPr>
              <w:t xml:space="preserve"> linguistically diverse</w:t>
            </w:r>
          </w:p>
        </w:tc>
        <w:tc>
          <w:tcPr>
            <w:tcW w:w="1481" w:type="dxa"/>
          </w:tcPr>
          <w:p w14:paraId="06F83C48" w14:textId="25DB0F9C" w:rsidR="00F86D38" w:rsidRPr="000610C7" w:rsidRDefault="00F86D38" w:rsidP="00261EA1">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13.9</w:t>
            </w:r>
            <w:r w:rsidRPr="000610C7">
              <w:rPr>
                <w:rFonts w:ascii="Arial" w:hAnsi="Arial" w:cs="Arial"/>
                <w:color w:val="000000"/>
                <w:sz w:val="24"/>
                <w:szCs w:val="24"/>
                <w:shd w:val="clear" w:color="auto" w:fill="FFFFFF"/>
              </w:rPr>
              <w:t>%</w:t>
            </w:r>
          </w:p>
        </w:tc>
      </w:tr>
      <w:tr w:rsidR="00F86D38" w:rsidRPr="000610C7" w14:paraId="1C8ECE3D" w14:textId="77777777" w:rsidTr="00F27804">
        <w:tc>
          <w:tcPr>
            <w:tcW w:w="5954" w:type="dxa"/>
            <w:gridSpan w:val="2"/>
          </w:tcPr>
          <w:p w14:paraId="7177119F" w14:textId="77777777" w:rsidR="00F86D38" w:rsidRPr="000610C7" w:rsidRDefault="00F86D38" w:rsidP="00261EA1">
            <w:pPr>
              <w:rPr>
                <w:rFonts w:ascii="Arial" w:hAnsi="Arial" w:cs="Arial"/>
                <w:color w:val="000000"/>
                <w:sz w:val="24"/>
                <w:szCs w:val="24"/>
                <w:shd w:val="clear" w:color="auto" w:fill="FFFFFF"/>
              </w:rPr>
            </w:pPr>
          </w:p>
        </w:tc>
        <w:tc>
          <w:tcPr>
            <w:tcW w:w="1481" w:type="dxa"/>
          </w:tcPr>
          <w:p w14:paraId="7FEC0528" w14:textId="77777777" w:rsidR="00F86D38" w:rsidRPr="000610C7" w:rsidRDefault="00F86D38" w:rsidP="00261EA1">
            <w:pPr>
              <w:jc w:val="right"/>
              <w:rPr>
                <w:rFonts w:ascii="Arial" w:hAnsi="Arial" w:cs="Arial"/>
                <w:color w:val="000000"/>
                <w:sz w:val="24"/>
                <w:szCs w:val="24"/>
                <w:shd w:val="clear" w:color="auto" w:fill="FFFFFF"/>
              </w:rPr>
            </w:pPr>
          </w:p>
        </w:tc>
      </w:tr>
      <w:tr w:rsidR="00F86D38" w:rsidRPr="000610C7" w14:paraId="2B86501C" w14:textId="77777777" w:rsidTr="00F27804">
        <w:tc>
          <w:tcPr>
            <w:tcW w:w="5954" w:type="dxa"/>
            <w:gridSpan w:val="2"/>
          </w:tcPr>
          <w:p w14:paraId="2D8AB3A2" w14:textId="77D85BB9" w:rsidR="00F86D38" w:rsidRPr="000610C7" w:rsidRDefault="00F86D38" w:rsidP="00261EA1">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 xml:space="preserve">Aged </w:t>
            </w:r>
            <w:r>
              <w:rPr>
                <w:rFonts w:ascii="Arial" w:hAnsi="Arial" w:cs="Arial"/>
                <w:color w:val="000000"/>
                <w:sz w:val="24"/>
                <w:szCs w:val="24"/>
                <w:shd w:val="clear" w:color="auto" w:fill="FFFFFF"/>
              </w:rPr>
              <w:t>3</w:t>
            </w:r>
            <w:r w:rsidRPr="000610C7">
              <w:rPr>
                <w:rFonts w:ascii="Arial" w:hAnsi="Arial" w:cs="Arial"/>
                <w:color w:val="000000"/>
                <w:sz w:val="24"/>
                <w:szCs w:val="24"/>
                <w:shd w:val="clear" w:color="auto" w:fill="FFFFFF"/>
              </w:rPr>
              <w:t>4 and under</w:t>
            </w:r>
          </w:p>
        </w:tc>
        <w:tc>
          <w:tcPr>
            <w:tcW w:w="1481" w:type="dxa"/>
          </w:tcPr>
          <w:p w14:paraId="3D1A0D8B" w14:textId="3A0AFCE5" w:rsidR="00F86D38" w:rsidRPr="000610C7" w:rsidRDefault="00F86D38" w:rsidP="00261EA1">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23.6</w:t>
            </w:r>
            <w:r w:rsidRPr="000610C7">
              <w:rPr>
                <w:rFonts w:ascii="Arial" w:hAnsi="Arial" w:cs="Arial"/>
                <w:color w:val="000000"/>
                <w:sz w:val="24"/>
                <w:szCs w:val="24"/>
                <w:shd w:val="clear" w:color="auto" w:fill="FFFFFF"/>
              </w:rPr>
              <w:t>%</w:t>
            </w:r>
          </w:p>
        </w:tc>
      </w:tr>
      <w:tr w:rsidR="00F86D38" w:rsidRPr="000610C7" w14:paraId="6601516C" w14:textId="77777777" w:rsidTr="00F27804">
        <w:tc>
          <w:tcPr>
            <w:tcW w:w="5954" w:type="dxa"/>
            <w:gridSpan w:val="2"/>
          </w:tcPr>
          <w:p w14:paraId="5ABC0801" w14:textId="2C6FB467" w:rsidR="00F86D38" w:rsidRPr="000610C7" w:rsidRDefault="00F86D38" w:rsidP="00261EA1">
            <w:pPr>
              <w:ind w:left="37" w:hanging="37"/>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Aged 55 and over</w:t>
            </w:r>
          </w:p>
        </w:tc>
        <w:tc>
          <w:tcPr>
            <w:tcW w:w="1481" w:type="dxa"/>
          </w:tcPr>
          <w:p w14:paraId="7A8BF34A" w14:textId="4AAC9E1C" w:rsidR="00F86D38" w:rsidRPr="000610C7" w:rsidRDefault="00F86D38" w:rsidP="00261EA1">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26.9</w:t>
            </w:r>
            <w:r w:rsidRPr="000610C7">
              <w:rPr>
                <w:rFonts w:ascii="Arial" w:hAnsi="Arial" w:cs="Arial"/>
                <w:color w:val="000000"/>
                <w:sz w:val="24"/>
                <w:szCs w:val="24"/>
                <w:shd w:val="clear" w:color="auto" w:fill="FFFFFF"/>
              </w:rPr>
              <w:t>%</w:t>
            </w:r>
          </w:p>
        </w:tc>
      </w:tr>
      <w:tr w:rsidR="00F86D38" w:rsidRPr="000610C7" w14:paraId="2903238C" w14:textId="77777777" w:rsidTr="00F27804">
        <w:tc>
          <w:tcPr>
            <w:tcW w:w="5954" w:type="dxa"/>
            <w:gridSpan w:val="2"/>
          </w:tcPr>
          <w:p w14:paraId="5B9D79AB" w14:textId="6E933379" w:rsidR="00F86D38" w:rsidRPr="000610C7" w:rsidRDefault="00F86D38" w:rsidP="00261EA1">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Median age</w:t>
            </w:r>
          </w:p>
        </w:tc>
        <w:tc>
          <w:tcPr>
            <w:tcW w:w="1481" w:type="dxa"/>
          </w:tcPr>
          <w:p w14:paraId="4351825E" w14:textId="1BC2E872" w:rsidR="00F86D38" w:rsidRPr="000610C7" w:rsidRDefault="00F86D38" w:rsidP="00261EA1">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46</w:t>
            </w:r>
          </w:p>
        </w:tc>
      </w:tr>
      <w:tr w:rsidR="00F86D38" w:rsidRPr="000610C7" w14:paraId="77EEC42D" w14:textId="77777777" w:rsidTr="00F27804">
        <w:tc>
          <w:tcPr>
            <w:tcW w:w="5954" w:type="dxa"/>
            <w:gridSpan w:val="2"/>
          </w:tcPr>
          <w:p w14:paraId="78776BB3" w14:textId="77777777" w:rsidR="00F86D38" w:rsidRPr="000610C7" w:rsidRDefault="00F86D38" w:rsidP="00261EA1">
            <w:pPr>
              <w:rPr>
                <w:rFonts w:ascii="Arial" w:hAnsi="Arial" w:cs="Arial"/>
                <w:color w:val="000000"/>
                <w:sz w:val="24"/>
                <w:szCs w:val="24"/>
                <w:shd w:val="clear" w:color="auto" w:fill="FFFFFF"/>
              </w:rPr>
            </w:pPr>
          </w:p>
        </w:tc>
        <w:tc>
          <w:tcPr>
            <w:tcW w:w="1481" w:type="dxa"/>
          </w:tcPr>
          <w:p w14:paraId="186BBAED" w14:textId="77777777" w:rsidR="00F86D38" w:rsidRPr="000610C7" w:rsidRDefault="00F86D38" w:rsidP="00261EA1">
            <w:pPr>
              <w:jc w:val="right"/>
              <w:rPr>
                <w:rFonts w:ascii="Arial" w:hAnsi="Arial" w:cs="Arial"/>
                <w:color w:val="000000"/>
                <w:sz w:val="24"/>
                <w:szCs w:val="24"/>
                <w:shd w:val="clear" w:color="auto" w:fill="FFFFFF"/>
              </w:rPr>
            </w:pPr>
          </w:p>
        </w:tc>
      </w:tr>
      <w:tr w:rsidR="00F86D38" w:rsidRPr="000610C7" w14:paraId="609145EC" w14:textId="77777777" w:rsidTr="00EF4B0F">
        <w:tc>
          <w:tcPr>
            <w:tcW w:w="1701" w:type="dxa"/>
            <w:vMerge w:val="restart"/>
            <w:vAlign w:val="center"/>
          </w:tcPr>
          <w:p w14:paraId="1DE8E763" w14:textId="2B84DB0B" w:rsidR="00F86D38" w:rsidRPr="000610C7" w:rsidRDefault="00F86D38" w:rsidP="00261EA1">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Top 3 occupation groups (FTE)</w:t>
            </w:r>
          </w:p>
        </w:tc>
        <w:tc>
          <w:tcPr>
            <w:tcW w:w="4253" w:type="dxa"/>
          </w:tcPr>
          <w:p w14:paraId="0B019051" w14:textId="3955FB6D" w:rsidR="00F86D38" w:rsidRPr="000610C7" w:rsidRDefault="00F86D38" w:rsidP="00261EA1">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Teachers</w:t>
            </w:r>
          </w:p>
        </w:tc>
        <w:tc>
          <w:tcPr>
            <w:tcW w:w="1481" w:type="dxa"/>
            <w:vAlign w:val="center"/>
          </w:tcPr>
          <w:p w14:paraId="560A349D" w14:textId="7F2623F7" w:rsidR="00F86D38" w:rsidRPr="000610C7" w:rsidRDefault="00F86D38" w:rsidP="00261EA1">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19.3%</w:t>
            </w:r>
          </w:p>
        </w:tc>
      </w:tr>
      <w:tr w:rsidR="00F86D38" w:rsidRPr="000610C7" w14:paraId="526F70BD" w14:textId="77777777" w:rsidTr="00F27804">
        <w:tc>
          <w:tcPr>
            <w:tcW w:w="1701" w:type="dxa"/>
            <w:vMerge/>
          </w:tcPr>
          <w:p w14:paraId="4034553D" w14:textId="77777777" w:rsidR="00F86D38" w:rsidRPr="000610C7" w:rsidRDefault="00F86D38" w:rsidP="00261EA1">
            <w:pPr>
              <w:pStyle w:val="ListParagraph"/>
              <w:numPr>
                <w:ilvl w:val="0"/>
                <w:numId w:val="2"/>
              </w:numPr>
              <w:contextualSpacing w:val="0"/>
              <w:rPr>
                <w:rFonts w:ascii="Arial" w:hAnsi="Arial" w:cs="Arial"/>
                <w:color w:val="000000"/>
                <w:sz w:val="24"/>
                <w:szCs w:val="24"/>
                <w:shd w:val="clear" w:color="auto" w:fill="FFFFFF"/>
              </w:rPr>
            </w:pPr>
          </w:p>
        </w:tc>
        <w:tc>
          <w:tcPr>
            <w:tcW w:w="4253" w:type="dxa"/>
          </w:tcPr>
          <w:p w14:paraId="32B6CB38" w14:textId="0EE45075" w:rsidR="00F86D38" w:rsidRPr="000610C7" w:rsidRDefault="00F86D38" w:rsidP="00261EA1">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Clerical workers</w:t>
            </w:r>
          </w:p>
        </w:tc>
        <w:tc>
          <w:tcPr>
            <w:tcW w:w="1481" w:type="dxa"/>
          </w:tcPr>
          <w:p w14:paraId="299EF6D1" w14:textId="36B85823" w:rsidR="00F86D38" w:rsidRPr="000610C7" w:rsidRDefault="00F86D38" w:rsidP="00261EA1">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16.6</w:t>
            </w:r>
            <w:r w:rsidRPr="000610C7">
              <w:rPr>
                <w:rFonts w:ascii="Arial" w:hAnsi="Arial" w:cs="Arial"/>
                <w:color w:val="000000"/>
                <w:sz w:val="24"/>
                <w:szCs w:val="24"/>
                <w:shd w:val="clear" w:color="auto" w:fill="FFFFFF"/>
              </w:rPr>
              <w:t>%</w:t>
            </w:r>
          </w:p>
        </w:tc>
      </w:tr>
      <w:tr w:rsidR="00F86D38" w:rsidRPr="000610C7" w14:paraId="2278A679" w14:textId="77777777" w:rsidTr="00F27804">
        <w:tc>
          <w:tcPr>
            <w:tcW w:w="1701" w:type="dxa"/>
            <w:vMerge/>
          </w:tcPr>
          <w:p w14:paraId="1844E113" w14:textId="77777777" w:rsidR="00F86D38" w:rsidRPr="000610C7" w:rsidRDefault="00F86D38" w:rsidP="00261EA1">
            <w:pPr>
              <w:pStyle w:val="ListParagraph"/>
              <w:numPr>
                <w:ilvl w:val="0"/>
                <w:numId w:val="2"/>
              </w:numPr>
              <w:contextualSpacing w:val="0"/>
              <w:rPr>
                <w:rFonts w:ascii="Arial" w:hAnsi="Arial" w:cs="Arial"/>
                <w:color w:val="000000"/>
                <w:sz w:val="24"/>
                <w:szCs w:val="24"/>
                <w:shd w:val="clear" w:color="auto" w:fill="FFFFFF"/>
              </w:rPr>
            </w:pPr>
          </w:p>
        </w:tc>
        <w:tc>
          <w:tcPr>
            <w:tcW w:w="4253" w:type="dxa"/>
          </w:tcPr>
          <w:p w14:paraId="257B4449" w14:textId="60F81CBA" w:rsidR="00F86D38" w:rsidRPr="000610C7" w:rsidRDefault="00F86D38" w:rsidP="00261EA1">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Nurses and midwives</w:t>
            </w:r>
          </w:p>
        </w:tc>
        <w:tc>
          <w:tcPr>
            <w:tcW w:w="1481" w:type="dxa"/>
          </w:tcPr>
          <w:p w14:paraId="04F768B5" w14:textId="703D9DB2" w:rsidR="00F86D38" w:rsidRPr="000610C7" w:rsidRDefault="00F86D38" w:rsidP="00261EA1">
            <w:pPr>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10.9</w:t>
            </w:r>
            <w:r w:rsidRPr="000610C7">
              <w:rPr>
                <w:rFonts w:ascii="Arial" w:hAnsi="Arial" w:cs="Arial"/>
                <w:color w:val="000000"/>
                <w:sz w:val="24"/>
                <w:szCs w:val="24"/>
                <w:shd w:val="clear" w:color="auto" w:fill="FFFFFF"/>
              </w:rPr>
              <w:t>%</w:t>
            </w:r>
          </w:p>
        </w:tc>
      </w:tr>
    </w:tbl>
    <w:p w14:paraId="6B30E29B" w14:textId="77777777" w:rsidR="006258A2" w:rsidRPr="000610C7" w:rsidRDefault="006258A2" w:rsidP="00F140D9">
      <w:pPr>
        <w:rPr>
          <w:rFonts w:ascii="Arial" w:hAnsi="Arial" w:cs="Arial"/>
          <w:color w:val="000000"/>
          <w:sz w:val="24"/>
          <w:szCs w:val="24"/>
          <w:shd w:val="clear" w:color="auto" w:fill="FFFFFF"/>
        </w:rPr>
      </w:pPr>
    </w:p>
    <w:p w14:paraId="4D724E11" w14:textId="77777777" w:rsidR="00CC76B7" w:rsidRPr="000610C7" w:rsidRDefault="00CC76B7" w:rsidP="000610C7">
      <w:pPr>
        <w:pStyle w:val="Heading2"/>
      </w:pPr>
      <w:r w:rsidRPr="000610C7">
        <w:lastRenderedPageBreak/>
        <w:t>Sector profile</w:t>
      </w:r>
    </w:p>
    <w:p w14:paraId="3529C276" w14:textId="77777777" w:rsidR="004375DD" w:rsidRPr="00BC2116" w:rsidRDefault="004375DD" w:rsidP="00CC76B7">
      <w:pPr>
        <w:rPr>
          <w:rFonts w:ascii="Arial" w:hAnsi="Arial" w:cs="Arial"/>
          <w:b/>
          <w:color w:val="000000"/>
          <w:sz w:val="27"/>
          <w:szCs w:val="27"/>
          <w:shd w:val="clear" w:color="auto" w:fill="FFFFFF"/>
        </w:rPr>
      </w:pPr>
      <w:r w:rsidRPr="00BC2116">
        <w:rPr>
          <w:rFonts w:ascii="Arial" w:hAnsi="Arial" w:cs="Arial"/>
          <w:b/>
          <w:color w:val="000000"/>
          <w:sz w:val="27"/>
          <w:szCs w:val="27"/>
          <w:shd w:val="clear" w:color="auto" w:fill="FFFFFF"/>
        </w:rPr>
        <w:t>Employment trends</w:t>
      </w:r>
    </w:p>
    <w:p w14:paraId="186126BC" w14:textId="10BDE850" w:rsidR="001943ED" w:rsidRPr="001943ED" w:rsidRDefault="001943ED" w:rsidP="001943ED">
      <w:pPr>
        <w:rPr>
          <w:rFonts w:ascii="Arial" w:hAnsi="Arial" w:cs="Arial"/>
          <w:color w:val="000000"/>
          <w:sz w:val="24"/>
          <w:szCs w:val="24"/>
          <w:shd w:val="clear" w:color="auto" w:fill="FFFFFF"/>
        </w:rPr>
      </w:pPr>
      <w:r w:rsidRPr="001943ED">
        <w:rPr>
          <w:rFonts w:ascii="Arial" w:hAnsi="Arial" w:cs="Arial"/>
          <w:color w:val="000000"/>
          <w:sz w:val="24"/>
          <w:szCs w:val="24"/>
          <w:shd w:val="clear" w:color="auto" w:fill="FFFFFF"/>
        </w:rPr>
        <w:t xml:space="preserve">In March 2020, the WA public sector employed </w:t>
      </w:r>
      <w:r w:rsidR="0099607C">
        <w:rPr>
          <w:rFonts w:ascii="Arial" w:hAnsi="Arial" w:cs="Arial"/>
          <w:color w:val="000000"/>
          <w:sz w:val="24"/>
          <w:szCs w:val="24"/>
          <w:shd w:val="clear" w:color="auto" w:fill="FFFFFF"/>
        </w:rPr>
        <w:t>146 343</w:t>
      </w:r>
      <w:r w:rsidRPr="001943ED">
        <w:rPr>
          <w:rFonts w:ascii="Arial" w:hAnsi="Arial" w:cs="Arial"/>
          <w:color w:val="000000"/>
          <w:sz w:val="24"/>
          <w:szCs w:val="24"/>
          <w:shd w:val="clear" w:color="auto" w:fill="FFFFFF"/>
        </w:rPr>
        <w:t xml:space="preserve"> people (headcount), an increase of </w:t>
      </w:r>
      <w:r w:rsidR="0099607C">
        <w:rPr>
          <w:rFonts w:ascii="Arial" w:hAnsi="Arial" w:cs="Arial"/>
          <w:color w:val="000000"/>
          <w:sz w:val="24"/>
          <w:szCs w:val="24"/>
          <w:shd w:val="clear" w:color="auto" w:fill="FFFFFF"/>
        </w:rPr>
        <w:t xml:space="preserve">2757 </w:t>
      </w:r>
      <w:r w:rsidRPr="001943ED">
        <w:rPr>
          <w:rFonts w:ascii="Arial" w:hAnsi="Arial" w:cs="Arial"/>
          <w:color w:val="000000"/>
          <w:sz w:val="24"/>
          <w:szCs w:val="24"/>
          <w:shd w:val="clear" w:color="auto" w:fill="FFFFFF"/>
        </w:rPr>
        <w:t xml:space="preserve">from December 2019. The number of full-time equivalent (FTE) showed a similar increase of </w:t>
      </w:r>
      <w:r w:rsidR="0099607C">
        <w:rPr>
          <w:rFonts w:ascii="Arial" w:hAnsi="Arial" w:cs="Arial"/>
          <w:color w:val="000000"/>
          <w:sz w:val="24"/>
          <w:szCs w:val="24"/>
          <w:shd w:val="clear" w:color="auto" w:fill="FFFFFF"/>
        </w:rPr>
        <w:t xml:space="preserve">2406 </w:t>
      </w:r>
      <w:r w:rsidRPr="001943ED">
        <w:rPr>
          <w:rFonts w:ascii="Arial" w:hAnsi="Arial" w:cs="Arial"/>
          <w:color w:val="000000"/>
          <w:sz w:val="24"/>
          <w:szCs w:val="24"/>
          <w:shd w:val="clear" w:color="auto" w:fill="FFFFFF"/>
        </w:rPr>
        <w:t xml:space="preserve">to </w:t>
      </w:r>
      <w:r w:rsidR="0099607C">
        <w:rPr>
          <w:rFonts w:ascii="Arial" w:hAnsi="Arial" w:cs="Arial"/>
          <w:color w:val="000000"/>
          <w:sz w:val="24"/>
          <w:szCs w:val="24"/>
          <w:shd w:val="clear" w:color="auto" w:fill="FFFFFF"/>
        </w:rPr>
        <w:t>115 548</w:t>
      </w:r>
      <w:r w:rsidRPr="001943ED">
        <w:rPr>
          <w:rFonts w:ascii="Arial" w:hAnsi="Arial" w:cs="Arial"/>
          <w:color w:val="000000"/>
          <w:sz w:val="24"/>
          <w:szCs w:val="24"/>
          <w:shd w:val="clear" w:color="auto" w:fill="FFFFFF"/>
        </w:rPr>
        <w:t>.</w:t>
      </w:r>
    </w:p>
    <w:p w14:paraId="5BC5B133" w14:textId="5A6B0D35" w:rsidR="00994760" w:rsidRDefault="00994760" w:rsidP="001943ED">
      <w:pPr>
        <w:rPr>
          <w:rFonts w:ascii="Arial" w:hAnsi="Arial" w:cs="Arial"/>
          <w:color w:val="000000"/>
          <w:sz w:val="24"/>
          <w:szCs w:val="24"/>
          <w:shd w:val="clear" w:color="auto" w:fill="FFFFFF"/>
        </w:rPr>
      </w:pPr>
      <w:proofErr w:type="gramStart"/>
      <w:r>
        <w:rPr>
          <w:rFonts w:ascii="Arial" w:hAnsi="Arial" w:cs="Arial"/>
          <w:color w:val="000000"/>
          <w:sz w:val="24"/>
          <w:szCs w:val="24"/>
          <w:shd w:val="clear" w:color="auto" w:fill="FFFFFF"/>
        </w:rPr>
        <w:t>The majority of</w:t>
      </w:r>
      <w:proofErr w:type="gramEnd"/>
      <w:r>
        <w:rPr>
          <w:rFonts w:ascii="Arial" w:hAnsi="Arial" w:cs="Arial"/>
          <w:color w:val="000000"/>
          <w:sz w:val="24"/>
          <w:szCs w:val="24"/>
          <w:shd w:val="clear" w:color="auto" w:fill="FFFFFF"/>
        </w:rPr>
        <w:t xml:space="preserve"> the increase relates to additional employees to support WA Health respond to COVID-19 and seasonal variation with the recommencement of the academic year.</w:t>
      </w:r>
    </w:p>
    <w:p w14:paraId="7D87A521" w14:textId="7D44AB1D" w:rsidR="00994760" w:rsidRDefault="00994760" w:rsidP="001943ED">
      <w:pPr>
        <w:rPr>
          <w:rFonts w:ascii="Arial" w:hAnsi="Arial" w:cs="Arial"/>
          <w:color w:val="000000"/>
          <w:sz w:val="24"/>
          <w:szCs w:val="24"/>
          <w:shd w:val="clear" w:color="auto" w:fill="FFFFFF"/>
        </w:rPr>
      </w:pPr>
      <w:r>
        <w:rPr>
          <w:rFonts w:ascii="Arial" w:hAnsi="Arial" w:cs="Arial"/>
          <w:color w:val="000000"/>
          <w:sz w:val="24"/>
          <w:szCs w:val="24"/>
          <w:shd w:val="clear" w:color="auto" w:fill="FFFFFF"/>
        </w:rPr>
        <w:t>T</w:t>
      </w:r>
      <w:r w:rsidRPr="001943ED">
        <w:rPr>
          <w:rFonts w:ascii="Arial" w:hAnsi="Arial" w:cs="Arial"/>
          <w:color w:val="000000"/>
          <w:sz w:val="24"/>
          <w:szCs w:val="24"/>
          <w:shd w:val="clear" w:color="auto" w:fill="FFFFFF"/>
        </w:rPr>
        <w:t xml:space="preserve">he March quarter usually sees a </w:t>
      </w:r>
      <w:r w:rsidR="0024476A">
        <w:rPr>
          <w:rFonts w:ascii="Arial" w:hAnsi="Arial" w:cs="Arial"/>
          <w:color w:val="000000"/>
          <w:sz w:val="24"/>
          <w:szCs w:val="24"/>
          <w:shd w:val="clear" w:color="auto" w:fill="FFFFFF"/>
        </w:rPr>
        <w:t>quarterly increase</w:t>
      </w:r>
      <w:r w:rsidR="0024476A" w:rsidRPr="001943ED">
        <w:rPr>
          <w:rFonts w:ascii="Arial" w:hAnsi="Arial" w:cs="Arial"/>
          <w:color w:val="000000"/>
          <w:sz w:val="24"/>
          <w:szCs w:val="24"/>
          <w:shd w:val="clear" w:color="auto" w:fill="FFFFFF"/>
        </w:rPr>
        <w:t xml:space="preserve"> </w:t>
      </w:r>
      <w:r w:rsidRPr="001943ED">
        <w:rPr>
          <w:rFonts w:ascii="Arial" w:hAnsi="Arial" w:cs="Arial"/>
          <w:color w:val="000000"/>
          <w:sz w:val="24"/>
          <w:szCs w:val="24"/>
          <w:shd w:val="clear" w:color="auto" w:fill="FFFFFF"/>
        </w:rPr>
        <w:t xml:space="preserve">in WA Health agencies, as fixed term contracts are </w:t>
      </w:r>
      <w:proofErr w:type="gramStart"/>
      <w:r w:rsidRPr="001943ED">
        <w:rPr>
          <w:rFonts w:ascii="Arial" w:hAnsi="Arial" w:cs="Arial"/>
          <w:color w:val="000000"/>
          <w:sz w:val="24"/>
          <w:szCs w:val="24"/>
          <w:shd w:val="clear" w:color="auto" w:fill="FFFFFF"/>
        </w:rPr>
        <w:t>renewed</w:t>
      </w:r>
      <w:proofErr w:type="gramEnd"/>
      <w:r w:rsidRPr="001943ED">
        <w:rPr>
          <w:rFonts w:ascii="Arial" w:hAnsi="Arial" w:cs="Arial"/>
          <w:color w:val="000000"/>
          <w:sz w:val="24"/>
          <w:szCs w:val="24"/>
          <w:shd w:val="clear" w:color="auto" w:fill="FFFFFF"/>
        </w:rPr>
        <w:t xml:space="preserve"> and new intakes of graduate medical officers are conducted. March 2020, however, had a quarterly increase of 3.2</w:t>
      </w:r>
      <w:r>
        <w:rPr>
          <w:rFonts w:ascii="Arial" w:hAnsi="Arial" w:cs="Arial"/>
          <w:color w:val="000000"/>
          <w:sz w:val="24"/>
          <w:szCs w:val="24"/>
          <w:shd w:val="clear" w:color="auto" w:fill="FFFFFF"/>
        </w:rPr>
        <w:t xml:space="preserve"> per cent </w:t>
      </w:r>
      <w:r w:rsidR="00DC38B1">
        <w:rPr>
          <w:rFonts w:ascii="Arial" w:hAnsi="Arial" w:cs="Arial"/>
          <w:color w:val="000000"/>
          <w:sz w:val="24"/>
          <w:szCs w:val="24"/>
          <w:shd w:val="clear" w:color="auto" w:fill="FFFFFF"/>
        </w:rPr>
        <w:br/>
      </w:r>
      <w:r w:rsidRPr="001943ED">
        <w:rPr>
          <w:rFonts w:ascii="Arial" w:hAnsi="Arial" w:cs="Arial"/>
          <w:color w:val="000000"/>
          <w:sz w:val="24"/>
          <w:szCs w:val="24"/>
          <w:shd w:val="clear" w:color="auto" w:fill="FFFFFF"/>
        </w:rPr>
        <w:t>(+1166 FTE) compared to only 2.4</w:t>
      </w:r>
      <w:r>
        <w:rPr>
          <w:rFonts w:ascii="Arial" w:hAnsi="Arial" w:cs="Arial"/>
          <w:color w:val="000000"/>
          <w:sz w:val="24"/>
          <w:szCs w:val="24"/>
          <w:shd w:val="clear" w:color="auto" w:fill="FFFFFF"/>
        </w:rPr>
        <w:t xml:space="preserve"> per cent</w:t>
      </w:r>
      <w:r w:rsidRPr="001943ED">
        <w:rPr>
          <w:rFonts w:ascii="Arial" w:hAnsi="Arial" w:cs="Arial"/>
          <w:color w:val="000000"/>
          <w:sz w:val="24"/>
          <w:szCs w:val="24"/>
          <w:shd w:val="clear" w:color="auto" w:fill="FFFFFF"/>
        </w:rPr>
        <w:t xml:space="preserve"> for the same period in 2017-18 and 2018-19. The greater increase this year accompanied COVID-19 coronavirus clinics being established, increased COVID-19 testing, and other efforts to help combat the pandemic. Approximately three quarters of the increase in the </w:t>
      </w:r>
      <w:proofErr w:type="gramStart"/>
      <w:r w:rsidRPr="001943ED">
        <w:rPr>
          <w:rFonts w:ascii="Arial" w:hAnsi="Arial" w:cs="Arial"/>
          <w:color w:val="000000"/>
          <w:sz w:val="24"/>
          <w:szCs w:val="24"/>
          <w:shd w:val="clear" w:color="auto" w:fill="FFFFFF"/>
        </w:rPr>
        <w:t>Health</w:t>
      </w:r>
      <w:proofErr w:type="gramEnd"/>
      <w:r w:rsidRPr="001943ED">
        <w:rPr>
          <w:rFonts w:ascii="Arial" w:hAnsi="Arial" w:cs="Arial"/>
          <w:color w:val="000000"/>
          <w:sz w:val="24"/>
          <w:szCs w:val="24"/>
          <w:shd w:val="clear" w:color="auto" w:fill="FFFFFF"/>
        </w:rPr>
        <w:t xml:space="preserve"> portfolio was accounted for by nursing, medical and health professionals and support staff in those areas.</w:t>
      </w:r>
    </w:p>
    <w:p w14:paraId="5B93D995" w14:textId="2750ABD1" w:rsidR="0058211D" w:rsidRDefault="0058211D" w:rsidP="001943ED">
      <w:pPr>
        <w:rPr>
          <w:rFonts w:ascii="Arial" w:hAnsi="Arial" w:cs="Arial"/>
          <w:color w:val="000000"/>
          <w:sz w:val="24"/>
          <w:szCs w:val="24"/>
          <w:shd w:val="clear" w:color="auto" w:fill="FFFFFF"/>
        </w:rPr>
      </w:pPr>
      <w:r w:rsidRPr="0058211D">
        <w:rPr>
          <w:rFonts w:ascii="Arial" w:hAnsi="Arial" w:cs="Arial"/>
          <w:color w:val="000000"/>
          <w:sz w:val="24"/>
          <w:szCs w:val="24"/>
          <w:shd w:val="clear" w:color="auto" w:fill="FFFFFF"/>
        </w:rPr>
        <w:t>The other main component of increase in headcount and FTE is associated with the education sector. These increases follow the usual seasonal cycle and relate to the commencement of the 2020 academic semester.</w:t>
      </w:r>
    </w:p>
    <w:p w14:paraId="1C8695B5" w14:textId="50B1FA2F" w:rsidR="00CC76B7" w:rsidRPr="00CC76B7" w:rsidRDefault="00CC76B7" w:rsidP="00CC76B7">
      <w:pPr>
        <w:rPr>
          <w:rFonts w:ascii="Arial" w:hAnsi="Arial" w:cs="Arial"/>
          <w:b/>
          <w:color w:val="000000"/>
          <w:sz w:val="27"/>
          <w:szCs w:val="27"/>
          <w:shd w:val="clear" w:color="auto" w:fill="FFFFFF"/>
        </w:rPr>
      </w:pPr>
      <w:r w:rsidRPr="00CC76B7">
        <w:rPr>
          <w:rFonts w:ascii="Arial" w:hAnsi="Arial" w:cs="Arial"/>
          <w:b/>
          <w:color w:val="000000"/>
          <w:sz w:val="27"/>
          <w:szCs w:val="27"/>
          <w:shd w:val="clear" w:color="auto" w:fill="FFFFFF"/>
        </w:rPr>
        <w:t>Salaries expenditure</w:t>
      </w:r>
    </w:p>
    <w:p w14:paraId="781AC960" w14:textId="70294915" w:rsidR="00623A1B" w:rsidRDefault="001164A8">
      <w:pPr>
        <w:rPr>
          <w:rFonts w:ascii="Arial" w:hAnsi="Arial" w:cs="Arial"/>
          <w:b/>
          <w:color w:val="000000"/>
          <w:szCs w:val="27"/>
          <w:shd w:val="clear" w:color="auto" w:fill="FFFFFF"/>
        </w:rPr>
      </w:pPr>
      <w:r w:rsidRPr="00DB0BDA">
        <w:rPr>
          <w:rFonts w:ascii="Arial" w:hAnsi="Arial" w:cs="Arial"/>
          <w:sz w:val="24"/>
          <w:szCs w:val="24"/>
        </w:rPr>
        <w:t>Relative to the same period in 2018</w:t>
      </w:r>
      <w:r w:rsidRPr="00DB0BDA">
        <w:rPr>
          <w:rFonts w:ascii="Arial" w:hAnsi="Arial" w:cs="Arial"/>
          <w:sz w:val="24"/>
          <w:szCs w:val="24"/>
        </w:rPr>
        <w:noBreakHyphen/>
        <w:t>19, general government salaries grew by $402 million (or 4.4</w:t>
      </w:r>
      <w:r w:rsidR="00383E02">
        <w:rPr>
          <w:rFonts w:ascii="Arial" w:hAnsi="Arial" w:cs="Arial"/>
          <w:sz w:val="24"/>
          <w:szCs w:val="24"/>
        </w:rPr>
        <w:t xml:space="preserve"> per cent</w:t>
      </w:r>
      <w:r w:rsidRPr="00DB0BDA">
        <w:rPr>
          <w:rFonts w:ascii="Arial" w:hAnsi="Arial" w:cs="Arial"/>
          <w:sz w:val="24"/>
          <w:szCs w:val="24"/>
        </w:rPr>
        <w:t>) over the first three q</w:t>
      </w:r>
      <w:r w:rsidR="001943ED">
        <w:rPr>
          <w:rFonts w:ascii="Arial" w:hAnsi="Arial" w:cs="Arial"/>
          <w:sz w:val="24"/>
          <w:szCs w:val="24"/>
        </w:rPr>
        <w:t>uarters of 2019</w:t>
      </w:r>
      <w:r w:rsidR="001943ED">
        <w:rPr>
          <w:rFonts w:ascii="Arial" w:hAnsi="Arial" w:cs="Arial"/>
          <w:sz w:val="24"/>
          <w:szCs w:val="24"/>
        </w:rPr>
        <w:noBreakHyphen/>
        <w:t>20, to total $9</w:t>
      </w:r>
      <w:r w:rsidRPr="00DB0BDA">
        <w:rPr>
          <w:rFonts w:ascii="Arial" w:hAnsi="Arial" w:cs="Arial"/>
          <w:sz w:val="24"/>
          <w:szCs w:val="24"/>
        </w:rPr>
        <w:t>499 million. Salaries in the health, education, law and order, and community services sectors account for over 83</w:t>
      </w:r>
      <w:r w:rsidR="00383E02">
        <w:rPr>
          <w:rFonts w:ascii="Arial" w:hAnsi="Arial" w:cs="Arial"/>
          <w:sz w:val="24"/>
          <w:szCs w:val="24"/>
        </w:rPr>
        <w:t xml:space="preserve"> per cent</w:t>
      </w:r>
      <w:r w:rsidRPr="00DB0BDA">
        <w:rPr>
          <w:rFonts w:ascii="Arial" w:hAnsi="Arial" w:cs="Arial"/>
          <w:sz w:val="24"/>
          <w:szCs w:val="24"/>
        </w:rPr>
        <w:t xml:space="preserve"> of general government salaries costs in the March outcome. Higher salary costs included increases under the Government’s Wages Policy and other prevailing industrial agreements, the impact of the Government’s commitment to convert eligible casual and fixed-term contract staff to permanent employees across the sector, and other movements in the sector’s workforce.</w:t>
      </w:r>
      <w:r w:rsidR="00623A1B">
        <w:rPr>
          <w:rFonts w:ascii="Arial" w:hAnsi="Arial" w:cs="Arial"/>
          <w:b/>
          <w:color w:val="000000"/>
          <w:szCs w:val="27"/>
          <w:shd w:val="clear" w:color="auto" w:fill="FFFFFF"/>
        </w:rPr>
        <w:br w:type="page"/>
      </w:r>
    </w:p>
    <w:p w14:paraId="25CCE7A9" w14:textId="407541B3" w:rsidR="00235732" w:rsidRPr="00235732" w:rsidRDefault="00235732" w:rsidP="00CC76B7">
      <w:pPr>
        <w:rPr>
          <w:rFonts w:ascii="Arial" w:hAnsi="Arial" w:cs="Arial"/>
          <w:b/>
          <w:color w:val="000000"/>
          <w:szCs w:val="27"/>
          <w:shd w:val="clear" w:color="auto" w:fill="FFFFFF"/>
        </w:rPr>
      </w:pPr>
      <w:r w:rsidRPr="00235732">
        <w:rPr>
          <w:rFonts w:ascii="Arial" w:hAnsi="Arial" w:cs="Arial"/>
          <w:b/>
          <w:color w:val="000000"/>
          <w:szCs w:val="27"/>
          <w:shd w:val="clear" w:color="auto" w:fill="FFFFFF"/>
        </w:rPr>
        <w:lastRenderedPageBreak/>
        <w:t xml:space="preserve">Figure 1. Salaries growth for the </w:t>
      </w:r>
      <w:r w:rsidR="00583006">
        <w:rPr>
          <w:rFonts w:ascii="Arial" w:hAnsi="Arial" w:cs="Arial"/>
          <w:b/>
          <w:color w:val="000000"/>
          <w:szCs w:val="27"/>
          <w:shd w:val="clear" w:color="auto" w:fill="FFFFFF"/>
        </w:rPr>
        <w:t>nine</w:t>
      </w:r>
      <w:r w:rsidRPr="00235732">
        <w:rPr>
          <w:rFonts w:ascii="Arial" w:hAnsi="Arial" w:cs="Arial"/>
          <w:b/>
          <w:color w:val="000000"/>
          <w:szCs w:val="27"/>
          <w:shd w:val="clear" w:color="auto" w:fill="FFFFFF"/>
        </w:rPr>
        <w:t xml:space="preserve"> months to 3</w:t>
      </w:r>
      <w:r w:rsidR="000610C7">
        <w:rPr>
          <w:rFonts w:ascii="Arial" w:hAnsi="Arial" w:cs="Arial"/>
          <w:b/>
          <w:color w:val="000000"/>
          <w:szCs w:val="27"/>
          <w:shd w:val="clear" w:color="auto" w:fill="FFFFFF"/>
        </w:rPr>
        <w:t>1</w:t>
      </w:r>
      <w:r w:rsidRPr="00235732">
        <w:rPr>
          <w:rFonts w:ascii="Arial" w:hAnsi="Arial" w:cs="Arial"/>
          <w:b/>
          <w:color w:val="000000"/>
          <w:szCs w:val="27"/>
          <w:shd w:val="clear" w:color="auto" w:fill="FFFFFF"/>
        </w:rPr>
        <w:t xml:space="preserve"> </w:t>
      </w:r>
      <w:r w:rsidR="00583006">
        <w:rPr>
          <w:rFonts w:ascii="Arial" w:hAnsi="Arial" w:cs="Arial"/>
          <w:b/>
          <w:color w:val="000000"/>
          <w:szCs w:val="27"/>
          <w:shd w:val="clear" w:color="auto" w:fill="FFFFFF"/>
        </w:rPr>
        <w:t xml:space="preserve">March </w:t>
      </w:r>
      <w:r w:rsidRPr="00235732">
        <w:rPr>
          <w:rFonts w:ascii="Arial" w:hAnsi="Arial" w:cs="Arial"/>
          <w:b/>
          <w:color w:val="000000"/>
          <w:szCs w:val="27"/>
          <w:shd w:val="clear" w:color="auto" w:fill="FFFFFF"/>
        </w:rPr>
        <w:t>(general government)</w:t>
      </w:r>
    </w:p>
    <w:p w14:paraId="40E01610" w14:textId="3FA37868" w:rsidR="007C147E" w:rsidRPr="00235732" w:rsidRDefault="007C147E" w:rsidP="007C147E">
      <w:pPr>
        <w:pStyle w:val="Caption"/>
        <w:keepNext/>
        <w:rPr>
          <w:noProof/>
          <w:lang w:val="en-AU"/>
        </w:rPr>
      </w:pPr>
      <w:r w:rsidRPr="007C147E">
        <w:rPr>
          <w:i/>
        </w:rPr>
        <w:t xml:space="preserve"> </w:t>
      </w:r>
      <w:r w:rsidR="00583006">
        <w:rPr>
          <w:rFonts w:cs="Arial"/>
          <w:b w:val="0"/>
          <w:noProof/>
          <w:color w:val="000000"/>
          <w:szCs w:val="27"/>
          <w:shd w:val="clear" w:color="auto" w:fill="FFFFFF"/>
          <w:lang w:val="en-AU" w:eastAsia="en-AU"/>
        </w:rPr>
        <w:drawing>
          <wp:inline distT="0" distB="0" distL="0" distR="0" wp14:anchorId="00A210D8" wp14:editId="4C48A1E9">
            <wp:extent cx="5709600" cy="3064563"/>
            <wp:effectExtent l="0" t="0" r="5715" b="254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9600" cy="3064563"/>
                    </a:xfrm>
                    <a:prstGeom prst="rect">
                      <a:avLst/>
                    </a:prstGeom>
                    <a:noFill/>
                  </pic:spPr>
                </pic:pic>
              </a:graphicData>
            </a:graphic>
          </wp:inline>
        </w:drawing>
      </w:r>
    </w:p>
    <w:p w14:paraId="6FBB2B37" w14:textId="21D7F6E0" w:rsidR="00A81B43" w:rsidRPr="001943ED" w:rsidRDefault="00A81B43" w:rsidP="00A81B43">
      <w:pPr>
        <w:rPr>
          <w:rFonts w:ascii="Arial" w:hAnsi="Arial" w:cs="Arial"/>
          <w:lang w:eastAsia="zh-CN"/>
        </w:rPr>
      </w:pPr>
      <w:r w:rsidRPr="001943ED">
        <w:rPr>
          <w:rFonts w:ascii="Arial" w:hAnsi="Arial" w:cs="Arial"/>
          <w:i/>
          <w:lang w:eastAsia="zh-CN"/>
        </w:rPr>
        <w:t>[ALT text -</w:t>
      </w:r>
      <w:r w:rsidRPr="001943ED">
        <w:rPr>
          <w:rFonts w:ascii="Arial" w:hAnsi="Arial" w:cs="Arial"/>
          <w:lang w:eastAsia="zh-CN"/>
        </w:rPr>
        <w:t xml:space="preserve"> </w:t>
      </w:r>
      <w:r w:rsidR="00F84448" w:rsidRPr="00F84448">
        <w:rPr>
          <w:rFonts w:ascii="Arial" w:hAnsi="Arial" w:cs="Arial"/>
          <w:i/>
        </w:rPr>
        <w:t xml:space="preserve">Salaries growth for the </w:t>
      </w:r>
      <w:r w:rsidR="00583006">
        <w:rPr>
          <w:rFonts w:ascii="Arial" w:hAnsi="Arial" w:cs="Arial"/>
          <w:i/>
        </w:rPr>
        <w:t>nine</w:t>
      </w:r>
      <w:r w:rsidR="00F84448" w:rsidRPr="00F84448">
        <w:rPr>
          <w:rFonts w:ascii="Arial" w:hAnsi="Arial" w:cs="Arial"/>
          <w:i/>
        </w:rPr>
        <w:t xml:space="preserve"> months to 31 March (general government) was 4.4 per cent in 2019-20, compared to a ten-year average of 6.3 percent</w:t>
      </w:r>
      <w:r w:rsidRPr="001943ED">
        <w:rPr>
          <w:rFonts w:ascii="Arial" w:hAnsi="Arial" w:cs="Arial"/>
          <w:i/>
          <w:noProof/>
        </w:rPr>
        <w:t>.]</w:t>
      </w:r>
    </w:p>
    <w:p w14:paraId="7A75E127" w14:textId="3359B4F9" w:rsidR="007C147E" w:rsidRPr="000610C7" w:rsidRDefault="00235732" w:rsidP="006258A2">
      <w:pPr>
        <w:rPr>
          <w:rFonts w:ascii="Arial" w:hAnsi="Arial" w:cs="Arial"/>
          <w:color w:val="000000"/>
          <w:sz w:val="24"/>
          <w:szCs w:val="24"/>
          <w:shd w:val="clear" w:color="auto" w:fill="FFFFFF"/>
        </w:rPr>
      </w:pPr>
      <w:r w:rsidRPr="000610C7">
        <w:rPr>
          <w:rFonts w:ascii="Arial" w:hAnsi="Arial" w:cs="Arial"/>
          <w:color w:val="000000"/>
          <w:sz w:val="24"/>
          <w:szCs w:val="24"/>
          <w:shd w:val="clear" w:color="auto" w:fill="FFFFFF"/>
        </w:rPr>
        <w:t xml:space="preserve">Source: Department of Treasury </w:t>
      </w:r>
    </w:p>
    <w:p w14:paraId="730694A5" w14:textId="77777777" w:rsidR="00763D60" w:rsidRDefault="00763D60">
      <w:pPr>
        <w:rPr>
          <w:rFonts w:ascii="Arial" w:eastAsia="Times New Roman" w:hAnsi="Arial" w:cs="Arial"/>
          <w:b/>
          <w:bCs/>
          <w:color w:val="1A1A1A"/>
          <w:sz w:val="32"/>
          <w:szCs w:val="32"/>
          <w:lang w:eastAsia="en-AU"/>
        </w:rPr>
      </w:pPr>
      <w:r>
        <w:br w:type="page"/>
      </w:r>
    </w:p>
    <w:p w14:paraId="464FD60E" w14:textId="3E3E31BA" w:rsidR="007C147E" w:rsidRPr="00EB09F0" w:rsidRDefault="00C96AD0" w:rsidP="000610C7">
      <w:pPr>
        <w:pStyle w:val="Heading2"/>
      </w:pPr>
      <w:r>
        <w:lastRenderedPageBreak/>
        <w:t>Historical h</w:t>
      </w:r>
      <w:r w:rsidR="007C147E" w:rsidRPr="007C147E">
        <w:t>eadcount</w:t>
      </w:r>
      <w:r w:rsidR="000610C7">
        <w:t xml:space="preserve">, </w:t>
      </w:r>
      <w:proofErr w:type="gramStart"/>
      <w:r w:rsidR="000610C7">
        <w:t>FTE</w:t>
      </w:r>
      <w:proofErr w:type="gramEnd"/>
      <w:r w:rsidR="000610C7">
        <w:t xml:space="preserve"> and salaries expenditure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6"/>
        <w:gridCol w:w="1845"/>
        <w:gridCol w:w="1701"/>
        <w:gridCol w:w="2268"/>
      </w:tblGrid>
      <w:tr w:rsidR="007C147E" w:rsidRPr="00EB09F0" w14:paraId="244B2CDB" w14:textId="77777777" w:rsidTr="00BC2116">
        <w:trPr>
          <w:trHeight w:val="242"/>
          <w:tblHeader/>
        </w:trPr>
        <w:tc>
          <w:tcPr>
            <w:tcW w:w="2266" w:type="dxa"/>
            <w:tcBorders>
              <w:bottom w:val="single" w:sz="12" w:space="0" w:color="auto"/>
              <w:right w:val="single" w:sz="24" w:space="0" w:color="FFFFFF" w:themeColor="background1"/>
            </w:tcBorders>
            <w:vAlign w:val="bottom"/>
          </w:tcPr>
          <w:p w14:paraId="7FD3C022" w14:textId="77777777" w:rsidR="007C147E" w:rsidRPr="00EB09F0" w:rsidRDefault="007C147E" w:rsidP="00EB09F0">
            <w:pPr>
              <w:spacing w:before="60" w:after="60"/>
              <w:jc w:val="center"/>
              <w:rPr>
                <w:rFonts w:ascii="Arial" w:hAnsi="Arial" w:cs="Arial"/>
                <w:b/>
                <w:color w:val="000000"/>
                <w:sz w:val="24"/>
                <w:szCs w:val="24"/>
                <w:shd w:val="clear" w:color="auto" w:fill="FFFFFF"/>
              </w:rPr>
            </w:pPr>
            <w:r w:rsidRPr="00EB09F0">
              <w:rPr>
                <w:rFonts w:ascii="Arial" w:hAnsi="Arial" w:cs="Arial"/>
                <w:b/>
                <w:color w:val="000000"/>
                <w:sz w:val="24"/>
                <w:szCs w:val="24"/>
                <w:shd w:val="clear" w:color="auto" w:fill="FFFFFF"/>
              </w:rPr>
              <w:t>Quarter</w:t>
            </w:r>
          </w:p>
        </w:tc>
        <w:tc>
          <w:tcPr>
            <w:tcW w:w="1845" w:type="dxa"/>
            <w:tcBorders>
              <w:left w:val="single" w:sz="24" w:space="0" w:color="FFFFFF" w:themeColor="background1"/>
              <w:bottom w:val="single" w:sz="12" w:space="0" w:color="auto"/>
              <w:right w:val="single" w:sz="24" w:space="0" w:color="FFFFFF" w:themeColor="background1"/>
            </w:tcBorders>
            <w:vAlign w:val="bottom"/>
          </w:tcPr>
          <w:p w14:paraId="797ECB83" w14:textId="2CA23FE8" w:rsidR="007C147E" w:rsidRPr="00EB09F0" w:rsidRDefault="007C147E" w:rsidP="00EB09F0">
            <w:pPr>
              <w:spacing w:before="60" w:after="60"/>
              <w:jc w:val="center"/>
              <w:rPr>
                <w:rFonts w:ascii="Arial" w:hAnsi="Arial" w:cs="Arial"/>
                <w:b/>
                <w:bCs/>
                <w:color w:val="000000"/>
                <w:sz w:val="24"/>
                <w:szCs w:val="24"/>
                <w:shd w:val="clear" w:color="auto" w:fill="FFFFFF"/>
              </w:rPr>
            </w:pPr>
            <w:r w:rsidRPr="00EB09F0">
              <w:rPr>
                <w:rFonts w:ascii="Arial" w:hAnsi="Arial" w:cs="Arial"/>
                <w:b/>
                <w:bCs/>
                <w:color w:val="000000"/>
                <w:sz w:val="24"/>
                <w:szCs w:val="24"/>
                <w:shd w:val="clear" w:color="auto" w:fill="FFFFFF"/>
              </w:rPr>
              <w:t>Headcount</w:t>
            </w:r>
            <w:bookmarkStart w:id="0" w:name="_Ref501379223"/>
            <w:bookmarkEnd w:id="0"/>
          </w:p>
        </w:tc>
        <w:tc>
          <w:tcPr>
            <w:tcW w:w="1701" w:type="dxa"/>
            <w:tcBorders>
              <w:left w:val="single" w:sz="24" w:space="0" w:color="FFFFFF" w:themeColor="background1"/>
              <w:bottom w:val="single" w:sz="12" w:space="0" w:color="auto"/>
            </w:tcBorders>
            <w:vAlign w:val="bottom"/>
          </w:tcPr>
          <w:p w14:paraId="105267D7" w14:textId="677A67F1" w:rsidR="007C147E" w:rsidRPr="00EB09F0" w:rsidRDefault="007C147E" w:rsidP="00EB09F0">
            <w:pPr>
              <w:spacing w:before="60" w:after="60"/>
              <w:jc w:val="center"/>
              <w:rPr>
                <w:rFonts w:ascii="Arial" w:hAnsi="Arial" w:cs="Arial"/>
                <w:b/>
                <w:bCs/>
                <w:color w:val="000000"/>
                <w:sz w:val="24"/>
                <w:szCs w:val="24"/>
                <w:shd w:val="clear" w:color="auto" w:fill="FFFFFF"/>
              </w:rPr>
            </w:pPr>
            <w:r w:rsidRPr="00EB09F0">
              <w:rPr>
                <w:rFonts w:ascii="Arial" w:hAnsi="Arial" w:cs="Arial"/>
                <w:b/>
                <w:bCs/>
                <w:color w:val="000000"/>
                <w:sz w:val="24"/>
                <w:szCs w:val="24"/>
                <w:shd w:val="clear" w:color="auto" w:fill="FFFFFF"/>
              </w:rPr>
              <w:t>FTE</w:t>
            </w:r>
            <w:bookmarkStart w:id="1" w:name="_Ref501379429"/>
            <w:bookmarkEnd w:id="1"/>
          </w:p>
        </w:tc>
        <w:tc>
          <w:tcPr>
            <w:tcW w:w="2268" w:type="dxa"/>
            <w:tcBorders>
              <w:left w:val="single" w:sz="24" w:space="0" w:color="FFFFFF" w:themeColor="background1"/>
              <w:bottom w:val="single" w:sz="12" w:space="0" w:color="auto"/>
            </w:tcBorders>
            <w:vAlign w:val="bottom"/>
          </w:tcPr>
          <w:p w14:paraId="44665156" w14:textId="321D982D" w:rsidR="007C147E" w:rsidRPr="00EB09F0" w:rsidRDefault="007C147E" w:rsidP="00EB09F0">
            <w:pPr>
              <w:spacing w:before="60" w:after="60"/>
              <w:jc w:val="center"/>
              <w:rPr>
                <w:rFonts w:ascii="Arial" w:hAnsi="Arial" w:cs="Arial"/>
                <w:b/>
                <w:bCs/>
                <w:color w:val="000000"/>
                <w:sz w:val="24"/>
                <w:szCs w:val="24"/>
                <w:shd w:val="clear" w:color="auto" w:fill="FFFFFF"/>
              </w:rPr>
            </w:pPr>
            <w:r w:rsidRPr="00EB09F0">
              <w:rPr>
                <w:rFonts w:ascii="Arial" w:hAnsi="Arial" w:cs="Arial"/>
                <w:b/>
                <w:bCs/>
                <w:color w:val="000000"/>
                <w:sz w:val="24"/>
                <w:szCs w:val="24"/>
                <w:shd w:val="clear" w:color="auto" w:fill="FFFFFF"/>
              </w:rPr>
              <w:t xml:space="preserve">Salaries </w:t>
            </w:r>
            <w:r w:rsidR="00F27804">
              <w:rPr>
                <w:rFonts w:ascii="Arial" w:hAnsi="Arial" w:cs="Arial"/>
                <w:b/>
                <w:bCs/>
                <w:color w:val="000000"/>
                <w:sz w:val="24"/>
                <w:szCs w:val="24"/>
                <w:shd w:val="clear" w:color="auto" w:fill="FFFFFF"/>
              </w:rPr>
              <w:br/>
            </w:r>
            <w:r w:rsidRPr="00EB09F0">
              <w:rPr>
                <w:rFonts w:ascii="Arial" w:hAnsi="Arial" w:cs="Arial"/>
                <w:b/>
                <w:bCs/>
                <w:color w:val="000000"/>
                <w:sz w:val="24"/>
                <w:szCs w:val="24"/>
                <w:shd w:val="clear" w:color="auto" w:fill="FFFFFF"/>
              </w:rPr>
              <w:t>expenditure ($M)</w:t>
            </w:r>
          </w:p>
        </w:tc>
      </w:tr>
      <w:tr w:rsidR="007C147E" w:rsidRPr="00EB09F0" w14:paraId="6C73D5C3" w14:textId="77777777" w:rsidTr="00BC2116">
        <w:tc>
          <w:tcPr>
            <w:tcW w:w="2266" w:type="dxa"/>
            <w:tcBorders>
              <w:top w:val="single" w:sz="12" w:space="0" w:color="auto"/>
              <w:bottom w:val="single" w:sz="4" w:space="0" w:color="auto"/>
            </w:tcBorders>
          </w:tcPr>
          <w:p w14:paraId="73049483"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September 2015</w:t>
            </w:r>
          </w:p>
        </w:tc>
        <w:tc>
          <w:tcPr>
            <w:tcW w:w="1845" w:type="dxa"/>
            <w:tcBorders>
              <w:top w:val="single" w:sz="12" w:space="0" w:color="auto"/>
              <w:bottom w:val="single" w:sz="4" w:space="0" w:color="auto"/>
            </w:tcBorders>
            <w:vAlign w:val="center"/>
          </w:tcPr>
          <w:p w14:paraId="11C26652"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139 277</w:t>
            </w:r>
          </w:p>
        </w:tc>
        <w:tc>
          <w:tcPr>
            <w:tcW w:w="1701" w:type="dxa"/>
            <w:tcBorders>
              <w:top w:val="single" w:sz="12" w:space="0" w:color="auto"/>
              <w:bottom w:val="single" w:sz="4" w:space="0" w:color="auto"/>
            </w:tcBorders>
            <w:vAlign w:val="center"/>
          </w:tcPr>
          <w:p w14:paraId="69DC0DA9"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109 919</w:t>
            </w:r>
          </w:p>
        </w:tc>
        <w:tc>
          <w:tcPr>
            <w:tcW w:w="2268" w:type="dxa"/>
            <w:tcBorders>
              <w:top w:val="single" w:sz="12" w:space="0" w:color="auto"/>
              <w:bottom w:val="single" w:sz="4" w:space="0" w:color="auto"/>
            </w:tcBorders>
            <w:vAlign w:val="center"/>
          </w:tcPr>
          <w:p w14:paraId="3A04FD3D" w14:textId="62BAEC0E"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837</w:t>
            </w:r>
          </w:p>
        </w:tc>
      </w:tr>
      <w:tr w:rsidR="007C147E" w:rsidRPr="00EB09F0" w14:paraId="586CB399" w14:textId="77777777" w:rsidTr="00BC2116">
        <w:tc>
          <w:tcPr>
            <w:tcW w:w="2266" w:type="dxa"/>
            <w:tcBorders>
              <w:top w:val="single" w:sz="4" w:space="0" w:color="auto"/>
              <w:bottom w:val="single" w:sz="4" w:space="0" w:color="auto"/>
            </w:tcBorders>
          </w:tcPr>
          <w:p w14:paraId="32DC9A6B"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December 2015</w:t>
            </w:r>
          </w:p>
        </w:tc>
        <w:tc>
          <w:tcPr>
            <w:tcW w:w="1845" w:type="dxa"/>
            <w:tcBorders>
              <w:top w:val="single" w:sz="4" w:space="0" w:color="auto"/>
              <w:bottom w:val="single" w:sz="4" w:space="0" w:color="auto"/>
            </w:tcBorders>
            <w:vAlign w:val="center"/>
          </w:tcPr>
          <w:p w14:paraId="541CC905"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137 520</w:t>
            </w:r>
          </w:p>
        </w:tc>
        <w:tc>
          <w:tcPr>
            <w:tcW w:w="1701" w:type="dxa"/>
            <w:tcBorders>
              <w:top w:val="single" w:sz="4" w:space="0" w:color="auto"/>
              <w:bottom w:val="single" w:sz="4" w:space="0" w:color="auto"/>
            </w:tcBorders>
            <w:vAlign w:val="center"/>
          </w:tcPr>
          <w:p w14:paraId="6F58AFF6"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108 325</w:t>
            </w:r>
          </w:p>
        </w:tc>
        <w:tc>
          <w:tcPr>
            <w:tcW w:w="2268" w:type="dxa"/>
            <w:tcBorders>
              <w:top w:val="single" w:sz="4" w:space="0" w:color="auto"/>
              <w:bottom w:val="single" w:sz="4" w:space="0" w:color="auto"/>
            </w:tcBorders>
            <w:vAlign w:val="center"/>
          </w:tcPr>
          <w:p w14:paraId="386366D4" w14:textId="37FEAE54"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888</w:t>
            </w:r>
          </w:p>
        </w:tc>
      </w:tr>
      <w:tr w:rsidR="007C147E" w:rsidRPr="00EB09F0" w14:paraId="14B66C56" w14:textId="77777777" w:rsidTr="00BC2116">
        <w:tc>
          <w:tcPr>
            <w:tcW w:w="2266" w:type="dxa"/>
            <w:tcBorders>
              <w:top w:val="single" w:sz="4" w:space="0" w:color="auto"/>
              <w:bottom w:val="single" w:sz="4" w:space="0" w:color="auto"/>
            </w:tcBorders>
          </w:tcPr>
          <w:p w14:paraId="5D32D397"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March 2016</w:t>
            </w:r>
          </w:p>
        </w:tc>
        <w:tc>
          <w:tcPr>
            <w:tcW w:w="1845" w:type="dxa"/>
            <w:tcBorders>
              <w:top w:val="single" w:sz="4" w:space="0" w:color="auto"/>
              <w:bottom w:val="single" w:sz="4" w:space="0" w:color="auto"/>
            </w:tcBorders>
            <w:vAlign w:val="center"/>
          </w:tcPr>
          <w:p w14:paraId="01EC2DFD"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137 371</w:t>
            </w:r>
          </w:p>
        </w:tc>
        <w:tc>
          <w:tcPr>
            <w:tcW w:w="1701" w:type="dxa"/>
            <w:tcBorders>
              <w:top w:val="single" w:sz="4" w:space="0" w:color="auto"/>
              <w:bottom w:val="single" w:sz="4" w:space="0" w:color="auto"/>
            </w:tcBorders>
            <w:vAlign w:val="center"/>
          </w:tcPr>
          <w:p w14:paraId="5CACE620"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108 722</w:t>
            </w:r>
          </w:p>
        </w:tc>
        <w:tc>
          <w:tcPr>
            <w:tcW w:w="2268" w:type="dxa"/>
            <w:tcBorders>
              <w:top w:val="single" w:sz="4" w:space="0" w:color="auto"/>
              <w:bottom w:val="single" w:sz="4" w:space="0" w:color="auto"/>
            </w:tcBorders>
            <w:vAlign w:val="center"/>
          </w:tcPr>
          <w:p w14:paraId="700541B3" w14:textId="40728CCE"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801</w:t>
            </w:r>
          </w:p>
        </w:tc>
      </w:tr>
      <w:tr w:rsidR="007C147E" w:rsidRPr="00EB09F0" w14:paraId="19A26FDD" w14:textId="77777777" w:rsidTr="00BC2116">
        <w:tc>
          <w:tcPr>
            <w:tcW w:w="2266" w:type="dxa"/>
            <w:tcBorders>
              <w:top w:val="single" w:sz="4" w:space="0" w:color="auto"/>
              <w:bottom w:val="single" w:sz="8" w:space="0" w:color="auto"/>
            </w:tcBorders>
          </w:tcPr>
          <w:p w14:paraId="3566DFE8"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June 2016</w:t>
            </w:r>
          </w:p>
        </w:tc>
        <w:tc>
          <w:tcPr>
            <w:tcW w:w="1845" w:type="dxa"/>
            <w:tcBorders>
              <w:top w:val="single" w:sz="4" w:space="0" w:color="auto"/>
              <w:bottom w:val="single" w:sz="8" w:space="0" w:color="auto"/>
            </w:tcBorders>
            <w:vAlign w:val="center"/>
          </w:tcPr>
          <w:p w14:paraId="46A897C1"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135 770</w:t>
            </w:r>
          </w:p>
        </w:tc>
        <w:tc>
          <w:tcPr>
            <w:tcW w:w="1701" w:type="dxa"/>
            <w:tcBorders>
              <w:top w:val="single" w:sz="4" w:space="0" w:color="auto"/>
              <w:bottom w:val="single" w:sz="8" w:space="0" w:color="auto"/>
            </w:tcBorders>
            <w:vAlign w:val="center"/>
          </w:tcPr>
          <w:p w14:paraId="4CD2A419"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107 809</w:t>
            </w:r>
          </w:p>
        </w:tc>
        <w:tc>
          <w:tcPr>
            <w:tcW w:w="2268" w:type="dxa"/>
            <w:tcBorders>
              <w:top w:val="single" w:sz="4" w:space="0" w:color="auto"/>
              <w:bottom w:val="single" w:sz="8" w:space="0" w:color="auto"/>
            </w:tcBorders>
            <w:vAlign w:val="center"/>
          </w:tcPr>
          <w:p w14:paraId="47EE3CE1" w14:textId="05908ED6"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857</w:t>
            </w:r>
          </w:p>
        </w:tc>
      </w:tr>
      <w:tr w:rsidR="007C147E" w:rsidRPr="00EB09F0" w14:paraId="05750C32" w14:textId="77777777" w:rsidTr="00BC2116">
        <w:tc>
          <w:tcPr>
            <w:tcW w:w="2266" w:type="dxa"/>
            <w:tcBorders>
              <w:top w:val="single" w:sz="8" w:space="0" w:color="auto"/>
              <w:bottom w:val="single" w:sz="4" w:space="0" w:color="auto"/>
            </w:tcBorders>
          </w:tcPr>
          <w:p w14:paraId="07AA28E3"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September 2016</w:t>
            </w:r>
          </w:p>
        </w:tc>
        <w:tc>
          <w:tcPr>
            <w:tcW w:w="1845" w:type="dxa"/>
            <w:tcBorders>
              <w:top w:val="single" w:sz="8" w:space="0" w:color="auto"/>
              <w:bottom w:val="single" w:sz="4" w:space="0" w:color="auto"/>
            </w:tcBorders>
            <w:vAlign w:val="center"/>
          </w:tcPr>
          <w:p w14:paraId="25EF3767"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137 746</w:t>
            </w:r>
          </w:p>
        </w:tc>
        <w:tc>
          <w:tcPr>
            <w:tcW w:w="1701" w:type="dxa"/>
            <w:tcBorders>
              <w:top w:val="single" w:sz="8" w:space="0" w:color="auto"/>
              <w:bottom w:val="single" w:sz="4" w:space="0" w:color="auto"/>
            </w:tcBorders>
            <w:vAlign w:val="center"/>
          </w:tcPr>
          <w:p w14:paraId="652D20F7"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109 295</w:t>
            </w:r>
          </w:p>
        </w:tc>
        <w:tc>
          <w:tcPr>
            <w:tcW w:w="2268" w:type="dxa"/>
            <w:tcBorders>
              <w:top w:val="single" w:sz="8" w:space="0" w:color="auto"/>
              <w:bottom w:val="single" w:sz="4" w:space="0" w:color="auto"/>
            </w:tcBorders>
            <w:vAlign w:val="center"/>
          </w:tcPr>
          <w:p w14:paraId="0F568690" w14:textId="15C44C9C"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887</w:t>
            </w:r>
          </w:p>
        </w:tc>
      </w:tr>
      <w:tr w:rsidR="007C147E" w:rsidRPr="00EB09F0" w14:paraId="37DFFE0A" w14:textId="77777777" w:rsidTr="00BC2116">
        <w:tc>
          <w:tcPr>
            <w:tcW w:w="2266" w:type="dxa"/>
            <w:tcBorders>
              <w:top w:val="single" w:sz="4" w:space="0" w:color="auto"/>
              <w:bottom w:val="single" w:sz="4" w:space="0" w:color="auto"/>
            </w:tcBorders>
          </w:tcPr>
          <w:p w14:paraId="76619162"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December 2016</w:t>
            </w:r>
          </w:p>
        </w:tc>
        <w:tc>
          <w:tcPr>
            <w:tcW w:w="1845" w:type="dxa"/>
            <w:tcBorders>
              <w:top w:val="single" w:sz="4" w:space="0" w:color="auto"/>
              <w:bottom w:val="single" w:sz="4" w:space="0" w:color="auto"/>
            </w:tcBorders>
            <w:vAlign w:val="center"/>
          </w:tcPr>
          <w:p w14:paraId="181357C9"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135 936</w:t>
            </w:r>
          </w:p>
        </w:tc>
        <w:tc>
          <w:tcPr>
            <w:tcW w:w="1701" w:type="dxa"/>
            <w:tcBorders>
              <w:top w:val="single" w:sz="4" w:space="0" w:color="auto"/>
              <w:bottom w:val="single" w:sz="4" w:space="0" w:color="auto"/>
            </w:tcBorders>
            <w:vAlign w:val="center"/>
          </w:tcPr>
          <w:p w14:paraId="391B852C"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106 830</w:t>
            </w:r>
          </w:p>
        </w:tc>
        <w:tc>
          <w:tcPr>
            <w:tcW w:w="2268" w:type="dxa"/>
            <w:tcBorders>
              <w:top w:val="single" w:sz="4" w:space="0" w:color="auto"/>
              <w:bottom w:val="single" w:sz="4" w:space="0" w:color="auto"/>
            </w:tcBorders>
            <w:vAlign w:val="center"/>
          </w:tcPr>
          <w:p w14:paraId="6FD0C9F0" w14:textId="40EB5280"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931</w:t>
            </w:r>
          </w:p>
        </w:tc>
      </w:tr>
      <w:tr w:rsidR="007C147E" w:rsidRPr="00EB09F0" w14:paraId="4474A4E5" w14:textId="77777777" w:rsidTr="00BC2116">
        <w:tc>
          <w:tcPr>
            <w:tcW w:w="2266" w:type="dxa"/>
            <w:tcBorders>
              <w:top w:val="single" w:sz="4" w:space="0" w:color="auto"/>
              <w:bottom w:val="single" w:sz="4" w:space="0" w:color="auto"/>
            </w:tcBorders>
          </w:tcPr>
          <w:p w14:paraId="2721973B"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March 2017</w:t>
            </w:r>
          </w:p>
        </w:tc>
        <w:tc>
          <w:tcPr>
            <w:tcW w:w="1845" w:type="dxa"/>
            <w:tcBorders>
              <w:top w:val="single" w:sz="4" w:space="0" w:color="auto"/>
              <w:bottom w:val="single" w:sz="4" w:space="0" w:color="auto"/>
            </w:tcBorders>
            <w:vAlign w:val="center"/>
          </w:tcPr>
          <w:p w14:paraId="4EB384DB"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139 144</w:t>
            </w:r>
          </w:p>
        </w:tc>
        <w:tc>
          <w:tcPr>
            <w:tcW w:w="1701" w:type="dxa"/>
            <w:tcBorders>
              <w:top w:val="single" w:sz="4" w:space="0" w:color="auto"/>
              <w:bottom w:val="single" w:sz="4" w:space="0" w:color="auto"/>
            </w:tcBorders>
            <w:vAlign w:val="center"/>
          </w:tcPr>
          <w:p w14:paraId="57FC97E7"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109 895</w:t>
            </w:r>
          </w:p>
        </w:tc>
        <w:tc>
          <w:tcPr>
            <w:tcW w:w="2268" w:type="dxa"/>
            <w:tcBorders>
              <w:top w:val="single" w:sz="4" w:space="0" w:color="auto"/>
              <w:bottom w:val="single" w:sz="4" w:space="0" w:color="auto"/>
            </w:tcBorders>
            <w:vAlign w:val="center"/>
          </w:tcPr>
          <w:p w14:paraId="105C6AAA" w14:textId="1EC8DD95"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880</w:t>
            </w:r>
          </w:p>
        </w:tc>
      </w:tr>
      <w:tr w:rsidR="007C147E" w:rsidRPr="00EB09F0" w14:paraId="3DBA2E77" w14:textId="77777777" w:rsidTr="00BC2116">
        <w:tc>
          <w:tcPr>
            <w:tcW w:w="2266" w:type="dxa"/>
            <w:tcBorders>
              <w:top w:val="single" w:sz="4" w:space="0" w:color="auto"/>
              <w:bottom w:val="single" w:sz="8" w:space="0" w:color="auto"/>
            </w:tcBorders>
          </w:tcPr>
          <w:p w14:paraId="49E6B451"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June 2017</w:t>
            </w:r>
          </w:p>
        </w:tc>
        <w:tc>
          <w:tcPr>
            <w:tcW w:w="1845" w:type="dxa"/>
            <w:tcBorders>
              <w:top w:val="single" w:sz="4" w:space="0" w:color="auto"/>
              <w:bottom w:val="single" w:sz="8" w:space="0" w:color="auto"/>
            </w:tcBorders>
            <w:vAlign w:val="center"/>
          </w:tcPr>
          <w:p w14:paraId="32A05A13"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140 403</w:t>
            </w:r>
          </w:p>
        </w:tc>
        <w:tc>
          <w:tcPr>
            <w:tcW w:w="1701" w:type="dxa"/>
            <w:tcBorders>
              <w:top w:val="single" w:sz="4" w:space="0" w:color="auto"/>
              <w:bottom w:val="single" w:sz="8" w:space="0" w:color="auto"/>
            </w:tcBorders>
            <w:vAlign w:val="center"/>
          </w:tcPr>
          <w:p w14:paraId="4CAC4BCA"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110 662</w:t>
            </w:r>
          </w:p>
        </w:tc>
        <w:tc>
          <w:tcPr>
            <w:tcW w:w="2268" w:type="dxa"/>
            <w:tcBorders>
              <w:top w:val="single" w:sz="4" w:space="0" w:color="auto"/>
              <w:bottom w:val="single" w:sz="8" w:space="0" w:color="auto"/>
            </w:tcBorders>
            <w:vAlign w:val="center"/>
          </w:tcPr>
          <w:p w14:paraId="08E469C4" w14:textId="1AE951E2"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912</w:t>
            </w:r>
          </w:p>
        </w:tc>
      </w:tr>
      <w:tr w:rsidR="007C147E" w:rsidRPr="00EB09F0" w14:paraId="00C7239A" w14:textId="77777777" w:rsidTr="00BC2116">
        <w:tc>
          <w:tcPr>
            <w:tcW w:w="2266" w:type="dxa"/>
            <w:tcBorders>
              <w:top w:val="single" w:sz="8" w:space="0" w:color="auto"/>
              <w:bottom w:val="single" w:sz="4" w:space="0" w:color="auto"/>
            </w:tcBorders>
          </w:tcPr>
          <w:p w14:paraId="2A954FCB"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September 2017</w:t>
            </w:r>
          </w:p>
        </w:tc>
        <w:tc>
          <w:tcPr>
            <w:tcW w:w="1845" w:type="dxa"/>
            <w:tcBorders>
              <w:top w:val="single" w:sz="8" w:space="0" w:color="auto"/>
              <w:bottom w:val="single" w:sz="4" w:space="0" w:color="auto"/>
            </w:tcBorders>
            <w:vAlign w:val="center"/>
          </w:tcPr>
          <w:p w14:paraId="3D22D9F1"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141 609</w:t>
            </w:r>
          </w:p>
        </w:tc>
        <w:tc>
          <w:tcPr>
            <w:tcW w:w="1701" w:type="dxa"/>
            <w:tcBorders>
              <w:top w:val="single" w:sz="8" w:space="0" w:color="auto"/>
              <w:bottom w:val="single" w:sz="4" w:space="0" w:color="auto"/>
            </w:tcBorders>
            <w:vAlign w:val="center"/>
          </w:tcPr>
          <w:p w14:paraId="7D0FB90E"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111 472</w:t>
            </w:r>
          </w:p>
        </w:tc>
        <w:tc>
          <w:tcPr>
            <w:tcW w:w="2268" w:type="dxa"/>
            <w:tcBorders>
              <w:top w:val="single" w:sz="8" w:space="0" w:color="auto"/>
              <w:bottom w:val="single" w:sz="4" w:space="0" w:color="auto"/>
            </w:tcBorders>
            <w:vAlign w:val="center"/>
          </w:tcPr>
          <w:p w14:paraId="5F3B4B5D" w14:textId="03F6F9C9"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2</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980</w:t>
            </w:r>
          </w:p>
        </w:tc>
      </w:tr>
      <w:tr w:rsidR="007C147E" w:rsidRPr="00EB09F0" w14:paraId="5124A480" w14:textId="77777777" w:rsidTr="00BC2116">
        <w:tc>
          <w:tcPr>
            <w:tcW w:w="2266" w:type="dxa"/>
            <w:tcBorders>
              <w:top w:val="single" w:sz="4" w:space="0" w:color="auto"/>
              <w:bottom w:val="single" w:sz="4" w:space="0" w:color="auto"/>
            </w:tcBorders>
          </w:tcPr>
          <w:p w14:paraId="72AD853D"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December 2017</w:t>
            </w:r>
          </w:p>
        </w:tc>
        <w:tc>
          <w:tcPr>
            <w:tcW w:w="1845" w:type="dxa"/>
            <w:tcBorders>
              <w:top w:val="single" w:sz="4" w:space="0" w:color="auto"/>
              <w:bottom w:val="single" w:sz="4" w:space="0" w:color="auto"/>
            </w:tcBorders>
            <w:vAlign w:val="center"/>
          </w:tcPr>
          <w:p w14:paraId="05DD5B25"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137 878</w:t>
            </w:r>
          </w:p>
        </w:tc>
        <w:tc>
          <w:tcPr>
            <w:tcW w:w="1701" w:type="dxa"/>
            <w:tcBorders>
              <w:top w:val="single" w:sz="4" w:space="0" w:color="auto"/>
              <w:bottom w:val="single" w:sz="4" w:space="0" w:color="auto"/>
            </w:tcBorders>
            <w:vAlign w:val="center"/>
          </w:tcPr>
          <w:p w14:paraId="17FE3B56"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108 371</w:t>
            </w:r>
          </w:p>
        </w:tc>
        <w:tc>
          <w:tcPr>
            <w:tcW w:w="2268" w:type="dxa"/>
            <w:tcBorders>
              <w:top w:val="single" w:sz="4" w:space="0" w:color="auto"/>
              <w:bottom w:val="single" w:sz="4" w:space="0" w:color="auto"/>
            </w:tcBorders>
            <w:vAlign w:val="center"/>
          </w:tcPr>
          <w:p w14:paraId="0F37221E" w14:textId="34D94DB7"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3</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029</w:t>
            </w:r>
          </w:p>
        </w:tc>
      </w:tr>
      <w:tr w:rsidR="007C147E" w:rsidRPr="00EB09F0" w14:paraId="2D2891C1" w14:textId="77777777" w:rsidTr="00BC2116">
        <w:tc>
          <w:tcPr>
            <w:tcW w:w="2266" w:type="dxa"/>
            <w:tcBorders>
              <w:top w:val="single" w:sz="4" w:space="0" w:color="auto"/>
              <w:bottom w:val="single" w:sz="4" w:space="0" w:color="auto"/>
            </w:tcBorders>
          </w:tcPr>
          <w:p w14:paraId="05C7A6E8"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March 2018</w:t>
            </w:r>
          </w:p>
        </w:tc>
        <w:tc>
          <w:tcPr>
            <w:tcW w:w="1845" w:type="dxa"/>
            <w:tcBorders>
              <w:top w:val="single" w:sz="4" w:space="0" w:color="auto"/>
              <w:bottom w:val="single" w:sz="4" w:space="0" w:color="auto"/>
            </w:tcBorders>
            <w:vAlign w:val="center"/>
          </w:tcPr>
          <w:p w14:paraId="575AD50B"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140 799</w:t>
            </w:r>
          </w:p>
        </w:tc>
        <w:tc>
          <w:tcPr>
            <w:tcW w:w="1701" w:type="dxa"/>
            <w:tcBorders>
              <w:top w:val="single" w:sz="4" w:space="0" w:color="auto"/>
              <w:bottom w:val="single" w:sz="4" w:space="0" w:color="auto"/>
            </w:tcBorders>
            <w:vAlign w:val="center"/>
          </w:tcPr>
          <w:p w14:paraId="52ABDAC4"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110 404</w:t>
            </w:r>
          </w:p>
        </w:tc>
        <w:tc>
          <w:tcPr>
            <w:tcW w:w="2268" w:type="dxa"/>
            <w:tcBorders>
              <w:top w:val="single" w:sz="4" w:space="0" w:color="auto"/>
              <w:bottom w:val="single" w:sz="4" w:space="0" w:color="auto"/>
            </w:tcBorders>
            <w:vAlign w:val="center"/>
          </w:tcPr>
          <w:p w14:paraId="25F46DE4" w14:textId="0F873A14"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3</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049</w:t>
            </w:r>
          </w:p>
        </w:tc>
      </w:tr>
      <w:tr w:rsidR="007C147E" w:rsidRPr="00EB09F0" w14:paraId="1D75F231" w14:textId="77777777" w:rsidTr="00BC2116">
        <w:tc>
          <w:tcPr>
            <w:tcW w:w="2266" w:type="dxa"/>
            <w:tcBorders>
              <w:top w:val="single" w:sz="4" w:space="0" w:color="auto"/>
              <w:bottom w:val="single" w:sz="8" w:space="0" w:color="auto"/>
            </w:tcBorders>
          </w:tcPr>
          <w:p w14:paraId="086C6F5C"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June 2018</w:t>
            </w:r>
          </w:p>
        </w:tc>
        <w:tc>
          <w:tcPr>
            <w:tcW w:w="1845" w:type="dxa"/>
            <w:tcBorders>
              <w:top w:val="single" w:sz="4" w:space="0" w:color="auto"/>
              <w:bottom w:val="single" w:sz="8" w:space="0" w:color="auto"/>
            </w:tcBorders>
            <w:vAlign w:val="center"/>
          </w:tcPr>
          <w:p w14:paraId="42F8D285"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139 812</w:t>
            </w:r>
          </w:p>
        </w:tc>
        <w:tc>
          <w:tcPr>
            <w:tcW w:w="1701" w:type="dxa"/>
            <w:tcBorders>
              <w:top w:val="single" w:sz="4" w:space="0" w:color="auto"/>
              <w:bottom w:val="single" w:sz="8" w:space="0" w:color="auto"/>
            </w:tcBorders>
            <w:vAlign w:val="center"/>
          </w:tcPr>
          <w:p w14:paraId="5EB117B3"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110 373</w:t>
            </w:r>
          </w:p>
        </w:tc>
        <w:tc>
          <w:tcPr>
            <w:tcW w:w="2268" w:type="dxa"/>
            <w:tcBorders>
              <w:top w:val="single" w:sz="4" w:space="0" w:color="auto"/>
              <w:bottom w:val="single" w:sz="8" w:space="0" w:color="auto"/>
            </w:tcBorders>
            <w:vAlign w:val="center"/>
          </w:tcPr>
          <w:p w14:paraId="4AE710A2" w14:textId="51CBC783"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3</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135</w:t>
            </w:r>
          </w:p>
        </w:tc>
      </w:tr>
      <w:tr w:rsidR="007C147E" w:rsidRPr="00EB09F0" w14:paraId="7198FF12" w14:textId="77777777" w:rsidTr="00BC2116">
        <w:tc>
          <w:tcPr>
            <w:tcW w:w="2266" w:type="dxa"/>
            <w:tcBorders>
              <w:top w:val="single" w:sz="8" w:space="0" w:color="auto"/>
              <w:bottom w:val="single" w:sz="4" w:space="0" w:color="auto"/>
            </w:tcBorders>
          </w:tcPr>
          <w:p w14:paraId="50D90563"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September 2018</w:t>
            </w:r>
          </w:p>
        </w:tc>
        <w:tc>
          <w:tcPr>
            <w:tcW w:w="1845" w:type="dxa"/>
            <w:tcBorders>
              <w:top w:val="single" w:sz="8" w:space="0" w:color="auto"/>
              <w:bottom w:val="single" w:sz="4" w:space="0" w:color="auto"/>
            </w:tcBorders>
            <w:vAlign w:val="center"/>
          </w:tcPr>
          <w:p w14:paraId="30B07AA9"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141 744</w:t>
            </w:r>
          </w:p>
        </w:tc>
        <w:tc>
          <w:tcPr>
            <w:tcW w:w="1701" w:type="dxa"/>
            <w:tcBorders>
              <w:top w:val="single" w:sz="8" w:space="0" w:color="auto"/>
              <w:bottom w:val="single" w:sz="4" w:space="0" w:color="auto"/>
            </w:tcBorders>
            <w:vAlign w:val="center"/>
          </w:tcPr>
          <w:p w14:paraId="7D5E7B1C" w14:textId="77777777" w:rsidR="007C147E" w:rsidRPr="00EB09F0" w:rsidRDefault="007C147E"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111 255</w:t>
            </w:r>
          </w:p>
        </w:tc>
        <w:tc>
          <w:tcPr>
            <w:tcW w:w="2268" w:type="dxa"/>
            <w:tcBorders>
              <w:top w:val="single" w:sz="8" w:space="0" w:color="auto"/>
              <w:bottom w:val="single" w:sz="4" w:space="0" w:color="auto"/>
            </w:tcBorders>
            <w:vAlign w:val="center"/>
          </w:tcPr>
          <w:p w14:paraId="2CA5D995" w14:textId="11B1D9EA" w:rsidR="007C147E"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3</w:t>
            </w:r>
            <w:r w:rsidR="00F4323B">
              <w:rPr>
                <w:rFonts w:ascii="Arial" w:hAnsi="Arial" w:cs="Arial"/>
                <w:bCs/>
                <w:color w:val="000000"/>
                <w:sz w:val="24"/>
                <w:szCs w:val="24"/>
                <w:shd w:val="clear" w:color="auto" w:fill="FFFFFF"/>
              </w:rPr>
              <w:t xml:space="preserve"> </w:t>
            </w:r>
            <w:r w:rsidR="007C147E" w:rsidRPr="00EB09F0">
              <w:rPr>
                <w:rFonts w:ascii="Arial" w:hAnsi="Arial" w:cs="Arial"/>
                <w:bCs/>
                <w:color w:val="000000"/>
                <w:sz w:val="24"/>
                <w:szCs w:val="24"/>
                <w:shd w:val="clear" w:color="auto" w:fill="FFFFFF"/>
              </w:rPr>
              <w:t>023</w:t>
            </w:r>
          </w:p>
        </w:tc>
      </w:tr>
      <w:tr w:rsidR="007C147E" w:rsidRPr="00EB09F0" w14:paraId="3494DDF2" w14:textId="77777777" w:rsidTr="00BC2116">
        <w:tc>
          <w:tcPr>
            <w:tcW w:w="2266" w:type="dxa"/>
            <w:tcBorders>
              <w:top w:val="single" w:sz="4" w:space="0" w:color="auto"/>
              <w:bottom w:val="single" w:sz="4" w:space="0" w:color="auto"/>
            </w:tcBorders>
          </w:tcPr>
          <w:p w14:paraId="157E3C7E"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December 2018</w:t>
            </w:r>
          </w:p>
        </w:tc>
        <w:tc>
          <w:tcPr>
            <w:tcW w:w="1845" w:type="dxa"/>
            <w:tcBorders>
              <w:top w:val="single" w:sz="4" w:space="0" w:color="auto"/>
              <w:bottom w:val="single" w:sz="4" w:space="0" w:color="auto"/>
            </w:tcBorders>
            <w:vAlign w:val="center"/>
          </w:tcPr>
          <w:p w14:paraId="26E3776E" w14:textId="77777777" w:rsidR="007C147E" w:rsidRPr="00EB09F0" w:rsidRDefault="007C147E" w:rsidP="00EB09F0">
            <w:pPr>
              <w:spacing w:before="60" w:after="60"/>
              <w:jc w:val="center"/>
              <w:rPr>
                <w:rFonts w:ascii="Arial" w:hAnsi="Arial" w:cs="Arial"/>
                <w:color w:val="000000"/>
                <w:sz w:val="24"/>
                <w:szCs w:val="24"/>
                <w:shd w:val="clear" w:color="auto" w:fill="FFFFFF"/>
              </w:rPr>
            </w:pPr>
            <w:r w:rsidRPr="00EB09F0">
              <w:rPr>
                <w:rFonts w:ascii="Arial" w:hAnsi="Arial" w:cs="Arial"/>
                <w:color w:val="000000"/>
                <w:sz w:val="24"/>
                <w:szCs w:val="24"/>
                <w:shd w:val="clear" w:color="auto" w:fill="FFFFFF"/>
              </w:rPr>
              <w:t>138 678</w:t>
            </w:r>
          </w:p>
        </w:tc>
        <w:tc>
          <w:tcPr>
            <w:tcW w:w="1701" w:type="dxa"/>
            <w:tcBorders>
              <w:top w:val="single" w:sz="4" w:space="0" w:color="auto"/>
              <w:bottom w:val="single" w:sz="4" w:space="0" w:color="auto"/>
            </w:tcBorders>
            <w:vAlign w:val="center"/>
          </w:tcPr>
          <w:p w14:paraId="7F697FA3" w14:textId="0ADAB12E" w:rsidR="007C147E" w:rsidRPr="00EB09F0" w:rsidRDefault="007C147E" w:rsidP="0040739E">
            <w:pPr>
              <w:spacing w:before="60" w:after="60"/>
              <w:jc w:val="center"/>
              <w:rPr>
                <w:rFonts w:ascii="Arial" w:hAnsi="Arial" w:cs="Arial"/>
                <w:color w:val="000000"/>
                <w:sz w:val="24"/>
                <w:szCs w:val="24"/>
                <w:shd w:val="clear" w:color="auto" w:fill="FFFFFF"/>
              </w:rPr>
            </w:pPr>
            <w:r w:rsidRPr="0040739E">
              <w:rPr>
                <w:rFonts w:ascii="Arial" w:hAnsi="Arial" w:cs="Arial"/>
                <w:color w:val="000000"/>
                <w:sz w:val="24"/>
                <w:szCs w:val="24"/>
                <w:shd w:val="clear" w:color="auto" w:fill="FFFFFF"/>
              </w:rPr>
              <w:t xml:space="preserve">108 </w:t>
            </w:r>
            <w:r w:rsidR="0040739E" w:rsidRPr="0040739E">
              <w:rPr>
                <w:rFonts w:ascii="Arial" w:hAnsi="Arial" w:cs="Arial"/>
                <w:color w:val="000000"/>
                <w:sz w:val="24"/>
                <w:szCs w:val="24"/>
                <w:shd w:val="clear" w:color="auto" w:fill="FFFFFF"/>
              </w:rPr>
              <w:t>601</w:t>
            </w:r>
          </w:p>
        </w:tc>
        <w:tc>
          <w:tcPr>
            <w:tcW w:w="2268" w:type="dxa"/>
            <w:tcBorders>
              <w:top w:val="single" w:sz="4" w:space="0" w:color="auto"/>
              <w:bottom w:val="single" w:sz="4" w:space="0" w:color="auto"/>
            </w:tcBorders>
            <w:vAlign w:val="center"/>
          </w:tcPr>
          <w:p w14:paraId="0D5297C3" w14:textId="6F019A01" w:rsidR="007C147E" w:rsidRPr="00EB09F0" w:rsidRDefault="00E327C6" w:rsidP="00EB09F0">
            <w:pPr>
              <w:spacing w:before="60" w:after="6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3</w:t>
            </w:r>
            <w:r w:rsidR="00F4323B">
              <w:rPr>
                <w:rFonts w:ascii="Arial" w:hAnsi="Arial" w:cs="Arial"/>
                <w:color w:val="000000"/>
                <w:sz w:val="24"/>
                <w:szCs w:val="24"/>
                <w:shd w:val="clear" w:color="auto" w:fill="FFFFFF"/>
              </w:rPr>
              <w:t xml:space="preserve"> </w:t>
            </w:r>
            <w:r w:rsidR="007C147E" w:rsidRPr="00EB09F0">
              <w:rPr>
                <w:rFonts w:ascii="Arial" w:hAnsi="Arial" w:cs="Arial"/>
                <w:color w:val="000000"/>
                <w:sz w:val="24"/>
                <w:szCs w:val="24"/>
                <w:shd w:val="clear" w:color="auto" w:fill="FFFFFF"/>
              </w:rPr>
              <w:t>091</w:t>
            </w:r>
          </w:p>
        </w:tc>
      </w:tr>
      <w:tr w:rsidR="007C147E" w:rsidRPr="00EB09F0" w14:paraId="4028E4BD" w14:textId="77777777" w:rsidTr="00BC2116">
        <w:tc>
          <w:tcPr>
            <w:tcW w:w="2266" w:type="dxa"/>
            <w:tcBorders>
              <w:top w:val="single" w:sz="4" w:space="0" w:color="auto"/>
              <w:bottom w:val="single" w:sz="4" w:space="0" w:color="auto"/>
            </w:tcBorders>
          </w:tcPr>
          <w:p w14:paraId="4E13590A" w14:textId="77777777" w:rsidR="007C147E" w:rsidRPr="00EB09F0" w:rsidRDefault="007C147E" w:rsidP="000610C7">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March 2019</w:t>
            </w:r>
          </w:p>
        </w:tc>
        <w:tc>
          <w:tcPr>
            <w:tcW w:w="1845" w:type="dxa"/>
            <w:tcBorders>
              <w:top w:val="single" w:sz="4" w:space="0" w:color="auto"/>
              <w:bottom w:val="single" w:sz="4" w:space="0" w:color="auto"/>
            </w:tcBorders>
            <w:vAlign w:val="center"/>
          </w:tcPr>
          <w:p w14:paraId="574BC373" w14:textId="77777777" w:rsidR="007C147E" w:rsidRPr="00EB09F0" w:rsidRDefault="007C147E" w:rsidP="00EB09F0">
            <w:pPr>
              <w:spacing w:before="60" w:after="60"/>
              <w:jc w:val="center"/>
              <w:rPr>
                <w:rFonts w:ascii="Arial" w:hAnsi="Arial" w:cs="Arial"/>
                <w:color w:val="000000"/>
                <w:sz w:val="24"/>
                <w:szCs w:val="24"/>
                <w:shd w:val="clear" w:color="auto" w:fill="FFFFFF"/>
              </w:rPr>
            </w:pPr>
            <w:r w:rsidRPr="00EB09F0">
              <w:rPr>
                <w:rFonts w:ascii="Arial" w:hAnsi="Arial" w:cs="Arial"/>
                <w:color w:val="000000"/>
                <w:sz w:val="24"/>
                <w:szCs w:val="24"/>
                <w:shd w:val="clear" w:color="auto" w:fill="FFFFFF"/>
              </w:rPr>
              <w:t>142 278</w:t>
            </w:r>
          </w:p>
        </w:tc>
        <w:tc>
          <w:tcPr>
            <w:tcW w:w="1701" w:type="dxa"/>
            <w:tcBorders>
              <w:top w:val="single" w:sz="4" w:space="0" w:color="auto"/>
              <w:bottom w:val="single" w:sz="4" w:space="0" w:color="auto"/>
            </w:tcBorders>
            <w:vAlign w:val="center"/>
          </w:tcPr>
          <w:p w14:paraId="1096056C" w14:textId="77777777" w:rsidR="007C147E" w:rsidRPr="00EB09F0" w:rsidRDefault="007C147E" w:rsidP="00EB09F0">
            <w:pPr>
              <w:spacing w:before="60" w:after="60"/>
              <w:jc w:val="center"/>
              <w:rPr>
                <w:rFonts w:ascii="Arial" w:hAnsi="Arial" w:cs="Arial"/>
                <w:color w:val="000000"/>
                <w:sz w:val="24"/>
                <w:szCs w:val="24"/>
                <w:shd w:val="clear" w:color="auto" w:fill="FFFFFF"/>
              </w:rPr>
            </w:pPr>
            <w:r w:rsidRPr="00EB09F0">
              <w:rPr>
                <w:rFonts w:ascii="Arial" w:hAnsi="Arial" w:cs="Arial"/>
                <w:color w:val="000000"/>
                <w:sz w:val="24"/>
                <w:szCs w:val="24"/>
                <w:shd w:val="clear" w:color="auto" w:fill="FFFFFF"/>
              </w:rPr>
              <w:t>112 099</w:t>
            </w:r>
          </w:p>
        </w:tc>
        <w:tc>
          <w:tcPr>
            <w:tcW w:w="2268" w:type="dxa"/>
            <w:tcBorders>
              <w:top w:val="single" w:sz="4" w:space="0" w:color="auto"/>
              <w:bottom w:val="single" w:sz="4" w:space="0" w:color="auto"/>
            </w:tcBorders>
            <w:vAlign w:val="center"/>
          </w:tcPr>
          <w:p w14:paraId="665AB043" w14:textId="2B7E1AD1" w:rsidR="007C147E" w:rsidRPr="00EB09F0" w:rsidRDefault="00E327C6" w:rsidP="00EB09F0">
            <w:pPr>
              <w:spacing w:before="60" w:after="6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2</w:t>
            </w:r>
            <w:r w:rsidR="00F4323B">
              <w:rPr>
                <w:rFonts w:ascii="Arial" w:hAnsi="Arial" w:cs="Arial"/>
                <w:color w:val="000000"/>
                <w:sz w:val="24"/>
                <w:szCs w:val="24"/>
                <w:shd w:val="clear" w:color="auto" w:fill="FFFFFF"/>
              </w:rPr>
              <w:t xml:space="preserve"> </w:t>
            </w:r>
            <w:r w:rsidR="007C147E" w:rsidRPr="00EB09F0">
              <w:rPr>
                <w:rFonts w:ascii="Arial" w:hAnsi="Arial" w:cs="Arial"/>
                <w:color w:val="000000"/>
                <w:sz w:val="24"/>
                <w:szCs w:val="24"/>
                <w:shd w:val="clear" w:color="auto" w:fill="FFFFFF"/>
              </w:rPr>
              <w:t>982</w:t>
            </w:r>
          </w:p>
        </w:tc>
      </w:tr>
      <w:tr w:rsidR="00623A1B" w:rsidRPr="00EB09F0" w14:paraId="15A2096C" w14:textId="77777777" w:rsidTr="00BC2116">
        <w:tc>
          <w:tcPr>
            <w:tcW w:w="2266" w:type="dxa"/>
            <w:tcBorders>
              <w:top w:val="single" w:sz="4" w:space="0" w:color="auto"/>
              <w:bottom w:val="single" w:sz="8" w:space="0" w:color="auto"/>
            </w:tcBorders>
          </w:tcPr>
          <w:p w14:paraId="4FF2B123" w14:textId="0610CC2B" w:rsidR="00623A1B" w:rsidRPr="00EB09F0" w:rsidRDefault="00623A1B" w:rsidP="00623A1B">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June 2019</w:t>
            </w:r>
          </w:p>
        </w:tc>
        <w:tc>
          <w:tcPr>
            <w:tcW w:w="1845" w:type="dxa"/>
            <w:tcBorders>
              <w:top w:val="single" w:sz="4" w:space="0" w:color="auto"/>
              <w:bottom w:val="single" w:sz="8" w:space="0" w:color="auto"/>
            </w:tcBorders>
            <w:vAlign w:val="center"/>
          </w:tcPr>
          <w:p w14:paraId="2C826C39" w14:textId="2809D9D7" w:rsidR="00623A1B" w:rsidRPr="00EB09F0" w:rsidRDefault="00623A1B"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142 735</w:t>
            </w:r>
          </w:p>
        </w:tc>
        <w:tc>
          <w:tcPr>
            <w:tcW w:w="1701" w:type="dxa"/>
            <w:tcBorders>
              <w:top w:val="single" w:sz="4" w:space="0" w:color="auto"/>
              <w:bottom w:val="single" w:sz="8" w:space="0" w:color="auto"/>
            </w:tcBorders>
            <w:vAlign w:val="center"/>
          </w:tcPr>
          <w:p w14:paraId="227E9EC0" w14:textId="43D64851" w:rsidR="00623A1B" w:rsidRPr="00EB09F0" w:rsidRDefault="00623A1B"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111 932</w:t>
            </w:r>
          </w:p>
        </w:tc>
        <w:tc>
          <w:tcPr>
            <w:tcW w:w="2268" w:type="dxa"/>
            <w:tcBorders>
              <w:top w:val="single" w:sz="4" w:space="0" w:color="auto"/>
              <w:bottom w:val="single" w:sz="8" w:space="0" w:color="auto"/>
            </w:tcBorders>
            <w:vAlign w:val="center"/>
          </w:tcPr>
          <w:p w14:paraId="6E9CEFA2" w14:textId="1FD7808C" w:rsidR="00623A1B"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3</w:t>
            </w:r>
            <w:r w:rsidR="00F4323B">
              <w:rPr>
                <w:rFonts w:ascii="Arial" w:hAnsi="Arial" w:cs="Arial"/>
                <w:bCs/>
                <w:color w:val="000000"/>
                <w:sz w:val="24"/>
                <w:szCs w:val="24"/>
                <w:shd w:val="clear" w:color="auto" w:fill="FFFFFF"/>
              </w:rPr>
              <w:t xml:space="preserve"> </w:t>
            </w:r>
            <w:r w:rsidR="00623A1B" w:rsidRPr="00EB09F0">
              <w:rPr>
                <w:rFonts w:ascii="Arial" w:hAnsi="Arial" w:cs="Arial"/>
                <w:bCs/>
                <w:color w:val="000000"/>
                <w:sz w:val="24"/>
                <w:szCs w:val="24"/>
                <w:shd w:val="clear" w:color="auto" w:fill="FFFFFF"/>
              </w:rPr>
              <w:t>172</w:t>
            </w:r>
          </w:p>
        </w:tc>
      </w:tr>
      <w:tr w:rsidR="00623A1B" w:rsidRPr="00EB09F0" w14:paraId="302B54F3" w14:textId="77777777" w:rsidTr="00BC2116">
        <w:tc>
          <w:tcPr>
            <w:tcW w:w="2266" w:type="dxa"/>
            <w:tcBorders>
              <w:top w:val="single" w:sz="8" w:space="0" w:color="auto"/>
              <w:bottom w:val="single" w:sz="4" w:space="0" w:color="auto"/>
            </w:tcBorders>
          </w:tcPr>
          <w:p w14:paraId="03432A0D" w14:textId="0B0D9C86" w:rsidR="00623A1B" w:rsidRPr="00EB09F0" w:rsidRDefault="00623A1B" w:rsidP="00623A1B">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September 2019</w:t>
            </w:r>
          </w:p>
        </w:tc>
        <w:tc>
          <w:tcPr>
            <w:tcW w:w="1845" w:type="dxa"/>
            <w:tcBorders>
              <w:top w:val="single" w:sz="8" w:space="0" w:color="auto"/>
              <w:bottom w:val="single" w:sz="4" w:space="0" w:color="auto"/>
            </w:tcBorders>
            <w:vAlign w:val="center"/>
          </w:tcPr>
          <w:p w14:paraId="42B0F9F5" w14:textId="243A7D60" w:rsidR="00623A1B" w:rsidRPr="00EB09F0" w:rsidRDefault="00623A1B"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143 775</w:t>
            </w:r>
          </w:p>
        </w:tc>
        <w:tc>
          <w:tcPr>
            <w:tcW w:w="1701" w:type="dxa"/>
            <w:tcBorders>
              <w:top w:val="single" w:sz="8" w:space="0" w:color="auto"/>
              <w:bottom w:val="single" w:sz="4" w:space="0" w:color="auto"/>
            </w:tcBorders>
            <w:vAlign w:val="center"/>
          </w:tcPr>
          <w:p w14:paraId="1A71FF8E" w14:textId="72E8844B" w:rsidR="00623A1B" w:rsidRPr="00EB09F0" w:rsidRDefault="00623A1B"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113 367</w:t>
            </w:r>
          </w:p>
        </w:tc>
        <w:tc>
          <w:tcPr>
            <w:tcW w:w="2268" w:type="dxa"/>
            <w:tcBorders>
              <w:top w:val="single" w:sz="8" w:space="0" w:color="auto"/>
              <w:bottom w:val="single" w:sz="4" w:space="0" w:color="auto"/>
            </w:tcBorders>
            <w:vAlign w:val="center"/>
          </w:tcPr>
          <w:p w14:paraId="2265A302" w14:textId="296B2C50" w:rsidR="00623A1B"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3</w:t>
            </w:r>
            <w:r w:rsidR="00F4323B">
              <w:rPr>
                <w:rFonts w:ascii="Arial" w:hAnsi="Arial" w:cs="Arial"/>
                <w:bCs/>
                <w:color w:val="000000"/>
                <w:sz w:val="24"/>
                <w:szCs w:val="24"/>
                <w:shd w:val="clear" w:color="auto" w:fill="FFFFFF"/>
              </w:rPr>
              <w:t xml:space="preserve"> </w:t>
            </w:r>
            <w:r w:rsidR="00623A1B" w:rsidRPr="00EB09F0">
              <w:rPr>
                <w:rFonts w:ascii="Arial" w:hAnsi="Arial" w:cs="Arial"/>
                <w:bCs/>
                <w:color w:val="000000"/>
                <w:sz w:val="24"/>
                <w:szCs w:val="24"/>
                <w:shd w:val="clear" w:color="auto" w:fill="FFFFFF"/>
              </w:rPr>
              <w:t>140</w:t>
            </w:r>
          </w:p>
        </w:tc>
      </w:tr>
      <w:tr w:rsidR="00623A1B" w:rsidRPr="00EB09F0" w14:paraId="101147DA" w14:textId="77777777" w:rsidTr="00BC2116">
        <w:tc>
          <w:tcPr>
            <w:tcW w:w="2266" w:type="dxa"/>
            <w:tcBorders>
              <w:top w:val="single" w:sz="4" w:space="0" w:color="auto"/>
              <w:bottom w:val="single" w:sz="4" w:space="0" w:color="auto"/>
            </w:tcBorders>
          </w:tcPr>
          <w:p w14:paraId="08A3FC39" w14:textId="6E985AB0" w:rsidR="00623A1B" w:rsidRPr="00EB09F0" w:rsidRDefault="00623A1B" w:rsidP="00623A1B">
            <w:pPr>
              <w:spacing w:before="60" w:after="60"/>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December 2019</w:t>
            </w:r>
          </w:p>
        </w:tc>
        <w:tc>
          <w:tcPr>
            <w:tcW w:w="1845" w:type="dxa"/>
            <w:tcBorders>
              <w:top w:val="single" w:sz="4" w:space="0" w:color="auto"/>
              <w:bottom w:val="single" w:sz="4" w:space="0" w:color="auto"/>
            </w:tcBorders>
            <w:vAlign w:val="center"/>
          </w:tcPr>
          <w:p w14:paraId="160FD679" w14:textId="65DBF750" w:rsidR="00623A1B" w:rsidRPr="00EB09F0" w:rsidRDefault="00623A1B" w:rsidP="00EB09F0">
            <w:pPr>
              <w:spacing w:before="60" w:after="60"/>
              <w:jc w:val="center"/>
              <w:rPr>
                <w:rFonts w:ascii="Arial" w:hAnsi="Arial" w:cs="Arial"/>
                <w:bCs/>
                <w:color w:val="000000"/>
                <w:sz w:val="24"/>
                <w:szCs w:val="24"/>
                <w:shd w:val="clear" w:color="auto" w:fill="FFFFFF"/>
              </w:rPr>
            </w:pPr>
            <w:r w:rsidRPr="00EB09F0">
              <w:rPr>
                <w:rFonts w:ascii="Arial" w:hAnsi="Arial" w:cs="Arial"/>
                <w:bCs/>
                <w:color w:val="000000"/>
                <w:sz w:val="24"/>
                <w:szCs w:val="24"/>
                <w:shd w:val="clear" w:color="auto" w:fill="FFFFFF"/>
              </w:rPr>
              <w:t>143 586</w:t>
            </w:r>
          </w:p>
        </w:tc>
        <w:tc>
          <w:tcPr>
            <w:tcW w:w="1701" w:type="dxa"/>
            <w:tcBorders>
              <w:top w:val="single" w:sz="4" w:space="0" w:color="auto"/>
              <w:bottom w:val="single" w:sz="4" w:space="0" w:color="auto"/>
            </w:tcBorders>
            <w:vAlign w:val="center"/>
          </w:tcPr>
          <w:p w14:paraId="78A3A989" w14:textId="42ABAF20" w:rsidR="00623A1B" w:rsidRPr="00EB09F0" w:rsidRDefault="00623A1B" w:rsidP="00EB09F0">
            <w:pPr>
              <w:spacing w:before="60" w:after="60"/>
              <w:jc w:val="center"/>
              <w:rPr>
                <w:rFonts w:ascii="Arial" w:hAnsi="Arial" w:cs="Arial"/>
                <w:bCs/>
                <w:color w:val="000000"/>
                <w:sz w:val="24"/>
                <w:szCs w:val="24"/>
                <w:shd w:val="clear" w:color="auto" w:fill="FFFFFF"/>
              </w:rPr>
            </w:pPr>
            <w:r w:rsidRPr="00BB1612">
              <w:rPr>
                <w:rFonts w:ascii="Arial" w:hAnsi="Arial" w:cs="Arial"/>
                <w:bCs/>
                <w:color w:val="000000"/>
                <w:sz w:val="24"/>
                <w:szCs w:val="24"/>
                <w:shd w:val="clear" w:color="auto" w:fill="FFFFFF"/>
              </w:rPr>
              <w:t>113 143</w:t>
            </w:r>
          </w:p>
        </w:tc>
        <w:tc>
          <w:tcPr>
            <w:tcW w:w="2268" w:type="dxa"/>
            <w:tcBorders>
              <w:top w:val="single" w:sz="4" w:space="0" w:color="auto"/>
              <w:bottom w:val="single" w:sz="4" w:space="0" w:color="auto"/>
            </w:tcBorders>
            <w:vAlign w:val="center"/>
          </w:tcPr>
          <w:p w14:paraId="39ABD4D8" w14:textId="0F8FCE69" w:rsidR="00623A1B" w:rsidRPr="00EB09F0" w:rsidRDefault="00E327C6" w:rsidP="00EB09F0">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3</w:t>
            </w:r>
            <w:r w:rsidR="00F4323B">
              <w:rPr>
                <w:rFonts w:ascii="Arial" w:hAnsi="Arial" w:cs="Arial"/>
                <w:bCs/>
                <w:color w:val="000000"/>
                <w:sz w:val="24"/>
                <w:szCs w:val="24"/>
                <w:shd w:val="clear" w:color="auto" w:fill="FFFFFF"/>
              </w:rPr>
              <w:t xml:space="preserve"> </w:t>
            </w:r>
            <w:r w:rsidR="00623A1B" w:rsidRPr="00EB09F0">
              <w:rPr>
                <w:rFonts w:ascii="Arial" w:hAnsi="Arial" w:cs="Arial"/>
                <w:bCs/>
                <w:color w:val="000000"/>
                <w:sz w:val="24"/>
                <w:szCs w:val="24"/>
                <w:shd w:val="clear" w:color="auto" w:fill="FFFFFF"/>
              </w:rPr>
              <w:t>212</w:t>
            </w:r>
          </w:p>
        </w:tc>
      </w:tr>
      <w:tr w:rsidR="004E0EE5" w:rsidRPr="00EB09F0" w14:paraId="1701671A" w14:textId="77777777" w:rsidTr="00BC2116">
        <w:tc>
          <w:tcPr>
            <w:tcW w:w="2266" w:type="dxa"/>
            <w:tcBorders>
              <w:top w:val="single" w:sz="4" w:space="0" w:color="auto"/>
              <w:bottom w:val="single" w:sz="4" w:space="0" w:color="auto"/>
            </w:tcBorders>
          </w:tcPr>
          <w:p w14:paraId="22287206" w14:textId="483ED3C0" w:rsidR="004E0EE5" w:rsidRPr="00EB09F0" w:rsidRDefault="004E0EE5" w:rsidP="00623A1B">
            <w:pPr>
              <w:spacing w:before="60" w:after="60"/>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March 2020</w:t>
            </w:r>
          </w:p>
        </w:tc>
        <w:tc>
          <w:tcPr>
            <w:tcW w:w="1845" w:type="dxa"/>
            <w:tcBorders>
              <w:top w:val="single" w:sz="4" w:space="0" w:color="auto"/>
              <w:bottom w:val="single" w:sz="4" w:space="0" w:color="auto"/>
            </w:tcBorders>
            <w:vAlign w:val="center"/>
          </w:tcPr>
          <w:p w14:paraId="04AB24A1" w14:textId="34C4E85C" w:rsidR="004E0EE5" w:rsidRPr="00EB09F0" w:rsidRDefault="00D55AAF" w:rsidP="00D55AAF">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146</w:t>
            </w:r>
            <w:r w:rsidR="004E0EE5">
              <w:rPr>
                <w:rFonts w:ascii="Arial" w:hAnsi="Arial" w:cs="Arial"/>
                <w:bCs/>
                <w:color w:val="000000"/>
                <w:sz w:val="24"/>
                <w:szCs w:val="24"/>
                <w:shd w:val="clear" w:color="auto" w:fill="FFFFFF"/>
              </w:rPr>
              <w:t xml:space="preserve"> </w:t>
            </w:r>
            <w:r>
              <w:rPr>
                <w:rFonts w:ascii="Arial" w:hAnsi="Arial" w:cs="Arial"/>
                <w:bCs/>
                <w:color w:val="000000"/>
                <w:sz w:val="24"/>
                <w:szCs w:val="24"/>
                <w:shd w:val="clear" w:color="auto" w:fill="FFFFFF"/>
              </w:rPr>
              <w:t>343</w:t>
            </w:r>
          </w:p>
        </w:tc>
        <w:tc>
          <w:tcPr>
            <w:tcW w:w="1701" w:type="dxa"/>
            <w:tcBorders>
              <w:top w:val="single" w:sz="4" w:space="0" w:color="auto"/>
              <w:bottom w:val="single" w:sz="4" w:space="0" w:color="auto"/>
            </w:tcBorders>
            <w:vAlign w:val="center"/>
          </w:tcPr>
          <w:p w14:paraId="34A8DCCD" w14:textId="3D59BCCE" w:rsidR="004E0EE5" w:rsidRPr="00BB1612" w:rsidRDefault="004E0EE5" w:rsidP="00D55AAF">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115 </w:t>
            </w:r>
            <w:r w:rsidR="00D55AAF">
              <w:rPr>
                <w:rFonts w:ascii="Arial" w:hAnsi="Arial" w:cs="Arial"/>
                <w:bCs/>
                <w:color w:val="000000"/>
                <w:sz w:val="24"/>
                <w:szCs w:val="24"/>
                <w:shd w:val="clear" w:color="auto" w:fill="FFFFFF"/>
              </w:rPr>
              <w:t>548</w:t>
            </w:r>
          </w:p>
        </w:tc>
        <w:tc>
          <w:tcPr>
            <w:tcW w:w="2268" w:type="dxa"/>
            <w:tcBorders>
              <w:top w:val="single" w:sz="4" w:space="0" w:color="auto"/>
              <w:bottom w:val="single" w:sz="4" w:space="0" w:color="auto"/>
            </w:tcBorders>
            <w:vAlign w:val="center"/>
          </w:tcPr>
          <w:p w14:paraId="4D2B73AC" w14:textId="68C698E2" w:rsidR="004E0EE5" w:rsidRDefault="008374F7" w:rsidP="00557EEB">
            <w:pPr>
              <w:spacing w:before="60" w:after="60"/>
              <w:jc w:val="center"/>
              <w:rPr>
                <w:rFonts w:ascii="Arial" w:hAnsi="Arial" w:cs="Arial"/>
                <w:bCs/>
                <w:color w:val="000000"/>
                <w:sz w:val="24"/>
                <w:szCs w:val="24"/>
                <w:shd w:val="clear" w:color="auto" w:fill="FFFFFF"/>
              </w:rPr>
            </w:pPr>
            <w:r>
              <w:rPr>
                <w:rFonts w:ascii="Arial" w:hAnsi="Arial" w:cs="Arial"/>
                <w:bCs/>
                <w:color w:val="000000"/>
                <w:sz w:val="24"/>
                <w:szCs w:val="24"/>
                <w:shd w:val="clear" w:color="auto" w:fill="FFFFFF"/>
              </w:rPr>
              <w:t xml:space="preserve">3 </w:t>
            </w:r>
            <w:r w:rsidR="00DC38B1">
              <w:rPr>
                <w:rFonts w:ascii="Arial" w:hAnsi="Arial" w:cs="Arial"/>
                <w:bCs/>
                <w:color w:val="000000"/>
                <w:sz w:val="24"/>
                <w:szCs w:val="24"/>
                <w:shd w:val="clear" w:color="auto" w:fill="FFFFFF"/>
              </w:rPr>
              <w:t>147</w:t>
            </w:r>
          </w:p>
        </w:tc>
      </w:tr>
    </w:tbl>
    <w:p w14:paraId="24C9318B" w14:textId="77777777" w:rsidR="00763D60" w:rsidRDefault="00763D60" w:rsidP="000610C7">
      <w:pPr>
        <w:pStyle w:val="Heading2"/>
      </w:pPr>
    </w:p>
    <w:p w14:paraId="22EC0F3E" w14:textId="77777777" w:rsidR="00DC38B1" w:rsidRDefault="00DC38B1">
      <w:pPr>
        <w:rPr>
          <w:rFonts w:ascii="Arial" w:eastAsia="Times New Roman" w:hAnsi="Arial" w:cs="Arial"/>
          <w:b/>
          <w:bCs/>
          <w:color w:val="1A1A1A"/>
          <w:sz w:val="32"/>
          <w:szCs w:val="32"/>
          <w:lang w:eastAsia="en-AU"/>
        </w:rPr>
        <w:sectPr w:rsidR="00DC38B1">
          <w:footerReference w:type="default" r:id="rId12"/>
          <w:footnotePr>
            <w:pos w:val="beneathText"/>
          </w:footnotePr>
          <w:pgSz w:w="11906" w:h="16838"/>
          <w:pgMar w:top="1440" w:right="1440" w:bottom="1440" w:left="1440" w:header="708" w:footer="708" w:gutter="0"/>
          <w:cols w:space="708"/>
          <w:docGrid w:linePitch="360"/>
        </w:sectPr>
      </w:pPr>
    </w:p>
    <w:p w14:paraId="4DCCC76B" w14:textId="5D30426A" w:rsidR="00B72D78" w:rsidRDefault="00C96AD0" w:rsidP="00DC38B1">
      <w:pPr>
        <w:pStyle w:val="Heading2"/>
        <w:ind w:left="-142"/>
      </w:pPr>
      <w:r w:rsidRPr="00C96AD0">
        <w:lastRenderedPageBreak/>
        <w:t>WA public sector entities staffing levels</w:t>
      </w:r>
    </w:p>
    <w:tbl>
      <w:tblPr>
        <w:tblStyle w:val="PlainTable2"/>
        <w:tblW w:w="9911" w:type="dxa"/>
        <w:tblInd w:w="-142" w:type="dxa"/>
        <w:tblLook w:val="04A0" w:firstRow="1" w:lastRow="0" w:firstColumn="1" w:lastColumn="0" w:noHBand="0" w:noVBand="1"/>
      </w:tblPr>
      <w:tblGrid>
        <w:gridCol w:w="5245"/>
        <w:gridCol w:w="1457"/>
        <w:gridCol w:w="1095"/>
        <w:gridCol w:w="1057"/>
        <w:gridCol w:w="1057"/>
      </w:tblGrid>
      <w:tr w:rsidR="0017783C" w:rsidRPr="00C14672" w14:paraId="4EDFC1D0" w14:textId="77777777" w:rsidTr="000D1422">
        <w:trPr>
          <w:cnfStyle w:val="100000000000" w:firstRow="1" w:lastRow="0" w:firstColumn="0" w:lastColumn="0" w:oddVBand="0" w:evenVBand="0" w:oddHBand="0" w:evenHBand="0" w:firstRowFirstColumn="0" w:firstRowLastColumn="0" w:lastRowFirstColumn="0" w:lastRowLastColumn="0"/>
          <w:trHeight w:val="1035"/>
          <w:tblHeader/>
        </w:trPr>
        <w:tc>
          <w:tcPr>
            <w:cnfStyle w:val="001000000000" w:firstRow="0" w:lastRow="0" w:firstColumn="1" w:lastColumn="0" w:oddVBand="0" w:evenVBand="0" w:oddHBand="0" w:evenHBand="0" w:firstRowFirstColumn="0" w:firstRowLastColumn="0" w:lastRowFirstColumn="0" w:lastRowLastColumn="0"/>
            <w:tcW w:w="5245" w:type="dxa"/>
            <w:tcBorders>
              <w:top w:val="nil"/>
              <w:bottom w:val="single" w:sz="12" w:space="0" w:color="auto"/>
            </w:tcBorders>
            <w:vAlign w:val="bottom"/>
            <w:hideMark/>
          </w:tcPr>
          <w:p w14:paraId="0E04D857" w14:textId="77777777" w:rsidR="0017783C" w:rsidRPr="00C14672" w:rsidRDefault="0017783C" w:rsidP="00557EEB">
            <w:pPr>
              <w:rPr>
                <w:rFonts w:ascii="Arial" w:eastAsia="Times New Roman" w:hAnsi="Arial" w:cs="Arial"/>
                <w:bCs w:val="0"/>
                <w:lang w:eastAsia="en-AU"/>
              </w:rPr>
            </w:pPr>
            <w:r w:rsidRPr="00C14672">
              <w:rPr>
                <w:rFonts w:ascii="Arial" w:eastAsia="Times New Roman" w:hAnsi="Arial" w:cs="Arial"/>
                <w:bCs w:val="0"/>
                <w:lang w:eastAsia="en-AU"/>
              </w:rPr>
              <w:t>Agency</w:t>
            </w:r>
          </w:p>
        </w:tc>
        <w:tc>
          <w:tcPr>
            <w:tcW w:w="1457" w:type="dxa"/>
            <w:tcBorders>
              <w:top w:val="nil"/>
              <w:bottom w:val="single" w:sz="12" w:space="0" w:color="auto"/>
            </w:tcBorders>
            <w:vAlign w:val="bottom"/>
            <w:hideMark/>
          </w:tcPr>
          <w:p w14:paraId="6AEC38FA" w14:textId="77777777" w:rsidR="0017783C" w:rsidRPr="00C14672" w:rsidRDefault="0017783C" w:rsidP="00557E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lang w:eastAsia="en-AU"/>
              </w:rPr>
            </w:pPr>
            <w:r w:rsidRPr="00C14672">
              <w:rPr>
                <w:rFonts w:ascii="Arial" w:eastAsia="Times New Roman" w:hAnsi="Arial" w:cs="Arial"/>
                <w:bCs w:val="0"/>
                <w:lang w:eastAsia="en-AU"/>
              </w:rPr>
              <w:t>Mar-20 Headcount</w:t>
            </w:r>
          </w:p>
        </w:tc>
        <w:tc>
          <w:tcPr>
            <w:tcW w:w="1095" w:type="dxa"/>
            <w:tcBorders>
              <w:top w:val="nil"/>
              <w:bottom w:val="single" w:sz="12" w:space="0" w:color="auto"/>
            </w:tcBorders>
            <w:vAlign w:val="bottom"/>
            <w:hideMark/>
          </w:tcPr>
          <w:p w14:paraId="0352B194" w14:textId="77777777" w:rsidR="0017783C" w:rsidRPr="00C14672" w:rsidRDefault="0017783C" w:rsidP="00557E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lang w:eastAsia="en-AU"/>
              </w:rPr>
            </w:pPr>
            <w:r w:rsidRPr="00C14672">
              <w:rPr>
                <w:rFonts w:ascii="Arial" w:eastAsia="Times New Roman" w:hAnsi="Arial" w:cs="Arial"/>
                <w:bCs w:val="0"/>
                <w:lang w:eastAsia="en-AU"/>
              </w:rPr>
              <w:t>Mar-20 FTE</w:t>
            </w:r>
          </w:p>
        </w:tc>
        <w:tc>
          <w:tcPr>
            <w:tcW w:w="1057" w:type="dxa"/>
            <w:tcBorders>
              <w:top w:val="nil"/>
              <w:bottom w:val="single" w:sz="12" w:space="0" w:color="auto"/>
            </w:tcBorders>
            <w:vAlign w:val="bottom"/>
            <w:hideMark/>
          </w:tcPr>
          <w:p w14:paraId="16733DD4" w14:textId="77777777" w:rsidR="0017783C" w:rsidRPr="00C14672" w:rsidRDefault="0017783C" w:rsidP="00557E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lang w:eastAsia="en-AU"/>
              </w:rPr>
            </w:pPr>
            <w:r w:rsidRPr="00C14672">
              <w:rPr>
                <w:rFonts w:ascii="Arial" w:eastAsia="Times New Roman" w:hAnsi="Arial" w:cs="Arial"/>
                <w:bCs w:val="0"/>
                <w:lang w:eastAsia="en-AU"/>
              </w:rPr>
              <w:t>FTE change from Dec-19</w:t>
            </w:r>
          </w:p>
        </w:tc>
        <w:tc>
          <w:tcPr>
            <w:tcW w:w="1057" w:type="dxa"/>
            <w:tcBorders>
              <w:top w:val="nil"/>
              <w:bottom w:val="single" w:sz="12" w:space="0" w:color="auto"/>
            </w:tcBorders>
            <w:vAlign w:val="bottom"/>
            <w:hideMark/>
          </w:tcPr>
          <w:p w14:paraId="5E17B74C" w14:textId="77777777" w:rsidR="0017783C" w:rsidRPr="00C14672" w:rsidRDefault="0017783C" w:rsidP="00557EEB">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lang w:eastAsia="en-AU"/>
              </w:rPr>
            </w:pPr>
            <w:r w:rsidRPr="00C14672">
              <w:rPr>
                <w:rFonts w:ascii="Arial" w:eastAsia="Times New Roman" w:hAnsi="Arial" w:cs="Arial"/>
                <w:bCs w:val="0"/>
                <w:lang w:eastAsia="en-AU"/>
              </w:rPr>
              <w:t>FTE change from Mar-19</w:t>
            </w:r>
          </w:p>
        </w:tc>
      </w:tr>
      <w:tr w:rsidR="0017783C" w:rsidRPr="00C14672" w14:paraId="3D02EF30"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tcBorders>
              <w:top w:val="single" w:sz="12" w:space="0" w:color="auto"/>
            </w:tcBorders>
            <w:noWrap/>
            <w:vAlign w:val="center"/>
            <w:hideMark/>
          </w:tcPr>
          <w:p w14:paraId="791B3548" w14:textId="77777777" w:rsidR="0017783C" w:rsidRPr="00C14672" w:rsidRDefault="0017783C" w:rsidP="000D1422">
            <w:pPr>
              <w:spacing w:beforeLines="40" w:before="96" w:afterLines="40" w:after="96"/>
              <w:rPr>
                <w:rFonts w:ascii="Arial" w:eastAsia="Times New Roman" w:hAnsi="Arial" w:cs="Arial"/>
                <w:b w:val="0"/>
                <w:bCs w:val="0"/>
                <w:lang w:eastAsia="en-AU"/>
              </w:rPr>
            </w:pPr>
            <w:r w:rsidRPr="00C14672">
              <w:rPr>
                <w:rFonts w:ascii="Arial" w:eastAsia="Times New Roman" w:hAnsi="Arial" w:cs="Arial"/>
                <w:b w:val="0"/>
                <w:bCs w:val="0"/>
                <w:lang w:eastAsia="en-AU"/>
              </w:rPr>
              <w:t>Western Australian Public Sector</w:t>
            </w:r>
          </w:p>
        </w:tc>
        <w:tc>
          <w:tcPr>
            <w:tcW w:w="1457" w:type="dxa"/>
            <w:tcBorders>
              <w:top w:val="single" w:sz="12" w:space="0" w:color="auto"/>
            </w:tcBorders>
            <w:noWrap/>
            <w:vAlign w:val="center"/>
            <w:hideMark/>
          </w:tcPr>
          <w:p w14:paraId="23D7FA80" w14:textId="4946F56E" w:rsidR="0017783C" w:rsidRPr="00C14672" w:rsidRDefault="0099607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Pr>
                <w:rFonts w:ascii="Arial" w:eastAsia="Times New Roman" w:hAnsi="Arial" w:cs="Arial"/>
                <w:lang w:eastAsia="en-AU"/>
              </w:rPr>
              <w:t>146 343</w:t>
            </w:r>
          </w:p>
        </w:tc>
        <w:tc>
          <w:tcPr>
            <w:tcW w:w="1095" w:type="dxa"/>
            <w:tcBorders>
              <w:top w:val="single" w:sz="12" w:space="0" w:color="auto"/>
            </w:tcBorders>
            <w:noWrap/>
            <w:vAlign w:val="center"/>
            <w:hideMark/>
          </w:tcPr>
          <w:p w14:paraId="2FB1D758" w14:textId="3CE9C49F" w:rsidR="0017783C" w:rsidRPr="00C14672" w:rsidRDefault="0099607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Pr>
                <w:rFonts w:ascii="Arial" w:eastAsia="Times New Roman" w:hAnsi="Arial" w:cs="Arial"/>
                <w:lang w:eastAsia="en-AU"/>
              </w:rPr>
              <w:t>115 548</w:t>
            </w:r>
          </w:p>
        </w:tc>
        <w:tc>
          <w:tcPr>
            <w:tcW w:w="1057" w:type="dxa"/>
            <w:tcBorders>
              <w:top w:val="single" w:sz="12" w:space="0" w:color="auto"/>
            </w:tcBorders>
            <w:noWrap/>
            <w:vAlign w:val="center"/>
            <w:hideMark/>
          </w:tcPr>
          <w:p w14:paraId="549F1273" w14:textId="6F28E9EA" w:rsidR="0017783C" w:rsidRPr="00C14672" w:rsidRDefault="0017783C" w:rsidP="0099607C">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r w:rsidR="001943ED" w:rsidRPr="00C14672">
              <w:rPr>
                <w:rFonts w:ascii="Arial" w:eastAsia="Times New Roman" w:hAnsi="Arial" w:cs="Arial"/>
                <w:lang w:eastAsia="en-AU"/>
              </w:rPr>
              <w:t xml:space="preserve"> </w:t>
            </w:r>
            <w:r w:rsidR="0099607C">
              <w:rPr>
                <w:rFonts w:ascii="Arial" w:eastAsia="Times New Roman" w:hAnsi="Arial" w:cs="Arial"/>
                <w:lang w:eastAsia="en-AU"/>
              </w:rPr>
              <w:t>406</w:t>
            </w:r>
          </w:p>
        </w:tc>
        <w:tc>
          <w:tcPr>
            <w:tcW w:w="1057" w:type="dxa"/>
            <w:tcBorders>
              <w:top w:val="single" w:sz="12" w:space="0" w:color="auto"/>
            </w:tcBorders>
            <w:noWrap/>
            <w:vAlign w:val="center"/>
            <w:hideMark/>
          </w:tcPr>
          <w:p w14:paraId="7593AA8E" w14:textId="0FA2B444" w:rsidR="0017783C" w:rsidRPr="00C14672" w:rsidRDefault="0017783C" w:rsidP="0099607C">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w:t>
            </w:r>
            <w:r w:rsidR="001943ED" w:rsidRPr="00C14672">
              <w:rPr>
                <w:rFonts w:ascii="Arial" w:eastAsia="Times New Roman" w:hAnsi="Arial" w:cs="Arial"/>
                <w:lang w:eastAsia="en-AU"/>
              </w:rPr>
              <w:t xml:space="preserve"> </w:t>
            </w:r>
            <w:r w:rsidR="0099607C">
              <w:rPr>
                <w:rFonts w:ascii="Arial" w:eastAsia="Times New Roman" w:hAnsi="Arial" w:cs="Arial"/>
                <w:lang w:eastAsia="en-AU"/>
              </w:rPr>
              <w:t>449</w:t>
            </w:r>
          </w:p>
        </w:tc>
      </w:tr>
      <w:tr w:rsidR="0017783C" w:rsidRPr="00C14672" w14:paraId="793EA623"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349EE9F7"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Department of Education</w:t>
            </w:r>
          </w:p>
        </w:tc>
        <w:tc>
          <w:tcPr>
            <w:tcW w:w="1457" w:type="dxa"/>
            <w:noWrap/>
            <w:vAlign w:val="center"/>
            <w:hideMark/>
          </w:tcPr>
          <w:p w14:paraId="4F82874A" w14:textId="432CC3CF"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54</w:t>
            </w:r>
            <w:r w:rsidR="00904528" w:rsidRPr="00C14672">
              <w:rPr>
                <w:rFonts w:ascii="Arial" w:eastAsia="Times New Roman" w:hAnsi="Arial" w:cs="Arial"/>
                <w:lang w:eastAsia="en-AU"/>
              </w:rPr>
              <w:t xml:space="preserve"> </w:t>
            </w:r>
            <w:r w:rsidRPr="00C14672">
              <w:rPr>
                <w:rFonts w:ascii="Arial" w:eastAsia="Times New Roman" w:hAnsi="Arial" w:cs="Arial"/>
                <w:lang w:eastAsia="en-AU"/>
              </w:rPr>
              <w:t>281</w:t>
            </w:r>
          </w:p>
        </w:tc>
        <w:tc>
          <w:tcPr>
            <w:tcW w:w="1095" w:type="dxa"/>
            <w:noWrap/>
            <w:vAlign w:val="center"/>
            <w:hideMark/>
          </w:tcPr>
          <w:p w14:paraId="5D8D0490" w14:textId="2760AF5F"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40</w:t>
            </w:r>
            <w:r w:rsidR="00904528" w:rsidRPr="00C14672">
              <w:rPr>
                <w:rFonts w:ascii="Arial" w:eastAsia="Times New Roman" w:hAnsi="Arial" w:cs="Arial"/>
                <w:lang w:eastAsia="en-AU"/>
              </w:rPr>
              <w:t xml:space="preserve"> </w:t>
            </w:r>
            <w:r w:rsidRPr="00C14672">
              <w:rPr>
                <w:rFonts w:ascii="Arial" w:eastAsia="Times New Roman" w:hAnsi="Arial" w:cs="Arial"/>
                <w:lang w:eastAsia="en-AU"/>
              </w:rPr>
              <w:t>571</w:t>
            </w:r>
          </w:p>
        </w:tc>
        <w:tc>
          <w:tcPr>
            <w:tcW w:w="1057" w:type="dxa"/>
            <w:noWrap/>
            <w:vAlign w:val="center"/>
            <w:hideMark/>
          </w:tcPr>
          <w:p w14:paraId="05F4EA9F"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555</w:t>
            </w:r>
          </w:p>
        </w:tc>
        <w:tc>
          <w:tcPr>
            <w:tcW w:w="1057" w:type="dxa"/>
            <w:noWrap/>
            <w:vAlign w:val="center"/>
            <w:hideMark/>
          </w:tcPr>
          <w:p w14:paraId="1FD9953A"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938</w:t>
            </w:r>
          </w:p>
        </w:tc>
      </w:tr>
      <w:tr w:rsidR="0017783C" w:rsidRPr="00C14672" w14:paraId="5DA1E791"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73788546" w14:textId="1E9A3586"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WA Health (North Metropolitan Health Service)</w:t>
            </w:r>
            <w:bookmarkStart w:id="2" w:name="_Ref44947313"/>
            <w:r w:rsidR="00DC38B1">
              <w:rPr>
                <w:rFonts w:ascii="Arial" w:eastAsia="Times New Roman" w:hAnsi="Arial" w:cs="Arial"/>
                <w:b w:val="0"/>
                <w:lang w:eastAsia="en-AU"/>
              </w:rPr>
              <w:t xml:space="preserve"> </w:t>
            </w:r>
            <w:r w:rsidR="00402C29">
              <w:rPr>
                <w:rStyle w:val="EndnoteReference"/>
                <w:rFonts w:ascii="Arial" w:eastAsia="Times New Roman" w:hAnsi="Arial" w:cs="Arial"/>
                <w:b w:val="0"/>
                <w:lang w:eastAsia="en-AU"/>
              </w:rPr>
              <w:endnoteReference w:id="1"/>
            </w:r>
            <w:bookmarkEnd w:id="2"/>
          </w:p>
        </w:tc>
        <w:tc>
          <w:tcPr>
            <w:tcW w:w="1457" w:type="dxa"/>
            <w:noWrap/>
            <w:vAlign w:val="center"/>
            <w:hideMark/>
          </w:tcPr>
          <w:p w14:paraId="719DB24E" w14:textId="43349AD1"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11</w:t>
            </w:r>
            <w:r w:rsidR="00904528" w:rsidRPr="00C14672">
              <w:rPr>
                <w:rFonts w:ascii="Arial" w:eastAsia="Times New Roman" w:hAnsi="Arial" w:cs="Arial"/>
                <w:lang w:eastAsia="en-AU"/>
              </w:rPr>
              <w:t xml:space="preserve"> </w:t>
            </w:r>
            <w:r w:rsidRPr="00C14672">
              <w:rPr>
                <w:rFonts w:ascii="Arial" w:eastAsia="Times New Roman" w:hAnsi="Arial" w:cs="Arial"/>
                <w:lang w:eastAsia="en-AU"/>
              </w:rPr>
              <w:t>381</w:t>
            </w:r>
          </w:p>
        </w:tc>
        <w:tc>
          <w:tcPr>
            <w:tcW w:w="1095" w:type="dxa"/>
            <w:noWrap/>
            <w:vAlign w:val="center"/>
            <w:hideMark/>
          </w:tcPr>
          <w:p w14:paraId="49CE5F7C" w14:textId="7A08FEC0"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8</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580</w:t>
            </w:r>
          </w:p>
        </w:tc>
        <w:tc>
          <w:tcPr>
            <w:tcW w:w="1057" w:type="dxa"/>
            <w:noWrap/>
            <w:vAlign w:val="center"/>
            <w:hideMark/>
          </w:tcPr>
          <w:p w14:paraId="0D31E959"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-212</w:t>
            </w:r>
          </w:p>
        </w:tc>
        <w:tc>
          <w:tcPr>
            <w:tcW w:w="1057" w:type="dxa"/>
            <w:noWrap/>
            <w:vAlign w:val="center"/>
            <w:hideMark/>
          </w:tcPr>
          <w:p w14:paraId="4ED1B1E1"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-468</w:t>
            </w:r>
          </w:p>
        </w:tc>
      </w:tr>
      <w:tr w:rsidR="0017783C" w:rsidRPr="00C14672" w14:paraId="1BD15359"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273D95EC" w14:textId="4506BF42" w:rsidR="0017783C" w:rsidRPr="00C14672" w:rsidRDefault="0017783C" w:rsidP="0024476A">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WA Health (WA Country Health Service)</w:t>
            </w:r>
            <w:r w:rsidR="0024476A" w:rsidRPr="00402C29" w:rsidDel="0024476A">
              <w:rPr>
                <w:rFonts w:ascii="Arial" w:eastAsia="Times New Roman" w:hAnsi="Arial" w:cs="Arial"/>
                <w:b w:val="0"/>
                <w:bCs w:val="0"/>
                <w:vertAlign w:val="superscript"/>
                <w:lang w:eastAsia="en-AU"/>
              </w:rPr>
              <w:t xml:space="preserve"> </w:t>
            </w:r>
          </w:p>
        </w:tc>
        <w:tc>
          <w:tcPr>
            <w:tcW w:w="1457" w:type="dxa"/>
            <w:noWrap/>
            <w:vAlign w:val="center"/>
            <w:hideMark/>
          </w:tcPr>
          <w:p w14:paraId="00AD35F6" w14:textId="54240C75"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10</w:t>
            </w:r>
            <w:r w:rsidR="00904528" w:rsidRPr="00C14672">
              <w:rPr>
                <w:rFonts w:ascii="Arial" w:eastAsia="Times New Roman" w:hAnsi="Arial" w:cs="Arial"/>
                <w:lang w:eastAsia="en-AU"/>
              </w:rPr>
              <w:t xml:space="preserve"> </w:t>
            </w:r>
            <w:r w:rsidRPr="00C14672">
              <w:rPr>
                <w:rFonts w:ascii="Arial" w:eastAsia="Times New Roman" w:hAnsi="Arial" w:cs="Arial"/>
                <w:lang w:eastAsia="en-AU"/>
              </w:rPr>
              <w:t>179</w:t>
            </w:r>
          </w:p>
        </w:tc>
        <w:tc>
          <w:tcPr>
            <w:tcW w:w="1095" w:type="dxa"/>
            <w:noWrap/>
            <w:vAlign w:val="center"/>
            <w:hideMark/>
          </w:tcPr>
          <w:p w14:paraId="0FFBCCD3" w14:textId="6F506393"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7</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713</w:t>
            </w:r>
          </w:p>
        </w:tc>
        <w:tc>
          <w:tcPr>
            <w:tcW w:w="1057" w:type="dxa"/>
            <w:noWrap/>
            <w:vAlign w:val="center"/>
            <w:hideMark/>
          </w:tcPr>
          <w:p w14:paraId="49ED85CE"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274</w:t>
            </w:r>
          </w:p>
        </w:tc>
        <w:tc>
          <w:tcPr>
            <w:tcW w:w="1057" w:type="dxa"/>
            <w:noWrap/>
            <w:vAlign w:val="center"/>
            <w:hideMark/>
          </w:tcPr>
          <w:p w14:paraId="38331C4C"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212</w:t>
            </w:r>
          </w:p>
        </w:tc>
      </w:tr>
      <w:tr w:rsidR="0017783C" w:rsidRPr="00C14672" w14:paraId="20C956EA"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4877389A" w14:textId="0CB6EF2E"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WA Health (South Metropolitan Health Service)</w:t>
            </w:r>
          </w:p>
        </w:tc>
        <w:tc>
          <w:tcPr>
            <w:tcW w:w="1457" w:type="dxa"/>
            <w:noWrap/>
            <w:vAlign w:val="center"/>
            <w:hideMark/>
          </w:tcPr>
          <w:p w14:paraId="20C3396C" w14:textId="719F6345"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9</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157</w:t>
            </w:r>
          </w:p>
        </w:tc>
        <w:tc>
          <w:tcPr>
            <w:tcW w:w="1095" w:type="dxa"/>
            <w:noWrap/>
            <w:vAlign w:val="center"/>
            <w:hideMark/>
          </w:tcPr>
          <w:p w14:paraId="7C7EB707" w14:textId="07D77281"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939</w:t>
            </w:r>
          </w:p>
        </w:tc>
        <w:tc>
          <w:tcPr>
            <w:tcW w:w="1057" w:type="dxa"/>
            <w:noWrap/>
            <w:vAlign w:val="center"/>
            <w:hideMark/>
          </w:tcPr>
          <w:p w14:paraId="24407CBC"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173</w:t>
            </w:r>
          </w:p>
        </w:tc>
        <w:tc>
          <w:tcPr>
            <w:tcW w:w="1057" w:type="dxa"/>
            <w:noWrap/>
            <w:vAlign w:val="center"/>
            <w:hideMark/>
          </w:tcPr>
          <w:p w14:paraId="58FDEF11"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84</w:t>
            </w:r>
          </w:p>
        </w:tc>
      </w:tr>
      <w:tr w:rsidR="0017783C" w:rsidRPr="00C14672" w14:paraId="023862C5"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67180C86" w14:textId="13D9212D"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WA Health (East Metropolitan Health Service)</w:t>
            </w:r>
          </w:p>
        </w:tc>
        <w:tc>
          <w:tcPr>
            <w:tcW w:w="1457" w:type="dxa"/>
            <w:noWrap/>
            <w:vAlign w:val="center"/>
            <w:hideMark/>
          </w:tcPr>
          <w:p w14:paraId="20A54F64" w14:textId="0AB043DB"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8</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122</w:t>
            </w:r>
          </w:p>
        </w:tc>
        <w:tc>
          <w:tcPr>
            <w:tcW w:w="1095" w:type="dxa"/>
            <w:noWrap/>
            <w:vAlign w:val="center"/>
            <w:hideMark/>
          </w:tcPr>
          <w:p w14:paraId="00E37996" w14:textId="64CC2C96"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390</w:t>
            </w:r>
          </w:p>
        </w:tc>
        <w:tc>
          <w:tcPr>
            <w:tcW w:w="1057" w:type="dxa"/>
            <w:noWrap/>
            <w:vAlign w:val="center"/>
            <w:hideMark/>
          </w:tcPr>
          <w:p w14:paraId="31BC2332"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192</w:t>
            </w:r>
          </w:p>
        </w:tc>
        <w:tc>
          <w:tcPr>
            <w:tcW w:w="1057" w:type="dxa"/>
            <w:noWrap/>
            <w:vAlign w:val="center"/>
            <w:hideMark/>
          </w:tcPr>
          <w:p w14:paraId="199EF562"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120</w:t>
            </w:r>
          </w:p>
        </w:tc>
      </w:tr>
      <w:tr w:rsidR="0017783C" w:rsidRPr="00C14672" w14:paraId="6BFBF1A4"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4831D733"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Department of Justice</w:t>
            </w:r>
          </w:p>
        </w:tc>
        <w:tc>
          <w:tcPr>
            <w:tcW w:w="1457" w:type="dxa"/>
            <w:noWrap/>
            <w:vAlign w:val="center"/>
            <w:hideMark/>
          </w:tcPr>
          <w:p w14:paraId="3B19A77E" w14:textId="2727F0B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984</w:t>
            </w:r>
          </w:p>
        </w:tc>
        <w:tc>
          <w:tcPr>
            <w:tcW w:w="1095" w:type="dxa"/>
            <w:noWrap/>
            <w:vAlign w:val="center"/>
            <w:hideMark/>
          </w:tcPr>
          <w:p w14:paraId="623B6B68" w14:textId="55ACE4A3"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473</w:t>
            </w:r>
          </w:p>
        </w:tc>
        <w:tc>
          <w:tcPr>
            <w:tcW w:w="1057" w:type="dxa"/>
            <w:noWrap/>
            <w:vAlign w:val="center"/>
            <w:hideMark/>
          </w:tcPr>
          <w:p w14:paraId="1C945E6F"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83</w:t>
            </w:r>
          </w:p>
        </w:tc>
        <w:tc>
          <w:tcPr>
            <w:tcW w:w="1057" w:type="dxa"/>
            <w:noWrap/>
            <w:vAlign w:val="center"/>
            <w:hideMark/>
          </w:tcPr>
          <w:p w14:paraId="02F78026"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589</w:t>
            </w:r>
          </w:p>
        </w:tc>
      </w:tr>
      <w:tr w:rsidR="00904528" w:rsidRPr="00C14672" w14:paraId="27610C0C"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3B72177E" w14:textId="1D0415F8" w:rsidR="00904528"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Department of Communities</w:t>
            </w:r>
            <w:r w:rsidR="00DC38B1">
              <w:rPr>
                <w:rFonts w:ascii="Arial" w:eastAsia="Times New Roman" w:hAnsi="Arial" w:cs="Arial"/>
                <w:b w:val="0"/>
                <w:lang w:eastAsia="en-AU"/>
              </w:rPr>
              <w:t xml:space="preserve"> </w:t>
            </w:r>
            <w:r w:rsidR="00904528" w:rsidRPr="00C14672">
              <w:rPr>
                <w:rStyle w:val="EndnoteReference"/>
                <w:rFonts w:ascii="Arial" w:eastAsia="Times New Roman" w:hAnsi="Arial" w:cs="Arial"/>
                <w:b w:val="0"/>
                <w:lang w:eastAsia="en-AU"/>
              </w:rPr>
              <w:endnoteReference w:id="2"/>
            </w:r>
          </w:p>
        </w:tc>
        <w:tc>
          <w:tcPr>
            <w:tcW w:w="1457" w:type="dxa"/>
            <w:noWrap/>
            <w:vAlign w:val="center"/>
            <w:hideMark/>
          </w:tcPr>
          <w:p w14:paraId="22FC115F" w14:textId="424A733F" w:rsidR="00904528" w:rsidRPr="00C14672" w:rsidRDefault="00904528"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497</w:t>
            </w:r>
          </w:p>
        </w:tc>
        <w:tc>
          <w:tcPr>
            <w:tcW w:w="1095" w:type="dxa"/>
            <w:noWrap/>
            <w:vAlign w:val="center"/>
            <w:hideMark/>
          </w:tcPr>
          <w:p w14:paraId="3B331FC3" w14:textId="02FA416F" w:rsidR="00904528" w:rsidRPr="00C14672" w:rsidRDefault="00904528"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657</w:t>
            </w:r>
          </w:p>
        </w:tc>
        <w:tc>
          <w:tcPr>
            <w:tcW w:w="1057" w:type="dxa"/>
            <w:noWrap/>
            <w:vAlign w:val="center"/>
            <w:hideMark/>
          </w:tcPr>
          <w:p w14:paraId="335642CC" w14:textId="77777777" w:rsidR="00904528" w:rsidRPr="00C14672" w:rsidRDefault="00904528"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40</w:t>
            </w:r>
          </w:p>
        </w:tc>
        <w:tc>
          <w:tcPr>
            <w:tcW w:w="1057" w:type="dxa"/>
            <w:noWrap/>
            <w:vAlign w:val="center"/>
            <w:hideMark/>
          </w:tcPr>
          <w:p w14:paraId="0F4D667A" w14:textId="171D02AA" w:rsidR="00904528" w:rsidRPr="00C14672" w:rsidRDefault="00904528"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27</w:t>
            </w:r>
            <w:r w:rsidR="00557EEB" w:rsidRPr="00C14672">
              <w:rPr>
                <w:rFonts w:ascii="Arial" w:eastAsia="Times New Roman" w:hAnsi="Arial" w:cs="Arial"/>
                <w:lang w:eastAsia="en-AU"/>
              </w:rPr>
              <w:t>0</w:t>
            </w:r>
          </w:p>
        </w:tc>
      </w:tr>
      <w:tr w:rsidR="00904528" w:rsidRPr="00C14672" w14:paraId="6FB021AB"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5117E4E7" w14:textId="57D39D36" w:rsidR="00904528" w:rsidRPr="00C14672" w:rsidRDefault="00904528" w:rsidP="0024476A">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WA Health (Child and Adolescent Health Service)</w:t>
            </w:r>
            <w:r w:rsidR="00DC38B1">
              <w:rPr>
                <w:rFonts w:ascii="Arial" w:eastAsia="Times New Roman" w:hAnsi="Arial" w:cs="Arial"/>
                <w:b w:val="0"/>
                <w:bCs w:val="0"/>
                <w:vertAlign w:val="superscript"/>
                <w:lang w:eastAsia="en-AU"/>
              </w:rPr>
              <w:t xml:space="preserve"> </w:t>
            </w:r>
            <w:r w:rsidR="0024476A" w:rsidRPr="0024476A">
              <w:rPr>
                <w:rFonts w:ascii="Arial" w:eastAsia="Times New Roman" w:hAnsi="Arial" w:cs="Arial"/>
                <w:vertAlign w:val="superscript"/>
                <w:lang w:eastAsia="en-AU"/>
              </w:rPr>
              <w:fldChar w:fldCharType="begin"/>
            </w:r>
            <w:r w:rsidR="0024476A" w:rsidRPr="0024476A">
              <w:rPr>
                <w:rFonts w:ascii="Arial" w:eastAsia="Times New Roman" w:hAnsi="Arial" w:cs="Arial"/>
                <w:vertAlign w:val="superscript"/>
                <w:lang w:eastAsia="en-AU"/>
              </w:rPr>
              <w:instrText xml:space="preserve"> NOTEREF _Ref44947313 \h  \* MERGEFORMAT </w:instrText>
            </w:r>
            <w:r w:rsidR="0024476A" w:rsidRPr="0024476A">
              <w:rPr>
                <w:rFonts w:ascii="Arial" w:eastAsia="Times New Roman" w:hAnsi="Arial" w:cs="Arial"/>
                <w:vertAlign w:val="superscript"/>
                <w:lang w:eastAsia="en-AU"/>
              </w:rPr>
            </w:r>
            <w:r w:rsidR="0024476A" w:rsidRPr="0024476A">
              <w:rPr>
                <w:rFonts w:ascii="Arial" w:eastAsia="Times New Roman" w:hAnsi="Arial" w:cs="Arial"/>
                <w:vertAlign w:val="superscript"/>
                <w:lang w:eastAsia="en-AU"/>
              </w:rPr>
              <w:fldChar w:fldCharType="separate"/>
            </w:r>
            <w:proofErr w:type="spellStart"/>
            <w:r w:rsidR="0024476A" w:rsidRPr="0024476A">
              <w:rPr>
                <w:rFonts w:ascii="Arial" w:eastAsia="Times New Roman" w:hAnsi="Arial" w:cs="Arial"/>
                <w:vertAlign w:val="superscript"/>
                <w:lang w:eastAsia="en-AU"/>
              </w:rPr>
              <w:t>i</w:t>
            </w:r>
            <w:proofErr w:type="spellEnd"/>
            <w:r w:rsidR="0024476A" w:rsidRPr="0024476A">
              <w:rPr>
                <w:rFonts w:ascii="Arial" w:eastAsia="Times New Roman" w:hAnsi="Arial" w:cs="Arial"/>
                <w:vertAlign w:val="superscript"/>
                <w:lang w:eastAsia="en-AU"/>
              </w:rPr>
              <w:fldChar w:fldCharType="end"/>
            </w:r>
          </w:p>
        </w:tc>
        <w:tc>
          <w:tcPr>
            <w:tcW w:w="1457" w:type="dxa"/>
            <w:noWrap/>
            <w:vAlign w:val="center"/>
            <w:hideMark/>
          </w:tcPr>
          <w:p w14:paraId="1CB542C5" w14:textId="3D341EC4"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005</w:t>
            </w:r>
          </w:p>
        </w:tc>
        <w:tc>
          <w:tcPr>
            <w:tcW w:w="1095" w:type="dxa"/>
            <w:noWrap/>
            <w:vAlign w:val="center"/>
            <w:hideMark/>
          </w:tcPr>
          <w:p w14:paraId="70CF32AA" w14:textId="682C3500"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616</w:t>
            </w:r>
          </w:p>
        </w:tc>
        <w:tc>
          <w:tcPr>
            <w:tcW w:w="1057" w:type="dxa"/>
            <w:noWrap/>
            <w:vAlign w:val="center"/>
            <w:hideMark/>
          </w:tcPr>
          <w:p w14:paraId="57D79F50" w14:textId="77777777"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499</w:t>
            </w:r>
          </w:p>
        </w:tc>
        <w:tc>
          <w:tcPr>
            <w:tcW w:w="1057" w:type="dxa"/>
            <w:noWrap/>
            <w:vAlign w:val="center"/>
            <w:hideMark/>
          </w:tcPr>
          <w:p w14:paraId="0607AE23" w14:textId="77777777"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471</w:t>
            </w:r>
          </w:p>
        </w:tc>
      </w:tr>
      <w:tr w:rsidR="00904528" w:rsidRPr="00C14672" w14:paraId="54BA2ED5"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53089CB9" w14:textId="40CB9F17" w:rsidR="00904528" w:rsidRPr="00C14672" w:rsidRDefault="00904528"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Western Australia Police</w:t>
            </w:r>
            <w:r w:rsidR="00DC38B1">
              <w:rPr>
                <w:rFonts w:ascii="Arial" w:eastAsia="Times New Roman" w:hAnsi="Arial" w:cs="Arial"/>
                <w:b w:val="0"/>
                <w:lang w:eastAsia="en-AU"/>
              </w:rPr>
              <w:t xml:space="preserve"> </w:t>
            </w:r>
            <w:r w:rsidRPr="00C14672">
              <w:rPr>
                <w:rStyle w:val="EndnoteReference"/>
                <w:rFonts w:ascii="Arial" w:eastAsia="Times New Roman" w:hAnsi="Arial" w:cs="Arial"/>
                <w:b w:val="0"/>
                <w:lang w:eastAsia="en-AU"/>
              </w:rPr>
              <w:endnoteReference w:id="3"/>
            </w:r>
          </w:p>
        </w:tc>
        <w:tc>
          <w:tcPr>
            <w:tcW w:w="1457" w:type="dxa"/>
            <w:noWrap/>
            <w:vAlign w:val="center"/>
            <w:hideMark/>
          </w:tcPr>
          <w:p w14:paraId="0C714BF0" w14:textId="7D22DB66" w:rsidR="00904528" w:rsidRPr="00C14672" w:rsidRDefault="00904528" w:rsidP="0099607C">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r w:rsidR="001943ED" w:rsidRPr="00C14672">
              <w:rPr>
                <w:rFonts w:ascii="Arial" w:eastAsia="Times New Roman" w:hAnsi="Arial" w:cs="Arial"/>
                <w:lang w:eastAsia="en-AU"/>
              </w:rPr>
              <w:t xml:space="preserve"> </w:t>
            </w:r>
            <w:r w:rsidR="0099607C">
              <w:rPr>
                <w:rFonts w:ascii="Arial" w:eastAsia="Times New Roman" w:hAnsi="Arial" w:cs="Arial"/>
                <w:lang w:eastAsia="en-AU"/>
              </w:rPr>
              <w:t>899</w:t>
            </w:r>
          </w:p>
        </w:tc>
        <w:tc>
          <w:tcPr>
            <w:tcW w:w="1095" w:type="dxa"/>
            <w:noWrap/>
            <w:vAlign w:val="center"/>
            <w:hideMark/>
          </w:tcPr>
          <w:p w14:paraId="717AEAC9" w14:textId="641D85E5" w:rsidR="00904528" w:rsidRPr="00C14672" w:rsidRDefault="0099607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Pr>
                <w:rFonts w:ascii="Arial" w:eastAsia="Times New Roman" w:hAnsi="Arial" w:cs="Arial"/>
                <w:lang w:eastAsia="en-AU"/>
              </w:rPr>
              <w:t>2 126</w:t>
            </w:r>
          </w:p>
        </w:tc>
        <w:tc>
          <w:tcPr>
            <w:tcW w:w="1057" w:type="dxa"/>
            <w:noWrap/>
            <w:vAlign w:val="center"/>
            <w:hideMark/>
          </w:tcPr>
          <w:p w14:paraId="138E0E7E" w14:textId="5BA692A8" w:rsidR="00904528" w:rsidRPr="00C14672" w:rsidRDefault="00904528" w:rsidP="0099607C">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w:t>
            </w:r>
            <w:r w:rsidR="0099607C">
              <w:rPr>
                <w:rFonts w:ascii="Arial" w:eastAsia="Times New Roman" w:hAnsi="Arial" w:cs="Arial"/>
                <w:lang w:eastAsia="en-AU"/>
              </w:rPr>
              <w:t>6</w:t>
            </w:r>
          </w:p>
        </w:tc>
        <w:tc>
          <w:tcPr>
            <w:tcW w:w="1057" w:type="dxa"/>
            <w:noWrap/>
            <w:vAlign w:val="center"/>
            <w:hideMark/>
          </w:tcPr>
          <w:p w14:paraId="4BCEB9C9" w14:textId="7E26C222" w:rsidR="00904528" w:rsidRPr="00C14672" w:rsidRDefault="0099607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Pr>
                <w:rFonts w:ascii="Arial" w:eastAsia="Times New Roman" w:hAnsi="Arial" w:cs="Arial"/>
                <w:lang w:eastAsia="en-AU"/>
              </w:rPr>
              <w:t>49</w:t>
            </w:r>
          </w:p>
        </w:tc>
      </w:tr>
      <w:tr w:rsidR="00904528" w:rsidRPr="00C14672" w14:paraId="08E46EA2"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05A380EB" w14:textId="211A988C" w:rsidR="00904528" w:rsidRPr="00C14672" w:rsidRDefault="00904528"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WA Health (PathWest)</w:t>
            </w:r>
          </w:p>
        </w:tc>
        <w:tc>
          <w:tcPr>
            <w:tcW w:w="1457" w:type="dxa"/>
            <w:noWrap/>
            <w:vAlign w:val="center"/>
            <w:hideMark/>
          </w:tcPr>
          <w:p w14:paraId="6C955B2F" w14:textId="246EC2E4"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121</w:t>
            </w:r>
          </w:p>
        </w:tc>
        <w:tc>
          <w:tcPr>
            <w:tcW w:w="1095" w:type="dxa"/>
            <w:noWrap/>
            <w:vAlign w:val="center"/>
            <w:hideMark/>
          </w:tcPr>
          <w:p w14:paraId="38D81389" w14:textId="7BE450B3"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728</w:t>
            </w:r>
          </w:p>
        </w:tc>
        <w:tc>
          <w:tcPr>
            <w:tcW w:w="1057" w:type="dxa"/>
            <w:noWrap/>
            <w:vAlign w:val="center"/>
            <w:hideMark/>
          </w:tcPr>
          <w:p w14:paraId="5472332E" w14:textId="77777777"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33</w:t>
            </w:r>
          </w:p>
        </w:tc>
        <w:tc>
          <w:tcPr>
            <w:tcW w:w="1057" w:type="dxa"/>
            <w:noWrap/>
            <w:vAlign w:val="center"/>
            <w:hideMark/>
          </w:tcPr>
          <w:p w14:paraId="3C223F55" w14:textId="77777777"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139</w:t>
            </w:r>
          </w:p>
        </w:tc>
      </w:tr>
      <w:tr w:rsidR="00904528" w:rsidRPr="00C14672" w14:paraId="61A1545A"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3E74ECA8" w14:textId="6E588013" w:rsidR="00904528" w:rsidRPr="00C14672" w:rsidRDefault="00904528"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WA Health (Health Support Services)</w:t>
            </w:r>
          </w:p>
        </w:tc>
        <w:tc>
          <w:tcPr>
            <w:tcW w:w="1457" w:type="dxa"/>
            <w:noWrap/>
            <w:vAlign w:val="center"/>
            <w:hideMark/>
          </w:tcPr>
          <w:p w14:paraId="26A7BE87" w14:textId="48376784" w:rsidR="00904528" w:rsidRPr="00C14672" w:rsidRDefault="00904528"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120</w:t>
            </w:r>
          </w:p>
        </w:tc>
        <w:tc>
          <w:tcPr>
            <w:tcW w:w="1095" w:type="dxa"/>
            <w:noWrap/>
            <w:vAlign w:val="center"/>
            <w:hideMark/>
          </w:tcPr>
          <w:p w14:paraId="0C44FE30" w14:textId="3B2B0179" w:rsidR="00904528" w:rsidRPr="00C14672" w:rsidRDefault="00904528"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465</w:t>
            </w:r>
          </w:p>
        </w:tc>
        <w:tc>
          <w:tcPr>
            <w:tcW w:w="1057" w:type="dxa"/>
            <w:noWrap/>
            <w:vAlign w:val="center"/>
            <w:hideMark/>
          </w:tcPr>
          <w:p w14:paraId="4DD8334E" w14:textId="77777777" w:rsidR="00904528" w:rsidRPr="00C14672" w:rsidRDefault="00904528"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169</w:t>
            </w:r>
          </w:p>
        </w:tc>
        <w:tc>
          <w:tcPr>
            <w:tcW w:w="1057" w:type="dxa"/>
            <w:noWrap/>
            <w:vAlign w:val="center"/>
            <w:hideMark/>
          </w:tcPr>
          <w:p w14:paraId="7A351631" w14:textId="77777777" w:rsidR="00904528" w:rsidRPr="00C14672" w:rsidRDefault="00904528"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100</w:t>
            </w:r>
          </w:p>
        </w:tc>
      </w:tr>
      <w:tr w:rsidR="00904528" w:rsidRPr="00C14672" w14:paraId="7997FDD9"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052DF8F6" w14:textId="77777777" w:rsidR="00904528" w:rsidRPr="00C14672" w:rsidRDefault="00904528"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Public Transport Authority</w:t>
            </w:r>
          </w:p>
        </w:tc>
        <w:tc>
          <w:tcPr>
            <w:tcW w:w="1457" w:type="dxa"/>
            <w:noWrap/>
            <w:vAlign w:val="center"/>
            <w:hideMark/>
          </w:tcPr>
          <w:p w14:paraId="4FB496EF" w14:textId="108AFFC2"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108</w:t>
            </w:r>
          </w:p>
        </w:tc>
        <w:tc>
          <w:tcPr>
            <w:tcW w:w="1095" w:type="dxa"/>
            <w:noWrap/>
            <w:vAlign w:val="center"/>
            <w:hideMark/>
          </w:tcPr>
          <w:p w14:paraId="5E0F370C" w14:textId="7D4AD71A"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024</w:t>
            </w:r>
          </w:p>
        </w:tc>
        <w:tc>
          <w:tcPr>
            <w:tcW w:w="1057" w:type="dxa"/>
            <w:noWrap/>
            <w:vAlign w:val="center"/>
            <w:hideMark/>
          </w:tcPr>
          <w:p w14:paraId="08BFBA9A" w14:textId="77777777"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55</w:t>
            </w:r>
          </w:p>
        </w:tc>
        <w:tc>
          <w:tcPr>
            <w:tcW w:w="1057" w:type="dxa"/>
            <w:noWrap/>
            <w:vAlign w:val="center"/>
            <w:hideMark/>
          </w:tcPr>
          <w:p w14:paraId="3E66675C" w14:textId="77777777"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92</w:t>
            </w:r>
          </w:p>
        </w:tc>
      </w:tr>
      <w:tr w:rsidR="00904528" w:rsidRPr="00C14672" w14:paraId="1FF25255"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56F26E55" w14:textId="5EA30095" w:rsidR="00904528" w:rsidRPr="00C14672" w:rsidRDefault="00904528"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Department of Biodiversity, Conservation and Attractions</w:t>
            </w:r>
            <w:r w:rsidR="00DC38B1">
              <w:rPr>
                <w:rFonts w:ascii="Arial" w:eastAsia="Times New Roman" w:hAnsi="Arial" w:cs="Arial"/>
                <w:b w:val="0"/>
                <w:lang w:eastAsia="en-AU"/>
              </w:rPr>
              <w:t xml:space="preserve"> </w:t>
            </w:r>
            <w:r w:rsidRPr="00C14672">
              <w:rPr>
                <w:rStyle w:val="EndnoteReference"/>
                <w:rFonts w:ascii="Arial" w:eastAsia="Times New Roman" w:hAnsi="Arial" w:cs="Arial"/>
                <w:b w:val="0"/>
                <w:lang w:eastAsia="en-AU"/>
              </w:rPr>
              <w:endnoteReference w:id="4"/>
            </w:r>
          </w:p>
        </w:tc>
        <w:tc>
          <w:tcPr>
            <w:tcW w:w="1457" w:type="dxa"/>
            <w:noWrap/>
            <w:vAlign w:val="center"/>
            <w:hideMark/>
          </w:tcPr>
          <w:p w14:paraId="2D7FA080" w14:textId="3F826FEC" w:rsidR="00904528" w:rsidRPr="00C14672" w:rsidRDefault="00FE17DB"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283</w:t>
            </w:r>
          </w:p>
        </w:tc>
        <w:tc>
          <w:tcPr>
            <w:tcW w:w="1095" w:type="dxa"/>
            <w:noWrap/>
            <w:vAlign w:val="center"/>
            <w:hideMark/>
          </w:tcPr>
          <w:p w14:paraId="143D1E60" w14:textId="2964061A" w:rsidR="00904528" w:rsidRPr="00C14672" w:rsidRDefault="00FE17DB"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933</w:t>
            </w:r>
          </w:p>
        </w:tc>
        <w:tc>
          <w:tcPr>
            <w:tcW w:w="1057" w:type="dxa"/>
            <w:noWrap/>
            <w:vAlign w:val="center"/>
            <w:hideMark/>
          </w:tcPr>
          <w:p w14:paraId="07C3147B" w14:textId="503BD015" w:rsidR="00904528" w:rsidRPr="00C14672" w:rsidRDefault="00FE17DB"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p>
        </w:tc>
        <w:tc>
          <w:tcPr>
            <w:tcW w:w="1057" w:type="dxa"/>
            <w:noWrap/>
            <w:vAlign w:val="center"/>
            <w:hideMark/>
          </w:tcPr>
          <w:p w14:paraId="61F570B9" w14:textId="2A535A29" w:rsidR="00904528" w:rsidRPr="00C14672" w:rsidRDefault="00557EEB"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77</w:t>
            </w:r>
          </w:p>
        </w:tc>
      </w:tr>
      <w:tr w:rsidR="00904528" w:rsidRPr="00C14672" w14:paraId="1ABA7414"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2E4D5AA6" w14:textId="77777777" w:rsidR="00904528" w:rsidRPr="00C14672" w:rsidRDefault="00904528"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Department of Fire and Emergency Services</w:t>
            </w:r>
          </w:p>
        </w:tc>
        <w:tc>
          <w:tcPr>
            <w:tcW w:w="1457" w:type="dxa"/>
            <w:noWrap/>
            <w:vAlign w:val="center"/>
            <w:hideMark/>
          </w:tcPr>
          <w:p w14:paraId="689B6EFD" w14:textId="0A0C7E4A"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762</w:t>
            </w:r>
          </w:p>
        </w:tc>
        <w:tc>
          <w:tcPr>
            <w:tcW w:w="1095" w:type="dxa"/>
            <w:noWrap/>
            <w:vAlign w:val="center"/>
            <w:hideMark/>
          </w:tcPr>
          <w:p w14:paraId="2DFDD433" w14:textId="6AE3348D"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638</w:t>
            </w:r>
          </w:p>
        </w:tc>
        <w:tc>
          <w:tcPr>
            <w:tcW w:w="1057" w:type="dxa"/>
            <w:noWrap/>
            <w:vAlign w:val="center"/>
            <w:hideMark/>
          </w:tcPr>
          <w:p w14:paraId="7DC27EC4" w14:textId="77777777"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-11</w:t>
            </w:r>
          </w:p>
        </w:tc>
        <w:tc>
          <w:tcPr>
            <w:tcW w:w="1057" w:type="dxa"/>
            <w:noWrap/>
            <w:vAlign w:val="center"/>
            <w:hideMark/>
          </w:tcPr>
          <w:p w14:paraId="29862808" w14:textId="77777777" w:rsidR="00904528" w:rsidRPr="00C14672" w:rsidRDefault="00904528"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15</w:t>
            </w:r>
          </w:p>
        </w:tc>
      </w:tr>
      <w:tr w:rsidR="0017783C" w:rsidRPr="00C14672" w14:paraId="2E5D35A6"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7E03ED71" w14:textId="2E5A3C0E" w:rsidR="00904528" w:rsidRPr="00C14672" w:rsidRDefault="00904528"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Department of Primary Industries and Regional Development</w:t>
            </w:r>
            <w:r w:rsidR="00DC38B1">
              <w:rPr>
                <w:rFonts w:ascii="Arial" w:eastAsia="Times New Roman" w:hAnsi="Arial" w:cs="Arial"/>
                <w:b w:val="0"/>
                <w:lang w:eastAsia="en-AU"/>
              </w:rPr>
              <w:t xml:space="preserve"> </w:t>
            </w:r>
            <w:r w:rsidRPr="00C14672">
              <w:rPr>
                <w:rStyle w:val="EndnoteReference"/>
                <w:rFonts w:ascii="Arial" w:eastAsia="Times New Roman" w:hAnsi="Arial" w:cs="Arial"/>
                <w:b w:val="0"/>
                <w:lang w:eastAsia="en-AU"/>
              </w:rPr>
              <w:endnoteReference w:id="5"/>
            </w:r>
          </w:p>
        </w:tc>
        <w:tc>
          <w:tcPr>
            <w:tcW w:w="1457" w:type="dxa"/>
            <w:noWrap/>
            <w:vAlign w:val="center"/>
            <w:hideMark/>
          </w:tcPr>
          <w:p w14:paraId="77B90182" w14:textId="1C559049"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7</w:t>
            </w:r>
            <w:r w:rsidR="00557EEB" w:rsidRPr="00C14672">
              <w:rPr>
                <w:rFonts w:ascii="Arial" w:eastAsia="Times New Roman" w:hAnsi="Arial" w:cs="Arial"/>
                <w:lang w:eastAsia="en-AU"/>
              </w:rPr>
              <w:t>35</w:t>
            </w:r>
          </w:p>
        </w:tc>
        <w:tc>
          <w:tcPr>
            <w:tcW w:w="1095" w:type="dxa"/>
            <w:noWrap/>
            <w:vAlign w:val="center"/>
            <w:hideMark/>
          </w:tcPr>
          <w:p w14:paraId="0F7BC301" w14:textId="39A0DA4B"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5</w:t>
            </w:r>
            <w:r w:rsidR="00557EEB" w:rsidRPr="00C14672">
              <w:rPr>
                <w:rFonts w:ascii="Arial" w:eastAsia="Times New Roman" w:hAnsi="Arial" w:cs="Arial"/>
                <w:lang w:eastAsia="en-AU"/>
              </w:rPr>
              <w:t>60</w:t>
            </w:r>
          </w:p>
        </w:tc>
        <w:tc>
          <w:tcPr>
            <w:tcW w:w="1057" w:type="dxa"/>
            <w:noWrap/>
            <w:vAlign w:val="center"/>
            <w:hideMark/>
          </w:tcPr>
          <w:p w14:paraId="19F4AAB3"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8</w:t>
            </w:r>
          </w:p>
        </w:tc>
        <w:tc>
          <w:tcPr>
            <w:tcW w:w="1057" w:type="dxa"/>
            <w:noWrap/>
            <w:vAlign w:val="center"/>
            <w:hideMark/>
          </w:tcPr>
          <w:p w14:paraId="5A454461" w14:textId="2BB8843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557EEB" w:rsidRPr="00C14672">
              <w:rPr>
                <w:rFonts w:ascii="Arial" w:eastAsia="Times New Roman" w:hAnsi="Arial" w:cs="Arial"/>
                <w:lang w:eastAsia="en-AU"/>
              </w:rPr>
              <w:t>0</w:t>
            </w:r>
          </w:p>
        </w:tc>
      </w:tr>
      <w:tr w:rsidR="0017783C" w:rsidRPr="00C14672" w14:paraId="6C20C837"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48DFF72C" w14:textId="56BEBC74"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Department of Mines, Industry Regulation and Safety</w:t>
            </w:r>
            <w:r w:rsidR="00DC38B1">
              <w:rPr>
                <w:rFonts w:ascii="Arial" w:eastAsia="Times New Roman" w:hAnsi="Arial" w:cs="Arial"/>
                <w:b w:val="0"/>
                <w:lang w:eastAsia="en-AU"/>
              </w:rPr>
              <w:t xml:space="preserve"> </w:t>
            </w:r>
            <w:r w:rsidR="00904528" w:rsidRPr="00C14672">
              <w:rPr>
                <w:rStyle w:val="EndnoteReference"/>
                <w:rFonts w:ascii="Arial" w:eastAsia="Times New Roman" w:hAnsi="Arial" w:cs="Arial"/>
                <w:b w:val="0"/>
                <w:lang w:eastAsia="en-AU"/>
              </w:rPr>
              <w:endnoteReference w:id="6"/>
            </w:r>
          </w:p>
        </w:tc>
        <w:tc>
          <w:tcPr>
            <w:tcW w:w="1457" w:type="dxa"/>
            <w:noWrap/>
            <w:vAlign w:val="center"/>
            <w:hideMark/>
          </w:tcPr>
          <w:p w14:paraId="531A32F7" w14:textId="198D0B3A"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698</w:t>
            </w:r>
          </w:p>
        </w:tc>
        <w:tc>
          <w:tcPr>
            <w:tcW w:w="1095" w:type="dxa"/>
            <w:noWrap/>
            <w:vAlign w:val="center"/>
            <w:hideMark/>
          </w:tcPr>
          <w:p w14:paraId="2F2221B9" w14:textId="5FF448FC"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579</w:t>
            </w:r>
          </w:p>
        </w:tc>
        <w:tc>
          <w:tcPr>
            <w:tcW w:w="1057" w:type="dxa"/>
            <w:noWrap/>
            <w:vAlign w:val="center"/>
            <w:hideMark/>
          </w:tcPr>
          <w:p w14:paraId="4B747093"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37</w:t>
            </w:r>
          </w:p>
        </w:tc>
        <w:tc>
          <w:tcPr>
            <w:tcW w:w="1057" w:type="dxa"/>
            <w:noWrap/>
            <w:vAlign w:val="center"/>
            <w:hideMark/>
          </w:tcPr>
          <w:p w14:paraId="4D0FA459"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176</w:t>
            </w:r>
          </w:p>
        </w:tc>
      </w:tr>
      <w:tr w:rsidR="0017783C" w:rsidRPr="00C14672" w14:paraId="4BA958C1"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40ADD6AC"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Department of Transport</w:t>
            </w:r>
          </w:p>
        </w:tc>
        <w:tc>
          <w:tcPr>
            <w:tcW w:w="1457" w:type="dxa"/>
            <w:noWrap/>
            <w:vAlign w:val="center"/>
            <w:hideMark/>
          </w:tcPr>
          <w:p w14:paraId="68116584" w14:textId="52F4673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460</w:t>
            </w:r>
          </w:p>
        </w:tc>
        <w:tc>
          <w:tcPr>
            <w:tcW w:w="1095" w:type="dxa"/>
            <w:noWrap/>
            <w:vAlign w:val="center"/>
            <w:hideMark/>
          </w:tcPr>
          <w:p w14:paraId="7E705B68" w14:textId="3686799D"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354</w:t>
            </w:r>
          </w:p>
        </w:tc>
        <w:tc>
          <w:tcPr>
            <w:tcW w:w="1057" w:type="dxa"/>
            <w:noWrap/>
            <w:vAlign w:val="center"/>
            <w:hideMark/>
          </w:tcPr>
          <w:p w14:paraId="376F988C"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w:t>
            </w:r>
          </w:p>
        </w:tc>
        <w:tc>
          <w:tcPr>
            <w:tcW w:w="1057" w:type="dxa"/>
            <w:noWrap/>
            <w:vAlign w:val="center"/>
            <w:hideMark/>
          </w:tcPr>
          <w:p w14:paraId="4F3BFEC3"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25</w:t>
            </w:r>
          </w:p>
        </w:tc>
      </w:tr>
      <w:tr w:rsidR="0017783C" w:rsidRPr="00C14672" w14:paraId="5CE4D164"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3ABEBCC1"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North Metropolitan TAFE</w:t>
            </w:r>
          </w:p>
        </w:tc>
        <w:tc>
          <w:tcPr>
            <w:tcW w:w="1457" w:type="dxa"/>
            <w:noWrap/>
            <w:vAlign w:val="center"/>
            <w:hideMark/>
          </w:tcPr>
          <w:p w14:paraId="425C0D62" w14:textId="05289D33"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458</w:t>
            </w:r>
          </w:p>
        </w:tc>
        <w:tc>
          <w:tcPr>
            <w:tcW w:w="1095" w:type="dxa"/>
            <w:noWrap/>
            <w:vAlign w:val="center"/>
            <w:hideMark/>
          </w:tcPr>
          <w:p w14:paraId="607A3733" w14:textId="7BB3A9D0"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170</w:t>
            </w:r>
          </w:p>
        </w:tc>
        <w:tc>
          <w:tcPr>
            <w:tcW w:w="1057" w:type="dxa"/>
            <w:noWrap/>
            <w:vAlign w:val="center"/>
            <w:hideMark/>
          </w:tcPr>
          <w:p w14:paraId="4BA48E1F"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81</w:t>
            </w:r>
          </w:p>
        </w:tc>
        <w:tc>
          <w:tcPr>
            <w:tcW w:w="1057" w:type="dxa"/>
            <w:noWrap/>
            <w:vAlign w:val="center"/>
            <w:hideMark/>
          </w:tcPr>
          <w:p w14:paraId="02ED1900"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-60</w:t>
            </w:r>
          </w:p>
        </w:tc>
      </w:tr>
      <w:tr w:rsidR="0017783C" w:rsidRPr="00C14672" w14:paraId="29F754D3"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5141D29B"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South Metropolitan TAFE</w:t>
            </w:r>
          </w:p>
        </w:tc>
        <w:tc>
          <w:tcPr>
            <w:tcW w:w="1457" w:type="dxa"/>
            <w:noWrap/>
            <w:vAlign w:val="center"/>
            <w:hideMark/>
          </w:tcPr>
          <w:p w14:paraId="653956A7" w14:textId="02235671"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442</w:t>
            </w:r>
          </w:p>
        </w:tc>
        <w:tc>
          <w:tcPr>
            <w:tcW w:w="1095" w:type="dxa"/>
            <w:noWrap/>
            <w:vAlign w:val="center"/>
            <w:hideMark/>
          </w:tcPr>
          <w:p w14:paraId="63BE3668" w14:textId="6125A18E"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230</w:t>
            </w:r>
          </w:p>
        </w:tc>
        <w:tc>
          <w:tcPr>
            <w:tcW w:w="1057" w:type="dxa"/>
            <w:noWrap/>
            <w:vAlign w:val="center"/>
            <w:hideMark/>
          </w:tcPr>
          <w:p w14:paraId="133A29A6"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169</w:t>
            </w:r>
          </w:p>
        </w:tc>
        <w:tc>
          <w:tcPr>
            <w:tcW w:w="1057" w:type="dxa"/>
            <w:noWrap/>
            <w:vAlign w:val="center"/>
            <w:hideMark/>
          </w:tcPr>
          <w:p w14:paraId="395C6E11"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72</w:t>
            </w:r>
          </w:p>
        </w:tc>
      </w:tr>
      <w:tr w:rsidR="0017783C" w:rsidRPr="00C14672" w14:paraId="160A35D0"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107DE38B"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 xml:space="preserve">Department of Local Government, </w:t>
            </w:r>
            <w:proofErr w:type="gramStart"/>
            <w:r w:rsidRPr="00C14672">
              <w:rPr>
                <w:rFonts w:ascii="Arial" w:eastAsia="Times New Roman" w:hAnsi="Arial" w:cs="Arial"/>
                <w:b w:val="0"/>
                <w:lang w:eastAsia="en-AU"/>
              </w:rPr>
              <w:t>Sport</w:t>
            </w:r>
            <w:proofErr w:type="gramEnd"/>
            <w:r w:rsidRPr="00C14672">
              <w:rPr>
                <w:rFonts w:ascii="Arial" w:eastAsia="Times New Roman" w:hAnsi="Arial" w:cs="Arial"/>
                <w:b w:val="0"/>
                <w:lang w:eastAsia="en-AU"/>
              </w:rPr>
              <w:t xml:space="preserve"> and Cultural Industries</w:t>
            </w:r>
          </w:p>
        </w:tc>
        <w:tc>
          <w:tcPr>
            <w:tcW w:w="1457" w:type="dxa"/>
            <w:noWrap/>
            <w:vAlign w:val="center"/>
            <w:hideMark/>
          </w:tcPr>
          <w:p w14:paraId="488F0A83" w14:textId="20B7E746"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174</w:t>
            </w:r>
          </w:p>
        </w:tc>
        <w:tc>
          <w:tcPr>
            <w:tcW w:w="1095" w:type="dxa"/>
            <w:noWrap/>
            <w:vAlign w:val="center"/>
            <w:hideMark/>
          </w:tcPr>
          <w:p w14:paraId="32931437"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919</w:t>
            </w:r>
          </w:p>
        </w:tc>
        <w:tc>
          <w:tcPr>
            <w:tcW w:w="1057" w:type="dxa"/>
            <w:noWrap/>
            <w:vAlign w:val="center"/>
            <w:hideMark/>
          </w:tcPr>
          <w:p w14:paraId="4F7B468A"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50</w:t>
            </w:r>
          </w:p>
        </w:tc>
        <w:tc>
          <w:tcPr>
            <w:tcW w:w="1057" w:type="dxa"/>
            <w:noWrap/>
            <w:vAlign w:val="center"/>
            <w:hideMark/>
          </w:tcPr>
          <w:p w14:paraId="474DFDB0"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57</w:t>
            </w:r>
          </w:p>
        </w:tc>
      </w:tr>
      <w:tr w:rsidR="0017783C" w:rsidRPr="00C14672" w14:paraId="530EA4C8"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20BF1D1E"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Main Roads Western Australia</w:t>
            </w:r>
          </w:p>
        </w:tc>
        <w:tc>
          <w:tcPr>
            <w:tcW w:w="1457" w:type="dxa"/>
            <w:noWrap/>
            <w:vAlign w:val="center"/>
            <w:hideMark/>
          </w:tcPr>
          <w:p w14:paraId="5ECCD659" w14:textId="4A302114"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142</w:t>
            </w:r>
          </w:p>
        </w:tc>
        <w:tc>
          <w:tcPr>
            <w:tcW w:w="1095" w:type="dxa"/>
            <w:noWrap/>
            <w:vAlign w:val="center"/>
            <w:hideMark/>
          </w:tcPr>
          <w:p w14:paraId="7347F4FD" w14:textId="30B9C0C9"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095</w:t>
            </w:r>
          </w:p>
        </w:tc>
        <w:tc>
          <w:tcPr>
            <w:tcW w:w="1057" w:type="dxa"/>
            <w:noWrap/>
            <w:vAlign w:val="center"/>
            <w:hideMark/>
          </w:tcPr>
          <w:p w14:paraId="2A8E73E4"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41</w:t>
            </w:r>
          </w:p>
        </w:tc>
        <w:tc>
          <w:tcPr>
            <w:tcW w:w="1057" w:type="dxa"/>
            <w:noWrap/>
            <w:vAlign w:val="center"/>
            <w:hideMark/>
          </w:tcPr>
          <w:p w14:paraId="3600AD8C"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71</w:t>
            </w:r>
          </w:p>
        </w:tc>
      </w:tr>
      <w:tr w:rsidR="0017783C" w:rsidRPr="00C14672" w14:paraId="675B7C7E"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73D46D16"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Department of Health</w:t>
            </w:r>
          </w:p>
        </w:tc>
        <w:tc>
          <w:tcPr>
            <w:tcW w:w="1457" w:type="dxa"/>
            <w:noWrap/>
            <w:vAlign w:val="center"/>
            <w:hideMark/>
          </w:tcPr>
          <w:p w14:paraId="3769DC6E" w14:textId="3371D309"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r w:rsidR="001943ED" w:rsidRPr="00C14672">
              <w:rPr>
                <w:rFonts w:ascii="Arial" w:eastAsia="Times New Roman" w:hAnsi="Arial" w:cs="Arial"/>
                <w:lang w:eastAsia="en-AU"/>
              </w:rPr>
              <w:t xml:space="preserve"> </w:t>
            </w:r>
            <w:r w:rsidRPr="00C14672">
              <w:rPr>
                <w:rFonts w:ascii="Arial" w:eastAsia="Times New Roman" w:hAnsi="Arial" w:cs="Arial"/>
                <w:lang w:eastAsia="en-AU"/>
              </w:rPr>
              <w:t>006</w:t>
            </w:r>
          </w:p>
        </w:tc>
        <w:tc>
          <w:tcPr>
            <w:tcW w:w="1095" w:type="dxa"/>
            <w:noWrap/>
            <w:vAlign w:val="center"/>
            <w:hideMark/>
          </w:tcPr>
          <w:p w14:paraId="733A301D"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845</w:t>
            </w:r>
          </w:p>
        </w:tc>
        <w:tc>
          <w:tcPr>
            <w:tcW w:w="1057" w:type="dxa"/>
            <w:noWrap/>
            <w:vAlign w:val="center"/>
            <w:hideMark/>
          </w:tcPr>
          <w:p w14:paraId="1A54C5AB"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39</w:t>
            </w:r>
          </w:p>
        </w:tc>
        <w:tc>
          <w:tcPr>
            <w:tcW w:w="1057" w:type="dxa"/>
            <w:noWrap/>
            <w:vAlign w:val="center"/>
            <w:hideMark/>
          </w:tcPr>
          <w:p w14:paraId="412FF1C9"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131</w:t>
            </w:r>
          </w:p>
        </w:tc>
      </w:tr>
      <w:tr w:rsidR="0017783C" w:rsidRPr="00C14672" w14:paraId="62B0076C"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3BC3CAC3"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Department of Finance</w:t>
            </w:r>
          </w:p>
        </w:tc>
        <w:tc>
          <w:tcPr>
            <w:tcW w:w="1457" w:type="dxa"/>
            <w:noWrap/>
            <w:vAlign w:val="center"/>
            <w:hideMark/>
          </w:tcPr>
          <w:p w14:paraId="61465E46"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993</w:t>
            </w:r>
          </w:p>
        </w:tc>
        <w:tc>
          <w:tcPr>
            <w:tcW w:w="1095" w:type="dxa"/>
            <w:noWrap/>
            <w:vAlign w:val="center"/>
            <w:hideMark/>
          </w:tcPr>
          <w:p w14:paraId="639B8F8D"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931</w:t>
            </w:r>
          </w:p>
        </w:tc>
        <w:tc>
          <w:tcPr>
            <w:tcW w:w="1057" w:type="dxa"/>
            <w:noWrap/>
            <w:vAlign w:val="center"/>
            <w:hideMark/>
          </w:tcPr>
          <w:p w14:paraId="61DEF22E"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35</w:t>
            </w:r>
          </w:p>
        </w:tc>
        <w:tc>
          <w:tcPr>
            <w:tcW w:w="1057" w:type="dxa"/>
            <w:noWrap/>
            <w:vAlign w:val="center"/>
            <w:hideMark/>
          </w:tcPr>
          <w:p w14:paraId="40FDC65F"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11</w:t>
            </w:r>
          </w:p>
        </w:tc>
      </w:tr>
      <w:tr w:rsidR="0017783C" w:rsidRPr="00C14672" w14:paraId="71E7C541"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16199D11"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Department of Water and Environmental Regulation</w:t>
            </w:r>
          </w:p>
        </w:tc>
        <w:tc>
          <w:tcPr>
            <w:tcW w:w="1457" w:type="dxa"/>
            <w:noWrap/>
            <w:vAlign w:val="center"/>
            <w:hideMark/>
          </w:tcPr>
          <w:p w14:paraId="6FAB5F0D"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980</w:t>
            </w:r>
          </w:p>
        </w:tc>
        <w:tc>
          <w:tcPr>
            <w:tcW w:w="1095" w:type="dxa"/>
            <w:noWrap/>
            <w:vAlign w:val="center"/>
            <w:hideMark/>
          </w:tcPr>
          <w:p w14:paraId="1C6A79AD"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851</w:t>
            </w:r>
          </w:p>
        </w:tc>
        <w:tc>
          <w:tcPr>
            <w:tcW w:w="1057" w:type="dxa"/>
            <w:noWrap/>
            <w:vAlign w:val="center"/>
            <w:hideMark/>
          </w:tcPr>
          <w:p w14:paraId="3BCA9061"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w:t>
            </w:r>
          </w:p>
        </w:tc>
        <w:tc>
          <w:tcPr>
            <w:tcW w:w="1057" w:type="dxa"/>
            <w:noWrap/>
            <w:vAlign w:val="center"/>
            <w:hideMark/>
          </w:tcPr>
          <w:p w14:paraId="6511AB5C"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55</w:t>
            </w:r>
          </w:p>
        </w:tc>
      </w:tr>
      <w:tr w:rsidR="0017783C" w:rsidRPr="00C14672" w14:paraId="329A25B5"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638750D6"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Department of Planning, Lands and Heritage</w:t>
            </w:r>
          </w:p>
        </w:tc>
        <w:tc>
          <w:tcPr>
            <w:tcW w:w="1457" w:type="dxa"/>
            <w:noWrap/>
            <w:vAlign w:val="center"/>
            <w:hideMark/>
          </w:tcPr>
          <w:p w14:paraId="59351641"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841</w:t>
            </w:r>
          </w:p>
        </w:tc>
        <w:tc>
          <w:tcPr>
            <w:tcW w:w="1095" w:type="dxa"/>
            <w:noWrap/>
            <w:vAlign w:val="center"/>
            <w:hideMark/>
          </w:tcPr>
          <w:p w14:paraId="64A3A6C2"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747</w:t>
            </w:r>
          </w:p>
        </w:tc>
        <w:tc>
          <w:tcPr>
            <w:tcW w:w="1057" w:type="dxa"/>
            <w:noWrap/>
            <w:vAlign w:val="center"/>
            <w:hideMark/>
          </w:tcPr>
          <w:p w14:paraId="754156EF"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-36</w:t>
            </w:r>
          </w:p>
        </w:tc>
        <w:tc>
          <w:tcPr>
            <w:tcW w:w="1057" w:type="dxa"/>
            <w:noWrap/>
            <w:vAlign w:val="center"/>
            <w:hideMark/>
          </w:tcPr>
          <w:p w14:paraId="66B115B1"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70</w:t>
            </w:r>
          </w:p>
        </w:tc>
      </w:tr>
      <w:tr w:rsidR="0017783C" w:rsidRPr="00C14672" w14:paraId="250CB023"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5EA554A3"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lastRenderedPageBreak/>
              <w:t>Department of the Premier and Cabinet</w:t>
            </w:r>
          </w:p>
        </w:tc>
        <w:tc>
          <w:tcPr>
            <w:tcW w:w="1457" w:type="dxa"/>
            <w:noWrap/>
            <w:vAlign w:val="center"/>
            <w:hideMark/>
          </w:tcPr>
          <w:p w14:paraId="07ACE0C9"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603</w:t>
            </w:r>
          </w:p>
        </w:tc>
        <w:tc>
          <w:tcPr>
            <w:tcW w:w="1095" w:type="dxa"/>
            <w:noWrap/>
            <w:vAlign w:val="center"/>
            <w:hideMark/>
          </w:tcPr>
          <w:p w14:paraId="0E384442"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529</w:t>
            </w:r>
          </w:p>
        </w:tc>
        <w:tc>
          <w:tcPr>
            <w:tcW w:w="1057" w:type="dxa"/>
            <w:noWrap/>
            <w:vAlign w:val="center"/>
            <w:hideMark/>
          </w:tcPr>
          <w:p w14:paraId="1F9F4529"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p>
        </w:tc>
        <w:tc>
          <w:tcPr>
            <w:tcW w:w="1057" w:type="dxa"/>
            <w:noWrap/>
            <w:vAlign w:val="center"/>
            <w:hideMark/>
          </w:tcPr>
          <w:p w14:paraId="3C2CFDAD"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36</w:t>
            </w:r>
          </w:p>
        </w:tc>
      </w:tr>
      <w:tr w:rsidR="0017783C" w:rsidRPr="00C14672" w14:paraId="050801A4"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72CE03D5"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South Regional TAFE</w:t>
            </w:r>
          </w:p>
        </w:tc>
        <w:tc>
          <w:tcPr>
            <w:tcW w:w="1457" w:type="dxa"/>
            <w:noWrap/>
            <w:vAlign w:val="center"/>
            <w:hideMark/>
          </w:tcPr>
          <w:p w14:paraId="6475E967"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587</w:t>
            </w:r>
          </w:p>
        </w:tc>
        <w:tc>
          <w:tcPr>
            <w:tcW w:w="1095" w:type="dxa"/>
            <w:noWrap/>
            <w:vAlign w:val="center"/>
            <w:hideMark/>
          </w:tcPr>
          <w:p w14:paraId="1A880B55"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422</w:t>
            </w:r>
          </w:p>
        </w:tc>
        <w:tc>
          <w:tcPr>
            <w:tcW w:w="1057" w:type="dxa"/>
            <w:noWrap/>
            <w:vAlign w:val="center"/>
            <w:hideMark/>
          </w:tcPr>
          <w:p w14:paraId="70277978"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71</w:t>
            </w:r>
          </w:p>
        </w:tc>
        <w:tc>
          <w:tcPr>
            <w:tcW w:w="1057" w:type="dxa"/>
            <w:noWrap/>
            <w:vAlign w:val="center"/>
            <w:hideMark/>
          </w:tcPr>
          <w:p w14:paraId="356BD646"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r>
      <w:tr w:rsidR="0017783C" w:rsidRPr="00C14672" w14:paraId="4C818384"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1F33ABA0"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Landgate</w:t>
            </w:r>
          </w:p>
        </w:tc>
        <w:tc>
          <w:tcPr>
            <w:tcW w:w="1457" w:type="dxa"/>
            <w:noWrap/>
            <w:vAlign w:val="center"/>
            <w:hideMark/>
          </w:tcPr>
          <w:p w14:paraId="1C4BD1B3"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511</w:t>
            </w:r>
          </w:p>
        </w:tc>
        <w:tc>
          <w:tcPr>
            <w:tcW w:w="1095" w:type="dxa"/>
            <w:noWrap/>
            <w:vAlign w:val="center"/>
            <w:hideMark/>
          </w:tcPr>
          <w:p w14:paraId="23B878D3"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483</w:t>
            </w:r>
          </w:p>
        </w:tc>
        <w:tc>
          <w:tcPr>
            <w:tcW w:w="1057" w:type="dxa"/>
            <w:noWrap/>
            <w:vAlign w:val="center"/>
            <w:hideMark/>
          </w:tcPr>
          <w:p w14:paraId="7700045A"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9</w:t>
            </w:r>
          </w:p>
        </w:tc>
        <w:tc>
          <w:tcPr>
            <w:tcW w:w="1057" w:type="dxa"/>
            <w:noWrap/>
            <w:vAlign w:val="center"/>
            <w:hideMark/>
          </w:tcPr>
          <w:p w14:paraId="56B3D865"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17</w:t>
            </w:r>
          </w:p>
        </w:tc>
      </w:tr>
      <w:tr w:rsidR="0017783C" w:rsidRPr="00C14672" w14:paraId="6606E85D"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1F9F3D37" w14:textId="77777777" w:rsidR="0017783C" w:rsidRPr="00C14672" w:rsidRDefault="0017783C" w:rsidP="000D1422">
            <w:pPr>
              <w:spacing w:beforeLines="40" w:before="96" w:afterLines="40" w:after="96"/>
              <w:rPr>
                <w:rFonts w:ascii="Arial" w:eastAsia="Times New Roman" w:hAnsi="Arial" w:cs="Arial"/>
                <w:b w:val="0"/>
                <w:lang w:eastAsia="en-AU"/>
              </w:rPr>
            </w:pPr>
            <w:proofErr w:type="spellStart"/>
            <w:r w:rsidRPr="00C14672">
              <w:rPr>
                <w:rFonts w:ascii="Arial" w:eastAsia="Times New Roman" w:hAnsi="Arial" w:cs="Arial"/>
                <w:b w:val="0"/>
                <w:lang w:eastAsia="en-AU"/>
              </w:rPr>
              <w:t>VenuesWest</w:t>
            </w:r>
            <w:proofErr w:type="spellEnd"/>
          </w:p>
        </w:tc>
        <w:tc>
          <w:tcPr>
            <w:tcW w:w="1457" w:type="dxa"/>
            <w:noWrap/>
            <w:vAlign w:val="center"/>
            <w:hideMark/>
          </w:tcPr>
          <w:p w14:paraId="3AFC2DCA"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473</w:t>
            </w:r>
          </w:p>
        </w:tc>
        <w:tc>
          <w:tcPr>
            <w:tcW w:w="1095" w:type="dxa"/>
            <w:noWrap/>
            <w:vAlign w:val="center"/>
            <w:hideMark/>
          </w:tcPr>
          <w:p w14:paraId="77756ACE"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242</w:t>
            </w:r>
          </w:p>
        </w:tc>
        <w:tc>
          <w:tcPr>
            <w:tcW w:w="1057" w:type="dxa"/>
            <w:noWrap/>
            <w:vAlign w:val="center"/>
            <w:hideMark/>
          </w:tcPr>
          <w:p w14:paraId="6E8F6B87"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-20</w:t>
            </w:r>
          </w:p>
        </w:tc>
        <w:tc>
          <w:tcPr>
            <w:tcW w:w="1057" w:type="dxa"/>
            <w:noWrap/>
            <w:vAlign w:val="center"/>
            <w:hideMark/>
          </w:tcPr>
          <w:p w14:paraId="0F1CFC47"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-28</w:t>
            </w:r>
          </w:p>
        </w:tc>
      </w:tr>
      <w:tr w:rsidR="0017783C" w:rsidRPr="00C14672" w14:paraId="7B8354A2"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320D16F2"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Department of Training and Workforce Development</w:t>
            </w:r>
          </w:p>
        </w:tc>
        <w:tc>
          <w:tcPr>
            <w:tcW w:w="1457" w:type="dxa"/>
            <w:noWrap/>
            <w:vAlign w:val="center"/>
            <w:hideMark/>
          </w:tcPr>
          <w:p w14:paraId="3B360F9E"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470</w:t>
            </w:r>
          </w:p>
        </w:tc>
        <w:tc>
          <w:tcPr>
            <w:tcW w:w="1095" w:type="dxa"/>
            <w:noWrap/>
            <w:vAlign w:val="center"/>
            <w:hideMark/>
          </w:tcPr>
          <w:p w14:paraId="2401E1BD"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417</w:t>
            </w:r>
          </w:p>
        </w:tc>
        <w:tc>
          <w:tcPr>
            <w:tcW w:w="1057" w:type="dxa"/>
            <w:noWrap/>
            <w:vAlign w:val="center"/>
            <w:hideMark/>
          </w:tcPr>
          <w:p w14:paraId="773DD21E"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c>
          <w:tcPr>
            <w:tcW w:w="1057" w:type="dxa"/>
            <w:noWrap/>
            <w:vAlign w:val="center"/>
            <w:hideMark/>
          </w:tcPr>
          <w:p w14:paraId="19B2CD86"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15</w:t>
            </w:r>
          </w:p>
        </w:tc>
      </w:tr>
      <w:tr w:rsidR="0017783C" w:rsidRPr="00C14672" w14:paraId="2BFE0C41"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7852CB93"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Insurance Commission of Western Australia</w:t>
            </w:r>
          </w:p>
        </w:tc>
        <w:tc>
          <w:tcPr>
            <w:tcW w:w="1457" w:type="dxa"/>
            <w:noWrap/>
            <w:vAlign w:val="center"/>
            <w:hideMark/>
          </w:tcPr>
          <w:p w14:paraId="1B58C901"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419</w:t>
            </w:r>
          </w:p>
        </w:tc>
        <w:tc>
          <w:tcPr>
            <w:tcW w:w="1095" w:type="dxa"/>
            <w:noWrap/>
            <w:vAlign w:val="center"/>
            <w:hideMark/>
          </w:tcPr>
          <w:p w14:paraId="3823F5EB"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383</w:t>
            </w:r>
          </w:p>
        </w:tc>
        <w:tc>
          <w:tcPr>
            <w:tcW w:w="1057" w:type="dxa"/>
            <w:noWrap/>
            <w:vAlign w:val="center"/>
            <w:hideMark/>
          </w:tcPr>
          <w:p w14:paraId="569E07F2"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p>
        </w:tc>
        <w:tc>
          <w:tcPr>
            <w:tcW w:w="1057" w:type="dxa"/>
            <w:noWrap/>
            <w:vAlign w:val="center"/>
            <w:hideMark/>
          </w:tcPr>
          <w:p w14:paraId="07A3A503"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26</w:t>
            </w:r>
          </w:p>
        </w:tc>
      </w:tr>
      <w:tr w:rsidR="0017783C" w:rsidRPr="00C14672" w14:paraId="1BE0CE16"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4C28DAE0"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Central Regional TAFE</w:t>
            </w:r>
          </w:p>
        </w:tc>
        <w:tc>
          <w:tcPr>
            <w:tcW w:w="1457" w:type="dxa"/>
            <w:noWrap/>
            <w:vAlign w:val="center"/>
            <w:hideMark/>
          </w:tcPr>
          <w:p w14:paraId="5661A53B"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418</w:t>
            </w:r>
          </w:p>
        </w:tc>
        <w:tc>
          <w:tcPr>
            <w:tcW w:w="1095" w:type="dxa"/>
            <w:noWrap/>
            <w:vAlign w:val="center"/>
            <w:hideMark/>
          </w:tcPr>
          <w:p w14:paraId="7B0CAAD0"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344</w:t>
            </w:r>
          </w:p>
        </w:tc>
        <w:tc>
          <w:tcPr>
            <w:tcW w:w="1057" w:type="dxa"/>
            <w:noWrap/>
            <w:vAlign w:val="center"/>
            <w:hideMark/>
          </w:tcPr>
          <w:p w14:paraId="3001DA5C"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34</w:t>
            </w:r>
          </w:p>
        </w:tc>
        <w:tc>
          <w:tcPr>
            <w:tcW w:w="1057" w:type="dxa"/>
            <w:noWrap/>
            <w:vAlign w:val="center"/>
            <w:hideMark/>
          </w:tcPr>
          <w:p w14:paraId="5222CB5F"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w:t>
            </w:r>
          </w:p>
        </w:tc>
      </w:tr>
      <w:tr w:rsidR="0017783C" w:rsidRPr="00C14672" w14:paraId="7F062F0C"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1A4EDBEA"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Legal Aid Commission of Western Australia</w:t>
            </w:r>
          </w:p>
        </w:tc>
        <w:tc>
          <w:tcPr>
            <w:tcW w:w="1457" w:type="dxa"/>
            <w:noWrap/>
            <w:vAlign w:val="center"/>
            <w:hideMark/>
          </w:tcPr>
          <w:p w14:paraId="5E576324"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348</w:t>
            </w:r>
          </w:p>
        </w:tc>
        <w:tc>
          <w:tcPr>
            <w:tcW w:w="1095" w:type="dxa"/>
            <w:noWrap/>
            <w:vAlign w:val="center"/>
            <w:hideMark/>
          </w:tcPr>
          <w:p w14:paraId="598352B0"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304</w:t>
            </w:r>
          </w:p>
        </w:tc>
        <w:tc>
          <w:tcPr>
            <w:tcW w:w="1057" w:type="dxa"/>
            <w:noWrap/>
            <w:vAlign w:val="center"/>
            <w:hideMark/>
          </w:tcPr>
          <w:p w14:paraId="1E081862"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c>
          <w:tcPr>
            <w:tcW w:w="1057" w:type="dxa"/>
            <w:noWrap/>
            <w:vAlign w:val="center"/>
            <w:hideMark/>
          </w:tcPr>
          <w:p w14:paraId="379C3767"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w:t>
            </w:r>
          </w:p>
        </w:tc>
      </w:tr>
      <w:tr w:rsidR="0017783C" w:rsidRPr="00C14672" w14:paraId="319D4A4E"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2B47EE40"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Mental Health Commission</w:t>
            </w:r>
          </w:p>
        </w:tc>
        <w:tc>
          <w:tcPr>
            <w:tcW w:w="1457" w:type="dxa"/>
            <w:noWrap/>
            <w:vAlign w:val="center"/>
            <w:hideMark/>
          </w:tcPr>
          <w:p w14:paraId="018BCFB7"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336</w:t>
            </w:r>
          </w:p>
        </w:tc>
        <w:tc>
          <w:tcPr>
            <w:tcW w:w="1095" w:type="dxa"/>
            <w:noWrap/>
            <w:vAlign w:val="center"/>
            <w:hideMark/>
          </w:tcPr>
          <w:p w14:paraId="6BAC5760"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275</w:t>
            </w:r>
          </w:p>
        </w:tc>
        <w:tc>
          <w:tcPr>
            <w:tcW w:w="1057" w:type="dxa"/>
            <w:noWrap/>
            <w:vAlign w:val="center"/>
            <w:hideMark/>
          </w:tcPr>
          <w:p w14:paraId="4DA0EB0C"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w:t>
            </w:r>
          </w:p>
        </w:tc>
        <w:tc>
          <w:tcPr>
            <w:tcW w:w="1057" w:type="dxa"/>
            <w:noWrap/>
            <w:vAlign w:val="center"/>
            <w:hideMark/>
          </w:tcPr>
          <w:p w14:paraId="31660367"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-14</w:t>
            </w:r>
          </w:p>
        </w:tc>
      </w:tr>
      <w:tr w:rsidR="0017783C" w:rsidRPr="00C14672" w14:paraId="1DF12170"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7A385B8A"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 xml:space="preserve">Department of Jobs, Tourism, </w:t>
            </w:r>
            <w:proofErr w:type="gramStart"/>
            <w:r w:rsidRPr="00C14672">
              <w:rPr>
                <w:rFonts w:ascii="Arial" w:eastAsia="Times New Roman" w:hAnsi="Arial" w:cs="Arial"/>
                <w:b w:val="0"/>
                <w:lang w:eastAsia="en-AU"/>
              </w:rPr>
              <w:t>Science</w:t>
            </w:r>
            <w:proofErr w:type="gramEnd"/>
            <w:r w:rsidRPr="00C14672">
              <w:rPr>
                <w:rFonts w:ascii="Arial" w:eastAsia="Times New Roman" w:hAnsi="Arial" w:cs="Arial"/>
                <w:b w:val="0"/>
                <w:lang w:eastAsia="en-AU"/>
              </w:rPr>
              <w:t xml:space="preserve"> and Innovation</w:t>
            </w:r>
          </w:p>
        </w:tc>
        <w:tc>
          <w:tcPr>
            <w:tcW w:w="1457" w:type="dxa"/>
            <w:noWrap/>
            <w:vAlign w:val="center"/>
            <w:hideMark/>
          </w:tcPr>
          <w:p w14:paraId="5F1CA8BA"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319</w:t>
            </w:r>
          </w:p>
        </w:tc>
        <w:tc>
          <w:tcPr>
            <w:tcW w:w="1095" w:type="dxa"/>
            <w:noWrap/>
            <w:vAlign w:val="center"/>
            <w:hideMark/>
          </w:tcPr>
          <w:p w14:paraId="6981E17A"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286</w:t>
            </w:r>
          </w:p>
        </w:tc>
        <w:tc>
          <w:tcPr>
            <w:tcW w:w="1057" w:type="dxa"/>
            <w:noWrap/>
            <w:vAlign w:val="center"/>
            <w:hideMark/>
          </w:tcPr>
          <w:p w14:paraId="36B3F377"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7</w:t>
            </w:r>
          </w:p>
        </w:tc>
        <w:tc>
          <w:tcPr>
            <w:tcW w:w="1057" w:type="dxa"/>
            <w:noWrap/>
            <w:vAlign w:val="center"/>
            <w:hideMark/>
          </w:tcPr>
          <w:p w14:paraId="308FF685"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31</w:t>
            </w:r>
          </w:p>
        </w:tc>
      </w:tr>
      <w:tr w:rsidR="0017783C" w:rsidRPr="00C14672" w14:paraId="5E53624F"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469C865A"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North Regional TAFE</w:t>
            </w:r>
          </w:p>
        </w:tc>
        <w:tc>
          <w:tcPr>
            <w:tcW w:w="1457" w:type="dxa"/>
            <w:noWrap/>
            <w:vAlign w:val="center"/>
            <w:hideMark/>
          </w:tcPr>
          <w:p w14:paraId="7DDAFB2A"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314</w:t>
            </w:r>
          </w:p>
        </w:tc>
        <w:tc>
          <w:tcPr>
            <w:tcW w:w="1095" w:type="dxa"/>
            <w:noWrap/>
            <w:vAlign w:val="center"/>
            <w:hideMark/>
          </w:tcPr>
          <w:p w14:paraId="54E27D9B"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289</w:t>
            </w:r>
          </w:p>
        </w:tc>
        <w:tc>
          <w:tcPr>
            <w:tcW w:w="1057" w:type="dxa"/>
            <w:noWrap/>
            <w:vAlign w:val="center"/>
            <w:hideMark/>
          </w:tcPr>
          <w:p w14:paraId="0FF98D2F"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w:t>
            </w:r>
          </w:p>
        </w:tc>
        <w:tc>
          <w:tcPr>
            <w:tcW w:w="1057" w:type="dxa"/>
            <w:noWrap/>
            <w:vAlign w:val="center"/>
            <w:hideMark/>
          </w:tcPr>
          <w:p w14:paraId="73AA10CC"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w:t>
            </w:r>
          </w:p>
        </w:tc>
      </w:tr>
      <w:tr w:rsidR="0017783C" w:rsidRPr="00C14672" w14:paraId="3DCEE4F7"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3FEF68CF"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Office of the Director of Public Prosecutions</w:t>
            </w:r>
          </w:p>
        </w:tc>
        <w:tc>
          <w:tcPr>
            <w:tcW w:w="1457" w:type="dxa"/>
            <w:noWrap/>
            <w:vAlign w:val="center"/>
            <w:hideMark/>
          </w:tcPr>
          <w:p w14:paraId="5E94AD8E"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297</w:t>
            </w:r>
          </w:p>
        </w:tc>
        <w:tc>
          <w:tcPr>
            <w:tcW w:w="1095" w:type="dxa"/>
            <w:noWrap/>
            <w:vAlign w:val="center"/>
            <w:hideMark/>
          </w:tcPr>
          <w:p w14:paraId="08D3110F"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267</w:t>
            </w:r>
          </w:p>
        </w:tc>
        <w:tc>
          <w:tcPr>
            <w:tcW w:w="1057" w:type="dxa"/>
            <w:noWrap/>
            <w:vAlign w:val="center"/>
            <w:hideMark/>
          </w:tcPr>
          <w:p w14:paraId="24421237"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7</w:t>
            </w:r>
          </w:p>
        </w:tc>
        <w:tc>
          <w:tcPr>
            <w:tcW w:w="1057" w:type="dxa"/>
            <w:noWrap/>
            <w:vAlign w:val="center"/>
            <w:hideMark/>
          </w:tcPr>
          <w:p w14:paraId="15C19070"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19</w:t>
            </w:r>
          </w:p>
        </w:tc>
      </w:tr>
      <w:tr w:rsidR="0017783C" w:rsidRPr="00C14672" w14:paraId="688D8B78"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4532AE1F"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Department of Treasury</w:t>
            </w:r>
          </w:p>
        </w:tc>
        <w:tc>
          <w:tcPr>
            <w:tcW w:w="1457" w:type="dxa"/>
            <w:noWrap/>
            <w:vAlign w:val="center"/>
            <w:hideMark/>
          </w:tcPr>
          <w:p w14:paraId="444EC5A9"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270</w:t>
            </w:r>
          </w:p>
        </w:tc>
        <w:tc>
          <w:tcPr>
            <w:tcW w:w="1095" w:type="dxa"/>
            <w:noWrap/>
            <w:vAlign w:val="center"/>
            <w:hideMark/>
          </w:tcPr>
          <w:p w14:paraId="1D01BB8A"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251</w:t>
            </w:r>
          </w:p>
        </w:tc>
        <w:tc>
          <w:tcPr>
            <w:tcW w:w="1057" w:type="dxa"/>
            <w:noWrap/>
            <w:vAlign w:val="center"/>
            <w:hideMark/>
          </w:tcPr>
          <w:p w14:paraId="66845A1F"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8</w:t>
            </w:r>
          </w:p>
        </w:tc>
        <w:tc>
          <w:tcPr>
            <w:tcW w:w="1057" w:type="dxa"/>
            <w:noWrap/>
            <w:vAlign w:val="center"/>
            <w:hideMark/>
          </w:tcPr>
          <w:p w14:paraId="7E8251EA"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-32</w:t>
            </w:r>
          </w:p>
        </w:tc>
      </w:tr>
      <w:tr w:rsidR="0017783C" w:rsidRPr="00C14672" w14:paraId="0B9716F0"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192C7867" w14:textId="2EE42DDB" w:rsidR="0017783C" w:rsidRPr="00C14672" w:rsidRDefault="0017783C" w:rsidP="000D1422">
            <w:pPr>
              <w:spacing w:beforeLines="40" w:before="96" w:afterLines="40" w:after="96"/>
              <w:rPr>
                <w:rFonts w:ascii="Arial" w:eastAsia="Times New Roman" w:hAnsi="Arial" w:cs="Arial"/>
                <w:b w:val="0"/>
                <w:lang w:eastAsia="en-AU"/>
              </w:rPr>
            </w:pPr>
            <w:proofErr w:type="spellStart"/>
            <w:r w:rsidRPr="00C14672">
              <w:rPr>
                <w:rFonts w:ascii="Arial" w:eastAsia="Times New Roman" w:hAnsi="Arial" w:cs="Arial"/>
                <w:b w:val="0"/>
                <w:lang w:eastAsia="en-AU"/>
              </w:rPr>
              <w:t>Lotterywest</w:t>
            </w:r>
            <w:proofErr w:type="spellEnd"/>
          </w:p>
        </w:tc>
        <w:tc>
          <w:tcPr>
            <w:tcW w:w="1457" w:type="dxa"/>
            <w:noWrap/>
            <w:vAlign w:val="center"/>
            <w:hideMark/>
          </w:tcPr>
          <w:p w14:paraId="5A13B9EB" w14:textId="03871E3B"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262</w:t>
            </w:r>
          </w:p>
        </w:tc>
        <w:tc>
          <w:tcPr>
            <w:tcW w:w="1095" w:type="dxa"/>
            <w:noWrap/>
            <w:vAlign w:val="center"/>
            <w:hideMark/>
          </w:tcPr>
          <w:p w14:paraId="41D0568B"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251</w:t>
            </w:r>
          </w:p>
        </w:tc>
        <w:tc>
          <w:tcPr>
            <w:tcW w:w="1057" w:type="dxa"/>
            <w:noWrap/>
            <w:vAlign w:val="center"/>
            <w:hideMark/>
          </w:tcPr>
          <w:p w14:paraId="7094FB18"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w:t>
            </w:r>
          </w:p>
        </w:tc>
        <w:tc>
          <w:tcPr>
            <w:tcW w:w="1057" w:type="dxa"/>
            <w:noWrap/>
            <w:vAlign w:val="center"/>
            <w:hideMark/>
          </w:tcPr>
          <w:p w14:paraId="1E71B770"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16</w:t>
            </w:r>
          </w:p>
        </w:tc>
      </w:tr>
      <w:tr w:rsidR="0017783C" w:rsidRPr="00C14672" w14:paraId="31938CD7"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3E57A119"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Forest Products Commission</w:t>
            </w:r>
          </w:p>
        </w:tc>
        <w:tc>
          <w:tcPr>
            <w:tcW w:w="1457" w:type="dxa"/>
            <w:noWrap/>
            <w:vAlign w:val="center"/>
            <w:hideMark/>
          </w:tcPr>
          <w:p w14:paraId="42CC007E"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187</w:t>
            </w:r>
          </w:p>
        </w:tc>
        <w:tc>
          <w:tcPr>
            <w:tcW w:w="1095" w:type="dxa"/>
            <w:noWrap/>
            <w:vAlign w:val="center"/>
            <w:hideMark/>
          </w:tcPr>
          <w:p w14:paraId="273BB565"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175</w:t>
            </w:r>
          </w:p>
        </w:tc>
        <w:tc>
          <w:tcPr>
            <w:tcW w:w="1057" w:type="dxa"/>
            <w:noWrap/>
            <w:vAlign w:val="center"/>
            <w:hideMark/>
          </w:tcPr>
          <w:p w14:paraId="38AAB271"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-8</w:t>
            </w:r>
          </w:p>
        </w:tc>
        <w:tc>
          <w:tcPr>
            <w:tcW w:w="1057" w:type="dxa"/>
            <w:noWrap/>
            <w:vAlign w:val="center"/>
            <w:hideMark/>
          </w:tcPr>
          <w:p w14:paraId="078C6F39"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w:t>
            </w:r>
          </w:p>
        </w:tc>
      </w:tr>
      <w:tr w:rsidR="0017783C" w:rsidRPr="00C14672" w14:paraId="4476B0A9"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048ED140"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Public Sector Commission</w:t>
            </w:r>
          </w:p>
        </w:tc>
        <w:tc>
          <w:tcPr>
            <w:tcW w:w="1457" w:type="dxa"/>
            <w:noWrap/>
            <w:vAlign w:val="center"/>
            <w:hideMark/>
          </w:tcPr>
          <w:p w14:paraId="75FE401D"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177</w:t>
            </w:r>
          </w:p>
        </w:tc>
        <w:tc>
          <w:tcPr>
            <w:tcW w:w="1095" w:type="dxa"/>
            <w:noWrap/>
            <w:vAlign w:val="center"/>
            <w:hideMark/>
          </w:tcPr>
          <w:p w14:paraId="35EE9DC2"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129</w:t>
            </w:r>
          </w:p>
        </w:tc>
        <w:tc>
          <w:tcPr>
            <w:tcW w:w="1057" w:type="dxa"/>
            <w:noWrap/>
            <w:vAlign w:val="center"/>
            <w:hideMark/>
          </w:tcPr>
          <w:p w14:paraId="1E26F3D2"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14</w:t>
            </w:r>
          </w:p>
        </w:tc>
        <w:tc>
          <w:tcPr>
            <w:tcW w:w="1057" w:type="dxa"/>
            <w:noWrap/>
            <w:vAlign w:val="center"/>
            <w:hideMark/>
          </w:tcPr>
          <w:p w14:paraId="576478AF"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28</w:t>
            </w:r>
          </w:p>
        </w:tc>
      </w:tr>
      <w:tr w:rsidR="0017783C" w:rsidRPr="00C14672" w14:paraId="746E7068"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18640A21"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Metropolitan Cemeteries Board</w:t>
            </w:r>
          </w:p>
        </w:tc>
        <w:tc>
          <w:tcPr>
            <w:tcW w:w="1457" w:type="dxa"/>
            <w:noWrap/>
            <w:vAlign w:val="center"/>
            <w:hideMark/>
          </w:tcPr>
          <w:p w14:paraId="50E55972"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169</w:t>
            </w:r>
          </w:p>
        </w:tc>
        <w:tc>
          <w:tcPr>
            <w:tcW w:w="1095" w:type="dxa"/>
            <w:noWrap/>
            <w:vAlign w:val="center"/>
            <w:hideMark/>
          </w:tcPr>
          <w:p w14:paraId="09A552DE"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152</w:t>
            </w:r>
          </w:p>
        </w:tc>
        <w:tc>
          <w:tcPr>
            <w:tcW w:w="1057" w:type="dxa"/>
            <w:noWrap/>
            <w:vAlign w:val="center"/>
            <w:hideMark/>
          </w:tcPr>
          <w:p w14:paraId="2668CA12"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w:t>
            </w:r>
          </w:p>
        </w:tc>
        <w:tc>
          <w:tcPr>
            <w:tcW w:w="1057" w:type="dxa"/>
            <w:noWrap/>
            <w:vAlign w:val="center"/>
            <w:hideMark/>
          </w:tcPr>
          <w:p w14:paraId="1D1CC997"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w:t>
            </w:r>
          </w:p>
        </w:tc>
      </w:tr>
      <w:tr w:rsidR="0017783C" w:rsidRPr="00C14672" w14:paraId="7A90AFDB"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4BDB3BB8"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Office of the Auditor General</w:t>
            </w:r>
          </w:p>
        </w:tc>
        <w:tc>
          <w:tcPr>
            <w:tcW w:w="1457" w:type="dxa"/>
            <w:noWrap/>
            <w:vAlign w:val="center"/>
            <w:hideMark/>
          </w:tcPr>
          <w:p w14:paraId="348ED816"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168</w:t>
            </w:r>
          </w:p>
        </w:tc>
        <w:tc>
          <w:tcPr>
            <w:tcW w:w="1095" w:type="dxa"/>
            <w:noWrap/>
            <w:vAlign w:val="center"/>
            <w:hideMark/>
          </w:tcPr>
          <w:p w14:paraId="6704A074"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150</w:t>
            </w:r>
          </w:p>
        </w:tc>
        <w:tc>
          <w:tcPr>
            <w:tcW w:w="1057" w:type="dxa"/>
            <w:noWrap/>
            <w:vAlign w:val="center"/>
            <w:hideMark/>
          </w:tcPr>
          <w:p w14:paraId="378C6186"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c>
          <w:tcPr>
            <w:tcW w:w="1057" w:type="dxa"/>
            <w:noWrap/>
            <w:vAlign w:val="center"/>
            <w:hideMark/>
          </w:tcPr>
          <w:p w14:paraId="1F86344A"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-7</w:t>
            </w:r>
          </w:p>
        </w:tc>
      </w:tr>
      <w:tr w:rsidR="0017783C" w:rsidRPr="00C14672" w14:paraId="424B810F"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1BB74E82" w14:textId="77777777" w:rsidR="0017783C" w:rsidRPr="00C14672" w:rsidRDefault="0017783C" w:rsidP="000D1422">
            <w:pPr>
              <w:spacing w:beforeLines="40" w:before="96" w:afterLines="40" w:after="96"/>
              <w:rPr>
                <w:rFonts w:ascii="Arial" w:eastAsia="Times New Roman" w:hAnsi="Arial" w:cs="Arial"/>
                <w:b w:val="0"/>
                <w:lang w:eastAsia="en-AU"/>
              </w:rPr>
            </w:pPr>
            <w:proofErr w:type="spellStart"/>
            <w:r w:rsidRPr="00C14672">
              <w:rPr>
                <w:rFonts w:ascii="Arial" w:eastAsia="Times New Roman" w:hAnsi="Arial" w:cs="Arial"/>
                <w:b w:val="0"/>
                <w:lang w:eastAsia="en-AU"/>
              </w:rPr>
              <w:t>ChemCentre</w:t>
            </w:r>
            <w:proofErr w:type="spellEnd"/>
          </w:p>
        </w:tc>
        <w:tc>
          <w:tcPr>
            <w:tcW w:w="1457" w:type="dxa"/>
            <w:noWrap/>
            <w:vAlign w:val="center"/>
            <w:hideMark/>
          </w:tcPr>
          <w:p w14:paraId="624BA512"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147</w:t>
            </w:r>
          </w:p>
        </w:tc>
        <w:tc>
          <w:tcPr>
            <w:tcW w:w="1095" w:type="dxa"/>
            <w:noWrap/>
            <w:vAlign w:val="center"/>
            <w:hideMark/>
          </w:tcPr>
          <w:p w14:paraId="0B088732"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137</w:t>
            </w:r>
          </w:p>
        </w:tc>
        <w:tc>
          <w:tcPr>
            <w:tcW w:w="1057" w:type="dxa"/>
            <w:noWrap/>
            <w:vAlign w:val="center"/>
            <w:hideMark/>
          </w:tcPr>
          <w:p w14:paraId="613752F7"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p>
        </w:tc>
        <w:tc>
          <w:tcPr>
            <w:tcW w:w="1057" w:type="dxa"/>
            <w:noWrap/>
            <w:vAlign w:val="center"/>
            <w:hideMark/>
          </w:tcPr>
          <w:p w14:paraId="2276CAB7"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p>
        </w:tc>
      </w:tr>
      <w:tr w:rsidR="0017783C" w:rsidRPr="00C14672" w14:paraId="7A19C751"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65A2E73A"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Corruption and Crime Commission</w:t>
            </w:r>
          </w:p>
        </w:tc>
        <w:tc>
          <w:tcPr>
            <w:tcW w:w="1457" w:type="dxa"/>
            <w:noWrap/>
            <w:vAlign w:val="center"/>
            <w:hideMark/>
          </w:tcPr>
          <w:p w14:paraId="358D808D"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135</w:t>
            </w:r>
          </w:p>
        </w:tc>
        <w:tc>
          <w:tcPr>
            <w:tcW w:w="1095" w:type="dxa"/>
            <w:noWrap/>
            <w:vAlign w:val="center"/>
            <w:hideMark/>
          </w:tcPr>
          <w:p w14:paraId="10896AF5"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128</w:t>
            </w:r>
          </w:p>
        </w:tc>
        <w:tc>
          <w:tcPr>
            <w:tcW w:w="1057" w:type="dxa"/>
            <w:noWrap/>
            <w:vAlign w:val="center"/>
            <w:hideMark/>
          </w:tcPr>
          <w:p w14:paraId="02D8E24B"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w:t>
            </w:r>
          </w:p>
        </w:tc>
        <w:tc>
          <w:tcPr>
            <w:tcW w:w="1057" w:type="dxa"/>
            <w:noWrap/>
            <w:vAlign w:val="center"/>
            <w:hideMark/>
          </w:tcPr>
          <w:p w14:paraId="556E0DF1"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8</w:t>
            </w:r>
          </w:p>
        </w:tc>
      </w:tr>
      <w:tr w:rsidR="0017783C" w:rsidRPr="00C14672" w14:paraId="43AB44EC"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4A006D6E" w14:textId="77777777" w:rsidR="0017783C" w:rsidRPr="00C14672" w:rsidRDefault="0017783C" w:rsidP="000D1422">
            <w:pPr>
              <w:spacing w:beforeLines="40" w:before="96" w:afterLines="40" w:after="96"/>
              <w:rPr>
                <w:rFonts w:ascii="Arial" w:eastAsia="Times New Roman" w:hAnsi="Arial" w:cs="Arial"/>
                <w:b w:val="0"/>
                <w:lang w:eastAsia="en-AU"/>
              </w:rPr>
            </w:pPr>
            <w:proofErr w:type="spellStart"/>
            <w:r w:rsidRPr="00C14672">
              <w:rPr>
                <w:rFonts w:ascii="Arial" w:eastAsia="Times New Roman" w:hAnsi="Arial" w:cs="Arial"/>
                <w:b w:val="0"/>
                <w:lang w:eastAsia="en-AU"/>
              </w:rPr>
              <w:t>WorkCover</w:t>
            </w:r>
            <w:proofErr w:type="spellEnd"/>
            <w:r w:rsidRPr="00C14672">
              <w:rPr>
                <w:rFonts w:ascii="Arial" w:eastAsia="Times New Roman" w:hAnsi="Arial" w:cs="Arial"/>
                <w:b w:val="0"/>
                <w:lang w:eastAsia="en-AU"/>
              </w:rPr>
              <w:t xml:space="preserve"> Western Australia</w:t>
            </w:r>
          </w:p>
        </w:tc>
        <w:tc>
          <w:tcPr>
            <w:tcW w:w="1457" w:type="dxa"/>
            <w:noWrap/>
            <w:vAlign w:val="center"/>
            <w:hideMark/>
          </w:tcPr>
          <w:p w14:paraId="0D72EA4F"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133</w:t>
            </w:r>
          </w:p>
        </w:tc>
        <w:tc>
          <w:tcPr>
            <w:tcW w:w="1095" w:type="dxa"/>
            <w:noWrap/>
            <w:vAlign w:val="center"/>
            <w:hideMark/>
          </w:tcPr>
          <w:p w14:paraId="0C9387E8"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125</w:t>
            </w:r>
          </w:p>
        </w:tc>
        <w:tc>
          <w:tcPr>
            <w:tcW w:w="1057" w:type="dxa"/>
            <w:noWrap/>
            <w:vAlign w:val="center"/>
            <w:hideMark/>
          </w:tcPr>
          <w:p w14:paraId="12D19365"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p>
        </w:tc>
        <w:tc>
          <w:tcPr>
            <w:tcW w:w="1057" w:type="dxa"/>
            <w:noWrap/>
            <w:vAlign w:val="center"/>
            <w:hideMark/>
          </w:tcPr>
          <w:p w14:paraId="0D104171"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w:t>
            </w:r>
          </w:p>
        </w:tc>
      </w:tr>
      <w:tr w:rsidR="0017783C" w:rsidRPr="00C14672" w14:paraId="1E22F7B4"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1C7FE668"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Metropolitan Redevelopment Authority</w:t>
            </w:r>
          </w:p>
        </w:tc>
        <w:tc>
          <w:tcPr>
            <w:tcW w:w="1457" w:type="dxa"/>
            <w:noWrap/>
            <w:vAlign w:val="center"/>
            <w:hideMark/>
          </w:tcPr>
          <w:p w14:paraId="71B6E0FF"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99</w:t>
            </w:r>
          </w:p>
        </w:tc>
        <w:tc>
          <w:tcPr>
            <w:tcW w:w="1095" w:type="dxa"/>
            <w:noWrap/>
            <w:vAlign w:val="center"/>
            <w:hideMark/>
          </w:tcPr>
          <w:p w14:paraId="0FE27FD7"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91</w:t>
            </w:r>
          </w:p>
        </w:tc>
        <w:tc>
          <w:tcPr>
            <w:tcW w:w="1057" w:type="dxa"/>
            <w:noWrap/>
            <w:vAlign w:val="center"/>
            <w:hideMark/>
          </w:tcPr>
          <w:p w14:paraId="7F4F0F7A"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w:t>
            </w:r>
          </w:p>
        </w:tc>
        <w:tc>
          <w:tcPr>
            <w:tcW w:w="1057" w:type="dxa"/>
            <w:noWrap/>
            <w:vAlign w:val="center"/>
            <w:hideMark/>
          </w:tcPr>
          <w:p w14:paraId="1711BA40"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-7</w:t>
            </w:r>
          </w:p>
        </w:tc>
      </w:tr>
      <w:tr w:rsidR="0017783C" w:rsidRPr="00C14672" w14:paraId="6A64CDF5"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3E856EAF"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Ombudsman Western Australia</w:t>
            </w:r>
          </w:p>
        </w:tc>
        <w:tc>
          <w:tcPr>
            <w:tcW w:w="1457" w:type="dxa"/>
            <w:noWrap/>
            <w:vAlign w:val="center"/>
            <w:hideMark/>
          </w:tcPr>
          <w:p w14:paraId="1FF4158E"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75</w:t>
            </w:r>
          </w:p>
        </w:tc>
        <w:tc>
          <w:tcPr>
            <w:tcW w:w="1095" w:type="dxa"/>
            <w:noWrap/>
            <w:vAlign w:val="center"/>
            <w:hideMark/>
          </w:tcPr>
          <w:p w14:paraId="71EBA43A"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65</w:t>
            </w:r>
          </w:p>
        </w:tc>
        <w:tc>
          <w:tcPr>
            <w:tcW w:w="1057" w:type="dxa"/>
            <w:noWrap/>
            <w:vAlign w:val="center"/>
            <w:hideMark/>
          </w:tcPr>
          <w:p w14:paraId="78083562"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p>
        </w:tc>
        <w:tc>
          <w:tcPr>
            <w:tcW w:w="1057" w:type="dxa"/>
            <w:noWrap/>
            <w:vAlign w:val="center"/>
            <w:hideMark/>
          </w:tcPr>
          <w:p w14:paraId="6DF4FB97"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7</w:t>
            </w:r>
          </w:p>
        </w:tc>
      </w:tr>
      <w:tr w:rsidR="0017783C" w:rsidRPr="00C14672" w14:paraId="56A3C84A"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383E24D1"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Animal Resources Centre</w:t>
            </w:r>
          </w:p>
        </w:tc>
        <w:tc>
          <w:tcPr>
            <w:tcW w:w="1457" w:type="dxa"/>
            <w:noWrap/>
            <w:vAlign w:val="center"/>
            <w:hideMark/>
          </w:tcPr>
          <w:p w14:paraId="43174695"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68</w:t>
            </w:r>
          </w:p>
        </w:tc>
        <w:tc>
          <w:tcPr>
            <w:tcW w:w="1095" w:type="dxa"/>
            <w:noWrap/>
            <w:vAlign w:val="center"/>
            <w:hideMark/>
          </w:tcPr>
          <w:p w14:paraId="6EFBA81B"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63</w:t>
            </w:r>
          </w:p>
        </w:tc>
        <w:tc>
          <w:tcPr>
            <w:tcW w:w="1057" w:type="dxa"/>
            <w:noWrap/>
            <w:vAlign w:val="center"/>
            <w:hideMark/>
          </w:tcPr>
          <w:p w14:paraId="476CF5D1"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w:t>
            </w:r>
          </w:p>
        </w:tc>
        <w:tc>
          <w:tcPr>
            <w:tcW w:w="1057" w:type="dxa"/>
            <w:noWrap/>
            <w:vAlign w:val="center"/>
            <w:hideMark/>
          </w:tcPr>
          <w:p w14:paraId="3A1F1CE1"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w:t>
            </w:r>
          </w:p>
        </w:tc>
      </w:tr>
      <w:tr w:rsidR="0017783C" w:rsidRPr="00C14672" w14:paraId="5A59E187"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6447B5F1"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Economic Regulation Authority</w:t>
            </w:r>
          </w:p>
        </w:tc>
        <w:tc>
          <w:tcPr>
            <w:tcW w:w="1457" w:type="dxa"/>
            <w:noWrap/>
            <w:vAlign w:val="center"/>
            <w:hideMark/>
          </w:tcPr>
          <w:p w14:paraId="2E1BD071"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67</w:t>
            </w:r>
          </w:p>
        </w:tc>
        <w:tc>
          <w:tcPr>
            <w:tcW w:w="1095" w:type="dxa"/>
            <w:noWrap/>
            <w:vAlign w:val="center"/>
            <w:hideMark/>
          </w:tcPr>
          <w:p w14:paraId="7C185C7C"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63</w:t>
            </w:r>
          </w:p>
        </w:tc>
        <w:tc>
          <w:tcPr>
            <w:tcW w:w="1057" w:type="dxa"/>
            <w:noWrap/>
            <w:vAlign w:val="center"/>
            <w:hideMark/>
          </w:tcPr>
          <w:p w14:paraId="4DA0EE4B"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p>
        </w:tc>
        <w:tc>
          <w:tcPr>
            <w:tcW w:w="1057" w:type="dxa"/>
            <w:noWrap/>
            <w:vAlign w:val="center"/>
            <w:hideMark/>
          </w:tcPr>
          <w:p w14:paraId="31E286CB"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w:t>
            </w:r>
          </w:p>
        </w:tc>
      </w:tr>
      <w:tr w:rsidR="0017783C" w:rsidRPr="00C14672" w14:paraId="4AEACCAB"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452DD255"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Small Business Development Corporation</w:t>
            </w:r>
          </w:p>
        </w:tc>
        <w:tc>
          <w:tcPr>
            <w:tcW w:w="1457" w:type="dxa"/>
            <w:noWrap/>
            <w:vAlign w:val="center"/>
            <w:hideMark/>
          </w:tcPr>
          <w:p w14:paraId="09EADC00"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62</w:t>
            </w:r>
          </w:p>
        </w:tc>
        <w:tc>
          <w:tcPr>
            <w:tcW w:w="1095" w:type="dxa"/>
            <w:noWrap/>
            <w:vAlign w:val="center"/>
            <w:hideMark/>
          </w:tcPr>
          <w:p w14:paraId="1206ACAB"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55</w:t>
            </w:r>
          </w:p>
        </w:tc>
        <w:tc>
          <w:tcPr>
            <w:tcW w:w="1057" w:type="dxa"/>
            <w:noWrap/>
            <w:vAlign w:val="center"/>
            <w:hideMark/>
          </w:tcPr>
          <w:p w14:paraId="251AC63C"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c>
          <w:tcPr>
            <w:tcW w:w="1057" w:type="dxa"/>
            <w:noWrap/>
            <w:vAlign w:val="center"/>
            <w:hideMark/>
          </w:tcPr>
          <w:p w14:paraId="0F33A26C"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7</w:t>
            </w:r>
          </w:p>
        </w:tc>
      </w:tr>
      <w:tr w:rsidR="0017783C" w:rsidRPr="00C14672" w14:paraId="30E54262"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2CBAA83E"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GESB</w:t>
            </w:r>
          </w:p>
        </w:tc>
        <w:tc>
          <w:tcPr>
            <w:tcW w:w="1457" w:type="dxa"/>
            <w:noWrap/>
            <w:vAlign w:val="center"/>
            <w:hideMark/>
          </w:tcPr>
          <w:p w14:paraId="0FD5307D"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57</w:t>
            </w:r>
          </w:p>
        </w:tc>
        <w:tc>
          <w:tcPr>
            <w:tcW w:w="1095" w:type="dxa"/>
            <w:noWrap/>
            <w:vAlign w:val="center"/>
            <w:hideMark/>
          </w:tcPr>
          <w:p w14:paraId="00B1D659"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50</w:t>
            </w:r>
          </w:p>
        </w:tc>
        <w:tc>
          <w:tcPr>
            <w:tcW w:w="1057" w:type="dxa"/>
            <w:noWrap/>
            <w:vAlign w:val="center"/>
            <w:hideMark/>
          </w:tcPr>
          <w:p w14:paraId="4178CAE1"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c>
          <w:tcPr>
            <w:tcW w:w="1057" w:type="dxa"/>
            <w:noWrap/>
            <w:vAlign w:val="center"/>
            <w:hideMark/>
          </w:tcPr>
          <w:p w14:paraId="520BFC92"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w:t>
            </w:r>
          </w:p>
        </w:tc>
      </w:tr>
      <w:tr w:rsidR="0017783C" w:rsidRPr="00C14672" w14:paraId="01D5BAF4"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66307F2B"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Legal Practice Board</w:t>
            </w:r>
          </w:p>
        </w:tc>
        <w:tc>
          <w:tcPr>
            <w:tcW w:w="1457" w:type="dxa"/>
            <w:noWrap/>
            <w:vAlign w:val="center"/>
            <w:hideMark/>
          </w:tcPr>
          <w:p w14:paraId="6D8B7F17"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46</w:t>
            </w:r>
          </w:p>
        </w:tc>
        <w:tc>
          <w:tcPr>
            <w:tcW w:w="1095" w:type="dxa"/>
            <w:noWrap/>
            <w:vAlign w:val="center"/>
            <w:hideMark/>
          </w:tcPr>
          <w:p w14:paraId="1B9799D5"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41</w:t>
            </w:r>
          </w:p>
        </w:tc>
        <w:tc>
          <w:tcPr>
            <w:tcW w:w="1057" w:type="dxa"/>
            <w:noWrap/>
            <w:vAlign w:val="center"/>
            <w:hideMark/>
          </w:tcPr>
          <w:p w14:paraId="21F53940"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c>
          <w:tcPr>
            <w:tcW w:w="1057" w:type="dxa"/>
            <w:noWrap/>
            <w:vAlign w:val="center"/>
            <w:hideMark/>
          </w:tcPr>
          <w:p w14:paraId="57A220EB"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p>
        </w:tc>
      </w:tr>
      <w:tr w:rsidR="0017783C" w:rsidRPr="00C14672" w14:paraId="07C8F8DA"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7F71E579"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Western Australian Electoral Commission</w:t>
            </w:r>
          </w:p>
        </w:tc>
        <w:tc>
          <w:tcPr>
            <w:tcW w:w="1457" w:type="dxa"/>
            <w:noWrap/>
            <w:vAlign w:val="center"/>
            <w:hideMark/>
          </w:tcPr>
          <w:p w14:paraId="4F7D540F"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44</w:t>
            </w:r>
          </w:p>
        </w:tc>
        <w:tc>
          <w:tcPr>
            <w:tcW w:w="1095" w:type="dxa"/>
            <w:noWrap/>
            <w:vAlign w:val="center"/>
            <w:hideMark/>
          </w:tcPr>
          <w:p w14:paraId="160EB305"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41</w:t>
            </w:r>
          </w:p>
        </w:tc>
        <w:tc>
          <w:tcPr>
            <w:tcW w:w="1057" w:type="dxa"/>
            <w:noWrap/>
            <w:vAlign w:val="center"/>
            <w:hideMark/>
          </w:tcPr>
          <w:p w14:paraId="4CF68C0D"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p>
        </w:tc>
        <w:tc>
          <w:tcPr>
            <w:tcW w:w="1057" w:type="dxa"/>
            <w:noWrap/>
            <w:vAlign w:val="center"/>
            <w:hideMark/>
          </w:tcPr>
          <w:p w14:paraId="2967A245"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r>
      <w:tr w:rsidR="0017783C" w:rsidRPr="00C14672" w14:paraId="7350B3AD"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43FF771F"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National Trust of Australia (W.A.)</w:t>
            </w:r>
          </w:p>
        </w:tc>
        <w:tc>
          <w:tcPr>
            <w:tcW w:w="1457" w:type="dxa"/>
            <w:noWrap/>
            <w:vAlign w:val="center"/>
            <w:hideMark/>
          </w:tcPr>
          <w:p w14:paraId="3A89B562"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41</w:t>
            </w:r>
          </w:p>
        </w:tc>
        <w:tc>
          <w:tcPr>
            <w:tcW w:w="1095" w:type="dxa"/>
            <w:noWrap/>
            <w:vAlign w:val="center"/>
            <w:hideMark/>
          </w:tcPr>
          <w:p w14:paraId="50003144"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30</w:t>
            </w:r>
          </w:p>
        </w:tc>
        <w:tc>
          <w:tcPr>
            <w:tcW w:w="1057" w:type="dxa"/>
            <w:noWrap/>
            <w:vAlign w:val="center"/>
            <w:hideMark/>
          </w:tcPr>
          <w:p w14:paraId="326ECE2D"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w:t>
            </w:r>
          </w:p>
        </w:tc>
        <w:tc>
          <w:tcPr>
            <w:tcW w:w="1057" w:type="dxa"/>
            <w:noWrap/>
            <w:vAlign w:val="center"/>
            <w:hideMark/>
          </w:tcPr>
          <w:p w14:paraId="5FE87155"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p>
        </w:tc>
      </w:tr>
      <w:tr w:rsidR="0017783C" w:rsidRPr="00C14672" w14:paraId="14818DB0"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7A09DFF7"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lastRenderedPageBreak/>
              <w:t>Department of the Registrar, Western Australian Industrial Relations Commission</w:t>
            </w:r>
          </w:p>
        </w:tc>
        <w:tc>
          <w:tcPr>
            <w:tcW w:w="1457" w:type="dxa"/>
            <w:noWrap/>
            <w:vAlign w:val="center"/>
            <w:hideMark/>
          </w:tcPr>
          <w:p w14:paraId="67E20B20"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37</w:t>
            </w:r>
          </w:p>
        </w:tc>
        <w:tc>
          <w:tcPr>
            <w:tcW w:w="1095" w:type="dxa"/>
            <w:noWrap/>
            <w:vAlign w:val="center"/>
            <w:hideMark/>
          </w:tcPr>
          <w:p w14:paraId="65D1C954"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34</w:t>
            </w:r>
          </w:p>
        </w:tc>
        <w:tc>
          <w:tcPr>
            <w:tcW w:w="1057" w:type="dxa"/>
            <w:noWrap/>
            <w:vAlign w:val="center"/>
            <w:hideMark/>
          </w:tcPr>
          <w:p w14:paraId="3C257B46"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p>
        </w:tc>
        <w:tc>
          <w:tcPr>
            <w:tcW w:w="1057" w:type="dxa"/>
            <w:noWrap/>
            <w:vAlign w:val="center"/>
            <w:hideMark/>
          </w:tcPr>
          <w:p w14:paraId="04F70B85"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r>
      <w:tr w:rsidR="0017783C" w:rsidRPr="00C14672" w14:paraId="32EC44C2"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49255E65"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Western Australian Meat Industry Authority</w:t>
            </w:r>
          </w:p>
        </w:tc>
        <w:tc>
          <w:tcPr>
            <w:tcW w:w="1457" w:type="dxa"/>
            <w:noWrap/>
            <w:vAlign w:val="center"/>
            <w:hideMark/>
          </w:tcPr>
          <w:p w14:paraId="39A33124"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33</w:t>
            </w:r>
          </w:p>
        </w:tc>
        <w:tc>
          <w:tcPr>
            <w:tcW w:w="1095" w:type="dxa"/>
            <w:noWrap/>
            <w:vAlign w:val="center"/>
            <w:hideMark/>
          </w:tcPr>
          <w:p w14:paraId="44A113DC"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19</w:t>
            </w:r>
          </w:p>
        </w:tc>
        <w:tc>
          <w:tcPr>
            <w:tcW w:w="1057" w:type="dxa"/>
            <w:noWrap/>
            <w:vAlign w:val="center"/>
            <w:hideMark/>
          </w:tcPr>
          <w:p w14:paraId="7283BA55"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4</w:t>
            </w:r>
          </w:p>
        </w:tc>
        <w:tc>
          <w:tcPr>
            <w:tcW w:w="1057" w:type="dxa"/>
            <w:noWrap/>
            <w:vAlign w:val="center"/>
            <w:hideMark/>
          </w:tcPr>
          <w:p w14:paraId="42903FCC"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w:t>
            </w:r>
          </w:p>
        </w:tc>
      </w:tr>
      <w:tr w:rsidR="0017783C" w:rsidRPr="00C14672" w14:paraId="6A4518F8"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2D16A38A"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Construction Training Fund</w:t>
            </w:r>
          </w:p>
        </w:tc>
        <w:tc>
          <w:tcPr>
            <w:tcW w:w="1457" w:type="dxa"/>
            <w:noWrap/>
            <w:vAlign w:val="center"/>
            <w:hideMark/>
          </w:tcPr>
          <w:p w14:paraId="588CAF89"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21</w:t>
            </w:r>
          </w:p>
        </w:tc>
        <w:tc>
          <w:tcPr>
            <w:tcW w:w="1095" w:type="dxa"/>
            <w:noWrap/>
            <w:vAlign w:val="center"/>
            <w:hideMark/>
          </w:tcPr>
          <w:p w14:paraId="283702C6"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20</w:t>
            </w:r>
          </w:p>
        </w:tc>
        <w:tc>
          <w:tcPr>
            <w:tcW w:w="1057" w:type="dxa"/>
            <w:noWrap/>
            <w:vAlign w:val="center"/>
            <w:hideMark/>
          </w:tcPr>
          <w:p w14:paraId="61721DE6"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c>
          <w:tcPr>
            <w:tcW w:w="1057" w:type="dxa"/>
            <w:noWrap/>
            <w:vAlign w:val="center"/>
            <w:hideMark/>
          </w:tcPr>
          <w:p w14:paraId="71F1F4B1"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p>
        </w:tc>
      </w:tr>
      <w:tr w:rsidR="0017783C" w:rsidRPr="00C14672" w14:paraId="67965D59"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77DBC6DF"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Equal Opportunity Commission</w:t>
            </w:r>
          </w:p>
        </w:tc>
        <w:tc>
          <w:tcPr>
            <w:tcW w:w="1457" w:type="dxa"/>
            <w:noWrap/>
            <w:vAlign w:val="center"/>
            <w:hideMark/>
          </w:tcPr>
          <w:p w14:paraId="45693E9D"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21</w:t>
            </w:r>
          </w:p>
        </w:tc>
        <w:tc>
          <w:tcPr>
            <w:tcW w:w="1095" w:type="dxa"/>
            <w:noWrap/>
            <w:vAlign w:val="center"/>
            <w:hideMark/>
          </w:tcPr>
          <w:p w14:paraId="7193F28F"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20</w:t>
            </w:r>
          </w:p>
        </w:tc>
        <w:tc>
          <w:tcPr>
            <w:tcW w:w="1057" w:type="dxa"/>
            <w:noWrap/>
            <w:vAlign w:val="center"/>
            <w:hideMark/>
          </w:tcPr>
          <w:p w14:paraId="53CD5CDF"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p>
        </w:tc>
        <w:tc>
          <w:tcPr>
            <w:tcW w:w="1057" w:type="dxa"/>
            <w:noWrap/>
            <w:vAlign w:val="center"/>
            <w:hideMark/>
          </w:tcPr>
          <w:p w14:paraId="0870B9D9"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r>
      <w:tr w:rsidR="0017783C" w:rsidRPr="00C14672" w14:paraId="5820C3E0"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0E87FCEC"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Health and Disability Services Complaints Office</w:t>
            </w:r>
          </w:p>
        </w:tc>
        <w:tc>
          <w:tcPr>
            <w:tcW w:w="1457" w:type="dxa"/>
            <w:noWrap/>
            <w:vAlign w:val="center"/>
            <w:hideMark/>
          </w:tcPr>
          <w:p w14:paraId="11FE9831"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21</w:t>
            </w:r>
          </w:p>
        </w:tc>
        <w:tc>
          <w:tcPr>
            <w:tcW w:w="1095" w:type="dxa"/>
            <w:noWrap/>
            <w:vAlign w:val="center"/>
            <w:hideMark/>
          </w:tcPr>
          <w:p w14:paraId="6F215AF4"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17</w:t>
            </w:r>
          </w:p>
        </w:tc>
        <w:tc>
          <w:tcPr>
            <w:tcW w:w="1057" w:type="dxa"/>
            <w:noWrap/>
            <w:vAlign w:val="center"/>
            <w:hideMark/>
          </w:tcPr>
          <w:p w14:paraId="6DAB2398"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p>
        </w:tc>
        <w:tc>
          <w:tcPr>
            <w:tcW w:w="1057" w:type="dxa"/>
            <w:noWrap/>
            <w:vAlign w:val="center"/>
            <w:hideMark/>
          </w:tcPr>
          <w:p w14:paraId="59818038"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w:t>
            </w:r>
          </w:p>
        </w:tc>
      </w:tr>
      <w:tr w:rsidR="0017783C" w:rsidRPr="00C14672" w14:paraId="316C26DA"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7C0758EA"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Commissioner for Children and Young People</w:t>
            </w:r>
          </w:p>
        </w:tc>
        <w:tc>
          <w:tcPr>
            <w:tcW w:w="1457" w:type="dxa"/>
            <w:noWrap/>
            <w:vAlign w:val="center"/>
            <w:hideMark/>
          </w:tcPr>
          <w:p w14:paraId="40EB0278"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19</w:t>
            </w:r>
          </w:p>
        </w:tc>
        <w:tc>
          <w:tcPr>
            <w:tcW w:w="1095" w:type="dxa"/>
            <w:noWrap/>
            <w:vAlign w:val="center"/>
            <w:hideMark/>
          </w:tcPr>
          <w:p w14:paraId="12CA7A02"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15</w:t>
            </w:r>
          </w:p>
        </w:tc>
        <w:tc>
          <w:tcPr>
            <w:tcW w:w="1057" w:type="dxa"/>
            <w:noWrap/>
            <w:vAlign w:val="center"/>
            <w:hideMark/>
          </w:tcPr>
          <w:p w14:paraId="7CB74BFB"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p>
        </w:tc>
        <w:tc>
          <w:tcPr>
            <w:tcW w:w="1057" w:type="dxa"/>
            <w:noWrap/>
            <w:vAlign w:val="center"/>
            <w:hideMark/>
          </w:tcPr>
          <w:p w14:paraId="1EEAD14D"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r>
      <w:tr w:rsidR="0017783C" w:rsidRPr="00C14672" w14:paraId="7FBB960F"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1D1B55A9"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Office of the Inspector of Custodial Services</w:t>
            </w:r>
          </w:p>
        </w:tc>
        <w:tc>
          <w:tcPr>
            <w:tcW w:w="1457" w:type="dxa"/>
            <w:noWrap/>
            <w:vAlign w:val="center"/>
            <w:hideMark/>
          </w:tcPr>
          <w:p w14:paraId="3CB1ED6A"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17</w:t>
            </w:r>
          </w:p>
        </w:tc>
        <w:tc>
          <w:tcPr>
            <w:tcW w:w="1095" w:type="dxa"/>
            <w:noWrap/>
            <w:vAlign w:val="center"/>
            <w:hideMark/>
          </w:tcPr>
          <w:p w14:paraId="10EDDE1E"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13</w:t>
            </w:r>
          </w:p>
        </w:tc>
        <w:tc>
          <w:tcPr>
            <w:tcW w:w="1057" w:type="dxa"/>
            <w:noWrap/>
            <w:vAlign w:val="center"/>
            <w:hideMark/>
          </w:tcPr>
          <w:p w14:paraId="106ED9E0"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p>
        </w:tc>
        <w:tc>
          <w:tcPr>
            <w:tcW w:w="1057" w:type="dxa"/>
            <w:noWrap/>
            <w:vAlign w:val="center"/>
            <w:hideMark/>
          </w:tcPr>
          <w:p w14:paraId="07A929F7"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-7</w:t>
            </w:r>
          </w:p>
        </w:tc>
      </w:tr>
      <w:tr w:rsidR="0017783C" w:rsidRPr="00C14672" w14:paraId="0AF3CCC2"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5A78B987"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Office of the Information Commissioner</w:t>
            </w:r>
          </w:p>
        </w:tc>
        <w:tc>
          <w:tcPr>
            <w:tcW w:w="1457" w:type="dxa"/>
            <w:noWrap/>
            <w:vAlign w:val="center"/>
            <w:hideMark/>
          </w:tcPr>
          <w:p w14:paraId="64726873"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10</w:t>
            </w:r>
          </w:p>
        </w:tc>
        <w:tc>
          <w:tcPr>
            <w:tcW w:w="1095" w:type="dxa"/>
            <w:noWrap/>
            <w:vAlign w:val="center"/>
            <w:hideMark/>
          </w:tcPr>
          <w:p w14:paraId="141E0003"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9</w:t>
            </w:r>
          </w:p>
        </w:tc>
        <w:tc>
          <w:tcPr>
            <w:tcW w:w="1057" w:type="dxa"/>
            <w:noWrap/>
            <w:vAlign w:val="center"/>
            <w:hideMark/>
          </w:tcPr>
          <w:p w14:paraId="5DF32CB5"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c>
          <w:tcPr>
            <w:tcW w:w="1057" w:type="dxa"/>
            <w:noWrap/>
            <w:vAlign w:val="center"/>
            <w:hideMark/>
          </w:tcPr>
          <w:p w14:paraId="55070FBE"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p>
        </w:tc>
      </w:tr>
      <w:tr w:rsidR="0017783C" w:rsidRPr="00C14672" w14:paraId="71AAF909"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4602F50F"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Keep Australia Beautiful WA</w:t>
            </w:r>
          </w:p>
        </w:tc>
        <w:tc>
          <w:tcPr>
            <w:tcW w:w="1457" w:type="dxa"/>
            <w:noWrap/>
            <w:vAlign w:val="center"/>
            <w:hideMark/>
          </w:tcPr>
          <w:p w14:paraId="7A801E55"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10</w:t>
            </w:r>
          </w:p>
        </w:tc>
        <w:tc>
          <w:tcPr>
            <w:tcW w:w="1095" w:type="dxa"/>
            <w:noWrap/>
            <w:vAlign w:val="center"/>
            <w:hideMark/>
          </w:tcPr>
          <w:p w14:paraId="20189393" w14:textId="7F7F99BC" w:rsidR="0017783C" w:rsidRPr="00C14672" w:rsidRDefault="0099607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Pr>
                <w:rFonts w:ascii="Arial" w:eastAsia="Times New Roman" w:hAnsi="Arial" w:cs="Arial"/>
                <w:lang w:eastAsia="en-AU"/>
              </w:rPr>
              <w:t>9</w:t>
            </w:r>
          </w:p>
        </w:tc>
        <w:tc>
          <w:tcPr>
            <w:tcW w:w="1057" w:type="dxa"/>
            <w:noWrap/>
            <w:vAlign w:val="center"/>
            <w:hideMark/>
          </w:tcPr>
          <w:p w14:paraId="69E22912" w14:textId="5D39ACE4" w:rsidR="0017783C" w:rsidRPr="00C14672" w:rsidRDefault="0099607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Pr>
                <w:rFonts w:ascii="Arial" w:eastAsia="Times New Roman" w:hAnsi="Arial" w:cs="Arial"/>
                <w:lang w:eastAsia="en-AU"/>
              </w:rPr>
              <w:t>0</w:t>
            </w:r>
          </w:p>
        </w:tc>
        <w:tc>
          <w:tcPr>
            <w:tcW w:w="1057" w:type="dxa"/>
            <w:noWrap/>
            <w:vAlign w:val="center"/>
            <w:hideMark/>
          </w:tcPr>
          <w:p w14:paraId="244E79FF" w14:textId="08AAA0BD" w:rsidR="0017783C" w:rsidRPr="00C14672" w:rsidRDefault="0017783C" w:rsidP="0099607C">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w:t>
            </w:r>
            <w:r w:rsidR="0099607C">
              <w:rPr>
                <w:rFonts w:ascii="Arial" w:eastAsia="Times New Roman" w:hAnsi="Arial" w:cs="Arial"/>
                <w:lang w:eastAsia="en-AU"/>
              </w:rPr>
              <w:t>2</w:t>
            </w:r>
          </w:p>
        </w:tc>
      </w:tr>
      <w:tr w:rsidR="0017783C" w:rsidRPr="00C14672" w14:paraId="7AE71784"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4720C076"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Burswood Park Board</w:t>
            </w:r>
          </w:p>
        </w:tc>
        <w:tc>
          <w:tcPr>
            <w:tcW w:w="1457" w:type="dxa"/>
            <w:noWrap/>
            <w:vAlign w:val="center"/>
            <w:hideMark/>
          </w:tcPr>
          <w:p w14:paraId="4E8441D0"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w:t>
            </w:r>
          </w:p>
        </w:tc>
        <w:tc>
          <w:tcPr>
            <w:tcW w:w="1095" w:type="dxa"/>
            <w:noWrap/>
            <w:vAlign w:val="center"/>
            <w:hideMark/>
          </w:tcPr>
          <w:p w14:paraId="42DDA553"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w:t>
            </w:r>
          </w:p>
        </w:tc>
        <w:tc>
          <w:tcPr>
            <w:tcW w:w="1057" w:type="dxa"/>
            <w:noWrap/>
            <w:vAlign w:val="center"/>
            <w:hideMark/>
          </w:tcPr>
          <w:p w14:paraId="4C1C360C"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c>
          <w:tcPr>
            <w:tcW w:w="1057" w:type="dxa"/>
            <w:noWrap/>
            <w:vAlign w:val="center"/>
            <w:hideMark/>
          </w:tcPr>
          <w:p w14:paraId="71523C7A"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p>
        </w:tc>
      </w:tr>
      <w:tr w:rsidR="0017783C" w:rsidRPr="00C14672" w14:paraId="68F409C8"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0E7E2542"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Veterinary Surgeons' Board</w:t>
            </w:r>
          </w:p>
        </w:tc>
        <w:tc>
          <w:tcPr>
            <w:tcW w:w="1457" w:type="dxa"/>
            <w:noWrap/>
            <w:vAlign w:val="center"/>
            <w:hideMark/>
          </w:tcPr>
          <w:p w14:paraId="186803A9"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6</w:t>
            </w:r>
          </w:p>
        </w:tc>
        <w:tc>
          <w:tcPr>
            <w:tcW w:w="1095" w:type="dxa"/>
            <w:noWrap/>
            <w:vAlign w:val="center"/>
            <w:hideMark/>
          </w:tcPr>
          <w:p w14:paraId="69612416"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w:t>
            </w:r>
          </w:p>
        </w:tc>
        <w:tc>
          <w:tcPr>
            <w:tcW w:w="1057" w:type="dxa"/>
            <w:noWrap/>
            <w:vAlign w:val="center"/>
            <w:hideMark/>
          </w:tcPr>
          <w:p w14:paraId="4EB25AF3"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c>
          <w:tcPr>
            <w:tcW w:w="1057" w:type="dxa"/>
            <w:noWrap/>
            <w:vAlign w:val="center"/>
            <w:hideMark/>
          </w:tcPr>
          <w:p w14:paraId="2B57F8E4"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r>
      <w:tr w:rsidR="0017783C" w:rsidRPr="00C14672" w14:paraId="46AAEE4D"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75283E61" w14:textId="0D8DA17B"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Minerals Research Institute of Western Australia (MRIWA)</w:t>
            </w:r>
          </w:p>
        </w:tc>
        <w:tc>
          <w:tcPr>
            <w:tcW w:w="1457" w:type="dxa"/>
            <w:noWrap/>
            <w:vAlign w:val="center"/>
            <w:hideMark/>
          </w:tcPr>
          <w:p w14:paraId="23EE11B1"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w:t>
            </w:r>
          </w:p>
        </w:tc>
        <w:tc>
          <w:tcPr>
            <w:tcW w:w="1095" w:type="dxa"/>
            <w:noWrap/>
            <w:vAlign w:val="center"/>
            <w:hideMark/>
          </w:tcPr>
          <w:p w14:paraId="7F296FEA"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5</w:t>
            </w:r>
          </w:p>
        </w:tc>
        <w:tc>
          <w:tcPr>
            <w:tcW w:w="1057" w:type="dxa"/>
            <w:noWrap/>
            <w:vAlign w:val="center"/>
            <w:hideMark/>
          </w:tcPr>
          <w:p w14:paraId="73B7622F"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c>
          <w:tcPr>
            <w:tcW w:w="1057" w:type="dxa"/>
            <w:noWrap/>
            <w:vAlign w:val="center"/>
            <w:hideMark/>
          </w:tcPr>
          <w:p w14:paraId="5D3EA0C8"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p>
        </w:tc>
      </w:tr>
      <w:tr w:rsidR="0017783C" w:rsidRPr="00C14672" w14:paraId="3AFCDE00"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2684CB0D"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Architects Board of Western Australia</w:t>
            </w:r>
          </w:p>
        </w:tc>
        <w:tc>
          <w:tcPr>
            <w:tcW w:w="1457" w:type="dxa"/>
            <w:noWrap/>
            <w:vAlign w:val="center"/>
            <w:hideMark/>
          </w:tcPr>
          <w:p w14:paraId="4F6E8BB6"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w:t>
            </w:r>
          </w:p>
        </w:tc>
        <w:tc>
          <w:tcPr>
            <w:tcW w:w="1095" w:type="dxa"/>
            <w:noWrap/>
            <w:vAlign w:val="center"/>
            <w:hideMark/>
          </w:tcPr>
          <w:p w14:paraId="5EF2A4B9"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3</w:t>
            </w:r>
          </w:p>
        </w:tc>
        <w:tc>
          <w:tcPr>
            <w:tcW w:w="1057" w:type="dxa"/>
            <w:noWrap/>
            <w:vAlign w:val="center"/>
            <w:hideMark/>
          </w:tcPr>
          <w:p w14:paraId="1DA644B8"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p>
        </w:tc>
        <w:tc>
          <w:tcPr>
            <w:tcW w:w="1057" w:type="dxa"/>
            <w:noWrap/>
            <w:vAlign w:val="center"/>
            <w:hideMark/>
          </w:tcPr>
          <w:p w14:paraId="0EA715D2"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p>
        </w:tc>
      </w:tr>
      <w:tr w:rsidR="0017783C" w:rsidRPr="00C14672" w14:paraId="57E7BEB1" w14:textId="77777777" w:rsidTr="00C14672">
        <w:trPr>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11DD6F22" w14:textId="6E508009"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Infrastructure WA</w:t>
            </w:r>
            <w:r w:rsidR="00DC38B1">
              <w:rPr>
                <w:rFonts w:ascii="Arial" w:eastAsia="Times New Roman" w:hAnsi="Arial" w:cs="Arial"/>
                <w:b w:val="0"/>
                <w:lang w:eastAsia="en-AU"/>
              </w:rPr>
              <w:t xml:space="preserve"> </w:t>
            </w:r>
            <w:r w:rsidR="00D55AAF">
              <w:rPr>
                <w:rStyle w:val="EndnoteReference"/>
                <w:rFonts w:ascii="Arial" w:eastAsia="Times New Roman" w:hAnsi="Arial" w:cs="Arial"/>
                <w:b w:val="0"/>
                <w:lang w:eastAsia="en-AU"/>
              </w:rPr>
              <w:endnoteReference w:id="7"/>
            </w:r>
          </w:p>
        </w:tc>
        <w:tc>
          <w:tcPr>
            <w:tcW w:w="1457" w:type="dxa"/>
            <w:noWrap/>
            <w:vAlign w:val="center"/>
            <w:hideMark/>
          </w:tcPr>
          <w:p w14:paraId="76FD299D"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p>
        </w:tc>
        <w:tc>
          <w:tcPr>
            <w:tcW w:w="1095" w:type="dxa"/>
            <w:noWrap/>
            <w:vAlign w:val="center"/>
            <w:hideMark/>
          </w:tcPr>
          <w:p w14:paraId="69326A10"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p>
        </w:tc>
        <w:tc>
          <w:tcPr>
            <w:tcW w:w="1057" w:type="dxa"/>
            <w:noWrap/>
            <w:vAlign w:val="center"/>
            <w:hideMark/>
          </w:tcPr>
          <w:p w14:paraId="4E1BD5BB" w14:textId="77777777" w:rsidR="0017783C" w:rsidRPr="00C14672" w:rsidRDefault="0017783C"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p>
        </w:tc>
        <w:tc>
          <w:tcPr>
            <w:tcW w:w="1057" w:type="dxa"/>
            <w:noWrap/>
            <w:vAlign w:val="center"/>
            <w:hideMark/>
          </w:tcPr>
          <w:p w14:paraId="1CE352AF" w14:textId="6CDB6261" w:rsidR="0017783C" w:rsidRPr="00C14672" w:rsidRDefault="00557EEB" w:rsidP="000D1422">
            <w:pPr>
              <w:spacing w:beforeLines="40" w:before="96" w:afterLines="40" w:after="96"/>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AU"/>
              </w:rPr>
            </w:pPr>
            <w:proofErr w:type="spellStart"/>
            <w:r w:rsidRPr="00C14672">
              <w:rPr>
                <w:rFonts w:ascii="Arial" w:eastAsia="Times New Roman" w:hAnsi="Arial" w:cs="Arial"/>
                <w:lang w:eastAsia="en-AU"/>
              </w:rPr>
              <w:t>n.a.</w:t>
            </w:r>
            <w:proofErr w:type="spellEnd"/>
          </w:p>
        </w:tc>
      </w:tr>
      <w:tr w:rsidR="0017783C" w:rsidRPr="00C14672" w14:paraId="0980587A" w14:textId="77777777" w:rsidTr="00C1467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45" w:type="dxa"/>
            <w:noWrap/>
            <w:vAlign w:val="center"/>
            <w:hideMark/>
          </w:tcPr>
          <w:p w14:paraId="708B7233" w14:textId="77777777" w:rsidR="0017783C" w:rsidRPr="00C14672" w:rsidRDefault="0017783C" w:rsidP="000D1422">
            <w:pPr>
              <w:spacing w:beforeLines="40" w:before="96" w:afterLines="40" w:after="96"/>
              <w:rPr>
                <w:rFonts w:ascii="Arial" w:eastAsia="Times New Roman" w:hAnsi="Arial" w:cs="Arial"/>
                <w:b w:val="0"/>
                <w:lang w:eastAsia="en-AU"/>
              </w:rPr>
            </w:pPr>
            <w:r w:rsidRPr="00C14672">
              <w:rPr>
                <w:rFonts w:ascii="Arial" w:eastAsia="Times New Roman" w:hAnsi="Arial" w:cs="Arial"/>
                <w:b w:val="0"/>
                <w:lang w:eastAsia="en-AU"/>
              </w:rPr>
              <w:t>Salaries and Allowances Tribunal</w:t>
            </w:r>
          </w:p>
        </w:tc>
        <w:tc>
          <w:tcPr>
            <w:tcW w:w="1457" w:type="dxa"/>
            <w:noWrap/>
            <w:vAlign w:val="center"/>
            <w:hideMark/>
          </w:tcPr>
          <w:p w14:paraId="30A90FEE"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p>
        </w:tc>
        <w:tc>
          <w:tcPr>
            <w:tcW w:w="1095" w:type="dxa"/>
            <w:noWrap/>
            <w:vAlign w:val="center"/>
            <w:hideMark/>
          </w:tcPr>
          <w:p w14:paraId="60D4EB9C"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2</w:t>
            </w:r>
          </w:p>
        </w:tc>
        <w:tc>
          <w:tcPr>
            <w:tcW w:w="1057" w:type="dxa"/>
            <w:noWrap/>
            <w:vAlign w:val="center"/>
            <w:hideMark/>
          </w:tcPr>
          <w:p w14:paraId="635FAAD1"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0</w:t>
            </w:r>
          </w:p>
        </w:tc>
        <w:tc>
          <w:tcPr>
            <w:tcW w:w="1057" w:type="dxa"/>
            <w:noWrap/>
            <w:vAlign w:val="center"/>
            <w:hideMark/>
          </w:tcPr>
          <w:p w14:paraId="68290A63" w14:textId="77777777" w:rsidR="0017783C" w:rsidRPr="00C14672" w:rsidRDefault="0017783C" w:rsidP="000D1422">
            <w:pPr>
              <w:spacing w:beforeLines="40" w:before="96" w:afterLines="40" w:after="96"/>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AU"/>
              </w:rPr>
            </w:pPr>
            <w:r w:rsidRPr="00C14672">
              <w:rPr>
                <w:rFonts w:ascii="Arial" w:eastAsia="Times New Roman" w:hAnsi="Arial" w:cs="Arial"/>
                <w:lang w:eastAsia="en-AU"/>
              </w:rPr>
              <w:t>-1</w:t>
            </w:r>
          </w:p>
        </w:tc>
      </w:tr>
    </w:tbl>
    <w:p w14:paraId="460A601D" w14:textId="77777777" w:rsidR="0017783C" w:rsidRPr="0017783C" w:rsidRDefault="0017783C" w:rsidP="0017783C">
      <w:pPr>
        <w:rPr>
          <w:lang w:eastAsia="en-AU"/>
        </w:rPr>
        <w:sectPr w:rsidR="0017783C" w:rsidRPr="0017783C" w:rsidSect="00DC38B1">
          <w:footnotePr>
            <w:pos w:val="beneathText"/>
          </w:footnotePr>
          <w:pgSz w:w="11906" w:h="16838"/>
          <w:pgMar w:top="426" w:right="1440" w:bottom="993" w:left="1134" w:header="708" w:footer="708" w:gutter="0"/>
          <w:cols w:space="708"/>
          <w:docGrid w:linePitch="360"/>
        </w:sectPr>
      </w:pPr>
    </w:p>
    <w:p w14:paraId="109DD161" w14:textId="5A3C13B4" w:rsidR="00BC2116" w:rsidRPr="00C736B0" w:rsidRDefault="00BC2116" w:rsidP="00C736B0">
      <w:pPr>
        <w:rPr>
          <w:lang w:eastAsia="en-AU"/>
        </w:rPr>
      </w:pPr>
    </w:p>
    <w:p w14:paraId="6A4CA3DC" w14:textId="77777777" w:rsidR="00DC38B1" w:rsidRDefault="00DC38B1">
      <w:pPr>
        <w:pStyle w:val="Heading2"/>
        <w:sectPr w:rsidR="00DC38B1" w:rsidSect="00B72D78">
          <w:type w:val="continuous"/>
          <w:pgSz w:w="11906" w:h="16838"/>
          <w:pgMar w:top="1440" w:right="1440" w:bottom="1440" w:left="1440" w:header="708" w:footer="708" w:gutter="0"/>
          <w:cols w:space="708"/>
          <w:docGrid w:linePitch="360"/>
        </w:sectPr>
      </w:pPr>
    </w:p>
    <w:p w14:paraId="6DE1E2D0" w14:textId="7D420F29" w:rsidR="006258A2" w:rsidRPr="00142732" w:rsidRDefault="006258A2">
      <w:pPr>
        <w:pStyle w:val="Heading2"/>
      </w:pPr>
      <w:r w:rsidRPr="00142732">
        <w:lastRenderedPageBreak/>
        <w:t>Disclaimer</w:t>
      </w:r>
    </w:p>
    <w:p w14:paraId="4ACBBD63" w14:textId="77777777" w:rsidR="00142732" w:rsidRDefault="006258A2" w:rsidP="00142732">
      <w:pPr>
        <w:spacing w:before="100" w:beforeAutospacing="1" w:after="100" w:afterAutospacing="1" w:line="240" w:lineRule="auto"/>
        <w:rPr>
          <w:rFonts w:ascii="Arial" w:eastAsia="Times New Roman" w:hAnsi="Arial" w:cs="Arial"/>
          <w:color w:val="000000"/>
          <w:sz w:val="24"/>
          <w:szCs w:val="24"/>
          <w:lang w:eastAsia="en-AU"/>
        </w:rPr>
      </w:pPr>
      <w:r w:rsidRPr="00142732">
        <w:rPr>
          <w:rFonts w:ascii="Arial" w:eastAsia="Times New Roman" w:hAnsi="Arial" w:cs="Arial"/>
          <w:color w:val="000000"/>
          <w:sz w:val="24"/>
          <w:szCs w:val="24"/>
          <w:lang w:eastAsia="en-AU"/>
        </w:rPr>
        <w:t>The Western Australian Government is committed to quality service to its customers and makes every attempt to ensure accuracy, currency and reliability of the information contained on the Public Sector Commission’s website or in its publications. However, changes in circumstances over time may impact on the veracity of this information.</w:t>
      </w:r>
    </w:p>
    <w:p w14:paraId="2EE0B7FE" w14:textId="609B8F0D" w:rsidR="006258A2" w:rsidRPr="00142732" w:rsidRDefault="006258A2" w:rsidP="00EB09F0">
      <w:pPr>
        <w:pStyle w:val="Heading2"/>
      </w:pPr>
      <w:r w:rsidRPr="00142732">
        <w:t>Contact</w:t>
      </w:r>
    </w:p>
    <w:p w14:paraId="7DFF4C75" w14:textId="41EA955B" w:rsidR="006258A2" w:rsidRDefault="006258A2" w:rsidP="006258A2">
      <w:pPr>
        <w:spacing w:before="100" w:beforeAutospacing="1" w:after="100" w:afterAutospacing="1" w:line="240" w:lineRule="auto"/>
        <w:rPr>
          <w:rFonts w:ascii="Arial" w:eastAsia="Times New Roman" w:hAnsi="Arial" w:cs="Arial"/>
          <w:color w:val="000000"/>
          <w:sz w:val="24"/>
          <w:szCs w:val="24"/>
          <w:lang w:eastAsia="en-AU"/>
        </w:rPr>
      </w:pPr>
      <w:r w:rsidRPr="00142732">
        <w:rPr>
          <w:rFonts w:ascii="Arial" w:eastAsia="Times New Roman" w:hAnsi="Arial" w:cs="Arial"/>
          <w:color w:val="000000"/>
          <w:sz w:val="24"/>
          <w:szCs w:val="24"/>
          <w:lang w:eastAsia="en-AU"/>
        </w:rPr>
        <w:t xml:space="preserve">All enquiries about the Public Sector Commission’s data should be directed to: </w:t>
      </w:r>
      <w:hyperlink r:id="rId13" w:history="1">
        <w:r w:rsidRPr="00142732">
          <w:rPr>
            <w:rFonts w:ascii="Arial" w:eastAsia="Times New Roman" w:hAnsi="Arial" w:cs="Arial"/>
            <w:color w:val="000000"/>
            <w:sz w:val="24"/>
            <w:szCs w:val="24"/>
            <w:lang w:eastAsia="en-AU"/>
          </w:rPr>
          <w:t>stateadministrator@psc.wa.gov.au</w:t>
        </w:r>
      </w:hyperlink>
      <w:r w:rsidRPr="00142732">
        <w:rPr>
          <w:rFonts w:ascii="Arial" w:eastAsia="Times New Roman" w:hAnsi="Arial" w:cs="Arial"/>
          <w:color w:val="000000"/>
          <w:sz w:val="24"/>
          <w:szCs w:val="24"/>
          <w:lang w:eastAsia="en-AU"/>
        </w:rPr>
        <w:t xml:space="preserve">. </w:t>
      </w:r>
    </w:p>
    <w:p w14:paraId="5F7095F4" w14:textId="7D359FEF" w:rsidR="00C736B0" w:rsidRDefault="00C736B0" w:rsidP="006258A2">
      <w:pPr>
        <w:spacing w:before="100" w:beforeAutospacing="1" w:after="100" w:afterAutospacing="1" w:line="240" w:lineRule="auto"/>
        <w:rPr>
          <w:rFonts w:ascii="Arial" w:eastAsia="Times New Roman" w:hAnsi="Arial" w:cs="Arial"/>
          <w:color w:val="000000"/>
          <w:sz w:val="24"/>
          <w:szCs w:val="24"/>
          <w:lang w:eastAsia="en-AU"/>
        </w:rPr>
      </w:pPr>
    </w:p>
    <w:p w14:paraId="0D457C0E" w14:textId="3DB4CBAD" w:rsidR="00C736B0" w:rsidRDefault="00C736B0" w:rsidP="006258A2">
      <w:pPr>
        <w:spacing w:before="100" w:beforeAutospacing="1" w:after="100" w:afterAutospacing="1" w:line="240" w:lineRule="auto"/>
        <w:rPr>
          <w:rFonts w:ascii="Arial" w:eastAsia="Times New Roman" w:hAnsi="Arial" w:cs="Arial"/>
          <w:color w:val="000000"/>
          <w:sz w:val="24"/>
          <w:szCs w:val="24"/>
          <w:lang w:eastAsia="en-AU"/>
        </w:rPr>
      </w:pPr>
    </w:p>
    <w:p w14:paraId="5BF6743A" w14:textId="77777777" w:rsidR="00C736B0" w:rsidRPr="00142732" w:rsidRDefault="00C736B0" w:rsidP="006258A2">
      <w:pPr>
        <w:spacing w:before="100" w:beforeAutospacing="1" w:after="100" w:afterAutospacing="1" w:line="240" w:lineRule="auto"/>
        <w:rPr>
          <w:rFonts w:ascii="Arial" w:eastAsia="Times New Roman" w:hAnsi="Arial" w:cs="Arial"/>
          <w:color w:val="000000"/>
          <w:sz w:val="24"/>
          <w:szCs w:val="24"/>
          <w:lang w:eastAsia="en-AU"/>
        </w:rPr>
      </w:pPr>
    </w:p>
    <w:sectPr w:rsidR="00C736B0" w:rsidRPr="00142732" w:rsidSect="00DC38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D0CF" w14:textId="77777777" w:rsidR="00C0557E" w:rsidRDefault="00C0557E" w:rsidP="00CC76B7">
      <w:pPr>
        <w:spacing w:after="0" w:line="240" w:lineRule="auto"/>
      </w:pPr>
      <w:r>
        <w:separator/>
      </w:r>
    </w:p>
  </w:endnote>
  <w:endnote w:type="continuationSeparator" w:id="0">
    <w:p w14:paraId="692D44E5" w14:textId="77777777" w:rsidR="00C0557E" w:rsidRDefault="00C0557E" w:rsidP="00CC76B7">
      <w:pPr>
        <w:spacing w:after="0" w:line="240" w:lineRule="auto"/>
      </w:pPr>
      <w:r>
        <w:continuationSeparator/>
      </w:r>
    </w:p>
  </w:endnote>
  <w:endnote w:id="1">
    <w:p w14:paraId="4B64D224" w14:textId="61953336" w:rsidR="0058211D" w:rsidRPr="00E47372" w:rsidRDefault="0058211D">
      <w:pPr>
        <w:pStyle w:val="EndnoteText"/>
        <w:rPr>
          <w:rFonts w:ascii="Arial" w:hAnsi="Arial" w:cs="Arial"/>
          <w:sz w:val="19"/>
          <w:szCs w:val="19"/>
        </w:rPr>
      </w:pPr>
      <w:r w:rsidRPr="00E47372">
        <w:rPr>
          <w:rStyle w:val="EndnoteReference"/>
          <w:rFonts w:ascii="Arial" w:hAnsi="Arial" w:cs="Arial"/>
          <w:sz w:val="19"/>
          <w:szCs w:val="19"/>
        </w:rPr>
        <w:endnoteRef/>
      </w:r>
      <w:r w:rsidRPr="00E47372">
        <w:rPr>
          <w:rFonts w:ascii="Arial" w:hAnsi="Arial" w:cs="Arial"/>
          <w:sz w:val="19"/>
          <w:szCs w:val="19"/>
        </w:rPr>
        <w:t xml:space="preserve"> The North Metropolitan Health Service trans</w:t>
      </w:r>
      <w:r w:rsidR="006961F2">
        <w:rPr>
          <w:rFonts w:ascii="Arial" w:hAnsi="Arial" w:cs="Arial"/>
          <w:sz w:val="19"/>
          <w:szCs w:val="19"/>
        </w:rPr>
        <w:t xml:space="preserve">ferred the neonatal care function </w:t>
      </w:r>
      <w:r w:rsidRPr="00E47372">
        <w:rPr>
          <w:rFonts w:ascii="Arial" w:hAnsi="Arial" w:cs="Arial"/>
          <w:sz w:val="19"/>
          <w:szCs w:val="19"/>
        </w:rPr>
        <w:t>to Child and Adolescent Health Service in January 2020. This affected approximately 377 FTE.</w:t>
      </w:r>
    </w:p>
  </w:endnote>
  <w:endnote w:id="2">
    <w:p w14:paraId="2B14781D" w14:textId="0CEBCBD0" w:rsidR="0058211D" w:rsidRPr="00E47372" w:rsidRDefault="0058211D" w:rsidP="00E47372">
      <w:pPr>
        <w:pStyle w:val="EndnoteText"/>
        <w:shd w:val="clear" w:color="auto" w:fill="FFFFFF" w:themeFill="background1"/>
        <w:rPr>
          <w:rFonts w:ascii="Arial" w:hAnsi="Arial" w:cs="Arial"/>
          <w:sz w:val="19"/>
          <w:szCs w:val="19"/>
        </w:rPr>
      </w:pPr>
      <w:r w:rsidRPr="00E47372">
        <w:rPr>
          <w:rStyle w:val="EndnoteReference"/>
          <w:rFonts w:ascii="Arial" w:hAnsi="Arial" w:cs="Arial"/>
          <w:sz w:val="19"/>
          <w:szCs w:val="19"/>
        </w:rPr>
        <w:endnoteRef/>
      </w:r>
      <w:r w:rsidRPr="00E47372">
        <w:rPr>
          <w:rFonts w:ascii="Arial" w:hAnsi="Arial" w:cs="Arial"/>
          <w:sz w:val="19"/>
          <w:szCs w:val="19"/>
        </w:rPr>
        <w:t xml:space="preserve"> </w:t>
      </w:r>
      <w:r w:rsidRPr="00E47372">
        <w:rPr>
          <w:rFonts w:ascii="Arial" w:hAnsi="Arial" w:cs="Arial"/>
          <w:color w:val="000000"/>
          <w:sz w:val="19"/>
          <w:szCs w:val="19"/>
          <w:shd w:val="clear" w:color="auto" w:fill="FFFFFF" w:themeFill="background1"/>
        </w:rPr>
        <w:t>The Department of Communities supports the Disability Services Commission (Headcount: 1248; FTE: 1030) and Housing Authority (Headcount: 2052; FTE: 1866) which remain statutory authorities.</w:t>
      </w:r>
    </w:p>
  </w:endnote>
  <w:endnote w:id="3">
    <w:p w14:paraId="67DF0D79" w14:textId="39A837C8" w:rsidR="0058211D" w:rsidRPr="00E47372" w:rsidRDefault="0058211D" w:rsidP="00E47372">
      <w:pPr>
        <w:pStyle w:val="EndnoteText"/>
        <w:shd w:val="clear" w:color="auto" w:fill="FFFFFF" w:themeFill="background1"/>
        <w:rPr>
          <w:rFonts w:ascii="Arial" w:hAnsi="Arial" w:cs="Arial"/>
          <w:sz w:val="19"/>
          <w:szCs w:val="19"/>
        </w:rPr>
      </w:pPr>
      <w:r w:rsidRPr="00E47372">
        <w:rPr>
          <w:rStyle w:val="EndnoteReference"/>
          <w:rFonts w:ascii="Arial" w:hAnsi="Arial" w:cs="Arial"/>
          <w:sz w:val="19"/>
          <w:szCs w:val="19"/>
        </w:rPr>
        <w:endnoteRef/>
      </w:r>
      <w:r w:rsidRPr="00E47372">
        <w:rPr>
          <w:rFonts w:ascii="Arial" w:hAnsi="Arial" w:cs="Arial"/>
          <w:sz w:val="19"/>
          <w:szCs w:val="19"/>
        </w:rPr>
        <w:t xml:space="preserve"> </w:t>
      </w:r>
      <w:r w:rsidRPr="00E47372">
        <w:rPr>
          <w:rFonts w:ascii="Arial" w:hAnsi="Arial" w:cs="Arial"/>
          <w:color w:val="000000"/>
          <w:sz w:val="19"/>
          <w:szCs w:val="19"/>
          <w:shd w:val="clear" w:color="auto" w:fill="FFFFFF" w:themeFill="background1"/>
        </w:rPr>
        <w:t xml:space="preserve">Sworn officers are employed by the Police Force (a non-public sector entity as defined in the </w:t>
      </w:r>
      <w:r w:rsidRPr="00DC38B1">
        <w:rPr>
          <w:rFonts w:ascii="Arial" w:hAnsi="Arial" w:cs="Arial"/>
          <w:i/>
          <w:color w:val="000000"/>
          <w:sz w:val="19"/>
          <w:szCs w:val="19"/>
          <w:shd w:val="clear" w:color="auto" w:fill="FFFFFF" w:themeFill="background1"/>
        </w:rPr>
        <w:t>Public Sector Management Act 1994</w:t>
      </w:r>
      <w:r w:rsidRPr="00E47372">
        <w:rPr>
          <w:rFonts w:ascii="Arial" w:hAnsi="Arial" w:cs="Arial"/>
          <w:color w:val="000000"/>
          <w:sz w:val="19"/>
          <w:szCs w:val="19"/>
          <w:shd w:val="clear" w:color="auto" w:fill="FFFFFF" w:themeFill="background1"/>
        </w:rPr>
        <w:t>), separated from the Police Service.</w:t>
      </w:r>
    </w:p>
  </w:endnote>
  <w:endnote w:id="4">
    <w:p w14:paraId="0C44DAD8" w14:textId="3BB94186" w:rsidR="0058211D" w:rsidRPr="00E47372" w:rsidRDefault="0058211D" w:rsidP="00E47372">
      <w:pPr>
        <w:pStyle w:val="EndnoteText"/>
        <w:shd w:val="clear" w:color="auto" w:fill="FFFFFF" w:themeFill="background1"/>
      </w:pPr>
      <w:r w:rsidRPr="00E47372">
        <w:rPr>
          <w:rStyle w:val="EndnoteReference"/>
          <w:shd w:val="clear" w:color="auto" w:fill="FFFFFF" w:themeFill="background1"/>
        </w:rPr>
        <w:endnoteRef/>
      </w:r>
      <w:r w:rsidRPr="00E47372">
        <w:rPr>
          <w:shd w:val="clear" w:color="auto" w:fill="FFFFFF" w:themeFill="background1"/>
        </w:rPr>
        <w:t xml:space="preserve"> </w:t>
      </w:r>
      <w:r w:rsidRPr="00E47372">
        <w:rPr>
          <w:rFonts w:ascii="Arial" w:hAnsi="Arial" w:cs="Arial"/>
          <w:color w:val="000000"/>
          <w:sz w:val="19"/>
          <w:szCs w:val="19"/>
          <w:shd w:val="clear" w:color="auto" w:fill="FFFFFF" w:themeFill="background1"/>
        </w:rPr>
        <w:t>The Department of Biodiversity, Conservation and Attractions includes the Botanic Gardens and Parks Authority (Headcount: 143; FTE: 103), Rottnest Island Authority (Headcount: 156; FTE: 131), and Zoological Parks Authority (Headcount: 196; FTE: 149) as part of administrative arrangements. However, these statutory authorities remain as separate entities and continue to employ their own staff.</w:t>
      </w:r>
    </w:p>
  </w:endnote>
  <w:endnote w:id="5">
    <w:p w14:paraId="7F7E6CC2" w14:textId="11AEA200" w:rsidR="0058211D" w:rsidRPr="00E47372" w:rsidRDefault="0058211D" w:rsidP="00E47372">
      <w:pPr>
        <w:pStyle w:val="EndnoteText"/>
        <w:shd w:val="clear" w:color="auto" w:fill="FFFFFF" w:themeFill="background1"/>
      </w:pPr>
      <w:r w:rsidRPr="00E47372">
        <w:rPr>
          <w:rStyle w:val="EndnoteReference"/>
          <w:shd w:val="clear" w:color="auto" w:fill="FFFFFF" w:themeFill="background1"/>
        </w:rPr>
        <w:endnoteRef/>
      </w:r>
      <w:r w:rsidRPr="00E47372">
        <w:rPr>
          <w:shd w:val="clear" w:color="auto" w:fill="FFFFFF" w:themeFill="background1"/>
        </w:rPr>
        <w:t xml:space="preserve"> </w:t>
      </w:r>
      <w:r w:rsidRPr="00E47372">
        <w:rPr>
          <w:rFonts w:ascii="Arial" w:hAnsi="Arial" w:cs="Arial"/>
          <w:color w:val="000000"/>
          <w:sz w:val="19"/>
          <w:szCs w:val="19"/>
          <w:shd w:val="clear" w:color="auto" w:fill="FFFFFF" w:themeFill="background1"/>
        </w:rPr>
        <w:t>While staff of regional development commissions are part of the Department of Primary Industries and Regional Development, regional development commissions and their respective chief executives and boards remain as separate entities under legislation. For the purposes of this report, the nine regional development commissions are included in the Department of Primary Industries and Regional</w:t>
      </w:r>
      <w:r w:rsidRPr="00E47372">
        <w:rPr>
          <w:rFonts w:ascii="Arial" w:hAnsi="Arial" w:cs="Arial"/>
          <w:color w:val="000000"/>
          <w:sz w:val="19"/>
          <w:szCs w:val="19"/>
          <w:shd w:val="clear" w:color="auto" w:fill="F5F5F5"/>
        </w:rPr>
        <w:t xml:space="preserve"> </w:t>
      </w:r>
      <w:r w:rsidRPr="00E47372">
        <w:rPr>
          <w:rFonts w:ascii="Arial" w:hAnsi="Arial" w:cs="Arial"/>
          <w:color w:val="000000"/>
          <w:sz w:val="19"/>
          <w:szCs w:val="19"/>
          <w:shd w:val="clear" w:color="auto" w:fill="FFFFFF" w:themeFill="background1"/>
        </w:rPr>
        <w:t>Development.</w:t>
      </w:r>
    </w:p>
  </w:endnote>
  <w:endnote w:id="6">
    <w:p w14:paraId="50F31B25" w14:textId="0D7894D3" w:rsidR="0058211D" w:rsidRPr="00E47372" w:rsidRDefault="0058211D" w:rsidP="00E47372">
      <w:pPr>
        <w:pStyle w:val="EndnoteText"/>
        <w:shd w:val="clear" w:color="auto" w:fill="FFFFFF" w:themeFill="background1"/>
      </w:pPr>
      <w:r w:rsidRPr="00E47372">
        <w:rPr>
          <w:rStyle w:val="EndnoteReference"/>
        </w:rPr>
        <w:endnoteRef/>
      </w:r>
      <w:r w:rsidRPr="00E47372">
        <w:t xml:space="preserve"> </w:t>
      </w:r>
      <w:r w:rsidRPr="00E47372">
        <w:rPr>
          <w:rFonts w:ascii="Arial" w:hAnsi="Arial" w:cs="Arial"/>
          <w:color w:val="000000"/>
          <w:sz w:val="19"/>
          <w:szCs w:val="19"/>
          <w:shd w:val="clear" w:color="auto" w:fill="FFFFFF" w:themeFill="background1"/>
        </w:rPr>
        <w:t>Energy Policy WA was established on 5 September 2019 as a new sub-department within the Department of Mines, Industry Regulation and Safety (DMIRS) and employee numbers are included within DMIRS for the purposes of this report.</w:t>
      </w:r>
    </w:p>
  </w:endnote>
  <w:endnote w:id="7">
    <w:p w14:paraId="351F3981" w14:textId="02BFED19" w:rsidR="0058211D" w:rsidRDefault="0058211D" w:rsidP="00E47372">
      <w:pPr>
        <w:pStyle w:val="EndnoteText"/>
        <w:shd w:val="clear" w:color="auto" w:fill="FFFFFF" w:themeFill="background1"/>
      </w:pPr>
      <w:r w:rsidRPr="00E47372">
        <w:rPr>
          <w:rStyle w:val="EndnoteReference"/>
        </w:rPr>
        <w:endnoteRef/>
      </w:r>
      <w:r w:rsidRPr="00E47372">
        <w:t xml:space="preserve"> </w:t>
      </w:r>
      <w:r w:rsidRPr="00E47372">
        <w:rPr>
          <w:rFonts w:ascii="Arial" w:hAnsi="Arial" w:cs="Arial"/>
          <w:sz w:val="19"/>
          <w:szCs w:val="19"/>
          <w:shd w:val="clear" w:color="auto" w:fill="FFFFFF" w:themeFill="background1"/>
        </w:rPr>
        <w:t>Infrastructure WA was established in July 2019 so no comparison exists with March 2019.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182412"/>
      <w:docPartObj>
        <w:docPartGallery w:val="Page Numbers (Bottom of Page)"/>
        <w:docPartUnique/>
      </w:docPartObj>
    </w:sdtPr>
    <w:sdtEndPr>
      <w:rPr>
        <w:noProof/>
      </w:rPr>
    </w:sdtEndPr>
    <w:sdtContent>
      <w:p w14:paraId="213E3604" w14:textId="06E38155" w:rsidR="00261EA1" w:rsidRDefault="00261EA1" w:rsidP="00261EA1">
        <w:pPr>
          <w:pStyle w:val="Footer"/>
          <w:jc w:val="right"/>
        </w:pPr>
        <w:r w:rsidRPr="00261EA1">
          <w:t>Western Australian public sector quarterly workforce report – March 2020</w:t>
        </w:r>
        <w:r>
          <w:tab/>
        </w:r>
        <w:r>
          <w:fldChar w:fldCharType="begin"/>
        </w:r>
        <w:r>
          <w:instrText xml:space="preserve"> PAGE   \* MERGEFORMAT </w:instrText>
        </w:r>
        <w:r>
          <w:fldChar w:fldCharType="separate"/>
        </w:r>
        <w:r w:rsidR="009529F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7D43D" w14:textId="77777777" w:rsidR="00C0557E" w:rsidRDefault="00C0557E" w:rsidP="00CC76B7">
      <w:pPr>
        <w:spacing w:after="0" w:line="240" w:lineRule="auto"/>
      </w:pPr>
      <w:r>
        <w:separator/>
      </w:r>
    </w:p>
  </w:footnote>
  <w:footnote w:type="continuationSeparator" w:id="0">
    <w:p w14:paraId="4BEFD62A" w14:textId="77777777" w:rsidR="00C0557E" w:rsidRDefault="00C0557E" w:rsidP="00CC7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ED9"/>
    <w:multiLevelType w:val="hybridMultilevel"/>
    <w:tmpl w:val="04385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412EF9"/>
    <w:multiLevelType w:val="hybridMultilevel"/>
    <w:tmpl w:val="7E7602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328A0B79"/>
    <w:multiLevelType w:val="hybridMultilevel"/>
    <w:tmpl w:val="AC641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704B11"/>
    <w:multiLevelType w:val="hybridMultilevel"/>
    <w:tmpl w:val="E4ECF662"/>
    <w:lvl w:ilvl="0" w:tplc="BD5CEBA6">
      <w:start w:val="1"/>
      <w:numFmt w:val="bullet"/>
      <w:lvlText w:val=""/>
      <w:lvlJc w:val="left"/>
      <w:pPr>
        <w:ind w:left="360" w:hanging="360"/>
      </w:pPr>
      <w:rPr>
        <w:rFonts w:ascii="Symbol" w:hAnsi="Symbol" w:hint="default"/>
      </w:rPr>
    </w:lvl>
    <w:lvl w:ilvl="1" w:tplc="D604FBC0">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903042C"/>
    <w:multiLevelType w:val="hybridMultilevel"/>
    <w:tmpl w:val="7C485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5F6CFA"/>
    <w:multiLevelType w:val="hybridMultilevel"/>
    <w:tmpl w:val="F3FE0ADA"/>
    <w:lvl w:ilvl="0" w:tplc="83B09AEC">
      <w:start w:val="1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AF7308"/>
    <w:multiLevelType w:val="multilevel"/>
    <w:tmpl w:val="960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4164039">
    <w:abstractNumId w:val="6"/>
  </w:num>
  <w:num w:numId="2" w16cid:durableId="1711684662">
    <w:abstractNumId w:val="5"/>
  </w:num>
  <w:num w:numId="3" w16cid:durableId="333264425">
    <w:abstractNumId w:val="1"/>
  </w:num>
  <w:num w:numId="4" w16cid:durableId="1590000093">
    <w:abstractNumId w:val="3"/>
  </w:num>
  <w:num w:numId="5" w16cid:durableId="26368430">
    <w:abstractNumId w:val="4"/>
  </w:num>
  <w:num w:numId="6" w16cid:durableId="1020661616">
    <w:abstractNumId w:val="0"/>
  </w:num>
  <w:num w:numId="7" w16cid:durableId="214715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D9"/>
    <w:rsid w:val="0003049E"/>
    <w:rsid w:val="000610C7"/>
    <w:rsid w:val="000633EC"/>
    <w:rsid w:val="00073FAA"/>
    <w:rsid w:val="000C4D29"/>
    <w:rsid w:val="000D1422"/>
    <w:rsid w:val="000D297F"/>
    <w:rsid w:val="00112F25"/>
    <w:rsid w:val="001164A8"/>
    <w:rsid w:val="00124A29"/>
    <w:rsid w:val="00142732"/>
    <w:rsid w:val="001533F4"/>
    <w:rsid w:val="00160270"/>
    <w:rsid w:val="0016263F"/>
    <w:rsid w:val="00167A36"/>
    <w:rsid w:val="001772B6"/>
    <w:rsid w:val="0017783C"/>
    <w:rsid w:val="001943ED"/>
    <w:rsid w:val="001B3D81"/>
    <w:rsid w:val="00235732"/>
    <w:rsid w:val="00237216"/>
    <w:rsid w:val="002443EF"/>
    <w:rsid w:val="0024476A"/>
    <w:rsid w:val="002500BA"/>
    <w:rsid w:val="00254FD5"/>
    <w:rsid w:val="00261EA1"/>
    <w:rsid w:val="0027558C"/>
    <w:rsid w:val="00297FF6"/>
    <w:rsid w:val="002D4961"/>
    <w:rsid w:val="00303049"/>
    <w:rsid w:val="00303693"/>
    <w:rsid w:val="0031286C"/>
    <w:rsid w:val="00323411"/>
    <w:rsid w:val="00344738"/>
    <w:rsid w:val="00353B63"/>
    <w:rsid w:val="00361907"/>
    <w:rsid w:val="00370A08"/>
    <w:rsid w:val="00383E02"/>
    <w:rsid w:val="00391A65"/>
    <w:rsid w:val="003B06EE"/>
    <w:rsid w:val="003B5090"/>
    <w:rsid w:val="003B7136"/>
    <w:rsid w:val="003D4C38"/>
    <w:rsid w:val="003D7A87"/>
    <w:rsid w:val="003E40AB"/>
    <w:rsid w:val="003E5358"/>
    <w:rsid w:val="003F31B7"/>
    <w:rsid w:val="00402C29"/>
    <w:rsid w:val="0040739E"/>
    <w:rsid w:val="0041564A"/>
    <w:rsid w:val="00423313"/>
    <w:rsid w:val="00425F5A"/>
    <w:rsid w:val="004375DD"/>
    <w:rsid w:val="00480722"/>
    <w:rsid w:val="00484458"/>
    <w:rsid w:val="00495618"/>
    <w:rsid w:val="004C7EDF"/>
    <w:rsid w:val="004E0EE5"/>
    <w:rsid w:val="00504075"/>
    <w:rsid w:val="00557EEB"/>
    <w:rsid w:val="00566F6A"/>
    <w:rsid w:val="00572E33"/>
    <w:rsid w:val="0058211D"/>
    <w:rsid w:val="00583006"/>
    <w:rsid w:val="00590449"/>
    <w:rsid w:val="005B22C8"/>
    <w:rsid w:val="00622D0C"/>
    <w:rsid w:val="00623A1B"/>
    <w:rsid w:val="006258A2"/>
    <w:rsid w:val="00664DAC"/>
    <w:rsid w:val="006961F2"/>
    <w:rsid w:val="006B2D39"/>
    <w:rsid w:val="006B3054"/>
    <w:rsid w:val="006D595F"/>
    <w:rsid w:val="0070136C"/>
    <w:rsid w:val="0072796E"/>
    <w:rsid w:val="00727EE6"/>
    <w:rsid w:val="007376EF"/>
    <w:rsid w:val="0074786D"/>
    <w:rsid w:val="00757BD6"/>
    <w:rsid w:val="00763D60"/>
    <w:rsid w:val="00785C66"/>
    <w:rsid w:val="00792A3A"/>
    <w:rsid w:val="007947EA"/>
    <w:rsid w:val="007C147E"/>
    <w:rsid w:val="007D31EE"/>
    <w:rsid w:val="007D4DB2"/>
    <w:rsid w:val="007F2DA5"/>
    <w:rsid w:val="00803B35"/>
    <w:rsid w:val="008374F7"/>
    <w:rsid w:val="00841678"/>
    <w:rsid w:val="0090220D"/>
    <w:rsid w:val="00904528"/>
    <w:rsid w:val="009348F3"/>
    <w:rsid w:val="009529F3"/>
    <w:rsid w:val="00952CFF"/>
    <w:rsid w:val="00994760"/>
    <w:rsid w:val="0099607C"/>
    <w:rsid w:val="009D4B14"/>
    <w:rsid w:val="009F516F"/>
    <w:rsid w:val="00A14F67"/>
    <w:rsid w:val="00A4444D"/>
    <w:rsid w:val="00A60109"/>
    <w:rsid w:val="00A60D76"/>
    <w:rsid w:val="00A81B43"/>
    <w:rsid w:val="00AE23DF"/>
    <w:rsid w:val="00AE35DD"/>
    <w:rsid w:val="00B043C4"/>
    <w:rsid w:val="00B563B1"/>
    <w:rsid w:val="00B57116"/>
    <w:rsid w:val="00B72D78"/>
    <w:rsid w:val="00B75F29"/>
    <w:rsid w:val="00B83360"/>
    <w:rsid w:val="00BB1612"/>
    <w:rsid w:val="00BC2116"/>
    <w:rsid w:val="00BC6761"/>
    <w:rsid w:val="00BF4A87"/>
    <w:rsid w:val="00C050EB"/>
    <w:rsid w:val="00C0557E"/>
    <w:rsid w:val="00C13BC1"/>
    <w:rsid w:val="00C14672"/>
    <w:rsid w:val="00C736B0"/>
    <w:rsid w:val="00C8204B"/>
    <w:rsid w:val="00C910D3"/>
    <w:rsid w:val="00C96AD0"/>
    <w:rsid w:val="00CB36F5"/>
    <w:rsid w:val="00CC76B7"/>
    <w:rsid w:val="00D22474"/>
    <w:rsid w:val="00D30820"/>
    <w:rsid w:val="00D55AAF"/>
    <w:rsid w:val="00D65FD3"/>
    <w:rsid w:val="00DA2C0E"/>
    <w:rsid w:val="00DA35A9"/>
    <w:rsid w:val="00DB0BDA"/>
    <w:rsid w:val="00DC0A1B"/>
    <w:rsid w:val="00DC38B1"/>
    <w:rsid w:val="00DD5F21"/>
    <w:rsid w:val="00E23D5E"/>
    <w:rsid w:val="00E32716"/>
    <w:rsid w:val="00E327C6"/>
    <w:rsid w:val="00E34403"/>
    <w:rsid w:val="00E47372"/>
    <w:rsid w:val="00E47A3C"/>
    <w:rsid w:val="00EB0109"/>
    <w:rsid w:val="00EB09F0"/>
    <w:rsid w:val="00ED289B"/>
    <w:rsid w:val="00EF4B0F"/>
    <w:rsid w:val="00EF64F7"/>
    <w:rsid w:val="00EF6C1F"/>
    <w:rsid w:val="00F140D9"/>
    <w:rsid w:val="00F27804"/>
    <w:rsid w:val="00F2790F"/>
    <w:rsid w:val="00F4323B"/>
    <w:rsid w:val="00F54D74"/>
    <w:rsid w:val="00F84448"/>
    <w:rsid w:val="00F86D38"/>
    <w:rsid w:val="00FB056F"/>
    <w:rsid w:val="00FB39F8"/>
    <w:rsid w:val="00FE17DB"/>
    <w:rsid w:val="00FE7D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9F3D"/>
  <w15:chartTrackingRefBased/>
  <w15:docId w15:val="{E14EEB09-6173-4672-B4B1-D29BF54A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10C7"/>
    <w:pPr>
      <w:spacing w:after="300" w:line="871" w:lineRule="atLeast"/>
      <w:outlineLvl w:val="0"/>
    </w:pPr>
    <w:rPr>
      <w:rFonts w:ascii="Arial" w:eastAsia="Times New Roman" w:hAnsi="Arial" w:cs="Arial"/>
      <w:b/>
      <w:bCs/>
      <w:color w:val="1A1A1A"/>
      <w:kern w:val="36"/>
      <w:sz w:val="48"/>
      <w:szCs w:val="48"/>
      <w:lang w:eastAsia="en-AU"/>
    </w:rPr>
  </w:style>
  <w:style w:type="paragraph" w:styleId="Heading2">
    <w:name w:val="heading 2"/>
    <w:basedOn w:val="Normal"/>
    <w:next w:val="Normal"/>
    <w:link w:val="Heading2Char"/>
    <w:uiPriority w:val="9"/>
    <w:unhideWhenUsed/>
    <w:qFormat/>
    <w:rsid w:val="000610C7"/>
    <w:pPr>
      <w:shd w:val="clear" w:color="auto" w:fill="FFFFFF"/>
      <w:spacing w:before="100" w:beforeAutospacing="1" w:after="100" w:afterAutospacing="1" w:line="713" w:lineRule="atLeast"/>
      <w:outlineLvl w:val="1"/>
    </w:pPr>
    <w:rPr>
      <w:rFonts w:ascii="Arial" w:eastAsia="Times New Roman" w:hAnsi="Arial" w:cs="Arial"/>
      <w:b/>
      <w:bCs/>
      <w:color w:val="1A1A1A"/>
      <w:sz w:val="32"/>
      <w:szCs w:val="32"/>
      <w:lang w:eastAsia="en-AU"/>
    </w:rPr>
  </w:style>
  <w:style w:type="paragraph" w:styleId="Heading3">
    <w:name w:val="heading 3"/>
    <w:basedOn w:val="Normal"/>
    <w:next w:val="Normal"/>
    <w:link w:val="Heading3Char"/>
    <w:uiPriority w:val="9"/>
    <w:semiHidden/>
    <w:unhideWhenUsed/>
    <w:qFormat/>
    <w:rsid w:val="00F140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140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0C7"/>
    <w:rPr>
      <w:rFonts w:ascii="Arial" w:eastAsia="Times New Roman" w:hAnsi="Arial" w:cs="Arial"/>
      <w:b/>
      <w:bCs/>
      <w:color w:val="1A1A1A"/>
      <w:kern w:val="36"/>
      <w:sz w:val="48"/>
      <w:szCs w:val="48"/>
      <w:lang w:eastAsia="en-AU"/>
    </w:rPr>
  </w:style>
  <w:style w:type="character" w:customStyle="1" w:styleId="Heading2Char">
    <w:name w:val="Heading 2 Char"/>
    <w:basedOn w:val="DefaultParagraphFont"/>
    <w:link w:val="Heading2"/>
    <w:uiPriority w:val="9"/>
    <w:rsid w:val="000610C7"/>
    <w:rPr>
      <w:rFonts w:ascii="Arial" w:eastAsia="Times New Roman" w:hAnsi="Arial" w:cs="Arial"/>
      <w:b/>
      <w:bCs/>
      <w:color w:val="1A1A1A"/>
      <w:sz w:val="32"/>
      <w:szCs w:val="32"/>
      <w:shd w:val="clear" w:color="auto" w:fill="FFFFFF"/>
      <w:lang w:eastAsia="en-AU"/>
    </w:rPr>
  </w:style>
  <w:style w:type="character" w:customStyle="1" w:styleId="Heading3Char">
    <w:name w:val="Heading 3 Char"/>
    <w:basedOn w:val="DefaultParagraphFont"/>
    <w:link w:val="Heading3"/>
    <w:uiPriority w:val="9"/>
    <w:semiHidden/>
    <w:rsid w:val="00F140D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140D9"/>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23411"/>
    <w:pPr>
      <w:ind w:left="720"/>
      <w:contextualSpacing/>
    </w:pPr>
  </w:style>
  <w:style w:type="character" w:styleId="Hyperlink">
    <w:name w:val="Hyperlink"/>
    <w:uiPriority w:val="99"/>
    <w:rsid w:val="006258A2"/>
    <w:rPr>
      <w:color w:val="0000FF"/>
      <w:u w:val="single"/>
    </w:rPr>
  </w:style>
  <w:style w:type="table" w:styleId="TableGrid">
    <w:name w:val="Table Grid"/>
    <w:basedOn w:val="TableNormal"/>
    <w:uiPriority w:val="39"/>
    <w:rsid w:val="0062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6B7"/>
    <w:rPr>
      <w:rFonts w:ascii="Segoe UI" w:hAnsi="Segoe UI" w:cs="Segoe UI"/>
      <w:sz w:val="18"/>
      <w:szCs w:val="18"/>
    </w:rPr>
  </w:style>
  <w:style w:type="character" w:styleId="CommentReference">
    <w:name w:val="annotation reference"/>
    <w:basedOn w:val="DefaultParagraphFont"/>
    <w:unhideWhenUsed/>
    <w:rsid w:val="00CC76B7"/>
    <w:rPr>
      <w:sz w:val="16"/>
      <w:szCs w:val="16"/>
    </w:rPr>
  </w:style>
  <w:style w:type="paragraph" w:styleId="CommentText">
    <w:name w:val="annotation text"/>
    <w:basedOn w:val="Normal"/>
    <w:link w:val="CommentTextChar"/>
    <w:unhideWhenUsed/>
    <w:rsid w:val="00CC76B7"/>
    <w:pPr>
      <w:spacing w:line="240" w:lineRule="auto"/>
    </w:pPr>
    <w:rPr>
      <w:sz w:val="20"/>
      <w:szCs w:val="20"/>
    </w:rPr>
  </w:style>
  <w:style w:type="character" w:customStyle="1" w:styleId="CommentTextChar">
    <w:name w:val="Comment Text Char"/>
    <w:basedOn w:val="DefaultParagraphFont"/>
    <w:link w:val="CommentText"/>
    <w:rsid w:val="00CC76B7"/>
    <w:rPr>
      <w:sz w:val="20"/>
      <w:szCs w:val="20"/>
    </w:rPr>
  </w:style>
  <w:style w:type="paragraph" w:styleId="CommentSubject">
    <w:name w:val="annotation subject"/>
    <w:basedOn w:val="CommentText"/>
    <w:next w:val="CommentText"/>
    <w:link w:val="CommentSubjectChar"/>
    <w:uiPriority w:val="99"/>
    <w:semiHidden/>
    <w:unhideWhenUsed/>
    <w:rsid w:val="00CC76B7"/>
    <w:rPr>
      <w:b/>
      <w:bCs/>
    </w:rPr>
  </w:style>
  <w:style w:type="character" w:customStyle="1" w:styleId="CommentSubjectChar">
    <w:name w:val="Comment Subject Char"/>
    <w:basedOn w:val="CommentTextChar"/>
    <w:link w:val="CommentSubject"/>
    <w:uiPriority w:val="99"/>
    <w:semiHidden/>
    <w:rsid w:val="00CC76B7"/>
    <w:rPr>
      <w:b/>
      <w:bCs/>
      <w:sz w:val="20"/>
      <w:szCs w:val="20"/>
    </w:rPr>
  </w:style>
  <w:style w:type="paragraph" w:styleId="FootnoteText">
    <w:name w:val="footnote text"/>
    <w:basedOn w:val="Normal"/>
    <w:link w:val="FootnoteTextChar"/>
    <w:uiPriority w:val="99"/>
    <w:rsid w:val="00CC76B7"/>
    <w:pPr>
      <w:spacing w:after="0" w:line="240" w:lineRule="auto"/>
    </w:pPr>
    <w:rPr>
      <w:rFonts w:ascii="Arial" w:eastAsia="Arial Unicode MS" w:hAnsi="Arial" w:cs="Times New Roman"/>
      <w:sz w:val="20"/>
      <w:szCs w:val="20"/>
      <w:lang w:val="en-US" w:eastAsia="zh-CN"/>
    </w:rPr>
  </w:style>
  <w:style w:type="character" w:customStyle="1" w:styleId="FootnoteTextChar">
    <w:name w:val="Footnote Text Char"/>
    <w:basedOn w:val="DefaultParagraphFont"/>
    <w:link w:val="FootnoteText"/>
    <w:uiPriority w:val="99"/>
    <w:rsid w:val="00CC76B7"/>
    <w:rPr>
      <w:rFonts w:ascii="Arial" w:eastAsia="Arial Unicode MS" w:hAnsi="Arial" w:cs="Times New Roman"/>
      <w:sz w:val="20"/>
      <w:szCs w:val="20"/>
      <w:lang w:val="en-US" w:eastAsia="zh-CN"/>
    </w:rPr>
  </w:style>
  <w:style w:type="character" w:styleId="FootnoteReference">
    <w:name w:val="footnote reference"/>
    <w:basedOn w:val="DefaultParagraphFont"/>
    <w:uiPriority w:val="99"/>
    <w:rsid w:val="00CC76B7"/>
    <w:rPr>
      <w:vertAlign w:val="superscript"/>
    </w:rPr>
  </w:style>
  <w:style w:type="paragraph" w:styleId="Caption">
    <w:name w:val="caption"/>
    <w:basedOn w:val="Normal"/>
    <w:next w:val="Normal"/>
    <w:unhideWhenUsed/>
    <w:qFormat/>
    <w:rsid w:val="007C147E"/>
    <w:pPr>
      <w:spacing w:before="240" w:after="240" w:line="240" w:lineRule="auto"/>
    </w:pPr>
    <w:rPr>
      <w:rFonts w:ascii="Arial" w:eastAsia="Arial Unicode MS" w:hAnsi="Arial" w:cs="Times New Roman"/>
      <w:b/>
      <w:bCs/>
      <w:sz w:val="20"/>
      <w:szCs w:val="20"/>
      <w:lang w:val="en-US" w:eastAsia="zh-CN"/>
    </w:rPr>
  </w:style>
  <w:style w:type="table" w:styleId="TableGridLight">
    <w:name w:val="Grid Table Light"/>
    <w:basedOn w:val="TableNormal"/>
    <w:uiPriority w:val="40"/>
    <w:rsid w:val="007C14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unhideWhenUsed/>
    <w:rsid w:val="007C147E"/>
    <w:pPr>
      <w:spacing w:after="0" w:line="240" w:lineRule="auto"/>
    </w:pPr>
    <w:rPr>
      <w:sz w:val="20"/>
      <w:szCs w:val="20"/>
    </w:rPr>
  </w:style>
  <w:style w:type="character" w:customStyle="1" w:styleId="EndnoteTextChar">
    <w:name w:val="Endnote Text Char"/>
    <w:basedOn w:val="DefaultParagraphFont"/>
    <w:link w:val="EndnoteText"/>
    <w:uiPriority w:val="99"/>
    <w:rsid w:val="007C147E"/>
    <w:rPr>
      <w:sz w:val="20"/>
      <w:szCs w:val="20"/>
    </w:rPr>
  </w:style>
  <w:style w:type="character" w:styleId="EndnoteReference">
    <w:name w:val="endnote reference"/>
    <w:basedOn w:val="DefaultParagraphFont"/>
    <w:uiPriority w:val="99"/>
    <w:unhideWhenUsed/>
    <w:rsid w:val="007C147E"/>
    <w:rPr>
      <w:vertAlign w:val="superscript"/>
    </w:rPr>
  </w:style>
  <w:style w:type="character" w:styleId="FollowedHyperlink">
    <w:name w:val="FollowedHyperlink"/>
    <w:basedOn w:val="DefaultParagraphFont"/>
    <w:uiPriority w:val="99"/>
    <w:semiHidden/>
    <w:unhideWhenUsed/>
    <w:rsid w:val="005B22C8"/>
    <w:rPr>
      <w:color w:val="954F72" w:themeColor="followedHyperlink"/>
      <w:u w:val="single"/>
    </w:rPr>
  </w:style>
  <w:style w:type="paragraph" w:customStyle="1" w:styleId="ListParagraph2">
    <w:name w:val="List Paragraph 2"/>
    <w:basedOn w:val="ListParagraph"/>
    <w:qFormat/>
    <w:rsid w:val="00484458"/>
    <w:pPr>
      <w:spacing w:before="60" w:after="60" w:line="276" w:lineRule="auto"/>
      <w:ind w:left="706" w:hanging="360"/>
      <w:contextualSpacing w:val="0"/>
    </w:pPr>
    <w:rPr>
      <w:rFonts w:ascii="Arial" w:eastAsia="Times New Roman" w:hAnsi="Arial" w:cs="Arial"/>
      <w:sz w:val="23"/>
      <w:szCs w:val="23"/>
      <w:lang w:eastAsia="en-AU"/>
    </w:rPr>
  </w:style>
  <w:style w:type="paragraph" w:customStyle="1" w:styleId="TableText">
    <w:name w:val="Table Text"/>
    <w:basedOn w:val="Normal"/>
    <w:qFormat/>
    <w:rsid w:val="000610C7"/>
    <w:pPr>
      <w:spacing w:before="60" w:after="60" w:line="276" w:lineRule="auto"/>
    </w:pPr>
    <w:rPr>
      <w:rFonts w:ascii="Arial" w:eastAsia="Arial Unicode MS" w:hAnsi="Arial" w:cs="Times New Roman"/>
      <w:bCs/>
      <w:sz w:val="23"/>
      <w:szCs w:val="20"/>
      <w:lang w:val="en-US" w:eastAsia="zh-CN"/>
    </w:rPr>
  </w:style>
  <w:style w:type="paragraph" w:customStyle="1" w:styleId="BodyText1">
    <w:name w:val="Body Text1"/>
    <w:basedOn w:val="Normal"/>
    <w:rsid w:val="001164A8"/>
    <w:pPr>
      <w:spacing w:after="200" w:line="280" w:lineRule="exact"/>
      <w:jc w:val="both"/>
    </w:pPr>
    <w:rPr>
      <w:rFonts w:ascii="Times New Roman" w:hAnsi="Times New Roman" w:cs="Times New Roman"/>
    </w:rPr>
  </w:style>
  <w:style w:type="table" w:styleId="PlainTable2">
    <w:name w:val="Plain Table 2"/>
    <w:basedOn w:val="TableNormal"/>
    <w:uiPriority w:val="42"/>
    <w:rsid w:val="00EF6C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261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EA1"/>
  </w:style>
  <w:style w:type="paragraph" w:styleId="Footer">
    <w:name w:val="footer"/>
    <w:basedOn w:val="Normal"/>
    <w:link w:val="FooterChar"/>
    <w:uiPriority w:val="99"/>
    <w:unhideWhenUsed/>
    <w:rsid w:val="00261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01322">
      <w:bodyDiv w:val="1"/>
      <w:marLeft w:val="0"/>
      <w:marRight w:val="0"/>
      <w:marTop w:val="0"/>
      <w:marBottom w:val="0"/>
      <w:divBdr>
        <w:top w:val="none" w:sz="0" w:space="0" w:color="auto"/>
        <w:left w:val="none" w:sz="0" w:space="0" w:color="auto"/>
        <w:bottom w:val="none" w:sz="0" w:space="0" w:color="auto"/>
        <w:right w:val="none" w:sz="0" w:space="0" w:color="auto"/>
      </w:divBdr>
    </w:div>
    <w:div w:id="136456053">
      <w:bodyDiv w:val="1"/>
      <w:marLeft w:val="0"/>
      <w:marRight w:val="0"/>
      <w:marTop w:val="0"/>
      <w:marBottom w:val="0"/>
      <w:divBdr>
        <w:top w:val="none" w:sz="0" w:space="0" w:color="auto"/>
        <w:left w:val="none" w:sz="0" w:space="0" w:color="auto"/>
        <w:bottom w:val="none" w:sz="0" w:space="0" w:color="auto"/>
        <w:right w:val="none" w:sz="0" w:space="0" w:color="auto"/>
      </w:divBdr>
    </w:div>
    <w:div w:id="145972678">
      <w:bodyDiv w:val="1"/>
      <w:marLeft w:val="0"/>
      <w:marRight w:val="0"/>
      <w:marTop w:val="0"/>
      <w:marBottom w:val="0"/>
      <w:divBdr>
        <w:top w:val="none" w:sz="0" w:space="0" w:color="auto"/>
        <w:left w:val="none" w:sz="0" w:space="0" w:color="auto"/>
        <w:bottom w:val="none" w:sz="0" w:space="0" w:color="auto"/>
        <w:right w:val="none" w:sz="0" w:space="0" w:color="auto"/>
      </w:divBdr>
    </w:div>
    <w:div w:id="532571398">
      <w:bodyDiv w:val="1"/>
      <w:marLeft w:val="0"/>
      <w:marRight w:val="0"/>
      <w:marTop w:val="0"/>
      <w:marBottom w:val="0"/>
      <w:divBdr>
        <w:top w:val="none" w:sz="0" w:space="0" w:color="auto"/>
        <w:left w:val="none" w:sz="0" w:space="0" w:color="auto"/>
        <w:bottom w:val="none" w:sz="0" w:space="0" w:color="auto"/>
        <w:right w:val="none" w:sz="0" w:space="0" w:color="auto"/>
      </w:divBdr>
    </w:div>
    <w:div w:id="649291309">
      <w:bodyDiv w:val="1"/>
      <w:marLeft w:val="0"/>
      <w:marRight w:val="0"/>
      <w:marTop w:val="0"/>
      <w:marBottom w:val="0"/>
      <w:divBdr>
        <w:top w:val="none" w:sz="0" w:space="0" w:color="auto"/>
        <w:left w:val="none" w:sz="0" w:space="0" w:color="auto"/>
        <w:bottom w:val="none" w:sz="0" w:space="0" w:color="auto"/>
        <w:right w:val="none" w:sz="0" w:space="0" w:color="auto"/>
      </w:divBdr>
    </w:div>
    <w:div w:id="660502905">
      <w:bodyDiv w:val="1"/>
      <w:marLeft w:val="0"/>
      <w:marRight w:val="0"/>
      <w:marTop w:val="0"/>
      <w:marBottom w:val="0"/>
      <w:divBdr>
        <w:top w:val="none" w:sz="0" w:space="0" w:color="auto"/>
        <w:left w:val="none" w:sz="0" w:space="0" w:color="auto"/>
        <w:bottom w:val="none" w:sz="0" w:space="0" w:color="auto"/>
        <w:right w:val="none" w:sz="0" w:space="0" w:color="auto"/>
      </w:divBdr>
    </w:div>
    <w:div w:id="735587685">
      <w:bodyDiv w:val="1"/>
      <w:marLeft w:val="0"/>
      <w:marRight w:val="0"/>
      <w:marTop w:val="0"/>
      <w:marBottom w:val="0"/>
      <w:divBdr>
        <w:top w:val="none" w:sz="0" w:space="0" w:color="auto"/>
        <w:left w:val="none" w:sz="0" w:space="0" w:color="auto"/>
        <w:bottom w:val="none" w:sz="0" w:space="0" w:color="auto"/>
        <w:right w:val="none" w:sz="0" w:space="0" w:color="auto"/>
      </w:divBdr>
    </w:div>
    <w:div w:id="745036108">
      <w:bodyDiv w:val="1"/>
      <w:marLeft w:val="0"/>
      <w:marRight w:val="0"/>
      <w:marTop w:val="0"/>
      <w:marBottom w:val="0"/>
      <w:divBdr>
        <w:top w:val="none" w:sz="0" w:space="0" w:color="auto"/>
        <w:left w:val="none" w:sz="0" w:space="0" w:color="auto"/>
        <w:bottom w:val="none" w:sz="0" w:space="0" w:color="auto"/>
        <w:right w:val="none" w:sz="0" w:space="0" w:color="auto"/>
      </w:divBdr>
    </w:div>
    <w:div w:id="1850758307">
      <w:bodyDiv w:val="1"/>
      <w:marLeft w:val="0"/>
      <w:marRight w:val="0"/>
      <w:marTop w:val="0"/>
      <w:marBottom w:val="0"/>
      <w:divBdr>
        <w:top w:val="none" w:sz="0" w:space="0" w:color="auto"/>
        <w:left w:val="none" w:sz="0" w:space="0" w:color="auto"/>
        <w:bottom w:val="none" w:sz="0" w:space="0" w:color="auto"/>
        <w:right w:val="none" w:sz="0" w:space="0" w:color="auto"/>
      </w:divBdr>
    </w:div>
    <w:div w:id="193901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ateadministrator@psc.w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a.gov.au/government/publications/about-our-workforce-data" TargetMode="External"/><Relationship Id="rId4" Type="http://schemas.openxmlformats.org/officeDocument/2006/relationships/settings" Target="settings.xml"/><Relationship Id="rId9" Type="http://schemas.openxmlformats.org/officeDocument/2006/relationships/hyperlink" Target="https://www.wa.gov.au/government/publications/state-of-the-western-australian-government-sector-workforce-2018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7901-4E38-4B82-B897-3556C2B20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Australian Public Sector Quarterly Workforce Report - March 2020</dc:title>
  <dc:subject/>
  <dc:creator>Public Sector Commission</dc:creator>
  <cp:keywords/>
  <dc:description/>
  <cp:lastModifiedBy>Partridge, Julian</cp:lastModifiedBy>
  <cp:revision>17</cp:revision>
  <cp:lastPrinted>2020-05-05T05:26:00Z</cp:lastPrinted>
  <dcterms:created xsi:type="dcterms:W3CDTF">2020-07-06T08:13:00Z</dcterms:created>
  <dcterms:modified xsi:type="dcterms:W3CDTF">2023-11-10T07:50:00Z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-1688036053</vt:i4>
  </property>
  <property fmtid="{D5CDD505-2E9C-101B-9397-08002B2CF9AE}" pid="3" name="_NewReviewCycle">
    <vt:lpwstr/>
  </property>
  <property fmtid="{D5CDD505-2E9C-101B-9397-08002B2CF9AE}" pid="4" name="_EmailSubject">
    <vt:lpwstr>QWR Mar 2020 Final Version (For now)</vt:lpwstr>
  </property>
  <property fmtid="{D5CDD505-2E9C-101B-9397-08002B2CF9AE}" pid="5" name="_AuthorEmail">
    <vt:lpwstr>Matthew.Gorman@psc.wa.gov.au</vt:lpwstr>
  </property>
  <property fmtid="{D5CDD505-2E9C-101B-9397-08002B2CF9AE}" pid="6" name="_AuthorEmailDisplayName">
    <vt:lpwstr>Gorman, Matthew</vt:lpwstr>
  </property>
  <property fmtid="{D5CDD505-2E9C-101B-9397-08002B2CF9AE}" pid="7" name="_ReviewingToolsShownOnce">
    <vt:lpwstr/>
  </property>
  <property fmtid="{D5CDD505-2E9C-101B-9397-08002B2CF9AE}" pid="8" name="MSIP_Label_9debd643-ebde-44ed-8e8b-40a2ae139fe2_Enabled">
    <vt:lpwstr>true</vt:lpwstr>
  </property>
  <property fmtid="{D5CDD505-2E9C-101B-9397-08002B2CF9AE}" pid="9" name="MSIP_Label_9debd643-ebde-44ed-8e8b-40a2ae139fe2_SetDate">
    <vt:lpwstr>2023-11-10T07:50:32Z</vt:lpwstr>
  </property>
  <property fmtid="{D5CDD505-2E9C-101B-9397-08002B2CF9AE}" pid="10" name="MSIP_Label_9debd643-ebde-44ed-8e8b-40a2ae139fe2_Method">
    <vt:lpwstr>Standard</vt:lpwstr>
  </property>
  <property fmtid="{D5CDD505-2E9C-101B-9397-08002B2CF9AE}" pid="11" name="MSIP_Label_9debd643-ebde-44ed-8e8b-40a2ae139fe2_Name">
    <vt:lpwstr>OFFICIAL PSC.</vt:lpwstr>
  </property>
  <property fmtid="{D5CDD505-2E9C-101B-9397-08002B2CF9AE}" pid="12" name="MSIP_Label_9debd643-ebde-44ed-8e8b-40a2ae139fe2_SiteId">
    <vt:lpwstr>d48144b5-571f-4b68-9721-e41bc0071e17</vt:lpwstr>
  </property>
  <property fmtid="{D5CDD505-2E9C-101B-9397-08002B2CF9AE}" pid="13" name="MSIP_Label_9debd643-ebde-44ed-8e8b-40a2ae139fe2_ActionId">
    <vt:lpwstr>f0882928-67d7-4080-90e2-d97a8c54153d</vt:lpwstr>
  </property>
  <property fmtid="{D5CDD505-2E9C-101B-9397-08002B2CF9AE}" pid="14" name="MSIP_Label_9debd643-ebde-44ed-8e8b-40a2ae139fe2_ContentBits">
    <vt:lpwstr>0</vt:lpwstr>
  </property>
</Properties>
</file>