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C3670" w14:textId="30BD75E8" w:rsidR="008B0834" w:rsidRPr="00565BD7" w:rsidRDefault="008B0834" w:rsidP="008B0834">
      <w:pPr>
        <w:pStyle w:val="Heading1"/>
        <w:spacing w:before="0" w:after="0"/>
        <w:rPr>
          <w:color w:val="002060"/>
          <w:sz w:val="22"/>
          <w:szCs w:val="22"/>
        </w:rPr>
        <w:sectPr w:rsidR="008B0834" w:rsidRPr="00565BD7" w:rsidSect="009B423D">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701" w:right="720" w:bottom="720" w:left="720" w:header="709" w:footer="709" w:gutter="0"/>
          <w:cols w:space="284"/>
          <w:docGrid w:linePitch="360"/>
        </w:sectPr>
      </w:pPr>
      <w:r w:rsidRPr="00565BD7">
        <w:rPr>
          <w:color w:val="002060"/>
          <w:sz w:val="22"/>
          <w:szCs w:val="22"/>
        </w:rPr>
        <w:t xml:space="preserve">WESTERN AUSTRALIA ECONOMIC PROFILE </w:t>
      </w:r>
      <w:r w:rsidRPr="00284E70">
        <w:rPr>
          <w:color w:val="002060"/>
          <w:sz w:val="22"/>
          <w:szCs w:val="22"/>
        </w:rPr>
        <w:t xml:space="preserve">– </w:t>
      </w:r>
      <w:r w:rsidR="00DD20AB" w:rsidRPr="00B0381F">
        <w:rPr>
          <w:color w:val="002060"/>
          <w:sz w:val="22"/>
          <w:szCs w:val="22"/>
        </w:rPr>
        <w:t>Dec</w:t>
      </w:r>
      <w:r w:rsidR="00932C9F" w:rsidRPr="00B0381F">
        <w:rPr>
          <w:color w:val="002060"/>
          <w:sz w:val="22"/>
          <w:szCs w:val="22"/>
        </w:rPr>
        <w:t>ember</w:t>
      </w:r>
      <w:r w:rsidRPr="00B0381F">
        <w:rPr>
          <w:color w:val="002060"/>
          <w:sz w:val="22"/>
          <w:szCs w:val="22"/>
        </w:rPr>
        <w:t> </w:t>
      </w:r>
      <w:r w:rsidRPr="008809A4">
        <w:rPr>
          <w:color w:val="002060"/>
          <w:sz w:val="22"/>
          <w:szCs w:val="22"/>
        </w:rPr>
        <w:t>2</w:t>
      </w:r>
      <w:r w:rsidRPr="00013B25">
        <w:rPr>
          <w:rFonts w:asciiTheme="minorHAnsi" w:eastAsia="Times New Roman" w:hAnsiTheme="minorHAnsi" w:cstheme="minorBidi"/>
          <w:bCs w:val="0"/>
          <w:color w:val="002060"/>
          <w:sz w:val="22"/>
          <w:szCs w:val="24"/>
        </w:rPr>
        <w:t>023</w:t>
      </w:r>
    </w:p>
    <w:p w14:paraId="6BC140E6" w14:textId="77777777" w:rsidR="008B0834" w:rsidRPr="00580639" w:rsidRDefault="008B0834" w:rsidP="008B0834">
      <w:pPr>
        <w:pStyle w:val="BodyText"/>
        <w:spacing w:after="0"/>
        <w:jc w:val="both"/>
        <w:rPr>
          <w:b/>
          <w:color w:val="002060"/>
          <w:sz w:val="22"/>
        </w:rPr>
      </w:pPr>
      <w:r w:rsidRPr="00580639">
        <w:rPr>
          <w:b/>
          <w:color w:val="002060"/>
          <w:sz w:val="22"/>
        </w:rPr>
        <w:t>The Economy</w:t>
      </w:r>
    </w:p>
    <w:p w14:paraId="6FE3AC11" w14:textId="77777777" w:rsidR="008B0834" w:rsidRPr="00580639" w:rsidRDefault="008B0834" w:rsidP="008B0834">
      <w:pPr>
        <w:pStyle w:val="BodyText"/>
        <w:spacing w:after="0"/>
        <w:rPr>
          <w:b/>
          <w:color w:val="92278F" w:themeColor="accent1"/>
          <w:sz w:val="20"/>
        </w:rPr>
      </w:pPr>
      <w:r w:rsidRPr="00580639">
        <w:rPr>
          <w:b/>
          <w:color w:val="92278F" w:themeColor="accent1"/>
          <w:sz w:val="20"/>
        </w:rPr>
        <w:t>Gross state product (% change</w:t>
      </w:r>
      <w:r w:rsidRPr="00580639">
        <w:rPr>
          <w:b/>
          <w:color w:val="92278F" w:themeColor="accent1"/>
          <w:sz w:val="20"/>
          <w:vertAlign w:val="superscript"/>
        </w:rPr>
        <w:t>1</w:t>
      </w:r>
      <w:r>
        <w:rPr>
          <w:b/>
          <w:color w:val="92278F" w:themeColor="accent1"/>
          <w:sz w:val="20"/>
        </w:rPr>
        <w:t>)</w:t>
      </w:r>
    </w:p>
    <w:p w14:paraId="0C4CF367" w14:textId="0B15AA67" w:rsidR="008B0834" w:rsidRDefault="006A42A4" w:rsidP="008B0834">
      <w:pPr>
        <w:pStyle w:val="BodyText"/>
        <w:spacing w:after="0"/>
        <w:jc w:val="both"/>
        <w:rPr>
          <w:sz w:val="16"/>
        </w:rPr>
      </w:pPr>
      <w:r>
        <w:rPr>
          <w:noProof/>
          <w:sz w:val="16"/>
        </w:rPr>
        <w:drawing>
          <wp:inline distT="0" distB="0" distL="0" distR="0" wp14:anchorId="256F9785" wp14:editId="0A0208BB">
            <wp:extent cx="3384550" cy="1993900"/>
            <wp:effectExtent l="0" t="0" r="635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84550" cy="1993900"/>
                    </a:xfrm>
                    <a:prstGeom prst="rect">
                      <a:avLst/>
                    </a:prstGeom>
                    <a:noFill/>
                    <a:ln>
                      <a:noFill/>
                    </a:ln>
                  </pic:spPr>
                </pic:pic>
              </a:graphicData>
            </a:graphic>
          </wp:inline>
        </w:drawing>
      </w:r>
    </w:p>
    <w:p w14:paraId="7F226731" w14:textId="7FECF617" w:rsidR="008B0834" w:rsidRPr="00B0381F" w:rsidRDefault="008B0834" w:rsidP="008B0834">
      <w:pPr>
        <w:spacing w:after="0"/>
        <w:jc w:val="both"/>
        <w:rPr>
          <w:sz w:val="10"/>
        </w:rPr>
      </w:pPr>
      <w:r w:rsidRPr="00C110AE">
        <w:rPr>
          <w:sz w:val="10"/>
          <w:vertAlign w:val="superscript"/>
        </w:rPr>
        <w:t>1</w:t>
      </w:r>
      <w:r w:rsidRPr="00C110AE">
        <w:rPr>
          <w:sz w:val="10"/>
        </w:rPr>
        <w:t xml:space="preserve"> Real or a</w:t>
      </w:r>
      <w:r>
        <w:rPr>
          <w:sz w:val="10"/>
        </w:rPr>
        <w:t xml:space="preserve">djusted for </w:t>
      </w:r>
      <w:r w:rsidRPr="00B0381F">
        <w:rPr>
          <w:sz w:val="10"/>
        </w:rPr>
        <w:t>price changes. Original series. Note – Forecasts start in 202</w:t>
      </w:r>
      <w:r w:rsidR="00ED5BBA" w:rsidRPr="00B0381F">
        <w:rPr>
          <w:sz w:val="10"/>
        </w:rPr>
        <w:t>3</w:t>
      </w:r>
      <w:r w:rsidR="000771D8" w:rsidRPr="00B0381F">
        <w:rPr>
          <w:sz w:val="10"/>
        </w:rPr>
        <w:t>-24</w:t>
      </w:r>
      <w:r w:rsidRPr="00B0381F">
        <w:rPr>
          <w:sz w:val="10"/>
        </w:rPr>
        <w:t>.</w:t>
      </w:r>
    </w:p>
    <w:p w14:paraId="65DDCC84" w14:textId="1DAB09CB" w:rsidR="008B0834" w:rsidRPr="00B0381F" w:rsidRDefault="008B0834" w:rsidP="008B0834">
      <w:pPr>
        <w:spacing w:after="0"/>
        <w:jc w:val="both"/>
        <w:rPr>
          <w:sz w:val="10"/>
        </w:rPr>
      </w:pPr>
      <w:r w:rsidRPr="00B0381F">
        <w:rPr>
          <w:sz w:val="10"/>
        </w:rPr>
        <w:t xml:space="preserve">Source: Based on data from ABS 5220.0 Australian National Accounts: State Accounts (Annual); 5204.0 Australian System of National Accounts (Annual); WA Government </w:t>
      </w:r>
      <w:r w:rsidR="00AA0EDC" w:rsidRPr="00B0381F">
        <w:rPr>
          <w:sz w:val="10"/>
        </w:rPr>
        <w:t>Mid</w:t>
      </w:r>
      <w:r w:rsidR="00AA0EDC" w:rsidRPr="00B0381F">
        <w:rPr>
          <w:sz w:val="10"/>
        </w:rPr>
        <w:noBreakHyphen/>
        <w:t>year Financial Projections Statement</w:t>
      </w:r>
      <w:r w:rsidRPr="00B0381F">
        <w:rPr>
          <w:sz w:val="10"/>
        </w:rPr>
        <w:t xml:space="preserve"> 2023-24 (</w:t>
      </w:r>
      <w:r w:rsidR="00AA0EDC" w:rsidRPr="00B0381F">
        <w:rPr>
          <w:sz w:val="10"/>
        </w:rPr>
        <w:t>December</w:t>
      </w:r>
      <w:r w:rsidRPr="00B0381F">
        <w:rPr>
          <w:sz w:val="10"/>
        </w:rPr>
        <w:t xml:space="preserve"> 2023); and Australian Government </w:t>
      </w:r>
      <w:r w:rsidR="000771D8" w:rsidRPr="00B0381F">
        <w:rPr>
          <w:sz w:val="10"/>
        </w:rPr>
        <w:t xml:space="preserve">Mid-Year Economic and Fiscal Outlook 2023-24 </w:t>
      </w:r>
      <w:r w:rsidRPr="00B0381F">
        <w:rPr>
          <w:sz w:val="10"/>
        </w:rPr>
        <w:t>(</w:t>
      </w:r>
      <w:r w:rsidR="000771D8" w:rsidRPr="00B0381F">
        <w:rPr>
          <w:sz w:val="10"/>
        </w:rPr>
        <w:t>December</w:t>
      </w:r>
      <w:r w:rsidRPr="00B0381F">
        <w:rPr>
          <w:sz w:val="10"/>
        </w:rPr>
        <w:t> 2023).</w:t>
      </w:r>
    </w:p>
    <w:p w14:paraId="08FBDEC4" w14:textId="77777777" w:rsidR="008B0834" w:rsidRDefault="008B0834" w:rsidP="008B0834">
      <w:pPr>
        <w:pStyle w:val="BodyText"/>
        <w:spacing w:after="0"/>
        <w:jc w:val="both"/>
        <w:rPr>
          <w:sz w:val="16"/>
        </w:rPr>
      </w:pPr>
      <w:r>
        <w:rPr>
          <w:sz w:val="16"/>
        </w:rPr>
        <w:br w:type="column"/>
      </w:r>
    </w:p>
    <w:p w14:paraId="419DAD84" w14:textId="77777777" w:rsidR="008B0834" w:rsidRPr="00565BD3" w:rsidRDefault="008B0834" w:rsidP="008B0834">
      <w:pPr>
        <w:pStyle w:val="BodyText"/>
        <w:spacing w:after="0"/>
        <w:jc w:val="both"/>
        <w:rPr>
          <w:sz w:val="16"/>
        </w:rPr>
      </w:pPr>
    </w:p>
    <w:p w14:paraId="59167027" w14:textId="37D8A789" w:rsidR="008B0834" w:rsidRPr="00DD20AB" w:rsidRDefault="008B0834" w:rsidP="008B0834">
      <w:pPr>
        <w:pStyle w:val="BodyText"/>
        <w:numPr>
          <w:ilvl w:val="0"/>
          <w:numId w:val="9"/>
        </w:numPr>
        <w:spacing w:after="0"/>
        <w:jc w:val="both"/>
        <w:rPr>
          <w:sz w:val="16"/>
        </w:rPr>
      </w:pPr>
      <w:r w:rsidRPr="00DD20AB">
        <w:rPr>
          <w:sz w:val="16"/>
        </w:rPr>
        <w:t>Western Australia’s gross state product (GSP) was $4</w:t>
      </w:r>
      <w:r w:rsidR="009F0AF1" w:rsidRPr="00DD20AB">
        <w:rPr>
          <w:sz w:val="16"/>
        </w:rPr>
        <w:t>45.3</w:t>
      </w:r>
      <w:r w:rsidRPr="00DD20AB">
        <w:rPr>
          <w:sz w:val="16"/>
        </w:rPr>
        <w:t> billion in 202</w:t>
      </w:r>
      <w:r w:rsidR="009F0AF1" w:rsidRPr="00DD20AB">
        <w:rPr>
          <w:sz w:val="16"/>
        </w:rPr>
        <w:t>2</w:t>
      </w:r>
      <w:r w:rsidRPr="00DD20AB">
        <w:rPr>
          <w:sz w:val="16"/>
        </w:rPr>
        <w:t>-2</w:t>
      </w:r>
      <w:r w:rsidR="009F0AF1" w:rsidRPr="00DD20AB">
        <w:rPr>
          <w:sz w:val="16"/>
        </w:rPr>
        <w:t>3</w:t>
      </w:r>
      <w:r w:rsidRPr="00DD20AB">
        <w:rPr>
          <w:sz w:val="16"/>
        </w:rPr>
        <w:t xml:space="preserve">, </w:t>
      </w:r>
      <w:r w:rsidR="0025159E" w:rsidRPr="00DD20AB">
        <w:rPr>
          <w:sz w:val="16"/>
        </w:rPr>
        <w:t xml:space="preserve">which was </w:t>
      </w:r>
      <w:r w:rsidRPr="00DD20AB">
        <w:rPr>
          <w:sz w:val="16"/>
        </w:rPr>
        <w:t>17.</w:t>
      </w:r>
      <w:r w:rsidR="009F0AF1" w:rsidRPr="00DD20AB">
        <w:rPr>
          <w:sz w:val="16"/>
        </w:rPr>
        <w:t>4</w:t>
      </w:r>
      <w:r w:rsidRPr="00DD20AB">
        <w:rPr>
          <w:sz w:val="16"/>
        </w:rPr>
        <w:t>% of Australia’s gross domestic product (GDP).</w:t>
      </w:r>
    </w:p>
    <w:p w14:paraId="4CD961C8" w14:textId="5CFAB890" w:rsidR="008B0834" w:rsidRPr="00DD20AB" w:rsidRDefault="008B0834" w:rsidP="008B0834">
      <w:pPr>
        <w:pStyle w:val="BodyText"/>
        <w:numPr>
          <w:ilvl w:val="0"/>
          <w:numId w:val="9"/>
        </w:numPr>
        <w:spacing w:after="0"/>
        <w:jc w:val="both"/>
        <w:rPr>
          <w:sz w:val="16"/>
        </w:rPr>
      </w:pPr>
      <w:r w:rsidRPr="00DD20AB">
        <w:rPr>
          <w:sz w:val="16"/>
        </w:rPr>
        <w:t>Western Australia’s GSP per capita was $</w:t>
      </w:r>
      <w:r w:rsidR="009F0AF1" w:rsidRPr="00DD20AB">
        <w:rPr>
          <w:sz w:val="16"/>
        </w:rPr>
        <w:t>157,390</w:t>
      </w:r>
      <w:r w:rsidRPr="00DD20AB">
        <w:rPr>
          <w:sz w:val="16"/>
        </w:rPr>
        <w:t xml:space="preserve"> in 202</w:t>
      </w:r>
      <w:r w:rsidR="009F0AF1" w:rsidRPr="00DD20AB">
        <w:rPr>
          <w:sz w:val="16"/>
        </w:rPr>
        <w:t>2</w:t>
      </w:r>
      <w:r w:rsidRPr="00DD20AB">
        <w:rPr>
          <w:sz w:val="16"/>
        </w:rPr>
        <w:noBreakHyphen/>
        <w:t>2</w:t>
      </w:r>
      <w:r w:rsidR="0025159E" w:rsidRPr="00DD20AB">
        <w:rPr>
          <w:sz w:val="16"/>
        </w:rPr>
        <w:t>3</w:t>
      </w:r>
      <w:r w:rsidRPr="00DD20AB">
        <w:rPr>
          <w:sz w:val="16"/>
        </w:rPr>
        <w:t>, 6</w:t>
      </w:r>
      <w:r w:rsidR="009F0AF1" w:rsidRPr="00DD20AB">
        <w:rPr>
          <w:sz w:val="16"/>
        </w:rPr>
        <w:t>2</w:t>
      </w:r>
      <w:r w:rsidRPr="00DD20AB">
        <w:rPr>
          <w:sz w:val="16"/>
        </w:rPr>
        <w:t>% above Australia’s GDP per capita of $</w:t>
      </w:r>
      <w:r w:rsidR="009F0AF1" w:rsidRPr="00DD20AB">
        <w:rPr>
          <w:sz w:val="16"/>
        </w:rPr>
        <w:t>97,435</w:t>
      </w:r>
      <w:r w:rsidRPr="00DD20AB">
        <w:rPr>
          <w:sz w:val="16"/>
        </w:rPr>
        <w:t>.</w:t>
      </w:r>
    </w:p>
    <w:p w14:paraId="4A8918C9" w14:textId="24A28D10" w:rsidR="008B0834" w:rsidRPr="00DD20AB" w:rsidRDefault="008B0834" w:rsidP="008B0834">
      <w:pPr>
        <w:pStyle w:val="BodyText"/>
        <w:numPr>
          <w:ilvl w:val="0"/>
          <w:numId w:val="9"/>
        </w:numPr>
        <w:spacing w:after="0"/>
        <w:jc w:val="both"/>
        <w:rPr>
          <w:sz w:val="16"/>
        </w:rPr>
      </w:pPr>
      <w:r w:rsidRPr="00DD20AB">
        <w:rPr>
          <w:sz w:val="16"/>
        </w:rPr>
        <w:t>Western Australia’s real GSP rose 3.</w:t>
      </w:r>
      <w:r w:rsidR="00996C54" w:rsidRPr="00DD20AB">
        <w:rPr>
          <w:sz w:val="16"/>
        </w:rPr>
        <w:t>5</w:t>
      </w:r>
      <w:r w:rsidRPr="00DD20AB">
        <w:rPr>
          <w:sz w:val="16"/>
        </w:rPr>
        <w:t>% in 202</w:t>
      </w:r>
      <w:r w:rsidR="00996C54" w:rsidRPr="00DD20AB">
        <w:rPr>
          <w:sz w:val="16"/>
        </w:rPr>
        <w:t>2</w:t>
      </w:r>
      <w:r w:rsidRPr="00DD20AB">
        <w:rPr>
          <w:sz w:val="16"/>
        </w:rPr>
        <w:t>-2</w:t>
      </w:r>
      <w:r w:rsidR="00996C54" w:rsidRPr="00DD20AB">
        <w:rPr>
          <w:sz w:val="16"/>
        </w:rPr>
        <w:t>3</w:t>
      </w:r>
      <w:r w:rsidRPr="00DD20AB">
        <w:rPr>
          <w:sz w:val="16"/>
        </w:rPr>
        <w:t xml:space="preserve">, </w:t>
      </w:r>
      <w:r w:rsidR="00996C54" w:rsidRPr="00DD20AB">
        <w:rPr>
          <w:sz w:val="16"/>
        </w:rPr>
        <w:t>above</w:t>
      </w:r>
      <w:r w:rsidRPr="00DD20AB">
        <w:rPr>
          <w:sz w:val="16"/>
        </w:rPr>
        <w:t xml:space="preserve"> growth of </w:t>
      </w:r>
      <w:r w:rsidR="00996C54" w:rsidRPr="00DD20AB">
        <w:rPr>
          <w:sz w:val="16"/>
        </w:rPr>
        <w:t>2.9</w:t>
      </w:r>
      <w:r w:rsidRPr="00DD20AB">
        <w:rPr>
          <w:sz w:val="16"/>
        </w:rPr>
        <w:t>% in 202</w:t>
      </w:r>
      <w:r w:rsidR="00996C54" w:rsidRPr="00DD20AB">
        <w:rPr>
          <w:sz w:val="16"/>
        </w:rPr>
        <w:t>1</w:t>
      </w:r>
      <w:r w:rsidRPr="00DD20AB">
        <w:rPr>
          <w:sz w:val="16"/>
        </w:rPr>
        <w:t>-2</w:t>
      </w:r>
      <w:r w:rsidR="00996C54" w:rsidRPr="00DD20AB">
        <w:rPr>
          <w:sz w:val="16"/>
        </w:rPr>
        <w:t>2</w:t>
      </w:r>
      <w:r w:rsidRPr="00DD20AB">
        <w:rPr>
          <w:sz w:val="16"/>
        </w:rPr>
        <w:t xml:space="preserve">, </w:t>
      </w:r>
      <w:r w:rsidR="0025159E" w:rsidRPr="00DD20AB">
        <w:rPr>
          <w:sz w:val="16"/>
        </w:rPr>
        <w:t xml:space="preserve">and </w:t>
      </w:r>
      <w:r w:rsidRPr="00DD20AB">
        <w:rPr>
          <w:sz w:val="16"/>
        </w:rPr>
        <w:t>above compound annual growth of 2.</w:t>
      </w:r>
      <w:r w:rsidR="0055681E" w:rsidRPr="00DD20AB">
        <w:rPr>
          <w:sz w:val="16"/>
        </w:rPr>
        <w:t>3</w:t>
      </w:r>
      <w:r w:rsidRPr="00DD20AB">
        <w:rPr>
          <w:sz w:val="16"/>
        </w:rPr>
        <w:t>% over the past 10 years.</w:t>
      </w:r>
    </w:p>
    <w:p w14:paraId="0888BCC7" w14:textId="14BEB5E4" w:rsidR="008B0834" w:rsidRPr="00B0381F" w:rsidRDefault="008B0834" w:rsidP="008B0834">
      <w:pPr>
        <w:pStyle w:val="BodyText"/>
        <w:numPr>
          <w:ilvl w:val="0"/>
          <w:numId w:val="9"/>
        </w:numPr>
        <w:spacing w:after="0"/>
        <w:jc w:val="both"/>
        <w:rPr>
          <w:sz w:val="16"/>
        </w:rPr>
      </w:pPr>
      <w:r w:rsidRPr="00B0381F">
        <w:rPr>
          <w:sz w:val="16"/>
        </w:rPr>
        <w:t xml:space="preserve">The </w:t>
      </w:r>
      <w:r w:rsidR="00C658E1" w:rsidRPr="00B0381F">
        <w:rPr>
          <w:sz w:val="16"/>
        </w:rPr>
        <w:t xml:space="preserve">WA Government Mid-year Financial Projections Statement 2023-24 </w:t>
      </w:r>
      <w:r w:rsidRPr="00B0381F">
        <w:rPr>
          <w:sz w:val="16"/>
        </w:rPr>
        <w:t xml:space="preserve">forecasts Western Australia’s real GSP will grow </w:t>
      </w:r>
      <w:r w:rsidR="00C658E1" w:rsidRPr="00B0381F">
        <w:rPr>
          <w:sz w:val="16"/>
        </w:rPr>
        <w:t>1.75</w:t>
      </w:r>
      <w:r w:rsidRPr="00B0381F">
        <w:rPr>
          <w:sz w:val="16"/>
        </w:rPr>
        <w:t xml:space="preserve">% in 2023-24, and </w:t>
      </w:r>
      <w:r w:rsidR="00C658E1" w:rsidRPr="00B0381F">
        <w:rPr>
          <w:sz w:val="16"/>
        </w:rPr>
        <w:t>2.0</w:t>
      </w:r>
      <w:r w:rsidRPr="00B0381F">
        <w:rPr>
          <w:sz w:val="16"/>
        </w:rPr>
        <w:t>% in 2024</w:t>
      </w:r>
      <w:r w:rsidRPr="00B0381F">
        <w:rPr>
          <w:sz w:val="16"/>
        </w:rPr>
        <w:noBreakHyphen/>
        <w:t>25.</w:t>
      </w:r>
    </w:p>
    <w:p w14:paraId="00BEC509" w14:textId="77777777" w:rsidR="008B0834" w:rsidRPr="00B0381F" w:rsidRDefault="008B0834" w:rsidP="008B0834">
      <w:pPr>
        <w:pStyle w:val="BodyText"/>
        <w:numPr>
          <w:ilvl w:val="0"/>
          <w:numId w:val="9"/>
        </w:numPr>
        <w:spacing w:after="0"/>
        <w:jc w:val="both"/>
        <w:rPr>
          <w:sz w:val="16"/>
        </w:rPr>
      </w:pPr>
      <w:r w:rsidRPr="00B0381F">
        <w:rPr>
          <w:sz w:val="16"/>
        </w:rPr>
        <w:t>Australia’s real GDP rose 3.0% in 2022-23.</w:t>
      </w:r>
    </w:p>
    <w:p w14:paraId="31999A3A" w14:textId="39B1DACD" w:rsidR="008B0834" w:rsidRPr="00B0381F" w:rsidRDefault="008B0834" w:rsidP="008B0834">
      <w:pPr>
        <w:pStyle w:val="BodyText"/>
        <w:numPr>
          <w:ilvl w:val="0"/>
          <w:numId w:val="9"/>
        </w:numPr>
        <w:spacing w:after="0"/>
        <w:jc w:val="both"/>
        <w:rPr>
          <w:sz w:val="16"/>
        </w:rPr>
      </w:pPr>
      <w:r w:rsidRPr="00B0381F">
        <w:rPr>
          <w:sz w:val="16"/>
        </w:rPr>
        <w:t xml:space="preserve">The Australian Government </w:t>
      </w:r>
      <w:r w:rsidR="000771D8" w:rsidRPr="00B0381F">
        <w:rPr>
          <w:sz w:val="16"/>
        </w:rPr>
        <w:t>Mid</w:t>
      </w:r>
      <w:r w:rsidR="00AA0EDC" w:rsidRPr="00B0381F">
        <w:rPr>
          <w:sz w:val="16"/>
        </w:rPr>
        <w:noBreakHyphen/>
      </w:r>
      <w:r w:rsidR="000771D8" w:rsidRPr="00B0381F">
        <w:rPr>
          <w:sz w:val="16"/>
        </w:rPr>
        <w:t>Year Economic and Fiscal Outlook</w:t>
      </w:r>
      <w:r w:rsidRPr="00B0381F">
        <w:rPr>
          <w:sz w:val="16"/>
        </w:rPr>
        <w:t xml:space="preserve"> 2023</w:t>
      </w:r>
      <w:r w:rsidRPr="00B0381F">
        <w:rPr>
          <w:sz w:val="16"/>
        </w:rPr>
        <w:noBreakHyphen/>
        <w:t>24 forecasts Australia’s real GDP will grow 1.</w:t>
      </w:r>
      <w:r w:rsidR="000771D8" w:rsidRPr="00B0381F">
        <w:rPr>
          <w:sz w:val="16"/>
        </w:rPr>
        <w:t>75</w:t>
      </w:r>
      <w:r w:rsidRPr="00B0381F">
        <w:rPr>
          <w:sz w:val="16"/>
        </w:rPr>
        <w:t>% in 2023</w:t>
      </w:r>
      <w:r w:rsidRPr="00B0381F">
        <w:rPr>
          <w:sz w:val="16"/>
        </w:rPr>
        <w:noBreakHyphen/>
        <w:t>24 and 2.25% in 2024</w:t>
      </w:r>
      <w:r w:rsidRPr="00B0381F">
        <w:rPr>
          <w:sz w:val="16"/>
        </w:rPr>
        <w:noBreakHyphen/>
        <w:t>25.</w:t>
      </w:r>
    </w:p>
    <w:p w14:paraId="6CBE6023" w14:textId="77777777" w:rsidR="008B0834" w:rsidRPr="001F5528" w:rsidRDefault="008B0834" w:rsidP="008B0834">
      <w:pPr>
        <w:pStyle w:val="BodyText"/>
        <w:spacing w:after="0"/>
        <w:jc w:val="both"/>
        <w:rPr>
          <w:color w:val="0070C0"/>
          <w:sz w:val="16"/>
        </w:rPr>
        <w:sectPr w:rsidR="008B0834" w:rsidRPr="001F5528" w:rsidSect="00F7498D">
          <w:type w:val="continuous"/>
          <w:pgSz w:w="11907" w:h="16840" w:code="9"/>
          <w:pgMar w:top="1701" w:right="720" w:bottom="720" w:left="720" w:header="709" w:footer="709" w:gutter="0"/>
          <w:cols w:num="2" w:space="284" w:equalWidth="0">
            <w:col w:w="5647" w:space="284"/>
            <w:col w:w="4536"/>
          </w:cols>
          <w:docGrid w:linePitch="360"/>
        </w:sectPr>
      </w:pPr>
    </w:p>
    <w:p w14:paraId="5E7B057A" w14:textId="77777777" w:rsidR="008B0834" w:rsidRDefault="008B0834" w:rsidP="008B0834">
      <w:pPr>
        <w:pStyle w:val="BodyText"/>
        <w:spacing w:after="0"/>
        <w:jc w:val="both"/>
        <w:rPr>
          <w:sz w:val="16"/>
        </w:rPr>
      </w:pPr>
    </w:p>
    <w:p w14:paraId="308E0AFD" w14:textId="77777777" w:rsidR="008B0834" w:rsidRDefault="008B0834" w:rsidP="008B0834">
      <w:pPr>
        <w:pStyle w:val="BodyText"/>
        <w:spacing w:after="0"/>
        <w:jc w:val="both"/>
        <w:rPr>
          <w:sz w:val="16"/>
        </w:rPr>
      </w:pPr>
    </w:p>
    <w:p w14:paraId="54485471"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Industry contribution to Western Australia’s GSP</w:t>
      </w:r>
      <w:r w:rsidRPr="00020369">
        <w:rPr>
          <w:b/>
          <w:color w:val="92278F" w:themeColor="accent1"/>
          <w:sz w:val="20"/>
          <w:vertAlign w:val="superscript"/>
        </w:rPr>
        <w:t>1</w:t>
      </w:r>
    </w:p>
    <w:p w14:paraId="75DC464B" w14:textId="7C603ED3" w:rsidR="008B0834" w:rsidRPr="0025532C" w:rsidRDefault="0025159E" w:rsidP="008B0834">
      <w:pPr>
        <w:pStyle w:val="BodyText"/>
        <w:spacing w:after="0"/>
        <w:jc w:val="both"/>
        <w:rPr>
          <w:b/>
          <w:sz w:val="16"/>
        </w:rPr>
      </w:pPr>
      <w:r>
        <w:rPr>
          <w:b/>
          <w:noProof/>
          <w:sz w:val="16"/>
        </w:rPr>
        <w:drawing>
          <wp:inline distT="0" distB="0" distL="0" distR="0" wp14:anchorId="659AAA31" wp14:editId="5B6EF124">
            <wp:extent cx="3528000" cy="210340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1E81A3E2" w14:textId="77777777" w:rsidR="008B0834" w:rsidRPr="00B720D6" w:rsidRDefault="008B0834" w:rsidP="008B0834">
      <w:pPr>
        <w:pStyle w:val="BodyText"/>
        <w:spacing w:after="0"/>
        <w:jc w:val="both"/>
        <w:rPr>
          <w:sz w:val="10"/>
        </w:rPr>
      </w:pPr>
      <w:r w:rsidRPr="00BF1BE3">
        <w:rPr>
          <w:sz w:val="10"/>
          <w:vertAlign w:val="superscript"/>
        </w:rPr>
        <w:t>1</w:t>
      </w:r>
      <w:r>
        <w:rPr>
          <w:sz w:val="10"/>
        </w:rPr>
        <w:t xml:space="preserve"> Nominal or not adjusted for price changes. Original series. (a) Gross operating surplus of dwelling owners, with owner</w:t>
      </w:r>
      <w:r>
        <w:rPr>
          <w:sz w:val="10"/>
        </w:rPr>
        <w:noBreakHyphen/>
        <w:t>occupiers assigned a rent for their dwellings. (b) Repairs, maintenance and personal services</w:t>
      </w:r>
      <w:r w:rsidRPr="00B720D6">
        <w:rPr>
          <w:sz w:val="10"/>
        </w:rPr>
        <w:t>.</w:t>
      </w:r>
    </w:p>
    <w:p w14:paraId="6E78D9A9" w14:textId="77777777" w:rsidR="008B0834" w:rsidRDefault="008B0834" w:rsidP="008B0834">
      <w:pPr>
        <w:pStyle w:val="BodyText"/>
        <w:spacing w:after="0"/>
        <w:jc w:val="both"/>
        <w:rPr>
          <w:sz w:val="10"/>
        </w:rPr>
      </w:pPr>
      <w:r>
        <w:rPr>
          <w:sz w:val="10"/>
        </w:rPr>
        <w:t xml:space="preserve">Source: </w:t>
      </w:r>
      <w:r w:rsidRPr="00F1062C">
        <w:rPr>
          <w:sz w:val="10"/>
        </w:rPr>
        <w:t>Based on data from ABS 5220</w:t>
      </w:r>
      <w:r>
        <w:rPr>
          <w:sz w:val="10"/>
        </w:rPr>
        <w:t>.0 Australian National Accounts: State Accounts (Annual)</w:t>
      </w:r>
      <w:r w:rsidRPr="00B720D6">
        <w:rPr>
          <w:sz w:val="10"/>
        </w:rPr>
        <w:t>.</w:t>
      </w:r>
    </w:p>
    <w:p w14:paraId="2D4309F4" w14:textId="77777777" w:rsidR="008B0834" w:rsidRDefault="008B0834" w:rsidP="008B0834">
      <w:pPr>
        <w:pStyle w:val="BodyText"/>
        <w:spacing w:after="0"/>
        <w:jc w:val="both"/>
        <w:rPr>
          <w:sz w:val="16"/>
        </w:rPr>
      </w:pPr>
      <w:r>
        <w:rPr>
          <w:sz w:val="16"/>
        </w:rPr>
        <w:br w:type="column"/>
      </w:r>
    </w:p>
    <w:p w14:paraId="7FE19C4B" w14:textId="77777777" w:rsidR="008B0834" w:rsidRDefault="008B0834" w:rsidP="008B0834">
      <w:pPr>
        <w:pStyle w:val="BodyText"/>
        <w:spacing w:after="0"/>
        <w:jc w:val="both"/>
        <w:rPr>
          <w:sz w:val="16"/>
        </w:rPr>
      </w:pPr>
    </w:p>
    <w:p w14:paraId="0D35F477" w14:textId="77777777" w:rsidR="008B0834" w:rsidRDefault="008B0834" w:rsidP="008B0834">
      <w:pPr>
        <w:pStyle w:val="BodyText"/>
        <w:spacing w:after="0"/>
        <w:jc w:val="both"/>
        <w:rPr>
          <w:sz w:val="16"/>
        </w:rPr>
      </w:pPr>
    </w:p>
    <w:p w14:paraId="69F03F96" w14:textId="6E74C717" w:rsidR="008B0834" w:rsidRPr="00DD20AB" w:rsidRDefault="008B0834" w:rsidP="008B0834">
      <w:pPr>
        <w:pStyle w:val="BodyText"/>
        <w:numPr>
          <w:ilvl w:val="0"/>
          <w:numId w:val="9"/>
        </w:numPr>
        <w:spacing w:after="0"/>
        <w:jc w:val="both"/>
        <w:rPr>
          <w:sz w:val="16"/>
        </w:rPr>
      </w:pPr>
      <w:r w:rsidRPr="00DD20AB">
        <w:rPr>
          <w:sz w:val="16"/>
        </w:rPr>
        <w:t xml:space="preserve">Goods-producing industries accounted for </w:t>
      </w:r>
      <w:r w:rsidR="00770320" w:rsidRPr="00DD20AB">
        <w:rPr>
          <w:sz w:val="16"/>
        </w:rPr>
        <w:t>58</w:t>
      </w:r>
      <w:r w:rsidRPr="00DD20AB">
        <w:rPr>
          <w:sz w:val="16"/>
        </w:rPr>
        <w:t>% ($</w:t>
      </w:r>
      <w:r w:rsidR="00770320" w:rsidRPr="00DD20AB">
        <w:rPr>
          <w:sz w:val="16"/>
        </w:rPr>
        <w:t>257.7</w:t>
      </w:r>
      <w:r w:rsidRPr="00DD20AB">
        <w:rPr>
          <w:sz w:val="16"/>
        </w:rPr>
        <w:t> billion) of Western Australia’s GSP in 202</w:t>
      </w:r>
      <w:r w:rsidR="00770320" w:rsidRPr="00DD20AB">
        <w:rPr>
          <w:sz w:val="16"/>
        </w:rPr>
        <w:t>2</w:t>
      </w:r>
      <w:r w:rsidRPr="00DD20AB">
        <w:rPr>
          <w:sz w:val="16"/>
        </w:rPr>
        <w:t>-2</w:t>
      </w:r>
      <w:r w:rsidR="00770320" w:rsidRPr="00DD20AB">
        <w:rPr>
          <w:sz w:val="16"/>
        </w:rPr>
        <w:t>3</w:t>
      </w:r>
      <w:r w:rsidRPr="00DD20AB">
        <w:rPr>
          <w:sz w:val="16"/>
        </w:rPr>
        <w:t>, including:</w:t>
      </w:r>
    </w:p>
    <w:p w14:paraId="40C44CD6" w14:textId="0BDB8CDB" w:rsidR="008B0834" w:rsidRPr="00DD20AB" w:rsidRDefault="008B0834" w:rsidP="008B0834">
      <w:pPr>
        <w:pStyle w:val="BodyText"/>
        <w:numPr>
          <w:ilvl w:val="1"/>
          <w:numId w:val="10"/>
        </w:numPr>
        <w:spacing w:after="0"/>
        <w:ind w:left="851" w:hanging="284"/>
        <w:jc w:val="both"/>
        <w:rPr>
          <w:sz w:val="16"/>
        </w:rPr>
      </w:pPr>
      <w:r w:rsidRPr="00DD20AB">
        <w:rPr>
          <w:sz w:val="16"/>
        </w:rPr>
        <w:t>mining (4</w:t>
      </w:r>
      <w:r w:rsidR="004E3006" w:rsidRPr="00DD20AB">
        <w:rPr>
          <w:sz w:val="16"/>
        </w:rPr>
        <w:t>5</w:t>
      </w:r>
      <w:r w:rsidRPr="00DD20AB">
        <w:rPr>
          <w:sz w:val="16"/>
        </w:rPr>
        <w:t>% or $</w:t>
      </w:r>
      <w:r w:rsidR="004E3006" w:rsidRPr="00DD20AB">
        <w:rPr>
          <w:sz w:val="16"/>
        </w:rPr>
        <w:t>200.0</w:t>
      </w:r>
      <w:r w:rsidRPr="00DD20AB">
        <w:rPr>
          <w:sz w:val="16"/>
        </w:rPr>
        <w:t> billion)</w:t>
      </w:r>
    </w:p>
    <w:p w14:paraId="45C4846F" w14:textId="154535DE" w:rsidR="008B0834" w:rsidRPr="00DD20AB" w:rsidRDefault="008B0834" w:rsidP="008B0834">
      <w:pPr>
        <w:pStyle w:val="BodyText"/>
        <w:numPr>
          <w:ilvl w:val="1"/>
          <w:numId w:val="10"/>
        </w:numPr>
        <w:spacing w:after="0"/>
        <w:ind w:left="851" w:hanging="284"/>
        <w:jc w:val="both"/>
        <w:rPr>
          <w:sz w:val="16"/>
        </w:rPr>
      </w:pPr>
      <w:r w:rsidRPr="00DD20AB">
        <w:rPr>
          <w:sz w:val="16"/>
        </w:rPr>
        <w:t>construction (5% or $2</w:t>
      </w:r>
      <w:r w:rsidR="004E3006" w:rsidRPr="00DD20AB">
        <w:rPr>
          <w:sz w:val="16"/>
        </w:rPr>
        <w:t>2</w:t>
      </w:r>
      <w:r w:rsidRPr="00DD20AB">
        <w:rPr>
          <w:sz w:val="16"/>
        </w:rPr>
        <w:t>.</w:t>
      </w:r>
      <w:r w:rsidR="004E3006" w:rsidRPr="00DD20AB">
        <w:rPr>
          <w:sz w:val="16"/>
        </w:rPr>
        <w:t>8</w:t>
      </w:r>
      <w:r w:rsidRPr="00DD20AB">
        <w:rPr>
          <w:sz w:val="16"/>
        </w:rPr>
        <w:t> billion)</w:t>
      </w:r>
    </w:p>
    <w:p w14:paraId="1F19763C" w14:textId="320892B8" w:rsidR="008B0834" w:rsidRPr="00DD20AB" w:rsidRDefault="008B0834" w:rsidP="008B0834">
      <w:pPr>
        <w:pStyle w:val="BodyText"/>
        <w:numPr>
          <w:ilvl w:val="1"/>
          <w:numId w:val="10"/>
        </w:numPr>
        <w:spacing w:after="0"/>
        <w:ind w:left="851" w:hanging="284"/>
        <w:jc w:val="both"/>
        <w:rPr>
          <w:sz w:val="16"/>
        </w:rPr>
      </w:pPr>
      <w:r w:rsidRPr="00DD20AB">
        <w:rPr>
          <w:sz w:val="16"/>
        </w:rPr>
        <w:t>manufacturing (</w:t>
      </w:r>
      <w:r w:rsidR="004E3006" w:rsidRPr="00DD20AB">
        <w:rPr>
          <w:sz w:val="16"/>
        </w:rPr>
        <w:t>4</w:t>
      </w:r>
      <w:r w:rsidRPr="00DD20AB">
        <w:rPr>
          <w:sz w:val="16"/>
        </w:rPr>
        <w:t>% or $18.</w:t>
      </w:r>
      <w:r w:rsidR="004E3006" w:rsidRPr="00DD20AB">
        <w:rPr>
          <w:sz w:val="16"/>
        </w:rPr>
        <w:t>4</w:t>
      </w:r>
      <w:r w:rsidRPr="00DD20AB">
        <w:rPr>
          <w:sz w:val="16"/>
        </w:rPr>
        <w:t> billion)</w:t>
      </w:r>
    </w:p>
    <w:p w14:paraId="2ED9A275" w14:textId="26D0A116" w:rsidR="008B0834" w:rsidRPr="00DD20AB" w:rsidRDefault="008B0834" w:rsidP="008B0834">
      <w:pPr>
        <w:pStyle w:val="BodyText"/>
        <w:numPr>
          <w:ilvl w:val="1"/>
          <w:numId w:val="10"/>
        </w:numPr>
        <w:spacing w:after="0"/>
        <w:ind w:left="851" w:hanging="284"/>
        <w:jc w:val="both"/>
        <w:rPr>
          <w:sz w:val="16"/>
        </w:rPr>
      </w:pPr>
      <w:r w:rsidRPr="00DD20AB">
        <w:rPr>
          <w:sz w:val="16"/>
        </w:rPr>
        <w:t>agriculture, forestry and fishing (</w:t>
      </w:r>
      <w:r w:rsidR="004E3006" w:rsidRPr="00DD20AB">
        <w:rPr>
          <w:sz w:val="16"/>
        </w:rPr>
        <w:t>2</w:t>
      </w:r>
      <w:r w:rsidRPr="00DD20AB">
        <w:rPr>
          <w:sz w:val="16"/>
        </w:rPr>
        <w:t>% or $1</w:t>
      </w:r>
      <w:r w:rsidR="004E3006" w:rsidRPr="00DD20AB">
        <w:rPr>
          <w:sz w:val="16"/>
        </w:rPr>
        <w:t>1.1</w:t>
      </w:r>
      <w:r w:rsidRPr="00DD20AB">
        <w:rPr>
          <w:sz w:val="16"/>
        </w:rPr>
        <w:t> billion).</w:t>
      </w:r>
    </w:p>
    <w:p w14:paraId="6E3A20FE" w14:textId="53F9602F" w:rsidR="008B0834" w:rsidRPr="00DD20AB" w:rsidRDefault="008B0834" w:rsidP="008B0834">
      <w:pPr>
        <w:pStyle w:val="BodyText"/>
        <w:numPr>
          <w:ilvl w:val="0"/>
          <w:numId w:val="9"/>
        </w:numPr>
        <w:spacing w:after="0"/>
        <w:jc w:val="both"/>
        <w:rPr>
          <w:sz w:val="16"/>
        </w:rPr>
      </w:pPr>
      <w:r w:rsidRPr="00DD20AB">
        <w:rPr>
          <w:sz w:val="16"/>
        </w:rPr>
        <w:t>Services industries accounted for 3</w:t>
      </w:r>
      <w:r w:rsidR="00675D51" w:rsidRPr="00DD20AB">
        <w:rPr>
          <w:sz w:val="16"/>
        </w:rPr>
        <w:t>3</w:t>
      </w:r>
      <w:r w:rsidRPr="00DD20AB">
        <w:rPr>
          <w:sz w:val="16"/>
        </w:rPr>
        <w:t>% ($</w:t>
      </w:r>
      <w:r w:rsidR="00675D51" w:rsidRPr="00DD20AB">
        <w:rPr>
          <w:sz w:val="16"/>
        </w:rPr>
        <w:t>149.1</w:t>
      </w:r>
      <w:r w:rsidRPr="00DD20AB">
        <w:rPr>
          <w:sz w:val="16"/>
        </w:rPr>
        <w:t> billion) of GSP in 202</w:t>
      </w:r>
      <w:r w:rsidR="00675D51" w:rsidRPr="00DD20AB">
        <w:rPr>
          <w:sz w:val="16"/>
        </w:rPr>
        <w:t>2</w:t>
      </w:r>
      <w:r w:rsidRPr="00DD20AB">
        <w:rPr>
          <w:sz w:val="16"/>
        </w:rPr>
        <w:t>-2</w:t>
      </w:r>
      <w:r w:rsidR="00675D51" w:rsidRPr="00DD20AB">
        <w:rPr>
          <w:sz w:val="16"/>
        </w:rPr>
        <w:t>3</w:t>
      </w:r>
      <w:r w:rsidRPr="00DD20AB">
        <w:rPr>
          <w:sz w:val="16"/>
        </w:rPr>
        <w:t>, including:</w:t>
      </w:r>
    </w:p>
    <w:p w14:paraId="47109CD8" w14:textId="3F782814" w:rsidR="008B0834" w:rsidRPr="00DD20AB" w:rsidRDefault="008B0834" w:rsidP="008B0834">
      <w:pPr>
        <w:pStyle w:val="BodyText"/>
        <w:numPr>
          <w:ilvl w:val="1"/>
          <w:numId w:val="10"/>
        </w:numPr>
        <w:spacing w:after="0"/>
        <w:ind w:left="851" w:hanging="284"/>
        <w:jc w:val="both"/>
        <w:rPr>
          <w:sz w:val="16"/>
        </w:rPr>
      </w:pPr>
      <w:r w:rsidRPr="00DD20AB">
        <w:rPr>
          <w:sz w:val="16"/>
        </w:rPr>
        <w:t>healthcare and social assistance (5% or $</w:t>
      </w:r>
      <w:r w:rsidR="0037393B" w:rsidRPr="00DD20AB">
        <w:rPr>
          <w:sz w:val="16"/>
        </w:rPr>
        <w:t>20.5</w:t>
      </w:r>
      <w:r w:rsidRPr="00DD20AB">
        <w:rPr>
          <w:sz w:val="16"/>
        </w:rPr>
        <w:t> billion)</w:t>
      </w:r>
    </w:p>
    <w:p w14:paraId="635DEBF3" w14:textId="65C405D8" w:rsidR="008B0834" w:rsidRPr="00DD20AB" w:rsidRDefault="008B0834" w:rsidP="008B0834">
      <w:pPr>
        <w:pStyle w:val="BodyText"/>
        <w:numPr>
          <w:ilvl w:val="1"/>
          <w:numId w:val="10"/>
        </w:numPr>
        <w:spacing w:after="0"/>
        <w:ind w:left="851" w:hanging="284"/>
        <w:jc w:val="both"/>
        <w:rPr>
          <w:sz w:val="16"/>
        </w:rPr>
      </w:pPr>
      <w:r w:rsidRPr="00DD20AB">
        <w:rPr>
          <w:sz w:val="16"/>
        </w:rPr>
        <w:t>professional, scientific and technical services (4% or $1</w:t>
      </w:r>
      <w:r w:rsidR="0037393B" w:rsidRPr="00DD20AB">
        <w:rPr>
          <w:sz w:val="16"/>
        </w:rPr>
        <w:t>9.3</w:t>
      </w:r>
      <w:r w:rsidRPr="00DD20AB">
        <w:rPr>
          <w:sz w:val="16"/>
        </w:rPr>
        <w:t> billion)</w:t>
      </w:r>
    </w:p>
    <w:p w14:paraId="1E80D271" w14:textId="77777777" w:rsidR="00675D51" w:rsidRPr="00DD20AB" w:rsidRDefault="00675D51" w:rsidP="008B0834">
      <w:pPr>
        <w:pStyle w:val="BodyText"/>
        <w:numPr>
          <w:ilvl w:val="1"/>
          <w:numId w:val="10"/>
        </w:numPr>
        <w:spacing w:after="0"/>
        <w:ind w:left="851" w:hanging="284"/>
        <w:jc w:val="both"/>
        <w:rPr>
          <w:sz w:val="16"/>
        </w:rPr>
      </w:pPr>
      <w:r w:rsidRPr="00DD20AB">
        <w:rPr>
          <w:sz w:val="16"/>
        </w:rPr>
        <w:t>transport, postal and warehousing</w:t>
      </w:r>
      <w:r w:rsidR="008B0834" w:rsidRPr="00DD20AB">
        <w:rPr>
          <w:sz w:val="16"/>
        </w:rPr>
        <w:t xml:space="preserve"> (3% or $1</w:t>
      </w:r>
      <w:r w:rsidR="0037393B" w:rsidRPr="00DD20AB">
        <w:rPr>
          <w:sz w:val="16"/>
        </w:rPr>
        <w:t>4.</w:t>
      </w:r>
      <w:r w:rsidRPr="00DD20AB">
        <w:rPr>
          <w:sz w:val="16"/>
        </w:rPr>
        <w:t>4</w:t>
      </w:r>
      <w:r w:rsidR="008B0834" w:rsidRPr="00DD20AB">
        <w:rPr>
          <w:sz w:val="16"/>
        </w:rPr>
        <w:t> billion)</w:t>
      </w:r>
    </w:p>
    <w:p w14:paraId="2531AF2F" w14:textId="5141822A" w:rsidR="008B0834" w:rsidRPr="00DD20AB" w:rsidRDefault="00675D51" w:rsidP="008B0834">
      <w:pPr>
        <w:pStyle w:val="BodyText"/>
        <w:numPr>
          <w:ilvl w:val="1"/>
          <w:numId w:val="10"/>
        </w:numPr>
        <w:spacing w:after="0"/>
        <w:ind w:left="851" w:hanging="284"/>
        <w:jc w:val="both"/>
        <w:rPr>
          <w:sz w:val="16"/>
        </w:rPr>
      </w:pPr>
      <w:r w:rsidRPr="00DD20AB">
        <w:rPr>
          <w:sz w:val="16"/>
        </w:rPr>
        <w:t>finance and insurance (3% or $14.1 billion)</w:t>
      </w:r>
      <w:r w:rsidR="008B0834" w:rsidRPr="00DD20AB">
        <w:rPr>
          <w:sz w:val="16"/>
        </w:rPr>
        <w:t>.</w:t>
      </w:r>
    </w:p>
    <w:p w14:paraId="7E1A52BF" w14:textId="06145D21" w:rsidR="008B0834" w:rsidRPr="00DD20AB" w:rsidRDefault="008B0834" w:rsidP="008B0834">
      <w:pPr>
        <w:pStyle w:val="BodyText"/>
        <w:numPr>
          <w:ilvl w:val="0"/>
          <w:numId w:val="9"/>
        </w:numPr>
        <w:spacing w:after="0"/>
        <w:jc w:val="both"/>
        <w:rPr>
          <w:sz w:val="16"/>
        </w:rPr>
      </w:pPr>
      <w:r w:rsidRPr="00DD20AB">
        <w:rPr>
          <w:sz w:val="16"/>
        </w:rPr>
        <w:t xml:space="preserve">Dwelling ownership and other items accounted for the remaining </w:t>
      </w:r>
      <w:r w:rsidR="004033DB" w:rsidRPr="00DD20AB">
        <w:rPr>
          <w:sz w:val="16"/>
        </w:rPr>
        <w:t>9</w:t>
      </w:r>
      <w:r w:rsidRPr="00DD20AB">
        <w:rPr>
          <w:sz w:val="16"/>
        </w:rPr>
        <w:t>% of GSP in 202</w:t>
      </w:r>
      <w:r w:rsidR="004033DB" w:rsidRPr="00DD20AB">
        <w:rPr>
          <w:sz w:val="16"/>
        </w:rPr>
        <w:t>2</w:t>
      </w:r>
      <w:r w:rsidRPr="00DD20AB">
        <w:rPr>
          <w:sz w:val="16"/>
        </w:rPr>
        <w:noBreakHyphen/>
        <w:t>2</w:t>
      </w:r>
      <w:r w:rsidR="004033DB" w:rsidRPr="00DD20AB">
        <w:rPr>
          <w:sz w:val="16"/>
        </w:rPr>
        <w:t>3</w:t>
      </w:r>
      <w:r w:rsidRPr="00DD20AB">
        <w:rPr>
          <w:sz w:val="16"/>
        </w:rPr>
        <w:t>.</w:t>
      </w:r>
    </w:p>
    <w:p w14:paraId="52E55DD3" w14:textId="77777777" w:rsidR="008B0834" w:rsidRPr="00D77CEC" w:rsidRDefault="008B0834" w:rsidP="008B0834">
      <w:pPr>
        <w:pStyle w:val="BodyText"/>
        <w:spacing w:after="0"/>
        <w:ind w:left="360"/>
        <w:jc w:val="both"/>
        <w:rPr>
          <w:sz w:val="16"/>
        </w:rPr>
        <w:sectPr w:rsidR="008B0834" w:rsidRPr="00D77CEC" w:rsidSect="00F7498D">
          <w:type w:val="continuous"/>
          <w:pgSz w:w="11907" w:h="16840" w:code="9"/>
          <w:pgMar w:top="1701" w:right="720" w:bottom="720" w:left="720" w:header="709" w:footer="709" w:gutter="0"/>
          <w:cols w:num="2" w:space="284" w:equalWidth="0">
            <w:col w:w="5647" w:space="284"/>
            <w:col w:w="4536"/>
          </w:cols>
          <w:docGrid w:linePitch="360"/>
        </w:sectPr>
      </w:pPr>
    </w:p>
    <w:p w14:paraId="444D4BFB" w14:textId="77777777" w:rsidR="008B0834" w:rsidRDefault="008B0834" w:rsidP="008B0834">
      <w:pPr>
        <w:pStyle w:val="BodyText"/>
        <w:spacing w:after="0"/>
        <w:jc w:val="both"/>
        <w:rPr>
          <w:sz w:val="16"/>
        </w:rPr>
      </w:pPr>
    </w:p>
    <w:p w14:paraId="6468BE56" w14:textId="77777777" w:rsidR="008B0834" w:rsidRDefault="008B0834" w:rsidP="008B0834">
      <w:pPr>
        <w:pStyle w:val="BodyText"/>
        <w:spacing w:after="0"/>
        <w:jc w:val="both"/>
        <w:rPr>
          <w:sz w:val="16"/>
        </w:rPr>
      </w:pPr>
    </w:p>
    <w:p w14:paraId="215AE780" w14:textId="526A7E76" w:rsidR="008B0834" w:rsidRPr="00020369" w:rsidRDefault="008B0834" w:rsidP="008B0834">
      <w:pPr>
        <w:pStyle w:val="BodyText"/>
        <w:spacing w:after="0"/>
        <w:rPr>
          <w:b/>
          <w:color w:val="92278F" w:themeColor="accent1"/>
          <w:sz w:val="20"/>
        </w:rPr>
      </w:pPr>
      <w:r w:rsidRPr="00020369">
        <w:rPr>
          <w:b/>
          <w:color w:val="92278F" w:themeColor="accent1"/>
          <w:sz w:val="20"/>
        </w:rPr>
        <w:t>Industry contribution to change</w:t>
      </w:r>
      <w:r w:rsidRPr="00020369">
        <w:rPr>
          <w:b/>
          <w:color w:val="92278F" w:themeColor="accent1"/>
          <w:sz w:val="20"/>
          <w:vertAlign w:val="superscript"/>
        </w:rPr>
        <w:t>1</w:t>
      </w:r>
      <w:r w:rsidRPr="00020369">
        <w:rPr>
          <w:b/>
          <w:color w:val="92278F" w:themeColor="accent1"/>
          <w:sz w:val="20"/>
        </w:rPr>
        <w:t xml:space="preserve"> </w:t>
      </w:r>
      <w:r>
        <w:rPr>
          <w:b/>
          <w:color w:val="92278F" w:themeColor="accent1"/>
          <w:sz w:val="20"/>
        </w:rPr>
        <w:t xml:space="preserve">in Western Australia’s GSP: </w:t>
      </w:r>
      <w:r w:rsidRPr="00DD20AB">
        <w:rPr>
          <w:b/>
          <w:color w:val="92278F" w:themeColor="accent1"/>
          <w:sz w:val="20"/>
        </w:rPr>
        <w:t>202</w:t>
      </w:r>
      <w:r w:rsidR="00ED06B3" w:rsidRPr="00DD20AB">
        <w:rPr>
          <w:b/>
          <w:color w:val="92278F" w:themeColor="accent1"/>
          <w:sz w:val="20"/>
        </w:rPr>
        <w:t>2</w:t>
      </w:r>
      <w:r w:rsidRPr="00DD20AB">
        <w:rPr>
          <w:b/>
          <w:color w:val="92278F" w:themeColor="accent1"/>
          <w:sz w:val="20"/>
        </w:rPr>
        <w:noBreakHyphen/>
        <w:t>2</w:t>
      </w:r>
      <w:r w:rsidR="00ED06B3" w:rsidRPr="00DD20AB">
        <w:rPr>
          <w:b/>
          <w:color w:val="92278F" w:themeColor="accent1"/>
          <w:sz w:val="20"/>
        </w:rPr>
        <w:t>3</w:t>
      </w:r>
    </w:p>
    <w:p w14:paraId="376FCF73" w14:textId="2C94E705" w:rsidR="008B0834" w:rsidRDefault="006A42A4" w:rsidP="008B0834">
      <w:pPr>
        <w:pStyle w:val="BodyText"/>
        <w:spacing w:after="0"/>
        <w:jc w:val="both"/>
        <w:rPr>
          <w:sz w:val="16"/>
        </w:rPr>
      </w:pPr>
      <w:r>
        <w:rPr>
          <w:noProof/>
          <w:sz w:val="16"/>
        </w:rPr>
        <w:drawing>
          <wp:inline distT="0" distB="0" distL="0" distR="0" wp14:anchorId="19708CB1" wp14:editId="1F2A15D9">
            <wp:extent cx="3359150" cy="20066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59150" cy="2006600"/>
                    </a:xfrm>
                    <a:prstGeom prst="rect">
                      <a:avLst/>
                    </a:prstGeom>
                    <a:noFill/>
                    <a:ln>
                      <a:noFill/>
                    </a:ln>
                  </pic:spPr>
                </pic:pic>
              </a:graphicData>
            </a:graphic>
          </wp:inline>
        </w:drawing>
      </w:r>
    </w:p>
    <w:p w14:paraId="57764039" w14:textId="5D5DDE7C" w:rsidR="008B0834" w:rsidRPr="00873AA6" w:rsidRDefault="008B0834" w:rsidP="008B0834">
      <w:pPr>
        <w:spacing w:after="0"/>
        <w:jc w:val="both"/>
        <w:rPr>
          <w:sz w:val="10"/>
        </w:rPr>
      </w:pPr>
      <w:r w:rsidRPr="00C110AE">
        <w:rPr>
          <w:sz w:val="10"/>
          <w:vertAlign w:val="superscript"/>
        </w:rPr>
        <w:t>1</w:t>
      </w:r>
      <w:r w:rsidRPr="00C110AE">
        <w:rPr>
          <w:sz w:val="10"/>
        </w:rPr>
        <w:t xml:space="preserve"> Real or a</w:t>
      </w:r>
      <w:r>
        <w:rPr>
          <w:sz w:val="10"/>
        </w:rPr>
        <w:t xml:space="preserve">djusted for </w:t>
      </w:r>
      <w:r w:rsidRPr="00C110AE">
        <w:rPr>
          <w:sz w:val="10"/>
        </w:rPr>
        <w:t>price</w:t>
      </w:r>
      <w:r>
        <w:rPr>
          <w:sz w:val="10"/>
        </w:rPr>
        <w:t xml:space="preserve"> change</w:t>
      </w:r>
      <w:r w:rsidRPr="00C110AE">
        <w:rPr>
          <w:sz w:val="10"/>
        </w:rPr>
        <w:t xml:space="preserve">s. </w:t>
      </w:r>
      <w:r>
        <w:rPr>
          <w:sz w:val="10"/>
        </w:rPr>
        <w:t xml:space="preserve">Original series. pp = </w:t>
      </w:r>
      <w:r w:rsidRPr="00C45D8E">
        <w:rPr>
          <w:sz w:val="10"/>
        </w:rPr>
        <w:t xml:space="preserve">percentage point. (a) Gross operating surplus of dwelling owners, with owner-occupiers assigned a rent for their dwellings. (b) Repairs, </w:t>
      </w:r>
      <w:r w:rsidR="00DD20AB" w:rsidRPr="00C45D8E">
        <w:rPr>
          <w:sz w:val="10"/>
        </w:rPr>
        <w:t>maintenance,</w:t>
      </w:r>
      <w:r w:rsidRPr="00C45D8E">
        <w:rPr>
          <w:sz w:val="10"/>
        </w:rPr>
        <w:t xml:space="preserve"> and personal services. </w:t>
      </w:r>
    </w:p>
    <w:p w14:paraId="6E8AB58D" w14:textId="77777777" w:rsidR="008B0834" w:rsidRPr="00F1062C" w:rsidRDefault="008B0834" w:rsidP="008B0834">
      <w:pPr>
        <w:pStyle w:val="BodyText"/>
        <w:spacing w:after="0"/>
        <w:jc w:val="both"/>
        <w:rPr>
          <w:sz w:val="10"/>
        </w:rPr>
      </w:pPr>
      <w:r>
        <w:rPr>
          <w:sz w:val="10"/>
        </w:rPr>
        <w:t xml:space="preserve">Source: </w:t>
      </w:r>
      <w:r w:rsidRPr="00F1062C">
        <w:rPr>
          <w:sz w:val="10"/>
        </w:rPr>
        <w:t>Based on data from ABS 5220.0 Australian National Accounts: State Accounts (Annual).</w:t>
      </w:r>
    </w:p>
    <w:p w14:paraId="5A63E32C" w14:textId="77777777" w:rsidR="008B0834" w:rsidRPr="00097FD4" w:rsidRDefault="008B0834" w:rsidP="008B0834">
      <w:pPr>
        <w:spacing w:after="0"/>
        <w:jc w:val="both"/>
        <w:rPr>
          <w:sz w:val="16"/>
        </w:rPr>
      </w:pPr>
      <w:r>
        <w:br w:type="column"/>
      </w:r>
    </w:p>
    <w:p w14:paraId="450F000D" w14:textId="77777777" w:rsidR="008B0834" w:rsidRDefault="008B0834" w:rsidP="008B0834">
      <w:pPr>
        <w:spacing w:after="0"/>
        <w:jc w:val="both"/>
        <w:rPr>
          <w:sz w:val="16"/>
        </w:rPr>
      </w:pPr>
    </w:p>
    <w:p w14:paraId="6B81D03B" w14:textId="77777777" w:rsidR="008B0834" w:rsidRDefault="008B0834" w:rsidP="008B0834">
      <w:pPr>
        <w:spacing w:after="0"/>
        <w:jc w:val="both"/>
        <w:rPr>
          <w:sz w:val="16"/>
        </w:rPr>
      </w:pPr>
    </w:p>
    <w:p w14:paraId="6E1E5BA5" w14:textId="2399DE85" w:rsidR="008B0834" w:rsidRPr="00DD20AB" w:rsidRDefault="00114F27" w:rsidP="008B0834">
      <w:pPr>
        <w:pStyle w:val="BodyText"/>
        <w:numPr>
          <w:ilvl w:val="0"/>
          <w:numId w:val="9"/>
        </w:numPr>
        <w:spacing w:after="0"/>
        <w:jc w:val="both"/>
        <w:rPr>
          <w:sz w:val="16"/>
        </w:rPr>
      </w:pPr>
      <w:r w:rsidRPr="00DD20AB">
        <w:rPr>
          <w:sz w:val="16"/>
        </w:rPr>
        <w:t>Mining (</w:t>
      </w:r>
      <w:r w:rsidR="008B0834" w:rsidRPr="00DD20AB">
        <w:rPr>
          <w:sz w:val="16"/>
        </w:rPr>
        <w:t>up 3.3%) made the largest contribution to Western Australia’s real GSP growth in 202</w:t>
      </w:r>
      <w:r w:rsidRPr="00DD20AB">
        <w:rPr>
          <w:sz w:val="16"/>
        </w:rPr>
        <w:t>2</w:t>
      </w:r>
      <w:r w:rsidR="008B0834" w:rsidRPr="00DD20AB">
        <w:rPr>
          <w:sz w:val="16"/>
        </w:rPr>
        <w:t>-2</w:t>
      </w:r>
      <w:r w:rsidRPr="00DD20AB">
        <w:rPr>
          <w:sz w:val="16"/>
        </w:rPr>
        <w:t>3</w:t>
      </w:r>
      <w:r w:rsidR="008B0834" w:rsidRPr="00DD20AB">
        <w:rPr>
          <w:sz w:val="16"/>
        </w:rPr>
        <w:t>, followed by:</w:t>
      </w:r>
    </w:p>
    <w:p w14:paraId="7F0DB6F4" w14:textId="39D61FEC" w:rsidR="00114F27" w:rsidRPr="00DD20AB" w:rsidRDefault="00114F27" w:rsidP="008B0834">
      <w:pPr>
        <w:pStyle w:val="BodyText"/>
        <w:numPr>
          <w:ilvl w:val="1"/>
          <w:numId w:val="10"/>
        </w:numPr>
        <w:spacing w:after="0"/>
        <w:ind w:left="851" w:hanging="284"/>
        <w:jc w:val="both"/>
        <w:rPr>
          <w:sz w:val="16"/>
        </w:rPr>
      </w:pPr>
      <w:r w:rsidRPr="00DD20AB">
        <w:rPr>
          <w:sz w:val="16"/>
        </w:rPr>
        <w:t>transport, postal and warehousing (up 15.1%)</w:t>
      </w:r>
    </w:p>
    <w:p w14:paraId="1DAEBEA8" w14:textId="77984768" w:rsidR="008B0834" w:rsidRPr="00DD20AB" w:rsidRDefault="00114F27" w:rsidP="008B0834">
      <w:pPr>
        <w:pStyle w:val="BodyText"/>
        <w:numPr>
          <w:ilvl w:val="1"/>
          <w:numId w:val="10"/>
        </w:numPr>
        <w:spacing w:after="0"/>
        <w:ind w:left="851" w:hanging="284"/>
        <w:jc w:val="both"/>
        <w:rPr>
          <w:sz w:val="16"/>
        </w:rPr>
      </w:pPr>
      <w:r w:rsidRPr="00DD20AB">
        <w:rPr>
          <w:sz w:val="16"/>
        </w:rPr>
        <w:t xml:space="preserve">wholesale trade </w:t>
      </w:r>
      <w:r w:rsidR="008B0834" w:rsidRPr="00DD20AB">
        <w:rPr>
          <w:sz w:val="16"/>
        </w:rPr>
        <w:t xml:space="preserve">(up </w:t>
      </w:r>
      <w:r w:rsidRPr="00DD20AB">
        <w:rPr>
          <w:sz w:val="16"/>
        </w:rPr>
        <w:t>12.7</w:t>
      </w:r>
      <w:r w:rsidR="008B0834" w:rsidRPr="00DD20AB">
        <w:rPr>
          <w:sz w:val="16"/>
        </w:rPr>
        <w:t>%)</w:t>
      </w:r>
    </w:p>
    <w:p w14:paraId="2F3D527E" w14:textId="77777777" w:rsidR="009055BD" w:rsidRPr="00DD20AB" w:rsidRDefault="009055BD" w:rsidP="009055BD">
      <w:pPr>
        <w:pStyle w:val="BodyText"/>
        <w:numPr>
          <w:ilvl w:val="1"/>
          <w:numId w:val="10"/>
        </w:numPr>
        <w:spacing w:after="0"/>
        <w:ind w:left="851" w:hanging="284"/>
        <w:jc w:val="both"/>
        <w:rPr>
          <w:sz w:val="16"/>
        </w:rPr>
      </w:pPr>
      <w:r w:rsidRPr="00DD20AB">
        <w:rPr>
          <w:sz w:val="16"/>
        </w:rPr>
        <w:t>construction (up 4.9%)</w:t>
      </w:r>
    </w:p>
    <w:p w14:paraId="086C298A" w14:textId="77777777" w:rsidR="009055BD" w:rsidRPr="00DD20AB" w:rsidRDefault="009055BD" w:rsidP="009055BD">
      <w:pPr>
        <w:pStyle w:val="BodyText"/>
        <w:numPr>
          <w:ilvl w:val="1"/>
          <w:numId w:val="10"/>
        </w:numPr>
        <w:spacing w:after="0"/>
        <w:ind w:left="851" w:hanging="284"/>
        <w:jc w:val="both"/>
        <w:rPr>
          <w:sz w:val="16"/>
        </w:rPr>
      </w:pPr>
      <w:r w:rsidRPr="00DD20AB">
        <w:rPr>
          <w:sz w:val="16"/>
        </w:rPr>
        <w:t>professional, scientific and technical services (up 4.7%)</w:t>
      </w:r>
    </w:p>
    <w:p w14:paraId="622049F1" w14:textId="330A0A12" w:rsidR="00114F27" w:rsidRPr="00DD20AB" w:rsidRDefault="00114F27" w:rsidP="008B0834">
      <w:pPr>
        <w:pStyle w:val="BodyText"/>
        <w:numPr>
          <w:ilvl w:val="1"/>
          <w:numId w:val="10"/>
        </w:numPr>
        <w:spacing w:after="0"/>
        <w:ind w:left="851" w:hanging="284"/>
        <w:jc w:val="both"/>
        <w:rPr>
          <w:sz w:val="16"/>
        </w:rPr>
      </w:pPr>
      <w:r w:rsidRPr="00DD20AB">
        <w:rPr>
          <w:sz w:val="16"/>
        </w:rPr>
        <w:t>agriculture, forestry and fishing (up 7.3%)</w:t>
      </w:r>
    </w:p>
    <w:p w14:paraId="70D828A7" w14:textId="09E86226" w:rsidR="00F361CB" w:rsidRPr="00DD20AB" w:rsidRDefault="00F361CB" w:rsidP="008B0834">
      <w:pPr>
        <w:pStyle w:val="BodyText"/>
        <w:numPr>
          <w:ilvl w:val="1"/>
          <w:numId w:val="10"/>
        </w:numPr>
        <w:spacing w:after="0"/>
        <w:ind w:left="851" w:hanging="284"/>
        <w:jc w:val="both"/>
        <w:rPr>
          <w:sz w:val="16"/>
        </w:rPr>
      </w:pPr>
      <w:r w:rsidRPr="00DD20AB">
        <w:rPr>
          <w:sz w:val="16"/>
        </w:rPr>
        <w:t>ownership of dwellings (up 3.2%).</w:t>
      </w:r>
    </w:p>
    <w:p w14:paraId="0E8CF15A" w14:textId="5A32CB3B" w:rsidR="00940EEA" w:rsidRPr="00DD20AB" w:rsidRDefault="00B92D00" w:rsidP="008D7650">
      <w:pPr>
        <w:pStyle w:val="BodyText"/>
        <w:numPr>
          <w:ilvl w:val="0"/>
          <w:numId w:val="9"/>
        </w:numPr>
        <w:spacing w:after="0"/>
        <w:jc w:val="both"/>
        <w:rPr>
          <w:sz w:val="16"/>
        </w:rPr>
      </w:pPr>
      <w:r w:rsidRPr="00DD20AB">
        <w:rPr>
          <w:sz w:val="16"/>
        </w:rPr>
        <w:t>Higher o</w:t>
      </w:r>
      <w:r w:rsidR="00940EEA" w:rsidRPr="00DD20AB">
        <w:rPr>
          <w:sz w:val="16"/>
        </w:rPr>
        <w:t xml:space="preserve">utput from the mining industry in 2022-23 </w:t>
      </w:r>
      <w:r w:rsidRPr="00DD20AB">
        <w:rPr>
          <w:sz w:val="16"/>
        </w:rPr>
        <w:t xml:space="preserve">was </w:t>
      </w:r>
      <w:r w:rsidR="00940EEA" w:rsidRPr="00DD20AB">
        <w:rPr>
          <w:sz w:val="16"/>
        </w:rPr>
        <w:t xml:space="preserve">due to </w:t>
      </w:r>
      <w:r w:rsidR="002C69A2" w:rsidRPr="00DD20AB">
        <w:rPr>
          <w:sz w:val="16"/>
        </w:rPr>
        <w:t>increased</w:t>
      </w:r>
      <w:r w:rsidR="00940EEA" w:rsidRPr="00DD20AB">
        <w:rPr>
          <w:sz w:val="16"/>
        </w:rPr>
        <w:t xml:space="preserve"> </w:t>
      </w:r>
      <w:r w:rsidR="002C69A2" w:rsidRPr="00DD20AB">
        <w:rPr>
          <w:sz w:val="16"/>
        </w:rPr>
        <w:t>capacit</w:t>
      </w:r>
      <w:r w:rsidRPr="00DD20AB">
        <w:rPr>
          <w:sz w:val="16"/>
        </w:rPr>
        <w:t>y</w:t>
      </w:r>
      <w:r w:rsidR="00940EEA" w:rsidRPr="00DD20AB">
        <w:rPr>
          <w:sz w:val="16"/>
        </w:rPr>
        <w:t xml:space="preserve"> in iron ore and other minerals</w:t>
      </w:r>
      <w:r w:rsidRPr="00DD20AB">
        <w:rPr>
          <w:sz w:val="16"/>
        </w:rPr>
        <w:t>,</w:t>
      </w:r>
      <w:r w:rsidR="00940EEA" w:rsidRPr="00DD20AB">
        <w:rPr>
          <w:sz w:val="16"/>
        </w:rPr>
        <w:t xml:space="preserve"> including lithium</w:t>
      </w:r>
      <w:r w:rsidR="002C69A2" w:rsidRPr="00DD20AB">
        <w:rPr>
          <w:sz w:val="16"/>
        </w:rPr>
        <w:t>.</w:t>
      </w:r>
    </w:p>
    <w:p w14:paraId="0A98EA25" w14:textId="184ABE7E" w:rsidR="008B0834" w:rsidRPr="00DD20AB" w:rsidRDefault="008D7650" w:rsidP="008D7650">
      <w:pPr>
        <w:pStyle w:val="BodyText"/>
        <w:numPr>
          <w:ilvl w:val="0"/>
          <w:numId w:val="9"/>
        </w:numPr>
        <w:spacing w:after="0"/>
        <w:jc w:val="both"/>
        <w:rPr>
          <w:sz w:val="16"/>
        </w:rPr>
      </w:pPr>
      <w:r w:rsidRPr="00DD20AB">
        <w:rPr>
          <w:sz w:val="16"/>
        </w:rPr>
        <w:t>R</w:t>
      </w:r>
      <w:r w:rsidR="00DC0512" w:rsidRPr="00DD20AB">
        <w:rPr>
          <w:sz w:val="16"/>
        </w:rPr>
        <w:t>etail trade</w:t>
      </w:r>
      <w:r w:rsidRPr="00DD20AB">
        <w:rPr>
          <w:sz w:val="16"/>
        </w:rPr>
        <w:t xml:space="preserve"> (down 0.8%) was the only industry to detract from </w:t>
      </w:r>
      <w:r w:rsidR="008B0834" w:rsidRPr="00DD20AB">
        <w:rPr>
          <w:sz w:val="16"/>
        </w:rPr>
        <w:t>Western Australia’s real GSP growth in 202</w:t>
      </w:r>
      <w:r w:rsidR="00114F27" w:rsidRPr="00DD20AB">
        <w:rPr>
          <w:sz w:val="16"/>
        </w:rPr>
        <w:t>2</w:t>
      </w:r>
      <w:r w:rsidR="008B0834" w:rsidRPr="00DD20AB">
        <w:rPr>
          <w:sz w:val="16"/>
        </w:rPr>
        <w:noBreakHyphen/>
        <w:t>2</w:t>
      </w:r>
      <w:r w:rsidR="00114F27" w:rsidRPr="00DD20AB">
        <w:rPr>
          <w:sz w:val="16"/>
        </w:rPr>
        <w:t>3</w:t>
      </w:r>
      <w:r w:rsidR="002C69A2" w:rsidRPr="00DD20AB">
        <w:rPr>
          <w:sz w:val="16"/>
        </w:rPr>
        <w:t>, with household spending on discretionary goods such as furnishings and household equipment falling from elevated levels.</w:t>
      </w:r>
    </w:p>
    <w:p w14:paraId="275B475D" w14:textId="77777777" w:rsidR="008B0834" w:rsidRDefault="008B0834" w:rsidP="008B0834">
      <w:pPr>
        <w:jc w:val="both"/>
        <w:rPr>
          <w:sz w:val="16"/>
        </w:rPr>
      </w:pPr>
      <w:r>
        <w:rPr>
          <w:sz w:val="16"/>
        </w:rPr>
        <w:br w:type="page"/>
      </w:r>
    </w:p>
    <w:p w14:paraId="73CD7DEB" w14:textId="77777777" w:rsidR="008B0834" w:rsidRPr="00DD5DF4" w:rsidRDefault="008B0834" w:rsidP="008B0834">
      <w:pPr>
        <w:spacing w:after="0"/>
        <w:jc w:val="both"/>
        <w:rPr>
          <w:b/>
          <w:color w:val="002060"/>
          <w:sz w:val="22"/>
        </w:rPr>
      </w:pPr>
      <w:r w:rsidRPr="00DD5DF4">
        <w:rPr>
          <w:b/>
          <w:color w:val="002060"/>
          <w:sz w:val="22"/>
        </w:rPr>
        <w:lastRenderedPageBreak/>
        <w:t>The Economy</w:t>
      </w:r>
    </w:p>
    <w:p w14:paraId="2D6496FC"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Expenditure on Western Australia’s GSP</w:t>
      </w:r>
      <w:r w:rsidRPr="00020369">
        <w:rPr>
          <w:b/>
          <w:color w:val="92278F" w:themeColor="accent1"/>
          <w:sz w:val="20"/>
          <w:vertAlign w:val="superscript"/>
        </w:rPr>
        <w:t>1</w:t>
      </w:r>
    </w:p>
    <w:p w14:paraId="070109B5" w14:textId="43A52924" w:rsidR="008B0834" w:rsidRDefault="002D6B43" w:rsidP="008B0834">
      <w:pPr>
        <w:spacing w:after="0"/>
        <w:jc w:val="both"/>
        <w:rPr>
          <w:sz w:val="16"/>
        </w:rPr>
      </w:pPr>
      <w:r>
        <w:rPr>
          <w:noProof/>
          <w:sz w:val="16"/>
        </w:rPr>
        <w:drawing>
          <wp:inline distT="0" distB="0" distL="0" distR="0" wp14:anchorId="106BE101" wp14:editId="381D47FF">
            <wp:extent cx="3354980" cy="20002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57353" cy="2001665"/>
                    </a:xfrm>
                    <a:prstGeom prst="rect">
                      <a:avLst/>
                    </a:prstGeom>
                    <a:noFill/>
                    <a:ln>
                      <a:noFill/>
                    </a:ln>
                  </pic:spPr>
                </pic:pic>
              </a:graphicData>
            </a:graphic>
          </wp:inline>
        </w:drawing>
      </w:r>
    </w:p>
    <w:p w14:paraId="4DDE1528" w14:textId="5CDD4DF5" w:rsidR="008B0834" w:rsidRPr="00D93280" w:rsidRDefault="008B0834" w:rsidP="008B0834">
      <w:pPr>
        <w:spacing w:after="0"/>
        <w:jc w:val="both"/>
        <w:rPr>
          <w:sz w:val="10"/>
        </w:rPr>
      </w:pPr>
      <w:r w:rsidRPr="0034763D">
        <w:rPr>
          <w:sz w:val="10"/>
          <w:vertAlign w:val="superscript"/>
        </w:rPr>
        <w:t>1</w:t>
      </w:r>
      <w:r w:rsidRPr="0034763D">
        <w:rPr>
          <w:sz w:val="10"/>
        </w:rPr>
        <w:t xml:space="preserve"> </w:t>
      </w:r>
      <w:r w:rsidRPr="00D93280">
        <w:rPr>
          <w:sz w:val="10"/>
        </w:rPr>
        <w:t xml:space="preserve">Nominal or not adjusted for price changes. Original series. (a) General government final consumption expenditure and public gross fixed capital formation. (b) Includes ownership transfer costs. </w:t>
      </w:r>
      <w:r w:rsidR="002D6B43" w:rsidRPr="00D93280">
        <w:rPr>
          <w:sz w:val="10"/>
        </w:rPr>
        <w:t>(</w:t>
      </w:r>
      <w:r w:rsidR="002D6B43">
        <w:rPr>
          <w:sz w:val="10"/>
        </w:rPr>
        <w:t>c</w:t>
      </w:r>
      <w:r w:rsidR="002D6B43" w:rsidRPr="00D93280">
        <w:rPr>
          <w:sz w:val="10"/>
        </w:rPr>
        <w:t xml:space="preserve">) Implicitly comprises net interstate trade in goods and services, changes in inventories, miscellaneous items and a balancing item that equates the sum of GSP across the states and territories to Australia’s GDP. </w:t>
      </w:r>
      <w:r w:rsidRPr="00D93280">
        <w:rPr>
          <w:sz w:val="10"/>
        </w:rPr>
        <w:t>(</w:t>
      </w:r>
      <w:r w:rsidR="002D6B43">
        <w:rPr>
          <w:sz w:val="10"/>
        </w:rPr>
        <w:t>d</w:t>
      </w:r>
      <w:r w:rsidRPr="00D93280">
        <w:rPr>
          <w:sz w:val="10"/>
        </w:rPr>
        <w:t xml:space="preserve">) </w:t>
      </w:r>
      <w:r>
        <w:rPr>
          <w:sz w:val="10"/>
        </w:rPr>
        <w:t>International imports of goods and services</w:t>
      </w:r>
      <w:r w:rsidRPr="00C45D8E">
        <w:rPr>
          <w:sz w:val="10"/>
        </w:rPr>
        <w:t>.</w:t>
      </w:r>
    </w:p>
    <w:p w14:paraId="5BDE8668" w14:textId="77777777" w:rsidR="008B0834" w:rsidRPr="000709E1" w:rsidRDefault="008B0834" w:rsidP="008B0834">
      <w:pPr>
        <w:pStyle w:val="BodyText"/>
        <w:spacing w:after="0"/>
        <w:jc w:val="both"/>
        <w:rPr>
          <w:sz w:val="10"/>
        </w:rPr>
      </w:pPr>
      <w:r>
        <w:rPr>
          <w:sz w:val="10"/>
        </w:rPr>
        <w:t xml:space="preserve">Source: </w:t>
      </w:r>
      <w:r w:rsidRPr="008711E1">
        <w:rPr>
          <w:sz w:val="10"/>
        </w:rPr>
        <w:t xml:space="preserve">Based on data from ABS </w:t>
      </w:r>
      <w:r w:rsidRPr="00A441A2">
        <w:rPr>
          <w:sz w:val="10"/>
        </w:rPr>
        <w:t>5</w:t>
      </w:r>
      <w:r>
        <w:rPr>
          <w:sz w:val="10"/>
        </w:rPr>
        <w:t>220.0 Australian National Accounts: State Accounts (Annual</w:t>
      </w:r>
      <w:r w:rsidRPr="004E78EB">
        <w:rPr>
          <w:sz w:val="10"/>
        </w:rPr>
        <w:t>).</w:t>
      </w:r>
    </w:p>
    <w:p w14:paraId="02D72CAF" w14:textId="77777777" w:rsidR="008B0834" w:rsidRDefault="008B0834" w:rsidP="008B0834">
      <w:pPr>
        <w:spacing w:after="0"/>
        <w:jc w:val="both"/>
        <w:rPr>
          <w:sz w:val="16"/>
        </w:rPr>
      </w:pPr>
      <w:r>
        <w:rPr>
          <w:sz w:val="16"/>
        </w:rPr>
        <w:br w:type="column"/>
      </w:r>
    </w:p>
    <w:p w14:paraId="13D9F471" w14:textId="77777777" w:rsidR="008B0834" w:rsidRDefault="008B0834" w:rsidP="008B0834">
      <w:pPr>
        <w:spacing w:after="0"/>
        <w:jc w:val="both"/>
        <w:rPr>
          <w:sz w:val="16"/>
        </w:rPr>
      </w:pPr>
    </w:p>
    <w:p w14:paraId="2B8355BE" w14:textId="5CBB75D1" w:rsidR="008B0834" w:rsidRPr="00DD20AB" w:rsidRDefault="008B0834" w:rsidP="008B0834">
      <w:pPr>
        <w:pStyle w:val="BodyText"/>
        <w:numPr>
          <w:ilvl w:val="0"/>
          <w:numId w:val="9"/>
        </w:numPr>
        <w:spacing w:after="0"/>
        <w:jc w:val="both"/>
        <w:rPr>
          <w:sz w:val="16"/>
        </w:rPr>
      </w:pPr>
      <w:r w:rsidRPr="00DD20AB">
        <w:rPr>
          <w:sz w:val="16"/>
        </w:rPr>
        <w:t>International goods exports accounted for 6</w:t>
      </w:r>
      <w:r w:rsidR="00D55C02" w:rsidRPr="00DD20AB">
        <w:rPr>
          <w:sz w:val="16"/>
        </w:rPr>
        <w:t>2</w:t>
      </w:r>
      <w:r w:rsidRPr="00DD20AB">
        <w:rPr>
          <w:sz w:val="16"/>
        </w:rPr>
        <w:t>% ($2</w:t>
      </w:r>
      <w:r w:rsidR="00D55C02" w:rsidRPr="00DD20AB">
        <w:rPr>
          <w:sz w:val="16"/>
        </w:rPr>
        <w:t>75.1</w:t>
      </w:r>
      <w:r w:rsidRPr="00DD20AB">
        <w:rPr>
          <w:sz w:val="16"/>
        </w:rPr>
        <w:t> billion) of Western Australia’s GSP in 202</w:t>
      </w:r>
      <w:r w:rsidR="00D55C02" w:rsidRPr="00DD20AB">
        <w:rPr>
          <w:sz w:val="16"/>
        </w:rPr>
        <w:t>2</w:t>
      </w:r>
      <w:r w:rsidRPr="00DD20AB">
        <w:rPr>
          <w:sz w:val="16"/>
        </w:rPr>
        <w:noBreakHyphen/>
        <w:t>2</w:t>
      </w:r>
      <w:r w:rsidR="00D55C02" w:rsidRPr="00DD20AB">
        <w:rPr>
          <w:sz w:val="16"/>
        </w:rPr>
        <w:t>3</w:t>
      </w:r>
      <w:r w:rsidRPr="00DD20AB">
        <w:rPr>
          <w:sz w:val="16"/>
        </w:rPr>
        <w:t>, followed by:</w:t>
      </w:r>
    </w:p>
    <w:p w14:paraId="687D1776" w14:textId="19C98AC0" w:rsidR="008B0834" w:rsidRPr="00DD20AB" w:rsidRDefault="008B0834" w:rsidP="008B0834">
      <w:pPr>
        <w:pStyle w:val="BodyText"/>
        <w:numPr>
          <w:ilvl w:val="1"/>
          <w:numId w:val="10"/>
        </w:numPr>
        <w:spacing w:after="0"/>
        <w:ind w:left="851" w:hanging="284"/>
        <w:jc w:val="both"/>
        <w:rPr>
          <w:sz w:val="16"/>
        </w:rPr>
      </w:pPr>
      <w:r w:rsidRPr="00DD20AB">
        <w:rPr>
          <w:sz w:val="16"/>
        </w:rPr>
        <w:t>household consumption (30% or $</w:t>
      </w:r>
      <w:r w:rsidR="00D55C02" w:rsidRPr="00DD20AB">
        <w:rPr>
          <w:sz w:val="16"/>
        </w:rPr>
        <w:t>135.3</w:t>
      </w:r>
      <w:r w:rsidRPr="00DD20AB">
        <w:rPr>
          <w:sz w:val="16"/>
        </w:rPr>
        <w:t> billion)</w:t>
      </w:r>
    </w:p>
    <w:p w14:paraId="21FA07F9" w14:textId="2181C055" w:rsidR="008B0834" w:rsidRPr="00DD20AB" w:rsidRDefault="008B0834" w:rsidP="008B0834">
      <w:pPr>
        <w:pStyle w:val="BodyText"/>
        <w:numPr>
          <w:ilvl w:val="1"/>
          <w:numId w:val="10"/>
        </w:numPr>
        <w:spacing w:after="0"/>
        <w:ind w:left="851" w:hanging="284"/>
        <w:jc w:val="both"/>
        <w:rPr>
          <w:sz w:val="16"/>
        </w:rPr>
      </w:pPr>
      <w:r w:rsidRPr="00DD20AB">
        <w:rPr>
          <w:sz w:val="16"/>
        </w:rPr>
        <w:t>public final demand (16% or $</w:t>
      </w:r>
      <w:r w:rsidR="00D55C02" w:rsidRPr="00DD20AB">
        <w:rPr>
          <w:sz w:val="16"/>
        </w:rPr>
        <w:t>71.1</w:t>
      </w:r>
      <w:r w:rsidRPr="00DD20AB">
        <w:rPr>
          <w:sz w:val="16"/>
        </w:rPr>
        <w:t>billion)</w:t>
      </w:r>
    </w:p>
    <w:p w14:paraId="1010A9D6" w14:textId="7059C374" w:rsidR="008B0834" w:rsidRPr="00DD20AB" w:rsidRDefault="008B0834" w:rsidP="008B0834">
      <w:pPr>
        <w:pStyle w:val="BodyText"/>
        <w:numPr>
          <w:ilvl w:val="1"/>
          <w:numId w:val="10"/>
        </w:numPr>
        <w:spacing w:after="0"/>
        <w:ind w:left="851" w:hanging="284"/>
        <w:jc w:val="both"/>
        <w:rPr>
          <w:sz w:val="16"/>
        </w:rPr>
      </w:pPr>
      <w:r w:rsidRPr="00DD20AB">
        <w:rPr>
          <w:sz w:val="16"/>
        </w:rPr>
        <w:t>business investment (12% or $</w:t>
      </w:r>
      <w:r w:rsidR="00D55C02" w:rsidRPr="00DD20AB">
        <w:rPr>
          <w:sz w:val="16"/>
        </w:rPr>
        <w:t>53.4</w:t>
      </w:r>
      <w:r w:rsidRPr="00DD20AB">
        <w:rPr>
          <w:sz w:val="16"/>
        </w:rPr>
        <w:t> billion)</w:t>
      </w:r>
    </w:p>
    <w:p w14:paraId="6A502A11" w14:textId="70DE6E2D" w:rsidR="008B0834" w:rsidRPr="00DD20AB" w:rsidRDefault="008B0834" w:rsidP="008B0834">
      <w:pPr>
        <w:pStyle w:val="BodyText"/>
        <w:numPr>
          <w:ilvl w:val="1"/>
          <w:numId w:val="10"/>
        </w:numPr>
        <w:spacing w:after="0"/>
        <w:ind w:left="851" w:hanging="284"/>
        <w:jc w:val="both"/>
        <w:rPr>
          <w:sz w:val="16"/>
        </w:rPr>
      </w:pPr>
      <w:r w:rsidRPr="00DD20AB">
        <w:rPr>
          <w:sz w:val="16"/>
        </w:rPr>
        <w:t>dwelling investment and ownership transfer costs (3% or $1</w:t>
      </w:r>
      <w:r w:rsidR="00D55C02" w:rsidRPr="00DD20AB">
        <w:rPr>
          <w:sz w:val="16"/>
        </w:rPr>
        <w:t>4</w:t>
      </w:r>
      <w:r w:rsidRPr="00DD20AB">
        <w:rPr>
          <w:sz w:val="16"/>
        </w:rPr>
        <w:t>.8 billion)</w:t>
      </w:r>
    </w:p>
    <w:p w14:paraId="206AB847" w14:textId="3CE25EB4" w:rsidR="008B0834" w:rsidRPr="00DD20AB" w:rsidRDefault="008B0834" w:rsidP="008B0834">
      <w:pPr>
        <w:pStyle w:val="BodyText"/>
        <w:numPr>
          <w:ilvl w:val="1"/>
          <w:numId w:val="10"/>
        </w:numPr>
        <w:spacing w:after="0"/>
        <w:ind w:left="851" w:hanging="284"/>
        <w:jc w:val="both"/>
        <w:rPr>
          <w:sz w:val="16"/>
        </w:rPr>
      </w:pPr>
      <w:r w:rsidRPr="00DD20AB">
        <w:rPr>
          <w:sz w:val="16"/>
        </w:rPr>
        <w:t>international services exports (1% or $</w:t>
      </w:r>
      <w:r w:rsidR="00D55C02" w:rsidRPr="00DD20AB">
        <w:rPr>
          <w:sz w:val="16"/>
        </w:rPr>
        <w:t>6.4</w:t>
      </w:r>
      <w:r w:rsidRPr="00DD20AB">
        <w:rPr>
          <w:sz w:val="16"/>
        </w:rPr>
        <w:t> billion).</w:t>
      </w:r>
    </w:p>
    <w:p w14:paraId="392C3710" w14:textId="5F6FE893" w:rsidR="008B0834" w:rsidRPr="00DD20AB" w:rsidRDefault="008B0834" w:rsidP="008B0834">
      <w:pPr>
        <w:pStyle w:val="BodyText"/>
        <w:numPr>
          <w:ilvl w:val="0"/>
          <w:numId w:val="9"/>
        </w:numPr>
        <w:spacing w:after="0"/>
        <w:jc w:val="both"/>
        <w:rPr>
          <w:sz w:val="16"/>
        </w:rPr>
      </w:pPr>
      <w:r w:rsidRPr="00DD20AB">
        <w:rPr>
          <w:sz w:val="16"/>
        </w:rPr>
        <w:t>Imports of goods and services detract from Western Australia’s GSP because it is expenditure on goods and services produced outside of the State’s economy. International imports of goods and services detracted $</w:t>
      </w:r>
      <w:r w:rsidR="00434161" w:rsidRPr="00DD20AB">
        <w:rPr>
          <w:sz w:val="16"/>
        </w:rPr>
        <w:t>62.4</w:t>
      </w:r>
      <w:r w:rsidRPr="00DD20AB">
        <w:rPr>
          <w:sz w:val="16"/>
        </w:rPr>
        <w:t> billion (1</w:t>
      </w:r>
      <w:r w:rsidR="00434161" w:rsidRPr="00DD20AB">
        <w:rPr>
          <w:sz w:val="16"/>
        </w:rPr>
        <w:t>4</w:t>
      </w:r>
      <w:r w:rsidRPr="00DD20AB">
        <w:rPr>
          <w:sz w:val="16"/>
        </w:rPr>
        <w:t>%) from Western Australia’s GSP in 202</w:t>
      </w:r>
      <w:r w:rsidR="00434161" w:rsidRPr="00DD20AB">
        <w:rPr>
          <w:sz w:val="16"/>
        </w:rPr>
        <w:t>2</w:t>
      </w:r>
      <w:r w:rsidRPr="00DD20AB">
        <w:rPr>
          <w:sz w:val="16"/>
        </w:rPr>
        <w:noBreakHyphen/>
        <w:t>2</w:t>
      </w:r>
      <w:r w:rsidR="00434161" w:rsidRPr="00DD20AB">
        <w:rPr>
          <w:sz w:val="16"/>
        </w:rPr>
        <w:t>3</w:t>
      </w:r>
      <w:r w:rsidRPr="00DD20AB">
        <w:rPr>
          <w:sz w:val="16"/>
        </w:rPr>
        <w:t>.</w:t>
      </w:r>
    </w:p>
    <w:p w14:paraId="70492E49" w14:textId="7141A0A1" w:rsidR="008B0834" w:rsidRPr="00DD20AB" w:rsidRDefault="008B0834" w:rsidP="008B0834">
      <w:pPr>
        <w:pStyle w:val="BodyText"/>
        <w:numPr>
          <w:ilvl w:val="0"/>
          <w:numId w:val="9"/>
        </w:numPr>
        <w:spacing w:after="0"/>
        <w:jc w:val="both"/>
        <w:rPr>
          <w:sz w:val="16"/>
        </w:rPr>
      </w:pPr>
      <w:r w:rsidRPr="00DD20AB">
        <w:rPr>
          <w:sz w:val="16"/>
        </w:rPr>
        <w:t>The Other</w:t>
      </w:r>
      <w:r w:rsidRPr="00DD20AB">
        <w:rPr>
          <w:sz w:val="16"/>
          <w:vertAlign w:val="superscript"/>
        </w:rPr>
        <w:t>(</w:t>
      </w:r>
      <w:r w:rsidR="002D6B43" w:rsidRPr="00DD20AB">
        <w:rPr>
          <w:sz w:val="16"/>
          <w:vertAlign w:val="superscript"/>
        </w:rPr>
        <w:t>c</w:t>
      </w:r>
      <w:r w:rsidRPr="00DD20AB">
        <w:rPr>
          <w:sz w:val="16"/>
          <w:vertAlign w:val="superscript"/>
        </w:rPr>
        <w:t>)</w:t>
      </w:r>
      <w:r w:rsidRPr="00DD20AB">
        <w:rPr>
          <w:sz w:val="16"/>
        </w:rPr>
        <w:t xml:space="preserve"> category detracted $4</w:t>
      </w:r>
      <w:r w:rsidR="00434161" w:rsidRPr="00DD20AB">
        <w:rPr>
          <w:sz w:val="16"/>
        </w:rPr>
        <w:t>8.3</w:t>
      </w:r>
      <w:r w:rsidRPr="00DD20AB">
        <w:rPr>
          <w:sz w:val="16"/>
        </w:rPr>
        <w:t> billion (1</w:t>
      </w:r>
      <w:r w:rsidR="00434161" w:rsidRPr="00DD20AB">
        <w:rPr>
          <w:sz w:val="16"/>
        </w:rPr>
        <w:t>1</w:t>
      </w:r>
      <w:r w:rsidRPr="00DD20AB">
        <w:rPr>
          <w:sz w:val="16"/>
        </w:rPr>
        <w:t>%) from Western Australia’s GSP in 202</w:t>
      </w:r>
      <w:r w:rsidR="00434161" w:rsidRPr="00DD20AB">
        <w:rPr>
          <w:sz w:val="16"/>
        </w:rPr>
        <w:t>2</w:t>
      </w:r>
      <w:r w:rsidRPr="00DD20AB">
        <w:rPr>
          <w:sz w:val="16"/>
        </w:rPr>
        <w:t>-2</w:t>
      </w:r>
      <w:r w:rsidR="00434161" w:rsidRPr="00DD20AB">
        <w:rPr>
          <w:sz w:val="16"/>
        </w:rPr>
        <w:t>3</w:t>
      </w:r>
      <w:r w:rsidRPr="00DD20AB">
        <w:rPr>
          <w:sz w:val="16"/>
        </w:rPr>
        <w:t>. Western Australia generally has a negative value for this category because of its interstate trade deficit.</w:t>
      </w:r>
    </w:p>
    <w:p w14:paraId="42819FAE" w14:textId="77777777" w:rsidR="008B0834" w:rsidRPr="00495588" w:rsidRDefault="008B0834" w:rsidP="008B0834">
      <w:pPr>
        <w:pStyle w:val="BodyText"/>
        <w:spacing w:after="0"/>
        <w:jc w:val="both"/>
        <w:rPr>
          <w:sz w:val="16"/>
        </w:rPr>
        <w:sectPr w:rsidR="008B0834" w:rsidRPr="00495588" w:rsidSect="00F7498D">
          <w:type w:val="continuous"/>
          <w:pgSz w:w="11907" w:h="16840" w:code="9"/>
          <w:pgMar w:top="1701" w:right="720" w:bottom="720" w:left="720" w:header="709" w:footer="709" w:gutter="0"/>
          <w:cols w:num="2" w:space="284" w:equalWidth="0">
            <w:col w:w="5647" w:space="284"/>
            <w:col w:w="4536"/>
          </w:cols>
          <w:docGrid w:linePitch="360"/>
        </w:sectPr>
      </w:pPr>
    </w:p>
    <w:p w14:paraId="01D7A51D" w14:textId="77777777" w:rsidR="008B0834" w:rsidRPr="004A7FCA" w:rsidRDefault="008B0834" w:rsidP="008B0834">
      <w:pPr>
        <w:pStyle w:val="BodyText"/>
        <w:spacing w:after="0"/>
        <w:jc w:val="both"/>
        <w:rPr>
          <w:sz w:val="16"/>
        </w:rPr>
      </w:pPr>
    </w:p>
    <w:p w14:paraId="48E60747" w14:textId="7F0B8A78" w:rsidR="008B0834" w:rsidRPr="00020369" w:rsidRDefault="008B0834" w:rsidP="008B0834">
      <w:pPr>
        <w:pStyle w:val="BodyText"/>
        <w:spacing w:after="0"/>
        <w:rPr>
          <w:b/>
          <w:color w:val="92278F" w:themeColor="accent1"/>
          <w:sz w:val="20"/>
        </w:rPr>
      </w:pPr>
      <w:r w:rsidRPr="00020369">
        <w:rPr>
          <w:b/>
          <w:color w:val="92278F" w:themeColor="accent1"/>
          <w:sz w:val="20"/>
        </w:rPr>
        <w:t>Expenditure contribution to change</w:t>
      </w:r>
      <w:r w:rsidRPr="00020369">
        <w:rPr>
          <w:b/>
          <w:color w:val="92278F" w:themeColor="accent1"/>
          <w:sz w:val="20"/>
          <w:vertAlign w:val="superscript"/>
        </w:rPr>
        <w:t>1</w:t>
      </w:r>
      <w:r w:rsidRPr="00020369">
        <w:rPr>
          <w:b/>
          <w:color w:val="92278F" w:themeColor="accent1"/>
          <w:sz w:val="20"/>
        </w:rPr>
        <w:t xml:space="preserve"> </w:t>
      </w:r>
      <w:r>
        <w:rPr>
          <w:b/>
          <w:color w:val="92278F" w:themeColor="accent1"/>
          <w:sz w:val="20"/>
        </w:rPr>
        <w:t xml:space="preserve">in Western Australia’s GSP: </w:t>
      </w:r>
      <w:r w:rsidRPr="00DD20AB">
        <w:rPr>
          <w:b/>
          <w:color w:val="92278F" w:themeColor="accent1"/>
          <w:sz w:val="20"/>
        </w:rPr>
        <w:t>202</w:t>
      </w:r>
      <w:r w:rsidR="004918F4" w:rsidRPr="00DD20AB">
        <w:rPr>
          <w:b/>
          <w:color w:val="92278F" w:themeColor="accent1"/>
          <w:sz w:val="20"/>
        </w:rPr>
        <w:t>2</w:t>
      </w:r>
      <w:r w:rsidRPr="00DD20AB">
        <w:rPr>
          <w:b/>
          <w:color w:val="92278F" w:themeColor="accent1"/>
          <w:sz w:val="20"/>
        </w:rPr>
        <w:noBreakHyphen/>
        <w:t>2</w:t>
      </w:r>
      <w:r w:rsidR="004918F4" w:rsidRPr="00DD20AB">
        <w:rPr>
          <w:b/>
          <w:color w:val="92278F" w:themeColor="accent1"/>
          <w:sz w:val="20"/>
        </w:rPr>
        <w:t>3</w:t>
      </w:r>
    </w:p>
    <w:p w14:paraId="3BB1FC0C" w14:textId="31F77E7A" w:rsidR="008B0834" w:rsidRDefault="002D6B43" w:rsidP="008B0834">
      <w:pPr>
        <w:pStyle w:val="BodyText"/>
        <w:spacing w:after="0"/>
        <w:jc w:val="both"/>
        <w:rPr>
          <w:sz w:val="16"/>
        </w:rPr>
      </w:pPr>
      <w:r>
        <w:rPr>
          <w:noProof/>
          <w:sz w:val="16"/>
        </w:rPr>
        <w:drawing>
          <wp:inline distT="0" distB="0" distL="0" distR="0" wp14:anchorId="4C227CA5" wp14:editId="0363AEF7">
            <wp:extent cx="3418885" cy="20383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2053" cy="2040239"/>
                    </a:xfrm>
                    <a:prstGeom prst="rect">
                      <a:avLst/>
                    </a:prstGeom>
                    <a:noFill/>
                    <a:ln>
                      <a:noFill/>
                    </a:ln>
                  </pic:spPr>
                </pic:pic>
              </a:graphicData>
            </a:graphic>
          </wp:inline>
        </w:drawing>
      </w:r>
    </w:p>
    <w:p w14:paraId="361F2D41" w14:textId="22A2921D" w:rsidR="008B0834" w:rsidRPr="004E78EB" w:rsidRDefault="008B0834" w:rsidP="008B0834">
      <w:pPr>
        <w:spacing w:after="0"/>
        <w:jc w:val="both"/>
        <w:rPr>
          <w:sz w:val="10"/>
        </w:rPr>
      </w:pPr>
      <w:r w:rsidRPr="00C110AE">
        <w:rPr>
          <w:sz w:val="10"/>
          <w:vertAlign w:val="superscript"/>
        </w:rPr>
        <w:t>1</w:t>
      </w:r>
      <w:r w:rsidRPr="00C110AE">
        <w:rPr>
          <w:sz w:val="10"/>
        </w:rPr>
        <w:t xml:space="preserve"> </w:t>
      </w:r>
      <w:r>
        <w:rPr>
          <w:sz w:val="10"/>
        </w:rPr>
        <w:t>Real or adjusted for price changes</w:t>
      </w:r>
      <w:r w:rsidRPr="00C110AE">
        <w:rPr>
          <w:sz w:val="10"/>
        </w:rPr>
        <w:t xml:space="preserve">. </w:t>
      </w:r>
      <w:r>
        <w:rPr>
          <w:sz w:val="10"/>
        </w:rPr>
        <w:t>Original series. pp = percentage point</w:t>
      </w:r>
      <w:r w:rsidRPr="00873AA6">
        <w:rPr>
          <w:sz w:val="10"/>
        </w:rPr>
        <w:t>.</w:t>
      </w:r>
      <w:r>
        <w:rPr>
          <w:sz w:val="10"/>
        </w:rPr>
        <w:t xml:space="preserve"> </w:t>
      </w:r>
      <w:r w:rsidR="002D6B43">
        <w:rPr>
          <w:sz w:val="10"/>
        </w:rPr>
        <w:t xml:space="preserve">(a) General government final consumption expenditure and public gross fixed capital formation. </w:t>
      </w:r>
      <w:r w:rsidR="002D6B43" w:rsidRPr="00C45D8E">
        <w:rPr>
          <w:sz w:val="10"/>
        </w:rPr>
        <w:t>(</w:t>
      </w:r>
      <w:r w:rsidR="002D6B43">
        <w:rPr>
          <w:sz w:val="10"/>
        </w:rPr>
        <w:t>b</w:t>
      </w:r>
      <w:r w:rsidR="002D6B43" w:rsidRPr="00C45D8E">
        <w:rPr>
          <w:sz w:val="10"/>
        </w:rPr>
        <w:t>) Includes ownership transfer costs.</w:t>
      </w:r>
      <w:r w:rsidR="002D6B43">
        <w:rPr>
          <w:sz w:val="10"/>
        </w:rPr>
        <w:t xml:space="preserve"> </w:t>
      </w:r>
      <w:r>
        <w:rPr>
          <w:sz w:val="10"/>
        </w:rPr>
        <w:t>(</w:t>
      </w:r>
      <w:r w:rsidR="002D6B43">
        <w:rPr>
          <w:sz w:val="10"/>
        </w:rPr>
        <w:t>c</w:t>
      </w:r>
      <w:r>
        <w:rPr>
          <w:sz w:val="10"/>
        </w:rPr>
        <w:t xml:space="preserve">) </w:t>
      </w:r>
      <w:r w:rsidRPr="00D93280">
        <w:rPr>
          <w:sz w:val="10"/>
        </w:rPr>
        <w:t>Implicitly comprises net interstate trade in goods and services, changes in inventories, miscellaneous items and a balancing item that equates the sum of GSP across the states and territories to Australia’s GDP.</w:t>
      </w:r>
      <w:r>
        <w:rPr>
          <w:sz w:val="10"/>
        </w:rPr>
        <w:t xml:space="preserve"> </w:t>
      </w:r>
      <w:r w:rsidRPr="00C45D8E">
        <w:rPr>
          <w:sz w:val="10"/>
        </w:rPr>
        <w:t>(d)</w:t>
      </w:r>
      <w:r>
        <w:rPr>
          <w:sz w:val="10"/>
        </w:rPr>
        <w:t xml:space="preserve"> International imports of goods and services</w:t>
      </w:r>
      <w:r w:rsidRPr="00C45D8E">
        <w:rPr>
          <w:sz w:val="10"/>
        </w:rPr>
        <w:t>.</w:t>
      </w:r>
    </w:p>
    <w:p w14:paraId="6517E8BC" w14:textId="77777777" w:rsidR="008B0834" w:rsidRPr="004E78EB" w:rsidRDefault="008B0834" w:rsidP="008B0834">
      <w:pPr>
        <w:spacing w:after="0"/>
        <w:jc w:val="both"/>
        <w:rPr>
          <w:sz w:val="16"/>
        </w:rPr>
      </w:pPr>
      <w:r>
        <w:rPr>
          <w:sz w:val="10"/>
        </w:rPr>
        <w:t xml:space="preserve">Source: </w:t>
      </w:r>
      <w:r w:rsidRPr="008711E1">
        <w:rPr>
          <w:sz w:val="10"/>
        </w:rPr>
        <w:t xml:space="preserve">Based on data from ABS </w:t>
      </w:r>
      <w:r w:rsidRPr="00A441A2">
        <w:rPr>
          <w:sz w:val="10"/>
        </w:rPr>
        <w:t>5</w:t>
      </w:r>
      <w:r>
        <w:rPr>
          <w:sz w:val="10"/>
        </w:rPr>
        <w:t>220.0 Australian National Accounts: State Accounts (Annual</w:t>
      </w:r>
      <w:r w:rsidRPr="004E78EB">
        <w:rPr>
          <w:sz w:val="10"/>
        </w:rPr>
        <w:t>).</w:t>
      </w:r>
    </w:p>
    <w:p w14:paraId="61485122" w14:textId="77777777" w:rsidR="008B0834" w:rsidRDefault="008B0834" w:rsidP="008B0834">
      <w:pPr>
        <w:pStyle w:val="BodyText"/>
        <w:spacing w:after="0"/>
        <w:jc w:val="both"/>
        <w:rPr>
          <w:sz w:val="16"/>
        </w:rPr>
      </w:pPr>
      <w:r>
        <w:rPr>
          <w:sz w:val="16"/>
        </w:rPr>
        <w:br w:type="column"/>
      </w:r>
    </w:p>
    <w:p w14:paraId="2E5D6137" w14:textId="77777777" w:rsidR="008B0834" w:rsidRDefault="008B0834" w:rsidP="008B0834">
      <w:pPr>
        <w:pStyle w:val="BodyText"/>
        <w:spacing w:after="0"/>
        <w:jc w:val="both"/>
        <w:rPr>
          <w:sz w:val="16"/>
        </w:rPr>
      </w:pPr>
    </w:p>
    <w:p w14:paraId="4F6748FB" w14:textId="1C5BBEF1" w:rsidR="008B0834" w:rsidRPr="00DD20AB" w:rsidRDefault="00EC76E2" w:rsidP="008B0834">
      <w:pPr>
        <w:pStyle w:val="BodyText"/>
        <w:numPr>
          <w:ilvl w:val="0"/>
          <w:numId w:val="9"/>
        </w:numPr>
        <w:spacing w:after="0"/>
        <w:jc w:val="both"/>
        <w:rPr>
          <w:sz w:val="16"/>
        </w:rPr>
      </w:pPr>
      <w:r w:rsidRPr="00DD20AB">
        <w:rPr>
          <w:sz w:val="16"/>
        </w:rPr>
        <w:t>Goods exports</w:t>
      </w:r>
      <w:r w:rsidR="008B0834" w:rsidRPr="00DD20AB">
        <w:rPr>
          <w:sz w:val="16"/>
        </w:rPr>
        <w:t xml:space="preserve"> (up </w:t>
      </w:r>
      <w:r w:rsidRPr="00DD20AB">
        <w:rPr>
          <w:sz w:val="16"/>
        </w:rPr>
        <w:t>4.8</w:t>
      </w:r>
      <w:r w:rsidR="008B0834" w:rsidRPr="00DD20AB">
        <w:rPr>
          <w:sz w:val="16"/>
        </w:rPr>
        <w:t>%) made the largest contribution to Western Australia’s real GSP growth in 202</w:t>
      </w:r>
      <w:r w:rsidRPr="00DD20AB">
        <w:rPr>
          <w:sz w:val="16"/>
        </w:rPr>
        <w:t>2</w:t>
      </w:r>
      <w:r w:rsidR="008B0834" w:rsidRPr="00DD20AB">
        <w:rPr>
          <w:sz w:val="16"/>
        </w:rPr>
        <w:t>-2</w:t>
      </w:r>
      <w:r w:rsidRPr="00DD20AB">
        <w:rPr>
          <w:sz w:val="16"/>
        </w:rPr>
        <w:t>3</w:t>
      </w:r>
      <w:r w:rsidR="009644EE" w:rsidRPr="00DD20AB">
        <w:rPr>
          <w:sz w:val="16"/>
        </w:rPr>
        <w:t xml:space="preserve"> because of strong overseas demand for </w:t>
      </w:r>
      <w:r w:rsidR="002D6B43" w:rsidRPr="00DD20AB">
        <w:rPr>
          <w:sz w:val="16"/>
        </w:rPr>
        <w:t>Western Australia’s resource commodities</w:t>
      </w:r>
      <w:r w:rsidR="009644EE" w:rsidRPr="00DD20AB">
        <w:rPr>
          <w:sz w:val="16"/>
        </w:rPr>
        <w:t>.</w:t>
      </w:r>
    </w:p>
    <w:p w14:paraId="4867A265" w14:textId="6047CFFF" w:rsidR="008B0834" w:rsidRPr="00DD20AB" w:rsidRDefault="008B0834" w:rsidP="008B0834">
      <w:pPr>
        <w:pStyle w:val="BodyText"/>
        <w:numPr>
          <w:ilvl w:val="0"/>
          <w:numId w:val="9"/>
        </w:numPr>
        <w:spacing w:after="0"/>
        <w:jc w:val="both"/>
        <w:rPr>
          <w:sz w:val="16"/>
        </w:rPr>
      </w:pPr>
      <w:r w:rsidRPr="00DD20AB">
        <w:rPr>
          <w:sz w:val="16"/>
        </w:rPr>
        <w:t>The other contributors to Western Australia’s real G</w:t>
      </w:r>
      <w:r w:rsidR="00623863" w:rsidRPr="00DD20AB">
        <w:rPr>
          <w:sz w:val="16"/>
        </w:rPr>
        <w:t>S</w:t>
      </w:r>
      <w:r w:rsidRPr="00DD20AB">
        <w:rPr>
          <w:sz w:val="16"/>
        </w:rPr>
        <w:t>P growth on an expenditure basis in 202</w:t>
      </w:r>
      <w:r w:rsidR="00EC76E2" w:rsidRPr="00DD20AB">
        <w:rPr>
          <w:sz w:val="16"/>
        </w:rPr>
        <w:t>2</w:t>
      </w:r>
      <w:r w:rsidRPr="00DD20AB">
        <w:rPr>
          <w:sz w:val="16"/>
        </w:rPr>
        <w:noBreakHyphen/>
        <w:t>2</w:t>
      </w:r>
      <w:r w:rsidR="00EC76E2" w:rsidRPr="00DD20AB">
        <w:rPr>
          <w:sz w:val="16"/>
        </w:rPr>
        <w:t>3</w:t>
      </w:r>
      <w:r w:rsidRPr="00DD20AB">
        <w:rPr>
          <w:sz w:val="16"/>
        </w:rPr>
        <w:t xml:space="preserve"> were:</w:t>
      </w:r>
    </w:p>
    <w:p w14:paraId="3059D451" w14:textId="7FCF9E01" w:rsidR="00F7042D" w:rsidRPr="00DD20AB" w:rsidRDefault="00F7042D" w:rsidP="008B0834">
      <w:pPr>
        <w:pStyle w:val="BodyText"/>
        <w:numPr>
          <w:ilvl w:val="1"/>
          <w:numId w:val="10"/>
        </w:numPr>
        <w:spacing w:after="0"/>
        <w:ind w:left="851" w:hanging="284"/>
        <w:jc w:val="both"/>
        <w:rPr>
          <w:sz w:val="16"/>
        </w:rPr>
      </w:pPr>
      <w:r w:rsidRPr="00DD20AB">
        <w:rPr>
          <w:sz w:val="16"/>
        </w:rPr>
        <w:t>household consumption (up 3.6%)</w:t>
      </w:r>
    </w:p>
    <w:p w14:paraId="77B8B83B" w14:textId="3517C7FA" w:rsidR="00F7042D" w:rsidRPr="00DD20AB" w:rsidRDefault="00F7042D" w:rsidP="00F7042D">
      <w:pPr>
        <w:pStyle w:val="BodyText"/>
        <w:numPr>
          <w:ilvl w:val="1"/>
          <w:numId w:val="10"/>
        </w:numPr>
        <w:spacing w:after="0"/>
        <w:ind w:left="851" w:hanging="284"/>
        <w:jc w:val="both"/>
        <w:rPr>
          <w:sz w:val="16"/>
        </w:rPr>
      </w:pPr>
      <w:r w:rsidRPr="00DD20AB">
        <w:rPr>
          <w:sz w:val="16"/>
        </w:rPr>
        <w:t>public final demand (up 5.9%)</w:t>
      </w:r>
    </w:p>
    <w:p w14:paraId="0217E97E" w14:textId="2A00249B" w:rsidR="00F7042D" w:rsidRPr="00DD20AB" w:rsidRDefault="00F7042D" w:rsidP="008B0834">
      <w:pPr>
        <w:pStyle w:val="BodyText"/>
        <w:numPr>
          <w:ilvl w:val="1"/>
          <w:numId w:val="10"/>
        </w:numPr>
        <w:spacing w:after="0"/>
        <w:ind w:left="851" w:hanging="284"/>
        <w:jc w:val="both"/>
        <w:rPr>
          <w:sz w:val="16"/>
        </w:rPr>
      </w:pPr>
      <w:r w:rsidRPr="00DD20AB">
        <w:rPr>
          <w:sz w:val="16"/>
        </w:rPr>
        <w:t>service exports (</w:t>
      </w:r>
      <w:r w:rsidR="00713639" w:rsidRPr="00DD20AB">
        <w:rPr>
          <w:sz w:val="16"/>
        </w:rPr>
        <w:t>up 49.6%)</w:t>
      </w:r>
    </w:p>
    <w:p w14:paraId="76090914" w14:textId="5D749923" w:rsidR="00713639" w:rsidRPr="00DD20AB" w:rsidRDefault="00713639" w:rsidP="00713639">
      <w:pPr>
        <w:pStyle w:val="BodyText"/>
        <w:numPr>
          <w:ilvl w:val="1"/>
          <w:numId w:val="10"/>
        </w:numPr>
        <w:spacing w:after="0"/>
        <w:ind w:left="851" w:hanging="284"/>
        <w:jc w:val="both"/>
        <w:rPr>
          <w:sz w:val="16"/>
        </w:rPr>
      </w:pPr>
      <w:r w:rsidRPr="00DD20AB">
        <w:rPr>
          <w:sz w:val="16"/>
        </w:rPr>
        <w:t>business investment (up 3.7%)</w:t>
      </w:r>
    </w:p>
    <w:p w14:paraId="54205859" w14:textId="240294EF" w:rsidR="008B0834" w:rsidRPr="00DD20AB" w:rsidRDefault="008B0834" w:rsidP="00713639">
      <w:pPr>
        <w:pStyle w:val="BodyText"/>
        <w:numPr>
          <w:ilvl w:val="0"/>
          <w:numId w:val="9"/>
        </w:numPr>
        <w:spacing w:after="0"/>
        <w:jc w:val="both"/>
        <w:rPr>
          <w:sz w:val="16"/>
        </w:rPr>
      </w:pPr>
      <w:r w:rsidRPr="00DD20AB">
        <w:rPr>
          <w:sz w:val="16"/>
        </w:rPr>
        <w:t xml:space="preserve">International </w:t>
      </w:r>
      <w:r w:rsidR="00713639" w:rsidRPr="00DD20AB">
        <w:rPr>
          <w:sz w:val="16"/>
        </w:rPr>
        <w:t>imports</w:t>
      </w:r>
      <w:r w:rsidRPr="00DD20AB">
        <w:rPr>
          <w:sz w:val="16"/>
        </w:rPr>
        <w:t xml:space="preserve"> </w:t>
      </w:r>
      <w:r w:rsidR="00713639" w:rsidRPr="00DD20AB">
        <w:rPr>
          <w:sz w:val="16"/>
        </w:rPr>
        <w:t xml:space="preserve">of goods and services </w:t>
      </w:r>
      <w:r w:rsidRPr="00DD20AB">
        <w:rPr>
          <w:sz w:val="16"/>
        </w:rPr>
        <w:t>(</w:t>
      </w:r>
      <w:r w:rsidR="00713639" w:rsidRPr="00DD20AB">
        <w:rPr>
          <w:sz w:val="16"/>
        </w:rPr>
        <w:t>up</w:t>
      </w:r>
      <w:r w:rsidRPr="00DD20AB">
        <w:rPr>
          <w:sz w:val="16"/>
        </w:rPr>
        <w:t xml:space="preserve"> </w:t>
      </w:r>
      <w:r w:rsidR="00713639" w:rsidRPr="00DD20AB">
        <w:rPr>
          <w:sz w:val="16"/>
        </w:rPr>
        <w:t>1</w:t>
      </w:r>
      <w:r w:rsidRPr="00DD20AB">
        <w:rPr>
          <w:sz w:val="16"/>
        </w:rPr>
        <w:t>2.</w:t>
      </w:r>
      <w:r w:rsidR="00713639" w:rsidRPr="00DD20AB">
        <w:rPr>
          <w:sz w:val="16"/>
        </w:rPr>
        <w:t>3</w:t>
      </w:r>
      <w:r w:rsidRPr="00DD20AB">
        <w:rPr>
          <w:sz w:val="16"/>
        </w:rPr>
        <w:t>%) was the largest detractor from Western Australia’s real GSP growth in 202</w:t>
      </w:r>
      <w:r w:rsidR="00713639" w:rsidRPr="00DD20AB">
        <w:rPr>
          <w:sz w:val="16"/>
        </w:rPr>
        <w:t>2</w:t>
      </w:r>
      <w:r w:rsidRPr="00DD20AB">
        <w:rPr>
          <w:sz w:val="16"/>
        </w:rPr>
        <w:t>-2</w:t>
      </w:r>
      <w:r w:rsidR="00713639" w:rsidRPr="00DD20AB">
        <w:rPr>
          <w:sz w:val="16"/>
        </w:rPr>
        <w:t>3</w:t>
      </w:r>
      <w:r w:rsidRPr="00DD20AB">
        <w:rPr>
          <w:sz w:val="16"/>
        </w:rPr>
        <w:t xml:space="preserve">, followed by </w:t>
      </w:r>
      <w:r w:rsidR="00713639" w:rsidRPr="00DD20AB">
        <w:rPr>
          <w:sz w:val="16"/>
        </w:rPr>
        <w:t xml:space="preserve">the </w:t>
      </w:r>
      <w:r w:rsidR="00623863" w:rsidRPr="00DD20AB">
        <w:rPr>
          <w:sz w:val="16"/>
        </w:rPr>
        <w:t>o</w:t>
      </w:r>
      <w:r w:rsidR="00713639" w:rsidRPr="00DD20AB">
        <w:rPr>
          <w:sz w:val="16"/>
        </w:rPr>
        <w:t>ther</w:t>
      </w:r>
      <w:r w:rsidR="00713639" w:rsidRPr="00DD20AB">
        <w:rPr>
          <w:sz w:val="16"/>
          <w:vertAlign w:val="superscript"/>
        </w:rPr>
        <w:t>(</w:t>
      </w:r>
      <w:r w:rsidR="002D6B43" w:rsidRPr="00DD20AB">
        <w:rPr>
          <w:sz w:val="16"/>
          <w:vertAlign w:val="superscript"/>
        </w:rPr>
        <w:t>c</w:t>
      </w:r>
      <w:r w:rsidR="00713639" w:rsidRPr="00DD20AB">
        <w:rPr>
          <w:sz w:val="16"/>
          <w:vertAlign w:val="superscript"/>
        </w:rPr>
        <w:t>)</w:t>
      </w:r>
      <w:r w:rsidR="00713639" w:rsidRPr="00DD20AB">
        <w:rPr>
          <w:sz w:val="16"/>
        </w:rPr>
        <w:t xml:space="preserve"> category </w:t>
      </w:r>
      <w:r w:rsidR="00C70C1F" w:rsidRPr="00DD20AB">
        <w:rPr>
          <w:sz w:val="16"/>
        </w:rPr>
        <w:t>(</w:t>
      </w:r>
      <w:r w:rsidR="00EC4A1B" w:rsidRPr="00DD20AB">
        <w:rPr>
          <w:sz w:val="16"/>
        </w:rPr>
        <w:t>down </w:t>
      </w:r>
      <w:r w:rsidR="004B46F5" w:rsidRPr="00DD20AB">
        <w:rPr>
          <w:sz w:val="16"/>
        </w:rPr>
        <w:t>7.2</w:t>
      </w:r>
      <w:r w:rsidR="0019168E" w:rsidRPr="00DD20AB">
        <w:rPr>
          <w:sz w:val="16"/>
        </w:rPr>
        <w:t xml:space="preserve">%) </w:t>
      </w:r>
      <w:r w:rsidR="00713639" w:rsidRPr="00DD20AB">
        <w:rPr>
          <w:sz w:val="16"/>
        </w:rPr>
        <w:t>and dwelling investment and ownership transfer costs (down 3.2%)</w:t>
      </w:r>
      <w:r w:rsidRPr="00DD20AB">
        <w:rPr>
          <w:sz w:val="16"/>
        </w:rPr>
        <w:t>.</w:t>
      </w:r>
    </w:p>
    <w:p w14:paraId="77EA36C7" w14:textId="77777777" w:rsidR="008B0834" w:rsidRPr="00CC3E8C" w:rsidRDefault="008B0834" w:rsidP="008B0834">
      <w:pPr>
        <w:pStyle w:val="BodyText"/>
        <w:numPr>
          <w:ilvl w:val="0"/>
          <w:numId w:val="9"/>
        </w:numPr>
        <w:spacing w:after="0"/>
        <w:jc w:val="both"/>
        <w:rPr>
          <w:sz w:val="16"/>
        </w:rPr>
        <w:sectPr w:rsidR="008B0834" w:rsidRPr="00CC3E8C" w:rsidSect="00F7498D">
          <w:type w:val="continuous"/>
          <w:pgSz w:w="11907" w:h="16840" w:code="9"/>
          <w:pgMar w:top="1701" w:right="720" w:bottom="720" w:left="720" w:header="709" w:footer="709" w:gutter="0"/>
          <w:cols w:num="2" w:space="284" w:equalWidth="0">
            <w:col w:w="5647" w:space="284"/>
            <w:col w:w="4536"/>
          </w:cols>
          <w:docGrid w:linePitch="360"/>
        </w:sectPr>
      </w:pPr>
    </w:p>
    <w:p w14:paraId="6F44786F" w14:textId="77777777" w:rsidR="008B0834" w:rsidRDefault="008B0834" w:rsidP="008B0834">
      <w:pPr>
        <w:pStyle w:val="BodyText"/>
        <w:spacing w:after="0"/>
        <w:jc w:val="both"/>
        <w:rPr>
          <w:sz w:val="16"/>
        </w:rPr>
      </w:pPr>
    </w:p>
    <w:p w14:paraId="4C8A5BF2"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state final demand</w:t>
      </w:r>
      <w:r w:rsidRPr="00020369">
        <w:rPr>
          <w:b/>
          <w:color w:val="92278F" w:themeColor="accent1"/>
          <w:sz w:val="20"/>
          <w:vertAlign w:val="superscript"/>
        </w:rPr>
        <w:t>1</w:t>
      </w:r>
      <w:r w:rsidRPr="00020369">
        <w:rPr>
          <w:b/>
          <w:color w:val="92278F" w:themeColor="accent1"/>
          <w:sz w:val="20"/>
        </w:rPr>
        <w:t xml:space="preserve"> (expenditure contribution to change</w:t>
      </w:r>
      <w:r w:rsidRPr="00020369">
        <w:rPr>
          <w:b/>
          <w:color w:val="92278F" w:themeColor="accent1"/>
          <w:sz w:val="20"/>
          <w:vertAlign w:val="superscript"/>
        </w:rPr>
        <w:t>2</w:t>
      </w:r>
      <w:r w:rsidRPr="00020369">
        <w:rPr>
          <w:b/>
          <w:color w:val="92278F" w:themeColor="accent1"/>
          <w:sz w:val="20"/>
        </w:rPr>
        <w:t>)</w:t>
      </w:r>
    </w:p>
    <w:p w14:paraId="72F62555" w14:textId="6FFC1C32" w:rsidR="008B0834" w:rsidRPr="004D747D" w:rsidRDefault="00554D23" w:rsidP="008B0834">
      <w:pPr>
        <w:spacing w:after="0"/>
        <w:jc w:val="both"/>
        <w:rPr>
          <w:sz w:val="16"/>
          <w:szCs w:val="16"/>
        </w:rPr>
      </w:pPr>
      <w:r>
        <w:rPr>
          <w:noProof/>
          <w:sz w:val="16"/>
          <w:szCs w:val="16"/>
        </w:rPr>
        <w:drawing>
          <wp:inline distT="0" distB="0" distL="0" distR="0" wp14:anchorId="43ECA997" wp14:editId="404B00C2">
            <wp:extent cx="3275513" cy="1955800"/>
            <wp:effectExtent l="0" t="0" r="127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79315" cy="1958070"/>
                    </a:xfrm>
                    <a:prstGeom prst="rect">
                      <a:avLst/>
                    </a:prstGeom>
                    <a:noFill/>
                    <a:ln>
                      <a:noFill/>
                    </a:ln>
                  </pic:spPr>
                </pic:pic>
              </a:graphicData>
            </a:graphic>
          </wp:inline>
        </w:drawing>
      </w:r>
    </w:p>
    <w:p w14:paraId="68032696" w14:textId="77777777" w:rsidR="008B0834" w:rsidRPr="004E78EB" w:rsidRDefault="008B0834" w:rsidP="008B0834">
      <w:pPr>
        <w:spacing w:after="0"/>
        <w:jc w:val="both"/>
        <w:rPr>
          <w:sz w:val="10"/>
        </w:rPr>
      </w:pPr>
      <w:r>
        <w:rPr>
          <w:sz w:val="10"/>
          <w:vertAlign w:val="superscript"/>
        </w:rPr>
        <w:t>1</w:t>
      </w:r>
      <w:r w:rsidRPr="00E76806">
        <w:rPr>
          <w:sz w:val="10"/>
        </w:rPr>
        <w:t xml:space="preserve"> Seasonally adjusted series. </w:t>
      </w:r>
      <w:r>
        <w:rPr>
          <w:sz w:val="10"/>
          <w:vertAlign w:val="superscript"/>
        </w:rPr>
        <w:t>2</w:t>
      </w:r>
      <w:r w:rsidRPr="00E76806">
        <w:rPr>
          <w:sz w:val="10"/>
        </w:rPr>
        <w:t xml:space="preserve"> </w:t>
      </w:r>
      <w:r>
        <w:rPr>
          <w:sz w:val="10"/>
        </w:rPr>
        <w:t xml:space="preserve">Real or adjusted for </w:t>
      </w:r>
      <w:r w:rsidRPr="00E76806">
        <w:rPr>
          <w:sz w:val="10"/>
        </w:rPr>
        <w:t>price</w:t>
      </w:r>
      <w:r>
        <w:rPr>
          <w:sz w:val="10"/>
        </w:rPr>
        <w:t xml:space="preserve"> change</w:t>
      </w:r>
      <w:r w:rsidRPr="00E76806">
        <w:rPr>
          <w:sz w:val="10"/>
        </w:rPr>
        <w:t xml:space="preserve">s. Note - </w:t>
      </w:r>
      <w:r>
        <w:rPr>
          <w:sz w:val="10"/>
        </w:rPr>
        <w:t>Changes in</w:t>
      </w:r>
      <w:r w:rsidRPr="00E76806">
        <w:rPr>
          <w:sz w:val="10"/>
        </w:rPr>
        <w:t xml:space="preserve"> SFD </w:t>
      </w:r>
      <w:r>
        <w:rPr>
          <w:sz w:val="10"/>
        </w:rPr>
        <w:t>can be</w:t>
      </w:r>
      <w:r w:rsidRPr="00E76806">
        <w:rPr>
          <w:sz w:val="10"/>
        </w:rPr>
        <w:t xml:space="preserve"> exaggerated by large swings in business investment </w:t>
      </w:r>
      <w:r>
        <w:rPr>
          <w:sz w:val="10"/>
        </w:rPr>
        <w:t>without adjusting for the asso</w:t>
      </w:r>
      <w:r w:rsidRPr="00E76806">
        <w:rPr>
          <w:sz w:val="10"/>
        </w:rPr>
        <w:t>ciated changes in import</w:t>
      </w:r>
      <w:r>
        <w:rPr>
          <w:sz w:val="10"/>
        </w:rPr>
        <w:t>s</w:t>
      </w:r>
      <w:r w:rsidRPr="00E76806">
        <w:rPr>
          <w:sz w:val="10"/>
        </w:rPr>
        <w:t xml:space="preserve">. (a) Includes </w:t>
      </w:r>
      <w:r>
        <w:rPr>
          <w:sz w:val="10"/>
        </w:rPr>
        <w:t>ownership transfer costs. (b) General government final consumption expenditure and public gross fixed capital formation.</w:t>
      </w:r>
    </w:p>
    <w:p w14:paraId="5BEC3A4F" w14:textId="77777777" w:rsidR="008B0834" w:rsidRDefault="008B0834" w:rsidP="008B0834">
      <w:pPr>
        <w:spacing w:after="0"/>
        <w:jc w:val="both"/>
        <w:rPr>
          <w:sz w:val="10"/>
        </w:rPr>
      </w:pPr>
      <w:r w:rsidRPr="004E78EB">
        <w:rPr>
          <w:sz w:val="10"/>
        </w:rPr>
        <w:t xml:space="preserve">Source: </w:t>
      </w:r>
      <w:r w:rsidRPr="008711E1">
        <w:rPr>
          <w:sz w:val="10"/>
        </w:rPr>
        <w:t xml:space="preserve">Based on data from ABS </w:t>
      </w:r>
      <w:r w:rsidRPr="004E78EB">
        <w:rPr>
          <w:sz w:val="10"/>
        </w:rPr>
        <w:t>520</w:t>
      </w:r>
      <w:r>
        <w:rPr>
          <w:sz w:val="10"/>
        </w:rPr>
        <w:t>6</w:t>
      </w:r>
      <w:r w:rsidRPr="004E78EB">
        <w:rPr>
          <w:sz w:val="10"/>
        </w:rPr>
        <w:t>.0. Australian National Accounts: National Income, Expenditure and Product (Quarterly</w:t>
      </w:r>
      <w:r>
        <w:rPr>
          <w:sz w:val="10"/>
        </w:rPr>
        <w:t>)</w:t>
      </w:r>
      <w:r w:rsidRPr="00716C34">
        <w:rPr>
          <w:sz w:val="10"/>
        </w:rPr>
        <w:t>.</w:t>
      </w:r>
    </w:p>
    <w:p w14:paraId="1085BF2B" w14:textId="77777777" w:rsidR="008B0834" w:rsidRDefault="008B0834" w:rsidP="008B0834">
      <w:pPr>
        <w:spacing w:after="0"/>
        <w:jc w:val="both"/>
        <w:rPr>
          <w:sz w:val="10"/>
        </w:rPr>
      </w:pPr>
      <w:r>
        <w:rPr>
          <w:sz w:val="10"/>
        </w:rPr>
        <w:br w:type="column"/>
      </w:r>
    </w:p>
    <w:p w14:paraId="76039F9F" w14:textId="77777777" w:rsidR="008B0834" w:rsidRPr="004D747D" w:rsidRDefault="008B0834" w:rsidP="008B0834">
      <w:pPr>
        <w:spacing w:after="0"/>
        <w:jc w:val="both"/>
        <w:rPr>
          <w:sz w:val="16"/>
        </w:rPr>
      </w:pPr>
    </w:p>
    <w:p w14:paraId="040F9026" w14:textId="77777777" w:rsidR="008B0834" w:rsidRDefault="008B0834" w:rsidP="008B0834">
      <w:pPr>
        <w:spacing w:after="0"/>
        <w:jc w:val="both"/>
        <w:rPr>
          <w:sz w:val="16"/>
        </w:rPr>
      </w:pPr>
    </w:p>
    <w:p w14:paraId="6419BF2B" w14:textId="7473CAE0" w:rsidR="008B0834" w:rsidRPr="00DD20AB" w:rsidRDefault="008B0834" w:rsidP="008B0834">
      <w:pPr>
        <w:pStyle w:val="BodyText"/>
        <w:numPr>
          <w:ilvl w:val="0"/>
          <w:numId w:val="9"/>
        </w:numPr>
        <w:spacing w:after="0"/>
        <w:jc w:val="both"/>
        <w:rPr>
          <w:sz w:val="16"/>
        </w:rPr>
      </w:pPr>
      <w:r w:rsidRPr="00DD20AB">
        <w:rPr>
          <w:sz w:val="16"/>
        </w:rPr>
        <w:t>State final demand (SFD) measures total consumption and investment by the private and public sectors. SFD accounted for 6</w:t>
      </w:r>
      <w:r w:rsidR="00C43F94" w:rsidRPr="00DD20AB">
        <w:rPr>
          <w:sz w:val="16"/>
        </w:rPr>
        <w:t>2</w:t>
      </w:r>
      <w:r w:rsidRPr="00DD20AB">
        <w:rPr>
          <w:sz w:val="16"/>
        </w:rPr>
        <w:t>% ($2</w:t>
      </w:r>
      <w:r w:rsidR="00C43F94" w:rsidRPr="00DD20AB">
        <w:rPr>
          <w:sz w:val="16"/>
        </w:rPr>
        <w:t>74.6</w:t>
      </w:r>
      <w:r w:rsidRPr="00DD20AB">
        <w:rPr>
          <w:sz w:val="16"/>
        </w:rPr>
        <w:t> billion) of Western Australia’s GSP in 202</w:t>
      </w:r>
      <w:r w:rsidR="00C43F94" w:rsidRPr="00DD20AB">
        <w:rPr>
          <w:sz w:val="16"/>
        </w:rPr>
        <w:t>2-23</w:t>
      </w:r>
      <w:r w:rsidRPr="00DD20AB">
        <w:rPr>
          <w:sz w:val="16"/>
        </w:rPr>
        <w:t>.</w:t>
      </w:r>
    </w:p>
    <w:p w14:paraId="4AC7CBC2" w14:textId="03003B60" w:rsidR="008B0834" w:rsidRPr="00B0381F" w:rsidRDefault="008B0834" w:rsidP="008B0834">
      <w:pPr>
        <w:pStyle w:val="BodyText"/>
        <w:numPr>
          <w:ilvl w:val="0"/>
          <w:numId w:val="9"/>
        </w:numPr>
        <w:spacing w:after="0"/>
        <w:jc w:val="both"/>
        <w:rPr>
          <w:sz w:val="16"/>
        </w:rPr>
      </w:pPr>
      <w:r w:rsidRPr="00B0381F">
        <w:rPr>
          <w:sz w:val="16"/>
        </w:rPr>
        <w:t>Western Australia’s SFD grew for the 1</w:t>
      </w:r>
      <w:r w:rsidR="000807AB" w:rsidRPr="00B0381F">
        <w:rPr>
          <w:sz w:val="16"/>
        </w:rPr>
        <w:t>3</w:t>
      </w:r>
      <w:r w:rsidRPr="00B0381F">
        <w:rPr>
          <w:sz w:val="16"/>
        </w:rPr>
        <w:t xml:space="preserve">th consecutive quarter in the </w:t>
      </w:r>
      <w:r w:rsidR="000807AB" w:rsidRPr="00B0381F">
        <w:rPr>
          <w:sz w:val="16"/>
        </w:rPr>
        <w:t>September</w:t>
      </w:r>
      <w:r w:rsidRPr="00B0381F">
        <w:rPr>
          <w:sz w:val="16"/>
        </w:rPr>
        <w:t xml:space="preserve"> quarter 2023, </w:t>
      </w:r>
      <w:r w:rsidR="00AA0EDC" w:rsidRPr="00B0381F">
        <w:rPr>
          <w:sz w:val="16"/>
        </w:rPr>
        <w:t>after the</w:t>
      </w:r>
      <w:r w:rsidRPr="00B0381F">
        <w:rPr>
          <w:sz w:val="16"/>
        </w:rPr>
        <w:t xml:space="preserve"> sharp fall in the June quarter 2020 due to the COVID</w:t>
      </w:r>
      <w:r w:rsidRPr="00B0381F">
        <w:rPr>
          <w:sz w:val="16"/>
        </w:rPr>
        <w:noBreakHyphen/>
        <w:t>19 pandemic.</w:t>
      </w:r>
    </w:p>
    <w:p w14:paraId="6DE0A3F8" w14:textId="6F38E576" w:rsidR="008B0834" w:rsidRPr="00B0381F" w:rsidRDefault="008B0834" w:rsidP="008B0834">
      <w:pPr>
        <w:pStyle w:val="BodyText"/>
        <w:numPr>
          <w:ilvl w:val="0"/>
          <w:numId w:val="9"/>
        </w:numPr>
        <w:spacing w:after="0"/>
        <w:jc w:val="both"/>
        <w:rPr>
          <w:sz w:val="16"/>
        </w:rPr>
      </w:pPr>
      <w:r w:rsidRPr="00B0381F">
        <w:rPr>
          <w:sz w:val="16"/>
        </w:rPr>
        <w:t xml:space="preserve">Western Australia’s real SFD rose </w:t>
      </w:r>
      <w:r w:rsidR="000807AB" w:rsidRPr="00B0381F">
        <w:rPr>
          <w:sz w:val="16"/>
        </w:rPr>
        <w:t>2</w:t>
      </w:r>
      <w:r w:rsidRPr="00B0381F">
        <w:rPr>
          <w:sz w:val="16"/>
        </w:rPr>
        <w:t xml:space="preserve">.4% in the </w:t>
      </w:r>
      <w:r w:rsidR="000807AB" w:rsidRPr="00B0381F">
        <w:rPr>
          <w:sz w:val="16"/>
        </w:rPr>
        <w:t>September</w:t>
      </w:r>
      <w:r w:rsidRPr="00B0381F">
        <w:rPr>
          <w:sz w:val="16"/>
        </w:rPr>
        <w:t xml:space="preserve"> quarter 2023, following growth of 1.</w:t>
      </w:r>
      <w:r w:rsidR="000807AB" w:rsidRPr="00B0381F">
        <w:rPr>
          <w:sz w:val="16"/>
        </w:rPr>
        <w:t>0</w:t>
      </w:r>
      <w:r w:rsidRPr="00B0381F">
        <w:rPr>
          <w:sz w:val="16"/>
        </w:rPr>
        <w:t xml:space="preserve">% in the </w:t>
      </w:r>
      <w:r w:rsidR="000807AB" w:rsidRPr="00B0381F">
        <w:rPr>
          <w:sz w:val="16"/>
        </w:rPr>
        <w:t>June</w:t>
      </w:r>
      <w:r w:rsidRPr="00B0381F">
        <w:rPr>
          <w:sz w:val="16"/>
        </w:rPr>
        <w:t xml:space="preserve"> quarter 2023.</w:t>
      </w:r>
    </w:p>
    <w:p w14:paraId="5DFF60C5" w14:textId="1E49F4C7" w:rsidR="008B0834" w:rsidRPr="00B0381F" w:rsidRDefault="002F22A6" w:rsidP="008B0834">
      <w:pPr>
        <w:pStyle w:val="BodyText"/>
        <w:numPr>
          <w:ilvl w:val="0"/>
          <w:numId w:val="9"/>
        </w:numPr>
        <w:spacing w:after="0"/>
        <w:jc w:val="both"/>
        <w:rPr>
          <w:sz w:val="16"/>
        </w:rPr>
      </w:pPr>
      <w:r w:rsidRPr="00B0381F">
        <w:rPr>
          <w:sz w:val="16"/>
        </w:rPr>
        <w:t>Business investment</w:t>
      </w:r>
      <w:r w:rsidR="008B0834" w:rsidRPr="00B0381F">
        <w:rPr>
          <w:sz w:val="16"/>
        </w:rPr>
        <w:t xml:space="preserve"> (up </w:t>
      </w:r>
      <w:r w:rsidRPr="00B0381F">
        <w:rPr>
          <w:sz w:val="16"/>
        </w:rPr>
        <w:t>8.8</w:t>
      </w:r>
      <w:r w:rsidR="008B0834" w:rsidRPr="00B0381F">
        <w:rPr>
          <w:sz w:val="16"/>
        </w:rPr>
        <w:t xml:space="preserve">%) was the main contributor to Western Australia’s SFD growth in the </w:t>
      </w:r>
      <w:r w:rsidRPr="00B0381F">
        <w:rPr>
          <w:sz w:val="16"/>
        </w:rPr>
        <w:t>September</w:t>
      </w:r>
      <w:r w:rsidR="008B0834" w:rsidRPr="00B0381F">
        <w:rPr>
          <w:sz w:val="16"/>
        </w:rPr>
        <w:t xml:space="preserve"> quarter 2023, followed by </w:t>
      </w:r>
      <w:r w:rsidRPr="00B0381F">
        <w:rPr>
          <w:sz w:val="16"/>
        </w:rPr>
        <w:t>public final demand</w:t>
      </w:r>
      <w:r w:rsidR="008B0834" w:rsidRPr="00B0381F">
        <w:rPr>
          <w:sz w:val="16"/>
        </w:rPr>
        <w:t xml:space="preserve"> (up </w:t>
      </w:r>
      <w:r w:rsidRPr="00B0381F">
        <w:rPr>
          <w:sz w:val="16"/>
        </w:rPr>
        <w:t>3.1</w:t>
      </w:r>
      <w:r w:rsidR="008B0834" w:rsidRPr="00B0381F">
        <w:rPr>
          <w:sz w:val="16"/>
        </w:rPr>
        <w:t>%).</w:t>
      </w:r>
    </w:p>
    <w:p w14:paraId="29305330" w14:textId="1EDA940E" w:rsidR="008B0834" w:rsidRPr="00B0381F" w:rsidRDefault="008B0834" w:rsidP="008B0834">
      <w:pPr>
        <w:pStyle w:val="BodyText"/>
        <w:numPr>
          <w:ilvl w:val="0"/>
          <w:numId w:val="9"/>
        </w:numPr>
        <w:spacing w:after="0"/>
        <w:jc w:val="both"/>
        <w:rPr>
          <w:sz w:val="16"/>
        </w:rPr>
      </w:pPr>
      <w:r w:rsidRPr="00B0381F">
        <w:rPr>
          <w:sz w:val="16"/>
        </w:rPr>
        <w:t>Western Australia’s real SFD rose</w:t>
      </w:r>
      <w:r w:rsidR="003144A9" w:rsidRPr="00B0381F">
        <w:rPr>
          <w:sz w:val="16"/>
        </w:rPr>
        <w:t xml:space="preserve"> </w:t>
      </w:r>
      <w:r w:rsidR="00B62D53" w:rsidRPr="00B0381F">
        <w:rPr>
          <w:sz w:val="16"/>
        </w:rPr>
        <w:t>3.8</w:t>
      </w:r>
      <w:r w:rsidRPr="00B0381F">
        <w:rPr>
          <w:sz w:val="16"/>
        </w:rPr>
        <w:t>% in 2022</w:t>
      </w:r>
      <w:r w:rsidRPr="00B0381F">
        <w:rPr>
          <w:sz w:val="16"/>
        </w:rPr>
        <w:noBreakHyphen/>
        <w:t xml:space="preserve">23 and the WA Government </w:t>
      </w:r>
      <w:r w:rsidR="00C658E1" w:rsidRPr="00B0381F">
        <w:rPr>
          <w:sz w:val="16"/>
        </w:rPr>
        <w:t>Mid-year Financial Projections</w:t>
      </w:r>
      <w:r w:rsidRPr="00B0381F">
        <w:rPr>
          <w:sz w:val="16"/>
        </w:rPr>
        <w:t xml:space="preserve"> </w:t>
      </w:r>
      <w:r w:rsidR="00C658E1" w:rsidRPr="00B0381F">
        <w:rPr>
          <w:sz w:val="16"/>
        </w:rPr>
        <w:t xml:space="preserve">Statement </w:t>
      </w:r>
      <w:r w:rsidRPr="00B0381F">
        <w:rPr>
          <w:sz w:val="16"/>
        </w:rPr>
        <w:t xml:space="preserve">2023-24 forecasts Western Australia’s real SFD will rise </w:t>
      </w:r>
      <w:r w:rsidR="00C658E1" w:rsidRPr="00B0381F">
        <w:rPr>
          <w:sz w:val="16"/>
        </w:rPr>
        <w:t>4.5</w:t>
      </w:r>
      <w:r w:rsidRPr="00B0381F">
        <w:rPr>
          <w:sz w:val="16"/>
        </w:rPr>
        <w:t>% in 2023</w:t>
      </w:r>
      <w:r w:rsidRPr="00B0381F">
        <w:rPr>
          <w:sz w:val="16"/>
        </w:rPr>
        <w:noBreakHyphen/>
        <w:t xml:space="preserve">24 and </w:t>
      </w:r>
      <w:r w:rsidR="00C658E1" w:rsidRPr="00B0381F">
        <w:rPr>
          <w:sz w:val="16"/>
        </w:rPr>
        <w:t>3.0</w:t>
      </w:r>
      <w:r w:rsidRPr="00B0381F">
        <w:rPr>
          <w:sz w:val="16"/>
        </w:rPr>
        <w:t>% in 2024-25.</w:t>
      </w:r>
    </w:p>
    <w:p w14:paraId="3DF42850" w14:textId="77777777" w:rsidR="008B0834" w:rsidRPr="00BF531A" w:rsidRDefault="008B0834" w:rsidP="008B0834">
      <w:pPr>
        <w:pStyle w:val="BodyText"/>
        <w:numPr>
          <w:ilvl w:val="0"/>
          <w:numId w:val="9"/>
        </w:numPr>
        <w:spacing w:after="0"/>
        <w:jc w:val="both"/>
        <w:rPr>
          <w:sz w:val="16"/>
        </w:rPr>
        <w:sectPr w:rsidR="008B0834" w:rsidRPr="00BF531A" w:rsidSect="00F7498D">
          <w:type w:val="continuous"/>
          <w:pgSz w:w="11907" w:h="16840" w:code="9"/>
          <w:pgMar w:top="1701" w:right="720" w:bottom="720" w:left="720" w:header="709" w:footer="709" w:gutter="0"/>
          <w:cols w:num="2" w:space="284" w:equalWidth="0">
            <w:col w:w="5647" w:space="284"/>
            <w:col w:w="4536"/>
          </w:cols>
          <w:docGrid w:linePitch="360"/>
        </w:sectPr>
      </w:pPr>
      <w:r w:rsidRPr="00BF531A">
        <w:rPr>
          <w:sz w:val="16"/>
        </w:rPr>
        <w:br w:type="page"/>
      </w:r>
    </w:p>
    <w:p w14:paraId="5ABB50AA" w14:textId="77777777" w:rsidR="008B0834" w:rsidRPr="00DD5DF4" w:rsidRDefault="008B0834" w:rsidP="008B0834">
      <w:pPr>
        <w:spacing w:after="0"/>
        <w:jc w:val="both"/>
        <w:rPr>
          <w:b/>
          <w:color w:val="002060"/>
          <w:sz w:val="22"/>
        </w:rPr>
      </w:pPr>
      <w:r w:rsidRPr="00DD5DF4">
        <w:rPr>
          <w:b/>
          <w:color w:val="002060"/>
          <w:sz w:val="22"/>
        </w:rPr>
        <w:lastRenderedPageBreak/>
        <w:t>Population and income</w:t>
      </w:r>
    </w:p>
    <w:p w14:paraId="5F126E29"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population</w:t>
      </w:r>
      <w:r w:rsidRPr="00020369">
        <w:rPr>
          <w:b/>
          <w:color w:val="92278F" w:themeColor="accent1"/>
          <w:sz w:val="20"/>
          <w:vertAlign w:val="superscript"/>
        </w:rPr>
        <w:t>1</w:t>
      </w:r>
      <w:r w:rsidRPr="00020369">
        <w:rPr>
          <w:b/>
          <w:color w:val="92278F" w:themeColor="accent1"/>
          <w:sz w:val="20"/>
        </w:rPr>
        <w:t xml:space="preserve"> (change</w:t>
      </w:r>
      <w:r w:rsidRPr="00020369">
        <w:rPr>
          <w:b/>
          <w:color w:val="92278F" w:themeColor="accent1"/>
          <w:sz w:val="20"/>
          <w:vertAlign w:val="superscript"/>
        </w:rPr>
        <w:t>2</w:t>
      </w:r>
      <w:r>
        <w:rPr>
          <w:b/>
          <w:color w:val="92278F" w:themeColor="accent1"/>
          <w:sz w:val="20"/>
        </w:rPr>
        <w:t>)</w:t>
      </w:r>
    </w:p>
    <w:p w14:paraId="61190404" w14:textId="17610FE5" w:rsidR="008B0834" w:rsidRDefault="00554D23" w:rsidP="008B0834">
      <w:pPr>
        <w:spacing w:after="0"/>
        <w:jc w:val="both"/>
        <w:rPr>
          <w:sz w:val="16"/>
        </w:rPr>
      </w:pPr>
      <w:r>
        <w:rPr>
          <w:noProof/>
          <w:sz w:val="16"/>
        </w:rPr>
        <w:drawing>
          <wp:inline distT="0" distB="0" distL="0" distR="0" wp14:anchorId="3B2DF8AD" wp14:editId="065515DF">
            <wp:extent cx="3528000" cy="210340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17BC0797" w14:textId="77777777" w:rsidR="008B0834" w:rsidRPr="00B0381F" w:rsidRDefault="008B0834" w:rsidP="008B0834">
      <w:pPr>
        <w:spacing w:after="0"/>
        <w:jc w:val="both"/>
        <w:rPr>
          <w:sz w:val="10"/>
        </w:rPr>
      </w:pPr>
      <w:r w:rsidRPr="0018341E">
        <w:rPr>
          <w:sz w:val="10"/>
        </w:rPr>
        <w:t xml:space="preserve">Note – </w:t>
      </w:r>
      <w:r w:rsidRPr="00B0381F">
        <w:rPr>
          <w:sz w:val="10"/>
        </w:rPr>
        <w:t xml:space="preserve">Components of population change may not sum to total population growth due to intercensal difference. </w:t>
      </w:r>
    </w:p>
    <w:p w14:paraId="237BE22E" w14:textId="639EEFC5" w:rsidR="008B0834" w:rsidRPr="00B0381F" w:rsidRDefault="008B0834" w:rsidP="008B0834">
      <w:pPr>
        <w:spacing w:after="0"/>
        <w:jc w:val="both"/>
        <w:rPr>
          <w:sz w:val="16"/>
        </w:rPr>
      </w:pPr>
      <w:r w:rsidRPr="00B0381F">
        <w:rPr>
          <w:sz w:val="10"/>
          <w:vertAlign w:val="superscript"/>
        </w:rPr>
        <w:t>1</w:t>
      </w:r>
      <w:r w:rsidRPr="00B0381F">
        <w:rPr>
          <w:sz w:val="10"/>
        </w:rPr>
        <w:t xml:space="preserve"> Original series. </w:t>
      </w:r>
      <w:r w:rsidRPr="00B0381F">
        <w:rPr>
          <w:sz w:val="10"/>
          <w:vertAlign w:val="superscript"/>
        </w:rPr>
        <w:t>2</w:t>
      </w:r>
      <w:r w:rsidRPr="00B0381F">
        <w:rPr>
          <w:sz w:val="10"/>
        </w:rPr>
        <w:t xml:space="preserve"> Change between </w:t>
      </w:r>
      <w:r w:rsidR="00584D20" w:rsidRPr="00B0381F">
        <w:rPr>
          <w:sz w:val="10"/>
        </w:rPr>
        <w:t>June</w:t>
      </w:r>
      <w:r w:rsidRPr="00B0381F">
        <w:rPr>
          <w:sz w:val="10"/>
        </w:rPr>
        <w:t xml:space="preserve"> quarters of each year.</w:t>
      </w:r>
    </w:p>
    <w:p w14:paraId="62A0CCA2" w14:textId="77777777" w:rsidR="008B0834" w:rsidRPr="004E78EB" w:rsidRDefault="008B0834" w:rsidP="008B0834">
      <w:pPr>
        <w:spacing w:after="0"/>
        <w:jc w:val="both"/>
        <w:rPr>
          <w:sz w:val="16"/>
        </w:rPr>
      </w:pPr>
      <w:r w:rsidRPr="00716C34">
        <w:rPr>
          <w:sz w:val="10"/>
        </w:rPr>
        <w:t xml:space="preserve">Source: </w:t>
      </w:r>
      <w:r w:rsidRPr="007D0DC0">
        <w:rPr>
          <w:sz w:val="10"/>
        </w:rPr>
        <w:t xml:space="preserve">Based on data from ABS </w:t>
      </w:r>
      <w:r>
        <w:rPr>
          <w:sz w:val="10"/>
        </w:rPr>
        <w:t>3101.0 Australian Demographic Statistics (Quarterly</w:t>
      </w:r>
      <w:r w:rsidRPr="004E78EB">
        <w:rPr>
          <w:sz w:val="10"/>
        </w:rPr>
        <w:t>).</w:t>
      </w:r>
    </w:p>
    <w:p w14:paraId="4DD75F75" w14:textId="77777777" w:rsidR="008B0834" w:rsidRDefault="008B0834" w:rsidP="008B0834">
      <w:pPr>
        <w:spacing w:after="0"/>
        <w:jc w:val="both"/>
        <w:rPr>
          <w:sz w:val="16"/>
        </w:rPr>
      </w:pPr>
    </w:p>
    <w:p w14:paraId="5A75E7F7" w14:textId="77777777" w:rsidR="008B0834" w:rsidRDefault="008B0834" w:rsidP="008B0834">
      <w:pPr>
        <w:spacing w:after="0"/>
        <w:jc w:val="both"/>
        <w:rPr>
          <w:sz w:val="16"/>
        </w:rPr>
      </w:pPr>
      <w:r>
        <w:rPr>
          <w:sz w:val="16"/>
        </w:rPr>
        <w:br w:type="column"/>
      </w:r>
    </w:p>
    <w:p w14:paraId="7850CE1C" w14:textId="77777777" w:rsidR="008B0834" w:rsidRDefault="008B0834" w:rsidP="008B0834">
      <w:pPr>
        <w:spacing w:after="0"/>
        <w:jc w:val="both"/>
        <w:rPr>
          <w:sz w:val="16"/>
        </w:rPr>
      </w:pPr>
    </w:p>
    <w:p w14:paraId="4F001124" w14:textId="38F16009" w:rsidR="008B0834" w:rsidRPr="00B0381F" w:rsidRDefault="008B0834" w:rsidP="008B0834">
      <w:pPr>
        <w:pStyle w:val="BodyText"/>
        <w:numPr>
          <w:ilvl w:val="0"/>
          <w:numId w:val="9"/>
        </w:numPr>
        <w:spacing w:after="0"/>
        <w:jc w:val="both"/>
        <w:rPr>
          <w:sz w:val="16"/>
        </w:rPr>
      </w:pPr>
      <w:r w:rsidRPr="00B0381F">
        <w:rPr>
          <w:sz w:val="16"/>
        </w:rPr>
        <w:t>Western Australia’s population was 2.8</w:t>
      </w:r>
      <w:r w:rsidR="006C3F8D" w:rsidRPr="00B0381F">
        <w:rPr>
          <w:sz w:val="16"/>
        </w:rPr>
        <w:t>8</w:t>
      </w:r>
      <w:r w:rsidRPr="00B0381F">
        <w:rPr>
          <w:sz w:val="16"/>
        </w:rPr>
        <w:t> million in 2022</w:t>
      </w:r>
      <w:r w:rsidR="006C3F8D" w:rsidRPr="00B0381F">
        <w:rPr>
          <w:sz w:val="16"/>
        </w:rPr>
        <w:t>-23</w:t>
      </w:r>
      <w:r w:rsidRPr="00B0381F">
        <w:rPr>
          <w:sz w:val="16"/>
        </w:rPr>
        <w:t>, which was 10.8% of Australia’s population</w:t>
      </w:r>
      <w:r w:rsidRPr="00B0381F">
        <w:rPr>
          <w:b/>
          <w:sz w:val="16"/>
        </w:rPr>
        <w:t>.</w:t>
      </w:r>
    </w:p>
    <w:p w14:paraId="509E6D6A" w14:textId="1E080D9F" w:rsidR="008B0834" w:rsidRPr="00B0381F" w:rsidRDefault="008B0834" w:rsidP="008B0834">
      <w:pPr>
        <w:pStyle w:val="BodyText"/>
        <w:numPr>
          <w:ilvl w:val="0"/>
          <w:numId w:val="9"/>
        </w:numPr>
        <w:spacing w:after="0"/>
        <w:jc w:val="both"/>
        <w:rPr>
          <w:sz w:val="16"/>
        </w:rPr>
      </w:pPr>
      <w:r w:rsidRPr="00B0381F">
        <w:rPr>
          <w:sz w:val="16"/>
        </w:rPr>
        <w:t xml:space="preserve">Western Australia’s population rose </w:t>
      </w:r>
      <w:r w:rsidR="006C3F8D" w:rsidRPr="00B0381F">
        <w:rPr>
          <w:sz w:val="16"/>
        </w:rPr>
        <w:t>3.1</w:t>
      </w:r>
      <w:r w:rsidRPr="00B0381F">
        <w:rPr>
          <w:sz w:val="16"/>
        </w:rPr>
        <w:t>% in 2022</w:t>
      </w:r>
      <w:r w:rsidR="006C3F8D" w:rsidRPr="00B0381F">
        <w:rPr>
          <w:sz w:val="16"/>
        </w:rPr>
        <w:t>-23</w:t>
      </w:r>
      <w:r w:rsidRPr="00B0381F">
        <w:rPr>
          <w:sz w:val="16"/>
        </w:rPr>
        <w:t>, above growth of 1.</w:t>
      </w:r>
      <w:r w:rsidR="006C3F8D" w:rsidRPr="00B0381F">
        <w:rPr>
          <w:sz w:val="16"/>
        </w:rPr>
        <w:t>5</w:t>
      </w:r>
      <w:r w:rsidRPr="00B0381F">
        <w:rPr>
          <w:sz w:val="16"/>
        </w:rPr>
        <w:t>% in 2021</w:t>
      </w:r>
      <w:r w:rsidR="006C3F8D" w:rsidRPr="00B0381F">
        <w:rPr>
          <w:sz w:val="16"/>
        </w:rPr>
        <w:t>-22</w:t>
      </w:r>
      <w:r w:rsidRPr="00B0381F">
        <w:rPr>
          <w:sz w:val="16"/>
        </w:rPr>
        <w:t>, and above compound annual growth of 1.</w:t>
      </w:r>
      <w:r w:rsidR="006C3F8D" w:rsidRPr="00B0381F">
        <w:rPr>
          <w:sz w:val="16"/>
        </w:rPr>
        <w:t>5</w:t>
      </w:r>
      <w:r w:rsidRPr="00B0381F">
        <w:rPr>
          <w:sz w:val="16"/>
        </w:rPr>
        <w:t>% over the past 10 years.</w:t>
      </w:r>
    </w:p>
    <w:p w14:paraId="50B90D33" w14:textId="6ECB2E9D" w:rsidR="008B0834" w:rsidRPr="00B0381F" w:rsidRDefault="008B0834" w:rsidP="008B0834">
      <w:pPr>
        <w:pStyle w:val="BodyText"/>
        <w:numPr>
          <w:ilvl w:val="0"/>
          <w:numId w:val="9"/>
        </w:numPr>
        <w:spacing w:after="0"/>
        <w:jc w:val="both"/>
        <w:rPr>
          <w:sz w:val="16"/>
        </w:rPr>
      </w:pPr>
      <w:r w:rsidRPr="00B0381F">
        <w:rPr>
          <w:sz w:val="16"/>
        </w:rPr>
        <w:t xml:space="preserve">Western Australia’s population grew by </w:t>
      </w:r>
      <w:r w:rsidR="006C3F8D" w:rsidRPr="00B0381F">
        <w:rPr>
          <w:sz w:val="16"/>
        </w:rPr>
        <w:t>86,769</w:t>
      </w:r>
      <w:r w:rsidRPr="00B0381F">
        <w:rPr>
          <w:sz w:val="16"/>
        </w:rPr>
        <w:t xml:space="preserve"> in 2022</w:t>
      </w:r>
      <w:r w:rsidR="006C3F8D" w:rsidRPr="00B0381F">
        <w:rPr>
          <w:sz w:val="16"/>
        </w:rPr>
        <w:t>-23</w:t>
      </w:r>
      <w:r w:rsidRPr="00B0381F">
        <w:rPr>
          <w:sz w:val="16"/>
        </w:rPr>
        <w:t>, comprising:</w:t>
      </w:r>
    </w:p>
    <w:p w14:paraId="663C333E" w14:textId="364BD347" w:rsidR="008B0834" w:rsidRPr="00B0381F" w:rsidRDefault="008B0834" w:rsidP="008B0834">
      <w:pPr>
        <w:pStyle w:val="BodyText"/>
        <w:numPr>
          <w:ilvl w:val="1"/>
          <w:numId w:val="10"/>
        </w:numPr>
        <w:spacing w:after="0"/>
        <w:ind w:left="851" w:hanging="284"/>
        <w:jc w:val="both"/>
        <w:rPr>
          <w:sz w:val="16"/>
        </w:rPr>
      </w:pPr>
      <w:r w:rsidRPr="00B0381F">
        <w:rPr>
          <w:sz w:val="16"/>
        </w:rPr>
        <w:t xml:space="preserve">net overseas migration of </w:t>
      </w:r>
      <w:r w:rsidR="006C3F8D" w:rsidRPr="00B0381F">
        <w:rPr>
          <w:sz w:val="16"/>
        </w:rPr>
        <w:t>61,591</w:t>
      </w:r>
    </w:p>
    <w:p w14:paraId="2E86C9EF" w14:textId="6D4FBBE9" w:rsidR="008B0834" w:rsidRPr="00B0381F" w:rsidRDefault="008B0834" w:rsidP="008B0834">
      <w:pPr>
        <w:pStyle w:val="BodyText"/>
        <w:numPr>
          <w:ilvl w:val="1"/>
          <w:numId w:val="10"/>
        </w:numPr>
        <w:spacing w:after="0"/>
        <w:ind w:left="851" w:hanging="284"/>
        <w:jc w:val="both"/>
        <w:rPr>
          <w:sz w:val="16"/>
        </w:rPr>
      </w:pPr>
      <w:r w:rsidRPr="00B0381F">
        <w:rPr>
          <w:sz w:val="16"/>
        </w:rPr>
        <w:t>natural increase of 1</w:t>
      </w:r>
      <w:r w:rsidR="006C3F8D" w:rsidRPr="00B0381F">
        <w:rPr>
          <w:sz w:val="16"/>
        </w:rPr>
        <w:t>3,548</w:t>
      </w:r>
    </w:p>
    <w:p w14:paraId="03FDABB2" w14:textId="09317D61" w:rsidR="008B0834" w:rsidRPr="00B0381F" w:rsidRDefault="008B0834" w:rsidP="008B0834">
      <w:pPr>
        <w:pStyle w:val="BodyText"/>
        <w:numPr>
          <w:ilvl w:val="1"/>
          <w:numId w:val="10"/>
        </w:numPr>
        <w:spacing w:after="0"/>
        <w:ind w:left="851" w:hanging="284"/>
        <w:jc w:val="both"/>
        <w:rPr>
          <w:sz w:val="16"/>
        </w:rPr>
      </w:pPr>
      <w:r w:rsidRPr="00B0381F">
        <w:rPr>
          <w:sz w:val="16"/>
        </w:rPr>
        <w:t>net interstate migration of 1</w:t>
      </w:r>
      <w:r w:rsidR="006C3F8D" w:rsidRPr="00B0381F">
        <w:rPr>
          <w:sz w:val="16"/>
        </w:rPr>
        <w:t>1,630</w:t>
      </w:r>
      <w:r w:rsidRPr="00B0381F">
        <w:rPr>
          <w:sz w:val="16"/>
        </w:rPr>
        <w:t>.</w:t>
      </w:r>
    </w:p>
    <w:p w14:paraId="35B08549" w14:textId="16D69A8C" w:rsidR="008B0834" w:rsidRPr="00B0381F" w:rsidRDefault="008B0834" w:rsidP="008B0834">
      <w:pPr>
        <w:pStyle w:val="BodyText"/>
        <w:numPr>
          <w:ilvl w:val="0"/>
          <w:numId w:val="9"/>
        </w:numPr>
        <w:spacing w:after="0"/>
        <w:jc w:val="both"/>
        <w:rPr>
          <w:sz w:val="16"/>
        </w:rPr>
      </w:pPr>
      <w:r w:rsidRPr="00B0381F">
        <w:rPr>
          <w:sz w:val="16"/>
        </w:rPr>
        <w:t>The WA</w:t>
      </w:r>
      <w:r w:rsidR="008821AB" w:rsidRPr="00B0381F">
        <w:rPr>
          <w:sz w:val="16"/>
        </w:rPr>
        <w:t xml:space="preserve"> Government Mid-year Financial Projections Statement 2023-24 </w:t>
      </w:r>
      <w:r w:rsidRPr="00B0381F">
        <w:rPr>
          <w:sz w:val="16"/>
        </w:rPr>
        <w:t xml:space="preserve">forecasts Western Australia’s population will grow </w:t>
      </w:r>
      <w:r w:rsidR="00C658E1" w:rsidRPr="00B0381F">
        <w:rPr>
          <w:sz w:val="16"/>
        </w:rPr>
        <w:t>2.4</w:t>
      </w:r>
      <w:r w:rsidRPr="00B0381F">
        <w:rPr>
          <w:sz w:val="16"/>
        </w:rPr>
        <w:t>% in 2023</w:t>
      </w:r>
      <w:r w:rsidRPr="00B0381F">
        <w:rPr>
          <w:sz w:val="16"/>
        </w:rPr>
        <w:noBreakHyphen/>
        <w:t>24 and 1.7% in 2024-25.</w:t>
      </w:r>
    </w:p>
    <w:p w14:paraId="4FF60F25" w14:textId="77777777" w:rsidR="008B0834" w:rsidRPr="009234E0" w:rsidRDefault="008B0834" w:rsidP="008B0834">
      <w:pPr>
        <w:pStyle w:val="BodyText"/>
        <w:numPr>
          <w:ilvl w:val="0"/>
          <w:numId w:val="9"/>
        </w:numPr>
        <w:spacing w:after="0"/>
        <w:jc w:val="both"/>
        <w:rPr>
          <w:sz w:val="16"/>
        </w:rPr>
        <w:sectPr w:rsidR="008B0834" w:rsidRPr="009234E0" w:rsidSect="00F7498D">
          <w:type w:val="continuous"/>
          <w:pgSz w:w="11907" w:h="16840" w:code="9"/>
          <w:pgMar w:top="1701" w:right="720" w:bottom="720" w:left="720" w:header="709" w:footer="709" w:gutter="0"/>
          <w:cols w:num="2" w:space="284" w:equalWidth="0">
            <w:col w:w="5647" w:space="284"/>
            <w:col w:w="4536"/>
          </w:cols>
          <w:docGrid w:linePitch="360"/>
        </w:sectPr>
      </w:pPr>
    </w:p>
    <w:p w14:paraId="2DAFDF2D" w14:textId="77777777" w:rsidR="008B0834" w:rsidRPr="004A7FCA" w:rsidRDefault="008B0834" w:rsidP="008B0834">
      <w:pPr>
        <w:pStyle w:val="BodyText"/>
        <w:spacing w:after="0"/>
        <w:jc w:val="both"/>
        <w:rPr>
          <w:sz w:val="16"/>
        </w:rPr>
      </w:pPr>
    </w:p>
    <w:p w14:paraId="4F1187EE" w14:textId="77777777" w:rsidR="008B0834" w:rsidRPr="00077C02" w:rsidRDefault="008B0834" w:rsidP="008B0834">
      <w:pPr>
        <w:pStyle w:val="BodyText"/>
        <w:spacing w:after="0"/>
        <w:rPr>
          <w:b/>
          <w:color w:val="92278F" w:themeColor="accent1"/>
          <w:sz w:val="20"/>
        </w:rPr>
      </w:pPr>
      <w:r w:rsidRPr="00077C02">
        <w:rPr>
          <w:b/>
          <w:color w:val="92278F" w:themeColor="accent1"/>
          <w:sz w:val="20"/>
        </w:rPr>
        <w:t>Western Australia’s gross state income and household income per capita (% change)</w:t>
      </w:r>
      <w:r w:rsidRPr="00077C02">
        <w:rPr>
          <w:b/>
          <w:color w:val="92278F" w:themeColor="accent1"/>
          <w:sz w:val="20"/>
          <w:vertAlign w:val="superscript"/>
        </w:rPr>
        <w:t>1</w:t>
      </w:r>
    </w:p>
    <w:p w14:paraId="6E989358" w14:textId="1B1C188F" w:rsidR="008B0834" w:rsidRDefault="00EC4A1B" w:rsidP="008B0834">
      <w:pPr>
        <w:pStyle w:val="BodyText"/>
        <w:spacing w:after="0"/>
        <w:jc w:val="both"/>
        <w:rPr>
          <w:sz w:val="16"/>
        </w:rPr>
      </w:pPr>
      <w:r>
        <w:rPr>
          <w:noProof/>
          <w:sz w:val="16"/>
        </w:rPr>
        <w:drawing>
          <wp:inline distT="0" distB="0" distL="0" distR="0" wp14:anchorId="03C83AFA" wp14:editId="232C028E">
            <wp:extent cx="3528000" cy="210340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6E5987A9" w14:textId="77777777" w:rsidR="008B0834" w:rsidRDefault="008B0834" w:rsidP="008B0834">
      <w:pPr>
        <w:spacing w:after="0"/>
        <w:jc w:val="both"/>
        <w:rPr>
          <w:sz w:val="10"/>
        </w:rPr>
      </w:pPr>
      <w:r w:rsidRPr="00A20D14">
        <w:rPr>
          <w:sz w:val="10"/>
          <w:vertAlign w:val="superscript"/>
        </w:rPr>
        <w:t>1</w:t>
      </w:r>
      <w:r>
        <w:rPr>
          <w:sz w:val="10"/>
        </w:rPr>
        <w:t xml:space="preserve"> Original series. </w:t>
      </w:r>
      <w:r w:rsidRPr="00D80116">
        <w:rPr>
          <w:sz w:val="10"/>
        </w:rPr>
        <w:t>(a)</w:t>
      </w:r>
      <w:r w:rsidRPr="00E76806">
        <w:rPr>
          <w:sz w:val="10"/>
        </w:rPr>
        <w:t xml:space="preserve"> Real or </w:t>
      </w:r>
      <w:r>
        <w:rPr>
          <w:sz w:val="10"/>
        </w:rPr>
        <w:t>adjusted for price changes. (b) Nominal or not adjusted for price changes. Household income from wages and salaries, salary sacrifice, non-cash benefits, bonuses, termination payments, government pensions and allowances, profit/loss from own unincorporated business, net investment income and private transfers less income tax, the Medicare levy and the Medicare levy surcharge.</w:t>
      </w:r>
    </w:p>
    <w:p w14:paraId="7BB63F6C" w14:textId="77777777" w:rsidR="008B0834" w:rsidRDefault="008B0834" w:rsidP="008B0834">
      <w:pPr>
        <w:pStyle w:val="ListBullet"/>
        <w:numPr>
          <w:ilvl w:val="0"/>
          <w:numId w:val="0"/>
        </w:numPr>
        <w:spacing w:after="0"/>
        <w:jc w:val="both"/>
        <w:rPr>
          <w:sz w:val="10"/>
        </w:rPr>
      </w:pPr>
      <w:r>
        <w:rPr>
          <w:sz w:val="10"/>
        </w:rPr>
        <w:t>Source</w:t>
      </w:r>
      <w:r w:rsidRPr="007D0DC0">
        <w:rPr>
          <w:sz w:val="10"/>
        </w:rPr>
        <w:t xml:space="preserve">: Based on data from ABS 5220.0 Australian </w:t>
      </w:r>
      <w:r>
        <w:rPr>
          <w:sz w:val="10"/>
        </w:rPr>
        <w:t>National Accounts: State Accounts (Annual).</w:t>
      </w:r>
    </w:p>
    <w:p w14:paraId="19AC1B22" w14:textId="77777777" w:rsidR="008B0834" w:rsidRDefault="008B0834" w:rsidP="008B0834">
      <w:pPr>
        <w:pStyle w:val="BodyText"/>
        <w:spacing w:after="0"/>
        <w:jc w:val="both"/>
        <w:rPr>
          <w:sz w:val="16"/>
        </w:rPr>
      </w:pPr>
      <w:r>
        <w:rPr>
          <w:sz w:val="16"/>
        </w:rPr>
        <w:br w:type="column"/>
      </w:r>
    </w:p>
    <w:p w14:paraId="7A99956E" w14:textId="77777777" w:rsidR="008B0834" w:rsidRDefault="008B0834" w:rsidP="008B0834">
      <w:pPr>
        <w:pStyle w:val="BodyText"/>
        <w:spacing w:after="0"/>
        <w:jc w:val="both"/>
        <w:rPr>
          <w:sz w:val="16"/>
        </w:rPr>
      </w:pPr>
    </w:p>
    <w:p w14:paraId="710691FF" w14:textId="77777777" w:rsidR="008B0834" w:rsidRDefault="008B0834" w:rsidP="008B0834">
      <w:pPr>
        <w:pStyle w:val="BodyText"/>
        <w:spacing w:after="0"/>
        <w:jc w:val="both"/>
        <w:rPr>
          <w:sz w:val="16"/>
        </w:rPr>
      </w:pPr>
    </w:p>
    <w:p w14:paraId="241BD95A" w14:textId="69D83663" w:rsidR="008B0834" w:rsidRPr="00B77F78" w:rsidRDefault="008B0834" w:rsidP="008B0834">
      <w:pPr>
        <w:pStyle w:val="BodyText"/>
        <w:numPr>
          <w:ilvl w:val="0"/>
          <w:numId w:val="9"/>
        </w:numPr>
        <w:spacing w:after="0"/>
        <w:jc w:val="both"/>
        <w:rPr>
          <w:sz w:val="16"/>
        </w:rPr>
      </w:pPr>
      <w:r w:rsidRPr="00B77F78">
        <w:rPr>
          <w:sz w:val="16"/>
        </w:rPr>
        <w:t>Gross state income (GSI) is an alternative measure of Western Australia’s economy that takes into account changes in the terms of trade (ratio of export prices to import prices).</w:t>
      </w:r>
    </w:p>
    <w:p w14:paraId="28DA22DD" w14:textId="1CF9CE95" w:rsidR="008B0834" w:rsidRPr="00B77F78" w:rsidRDefault="008B0834" w:rsidP="00023761">
      <w:pPr>
        <w:pStyle w:val="BodyText"/>
        <w:numPr>
          <w:ilvl w:val="0"/>
          <w:numId w:val="9"/>
        </w:numPr>
        <w:spacing w:after="0"/>
        <w:jc w:val="both"/>
        <w:rPr>
          <w:sz w:val="16"/>
        </w:rPr>
      </w:pPr>
      <w:r w:rsidRPr="00B77F78">
        <w:rPr>
          <w:sz w:val="16"/>
        </w:rPr>
        <w:t xml:space="preserve">Western Australia’s real GSI </w:t>
      </w:r>
      <w:r w:rsidR="00273299" w:rsidRPr="00B77F78">
        <w:rPr>
          <w:sz w:val="16"/>
        </w:rPr>
        <w:t xml:space="preserve">rose 2.1% </w:t>
      </w:r>
      <w:r w:rsidRPr="00B77F78">
        <w:rPr>
          <w:sz w:val="16"/>
        </w:rPr>
        <w:t>in 202</w:t>
      </w:r>
      <w:r w:rsidR="00273299" w:rsidRPr="00B77F78">
        <w:rPr>
          <w:sz w:val="16"/>
        </w:rPr>
        <w:t>2</w:t>
      </w:r>
      <w:r w:rsidRPr="00B77F78">
        <w:rPr>
          <w:sz w:val="16"/>
        </w:rPr>
        <w:t>-2</w:t>
      </w:r>
      <w:r w:rsidR="00273299" w:rsidRPr="00B77F78">
        <w:rPr>
          <w:sz w:val="16"/>
        </w:rPr>
        <w:t>3</w:t>
      </w:r>
      <w:r w:rsidRPr="00B77F78">
        <w:rPr>
          <w:sz w:val="16"/>
        </w:rPr>
        <w:t xml:space="preserve">, compared to growth of </w:t>
      </w:r>
      <w:r w:rsidR="00273299" w:rsidRPr="00B77F78">
        <w:rPr>
          <w:sz w:val="16"/>
        </w:rPr>
        <w:t>0.03</w:t>
      </w:r>
      <w:r w:rsidRPr="00B77F78">
        <w:rPr>
          <w:sz w:val="16"/>
        </w:rPr>
        <w:t>% in 202</w:t>
      </w:r>
      <w:r w:rsidR="00273299" w:rsidRPr="00B77F78">
        <w:rPr>
          <w:sz w:val="16"/>
        </w:rPr>
        <w:t>1</w:t>
      </w:r>
      <w:r w:rsidRPr="00B77F78">
        <w:rPr>
          <w:sz w:val="16"/>
        </w:rPr>
        <w:t>-2</w:t>
      </w:r>
      <w:r w:rsidR="00273299" w:rsidRPr="00B77F78">
        <w:rPr>
          <w:sz w:val="16"/>
        </w:rPr>
        <w:t>2</w:t>
      </w:r>
      <w:r w:rsidRPr="00B77F78">
        <w:rPr>
          <w:sz w:val="16"/>
        </w:rPr>
        <w:t xml:space="preserve"> and compound annual growth of 3.</w:t>
      </w:r>
      <w:r w:rsidR="00273299" w:rsidRPr="00B77F78">
        <w:rPr>
          <w:sz w:val="16"/>
        </w:rPr>
        <w:t>4</w:t>
      </w:r>
      <w:r w:rsidRPr="00B77F78">
        <w:rPr>
          <w:sz w:val="16"/>
        </w:rPr>
        <w:t>% over the past 10 years.</w:t>
      </w:r>
    </w:p>
    <w:p w14:paraId="5378344D" w14:textId="3676E194" w:rsidR="008B0834" w:rsidRPr="00B77F78" w:rsidRDefault="008B0834" w:rsidP="008B0834">
      <w:pPr>
        <w:pStyle w:val="BodyText"/>
        <w:numPr>
          <w:ilvl w:val="0"/>
          <w:numId w:val="9"/>
        </w:numPr>
        <w:spacing w:after="0"/>
        <w:jc w:val="both"/>
        <w:rPr>
          <w:sz w:val="16"/>
        </w:rPr>
      </w:pPr>
      <w:r w:rsidRPr="00B77F78">
        <w:rPr>
          <w:sz w:val="16"/>
        </w:rPr>
        <w:t xml:space="preserve">Western Australia’s gross household disposable income per capita rose </w:t>
      </w:r>
      <w:r w:rsidR="00D40384" w:rsidRPr="00B77F78">
        <w:rPr>
          <w:sz w:val="16"/>
        </w:rPr>
        <w:t>2.3</w:t>
      </w:r>
      <w:r w:rsidRPr="00B77F78">
        <w:rPr>
          <w:sz w:val="16"/>
        </w:rPr>
        <w:t>% to $6</w:t>
      </w:r>
      <w:r w:rsidR="00D40384" w:rsidRPr="00B77F78">
        <w:rPr>
          <w:sz w:val="16"/>
        </w:rPr>
        <w:t>2</w:t>
      </w:r>
      <w:r w:rsidRPr="00B77F78">
        <w:rPr>
          <w:sz w:val="16"/>
        </w:rPr>
        <w:t>,</w:t>
      </w:r>
      <w:r w:rsidR="00D40384" w:rsidRPr="00B77F78">
        <w:rPr>
          <w:sz w:val="16"/>
        </w:rPr>
        <w:t xml:space="preserve">539 </w:t>
      </w:r>
      <w:r w:rsidRPr="00B77F78">
        <w:rPr>
          <w:sz w:val="16"/>
        </w:rPr>
        <w:t>in 202</w:t>
      </w:r>
      <w:r w:rsidR="00D40384" w:rsidRPr="00B77F78">
        <w:rPr>
          <w:sz w:val="16"/>
        </w:rPr>
        <w:t>2</w:t>
      </w:r>
      <w:r w:rsidRPr="00B77F78">
        <w:rPr>
          <w:sz w:val="16"/>
        </w:rPr>
        <w:t>-2</w:t>
      </w:r>
      <w:r w:rsidR="00D40384" w:rsidRPr="00B77F78">
        <w:rPr>
          <w:sz w:val="16"/>
        </w:rPr>
        <w:t>3</w:t>
      </w:r>
      <w:r w:rsidRPr="00B77F78">
        <w:rPr>
          <w:sz w:val="16"/>
        </w:rPr>
        <w:t xml:space="preserve">, </w:t>
      </w:r>
      <w:r w:rsidR="00EC4A1B" w:rsidRPr="00B77F78">
        <w:rPr>
          <w:sz w:val="16"/>
        </w:rPr>
        <w:t>which was</w:t>
      </w:r>
      <w:r w:rsidRPr="00B77F78">
        <w:rPr>
          <w:sz w:val="16"/>
        </w:rPr>
        <w:t xml:space="preserve"> </w:t>
      </w:r>
      <w:r w:rsidR="0081124D" w:rsidRPr="00B77F78">
        <w:rPr>
          <w:sz w:val="16"/>
        </w:rPr>
        <w:t>10.1</w:t>
      </w:r>
      <w:r w:rsidRPr="00B77F78">
        <w:rPr>
          <w:sz w:val="16"/>
        </w:rPr>
        <w:t>% ($</w:t>
      </w:r>
      <w:r w:rsidR="0081124D" w:rsidRPr="00B77F78">
        <w:rPr>
          <w:sz w:val="16"/>
        </w:rPr>
        <w:t>5</w:t>
      </w:r>
      <w:r w:rsidR="00D40384" w:rsidRPr="00B77F78">
        <w:rPr>
          <w:sz w:val="16"/>
        </w:rPr>
        <w:t>,</w:t>
      </w:r>
      <w:r w:rsidR="0081124D" w:rsidRPr="00B77F78">
        <w:rPr>
          <w:sz w:val="16"/>
        </w:rPr>
        <w:t>715</w:t>
      </w:r>
      <w:r w:rsidRPr="00B77F78">
        <w:rPr>
          <w:sz w:val="16"/>
        </w:rPr>
        <w:t>) higher than the Australian average of $5</w:t>
      </w:r>
      <w:r w:rsidR="0081124D" w:rsidRPr="00B77F78">
        <w:rPr>
          <w:sz w:val="16"/>
        </w:rPr>
        <w:t>6</w:t>
      </w:r>
      <w:r w:rsidRPr="00B77F78">
        <w:rPr>
          <w:sz w:val="16"/>
        </w:rPr>
        <w:t>,</w:t>
      </w:r>
      <w:r w:rsidR="0081124D" w:rsidRPr="00B77F78">
        <w:rPr>
          <w:sz w:val="16"/>
        </w:rPr>
        <w:t>824</w:t>
      </w:r>
      <w:r w:rsidRPr="00B77F78">
        <w:rPr>
          <w:sz w:val="16"/>
        </w:rPr>
        <w:t>.</w:t>
      </w:r>
    </w:p>
    <w:p w14:paraId="457B5AC5" w14:textId="77777777" w:rsidR="008B0834" w:rsidRPr="001C66D2" w:rsidRDefault="008B0834" w:rsidP="008B0834">
      <w:pPr>
        <w:pStyle w:val="BodyText"/>
        <w:spacing w:after="0"/>
        <w:jc w:val="both"/>
        <w:rPr>
          <w:sz w:val="16"/>
        </w:rPr>
        <w:sectPr w:rsidR="008B0834" w:rsidRPr="001C66D2" w:rsidSect="00F7498D">
          <w:type w:val="continuous"/>
          <w:pgSz w:w="11907" w:h="16840" w:code="9"/>
          <w:pgMar w:top="1701" w:right="720" w:bottom="720" w:left="720" w:header="709" w:footer="709" w:gutter="0"/>
          <w:cols w:num="2" w:space="284" w:equalWidth="0">
            <w:col w:w="5647" w:space="284"/>
            <w:col w:w="4536"/>
          </w:cols>
          <w:docGrid w:linePitch="360"/>
        </w:sectPr>
      </w:pPr>
    </w:p>
    <w:p w14:paraId="28560784" w14:textId="77777777" w:rsidR="008B0834" w:rsidRDefault="008B0834" w:rsidP="008B0834">
      <w:pPr>
        <w:pStyle w:val="BodyText"/>
        <w:spacing w:after="0"/>
        <w:jc w:val="both"/>
        <w:rPr>
          <w:sz w:val="16"/>
        </w:rPr>
      </w:pPr>
    </w:p>
    <w:p w14:paraId="076B2587" w14:textId="77777777" w:rsidR="008B0834" w:rsidRPr="003D5BE8" w:rsidRDefault="008B0834" w:rsidP="008B0834">
      <w:pPr>
        <w:pStyle w:val="BodyText"/>
        <w:spacing w:after="0"/>
        <w:jc w:val="both"/>
        <w:rPr>
          <w:sz w:val="16"/>
        </w:rPr>
      </w:pPr>
    </w:p>
    <w:p w14:paraId="348B65F7" w14:textId="77777777" w:rsidR="008B0834" w:rsidRDefault="008B0834" w:rsidP="008B0834">
      <w:pPr>
        <w:pStyle w:val="BodyText"/>
        <w:spacing w:after="0"/>
        <w:rPr>
          <w:b/>
          <w:color w:val="92278F" w:themeColor="accent1"/>
          <w:sz w:val="20"/>
          <w:vertAlign w:val="superscript"/>
        </w:rPr>
      </w:pPr>
      <w:r w:rsidRPr="00020369">
        <w:rPr>
          <w:b/>
          <w:color w:val="92278F" w:themeColor="accent1"/>
          <w:sz w:val="20"/>
        </w:rPr>
        <w:t>Australia’s exchange rate and commodity prices</w:t>
      </w:r>
      <w:r w:rsidRPr="00020369">
        <w:rPr>
          <w:b/>
          <w:color w:val="92278F" w:themeColor="accent1"/>
          <w:sz w:val="20"/>
          <w:vertAlign w:val="superscript"/>
        </w:rPr>
        <w:t>1</w:t>
      </w:r>
    </w:p>
    <w:p w14:paraId="62D377DD" w14:textId="0EFD031B" w:rsidR="008B0834" w:rsidRPr="0056408C" w:rsidRDefault="00554D23" w:rsidP="008B0834">
      <w:pPr>
        <w:pStyle w:val="BodyText"/>
        <w:spacing w:after="0"/>
        <w:rPr>
          <w:sz w:val="16"/>
        </w:rPr>
      </w:pPr>
      <w:r>
        <w:rPr>
          <w:noProof/>
          <w:sz w:val="16"/>
        </w:rPr>
        <w:drawing>
          <wp:inline distT="0" distB="0" distL="0" distR="0" wp14:anchorId="2FEE2EF1" wp14:editId="11EF8B9A">
            <wp:extent cx="3308350" cy="1966527"/>
            <wp:effectExtent l="0" t="0" r="635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23017" cy="1975246"/>
                    </a:xfrm>
                    <a:prstGeom prst="rect">
                      <a:avLst/>
                    </a:prstGeom>
                    <a:noFill/>
                    <a:ln>
                      <a:noFill/>
                    </a:ln>
                  </pic:spPr>
                </pic:pic>
              </a:graphicData>
            </a:graphic>
          </wp:inline>
        </w:drawing>
      </w:r>
    </w:p>
    <w:p w14:paraId="65AA4FE5" w14:textId="77777777" w:rsidR="008B0834" w:rsidRDefault="008B0834" w:rsidP="008B0834">
      <w:pPr>
        <w:pStyle w:val="ListBullet"/>
        <w:numPr>
          <w:ilvl w:val="0"/>
          <w:numId w:val="0"/>
        </w:numPr>
        <w:spacing w:after="0"/>
        <w:jc w:val="both"/>
        <w:rPr>
          <w:sz w:val="10"/>
        </w:rPr>
      </w:pPr>
      <w:r w:rsidRPr="00250692">
        <w:rPr>
          <w:sz w:val="10"/>
          <w:vertAlign w:val="superscript"/>
        </w:rPr>
        <w:t>1</w:t>
      </w:r>
      <w:r>
        <w:rPr>
          <w:sz w:val="10"/>
        </w:rPr>
        <w:t xml:space="preserve"> Monthly index of Australia’s </w:t>
      </w:r>
      <w:r w:rsidRPr="008809A4">
        <w:rPr>
          <w:sz w:val="10"/>
        </w:rPr>
        <w:t xml:space="preserve">commodity prices. 2021-22 = </w:t>
      </w:r>
      <w:r w:rsidRPr="009515A2">
        <w:rPr>
          <w:sz w:val="10"/>
        </w:rPr>
        <w:t>100.0</w:t>
      </w:r>
      <w:r w:rsidRPr="00FB1106">
        <w:rPr>
          <w:sz w:val="10"/>
        </w:rPr>
        <w:t xml:space="preserve">. </w:t>
      </w:r>
      <w:r>
        <w:rPr>
          <w:sz w:val="10"/>
        </w:rPr>
        <w:t xml:space="preserve">Nominal or not adjusted for price changes. Original series. </w:t>
      </w:r>
      <w:r w:rsidRPr="00114BBD">
        <w:rPr>
          <w:sz w:val="10"/>
          <w:vertAlign w:val="superscript"/>
        </w:rPr>
        <w:t>2</w:t>
      </w:r>
      <w:r>
        <w:rPr>
          <w:sz w:val="10"/>
        </w:rPr>
        <w:t> The benchmark (62% iron content</w:t>
      </w:r>
      <w:r w:rsidRPr="00114BBD">
        <w:rPr>
          <w:sz w:val="10"/>
        </w:rPr>
        <w:t>) iron ore price delivered to China inclusive of cost and freight</w:t>
      </w:r>
      <w:r>
        <w:rPr>
          <w:sz w:val="10"/>
        </w:rPr>
        <w:t>.</w:t>
      </w:r>
    </w:p>
    <w:p w14:paraId="51C7F2A3" w14:textId="77777777" w:rsidR="008B0834" w:rsidRPr="00716C34" w:rsidRDefault="008B0834" w:rsidP="008B0834">
      <w:pPr>
        <w:spacing w:after="0"/>
        <w:jc w:val="both"/>
        <w:rPr>
          <w:sz w:val="10"/>
        </w:rPr>
      </w:pPr>
      <w:r>
        <w:rPr>
          <w:sz w:val="10"/>
        </w:rPr>
        <w:t>Source: Reserve Bank of Australia (RBA), Statistical Tables (Monthly)</w:t>
      </w:r>
      <w:r w:rsidRPr="00716C34">
        <w:rPr>
          <w:sz w:val="10"/>
        </w:rPr>
        <w:t>.</w:t>
      </w:r>
    </w:p>
    <w:p w14:paraId="7EB42703" w14:textId="77777777" w:rsidR="008B0834" w:rsidRDefault="008B0834" w:rsidP="008B0834">
      <w:pPr>
        <w:spacing w:after="0"/>
        <w:jc w:val="both"/>
        <w:rPr>
          <w:sz w:val="16"/>
        </w:rPr>
      </w:pPr>
    </w:p>
    <w:p w14:paraId="60498916" w14:textId="77777777" w:rsidR="008B0834" w:rsidRDefault="008B0834" w:rsidP="008B0834">
      <w:pPr>
        <w:spacing w:after="0"/>
        <w:jc w:val="both"/>
        <w:rPr>
          <w:sz w:val="16"/>
        </w:rPr>
      </w:pPr>
      <w:r>
        <w:rPr>
          <w:sz w:val="16"/>
        </w:rPr>
        <w:br w:type="column"/>
      </w:r>
    </w:p>
    <w:p w14:paraId="001CF985" w14:textId="77777777" w:rsidR="008B0834" w:rsidRDefault="008B0834" w:rsidP="008B0834">
      <w:pPr>
        <w:spacing w:after="0"/>
        <w:jc w:val="both"/>
        <w:rPr>
          <w:sz w:val="16"/>
        </w:rPr>
      </w:pPr>
    </w:p>
    <w:p w14:paraId="729D25B3" w14:textId="77777777" w:rsidR="008B0834" w:rsidRDefault="008B0834" w:rsidP="008B0834">
      <w:pPr>
        <w:spacing w:after="0"/>
        <w:jc w:val="both"/>
        <w:rPr>
          <w:sz w:val="16"/>
        </w:rPr>
      </w:pPr>
    </w:p>
    <w:p w14:paraId="11BC41B0" w14:textId="2E255216" w:rsidR="008B0834" w:rsidRPr="00B0381F" w:rsidRDefault="008B0834" w:rsidP="008B0834">
      <w:pPr>
        <w:pStyle w:val="BodyText"/>
        <w:numPr>
          <w:ilvl w:val="0"/>
          <w:numId w:val="9"/>
        </w:numPr>
        <w:spacing w:after="0"/>
        <w:jc w:val="both"/>
        <w:rPr>
          <w:sz w:val="16"/>
        </w:rPr>
      </w:pPr>
      <w:r w:rsidRPr="00B0381F">
        <w:rPr>
          <w:sz w:val="16"/>
        </w:rPr>
        <w:t xml:space="preserve">The Australian dollar </w:t>
      </w:r>
      <w:r w:rsidR="00474618" w:rsidRPr="00B0381F">
        <w:rPr>
          <w:sz w:val="16"/>
        </w:rPr>
        <w:t>rose 4.8</w:t>
      </w:r>
      <w:r w:rsidRPr="00B0381F">
        <w:rPr>
          <w:sz w:val="16"/>
        </w:rPr>
        <w:t>% to average US6</w:t>
      </w:r>
      <w:r w:rsidR="00474618" w:rsidRPr="00B0381F">
        <w:rPr>
          <w:sz w:val="16"/>
        </w:rPr>
        <w:t>6.5</w:t>
      </w:r>
      <w:r w:rsidRPr="00B0381F">
        <w:rPr>
          <w:sz w:val="16"/>
        </w:rPr>
        <w:t xml:space="preserve"> cents in </w:t>
      </w:r>
      <w:r w:rsidR="00474618" w:rsidRPr="00B0381F">
        <w:rPr>
          <w:sz w:val="16"/>
        </w:rPr>
        <w:t>Novem</w:t>
      </w:r>
      <w:r w:rsidR="003A4DD8" w:rsidRPr="00B0381F">
        <w:rPr>
          <w:sz w:val="16"/>
        </w:rPr>
        <w:t>ber</w:t>
      </w:r>
      <w:r w:rsidRPr="00B0381F">
        <w:rPr>
          <w:sz w:val="16"/>
        </w:rPr>
        <w:t> 2023.</w:t>
      </w:r>
    </w:p>
    <w:p w14:paraId="7E30AFF6" w14:textId="0BBDEC0C" w:rsidR="008B0834" w:rsidRPr="00B0381F" w:rsidRDefault="008B0834" w:rsidP="008B0834">
      <w:pPr>
        <w:pStyle w:val="BodyText"/>
        <w:numPr>
          <w:ilvl w:val="0"/>
          <w:numId w:val="9"/>
        </w:numPr>
        <w:spacing w:after="0"/>
        <w:jc w:val="both"/>
        <w:rPr>
          <w:sz w:val="16"/>
        </w:rPr>
      </w:pPr>
      <w:r w:rsidRPr="00B0381F">
        <w:rPr>
          <w:sz w:val="16"/>
        </w:rPr>
        <w:t xml:space="preserve">The Australian dollar fell 7.2% to an average of US67.1 cents in 2022-23. The WA </w:t>
      </w:r>
      <w:r w:rsidR="008821AB" w:rsidRPr="00B0381F">
        <w:rPr>
          <w:sz w:val="16"/>
        </w:rPr>
        <w:t>Government Mid-year Financial Projections Statement</w:t>
      </w:r>
      <w:r w:rsidR="008821AB" w:rsidRPr="00B0381F" w:rsidDel="008821AB">
        <w:rPr>
          <w:sz w:val="16"/>
        </w:rPr>
        <w:t xml:space="preserve"> </w:t>
      </w:r>
      <w:r w:rsidRPr="00B0381F">
        <w:rPr>
          <w:sz w:val="16"/>
        </w:rPr>
        <w:t>2023</w:t>
      </w:r>
      <w:r w:rsidRPr="00B0381F">
        <w:rPr>
          <w:sz w:val="16"/>
        </w:rPr>
        <w:noBreakHyphen/>
        <w:t>24 forecasts the Australian dollar will average US</w:t>
      </w:r>
      <w:r w:rsidR="008821AB" w:rsidRPr="00B0381F">
        <w:rPr>
          <w:sz w:val="16"/>
        </w:rPr>
        <w:t>65.3</w:t>
      </w:r>
      <w:r w:rsidRPr="00B0381F">
        <w:rPr>
          <w:sz w:val="16"/>
        </w:rPr>
        <w:t> cents in 2023</w:t>
      </w:r>
      <w:r w:rsidRPr="00B0381F">
        <w:rPr>
          <w:sz w:val="16"/>
        </w:rPr>
        <w:noBreakHyphen/>
        <w:t>24 and US6</w:t>
      </w:r>
      <w:r w:rsidR="008821AB" w:rsidRPr="00B0381F">
        <w:rPr>
          <w:sz w:val="16"/>
        </w:rPr>
        <w:t>7.0</w:t>
      </w:r>
      <w:r w:rsidRPr="00B0381F">
        <w:rPr>
          <w:sz w:val="16"/>
        </w:rPr>
        <w:t> cents in 2024</w:t>
      </w:r>
      <w:r w:rsidRPr="00B0381F">
        <w:rPr>
          <w:sz w:val="16"/>
        </w:rPr>
        <w:noBreakHyphen/>
        <w:t>25.</w:t>
      </w:r>
    </w:p>
    <w:p w14:paraId="2CDB64F5" w14:textId="31A82F48" w:rsidR="008B0834" w:rsidRPr="00B0381F" w:rsidRDefault="008B0834" w:rsidP="008B0834">
      <w:pPr>
        <w:pStyle w:val="BodyText"/>
        <w:numPr>
          <w:ilvl w:val="0"/>
          <w:numId w:val="9"/>
        </w:numPr>
        <w:spacing w:after="0"/>
        <w:jc w:val="both"/>
        <w:rPr>
          <w:sz w:val="16"/>
        </w:rPr>
      </w:pPr>
      <w:r w:rsidRPr="00B0381F">
        <w:rPr>
          <w:sz w:val="16"/>
        </w:rPr>
        <w:t xml:space="preserve">The RBA’s Index of Commodity Prices rose </w:t>
      </w:r>
      <w:r w:rsidR="00474618" w:rsidRPr="00B0381F">
        <w:rPr>
          <w:sz w:val="16"/>
        </w:rPr>
        <w:t>0.9</w:t>
      </w:r>
      <w:r w:rsidRPr="00B0381F">
        <w:rPr>
          <w:sz w:val="16"/>
        </w:rPr>
        <w:t xml:space="preserve">% in Australian dollar terms in </w:t>
      </w:r>
      <w:r w:rsidR="00474618" w:rsidRPr="00B0381F">
        <w:rPr>
          <w:sz w:val="16"/>
        </w:rPr>
        <w:t>Novem</w:t>
      </w:r>
      <w:r w:rsidR="00713905" w:rsidRPr="00B0381F">
        <w:rPr>
          <w:sz w:val="16"/>
        </w:rPr>
        <w:t>ber</w:t>
      </w:r>
      <w:r w:rsidRPr="00B0381F">
        <w:rPr>
          <w:sz w:val="16"/>
        </w:rPr>
        <w:t> 2023.</w:t>
      </w:r>
    </w:p>
    <w:p w14:paraId="77BCD6C1" w14:textId="1B29FD0E" w:rsidR="008B0834" w:rsidRPr="00B0381F" w:rsidRDefault="008B0834" w:rsidP="008B0834">
      <w:pPr>
        <w:pStyle w:val="BodyText"/>
        <w:numPr>
          <w:ilvl w:val="0"/>
          <w:numId w:val="9"/>
        </w:numPr>
        <w:spacing w:after="0"/>
        <w:jc w:val="both"/>
        <w:rPr>
          <w:sz w:val="16"/>
        </w:rPr>
      </w:pPr>
      <w:r w:rsidRPr="00B0381F">
        <w:rPr>
          <w:sz w:val="16"/>
        </w:rPr>
        <w:t>The iron ore price</w:t>
      </w:r>
      <w:r w:rsidRPr="00B0381F">
        <w:rPr>
          <w:sz w:val="16"/>
          <w:vertAlign w:val="superscript"/>
        </w:rPr>
        <w:t>2</w:t>
      </w:r>
      <w:r w:rsidRPr="00B0381F">
        <w:rPr>
          <w:sz w:val="16"/>
        </w:rPr>
        <w:t xml:space="preserve"> </w:t>
      </w:r>
      <w:r w:rsidR="00474618" w:rsidRPr="00B0381F">
        <w:rPr>
          <w:sz w:val="16"/>
        </w:rPr>
        <w:t>rose 10.2</w:t>
      </w:r>
      <w:r w:rsidRPr="00B0381F">
        <w:rPr>
          <w:sz w:val="16"/>
        </w:rPr>
        <w:t>% to US$1</w:t>
      </w:r>
      <w:r w:rsidR="00474618" w:rsidRPr="00B0381F">
        <w:rPr>
          <w:sz w:val="16"/>
        </w:rPr>
        <w:t>31.1</w:t>
      </w:r>
      <w:r w:rsidRPr="00B0381F">
        <w:rPr>
          <w:sz w:val="16"/>
        </w:rPr>
        <w:t xml:space="preserve"> a tonne in </w:t>
      </w:r>
      <w:r w:rsidR="00474618" w:rsidRPr="00B0381F">
        <w:rPr>
          <w:sz w:val="16"/>
        </w:rPr>
        <w:t>Novem</w:t>
      </w:r>
      <w:r w:rsidR="00713905" w:rsidRPr="00B0381F">
        <w:rPr>
          <w:sz w:val="16"/>
        </w:rPr>
        <w:t>ber</w:t>
      </w:r>
      <w:r w:rsidRPr="00B0381F">
        <w:rPr>
          <w:sz w:val="16"/>
        </w:rPr>
        <w:t> 2023.</w:t>
      </w:r>
    </w:p>
    <w:p w14:paraId="22879C75" w14:textId="1C265594" w:rsidR="008B0834" w:rsidRPr="00B0381F" w:rsidRDefault="008B0834" w:rsidP="008B0834">
      <w:pPr>
        <w:pStyle w:val="BodyText"/>
        <w:numPr>
          <w:ilvl w:val="0"/>
          <w:numId w:val="9"/>
        </w:numPr>
        <w:spacing w:after="0"/>
        <w:jc w:val="both"/>
        <w:rPr>
          <w:sz w:val="16"/>
        </w:rPr>
      </w:pPr>
      <w:r w:rsidRPr="00B0381F">
        <w:rPr>
          <w:sz w:val="16"/>
        </w:rPr>
        <w:t>The iron ore price</w:t>
      </w:r>
      <w:r w:rsidRPr="00B0381F">
        <w:rPr>
          <w:sz w:val="16"/>
          <w:vertAlign w:val="superscript"/>
        </w:rPr>
        <w:t>2</w:t>
      </w:r>
      <w:r w:rsidRPr="00B0381F">
        <w:rPr>
          <w:sz w:val="16"/>
        </w:rPr>
        <w:t xml:space="preserve"> fell 20.8% to an average of US$110.8 a tonne in 2022-23. The WA Government </w:t>
      </w:r>
      <w:r w:rsidR="008821AB" w:rsidRPr="00B0381F">
        <w:rPr>
          <w:sz w:val="16"/>
        </w:rPr>
        <w:t>Mid-year Financial Projections Statement</w:t>
      </w:r>
      <w:r w:rsidR="008821AB" w:rsidRPr="00B0381F" w:rsidDel="008821AB">
        <w:rPr>
          <w:sz w:val="16"/>
        </w:rPr>
        <w:t xml:space="preserve"> </w:t>
      </w:r>
      <w:r w:rsidRPr="00B0381F">
        <w:rPr>
          <w:sz w:val="16"/>
        </w:rPr>
        <w:t>2023</w:t>
      </w:r>
      <w:r w:rsidRPr="00B0381F">
        <w:rPr>
          <w:sz w:val="16"/>
        </w:rPr>
        <w:noBreakHyphen/>
        <w:t>24 forecasts the iron ore price</w:t>
      </w:r>
      <w:r w:rsidRPr="00B0381F">
        <w:rPr>
          <w:sz w:val="16"/>
          <w:vertAlign w:val="superscript"/>
        </w:rPr>
        <w:t>2</w:t>
      </w:r>
      <w:r w:rsidRPr="00B0381F">
        <w:rPr>
          <w:sz w:val="16"/>
        </w:rPr>
        <w:t xml:space="preserve"> will average US$</w:t>
      </w:r>
      <w:r w:rsidR="008821AB" w:rsidRPr="00B0381F">
        <w:rPr>
          <w:sz w:val="16"/>
        </w:rPr>
        <w:t>104.2</w:t>
      </w:r>
      <w:r w:rsidRPr="00B0381F">
        <w:rPr>
          <w:sz w:val="16"/>
        </w:rPr>
        <w:t> a tonne in 2023</w:t>
      </w:r>
      <w:r w:rsidRPr="00B0381F">
        <w:rPr>
          <w:sz w:val="16"/>
        </w:rPr>
        <w:noBreakHyphen/>
        <w:t>24 and US$66.0 a tonne in 2024</w:t>
      </w:r>
      <w:r w:rsidRPr="00B0381F">
        <w:rPr>
          <w:sz w:val="16"/>
        </w:rPr>
        <w:noBreakHyphen/>
        <w:t>25.</w:t>
      </w:r>
    </w:p>
    <w:p w14:paraId="4789EF2C" w14:textId="77777777" w:rsidR="008B0834" w:rsidRPr="00623F5B" w:rsidRDefault="008B0834" w:rsidP="008B0834">
      <w:pPr>
        <w:spacing w:after="0"/>
        <w:jc w:val="both"/>
        <w:rPr>
          <w:sz w:val="16"/>
        </w:rPr>
      </w:pPr>
      <w:r w:rsidRPr="00623F5B">
        <w:rPr>
          <w:sz w:val="16"/>
        </w:rPr>
        <w:br w:type="page"/>
      </w:r>
    </w:p>
    <w:p w14:paraId="11A94D71" w14:textId="77777777" w:rsidR="008B0834" w:rsidRPr="00DD5DF4" w:rsidRDefault="008B0834" w:rsidP="008B0834">
      <w:pPr>
        <w:spacing w:after="0"/>
        <w:jc w:val="both"/>
        <w:rPr>
          <w:b/>
          <w:color w:val="002060"/>
          <w:sz w:val="22"/>
        </w:rPr>
      </w:pPr>
      <w:r>
        <w:rPr>
          <w:b/>
          <w:color w:val="002060"/>
          <w:sz w:val="22"/>
        </w:rPr>
        <w:lastRenderedPageBreak/>
        <w:t>Consumer</w:t>
      </w:r>
      <w:r w:rsidRPr="00DD5DF4">
        <w:rPr>
          <w:b/>
          <w:color w:val="002060"/>
          <w:sz w:val="22"/>
        </w:rPr>
        <w:t xml:space="preserve"> and </w:t>
      </w:r>
      <w:r>
        <w:rPr>
          <w:b/>
          <w:color w:val="002060"/>
          <w:sz w:val="22"/>
        </w:rPr>
        <w:t>producer prices</w:t>
      </w:r>
    </w:p>
    <w:p w14:paraId="270CB574" w14:textId="77777777" w:rsidR="008B0834" w:rsidRPr="00020369" w:rsidRDefault="008B0834" w:rsidP="008B0834">
      <w:pPr>
        <w:spacing w:after="0"/>
        <w:rPr>
          <w:color w:val="92278F" w:themeColor="accent1"/>
          <w:sz w:val="22"/>
        </w:rPr>
      </w:pPr>
      <w:r>
        <w:rPr>
          <w:b/>
          <w:color w:val="92278F" w:themeColor="accent1"/>
          <w:sz w:val="20"/>
        </w:rPr>
        <w:t>Consumer</w:t>
      </w:r>
      <w:r w:rsidRPr="00020369">
        <w:rPr>
          <w:b/>
          <w:color w:val="92278F" w:themeColor="accent1"/>
          <w:sz w:val="20"/>
        </w:rPr>
        <w:t xml:space="preserve"> price index</w:t>
      </w:r>
      <w:r w:rsidRPr="003430A9">
        <w:rPr>
          <w:b/>
          <w:color w:val="92278F" w:themeColor="accent1"/>
          <w:sz w:val="20"/>
          <w:vertAlign w:val="superscript"/>
        </w:rPr>
        <w:t>1</w:t>
      </w:r>
      <w:r w:rsidRPr="00020369">
        <w:rPr>
          <w:b/>
          <w:color w:val="92278F" w:themeColor="accent1"/>
          <w:sz w:val="20"/>
        </w:rPr>
        <w:t xml:space="preserve"> (% change</w:t>
      </w:r>
      <w:r>
        <w:rPr>
          <w:b/>
          <w:color w:val="92278F" w:themeColor="accent1"/>
          <w:sz w:val="20"/>
          <w:vertAlign w:val="superscript"/>
        </w:rPr>
        <w:t>2</w:t>
      </w:r>
      <w:r>
        <w:rPr>
          <w:b/>
          <w:color w:val="92278F" w:themeColor="accent1"/>
          <w:sz w:val="20"/>
        </w:rPr>
        <w:t>)</w:t>
      </w:r>
    </w:p>
    <w:p w14:paraId="2D99EEF8" w14:textId="40C3AF32" w:rsidR="008B0834" w:rsidRDefault="00904E9B" w:rsidP="008B0834">
      <w:pPr>
        <w:spacing w:after="0"/>
        <w:jc w:val="both"/>
        <w:rPr>
          <w:sz w:val="16"/>
        </w:rPr>
      </w:pPr>
      <w:r>
        <w:rPr>
          <w:noProof/>
          <w:sz w:val="16"/>
        </w:rPr>
        <w:drawing>
          <wp:inline distT="0" distB="0" distL="0" distR="0" wp14:anchorId="287C1389" wp14:editId="69A99218">
            <wp:extent cx="3528000" cy="2091106"/>
            <wp:effectExtent l="0" t="0" r="0" b="444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28000" cy="2091106"/>
                    </a:xfrm>
                    <a:prstGeom prst="rect">
                      <a:avLst/>
                    </a:prstGeom>
                    <a:noFill/>
                    <a:ln>
                      <a:noFill/>
                    </a:ln>
                  </pic:spPr>
                </pic:pic>
              </a:graphicData>
            </a:graphic>
          </wp:inline>
        </w:drawing>
      </w:r>
    </w:p>
    <w:p w14:paraId="0571730B" w14:textId="77777777" w:rsidR="008B0834" w:rsidRPr="00F96E12" w:rsidRDefault="008B0834" w:rsidP="008B0834">
      <w:pPr>
        <w:spacing w:after="0"/>
        <w:jc w:val="both"/>
        <w:rPr>
          <w:sz w:val="10"/>
        </w:rPr>
      </w:pPr>
      <w:r w:rsidRPr="00F96E12">
        <w:rPr>
          <w:sz w:val="10"/>
          <w:vertAlign w:val="superscript"/>
        </w:rPr>
        <w:t>1</w:t>
      </w:r>
      <w:r w:rsidRPr="00F96E12">
        <w:rPr>
          <w:sz w:val="10"/>
        </w:rPr>
        <w:t xml:space="preserve"> All commodity groups. Original series. Consumer price index 2011-12 = 100.0. </w:t>
      </w:r>
      <w:r w:rsidRPr="00F96E12">
        <w:rPr>
          <w:sz w:val="10"/>
          <w:vertAlign w:val="superscript"/>
        </w:rPr>
        <w:t>2</w:t>
      </w:r>
      <w:r w:rsidRPr="00F96E12">
        <w:rPr>
          <w:sz w:val="10"/>
        </w:rPr>
        <w:t xml:space="preserve"> Change from same quarter of previous year or year-on-year. (a) Weighted average of 8 capital cities. </w:t>
      </w:r>
    </w:p>
    <w:p w14:paraId="6C572364" w14:textId="77777777" w:rsidR="008B0834" w:rsidRPr="00F96E12" w:rsidRDefault="008B0834" w:rsidP="008B0834">
      <w:pPr>
        <w:spacing w:after="0"/>
        <w:jc w:val="both"/>
        <w:rPr>
          <w:sz w:val="16"/>
        </w:rPr>
      </w:pPr>
      <w:r w:rsidRPr="00F96E12">
        <w:rPr>
          <w:sz w:val="10"/>
        </w:rPr>
        <w:t xml:space="preserve">Source: </w:t>
      </w:r>
      <w:r w:rsidRPr="0065045F">
        <w:rPr>
          <w:sz w:val="10"/>
        </w:rPr>
        <w:t xml:space="preserve">Based on data from </w:t>
      </w:r>
      <w:r w:rsidRPr="00F96E12">
        <w:rPr>
          <w:sz w:val="10"/>
        </w:rPr>
        <w:t>ABS 6401.0 Consumer Price Index, Australia (Quarterly).</w:t>
      </w:r>
    </w:p>
    <w:p w14:paraId="65F5AE95" w14:textId="77777777" w:rsidR="008B0834" w:rsidRDefault="008B0834" w:rsidP="008B0834">
      <w:pPr>
        <w:spacing w:after="0"/>
        <w:jc w:val="both"/>
        <w:rPr>
          <w:sz w:val="16"/>
        </w:rPr>
      </w:pPr>
      <w:r>
        <w:rPr>
          <w:sz w:val="16"/>
        </w:rPr>
        <w:br w:type="column"/>
      </w:r>
    </w:p>
    <w:p w14:paraId="1D3782B1" w14:textId="77777777" w:rsidR="008B0834" w:rsidRDefault="008B0834" w:rsidP="008B0834">
      <w:pPr>
        <w:spacing w:after="0"/>
        <w:jc w:val="both"/>
        <w:rPr>
          <w:sz w:val="16"/>
        </w:rPr>
      </w:pPr>
    </w:p>
    <w:p w14:paraId="759D7DBD" w14:textId="77777777" w:rsidR="008B0834" w:rsidRPr="00BC4229" w:rsidRDefault="008B0834" w:rsidP="008B0834">
      <w:pPr>
        <w:pStyle w:val="BodyText"/>
        <w:numPr>
          <w:ilvl w:val="0"/>
          <w:numId w:val="9"/>
        </w:numPr>
        <w:spacing w:after="0"/>
        <w:jc w:val="both"/>
        <w:rPr>
          <w:sz w:val="16"/>
        </w:rPr>
      </w:pPr>
      <w:r w:rsidRPr="00BC4229">
        <w:rPr>
          <w:sz w:val="16"/>
        </w:rPr>
        <w:t>Perth’s annual inflation rate, as measured by year</w:t>
      </w:r>
      <w:r w:rsidRPr="00BC4229">
        <w:rPr>
          <w:sz w:val="16"/>
        </w:rPr>
        <w:noBreakHyphen/>
        <w:t>on</w:t>
      </w:r>
      <w:r w:rsidRPr="00BC4229">
        <w:rPr>
          <w:sz w:val="16"/>
        </w:rPr>
        <w:noBreakHyphen/>
        <w:t>year growth in the consumer price index (CPI), was 5.8% in the September quarter 2023.</w:t>
      </w:r>
    </w:p>
    <w:p w14:paraId="35EDB9C4" w14:textId="77777777" w:rsidR="008B0834" w:rsidRPr="00BC4229" w:rsidRDefault="008B0834" w:rsidP="008B0834">
      <w:pPr>
        <w:pStyle w:val="BodyText"/>
        <w:numPr>
          <w:ilvl w:val="0"/>
          <w:numId w:val="9"/>
        </w:numPr>
        <w:spacing w:after="0"/>
        <w:jc w:val="both"/>
        <w:rPr>
          <w:sz w:val="16"/>
        </w:rPr>
      </w:pPr>
      <w:r w:rsidRPr="00BC4229">
        <w:rPr>
          <w:sz w:val="16"/>
        </w:rPr>
        <w:t>Perth’s CPI growth rate was higher than Australia’s CPI growth</w:t>
      </w:r>
      <w:r w:rsidRPr="00BC4229">
        <w:rPr>
          <w:sz w:val="16"/>
          <w:vertAlign w:val="superscript"/>
        </w:rPr>
        <w:t xml:space="preserve">2 </w:t>
      </w:r>
      <w:r w:rsidRPr="00BC4229">
        <w:rPr>
          <w:sz w:val="16"/>
        </w:rPr>
        <w:t>rate in the September quarter 2023 (5.4%). Although there have been differences in individual quarters, Perth’s annual inflation rate has largely tracked the Australian rate over the past four years.</w:t>
      </w:r>
    </w:p>
    <w:p w14:paraId="7BFC62A6" w14:textId="77777777" w:rsidR="008B0834" w:rsidRPr="00BC4229" w:rsidRDefault="008B0834" w:rsidP="008B0834">
      <w:pPr>
        <w:pStyle w:val="BodyText"/>
        <w:numPr>
          <w:ilvl w:val="0"/>
          <w:numId w:val="9"/>
        </w:numPr>
        <w:spacing w:after="0"/>
        <w:jc w:val="both"/>
        <w:rPr>
          <w:sz w:val="16"/>
        </w:rPr>
      </w:pPr>
      <w:r w:rsidRPr="00BC4229">
        <w:rPr>
          <w:sz w:val="16"/>
        </w:rPr>
        <w:t>Perth’s annual average CPI rose 6.2% in 2022</w:t>
      </w:r>
      <w:r w:rsidRPr="00BC4229">
        <w:rPr>
          <w:sz w:val="16"/>
        </w:rPr>
        <w:noBreakHyphen/>
        <w:t>23, up from 6.0% in 2021-22.</w:t>
      </w:r>
    </w:p>
    <w:p w14:paraId="1C618154" w14:textId="2A4983E8" w:rsidR="008B0834" w:rsidRPr="00B0381F" w:rsidRDefault="008B0834" w:rsidP="008B0834">
      <w:pPr>
        <w:pStyle w:val="BodyText"/>
        <w:numPr>
          <w:ilvl w:val="0"/>
          <w:numId w:val="9"/>
        </w:numPr>
        <w:spacing w:after="0"/>
        <w:jc w:val="both"/>
        <w:rPr>
          <w:sz w:val="16"/>
        </w:rPr>
      </w:pPr>
      <w:r w:rsidRPr="00C40771">
        <w:rPr>
          <w:sz w:val="16"/>
        </w:rPr>
        <w:t xml:space="preserve">The measure of Perth’s CPI in the WA Government’s State Budget excludes the electricity sub-index, to smooth out the effect of successive Household Electricity Credits provided across the State. </w:t>
      </w:r>
      <w:r w:rsidRPr="00B0381F">
        <w:rPr>
          <w:sz w:val="16"/>
        </w:rPr>
        <w:t xml:space="preserve">On this basis, the WA </w:t>
      </w:r>
      <w:r w:rsidR="008821AB" w:rsidRPr="00B0381F">
        <w:rPr>
          <w:sz w:val="16"/>
        </w:rPr>
        <w:t>Mid-year Financial Projections Statement</w:t>
      </w:r>
      <w:r w:rsidRPr="00B0381F">
        <w:rPr>
          <w:sz w:val="16"/>
        </w:rPr>
        <w:t xml:space="preserve"> 2023-24 forecasts Perth’s annual average CPI will rise </w:t>
      </w:r>
      <w:r w:rsidR="008821AB" w:rsidRPr="00B0381F">
        <w:rPr>
          <w:sz w:val="16"/>
        </w:rPr>
        <w:t>4.0</w:t>
      </w:r>
      <w:r w:rsidRPr="00B0381F">
        <w:rPr>
          <w:sz w:val="16"/>
        </w:rPr>
        <w:t xml:space="preserve">% in 2023-24 and </w:t>
      </w:r>
      <w:r w:rsidR="008821AB" w:rsidRPr="00B0381F">
        <w:rPr>
          <w:sz w:val="16"/>
        </w:rPr>
        <w:t>3.0</w:t>
      </w:r>
      <w:r w:rsidRPr="00B0381F">
        <w:rPr>
          <w:sz w:val="16"/>
        </w:rPr>
        <w:t>% in 2024-25.</w:t>
      </w:r>
    </w:p>
    <w:p w14:paraId="63AB3347" w14:textId="77777777" w:rsidR="008B0834" w:rsidRPr="00966514" w:rsidRDefault="008B0834" w:rsidP="008B0834">
      <w:pPr>
        <w:pStyle w:val="BodyText"/>
        <w:numPr>
          <w:ilvl w:val="0"/>
          <w:numId w:val="9"/>
        </w:numPr>
        <w:spacing w:after="0"/>
        <w:jc w:val="both"/>
        <w:rPr>
          <w:sz w:val="16"/>
        </w:rPr>
        <w:sectPr w:rsidR="008B0834" w:rsidRPr="00966514" w:rsidSect="00F7498D">
          <w:type w:val="continuous"/>
          <w:pgSz w:w="11907" w:h="16840" w:code="9"/>
          <w:pgMar w:top="1701" w:right="720" w:bottom="720" w:left="720" w:header="709" w:footer="709" w:gutter="0"/>
          <w:cols w:num="2" w:space="284" w:equalWidth="0">
            <w:col w:w="5647" w:space="284"/>
            <w:col w:w="4536"/>
          </w:cols>
          <w:docGrid w:linePitch="360"/>
        </w:sectPr>
      </w:pPr>
    </w:p>
    <w:p w14:paraId="39DB1ABD" w14:textId="77777777" w:rsidR="008B0834" w:rsidRDefault="008B0834" w:rsidP="008B0834">
      <w:pPr>
        <w:pStyle w:val="BodyText"/>
        <w:spacing w:after="0"/>
        <w:jc w:val="both"/>
        <w:rPr>
          <w:sz w:val="16"/>
        </w:rPr>
      </w:pPr>
    </w:p>
    <w:p w14:paraId="259D8660" w14:textId="77777777" w:rsidR="008B0834" w:rsidRPr="004A7FCA" w:rsidRDefault="008B0834" w:rsidP="008B0834">
      <w:pPr>
        <w:pStyle w:val="BodyText"/>
        <w:spacing w:after="0"/>
        <w:jc w:val="both"/>
        <w:rPr>
          <w:sz w:val="16"/>
        </w:rPr>
      </w:pPr>
    </w:p>
    <w:p w14:paraId="2738CFD1" w14:textId="77777777" w:rsidR="008B0834" w:rsidRPr="00020369" w:rsidRDefault="008B0834" w:rsidP="008B0834">
      <w:pPr>
        <w:pStyle w:val="BodyText"/>
        <w:spacing w:after="0"/>
        <w:rPr>
          <w:b/>
          <w:color w:val="92278F" w:themeColor="accent1"/>
          <w:sz w:val="20"/>
        </w:rPr>
      </w:pPr>
      <w:r>
        <w:rPr>
          <w:b/>
          <w:color w:val="92278F" w:themeColor="accent1"/>
          <w:sz w:val="20"/>
        </w:rPr>
        <w:t xml:space="preserve">Commodity </w:t>
      </w:r>
      <w:r w:rsidRPr="00317DE2">
        <w:rPr>
          <w:b/>
          <w:color w:val="92278F" w:themeColor="accent1"/>
          <w:sz w:val="20"/>
        </w:rPr>
        <w:t>group</w:t>
      </w:r>
      <w:r>
        <w:rPr>
          <w:b/>
          <w:color w:val="92278F" w:themeColor="accent1"/>
          <w:sz w:val="20"/>
        </w:rPr>
        <w:t xml:space="preserve"> index (% </w:t>
      </w:r>
      <w:r w:rsidRPr="003C63D0">
        <w:rPr>
          <w:b/>
          <w:color w:val="92278F" w:themeColor="accent1"/>
          <w:sz w:val="20"/>
        </w:rPr>
        <w:t>change</w:t>
      </w:r>
      <w:r>
        <w:rPr>
          <w:b/>
          <w:color w:val="92278F" w:themeColor="accent1"/>
          <w:sz w:val="20"/>
        </w:rPr>
        <w:t>)</w:t>
      </w:r>
      <w:r w:rsidRPr="00526239">
        <w:rPr>
          <w:b/>
          <w:color w:val="92278F" w:themeColor="accent1"/>
          <w:sz w:val="20"/>
          <w:vertAlign w:val="superscript"/>
        </w:rPr>
        <w:t>1</w:t>
      </w:r>
      <w:r>
        <w:rPr>
          <w:b/>
          <w:color w:val="92278F" w:themeColor="accent1"/>
          <w:sz w:val="20"/>
        </w:rPr>
        <w:t xml:space="preserve">: </w:t>
      </w:r>
      <w:r w:rsidRPr="00BC4229">
        <w:rPr>
          <w:b/>
          <w:color w:val="92278F" w:themeColor="accent1"/>
          <w:sz w:val="20"/>
        </w:rPr>
        <w:t xml:space="preserve">September </w:t>
      </w:r>
      <w:r w:rsidRPr="0056408C">
        <w:rPr>
          <w:b/>
          <w:color w:val="92278F" w:themeColor="accent1"/>
          <w:sz w:val="20"/>
        </w:rPr>
        <w:t>quarter 2023</w:t>
      </w:r>
    </w:p>
    <w:p w14:paraId="49894E94" w14:textId="0245400B" w:rsidR="008B0834" w:rsidRDefault="00904E9B" w:rsidP="008B0834">
      <w:pPr>
        <w:pStyle w:val="BodyText"/>
        <w:spacing w:after="0"/>
        <w:jc w:val="both"/>
        <w:rPr>
          <w:sz w:val="16"/>
        </w:rPr>
      </w:pPr>
      <w:r>
        <w:rPr>
          <w:noProof/>
          <w:sz w:val="16"/>
        </w:rPr>
        <w:drawing>
          <wp:inline distT="0" distB="0" distL="0" distR="0" wp14:anchorId="571D09CC" wp14:editId="4ED9F761">
            <wp:extent cx="3528000" cy="210340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339872CF" w14:textId="77777777" w:rsidR="008B0834" w:rsidRPr="00F61874" w:rsidRDefault="008B0834" w:rsidP="008B0834">
      <w:pPr>
        <w:spacing w:after="0"/>
        <w:jc w:val="both"/>
        <w:rPr>
          <w:sz w:val="10"/>
        </w:rPr>
      </w:pPr>
      <w:r w:rsidRPr="00966514">
        <w:rPr>
          <w:sz w:val="10"/>
          <w:vertAlign w:val="superscript"/>
        </w:rPr>
        <w:t>1</w:t>
      </w:r>
      <w:r w:rsidRPr="00966514">
        <w:rPr>
          <w:sz w:val="10"/>
        </w:rPr>
        <w:t xml:space="preserve"> Change from previous quarter</w:t>
      </w:r>
      <w:r w:rsidRPr="00B8329E">
        <w:rPr>
          <w:color w:val="FF0000"/>
          <w:sz w:val="10"/>
        </w:rPr>
        <w:t xml:space="preserve">. </w:t>
      </w:r>
      <w:r w:rsidRPr="00F61874">
        <w:rPr>
          <w:sz w:val="10"/>
          <w:vertAlign w:val="superscript"/>
        </w:rPr>
        <w:t>2</w:t>
      </w:r>
      <w:r w:rsidRPr="00F61874">
        <w:rPr>
          <w:sz w:val="10"/>
        </w:rPr>
        <w:t xml:space="preserve"> Original series. Consumer price index 2011-12 = 100.0. (a) Weighted average of 8 capital cities.</w:t>
      </w:r>
    </w:p>
    <w:p w14:paraId="7A795061" w14:textId="77777777" w:rsidR="008B0834" w:rsidRPr="00F61874" w:rsidRDefault="008B0834" w:rsidP="008B0834">
      <w:pPr>
        <w:spacing w:after="0"/>
        <w:jc w:val="both"/>
        <w:rPr>
          <w:sz w:val="16"/>
        </w:rPr>
      </w:pPr>
      <w:r w:rsidRPr="00F61874">
        <w:rPr>
          <w:sz w:val="10"/>
        </w:rPr>
        <w:t xml:space="preserve">Source: </w:t>
      </w:r>
      <w:r w:rsidRPr="0065045F">
        <w:rPr>
          <w:sz w:val="10"/>
        </w:rPr>
        <w:t xml:space="preserve">Based on data from ABS </w:t>
      </w:r>
      <w:r w:rsidRPr="00F61874">
        <w:rPr>
          <w:sz w:val="10"/>
        </w:rPr>
        <w:t>6401.0 Consumer Price Index, Australia (Quarterly).</w:t>
      </w:r>
    </w:p>
    <w:p w14:paraId="1B0D89A2" w14:textId="77777777" w:rsidR="008B0834" w:rsidRDefault="008B0834" w:rsidP="008B0834">
      <w:pPr>
        <w:pStyle w:val="BodyText"/>
        <w:spacing w:after="0"/>
        <w:jc w:val="both"/>
        <w:rPr>
          <w:sz w:val="16"/>
        </w:rPr>
      </w:pPr>
      <w:r>
        <w:rPr>
          <w:sz w:val="16"/>
        </w:rPr>
        <w:br w:type="column"/>
      </w:r>
    </w:p>
    <w:p w14:paraId="7165D102" w14:textId="77777777" w:rsidR="008B0834" w:rsidRDefault="008B0834" w:rsidP="008B0834">
      <w:pPr>
        <w:pStyle w:val="BodyText"/>
        <w:spacing w:after="0"/>
        <w:jc w:val="both"/>
        <w:rPr>
          <w:sz w:val="16"/>
        </w:rPr>
      </w:pPr>
    </w:p>
    <w:p w14:paraId="6A102CAA" w14:textId="77777777" w:rsidR="008B0834" w:rsidRPr="00BC4229" w:rsidRDefault="008B0834" w:rsidP="008B0834">
      <w:pPr>
        <w:pStyle w:val="BodyText"/>
        <w:numPr>
          <w:ilvl w:val="0"/>
          <w:numId w:val="9"/>
        </w:numPr>
        <w:spacing w:after="0"/>
        <w:jc w:val="both"/>
        <w:rPr>
          <w:sz w:val="16"/>
        </w:rPr>
      </w:pPr>
      <w:r w:rsidRPr="00BC4229">
        <w:rPr>
          <w:sz w:val="16"/>
        </w:rPr>
        <w:t>Perth’s CPI increased 0.4% in the September quarter 2023. There was particularly high growth in the price indexes in the September quarter 2023 for:</w:t>
      </w:r>
    </w:p>
    <w:p w14:paraId="098E682D" w14:textId="77777777" w:rsidR="008B0834" w:rsidRPr="00BC4229" w:rsidRDefault="008B0834" w:rsidP="008B0834">
      <w:pPr>
        <w:pStyle w:val="BodyText"/>
        <w:numPr>
          <w:ilvl w:val="1"/>
          <w:numId w:val="10"/>
        </w:numPr>
        <w:spacing w:after="0"/>
        <w:ind w:left="851" w:hanging="284"/>
        <w:jc w:val="both"/>
        <w:rPr>
          <w:sz w:val="16"/>
        </w:rPr>
      </w:pPr>
      <w:r w:rsidRPr="00BC4229">
        <w:rPr>
          <w:sz w:val="16"/>
        </w:rPr>
        <w:t>transport (up 3.7%)</w:t>
      </w:r>
    </w:p>
    <w:p w14:paraId="373F47D6" w14:textId="77777777" w:rsidR="008B0834" w:rsidRPr="00BC4229" w:rsidRDefault="008B0834" w:rsidP="008B0834">
      <w:pPr>
        <w:pStyle w:val="BodyText"/>
        <w:numPr>
          <w:ilvl w:val="1"/>
          <w:numId w:val="10"/>
        </w:numPr>
        <w:spacing w:after="0"/>
        <w:ind w:left="851" w:hanging="284"/>
        <w:jc w:val="both"/>
        <w:rPr>
          <w:sz w:val="16"/>
        </w:rPr>
      </w:pPr>
      <w:r w:rsidRPr="00BC4229">
        <w:rPr>
          <w:sz w:val="16"/>
        </w:rPr>
        <w:t>insurance and financial services (up 3.2%)</w:t>
      </w:r>
    </w:p>
    <w:p w14:paraId="11B3AD25" w14:textId="77777777" w:rsidR="008B0834" w:rsidRPr="00BC4229" w:rsidRDefault="008B0834" w:rsidP="008B0834">
      <w:pPr>
        <w:pStyle w:val="BodyText"/>
        <w:numPr>
          <w:ilvl w:val="1"/>
          <w:numId w:val="10"/>
        </w:numPr>
        <w:spacing w:after="0"/>
        <w:ind w:left="851" w:hanging="284"/>
        <w:jc w:val="both"/>
        <w:rPr>
          <w:sz w:val="16"/>
        </w:rPr>
      </w:pPr>
      <w:r w:rsidRPr="00BC4229">
        <w:rPr>
          <w:sz w:val="16"/>
        </w:rPr>
        <w:t>communication (2.1%).</w:t>
      </w:r>
    </w:p>
    <w:p w14:paraId="35061419" w14:textId="77777777" w:rsidR="008B0834" w:rsidRPr="00BC4229" w:rsidRDefault="008B0834" w:rsidP="008B0834">
      <w:pPr>
        <w:pStyle w:val="BodyText"/>
        <w:numPr>
          <w:ilvl w:val="0"/>
          <w:numId w:val="9"/>
        </w:numPr>
        <w:spacing w:after="0"/>
        <w:jc w:val="both"/>
        <w:rPr>
          <w:sz w:val="16"/>
        </w:rPr>
      </w:pPr>
      <w:r w:rsidRPr="00BC4229">
        <w:rPr>
          <w:sz w:val="16"/>
        </w:rPr>
        <w:t>These price increases were partly offset in the all groups CPI for Perth by falls in the price indexes for housing (down 2.4%), furnishings, household equipment and services (down 0.9%) and education (down 0.1%).</w:t>
      </w:r>
    </w:p>
    <w:p w14:paraId="453DCAA3" w14:textId="77777777" w:rsidR="008B0834" w:rsidRPr="00BC4229" w:rsidRDefault="008B0834" w:rsidP="008B0834">
      <w:pPr>
        <w:pStyle w:val="BodyText"/>
        <w:numPr>
          <w:ilvl w:val="1"/>
          <w:numId w:val="10"/>
        </w:numPr>
        <w:spacing w:after="0"/>
        <w:ind w:left="851" w:hanging="284"/>
        <w:jc w:val="both"/>
        <w:rPr>
          <w:sz w:val="16"/>
        </w:rPr>
      </w:pPr>
      <w:r w:rsidRPr="00BC4229">
        <w:rPr>
          <w:sz w:val="16"/>
        </w:rPr>
        <w:t>The fall in the housing group index for Perth was due to the implementation of the Household Electricity Credit during the September quarter 2023. Other components of the housing group increased during the September quarter 2023.</w:t>
      </w:r>
    </w:p>
    <w:p w14:paraId="6E93BAF6" w14:textId="77777777" w:rsidR="008B0834" w:rsidRPr="00BC4229" w:rsidRDefault="008B0834" w:rsidP="008B0834">
      <w:pPr>
        <w:pStyle w:val="BodyText"/>
        <w:numPr>
          <w:ilvl w:val="0"/>
          <w:numId w:val="9"/>
        </w:numPr>
        <w:spacing w:after="0"/>
        <w:jc w:val="both"/>
        <w:rPr>
          <w:sz w:val="16"/>
        </w:rPr>
      </w:pPr>
      <w:r w:rsidRPr="00BC4229">
        <w:rPr>
          <w:sz w:val="16"/>
        </w:rPr>
        <w:t>Australia’s CPI increased 1.2% in the September quarter 2023. The largest increases were in the price indexes for transport (up 3.2%), housing (up 2.2%) and communication (up 2.1%). These were partly offset in the all groups CPI for Australia by falls in the price indexes for furnishings, household equipment and services (down 0.8%), and education (down 0.4%).</w:t>
      </w:r>
    </w:p>
    <w:p w14:paraId="347850DA" w14:textId="77777777" w:rsidR="008B0834" w:rsidRPr="00110C2C" w:rsidRDefault="008B0834" w:rsidP="008B0834">
      <w:pPr>
        <w:pStyle w:val="BodyText"/>
        <w:spacing w:after="0"/>
        <w:ind w:left="284"/>
        <w:jc w:val="both"/>
        <w:rPr>
          <w:color w:val="FF0000"/>
          <w:sz w:val="16"/>
        </w:rPr>
        <w:sectPr w:rsidR="008B0834" w:rsidRPr="00110C2C" w:rsidSect="00F7498D">
          <w:type w:val="continuous"/>
          <w:pgSz w:w="11907" w:h="16840" w:code="9"/>
          <w:pgMar w:top="1701" w:right="720" w:bottom="720" w:left="720" w:header="709" w:footer="709" w:gutter="0"/>
          <w:cols w:num="2" w:space="284" w:equalWidth="0">
            <w:col w:w="5647" w:space="284"/>
            <w:col w:w="4536"/>
          </w:cols>
          <w:docGrid w:linePitch="360"/>
        </w:sectPr>
      </w:pPr>
      <w:r w:rsidRPr="00110C2C">
        <w:rPr>
          <w:color w:val="FF0000"/>
          <w:sz w:val="16"/>
        </w:rPr>
        <w:t xml:space="preserve"> </w:t>
      </w:r>
    </w:p>
    <w:p w14:paraId="06C27AD0" w14:textId="77777777" w:rsidR="008B0834" w:rsidRDefault="008B0834" w:rsidP="008B0834">
      <w:pPr>
        <w:pStyle w:val="BodyText"/>
        <w:spacing w:after="0"/>
        <w:jc w:val="both"/>
        <w:rPr>
          <w:sz w:val="16"/>
        </w:rPr>
      </w:pPr>
    </w:p>
    <w:p w14:paraId="67157035" w14:textId="77777777" w:rsidR="008B0834" w:rsidRPr="00317DE2" w:rsidRDefault="008B0834" w:rsidP="008B0834">
      <w:pPr>
        <w:spacing w:after="0"/>
        <w:rPr>
          <w:color w:val="92278F" w:themeColor="accent1"/>
          <w:sz w:val="22"/>
        </w:rPr>
      </w:pPr>
      <w:r w:rsidRPr="00317DE2">
        <w:rPr>
          <w:b/>
          <w:color w:val="92278F" w:themeColor="accent1"/>
          <w:sz w:val="20"/>
        </w:rPr>
        <w:t>Domestic gas price index</w:t>
      </w:r>
      <w:r w:rsidRPr="00317DE2">
        <w:rPr>
          <w:b/>
          <w:color w:val="92278F" w:themeColor="accent1"/>
          <w:sz w:val="20"/>
          <w:vertAlign w:val="superscript"/>
        </w:rPr>
        <w:t>1</w:t>
      </w:r>
      <w:r w:rsidRPr="00317DE2">
        <w:rPr>
          <w:b/>
          <w:color w:val="92278F" w:themeColor="accent1"/>
          <w:sz w:val="20"/>
        </w:rPr>
        <w:t xml:space="preserve"> by market (% change</w:t>
      </w:r>
      <w:r w:rsidRPr="00317DE2">
        <w:rPr>
          <w:b/>
          <w:color w:val="92278F" w:themeColor="accent1"/>
          <w:sz w:val="20"/>
          <w:vertAlign w:val="superscript"/>
        </w:rPr>
        <w:t>2</w:t>
      </w:r>
      <w:r w:rsidRPr="00317DE2">
        <w:rPr>
          <w:b/>
          <w:color w:val="92278F" w:themeColor="accent1"/>
          <w:sz w:val="20"/>
        </w:rPr>
        <w:t>)</w:t>
      </w:r>
    </w:p>
    <w:p w14:paraId="3C7E85E2" w14:textId="75DE46B5" w:rsidR="008B0834" w:rsidRDefault="00904E9B" w:rsidP="008B0834">
      <w:pPr>
        <w:spacing w:after="0"/>
        <w:jc w:val="both"/>
        <w:rPr>
          <w:sz w:val="16"/>
        </w:rPr>
      </w:pPr>
      <w:r>
        <w:rPr>
          <w:noProof/>
          <w:sz w:val="16"/>
        </w:rPr>
        <w:drawing>
          <wp:inline distT="0" distB="0" distL="0" distR="0" wp14:anchorId="5F93622B" wp14:editId="47F49EFF">
            <wp:extent cx="3528000" cy="2084888"/>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28000" cy="2084888"/>
                    </a:xfrm>
                    <a:prstGeom prst="rect">
                      <a:avLst/>
                    </a:prstGeom>
                    <a:noFill/>
                    <a:ln>
                      <a:noFill/>
                    </a:ln>
                  </pic:spPr>
                </pic:pic>
              </a:graphicData>
            </a:graphic>
          </wp:inline>
        </w:drawing>
      </w:r>
    </w:p>
    <w:p w14:paraId="5CE306C4" w14:textId="77777777" w:rsidR="008B0834" w:rsidRPr="0065045F" w:rsidRDefault="008B0834" w:rsidP="008B0834">
      <w:pPr>
        <w:spacing w:after="0"/>
        <w:jc w:val="both"/>
        <w:rPr>
          <w:sz w:val="10"/>
        </w:rPr>
      </w:pPr>
      <w:r w:rsidRPr="00F61874">
        <w:rPr>
          <w:sz w:val="10"/>
          <w:vertAlign w:val="superscript"/>
        </w:rPr>
        <w:t>1</w:t>
      </w:r>
      <w:r w:rsidRPr="00F61874">
        <w:rPr>
          <w:sz w:val="10"/>
        </w:rPr>
        <w:t xml:space="preserve"> Output prices of the domestic gas extraction industry. Original series. Producer price index 2015-16 = 100.0. </w:t>
      </w:r>
      <w:r w:rsidRPr="00F61874">
        <w:rPr>
          <w:sz w:val="10"/>
          <w:vertAlign w:val="superscript"/>
        </w:rPr>
        <w:t>2</w:t>
      </w:r>
      <w:r w:rsidRPr="00F61874">
        <w:rPr>
          <w:sz w:val="10"/>
        </w:rPr>
        <w:t xml:space="preserve"> Change from same quarter </w:t>
      </w:r>
      <w:r w:rsidRPr="0065045F">
        <w:rPr>
          <w:sz w:val="10"/>
        </w:rPr>
        <w:t>of previous year or year-on-year.</w:t>
      </w:r>
    </w:p>
    <w:p w14:paraId="0C877AFA" w14:textId="77777777" w:rsidR="008B0834" w:rsidRPr="00F61874" w:rsidRDefault="008B0834" w:rsidP="008B0834">
      <w:pPr>
        <w:spacing w:after="0"/>
        <w:jc w:val="both"/>
        <w:rPr>
          <w:sz w:val="16"/>
        </w:rPr>
      </w:pPr>
      <w:r w:rsidRPr="0065045F">
        <w:rPr>
          <w:sz w:val="10"/>
        </w:rPr>
        <w:t xml:space="preserve">Source: Based on data from ABS </w:t>
      </w:r>
      <w:r w:rsidRPr="00F61874">
        <w:rPr>
          <w:sz w:val="10"/>
        </w:rPr>
        <w:t>6427.0 Producer Price Indexes, Australia (Quarterly).</w:t>
      </w:r>
    </w:p>
    <w:p w14:paraId="44858044" w14:textId="77777777" w:rsidR="008B0834" w:rsidRDefault="008B0834" w:rsidP="008B0834">
      <w:pPr>
        <w:spacing w:after="0"/>
        <w:jc w:val="both"/>
        <w:rPr>
          <w:sz w:val="16"/>
        </w:rPr>
      </w:pPr>
      <w:r>
        <w:rPr>
          <w:sz w:val="16"/>
        </w:rPr>
        <w:br w:type="column"/>
      </w:r>
    </w:p>
    <w:p w14:paraId="50969A6D" w14:textId="77777777" w:rsidR="008B0834" w:rsidRDefault="008B0834" w:rsidP="008B0834">
      <w:pPr>
        <w:spacing w:after="0"/>
        <w:jc w:val="both"/>
        <w:rPr>
          <w:sz w:val="16"/>
        </w:rPr>
      </w:pPr>
    </w:p>
    <w:p w14:paraId="2754A3D5" w14:textId="04B072C0" w:rsidR="008B0834" w:rsidRPr="00BC4229" w:rsidRDefault="008B0834" w:rsidP="008B0834">
      <w:pPr>
        <w:pStyle w:val="BodyText"/>
        <w:numPr>
          <w:ilvl w:val="0"/>
          <w:numId w:val="9"/>
        </w:numPr>
        <w:spacing w:after="0"/>
        <w:jc w:val="both"/>
        <w:rPr>
          <w:sz w:val="16"/>
        </w:rPr>
      </w:pPr>
      <w:r w:rsidRPr="00BC4229">
        <w:rPr>
          <w:sz w:val="16"/>
        </w:rPr>
        <w:t xml:space="preserve">The cumulative growth in prices received for domestic gas extraction since 2020 has been much lower in Western Australia compared to </w:t>
      </w:r>
      <w:r w:rsidR="00904E9B">
        <w:rPr>
          <w:sz w:val="16"/>
        </w:rPr>
        <w:t>Australia’s</w:t>
      </w:r>
      <w:r w:rsidRPr="00BC4229">
        <w:rPr>
          <w:sz w:val="16"/>
        </w:rPr>
        <w:t xml:space="preserve"> East </w:t>
      </w:r>
      <w:r w:rsidR="00904E9B">
        <w:rPr>
          <w:sz w:val="16"/>
        </w:rPr>
        <w:t>c</w:t>
      </w:r>
      <w:r w:rsidRPr="00BC4229">
        <w:rPr>
          <w:sz w:val="16"/>
        </w:rPr>
        <w:t xml:space="preserve">oast </w:t>
      </w:r>
      <w:r w:rsidR="00904E9B">
        <w:rPr>
          <w:sz w:val="16"/>
        </w:rPr>
        <w:t>market</w:t>
      </w:r>
      <w:r w:rsidRPr="00BC4229">
        <w:rPr>
          <w:sz w:val="16"/>
        </w:rPr>
        <w:t>.</w:t>
      </w:r>
    </w:p>
    <w:p w14:paraId="751DF34C" w14:textId="77777777" w:rsidR="008B0834" w:rsidRPr="00BC4229" w:rsidRDefault="008B0834" w:rsidP="008B0834">
      <w:pPr>
        <w:pStyle w:val="BodyText"/>
        <w:numPr>
          <w:ilvl w:val="0"/>
          <w:numId w:val="9"/>
        </w:numPr>
        <w:spacing w:after="0"/>
        <w:jc w:val="both"/>
        <w:rPr>
          <w:sz w:val="16"/>
        </w:rPr>
      </w:pPr>
      <w:r w:rsidRPr="00BC4229">
        <w:rPr>
          <w:sz w:val="16"/>
        </w:rPr>
        <w:t>The price of domestic gas extraction in Western Australia increased 8.5% between the September quarters of 2020 and 2023. Over the same period, the price of domestic gas extraction in the East coast market increased by 98.5%.</w:t>
      </w:r>
    </w:p>
    <w:p w14:paraId="190BB168" w14:textId="226852E4" w:rsidR="008B0834" w:rsidRPr="00BC4229" w:rsidRDefault="008B0834" w:rsidP="008B0834">
      <w:pPr>
        <w:pStyle w:val="BodyText"/>
        <w:numPr>
          <w:ilvl w:val="0"/>
          <w:numId w:val="9"/>
        </w:numPr>
        <w:spacing w:after="0"/>
        <w:jc w:val="both"/>
        <w:rPr>
          <w:sz w:val="16"/>
        </w:rPr>
      </w:pPr>
      <w:r w:rsidRPr="00BC4229">
        <w:rPr>
          <w:sz w:val="16"/>
        </w:rPr>
        <w:t xml:space="preserve">The lower price increases in Western Australia indicates that domestic supply has largely been sufficient to meet demand. The larger price increases and the more volatile pattern in prices in the East </w:t>
      </w:r>
      <w:r w:rsidR="00904E9B">
        <w:rPr>
          <w:sz w:val="16"/>
        </w:rPr>
        <w:t>c</w:t>
      </w:r>
      <w:r w:rsidRPr="00BC4229">
        <w:rPr>
          <w:sz w:val="16"/>
        </w:rPr>
        <w:t>oast market have been due to oil and LNG prices in international markets flowing through to domestic gas prices, and a limited supply response during periods when domestic demand is stronger.</w:t>
      </w:r>
    </w:p>
    <w:p w14:paraId="70A1B3ED" w14:textId="77777777" w:rsidR="008B0834" w:rsidRPr="003900F8" w:rsidRDefault="008B0834" w:rsidP="008B0834">
      <w:pPr>
        <w:pStyle w:val="BodyText"/>
        <w:numPr>
          <w:ilvl w:val="0"/>
          <w:numId w:val="9"/>
        </w:numPr>
        <w:spacing w:after="0"/>
        <w:jc w:val="both"/>
        <w:rPr>
          <w:color w:val="FF0000"/>
          <w:sz w:val="16"/>
        </w:rPr>
        <w:sectPr w:rsidR="008B0834" w:rsidRPr="003900F8" w:rsidSect="00F7498D">
          <w:type w:val="continuous"/>
          <w:pgSz w:w="11907" w:h="16840" w:code="9"/>
          <w:pgMar w:top="1701" w:right="720" w:bottom="720" w:left="720" w:header="709" w:footer="709" w:gutter="0"/>
          <w:cols w:num="2" w:space="284" w:equalWidth="0">
            <w:col w:w="5647" w:space="284"/>
            <w:col w:w="4536"/>
          </w:cols>
          <w:docGrid w:linePitch="360"/>
        </w:sectPr>
      </w:pPr>
      <w:r w:rsidRPr="003900F8">
        <w:rPr>
          <w:color w:val="FF0000"/>
          <w:sz w:val="16"/>
        </w:rPr>
        <w:br w:type="page"/>
      </w:r>
    </w:p>
    <w:p w14:paraId="06808070" w14:textId="77777777" w:rsidR="008B0834" w:rsidRPr="00DD5DF4" w:rsidRDefault="008B0834" w:rsidP="008B0834">
      <w:pPr>
        <w:pStyle w:val="BodyText"/>
        <w:spacing w:after="0"/>
        <w:rPr>
          <w:b/>
          <w:color w:val="002060"/>
          <w:sz w:val="22"/>
        </w:rPr>
      </w:pPr>
      <w:bookmarkStart w:id="0" w:name="_JAPAN"/>
      <w:bookmarkEnd w:id="0"/>
      <w:r w:rsidRPr="00DD5DF4">
        <w:rPr>
          <w:b/>
          <w:color w:val="002060"/>
          <w:sz w:val="22"/>
        </w:rPr>
        <w:lastRenderedPageBreak/>
        <w:t>Labour market</w:t>
      </w:r>
    </w:p>
    <w:p w14:paraId="0ACC0D8D"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labour market summary</w:t>
      </w:r>
    </w:p>
    <w:tbl>
      <w:tblPr>
        <w:tblStyle w:val="ListTable3-Accent1"/>
        <w:tblW w:w="1082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376"/>
        <w:gridCol w:w="1418"/>
        <w:gridCol w:w="987"/>
        <w:gridCol w:w="971"/>
        <w:gridCol w:w="877"/>
        <w:gridCol w:w="992"/>
        <w:gridCol w:w="1276"/>
        <w:gridCol w:w="964"/>
        <w:gridCol w:w="964"/>
      </w:tblGrid>
      <w:tr w:rsidR="008B0834" w:rsidRPr="00AD28BB" w14:paraId="7B40EC2E" w14:textId="77777777" w:rsidTr="007D78C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76" w:type="dxa"/>
            <w:shd w:val="clear" w:color="auto" w:fill="002060"/>
            <w:vAlign w:val="center"/>
          </w:tcPr>
          <w:p w14:paraId="51308AED" w14:textId="77777777" w:rsidR="008B0834" w:rsidRPr="007211AE" w:rsidRDefault="008B0834" w:rsidP="007D78CB">
            <w:pPr>
              <w:pStyle w:val="BodyText"/>
              <w:spacing w:after="0"/>
              <w:jc w:val="both"/>
              <w:rPr>
                <w:rFonts w:cstheme="minorHAnsi"/>
                <w:b w:val="0"/>
                <w:sz w:val="14"/>
                <w:szCs w:val="14"/>
              </w:rPr>
            </w:pPr>
          </w:p>
        </w:tc>
        <w:tc>
          <w:tcPr>
            <w:tcW w:w="1418" w:type="dxa"/>
            <w:shd w:val="clear" w:color="auto" w:fill="002060"/>
            <w:vAlign w:val="center"/>
          </w:tcPr>
          <w:p w14:paraId="4E4E827C" w14:textId="77777777" w:rsidR="008B0834" w:rsidRPr="007211AE"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7211AE">
              <w:rPr>
                <w:rFonts w:cstheme="minorHAnsi"/>
                <w:b w:val="0"/>
                <w:sz w:val="14"/>
                <w:szCs w:val="14"/>
              </w:rPr>
              <w:t>Month</w:t>
            </w:r>
            <w:r>
              <w:rPr>
                <w:rFonts w:cstheme="minorHAnsi"/>
                <w:b w:val="0"/>
                <w:sz w:val="14"/>
                <w:szCs w:val="14"/>
                <w:vertAlign w:val="superscript"/>
              </w:rPr>
              <w:t>7</w:t>
            </w:r>
          </w:p>
        </w:tc>
        <w:tc>
          <w:tcPr>
            <w:tcW w:w="3827" w:type="dxa"/>
            <w:gridSpan w:val="4"/>
            <w:shd w:val="clear" w:color="auto" w:fill="002060"/>
            <w:vAlign w:val="center"/>
          </w:tcPr>
          <w:p w14:paraId="34F0A777" w14:textId="77777777" w:rsidR="008B0834"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7211AE">
              <w:rPr>
                <w:rFonts w:cstheme="minorHAnsi"/>
                <w:b w:val="0"/>
                <w:sz w:val="14"/>
                <w:szCs w:val="14"/>
              </w:rPr>
              <w:t>Change from:</w:t>
            </w:r>
          </w:p>
        </w:tc>
        <w:tc>
          <w:tcPr>
            <w:tcW w:w="1276" w:type="dxa"/>
            <w:shd w:val="clear" w:color="auto" w:fill="002060"/>
            <w:vAlign w:val="center"/>
          </w:tcPr>
          <w:p w14:paraId="0F554099" w14:textId="77777777" w:rsidR="008B0834" w:rsidRPr="007211AE"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D53430">
              <w:rPr>
                <w:rFonts w:cstheme="minorHAnsi"/>
                <w:b w:val="0"/>
                <w:sz w:val="14"/>
                <w:szCs w:val="14"/>
              </w:rPr>
              <w:t>Financial year</w:t>
            </w:r>
            <w:r w:rsidRPr="00D53430">
              <w:rPr>
                <w:rFonts w:cstheme="minorHAnsi"/>
                <w:b w:val="0"/>
                <w:sz w:val="14"/>
                <w:szCs w:val="14"/>
                <w:vertAlign w:val="superscript"/>
              </w:rPr>
              <w:t>8</w:t>
            </w:r>
          </w:p>
        </w:tc>
        <w:tc>
          <w:tcPr>
            <w:tcW w:w="1928" w:type="dxa"/>
            <w:gridSpan w:val="2"/>
            <w:shd w:val="clear" w:color="auto" w:fill="002060"/>
            <w:vAlign w:val="center"/>
          </w:tcPr>
          <w:p w14:paraId="549BE22E" w14:textId="77777777" w:rsidR="008B0834"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7211AE">
              <w:rPr>
                <w:rFonts w:cstheme="minorHAnsi"/>
                <w:b w:val="0"/>
                <w:sz w:val="14"/>
                <w:szCs w:val="14"/>
              </w:rPr>
              <w:t>Change from:</w:t>
            </w:r>
          </w:p>
        </w:tc>
      </w:tr>
      <w:tr w:rsidR="008B0834" w:rsidRPr="00AD28BB" w14:paraId="26A06DD4" w14:textId="77777777" w:rsidTr="007D78CB">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04B18904" w14:textId="77777777" w:rsidR="008B0834" w:rsidRPr="00AD28BB" w:rsidRDefault="008B0834" w:rsidP="007D78CB">
            <w:pPr>
              <w:pStyle w:val="BodyText"/>
              <w:spacing w:after="0"/>
              <w:ind w:right="-112"/>
              <w:jc w:val="both"/>
              <w:rPr>
                <w:rFonts w:cstheme="minorHAnsi"/>
                <w:sz w:val="14"/>
                <w:szCs w:val="14"/>
              </w:rPr>
            </w:pPr>
          </w:p>
        </w:tc>
        <w:tc>
          <w:tcPr>
            <w:tcW w:w="1418" w:type="dxa"/>
            <w:vAlign w:val="center"/>
          </w:tcPr>
          <w:p w14:paraId="29E20BF0" w14:textId="6B9AE051" w:rsidR="008B0834" w:rsidRPr="00B0381F" w:rsidRDefault="003A5ADD"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B0381F">
              <w:rPr>
                <w:rFonts w:cstheme="minorHAnsi"/>
                <w:sz w:val="14"/>
                <w:szCs w:val="14"/>
              </w:rPr>
              <w:t>Novem</w:t>
            </w:r>
            <w:r w:rsidR="006D0CFA" w:rsidRPr="00B0381F">
              <w:rPr>
                <w:rFonts w:cstheme="minorHAnsi"/>
                <w:sz w:val="14"/>
                <w:szCs w:val="14"/>
              </w:rPr>
              <w:t>ber</w:t>
            </w:r>
            <w:r w:rsidR="008B0834" w:rsidRPr="00B0381F">
              <w:rPr>
                <w:rFonts w:cstheme="minorHAnsi"/>
                <w:sz w:val="14"/>
                <w:szCs w:val="14"/>
              </w:rPr>
              <w:t> 2023</w:t>
            </w:r>
          </w:p>
        </w:tc>
        <w:tc>
          <w:tcPr>
            <w:tcW w:w="1958" w:type="dxa"/>
            <w:gridSpan w:val="2"/>
            <w:vAlign w:val="center"/>
          </w:tcPr>
          <w:p w14:paraId="5FF0B37A" w14:textId="5676EF0A" w:rsidR="008B0834" w:rsidRPr="00B0381F" w:rsidRDefault="003A5ADD"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B0381F">
              <w:rPr>
                <w:rFonts w:cstheme="minorHAnsi"/>
                <w:sz w:val="14"/>
                <w:szCs w:val="14"/>
              </w:rPr>
              <w:t>Octo</w:t>
            </w:r>
            <w:r w:rsidR="006D0CFA" w:rsidRPr="00B0381F">
              <w:rPr>
                <w:rFonts w:cstheme="minorHAnsi"/>
                <w:sz w:val="14"/>
                <w:szCs w:val="14"/>
              </w:rPr>
              <w:t>ber</w:t>
            </w:r>
            <w:r w:rsidR="00904E9B" w:rsidRPr="00B0381F">
              <w:rPr>
                <w:rFonts w:cstheme="minorHAnsi"/>
                <w:sz w:val="14"/>
                <w:szCs w:val="14"/>
              </w:rPr>
              <w:t> </w:t>
            </w:r>
            <w:r w:rsidR="008B0834" w:rsidRPr="00B0381F">
              <w:rPr>
                <w:rFonts w:cstheme="minorHAnsi"/>
                <w:sz w:val="14"/>
                <w:szCs w:val="14"/>
              </w:rPr>
              <w:t>2023</w:t>
            </w:r>
          </w:p>
        </w:tc>
        <w:tc>
          <w:tcPr>
            <w:tcW w:w="1869" w:type="dxa"/>
            <w:gridSpan w:val="2"/>
            <w:vAlign w:val="center"/>
          </w:tcPr>
          <w:p w14:paraId="30223F7D" w14:textId="791EBC6F" w:rsidR="008B0834" w:rsidRPr="00B0381F" w:rsidRDefault="003A5ADD"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4"/>
                <w:szCs w:val="14"/>
              </w:rPr>
            </w:pPr>
            <w:r w:rsidRPr="00B0381F">
              <w:rPr>
                <w:rFonts w:cstheme="minorHAnsi"/>
                <w:sz w:val="14"/>
                <w:szCs w:val="14"/>
              </w:rPr>
              <w:t>Novem</w:t>
            </w:r>
            <w:r w:rsidR="00BF0FC2" w:rsidRPr="00B0381F">
              <w:rPr>
                <w:rFonts w:cstheme="minorHAnsi"/>
                <w:sz w:val="14"/>
                <w:szCs w:val="14"/>
              </w:rPr>
              <w:t>ber</w:t>
            </w:r>
            <w:r w:rsidR="008B0834" w:rsidRPr="00B0381F">
              <w:rPr>
                <w:rFonts w:cstheme="minorHAnsi"/>
                <w:sz w:val="14"/>
                <w:szCs w:val="14"/>
              </w:rPr>
              <w:t> 2022</w:t>
            </w:r>
          </w:p>
        </w:tc>
        <w:tc>
          <w:tcPr>
            <w:tcW w:w="1276" w:type="dxa"/>
            <w:vAlign w:val="center"/>
          </w:tcPr>
          <w:p w14:paraId="2CEA7507" w14:textId="77777777" w:rsidR="008B0834" w:rsidRPr="00B0381F"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B0381F">
              <w:rPr>
                <w:rFonts w:cstheme="minorHAnsi"/>
                <w:sz w:val="14"/>
                <w:szCs w:val="14"/>
              </w:rPr>
              <w:t>2022-23</w:t>
            </w:r>
          </w:p>
        </w:tc>
        <w:tc>
          <w:tcPr>
            <w:tcW w:w="1928" w:type="dxa"/>
            <w:gridSpan w:val="2"/>
            <w:vAlign w:val="center"/>
          </w:tcPr>
          <w:p w14:paraId="3998667C" w14:textId="77777777" w:rsidR="008B0834" w:rsidRPr="00B0381F"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sz w:val="14"/>
                <w:szCs w:val="14"/>
              </w:rPr>
            </w:pPr>
            <w:r w:rsidRPr="00B0381F">
              <w:rPr>
                <w:rFonts w:cstheme="minorHAnsi"/>
                <w:sz w:val="14"/>
                <w:szCs w:val="14"/>
              </w:rPr>
              <w:t>2021-22</w:t>
            </w:r>
          </w:p>
        </w:tc>
      </w:tr>
      <w:tr w:rsidR="008B0834" w:rsidRPr="00AD28BB" w14:paraId="2E8C0A6A" w14:textId="77777777" w:rsidTr="007D78CB">
        <w:trPr>
          <w:trHeight w:val="227"/>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73A21C21" w14:textId="77777777" w:rsidR="008B0834" w:rsidRPr="00911864" w:rsidRDefault="008B0834" w:rsidP="007D78CB">
            <w:pPr>
              <w:pStyle w:val="BodyText"/>
              <w:spacing w:after="0"/>
              <w:rPr>
                <w:rFonts w:cstheme="minorHAnsi"/>
                <w:b w:val="0"/>
                <w:sz w:val="14"/>
                <w:szCs w:val="14"/>
              </w:rPr>
            </w:pPr>
            <w:r w:rsidRPr="00911864">
              <w:rPr>
                <w:rFonts w:cstheme="minorHAnsi"/>
                <w:b w:val="0"/>
                <w:sz w:val="14"/>
                <w:szCs w:val="14"/>
              </w:rPr>
              <w:t>Employed full-time</w:t>
            </w:r>
            <w:r w:rsidRPr="00911864">
              <w:rPr>
                <w:rFonts w:cstheme="minorHAnsi"/>
                <w:b w:val="0"/>
                <w:sz w:val="14"/>
                <w:szCs w:val="14"/>
                <w:vertAlign w:val="superscript"/>
              </w:rPr>
              <w:t>1</w:t>
            </w:r>
          </w:p>
        </w:tc>
        <w:tc>
          <w:tcPr>
            <w:tcW w:w="1418" w:type="dxa"/>
            <w:vAlign w:val="center"/>
          </w:tcPr>
          <w:p w14:paraId="2D1E0E15" w14:textId="55425547" w:rsidR="008B0834" w:rsidRPr="00B0381F"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1,</w:t>
            </w:r>
            <w:r w:rsidR="00AF1C7B" w:rsidRPr="00B0381F">
              <w:rPr>
                <w:rFonts w:cstheme="minorHAnsi"/>
                <w:sz w:val="14"/>
                <w:szCs w:val="14"/>
              </w:rPr>
              <w:t>100</w:t>
            </w:r>
            <w:r w:rsidR="00B17BEF" w:rsidRPr="00B0381F">
              <w:rPr>
                <w:rFonts w:cstheme="minorHAnsi"/>
                <w:sz w:val="14"/>
                <w:szCs w:val="14"/>
              </w:rPr>
              <w:t>,</w:t>
            </w:r>
            <w:r w:rsidR="00AF1C7B" w:rsidRPr="00B0381F">
              <w:rPr>
                <w:rFonts w:cstheme="minorHAnsi"/>
                <w:sz w:val="14"/>
                <w:szCs w:val="14"/>
              </w:rPr>
              <w:t>192</w:t>
            </w:r>
          </w:p>
        </w:tc>
        <w:tc>
          <w:tcPr>
            <w:tcW w:w="987" w:type="dxa"/>
            <w:vAlign w:val="center"/>
          </w:tcPr>
          <w:p w14:paraId="750F0B46" w14:textId="766B96DA" w:rsidR="008B0834" w:rsidRPr="00B0381F" w:rsidRDefault="00B17BEF"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w:t>
            </w:r>
            <w:r w:rsidR="00AF1C7B" w:rsidRPr="00B0381F">
              <w:rPr>
                <w:rFonts w:cstheme="minorHAnsi"/>
                <w:sz w:val="14"/>
                <w:szCs w:val="14"/>
              </w:rPr>
              <w:t>16</w:t>
            </w:r>
            <w:r w:rsidRPr="00B0381F">
              <w:rPr>
                <w:rFonts w:cstheme="minorHAnsi"/>
                <w:sz w:val="14"/>
                <w:szCs w:val="14"/>
              </w:rPr>
              <w:t>,</w:t>
            </w:r>
            <w:r w:rsidR="00AF1C7B" w:rsidRPr="00B0381F">
              <w:rPr>
                <w:rFonts w:cstheme="minorHAnsi"/>
                <w:sz w:val="14"/>
                <w:szCs w:val="14"/>
              </w:rPr>
              <w:t>954</w:t>
            </w:r>
          </w:p>
        </w:tc>
        <w:tc>
          <w:tcPr>
            <w:tcW w:w="971" w:type="dxa"/>
            <w:vAlign w:val="center"/>
          </w:tcPr>
          <w:p w14:paraId="5D307FDA" w14:textId="1826D9C5" w:rsidR="008B0834" w:rsidRPr="00B0381F" w:rsidRDefault="004A36A9"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w:t>
            </w:r>
            <w:r w:rsidR="00AF1C7B" w:rsidRPr="00B0381F">
              <w:rPr>
                <w:rFonts w:cstheme="minorHAnsi"/>
                <w:sz w:val="14"/>
                <w:szCs w:val="14"/>
              </w:rPr>
              <w:t>1.6</w:t>
            </w:r>
            <w:r w:rsidR="008B0834" w:rsidRPr="00B0381F">
              <w:rPr>
                <w:rFonts w:cstheme="minorHAnsi"/>
                <w:sz w:val="14"/>
                <w:szCs w:val="14"/>
              </w:rPr>
              <w:t>%</w:t>
            </w:r>
          </w:p>
        </w:tc>
        <w:tc>
          <w:tcPr>
            <w:tcW w:w="877" w:type="dxa"/>
            <w:vAlign w:val="center"/>
          </w:tcPr>
          <w:p w14:paraId="28A5BF1D" w14:textId="286D0D0A" w:rsidR="008B0834" w:rsidRPr="00B0381F"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w:t>
            </w:r>
            <w:r w:rsidR="00AF1C7B" w:rsidRPr="00B0381F">
              <w:rPr>
                <w:rFonts w:cstheme="minorHAnsi"/>
                <w:sz w:val="14"/>
                <w:szCs w:val="14"/>
              </w:rPr>
              <w:t>3</w:t>
            </w:r>
            <w:r w:rsidR="004B2952" w:rsidRPr="00B0381F">
              <w:rPr>
                <w:rFonts w:cstheme="minorHAnsi"/>
                <w:sz w:val="14"/>
                <w:szCs w:val="14"/>
              </w:rPr>
              <w:t>6,</w:t>
            </w:r>
            <w:r w:rsidR="00AF1C7B" w:rsidRPr="00B0381F">
              <w:rPr>
                <w:rFonts w:cstheme="minorHAnsi"/>
                <w:sz w:val="14"/>
                <w:szCs w:val="14"/>
              </w:rPr>
              <w:t>015</w:t>
            </w:r>
          </w:p>
        </w:tc>
        <w:tc>
          <w:tcPr>
            <w:tcW w:w="992" w:type="dxa"/>
            <w:vAlign w:val="center"/>
          </w:tcPr>
          <w:p w14:paraId="79A18B1B" w14:textId="46A7E60C" w:rsidR="008B0834" w:rsidRPr="00B0381F"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w:t>
            </w:r>
            <w:r w:rsidR="00AF1C7B" w:rsidRPr="00B0381F">
              <w:rPr>
                <w:rFonts w:cstheme="minorHAnsi"/>
                <w:sz w:val="14"/>
                <w:szCs w:val="14"/>
              </w:rPr>
              <w:t>3.4</w:t>
            </w:r>
            <w:r w:rsidRPr="00B0381F">
              <w:rPr>
                <w:rFonts w:cstheme="minorHAnsi"/>
                <w:sz w:val="14"/>
                <w:szCs w:val="14"/>
              </w:rPr>
              <w:t>%</w:t>
            </w:r>
          </w:p>
        </w:tc>
        <w:tc>
          <w:tcPr>
            <w:tcW w:w="1276" w:type="dxa"/>
            <w:vAlign w:val="center"/>
          </w:tcPr>
          <w:p w14:paraId="45628744" w14:textId="219B743A" w:rsidR="008B0834" w:rsidRPr="00B0381F"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1,07</w:t>
            </w:r>
            <w:r w:rsidR="00AF1C7B" w:rsidRPr="00B0381F">
              <w:rPr>
                <w:rFonts w:cstheme="minorHAnsi"/>
                <w:sz w:val="14"/>
                <w:szCs w:val="14"/>
              </w:rPr>
              <w:t>3</w:t>
            </w:r>
            <w:r w:rsidRPr="00B0381F">
              <w:rPr>
                <w:rFonts w:cstheme="minorHAnsi"/>
                <w:sz w:val="14"/>
                <w:szCs w:val="14"/>
              </w:rPr>
              <w:t>,</w:t>
            </w:r>
            <w:r w:rsidR="00AF1C7B" w:rsidRPr="00B0381F">
              <w:rPr>
                <w:rFonts w:cstheme="minorHAnsi"/>
                <w:sz w:val="14"/>
                <w:szCs w:val="14"/>
              </w:rPr>
              <w:t>576</w:t>
            </w:r>
          </w:p>
        </w:tc>
        <w:tc>
          <w:tcPr>
            <w:tcW w:w="964" w:type="dxa"/>
            <w:vAlign w:val="center"/>
          </w:tcPr>
          <w:p w14:paraId="6FEC0A4D" w14:textId="55B5448C" w:rsidR="008B0834" w:rsidRPr="00B0381F"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w:t>
            </w:r>
            <w:r w:rsidR="00AF1C7B" w:rsidRPr="00B0381F">
              <w:rPr>
                <w:rFonts w:cstheme="minorHAnsi"/>
                <w:sz w:val="14"/>
                <w:szCs w:val="14"/>
              </w:rPr>
              <w:t>60,372</w:t>
            </w:r>
          </w:p>
        </w:tc>
        <w:tc>
          <w:tcPr>
            <w:tcW w:w="964" w:type="dxa"/>
            <w:vAlign w:val="center"/>
          </w:tcPr>
          <w:p w14:paraId="4D541A91" w14:textId="4E7ACDEA" w:rsidR="008B0834" w:rsidRPr="00B0381F"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w:t>
            </w:r>
            <w:r w:rsidR="00AF1C7B" w:rsidRPr="00B0381F">
              <w:rPr>
                <w:rFonts w:cstheme="minorHAnsi"/>
                <w:sz w:val="14"/>
                <w:szCs w:val="14"/>
              </w:rPr>
              <w:t>6.0</w:t>
            </w:r>
            <w:r w:rsidRPr="00B0381F">
              <w:rPr>
                <w:rFonts w:cstheme="minorHAnsi"/>
                <w:sz w:val="14"/>
                <w:szCs w:val="14"/>
              </w:rPr>
              <w:t>%</w:t>
            </w:r>
          </w:p>
        </w:tc>
      </w:tr>
      <w:tr w:rsidR="008B0834" w:rsidRPr="00AD28BB" w14:paraId="125BA781" w14:textId="77777777" w:rsidTr="007D78C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4D7840E6" w14:textId="77777777" w:rsidR="008B0834" w:rsidRPr="00911864" w:rsidRDefault="008B0834" w:rsidP="007D78CB">
            <w:pPr>
              <w:pStyle w:val="BodyText"/>
              <w:spacing w:after="0"/>
              <w:rPr>
                <w:rFonts w:cstheme="minorHAnsi"/>
                <w:b w:val="0"/>
                <w:sz w:val="14"/>
                <w:szCs w:val="14"/>
              </w:rPr>
            </w:pPr>
            <w:r w:rsidRPr="00911864">
              <w:rPr>
                <w:rFonts w:cstheme="minorHAnsi"/>
                <w:b w:val="0"/>
                <w:sz w:val="14"/>
                <w:szCs w:val="14"/>
              </w:rPr>
              <w:t>Employed part-time</w:t>
            </w:r>
            <w:r w:rsidRPr="00911864">
              <w:rPr>
                <w:rFonts w:cstheme="minorHAnsi"/>
                <w:b w:val="0"/>
                <w:sz w:val="14"/>
                <w:szCs w:val="14"/>
                <w:vertAlign w:val="superscript"/>
              </w:rPr>
              <w:t>2</w:t>
            </w:r>
          </w:p>
        </w:tc>
        <w:tc>
          <w:tcPr>
            <w:tcW w:w="1418" w:type="dxa"/>
            <w:vAlign w:val="center"/>
          </w:tcPr>
          <w:p w14:paraId="195EA0D5" w14:textId="7B54B5BD" w:rsidR="008B0834" w:rsidRPr="00B0381F"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B0381F">
              <w:rPr>
                <w:rFonts w:cstheme="minorHAnsi"/>
                <w:sz w:val="14"/>
                <w:szCs w:val="14"/>
              </w:rPr>
              <w:t>4</w:t>
            </w:r>
            <w:r w:rsidR="00B17BEF" w:rsidRPr="00B0381F">
              <w:rPr>
                <w:rFonts w:cstheme="minorHAnsi"/>
                <w:sz w:val="14"/>
                <w:szCs w:val="14"/>
              </w:rPr>
              <w:t>94,</w:t>
            </w:r>
            <w:r w:rsidR="00AF1C7B" w:rsidRPr="00B0381F">
              <w:rPr>
                <w:rFonts w:cstheme="minorHAnsi"/>
                <w:sz w:val="14"/>
                <w:szCs w:val="14"/>
              </w:rPr>
              <w:t>031</w:t>
            </w:r>
          </w:p>
        </w:tc>
        <w:tc>
          <w:tcPr>
            <w:tcW w:w="987" w:type="dxa"/>
            <w:vAlign w:val="center"/>
          </w:tcPr>
          <w:p w14:paraId="5E4CC6B8" w14:textId="6FC6E4D5" w:rsidR="008B0834" w:rsidRPr="00B0381F" w:rsidRDefault="00EE223E"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B0381F">
              <w:rPr>
                <w:rFonts w:cstheme="minorHAnsi"/>
                <w:sz w:val="14"/>
                <w:szCs w:val="14"/>
              </w:rPr>
              <w:t>-</w:t>
            </w:r>
            <w:r w:rsidR="00B17BEF" w:rsidRPr="00B0381F">
              <w:rPr>
                <w:rFonts w:cstheme="minorHAnsi"/>
                <w:sz w:val="14"/>
                <w:szCs w:val="14"/>
              </w:rPr>
              <w:t>4,</w:t>
            </w:r>
            <w:r w:rsidR="00AF1C7B" w:rsidRPr="00B0381F">
              <w:rPr>
                <w:rFonts w:cstheme="minorHAnsi"/>
                <w:sz w:val="14"/>
                <w:szCs w:val="14"/>
              </w:rPr>
              <w:t>264</w:t>
            </w:r>
          </w:p>
        </w:tc>
        <w:tc>
          <w:tcPr>
            <w:tcW w:w="971" w:type="dxa"/>
            <w:vAlign w:val="center"/>
          </w:tcPr>
          <w:p w14:paraId="42707BA7" w14:textId="4507E723" w:rsidR="008B0834" w:rsidRPr="00B0381F" w:rsidRDefault="00AF1C7B"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B0381F">
              <w:rPr>
                <w:rFonts w:cstheme="minorHAnsi"/>
                <w:sz w:val="14"/>
                <w:szCs w:val="14"/>
              </w:rPr>
              <w:t>-</w:t>
            </w:r>
            <w:r w:rsidR="004A36A9" w:rsidRPr="00B0381F">
              <w:rPr>
                <w:rFonts w:cstheme="minorHAnsi"/>
                <w:sz w:val="14"/>
                <w:szCs w:val="14"/>
              </w:rPr>
              <w:t>0.9</w:t>
            </w:r>
            <w:r w:rsidR="008B0834" w:rsidRPr="00B0381F">
              <w:rPr>
                <w:rFonts w:cstheme="minorHAnsi"/>
                <w:sz w:val="14"/>
                <w:szCs w:val="14"/>
              </w:rPr>
              <w:t>%</w:t>
            </w:r>
          </w:p>
        </w:tc>
        <w:tc>
          <w:tcPr>
            <w:tcW w:w="877" w:type="dxa"/>
            <w:vAlign w:val="center"/>
          </w:tcPr>
          <w:p w14:paraId="70448457" w14:textId="2BADC9A2" w:rsidR="008B0834" w:rsidRPr="00B0381F"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B0381F">
              <w:rPr>
                <w:rFonts w:cstheme="minorHAnsi"/>
                <w:sz w:val="14"/>
                <w:szCs w:val="14"/>
              </w:rPr>
              <w:t>+</w:t>
            </w:r>
            <w:r w:rsidR="004B2952" w:rsidRPr="00B0381F">
              <w:rPr>
                <w:rFonts w:cstheme="minorHAnsi"/>
                <w:sz w:val="14"/>
                <w:szCs w:val="14"/>
              </w:rPr>
              <w:t>3</w:t>
            </w:r>
            <w:r w:rsidR="00AF1C7B" w:rsidRPr="00B0381F">
              <w:rPr>
                <w:rFonts w:cstheme="minorHAnsi"/>
                <w:sz w:val="14"/>
                <w:szCs w:val="14"/>
              </w:rPr>
              <w:t>6,184</w:t>
            </w:r>
          </w:p>
        </w:tc>
        <w:tc>
          <w:tcPr>
            <w:tcW w:w="992" w:type="dxa"/>
            <w:vAlign w:val="center"/>
          </w:tcPr>
          <w:p w14:paraId="0F95F32C" w14:textId="27999DB6" w:rsidR="008B0834" w:rsidRPr="00B0381F"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B0381F">
              <w:rPr>
                <w:rFonts w:cstheme="minorHAnsi"/>
                <w:sz w:val="14"/>
                <w:szCs w:val="14"/>
              </w:rPr>
              <w:t>+</w:t>
            </w:r>
            <w:r w:rsidR="004B2952" w:rsidRPr="00B0381F">
              <w:rPr>
                <w:rFonts w:cstheme="minorHAnsi"/>
                <w:sz w:val="14"/>
                <w:szCs w:val="14"/>
              </w:rPr>
              <w:t>7.</w:t>
            </w:r>
            <w:r w:rsidR="00B2155B" w:rsidRPr="00B0381F">
              <w:rPr>
                <w:rFonts w:cstheme="minorHAnsi"/>
                <w:sz w:val="14"/>
                <w:szCs w:val="14"/>
              </w:rPr>
              <w:t>9</w:t>
            </w:r>
            <w:r w:rsidRPr="00B0381F">
              <w:rPr>
                <w:rFonts w:cstheme="minorHAnsi"/>
                <w:sz w:val="14"/>
                <w:szCs w:val="14"/>
              </w:rPr>
              <w:t>%</w:t>
            </w:r>
          </w:p>
        </w:tc>
        <w:tc>
          <w:tcPr>
            <w:tcW w:w="1276" w:type="dxa"/>
            <w:vAlign w:val="center"/>
          </w:tcPr>
          <w:p w14:paraId="069E9250" w14:textId="584DD871" w:rsidR="008B0834" w:rsidRPr="00B0381F"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B0381F">
              <w:rPr>
                <w:rFonts w:cstheme="minorHAnsi"/>
                <w:sz w:val="14"/>
                <w:szCs w:val="14"/>
              </w:rPr>
              <w:t>460,</w:t>
            </w:r>
            <w:r w:rsidR="00B2155B" w:rsidRPr="00B0381F">
              <w:rPr>
                <w:rFonts w:cstheme="minorHAnsi"/>
                <w:sz w:val="14"/>
                <w:szCs w:val="14"/>
              </w:rPr>
              <w:t>714</w:t>
            </w:r>
          </w:p>
        </w:tc>
        <w:tc>
          <w:tcPr>
            <w:tcW w:w="964" w:type="dxa"/>
            <w:vAlign w:val="center"/>
          </w:tcPr>
          <w:p w14:paraId="0C5FCACD" w14:textId="7FDEB8A1" w:rsidR="008B0834" w:rsidRPr="00B0381F"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B0381F">
              <w:rPr>
                <w:rFonts w:cstheme="minorHAnsi"/>
                <w:sz w:val="14"/>
                <w:szCs w:val="14"/>
              </w:rPr>
              <w:t>-18,</w:t>
            </w:r>
            <w:r w:rsidR="00B2155B" w:rsidRPr="00B0381F">
              <w:rPr>
                <w:rFonts w:cstheme="minorHAnsi"/>
                <w:sz w:val="14"/>
                <w:szCs w:val="14"/>
              </w:rPr>
              <w:t>108</w:t>
            </w:r>
          </w:p>
        </w:tc>
        <w:tc>
          <w:tcPr>
            <w:tcW w:w="964" w:type="dxa"/>
            <w:vAlign w:val="center"/>
          </w:tcPr>
          <w:p w14:paraId="51F3D5BD" w14:textId="0033C135" w:rsidR="008B0834" w:rsidRPr="00B0381F"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B0381F">
              <w:rPr>
                <w:rFonts w:cstheme="minorHAnsi"/>
                <w:sz w:val="14"/>
                <w:szCs w:val="14"/>
              </w:rPr>
              <w:t>-3.</w:t>
            </w:r>
            <w:r w:rsidR="00B2155B" w:rsidRPr="00B0381F">
              <w:rPr>
                <w:rFonts w:cstheme="minorHAnsi"/>
                <w:sz w:val="14"/>
                <w:szCs w:val="14"/>
              </w:rPr>
              <w:t>8</w:t>
            </w:r>
            <w:r w:rsidRPr="00B0381F">
              <w:rPr>
                <w:rFonts w:cstheme="minorHAnsi"/>
                <w:sz w:val="14"/>
                <w:szCs w:val="14"/>
              </w:rPr>
              <w:t>%</w:t>
            </w:r>
          </w:p>
        </w:tc>
      </w:tr>
      <w:tr w:rsidR="008B0834" w:rsidRPr="00AD28BB" w14:paraId="721A798A" w14:textId="77777777" w:rsidTr="007D78CB">
        <w:trPr>
          <w:trHeight w:val="227"/>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6135AC4B" w14:textId="77777777" w:rsidR="008B0834" w:rsidRPr="00911864" w:rsidRDefault="008B0834" w:rsidP="007D78CB">
            <w:pPr>
              <w:pStyle w:val="BodyText"/>
              <w:spacing w:after="0"/>
              <w:rPr>
                <w:rFonts w:cstheme="minorHAnsi"/>
                <w:b w:val="0"/>
                <w:sz w:val="14"/>
                <w:szCs w:val="14"/>
              </w:rPr>
            </w:pPr>
            <w:r w:rsidRPr="00911864">
              <w:rPr>
                <w:rFonts w:cstheme="minorHAnsi"/>
                <w:b w:val="0"/>
                <w:sz w:val="14"/>
                <w:szCs w:val="14"/>
              </w:rPr>
              <w:t>Total employed</w:t>
            </w:r>
          </w:p>
        </w:tc>
        <w:tc>
          <w:tcPr>
            <w:tcW w:w="1418" w:type="dxa"/>
            <w:vAlign w:val="center"/>
          </w:tcPr>
          <w:p w14:paraId="631FAE6F" w14:textId="138DE381" w:rsidR="008B0834" w:rsidRPr="00B0381F"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1,5</w:t>
            </w:r>
            <w:r w:rsidR="00AF1C7B" w:rsidRPr="00B0381F">
              <w:rPr>
                <w:rFonts w:cstheme="minorHAnsi"/>
                <w:sz w:val="14"/>
                <w:szCs w:val="14"/>
              </w:rPr>
              <w:t>9</w:t>
            </w:r>
            <w:r w:rsidR="00B17BEF" w:rsidRPr="00B0381F">
              <w:rPr>
                <w:rFonts w:cstheme="minorHAnsi"/>
                <w:sz w:val="14"/>
                <w:szCs w:val="14"/>
              </w:rPr>
              <w:t>4,2</w:t>
            </w:r>
            <w:r w:rsidR="00AF1C7B" w:rsidRPr="00B0381F">
              <w:rPr>
                <w:rFonts w:cstheme="minorHAnsi"/>
                <w:sz w:val="14"/>
                <w:szCs w:val="14"/>
              </w:rPr>
              <w:t>23</w:t>
            </w:r>
          </w:p>
        </w:tc>
        <w:tc>
          <w:tcPr>
            <w:tcW w:w="987" w:type="dxa"/>
            <w:vAlign w:val="center"/>
          </w:tcPr>
          <w:p w14:paraId="5173B576" w14:textId="0A1093E2" w:rsidR="008B0834" w:rsidRPr="00B0381F" w:rsidRDefault="004A36A9"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w:t>
            </w:r>
            <w:r w:rsidR="00AF1C7B" w:rsidRPr="00B0381F">
              <w:rPr>
                <w:rFonts w:cstheme="minorHAnsi"/>
                <w:sz w:val="14"/>
                <w:szCs w:val="14"/>
              </w:rPr>
              <w:t>12</w:t>
            </w:r>
            <w:r w:rsidRPr="00B0381F">
              <w:rPr>
                <w:rFonts w:cstheme="minorHAnsi"/>
                <w:sz w:val="14"/>
                <w:szCs w:val="14"/>
              </w:rPr>
              <w:t>,</w:t>
            </w:r>
            <w:r w:rsidR="00AF1C7B" w:rsidRPr="00B0381F">
              <w:rPr>
                <w:rFonts w:cstheme="minorHAnsi"/>
                <w:sz w:val="14"/>
                <w:szCs w:val="14"/>
              </w:rPr>
              <w:t>690</w:t>
            </w:r>
          </w:p>
        </w:tc>
        <w:tc>
          <w:tcPr>
            <w:tcW w:w="971" w:type="dxa"/>
            <w:vAlign w:val="center"/>
          </w:tcPr>
          <w:p w14:paraId="5F05413D" w14:textId="010A1B83" w:rsidR="008B0834" w:rsidRPr="00B0381F" w:rsidRDefault="004A36A9"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+0.</w:t>
            </w:r>
            <w:r w:rsidR="00AF1C7B" w:rsidRPr="00B0381F">
              <w:rPr>
                <w:rFonts w:cstheme="minorHAnsi"/>
                <w:sz w:val="14"/>
                <w:szCs w:val="14"/>
              </w:rPr>
              <w:t>8</w:t>
            </w:r>
            <w:r w:rsidR="008B0834" w:rsidRPr="00B0381F">
              <w:rPr>
                <w:rFonts w:cstheme="minorHAnsi"/>
                <w:sz w:val="14"/>
                <w:szCs w:val="14"/>
              </w:rPr>
              <w:t>%</w:t>
            </w:r>
          </w:p>
        </w:tc>
        <w:tc>
          <w:tcPr>
            <w:tcW w:w="877" w:type="dxa"/>
            <w:vAlign w:val="center"/>
          </w:tcPr>
          <w:p w14:paraId="67A4A50A" w14:textId="2847CE65" w:rsidR="008B0834" w:rsidRPr="00B0381F"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w:t>
            </w:r>
            <w:r w:rsidR="00AF1C7B" w:rsidRPr="00B0381F">
              <w:rPr>
                <w:rFonts w:cstheme="minorHAnsi"/>
                <w:sz w:val="14"/>
                <w:szCs w:val="14"/>
              </w:rPr>
              <w:t>72,199</w:t>
            </w:r>
          </w:p>
        </w:tc>
        <w:tc>
          <w:tcPr>
            <w:tcW w:w="992" w:type="dxa"/>
            <w:vAlign w:val="center"/>
          </w:tcPr>
          <w:p w14:paraId="325C4F58" w14:textId="10237958" w:rsidR="008B0834" w:rsidRPr="00B0381F"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w:t>
            </w:r>
            <w:r w:rsidR="004B2952" w:rsidRPr="00B0381F">
              <w:rPr>
                <w:rFonts w:cstheme="minorHAnsi"/>
                <w:sz w:val="14"/>
                <w:szCs w:val="14"/>
              </w:rPr>
              <w:t>4.</w:t>
            </w:r>
            <w:r w:rsidR="00B2155B" w:rsidRPr="00B0381F">
              <w:rPr>
                <w:rFonts w:cstheme="minorHAnsi"/>
                <w:sz w:val="14"/>
                <w:szCs w:val="14"/>
              </w:rPr>
              <w:t>7</w:t>
            </w:r>
            <w:r w:rsidRPr="00B0381F">
              <w:rPr>
                <w:rFonts w:cstheme="minorHAnsi"/>
                <w:sz w:val="14"/>
                <w:szCs w:val="14"/>
              </w:rPr>
              <w:t>%</w:t>
            </w:r>
          </w:p>
        </w:tc>
        <w:tc>
          <w:tcPr>
            <w:tcW w:w="1276" w:type="dxa"/>
            <w:vAlign w:val="center"/>
          </w:tcPr>
          <w:p w14:paraId="1A5CAD3A" w14:textId="3E3E2994" w:rsidR="008B0834" w:rsidRPr="00B0381F"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1,53</w:t>
            </w:r>
            <w:r w:rsidR="00B2155B" w:rsidRPr="00B0381F">
              <w:rPr>
                <w:rFonts w:cstheme="minorHAnsi"/>
                <w:sz w:val="14"/>
                <w:szCs w:val="14"/>
              </w:rPr>
              <w:t>4,290</w:t>
            </w:r>
          </w:p>
        </w:tc>
        <w:tc>
          <w:tcPr>
            <w:tcW w:w="964" w:type="dxa"/>
            <w:vAlign w:val="center"/>
          </w:tcPr>
          <w:p w14:paraId="706E3DC5" w14:textId="7709DCA3" w:rsidR="008B0834" w:rsidRPr="00B0381F"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w:t>
            </w:r>
            <w:r w:rsidR="00B2155B" w:rsidRPr="00B0381F">
              <w:rPr>
                <w:rFonts w:cstheme="minorHAnsi"/>
                <w:sz w:val="14"/>
                <w:szCs w:val="14"/>
              </w:rPr>
              <w:t>42,264</w:t>
            </w:r>
          </w:p>
        </w:tc>
        <w:tc>
          <w:tcPr>
            <w:tcW w:w="964" w:type="dxa"/>
            <w:vAlign w:val="center"/>
          </w:tcPr>
          <w:p w14:paraId="50449524" w14:textId="615BFADF" w:rsidR="008B0834" w:rsidRPr="00B0381F"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+2.</w:t>
            </w:r>
            <w:r w:rsidR="00B2155B" w:rsidRPr="00B0381F">
              <w:rPr>
                <w:rFonts w:cstheme="minorHAnsi"/>
                <w:sz w:val="14"/>
                <w:szCs w:val="14"/>
              </w:rPr>
              <w:t>8</w:t>
            </w:r>
            <w:r w:rsidRPr="00B0381F">
              <w:rPr>
                <w:rFonts w:cstheme="minorHAnsi"/>
                <w:sz w:val="14"/>
                <w:szCs w:val="14"/>
              </w:rPr>
              <w:t>%</w:t>
            </w:r>
          </w:p>
        </w:tc>
      </w:tr>
      <w:tr w:rsidR="008B0834" w:rsidRPr="00AD28BB" w14:paraId="4CB1483F" w14:textId="77777777" w:rsidTr="007D78C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7CB59FCF" w14:textId="77777777" w:rsidR="008B0834" w:rsidRPr="00911864" w:rsidRDefault="008B0834" w:rsidP="007D78CB">
            <w:pPr>
              <w:pStyle w:val="BodyText"/>
              <w:spacing w:after="0"/>
              <w:rPr>
                <w:rFonts w:cstheme="minorHAnsi"/>
                <w:b w:val="0"/>
                <w:sz w:val="14"/>
                <w:szCs w:val="14"/>
              </w:rPr>
            </w:pPr>
            <w:r>
              <w:rPr>
                <w:rFonts w:cstheme="minorHAnsi"/>
                <w:b w:val="0"/>
                <w:sz w:val="14"/>
                <w:szCs w:val="14"/>
              </w:rPr>
              <w:t>Total hours worked (millions)</w:t>
            </w:r>
            <w:r w:rsidRPr="00911864">
              <w:rPr>
                <w:rFonts w:cstheme="minorHAnsi"/>
                <w:b w:val="0"/>
                <w:sz w:val="14"/>
                <w:szCs w:val="14"/>
                <w:vertAlign w:val="superscript"/>
              </w:rPr>
              <w:t>3</w:t>
            </w:r>
          </w:p>
        </w:tc>
        <w:tc>
          <w:tcPr>
            <w:tcW w:w="1418" w:type="dxa"/>
            <w:vAlign w:val="center"/>
          </w:tcPr>
          <w:p w14:paraId="5EC0D1FE" w14:textId="5F9B0AE1" w:rsidR="008B0834" w:rsidRPr="00B0381F"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B0381F">
              <w:rPr>
                <w:rFonts w:cstheme="minorHAnsi"/>
                <w:sz w:val="14"/>
                <w:szCs w:val="14"/>
              </w:rPr>
              <w:t>2</w:t>
            </w:r>
            <w:r w:rsidR="00AF1C7B" w:rsidRPr="00B0381F">
              <w:rPr>
                <w:rFonts w:cstheme="minorHAnsi"/>
                <w:sz w:val="14"/>
                <w:szCs w:val="14"/>
              </w:rPr>
              <w:t>21.3</w:t>
            </w:r>
          </w:p>
        </w:tc>
        <w:tc>
          <w:tcPr>
            <w:tcW w:w="987" w:type="dxa"/>
            <w:vAlign w:val="center"/>
          </w:tcPr>
          <w:p w14:paraId="2644D89D" w14:textId="70DA409F" w:rsidR="008B0834" w:rsidRPr="00B0381F" w:rsidRDefault="00AF1C7B"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B0381F">
              <w:rPr>
                <w:rFonts w:cstheme="minorHAnsi"/>
                <w:sz w:val="14"/>
                <w:szCs w:val="14"/>
              </w:rPr>
              <w:t>+1.6</w:t>
            </w:r>
          </w:p>
        </w:tc>
        <w:tc>
          <w:tcPr>
            <w:tcW w:w="971" w:type="dxa"/>
            <w:vAlign w:val="center"/>
          </w:tcPr>
          <w:p w14:paraId="3A36C29F" w14:textId="3035FBBC" w:rsidR="008B0834" w:rsidRPr="00B0381F" w:rsidRDefault="004A36A9"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B0381F">
              <w:rPr>
                <w:rFonts w:cstheme="minorHAnsi"/>
                <w:sz w:val="14"/>
                <w:szCs w:val="14"/>
              </w:rPr>
              <w:t>+0.</w:t>
            </w:r>
            <w:r w:rsidR="00AF1C7B" w:rsidRPr="00B0381F">
              <w:rPr>
                <w:rFonts w:cstheme="minorHAnsi"/>
                <w:sz w:val="14"/>
                <w:szCs w:val="14"/>
              </w:rPr>
              <w:t>7</w:t>
            </w:r>
            <w:r w:rsidR="008B0834" w:rsidRPr="00B0381F">
              <w:rPr>
                <w:rFonts w:cstheme="minorHAnsi"/>
                <w:sz w:val="14"/>
                <w:szCs w:val="14"/>
              </w:rPr>
              <w:t>%</w:t>
            </w:r>
          </w:p>
        </w:tc>
        <w:tc>
          <w:tcPr>
            <w:tcW w:w="877" w:type="dxa"/>
            <w:vAlign w:val="center"/>
          </w:tcPr>
          <w:p w14:paraId="61D52174" w14:textId="0C6B326E" w:rsidR="008B0834" w:rsidRPr="00B0381F"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B0381F">
              <w:rPr>
                <w:rFonts w:cstheme="minorHAnsi"/>
                <w:sz w:val="14"/>
                <w:szCs w:val="14"/>
              </w:rPr>
              <w:t>+</w:t>
            </w:r>
            <w:r w:rsidR="00AF1C7B" w:rsidRPr="00B0381F">
              <w:rPr>
                <w:rFonts w:cstheme="minorHAnsi"/>
                <w:sz w:val="14"/>
                <w:szCs w:val="14"/>
              </w:rPr>
              <w:t>7.6</w:t>
            </w:r>
          </w:p>
        </w:tc>
        <w:tc>
          <w:tcPr>
            <w:tcW w:w="992" w:type="dxa"/>
            <w:vAlign w:val="center"/>
          </w:tcPr>
          <w:p w14:paraId="48715B39" w14:textId="2190E2A8" w:rsidR="008B0834" w:rsidRPr="00B0381F"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B0381F">
              <w:rPr>
                <w:rFonts w:cstheme="minorHAnsi"/>
                <w:sz w:val="14"/>
                <w:szCs w:val="14"/>
              </w:rPr>
              <w:t>+</w:t>
            </w:r>
            <w:r w:rsidR="00B2155B" w:rsidRPr="00B0381F">
              <w:rPr>
                <w:rFonts w:cstheme="minorHAnsi"/>
                <w:sz w:val="14"/>
                <w:szCs w:val="14"/>
              </w:rPr>
              <w:t>3.6</w:t>
            </w:r>
            <w:r w:rsidRPr="00B0381F">
              <w:rPr>
                <w:rFonts w:cstheme="minorHAnsi"/>
                <w:sz w:val="14"/>
                <w:szCs w:val="14"/>
              </w:rPr>
              <w:t>%</w:t>
            </w:r>
          </w:p>
        </w:tc>
        <w:tc>
          <w:tcPr>
            <w:tcW w:w="1276" w:type="dxa"/>
            <w:vAlign w:val="center"/>
          </w:tcPr>
          <w:p w14:paraId="3FC56BC1" w14:textId="03820D6B" w:rsidR="008B0834" w:rsidRPr="00B0381F"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B0381F">
              <w:rPr>
                <w:rFonts w:cstheme="minorHAnsi"/>
                <w:sz w:val="14"/>
                <w:szCs w:val="14"/>
              </w:rPr>
              <w:t>215.</w:t>
            </w:r>
            <w:r w:rsidR="00B2155B" w:rsidRPr="00B0381F">
              <w:rPr>
                <w:rFonts w:cstheme="minorHAnsi"/>
                <w:sz w:val="14"/>
                <w:szCs w:val="14"/>
              </w:rPr>
              <w:t>4</w:t>
            </w:r>
          </w:p>
        </w:tc>
        <w:tc>
          <w:tcPr>
            <w:tcW w:w="964" w:type="dxa"/>
            <w:vAlign w:val="center"/>
          </w:tcPr>
          <w:p w14:paraId="13C3A0FC" w14:textId="40B10E82" w:rsidR="008B0834" w:rsidRPr="00B0381F"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B0381F">
              <w:rPr>
                <w:rFonts w:cstheme="minorHAnsi"/>
                <w:sz w:val="14"/>
                <w:szCs w:val="14"/>
              </w:rPr>
              <w:t>+</w:t>
            </w:r>
            <w:r w:rsidR="00B2155B" w:rsidRPr="00B0381F">
              <w:rPr>
                <w:rFonts w:cstheme="minorHAnsi"/>
                <w:sz w:val="14"/>
                <w:szCs w:val="14"/>
              </w:rPr>
              <w:t>9.3</w:t>
            </w:r>
          </w:p>
        </w:tc>
        <w:tc>
          <w:tcPr>
            <w:tcW w:w="964" w:type="dxa"/>
            <w:vAlign w:val="center"/>
          </w:tcPr>
          <w:p w14:paraId="53039D2A" w14:textId="37C95BC6" w:rsidR="008B0834" w:rsidRPr="00B0381F"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B0381F">
              <w:rPr>
                <w:rFonts w:cstheme="minorHAnsi"/>
                <w:sz w:val="14"/>
                <w:szCs w:val="14"/>
              </w:rPr>
              <w:t>+4.</w:t>
            </w:r>
            <w:r w:rsidR="00B2155B" w:rsidRPr="00B0381F">
              <w:rPr>
                <w:rFonts w:cstheme="minorHAnsi"/>
                <w:sz w:val="14"/>
                <w:szCs w:val="14"/>
              </w:rPr>
              <w:t>5</w:t>
            </w:r>
            <w:r w:rsidRPr="00B0381F">
              <w:rPr>
                <w:rFonts w:cstheme="minorHAnsi"/>
                <w:sz w:val="14"/>
                <w:szCs w:val="14"/>
              </w:rPr>
              <w:t>%</w:t>
            </w:r>
          </w:p>
        </w:tc>
      </w:tr>
      <w:tr w:rsidR="008B0834" w:rsidRPr="00AD28BB" w14:paraId="2EE9454F" w14:textId="77777777" w:rsidTr="007D78CB">
        <w:trPr>
          <w:trHeight w:val="227"/>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482D799E" w14:textId="77777777" w:rsidR="008B0834" w:rsidRPr="00911864" w:rsidRDefault="008B0834" w:rsidP="007D78CB">
            <w:pPr>
              <w:pStyle w:val="BodyText"/>
              <w:spacing w:after="0"/>
              <w:rPr>
                <w:rFonts w:cstheme="minorHAnsi"/>
                <w:b w:val="0"/>
                <w:sz w:val="14"/>
                <w:szCs w:val="14"/>
              </w:rPr>
            </w:pPr>
            <w:r w:rsidRPr="00911864">
              <w:rPr>
                <w:rFonts w:cstheme="minorHAnsi"/>
                <w:b w:val="0"/>
                <w:sz w:val="14"/>
                <w:szCs w:val="14"/>
              </w:rPr>
              <w:t>Participation rate</w:t>
            </w:r>
            <w:r>
              <w:rPr>
                <w:rFonts w:cstheme="minorHAnsi"/>
                <w:b w:val="0"/>
                <w:sz w:val="14"/>
                <w:szCs w:val="14"/>
                <w:vertAlign w:val="superscript"/>
              </w:rPr>
              <w:t>4</w:t>
            </w:r>
          </w:p>
        </w:tc>
        <w:tc>
          <w:tcPr>
            <w:tcW w:w="1418" w:type="dxa"/>
            <w:vAlign w:val="center"/>
          </w:tcPr>
          <w:p w14:paraId="139F8F59" w14:textId="66C98BB9" w:rsidR="008B0834" w:rsidRPr="00B0381F"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6</w:t>
            </w:r>
            <w:r w:rsidR="00B17BEF" w:rsidRPr="00B0381F">
              <w:rPr>
                <w:rFonts w:cstheme="minorHAnsi"/>
                <w:sz w:val="14"/>
                <w:szCs w:val="14"/>
              </w:rPr>
              <w:t>9.</w:t>
            </w:r>
            <w:r w:rsidR="00AF1C7B" w:rsidRPr="00B0381F">
              <w:rPr>
                <w:rFonts w:cstheme="minorHAnsi"/>
                <w:sz w:val="14"/>
                <w:szCs w:val="14"/>
              </w:rPr>
              <w:t>7</w:t>
            </w:r>
            <w:r w:rsidRPr="00B0381F">
              <w:rPr>
                <w:rFonts w:cstheme="minorHAnsi"/>
                <w:sz w:val="14"/>
                <w:szCs w:val="14"/>
              </w:rPr>
              <w:t>%</w:t>
            </w:r>
          </w:p>
        </w:tc>
        <w:tc>
          <w:tcPr>
            <w:tcW w:w="987" w:type="dxa"/>
            <w:vAlign w:val="center"/>
          </w:tcPr>
          <w:p w14:paraId="6B4B00DA" w14:textId="6C19158C" w:rsidR="008B0834" w:rsidRPr="00B0381F" w:rsidRDefault="004A36A9"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w:t>
            </w:r>
            <w:r w:rsidR="008B0834" w:rsidRPr="00B0381F">
              <w:rPr>
                <w:rFonts w:cstheme="minorHAnsi"/>
                <w:sz w:val="14"/>
                <w:szCs w:val="14"/>
              </w:rPr>
              <w:t>0.</w:t>
            </w:r>
            <w:r w:rsidR="00AF1C7B" w:rsidRPr="00B0381F">
              <w:rPr>
                <w:rFonts w:cstheme="minorHAnsi"/>
                <w:sz w:val="14"/>
                <w:szCs w:val="14"/>
              </w:rPr>
              <w:t>3</w:t>
            </w:r>
            <w:r w:rsidR="008B0834" w:rsidRPr="00B0381F">
              <w:rPr>
                <w:rFonts w:cstheme="minorHAnsi"/>
                <w:sz w:val="14"/>
                <w:szCs w:val="14"/>
              </w:rPr>
              <w:t>pp</w:t>
            </w:r>
          </w:p>
        </w:tc>
        <w:tc>
          <w:tcPr>
            <w:tcW w:w="971" w:type="dxa"/>
            <w:vAlign w:val="center"/>
          </w:tcPr>
          <w:p w14:paraId="376C9BE3" w14:textId="77777777" w:rsidR="008B0834" w:rsidRPr="00B0381F"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proofErr w:type="spellStart"/>
            <w:r w:rsidRPr="00B0381F">
              <w:rPr>
                <w:rFonts w:cstheme="minorHAnsi"/>
                <w:sz w:val="14"/>
                <w:szCs w:val="14"/>
              </w:rPr>
              <w:t>n.a.</w:t>
            </w:r>
            <w:proofErr w:type="spellEnd"/>
          </w:p>
        </w:tc>
        <w:tc>
          <w:tcPr>
            <w:tcW w:w="877" w:type="dxa"/>
            <w:vAlign w:val="center"/>
          </w:tcPr>
          <w:p w14:paraId="5CA5347F" w14:textId="7E01F59F" w:rsidR="008B0834" w:rsidRPr="00B0381F" w:rsidRDefault="004B2952"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+0.</w:t>
            </w:r>
            <w:r w:rsidR="00AF1C7B" w:rsidRPr="00B0381F">
              <w:rPr>
                <w:rFonts w:cstheme="minorHAnsi"/>
                <w:sz w:val="14"/>
                <w:szCs w:val="14"/>
              </w:rPr>
              <w:t>8</w:t>
            </w:r>
            <w:r w:rsidR="008B0834" w:rsidRPr="00B0381F">
              <w:rPr>
                <w:rFonts w:cstheme="minorHAnsi"/>
                <w:sz w:val="14"/>
                <w:szCs w:val="14"/>
              </w:rPr>
              <w:t>pp</w:t>
            </w:r>
          </w:p>
        </w:tc>
        <w:tc>
          <w:tcPr>
            <w:tcW w:w="992" w:type="dxa"/>
            <w:vAlign w:val="center"/>
          </w:tcPr>
          <w:p w14:paraId="48DBCE98" w14:textId="77777777" w:rsidR="008B0834" w:rsidRPr="00B0381F"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proofErr w:type="spellStart"/>
            <w:r w:rsidRPr="00B0381F">
              <w:rPr>
                <w:rFonts w:cstheme="minorHAnsi"/>
                <w:sz w:val="14"/>
                <w:szCs w:val="14"/>
              </w:rPr>
              <w:t>n.a.</w:t>
            </w:r>
            <w:proofErr w:type="spellEnd"/>
          </w:p>
        </w:tc>
        <w:tc>
          <w:tcPr>
            <w:tcW w:w="1276" w:type="dxa"/>
            <w:vAlign w:val="center"/>
          </w:tcPr>
          <w:p w14:paraId="33916A9F" w14:textId="77777777" w:rsidR="008B0834" w:rsidRPr="00B0381F"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69.2%</w:t>
            </w:r>
          </w:p>
        </w:tc>
        <w:tc>
          <w:tcPr>
            <w:tcW w:w="964" w:type="dxa"/>
            <w:vAlign w:val="center"/>
          </w:tcPr>
          <w:p w14:paraId="6CB42196" w14:textId="77777777" w:rsidR="008B0834" w:rsidRPr="00B0381F"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-0.3pp</w:t>
            </w:r>
          </w:p>
        </w:tc>
        <w:tc>
          <w:tcPr>
            <w:tcW w:w="964" w:type="dxa"/>
            <w:vAlign w:val="center"/>
          </w:tcPr>
          <w:p w14:paraId="557970CD" w14:textId="77777777" w:rsidR="008B0834" w:rsidRPr="00B0381F"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proofErr w:type="spellStart"/>
            <w:r w:rsidRPr="00B0381F">
              <w:rPr>
                <w:rFonts w:cstheme="minorHAnsi"/>
                <w:sz w:val="14"/>
                <w:szCs w:val="14"/>
              </w:rPr>
              <w:t>n.a.</w:t>
            </w:r>
            <w:proofErr w:type="spellEnd"/>
          </w:p>
        </w:tc>
      </w:tr>
      <w:tr w:rsidR="008B0834" w:rsidRPr="00AD28BB" w14:paraId="33C755E5" w14:textId="77777777" w:rsidTr="007D78C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4614C390" w14:textId="77777777" w:rsidR="008B0834" w:rsidRPr="00911864" w:rsidRDefault="008B0834" w:rsidP="007D78CB">
            <w:pPr>
              <w:pStyle w:val="BodyText"/>
              <w:spacing w:after="0"/>
              <w:rPr>
                <w:rFonts w:cstheme="minorHAnsi"/>
                <w:b w:val="0"/>
                <w:sz w:val="14"/>
                <w:szCs w:val="14"/>
              </w:rPr>
            </w:pPr>
            <w:r w:rsidRPr="00911864">
              <w:rPr>
                <w:rFonts w:cstheme="minorHAnsi"/>
                <w:b w:val="0"/>
                <w:sz w:val="14"/>
                <w:szCs w:val="14"/>
              </w:rPr>
              <w:t>Employment to population ratio</w:t>
            </w:r>
          </w:p>
        </w:tc>
        <w:tc>
          <w:tcPr>
            <w:tcW w:w="1418" w:type="dxa"/>
            <w:vAlign w:val="center"/>
          </w:tcPr>
          <w:p w14:paraId="259F3951" w14:textId="7A6CBFA2" w:rsidR="008B0834" w:rsidRPr="00B0381F"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B0381F">
              <w:rPr>
                <w:rFonts w:cstheme="minorHAnsi"/>
                <w:sz w:val="14"/>
                <w:szCs w:val="14"/>
              </w:rPr>
              <w:t>6</w:t>
            </w:r>
            <w:r w:rsidR="00AF1C7B" w:rsidRPr="00B0381F">
              <w:rPr>
                <w:rFonts w:cstheme="minorHAnsi"/>
                <w:sz w:val="14"/>
                <w:szCs w:val="14"/>
              </w:rPr>
              <w:t>7.2</w:t>
            </w:r>
            <w:r w:rsidRPr="00B0381F">
              <w:rPr>
                <w:rFonts w:cstheme="minorHAnsi"/>
                <w:sz w:val="14"/>
                <w:szCs w:val="14"/>
              </w:rPr>
              <w:t>%</w:t>
            </w:r>
          </w:p>
        </w:tc>
        <w:tc>
          <w:tcPr>
            <w:tcW w:w="987" w:type="dxa"/>
            <w:vAlign w:val="center"/>
          </w:tcPr>
          <w:p w14:paraId="68668F45" w14:textId="0CD1121F" w:rsidR="008B0834" w:rsidRPr="00B0381F" w:rsidRDefault="004A36A9"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B0381F">
              <w:rPr>
                <w:rFonts w:cstheme="minorHAnsi"/>
                <w:sz w:val="14"/>
                <w:szCs w:val="14"/>
              </w:rPr>
              <w:t>+</w:t>
            </w:r>
            <w:r w:rsidR="008B0834" w:rsidRPr="00B0381F">
              <w:rPr>
                <w:rFonts w:cstheme="minorHAnsi"/>
                <w:sz w:val="14"/>
                <w:szCs w:val="14"/>
              </w:rPr>
              <w:t>0.</w:t>
            </w:r>
            <w:r w:rsidR="00AF1C7B" w:rsidRPr="00B0381F">
              <w:rPr>
                <w:rFonts w:cstheme="minorHAnsi"/>
                <w:sz w:val="14"/>
                <w:szCs w:val="14"/>
              </w:rPr>
              <w:t>3</w:t>
            </w:r>
            <w:r w:rsidR="008B0834" w:rsidRPr="00B0381F">
              <w:rPr>
                <w:rFonts w:cstheme="minorHAnsi"/>
                <w:sz w:val="14"/>
                <w:szCs w:val="14"/>
              </w:rPr>
              <w:t>pp</w:t>
            </w:r>
          </w:p>
        </w:tc>
        <w:tc>
          <w:tcPr>
            <w:tcW w:w="971" w:type="dxa"/>
            <w:vAlign w:val="center"/>
          </w:tcPr>
          <w:p w14:paraId="419348C5" w14:textId="77777777" w:rsidR="008B0834" w:rsidRPr="00B0381F"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roofErr w:type="spellStart"/>
            <w:r w:rsidRPr="00B0381F">
              <w:rPr>
                <w:rFonts w:cstheme="minorHAnsi"/>
                <w:sz w:val="14"/>
                <w:szCs w:val="14"/>
              </w:rPr>
              <w:t>n.a.</w:t>
            </w:r>
            <w:proofErr w:type="spellEnd"/>
          </w:p>
        </w:tc>
        <w:tc>
          <w:tcPr>
            <w:tcW w:w="877" w:type="dxa"/>
            <w:vAlign w:val="center"/>
          </w:tcPr>
          <w:p w14:paraId="4A5B8D53" w14:textId="1912D324" w:rsidR="008B0834" w:rsidRPr="00B0381F" w:rsidRDefault="004B2952"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B0381F">
              <w:rPr>
                <w:rFonts w:cstheme="minorHAnsi"/>
                <w:sz w:val="14"/>
                <w:szCs w:val="14"/>
              </w:rPr>
              <w:t>+</w:t>
            </w:r>
            <w:r w:rsidR="008B0834" w:rsidRPr="00B0381F">
              <w:rPr>
                <w:rFonts w:cstheme="minorHAnsi"/>
                <w:sz w:val="14"/>
                <w:szCs w:val="14"/>
              </w:rPr>
              <w:t>0.</w:t>
            </w:r>
            <w:r w:rsidR="00AF1C7B" w:rsidRPr="00B0381F">
              <w:rPr>
                <w:rFonts w:cstheme="minorHAnsi"/>
                <w:sz w:val="14"/>
                <w:szCs w:val="14"/>
              </w:rPr>
              <w:t>6</w:t>
            </w:r>
            <w:r w:rsidR="008B0834" w:rsidRPr="00B0381F">
              <w:rPr>
                <w:rFonts w:cstheme="minorHAnsi"/>
                <w:sz w:val="14"/>
                <w:szCs w:val="14"/>
              </w:rPr>
              <w:t>pp</w:t>
            </w:r>
          </w:p>
        </w:tc>
        <w:tc>
          <w:tcPr>
            <w:tcW w:w="992" w:type="dxa"/>
            <w:vAlign w:val="center"/>
          </w:tcPr>
          <w:p w14:paraId="3549883D" w14:textId="77777777" w:rsidR="008B0834" w:rsidRPr="00B0381F"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roofErr w:type="spellStart"/>
            <w:r w:rsidRPr="00B0381F">
              <w:rPr>
                <w:rFonts w:cstheme="minorHAnsi"/>
                <w:sz w:val="14"/>
                <w:szCs w:val="14"/>
              </w:rPr>
              <w:t>n.a.</w:t>
            </w:r>
            <w:proofErr w:type="spellEnd"/>
          </w:p>
        </w:tc>
        <w:tc>
          <w:tcPr>
            <w:tcW w:w="1276" w:type="dxa"/>
            <w:vAlign w:val="center"/>
          </w:tcPr>
          <w:p w14:paraId="60FC52E4" w14:textId="77777777" w:rsidR="008B0834" w:rsidRPr="00B0381F"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B0381F">
              <w:rPr>
                <w:rFonts w:cstheme="minorHAnsi"/>
                <w:sz w:val="14"/>
                <w:szCs w:val="14"/>
              </w:rPr>
              <w:t>66.7%</w:t>
            </w:r>
          </w:p>
        </w:tc>
        <w:tc>
          <w:tcPr>
            <w:tcW w:w="964" w:type="dxa"/>
            <w:vAlign w:val="center"/>
          </w:tcPr>
          <w:p w14:paraId="4B04E0A6" w14:textId="77777777" w:rsidR="008B0834" w:rsidRPr="00B0381F"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B0381F">
              <w:rPr>
                <w:rFonts w:cstheme="minorHAnsi"/>
                <w:sz w:val="14"/>
                <w:szCs w:val="14"/>
              </w:rPr>
              <w:t>-0.1pp</w:t>
            </w:r>
          </w:p>
        </w:tc>
        <w:tc>
          <w:tcPr>
            <w:tcW w:w="964" w:type="dxa"/>
            <w:vAlign w:val="center"/>
          </w:tcPr>
          <w:p w14:paraId="152B28C2" w14:textId="77777777" w:rsidR="008B0834" w:rsidRPr="00B0381F"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roofErr w:type="spellStart"/>
            <w:r w:rsidRPr="00B0381F">
              <w:rPr>
                <w:rFonts w:cstheme="minorHAnsi"/>
                <w:sz w:val="14"/>
                <w:szCs w:val="14"/>
              </w:rPr>
              <w:t>n.a.</w:t>
            </w:r>
            <w:proofErr w:type="spellEnd"/>
          </w:p>
        </w:tc>
      </w:tr>
      <w:tr w:rsidR="008B0834" w:rsidRPr="00AD28BB" w14:paraId="4E8B6991" w14:textId="77777777" w:rsidTr="007D78CB">
        <w:trPr>
          <w:trHeight w:val="227"/>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01370D9C" w14:textId="77777777" w:rsidR="008B0834" w:rsidRPr="00911864" w:rsidRDefault="008B0834" w:rsidP="007D78CB">
            <w:pPr>
              <w:pStyle w:val="BodyText"/>
              <w:spacing w:after="0"/>
              <w:rPr>
                <w:rFonts w:cstheme="minorHAnsi"/>
                <w:b w:val="0"/>
                <w:sz w:val="14"/>
                <w:szCs w:val="14"/>
              </w:rPr>
            </w:pPr>
            <w:r w:rsidRPr="00911864">
              <w:rPr>
                <w:rFonts w:cstheme="minorHAnsi"/>
                <w:b w:val="0"/>
                <w:sz w:val="14"/>
                <w:szCs w:val="14"/>
              </w:rPr>
              <w:t>Unemployed</w:t>
            </w:r>
          </w:p>
        </w:tc>
        <w:tc>
          <w:tcPr>
            <w:tcW w:w="1418" w:type="dxa"/>
            <w:vAlign w:val="center"/>
          </w:tcPr>
          <w:p w14:paraId="3811BDDD" w14:textId="2736AA20" w:rsidR="008B0834" w:rsidRPr="00B0381F" w:rsidRDefault="00B17BEF"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6</w:t>
            </w:r>
            <w:r w:rsidR="00AF1C7B" w:rsidRPr="00B0381F">
              <w:rPr>
                <w:rFonts w:cstheme="minorHAnsi"/>
                <w:sz w:val="14"/>
                <w:szCs w:val="14"/>
              </w:rPr>
              <w:t>0</w:t>
            </w:r>
            <w:r w:rsidRPr="00B0381F">
              <w:rPr>
                <w:rFonts w:cstheme="minorHAnsi"/>
                <w:sz w:val="14"/>
                <w:szCs w:val="14"/>
              </w:rPr>
              <w:t>,</w:t>
            </w:r>
            <w:r w:rsidR="00AF1C7B" w:rsidRPr="00B0381F">
              <w:rPr>
                <w:rFonts w:cstheme="minorHAnsi"/>
                <w:sz w:val="14"/>
                <w:szCs w:val="14"/>
              </w:rPr>
              <w:t>873</w:t>
            </w:r>
          </w:p>
        </w:tc>
        <w:tc>
          <w:tcPr>
            <w:tcW w:w="987" w:type="dxa"/>
            <w:vAlign w:val="center"/>
          </w:tcPr>
          <w:p w14:paraId="1BAD96DD" w14:textId="5E6917E0" w:rsidR="008B0834" w:rsidRPr="00B0381F" w:rsidRDefault="00AF1C7B"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-1,224</w:t>
            </w:r>
          </w:p>
        </w:tc>
        <w:tc>
          <w:tcPr>
            <w:tcW w:w="971" w:type="dxa"/>
            <w:vAlign w:val="center"/>
          </w:tcPr>
          <w:p w14:paraId="6D81577A" w14:textId="510FCF86" w:rsidR="008B0834" w:rsidRPr="00B0381F" w:rsidRDefault="00AF1C7B"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-2.0</w:t>
            </w:r>
            <w:r w:rsidR="008B0834" w:rsidRPr="00B0381F">
              <w:rPr>
                <w:rFonts w:cstheme="minorHAnsi"/>
                <w:sz w:val="14"/>
                <w:szCs w:val="14"/>
              </w:rPr>
              <w:t>%</w:t>
            </w:r>
          </w:p>
        </w:tc>
        <w:tc>
          <w:tcPr>
            <w:tcW w:w="877" w:type="dxa"/>
            <w:vAlign w:val="center"/>
          </w:tcPr>
          <w:p w14:paraId="1605D032" w14:textId="74136F67" w:rsidR="008B0834" w:rsidRPr="00B0381F" w:rsidRDefault="004B2952"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+6,</w:t>
            </w:r>
            <w:r w:rsidR="00AF1C7B" w:rsidRPr="00B0381F">
              <w:rPr>
                <w:rFonts w:cstheme="minorHAnsi"/>
                <w:sz w:val="14"/>
                <w:szCs w:val="14"/>
              </w:rPr>
              <w:t>388</w:t>
            </w:r>
          </w:p>
        </w:tc>
        <w:tc>
          <w:tcPr>
            <w:tcW w:w="992" w:type="dxa"/>
            <w:vAlign w:val="center"/>
          </w:tcPr>
          <w:p w14:paraId="7810BECA" w14:textId="0B784875" w:rsidR="008B0834" w:rsidRPr="00B0381F" w:rsidRDefault="004B2952"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+11.</w:t>
            </w:r>
            <w:r w:rsidR="00B2155B" w:rsidRPr="00B0381F">
              <w:rPr>
                <w:rFonts w:cstheme="minorHAnsi"/>
                <w:sz w:val="14"/>
                <w:szCs w:val="14"/>
              </w:rPr>
              <w:t>7</w:t>
            </w:r>
            <w:r w:rsidR="008B0834" w:rsidRPr="00B0381F">
              <w:rPr>
                <w:rFonts w:cstheme="minorHAnsi"/>
                <w:sz w:val="14"/>
                <w:szCs w:val="14"/>
              </w:rPr>
              <w:t>%</w:t>
            </w:r>
          </w:p>
        </w:tc>
        <w:tc>
          <w:tcPr>
            <w:tcW w:w="1276" w:type="dxa"/>
            <w:vAlign w:val="center"/>
          </w:tcPr>
          <w:p w14:paraId="3574472A" w14:textId="656FFF6D" w:rsidR="008B0834" w:rsidRPr="00B0381F"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55,9</w:t>
            </w:r>
            <w:r w:rsidR="00B2155B" w:rsidRPr="00B0381F">
              <w:rPr>
                <w:rFonts w:cstheme="minorHAnsi"/>
                <w:sz w:val="14"/>
                <w:szCs w:val="14"/>
              </w:rPr>
              <w:t>36</w:t>
            </w:r>
          </w:p>
        </w:tc>
        <w:tc>
          <w:tcPr>
            <w:tcW w:w="964" w:type="dxa"/>
            <w:vAlign w:val="center"/>
          </w:tcPr>
          <w:p w14:paraId="48DAF2CB" w14:textId="40BF127A" w:rsidR="008B0834" w:rsidRPr="00B0381F"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-2,</w:t>
            </w:r>
            <w:r w:rsidR="00B2155B" w:rsidRPr="00B0381F">
              <w:rPr>
                <w:rFonts w:cstheme="minorHAnsi"/>
                <w:sz w:val="14"/>
                <w:szCs w:val="14"/>
              </w:rPr>
              <w:t>079</w:t>
            </w:r>
          </w:p>
        </w:tc>
        <w:tc>
          <w:tcPr>
            <w:tcW w:w="964" w:type="dxa"/>
            <w:vAlign w:val="center"/>
          </w:tcPr>
          <w:p w14:paraId="12A13C1A" w14:textId="2223CC71" w:rsidR="008B0834" w:rsidRPr="00B0381F"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-3.</w:t>
            </w:r>
            <w:r w:rsidR="00B2155B" w:rsidRPr="00B0381F">
              <w:rPr>
                <w:rFonts w:cstheme="minorHAnsi"/>
                <w:sz w:val="14"/>
                <w:szCs w:val="14"/>
              </w:rPr>
              <w:t>6</w:t>
            </w:r>
            <w:r w:rsidRPr="00B0381F">
              <w:rPr>
                <w:rFonts w:cstheme="minorHAnsi"/>
                <w:sz w:val="14"/>
                <w:szCs w:val="14"/>
              </w:rPr>
              <w:t>%</w:t>
            </w:r>
          </w:p>
        </w:tc>
      </w:tr>
      <w:tr w:rsidR="008B0834" w:rsidRPr="00AD28BB" w14:paraId="06779239" w14:textId="77777777" w:rsidTr="007D78C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555DBB63" w14:textId="77777777" w:rsidR="008B0834" w:rsidRPr="00911864" w:rsidRDefault="008B0834" w:rsidP="007D78CB">
            <w:pPr>
              <w:pStyle w:val="BodyText"/>
              <w:spacing w:after="0"/>
              <w:rPr>
                <w:rFonts w:cstheme="minorHAnsi"/>
                <w:b w:val="0"/>
                <w:sz w:val="14"/>
                <w:szCs w:val="14"/>
              </w:rPr>
            </w:pPr>
            <w:r w:rsidRPr="00911864">
              <w:rPr>
                <w:rFonts w:cstheme="minorHAnsi"/>
                <w:b w:val="0"/>
                <w:sz w:val="14"/>
                <w:szCs w:val="14"/>
              </w:rPr>
              <w:t>Unemployment rate</w:t>
            </w:r>
            <w:r>
              <w:rPr>
                <w:rFonts w:cstheme="minorHAnsi"/>
                <w:b w:val="0"/>
                <w:sz w:val="14"/>
                <w:szCs w:val="14"/>
                <w:vertAlign w:val="superscript"/>
              </w:rPr>
              <w:t>5</w:t>
            </w:r>
          </w:p>
        </w:tc>
        <w:tc>
          <w:tcPr>
            <w:tcW w:w="1418" w:type="dxa"/>
            <w:vAlign w:val="center"/>
          </w:tcPr>
          <w:p w14:paraId="07EAAB65" w14:textId="07E3AF64" w:rsidR="008B0834" w:rsidRPr="00B0381F"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B0381F">
              <w:rPr>
                <w:rFonts w:cstheme="minorHAnsi"/>
                <w:sz w:val="14"/>
                <w:szCs w:val="14"/>
              </w:rPr>
              <w:t>3.</w:t>
            </w:r>
            <w:r w:rsidR="00AF1C7B" w:rsidRPr="00B0381F">
              <w:rPr>
                <w:rFonts w:cstheme="minorHAnsi"/>
                <w:sz w:val="14"/>
                <w:szCs w:val="14"/>
              </w:rPr>
              <w:t>7</w:t>
            </w:r>
            <w:r w:rsidRPr="00B0381F">
              <w:rPr>
                <w:rFonts w:cstheme="minorHAnsi"/>
                <w:sz w:val="14"/>
                <w:szCs w:val="14"/>
              </w:rPr>
              <w:t>%</w:t>
            </w:r>
          </w:p>
        </w:tc>
        <w:tc>
          <w:tcPr>
            <w:tcW w:w="987" w:type="dxa"/>
            <w:vAlign w:val="center"/>
          </w:tcPr>
          <w:p w14:paraId="50BE00C8" w14:textId="73E15875" w:rsidR="008B0834" w:rsidRPr="00B0381F" w:rsidRDefault="00AF1C7B"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B0381F">
              <w:rPr>
                <w:rFonts w:cstheme="minorHAnsi"/>
                <w:sz w:val="14"/>
                <w:szCs w:val="14"/>
              </w:rPr>
              <w:t>-</w:t>
            </w:r>
            <w:r w:rsidR="008B0834" w:rsidRPr="00B0381F">
              <w:rPr>
                <w:rFonts w:cstheme="minorHAnsi"/>
                <w:sz w:val="14"/>
                <w:szCs w:val="14"/>
              </w:rPr>
              <w:t>0.</w:t>
            </w:r>
            <w:r w:rsidRPr="00B0381F">
              <w:rPr>
                <w:rFonts w:cstheme="minorHAnsi"/>
                <w:sz w:val="14"/>
                <w:szCs w:val="14"/>
              </w:rPr>
              <w:t>1</w:t>
            </w:r>
            <w:r w:rsidR="008B0834" w:rsidRPr="00B0381F">
              <w:rPr>
                <w:rFonts w:cstheme="minorHAnsi"/>
                <w:sz w:val="14"/>
                <w:szCs w:val="14"/>
              </w:rPr>
              <w:t>pp</w:t>
            </w:r>
          </w:p>
        </w:tc>
        <w:tc>
          <w:tcPr>
            <w:tcW w:w="971" w:type="dxa"/>
            <w:vAlign w:val="center"/>
          </w:tcPr>
          <w:p w14:paraId="2430D040" w14:textId="77777777" w:rsidR="008B0834" w:rsidRPr="00B0381F"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roofErr w:type="spellStart"/>
            <w:r w:rsidRPr="00B0381F">
              <w:rPr>
                <w:rFonts w:cstheme="minorHAnsi"/>
                <w:sz w:val="14"/>
                <w:szCs w:val="14"/>
              </w:rPr>
              <w:t>n.a.</w:t>
            </w:r>
            <w:proofErr w:type="spellEnd"/>
          </w:p>
        </w:tc>
        <w:tc>
          <w:tcPr>
            <w:tcW w:w="877" w:type="dxa"/>
            <w:vAlign w:val="center"/>
          </w:tcPr>
          <w:p w14:paraId="7FB1E7AF" w14:textId="77020EC2" w:rsidR="008B0834" w:rsidRPr="00B0381F" w:rsidRDefault="004B2952"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B0381F">
              <w:rPr>
                <w:rFonts w:cstheme="minorHAnsi"/>
                <w:sz w:val="14"/>
                <w:szCs w:val="14"/>
              </w:rPr>
              <w:t>+0.2%</w:t>
            </w:r>
          </w:p>
        </w:tc>
        <w:tc>
          <w:tcPr>
            <w:tcW w:w="992" w:type="dxa"/>
            <w:vAlign w:val="center"/>
          </w:tcPr>
          <w:p w14:paraId="67122CDE" w14:textId="77777777" w:rsidR="008B0834" w:rsidRPr="00B0381F"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roofErr w:type="spellStart"/>
            <w:r w:rsidRPr="00B0381F">
              <w:rPr>
                <w:rFonts w:cstheme="minorHAnsi"/>
                <w:sz w:val="14"/>
                <w:szCs w:val="14"/>
              </w:rPr>
              <w:t>n.a.</w:t>
            </w:r>
            <w:proofErr w:type="spellEnd"/>
          </w:p>
        </w:tc>
        <w:tc>
          <w:tcPr>
            <w:tcW w:w="1276" w:type="dxa"/>
            <w:vAlign w:val="center"/>
          </w:tcPr>
          <w:p w14:paraId="3F502A13" w14:textId="77777777" w:rsidR="008B0834" w:rsidRPr="00B0381F"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B0381F">
              <w:rPr>
                <w:rFonts w:cstheme="minorHAnsi"/>
                <w:sz w:val="14"/>
                <w:szCs w:val="14"/>
              </w:rPr>
              <w:t>3.5%</w:t>
            </w:r>
          </w:p>
        </w:tc>
        <w:tc>
          <w:tcPr>
            <w:tcW w:w="964" w:type="dxa"/>
            <w:vAlign w:val="center"/>
          </w:tcPr>
          <w:p w14:paraId="016AE430" w14:textId="77777777" w:rsidR="008B0834" w:rsidRPr="00B0381F"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B0381F">
              <w:rPr>
                <w:rFonts w:cstheme="minorHAnsi"/>
                <w:sz w:val="14"/>
                <w:szCs w:val="14"/>
              </w:rPr>
              <w:t>-0.2pp</w:t>
            </w:r>
          </w:p>
        </w:tc>
        <w:tc>
          <w:tcPr>
            <w:tcW w:w="964" w:type="dxa"/>
            <w:vAlign w:val="center"/>
          </w:tcPr>
          <w:p w14:paraId="7CC0AB46" w14:textId="77777777" w:rsidR="008B0834" w:rsidRPr="00B0381F"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roofErr w:type="spellStart"/>
            <w:r w:rsidRPr="00B0381F">
              <w:rPr>
                <w:rFonts w:cstheme="minorHAnsi"/>
                <w:sz w:val="14"/>
                <w:szCs w:val="14"/>
              </w:rPr>
              <w:t>n.a.</w:t>
            </w:r>
            <w:proofErr w:type="spellEnd"/>
          </w:p>
        </w:tc>
      </w:tr>
      <w:tr w:rsidR="008B0834" w:rsidRPr="00AD28BB" w14:paraId="2ED52437" w14:textId="77777777" w:rsidTr="007D78CB">
        <w:trPr>
          <w:trHeight w:val="227"/>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3431420A" w14:textId="77777777" w:rsidR="008B0834" w:rsidRPr="00911864" w:rsidRDefault="008B0834" w:rsidP="007D78CB">
            <w:pPr>
              <w:pStyle w:val="BodyText"/>
              <w:spacing w:after="0"/>
              <w:rPr>
                <w:rFonts w:cstheme="minorHAnsi"/>
                <w:b w:val="0"/>
                <w:sz w:val="14"/>
                <w:szCs w:val="14"/>
              </w:rPr>
            </w:pPr>
            <w:r w:rsidRPr="00911864">
              <w:rPr>
                <w:rFonts w:cstheme="minorHAnsi"/>
                <w:b w:val="0"/>
                <w:sz w:val="14"/>
                <w:szCs w:val="14"/>
              </w:rPr>
              <w:t>Underemployed</w:t>
            </w:r>
          </w:p>
        </w:tc>
        <w:tc>
          <w:tcPr>
            <w:tcW w:w="1418" w:type="dxa"/>
            <w:vAlign w:val="center"/>
          </w:tcPr>
          <w:p w14:paraId="60BF4F59" w14:textId="2A22767A" w:rsidR="008B0834" w:rsidRPr="00B0381F"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9</w:t>
            </w:r>
            <w:r w:rsidR="00AF1C7B" w:rsidRPr="00B0381F">
              <w:rPr>
                <w:rFonts w:cstheme="minorHAnsi"/>
                <w:sz w:val="14"/>
                <w:szCs w:val="14"/>
              </w:rPr>
              <w:t>5</w:t>
            </w:r>
            <w:r w:rsidRPr="00B0381F">
              <w:rPr>
                <w:rFonts w:cstheme="minorHAnsi"/>
                <w:sz w:val="14"/>
                <w:szCs w:val="14"/>
              </w:rPr>
              <w:t>,</w:t>
            </w:r>
            <w:r w:rsidR="00AF1C7B" w:rsidRPr="00B0381F">
              <w:rPr>
                <w:rFonts w:cstheme="minorHAnsi"/>
                <w:sz w:val="14"/>
                <w:szCs w:val="14"/>
              </w:rPr>
              <w:t>956</w:t>
            </w:r>
          </w:p>
        </w:tc>
        <w:tc>
          <w:tcPr>
            <w:tcW w:w="987" w:type="dxa"/>
            <w:vAlign w:val="center"/>
          </w:tcPr>
          <w:p w14:paraId="265401BE" w14:textId="1E2F1F18" w:rsidR="008B0834" w:rsidRPr="00B0381F" w:rsidRDefault="004A36A9"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w:t>
            </w:r>
            <w:r w:rsidR="00AF1C7B" w:rsidRPr="00B0381F">
              <w:rPr>
                <w:rFonts w:cstheme="minorHAnsi"/>
                <w:sz w:val="14"/>
                <w:szCs w:val="14"/>
              </w:rPr>
              <w:t>2,129</w:t>
            </w:r>
          </w:p>
        </w:tc>
        <w:tc>
          <w:tcPr>
            <w:tcW w:w="971" w:type="dxa"/>
            <w:vAlign w:val="center"/>
          </w:tcPr>
          <w:p w14:paraId="7FD3ABE3" w14:textId="14618957" w:rsidR="008B0834" w:rsidRPr="00B0381F" w:rsidRDefault="004A36A9"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w:t>
            </w:r>
            <w:r w:rsidR="00AF1C7B" w:rsidRPr="00B0381F">
              <w:rPr>
                <w:rFonts w:cstheme="minorHAnsi"/>
                <w:sz w:val="14"/>
                <w:szCs w:val="14"/>
              </w:rPr>
              <w:t>2.3</w:t>
            </w:r>
            <w:r w:rsidR="008B0834" w:rsidRPr="00B0381F">
              <w:rPr>
                <w:rFonts w:cstheme="minorHAnsi"/>
                <w:sz w:val="14"/>
                <w:szCs w:val="14"/>
              </w:rPr>
              <w:t>%</w:t>
            </w:r>
          </w:p>
        </w:tc>
        <w:tc>
          <w:tcPr>
            <w:tcW w:w="877" w:type="dxa"/>
            <w:vAlign w:val="center"/>
          </w:tcPr>
          <w:p w14:paraId="767629CF" w14:textId="714B535A" w:rsidR="008B0834" w:rsidRPr="00B0381F" w:rsidRDefault="004B2952"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w:t>
            </w:r>
            <w:r w:rsidR="00AF1C7B" w:rsidRPr="00B0381F">
              <w:rPr>
                <w:rFonts w:cstheme="minorHAnsi"/>
                <w:sz w:val="14"/>
                <w:szCs w:val="14"/>
              </w:rPr>
              <w:t>8,322</w:t>
            </w:r>
          </w:p>
        </w:tc>
        <w:tc>
          <w:tcPr>
            <w:tcW w:w="992" w:type="dxa"/>
            <w:vAlign w:val="center"/>
          </w:tcPr>
          <w:p w14:paraId="2E2EDE44" w14:textId="34E938B3" w:rsidR="008B0834" w:rsidRPr="00B0381F" w:rsidRDefault="004B2952"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w:t>
            </w:r>
            <w:r w:rsidR="00B2155B" w:rsidRPr="00B0381F">
              <w:rPr>
                <w:rFonts w:cstheme="minorHAnsi"/>
                <w:sz w:val="14"/>
                <w:szCs w:val="14"/>
              </w:rPr>
              <w:t>9.5</w:t>
            </w:r>
            <w:r w:rsidR="008B0834" w:rsidRPr="00B0381F">
              <w:rPr>
                <w:rFonts w:cstheme="minorHAnsi"/>
                <w:sz w:val="14"/>
                <w:szCs w:val="14"/>
              </w:rPr>
              <w:t>%</w:t>
            </w:r>
          </w:p>
        </w:tc>
        <w:tc>
          <w:tcPr>
            <w:tcW w:w="1276" w:type="dxa"/>
            <w:vAlign w:val="center"/>
          </w:tcPr>
          <w:p w14:paraId="5711981D" w14:textId="6D86748D" w:rsidR="008B0834" w:rsidRPr="00B0381F"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91,</w:t>
            </w:r>
            <w:r w:rsidR="00B2155B" w:rsidRPr="00B0381F">
              <w:rPr>
                <w:rFonts w:cstheme="minorHAnsi"/>
                <w:sz w:val="14"/>
                <w:szCs w:val="14"/>
              </w:rPr>
              <w:t>676</w:t>
            </w:r>
          </w:p>
        </w:tc>
        <w:tc>
          <w:tcPr>
            <w:tcW w:w="964" w:type="dxa"/>
            <w:vAlign w:val="center"/>
          </w:tcPr>
          <w:p w14:paraId="59058054" w14:textId="7E44D844" w:rsidR="008B0834" w:rsidRPr="00B0381F"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-8,</w:t>
            </w:r>
            <w:r w:rsidR="00B2155B" w:rsidRPr="00B0381F">
              <w:rPr>
                <w:rFonts w:cstheme="minorHAnsi"/>
                <w:sz w:val="14"/>
                <w:szCs w:val="14"/>
              </w:rPr>
              <w:t>819</w:t>
            </w:r>
          </w:p>
        </w:tc>
        <w:tc>
          <w:tcPr>
            <w:tcW w:w="964" w:type="dxa"/>
            <w:vAlign w:val="center"/>
          </w:tcPr>
          <w:p w14:paraId="4318F0A8" w14:textId="4C3D607B" w:rsidR="008B0834" w:rsidRPr="00B0381F"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B0381F">
              <w:rPr>
                <w:rFonts w:cstheme="minorHAnsi"/>
                <w:sz w:val="14"/>
                <w:szCs w:val="14"/>
              </w:rPr>
              <w:t>-8.</w:t>
            </w:r>
            <w:r w:rsidR="00B2155B" w:rsidRPr="00B0381F">
              <w:rPr>
                <w:rFonts w:cstheme="minorHAnsi"/>
                <w:sz w:val="14"/>
                <w:szCs w:val="14"/>
              </w:rPr>
              <w:t>8</w:t>
            </w:r>
            <w:r w:rsidRPr="00B0381F">
              <w:rPr>
                <w:rFonts w:cstheme="minorHAnsi"/>
                <w:sz w:val="14"/>
                <w:szCs w:val="14"/>
              </w:rPr>
              <w:t>%</w:t>
            </w:r>
          </w:p>
        </w:tc>
      </w:tr>
      <w:tr w:rsidR="008B0834" w:rsidRPr="00AD28BB" w14:paraId="3FE950AA" w14:textId="77777777" w:rsidTr="007D78CB">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76" w:type="dxa"/>
            <w:vAlign w:val="center"/>
          </w:tcPr>
          <w:p w14:paraId="41DB1AE3" w14:textId="77777777" w:rsidR="008B0834" w:rsidRPr="00911864" w:rsidRDefault="008B0834" w:rsidP="007D78CB">
            <w:pPr>
              <w:pStyle w:val="BodyText"/>
              <w:spacing w:after="0"/>
              <w:rPr>
                <w:rFonts w:cstheme="minorHAnsi"/>
                <w:b w:val="0"/>
                <w:sz w:val="14"/>
                <w:szCs w:val="14"/>
              </w:rPr>
            </w:pPr>
            <w:r w:rsidRPr="00911864">
              <w:rPr>
                <w:rFonts w:cstheme="minorHAnsi"/>
                <w:b w:val="0"/>
                <w:sz w:val="14"/>
                <w:szCs w:val="14"/>
              </w:rPr>
              <w:t>Underemployment rate</w:t>
            </w:r>
            <w:r>
              <w:rPr>
                <w:rFonts w:cstheme="minorHAnsi"/>
                <w:b w:val="0"/>
                <w:sz w:val="14"/>
                <w:szCs w:val="14"/>
                <w:vertAlign w:val="superscript"/>
              </w:rPr>
              <w:t>6</w:t>
            </w:r>
          </w:p>
        </w:tc>
        <w:tc>
          <w:tcPr>
            <w:tcW w:w="1418" w:type="dxa"/>
            <w:vAlign w:val="center"/>
          </w:tcPr>
          <w:p w14:paraId="0DA34631" w14:textId="20342944" w:rsidR="008B0834" w:rsidRPr="00B0381F"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B0381F">
              <w:rPr>
                <w:rFonts w:cstheme="minorHAnsi"/>
                <w:sz w:val="14"/>
                <w:szCs w:val="14"/>
              </w:rPr>
              <w:t>5.</w:t>
            </w:r>
            <w:r w:rsidR="00AF1C7B" w:rsidRPr="00B0381F">
              <w:rPr>
                <w:rFonts w:cstheme="minorHAnsi"/>
                <w:sz w:val="14"/>
                <w:szCs w:val="14"/>
              </w:rPr>
              <w:t>8</w:t>
            </w:r>
            <w:r w:rsidRPr="00B0381F">
              <w:rPr>
                <w:rFonts w:cstheme="minorHAnsi"/>
                <w:sz w:val="14"/>
                <w:szCs w:val="14"/>
              </w:rPr>
              <w:t>%</w:t>
            </w:r>
          </w:p>
        </w:tc>
        <w:tc>
          <w:tcPr>
            <w:tcW w:w="987" w:type="dxa"/>
            <w:vAlign w:val="center"/>
          </w:tcPr>
          <w:p w14:paraId="4BC88377" w14:textId="7D911023" w:rsidR="008B0834" w:rsidRPr="00B0381F" w:rsidRDefault="00AF1C7B"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B0381F">
              <w:rPr>
                <w:rFonts w:cstheme="minorHAnsi"/>
                <w:sz w:val="14"/>
                <w:szCs w:val="14"/>
              </w:rPr>
              <w:t>+</w:t>
            </w:r>
            <w:r w:rsidR="008B0834" w:rsidRPr="00B0381F">
              <w:rPr>
                <w:rFonts w:cstheme="minorHAnsi"/>
                <w:sz w:val="14"/>
                <w:szCs w:val="14"/>
              </w:rPr>
              <w:t>0.1pp</w:t>
            </w:r>
          </w:p>
        </w:tc>
        <w:tc>
          <w:tcPr>
            <w:tcW w:w="971" w:type="dxa"/>
            <w:vAlign w:val="center"/>
          </w:tcPr>
          <w:p w14:paraId="666858E0" w14:textId="77777777" w:rsidR="008B0834" w:rsidRPr="00B0381F"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roofErr w:type="spellStart"/>
            <w:r w:rsidRPr="00B0381F">
              <w:rPr>
                <w:rFonts w:cstheme="minorHAnsi"/>
                <w:sz w:val="14"/>
                <w:szCs w:val="14"/>
              </w:rPr>
              <w:t>n.a.</w:t>
            </w:r>
            <w:proofErr w:type="spellEnd"/>
          </w:p>
        </w:tc>
        <w:tc>
          <w:tcPr>
            <w:tcW w:w="877" w:type="dxa"/>
            <w:vAlign w:val="center"/>
          </w:tcPr>
          <w:p w14:paraId="4C2671C0" w14:textId="5B37D333" w:rsidR="008B0834" w:rsidRPr="00B0381F" w:rsidRDefault="004B2952"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B0381F">
              <w:rPr>
                <w:rFonts w:cstheme="minorHAnsi"/>
                <w:sz w:val="14"/>
                <w:szCs w:val="14"/>
              </w:rPr>
              <w:t>+0.</w:t>
            </w:r>
            <w:r w:rsidR="00AF1C7B" w:rsidRPr="00B0381F">
              <w:rPr>
                <w:rFonts w:cstheme="minorHAnsi"/>
                <w:sz w:val="14"/>
                <w:szCs w:val="14"/>
              </w:rPr>
              <w:t>2</w:t>
            </w:r>
            <w:r w:rsidR="008B0834" w:rsidRPr="00B0381F">
              <w:rPr>
                <w:rFonts w:cstheme="minorHAnsi"/>
                <w:sz w:val="14"/>
                <w:szCs w:val="14"/>
              </w:rPr>
              <w:t>pp</w:t>
            </w:r>
          </w:p>
        </w:tc>
        <w:tc>
          <w:tcPr>
            <w:tcW w:w="992" w:type="dxa"/>
            <w:vAlign w:val="center"/>
          </w:tcPr>
          <w:p w14:paraId="79E6AD8F" w14:textId="77777777" w:rsidR="008B0834" w:rsidRPr="00B0381F"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roofErr w:type="spellStart"/>
            <w:r w:rsidRPr="00B0381F">
              <w:rPr>
                <w:rFonts w:cstheme="minorHAnsi"/>
                <w:sz w:val="14"/>
                <w:szCs w:val="14"/>
              </w:rPr>
              <w:t>n.a.</w:t>
            </w:r>
            <w:proofErr w:type="spellEnd"/>
          </w:p>
        </w:tc>
        <w:tc>
          <w:tcPr>
            <w:tcW w:w="1276" w:type="dxa"/>
            <w:vAlign w:val="center"/>
          </w:tcPr>
          <w:p w14:paraId="219D4CD9" w14:textId="77777777" w:rsidR="008B0834" w:rsidRPr="00B0381F"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B0381F">
              <w:rPr>
                <w:rFonts w:cstheme="minorHAnsi"/>
                <w:sz w:val="14"/>
                <w:szCs w:val="14"/>
              </w:rPr>
              <w:t>5.8%</w:t>
            </w:r>
          </w:p>
        </w:tc>
        <w:tc>
          <w:tcPr>
            <w:tcW w:w="964" w:type="dxa"/>
            <w:vAlign w:val="center"/>
          </w:tcPr>
          <w:p w14:paraId="2A99EB16" w14:textId="77777777" w:rsidR="008B0834" w:rsidRPr="00B0381F"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B0381F">
              <w:rPr>
                <w:rFonts w:cstheme="minorHAnsi"/>
                <w:sz w:val="14"/>
                <w:szCs w:val="14"/>
              </w:rPr>
              <w:t>-0.7pp</w:t>
            </w:r>
          </w:p>
        </w:tc>
        <w:tc>
          <w:tcPr>
            <w:tcW w:w="964" w:type="dxa"/>
            <w:vAlign w:val="center"/>
          </w:tcPr>
          <w:p w14:paraId="6DDC850E" w14:textId="77777777" w:rsidR="008B0834" w:rsidRPr="00B0381F"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roofErr w:type="spellStart"/>
            <w:r w:rsidRPr="00B0381F">
              <w:rPr>
                <w:rFonts w:cstheme="minorHAnsi"/>
                <w:sz w:val="14"/>
                <w:szCs w:val="14"/>
              </w:rPr>
              <w:t>n.a.</w:t>
            </w:r>
            <w:proofErr w:type="spellEnd"/>
          </w:p>
        </w:tc>
      </w:tr>
    </w:tbl>
    <w:p w14:paraId="74C856DB" w14:textId="77777777" w:rsidR="008B0834" w:rsidRDefault="008B0834" w:rsidP="008B0834">
      <w:pPr>
        <w:spacing w:after="0"/>
        <w:jc w:val="both"/>
        <w:rPr>
          <w:sz w:val="10"/>
        </w:rPr>
      </w:pPr>
      <w:proofErr w:type="spellStart"/>
      <w:r>
        <w:rPr>
          <w:sz w:val="10"/>
        </w:rPr>
        <w:t>n.a.</w:t>
      </w:r>
      <w:proofErr w:type="spellEnd"/>
      <w:r>
        <w:rPr>
          <w:sz w:val="10"/>
        </w:rPr>
        <w:t xml:space="preserve"> = not applicable. pp = percentage point. </w:t>
      </w:r>
      <w:r w:rsidRPr="003379C5">
        <w:rPr>
          <w:sz w:val="10"/>
          <w:vertAlign w:val="superscript"/>
        </w:rPr>
        <w:t>1</w:t>
      </w:r>
      <w:r w:rsidRPr="003379C5">
        <w:rPr>
          <w:sz w:val="10"/>
        </w:rPr>
        <w:t xml:space="preserve"> Worked 35 hours or more a week. </w:t>
      </w:r>
      <w:r w:rsidRPr="003379C5">
        <w:rPr>
          <w:sz w:val="10"/>
          <w:vertAlign w:val="superscript"/>
        </w:rPr>
        <w:t>2</w:t>
      </w:r>
      <w:r w:rsidRPr="003379C5">
        <w:rPr>
          <w:sz w:val="10"/>
        </w:rPr>
        <w:t xml:space="preserve"> Worked less than 35 hours a week. </w:t>
      </w:r>
      <w:r w:rsidRPr="003379C5">
        <w:rPr>
          <w:sz w:val="10"/>
          <w:vertAlign w:val="superscript"/>
        </w:rPr>
        <w:t>3</w:t>
      </w:r>
      <w:r w:rsidRPr="003379C5">
        <w:rPr>
          <w:sz w:val="10"/>
        </w:rPr>
        <w:t xml:space="preserve"> </w:t>
      </w:r>
      <w:r w:rsidRPr="00382817">
        <w:rPr>
          <w:sz w:val="10"/>
        </w:rPr>
        <w:t>Total monthly hours worked in all jobs (full time and part time jobs</w:t>
      </w:r>
      <w:r>
        <w:rPr>
          <w:sz w:val="10"/>
        </w:rPr>
        <w:t xml:space="preserve">). </w:t>
      </w:r>
      <w:r w:rsidRPr="00382817">
        <w:rPr>
          <w:sz w:val="10"/>
          <w:vertAlign w:val="superscript"/>
        </w:rPr>
        <w:t>4</w:t>
      </w:r>
      <w:r>
        <w:rPr>
          <w:sz w:val="10"/>
        </w:rPr>
        <w:t xml:space="preserve"> </w:t>
      </w:r>
      <w:r w:rsidRPr="003379C5">
        <w:rPr>
          <w:sz w:val="10"/>
        </w:rPr>
        <w:t>The proportion of the civilian working age population (aged 15 and older) in the labo</w:t>
      </w:r>
      <w:r>
        <w:rPr>
          <w:sz w:val="10"/>
        </w:rPr>
        <w:t>ur force (</w:t>
      </w:r>
      <w:r w:rsidRPr="003379C5">
        <w:rPr>
          <w:sz w:val="10"/>
        </w:rPr>
        <w:t>employed or unemployed</w:t>
      </w:r>
      <w:r>
        <w:rPr>
          <w:sz w:val="10"/>
        </w:rPr>
        <w:t xml:space="preserve"> people</w:t>
      </w:r>
      <w:r w:rsidRPr="003379C5">
        <w:rPr>
          <w:sz w:val="10"/>
        </w:rPr>
        <w:t xml:space="preserve">). </w:t>
      </w:r>
      <w:r>
        <w:rPr>
          <w:sz w:val="10"/>
          <w:vertAlign w:val="superscript"/>
        </w:rPr>
        <w:t>5</w:t>
      </w:r>
      <w:r w:rsidRPr="003379C5">
        <w:rPr>
          <w:sz w:val="10"/>
        </w:rPr>
        <w:t xml:space="preserve"> The proport</w:t>
      </w:r>
      <w:r>
        <w:rPr>
          <w:sz w:val="10"/>
        </w:rPr>
        <w:t xml:space="preserve">ion of </w:t>
      </w:r>
      <w:r w:rsidRPr="003379C5">
        <w:rPr>
          <w:sz w:val="10"/>
        </w:rPr>
        <w:t>unemployed</w:t>
      </w:r>
      <w:r>
        <w:rPr>
          <w:sz w:val="10"/>
        </w:rPr>
        <w:t xml:space="preserve"> in the labour force</w:t>
      </w:r>
      <w:r w:rsidRPr="003379C5">
        <w:rPr>
          <w:sz w:val="10"/>
        </w:rPr>
        <w:t xml:space="preserve"> (people without a job who are actively looking for work). </w:t>
      </w:r>
      <w:r>
        <w:rPr>
          <w:sz w:val="10"/>
          <w:vertAlign w:val="superscript"/>
        </w:rPr>
        <w:t>6</w:t>
      </w:r>
      <w:r w:rsidRPr="003379C5">
        <w:rPr>
          <w:sz w:val="10"/>
          <w:vertAlign w:val="superscript"/>
        </w:rPr>
        <w:t xml:space="preserve"> </w:t>
      </w:r>
      <w:r w:rsidRPr="003379C5">
        <w:rPr>
          <w:sz w:val="10"/>
        </w:rPr>
        <w:t>The proport</w:t>
      </w:r>
      <w:r>
        <w:rPr>
          <w:sz w:val="10"/>
        </w:rPr>
        <w:t>ion of</w:t>
      </w:r>
      <w:r w:rsidRPr="003379C5">
        <w:rPr>
          <w:sz w:val="10"/>
        </w:rPr>
        <w:t xml:space="preserve"> underemployed </w:t>
      </w:r>
      <w:r>
        <w:rPr>
          <w:sz w:val="10"/>
        </w:rPr>
        <w:t xml:space="preserve">in the labour force </w:t>
      </w:r>
      <w:r w:rsidRPr="003379C5">
        <w:rPr>
          <w:sz w:val="10"/>
        </w:rPr>
        <w:t>(workers wanting more hours)</w:t>
      </w:r>
      <w:r>
        <w:rPr>
          <w:sz w:val="10"/>
        </w:rPr>
        <w:t xml:space="preserve">. </w:t>
      </w:r>
      <w:r>
        <w:rPr>
          <w:sz w:val="10"/>
          <w:vertAlign w:val="superscript"/>
        </w:rPr>
        <w:t xml:space="preserve">7 </w:t>
      </w:r>
      <w:r w:rsidRPr="003379C5">
        <w:rPr>
          <w:sz w:val="10"/>
        </w:rPr>
        <w:t>Seasonally adjusted</w:t>
      </w:r>
      <w:r>
        <w:rPr>
          <w:sz w:val="10"/>
        </w:rPr>
        <w:t xml:space="preserve"> series</w:t>
      </w:r>
      <w:r w:rsidRPr="003379C5">
        <w:rPr>
          <w:sz w:val="10"/>
        </w:rPr>
        <w:t xml:space="preserve">. </w:t>
      </w:r>
      <w:r>
        <w:rPr>
          <w:sz w:val="10"/>
          <w:vertAlign w:val="superscript"/>
        </w:rPr>
        <w:t>8</w:t>
      </w:r>
      <w:r w:rsidRPr="003379C5">
        <w:rPr>
          <w:sz w:val="10"/>
        </w:rPr>
        <w:t xml:space="preserve"> Original</w:t>
      </w:r>
      <w:r>
        <w:rPr>
          <w:sz w:val="10"/>
        </w:rPr>
        <w:t xml:space="preserve"> series (except for total hours worked in seasonally adjusted terms)</w:t>
      </w:r>
      <w:r w:rsidRPr="003379C5">
        <w:rPr>
          <w:sz w:val="10"/>
        </w:rPr>
        <w:t>.</w:t>
      </w:r>
    </w:p>
    <w:p w14:paraId="44B90C3D" w14:textId="77777777" w:rsidR="008B0834" w:rsidRPr="00001B6E" w:rsidRDefault="008B0834" w:rsidP="008B0834">
      <w:pPr>
        <w:spacing w:after="0"/>
        <w:jc w:val="both"/>
        <w:rPr>
          <w:sz w:val="10"/>
        </w:rPr>
      </w:pPr>
      <w:r w:rsidRPr="00A441A2">
        <w:rPr>
          <w:sz w:val="10"/>
        </w:rPr>
        <w:t xml:space="preserve">Source: </w:t>
      </w:r>
      <w:r w:rsidRPr="0065045F">
        <w:rPr>
          <w:sz w:val="10"/>
        </w:rPr>
        <w:t xml:space="preserve">Based on data from ABS </w:t>
      </w:r>
      <w:r>
        <w:rPr>
          <w:sz w:val="10"/>
        </w:rPr>
        <w:t>6202.0 Labour Force, Australia (Monthly).</w:t>
      </w:r>
    </w:p>
    <w:p w14:paraId="0A176398" w14:textId="77777777" w:rsidR="008B0834" w:rsidRDefault="008B0834" w:rsidP="008B0834">
      <w:pPr>
        <w:spacing w:after="0"/>
        <w:jc w:val="both"/>
        <w:rPr>
          <w:sz w:val="16"/>
        </w:rPr>
        <w:sectPr w:rsidR="008B0834" w:rsidSect="007B5658">
          <w:pgSz w:w="11907" w:h="16840" w:code="9"/>
          <w:pgMar w:top="1701" w:right="720" w:bottom="720" w:left="720" w:header="709" w:footer="709" w:gutter="0"/>
          <w:cols w:space="284"/>
          <w:docGrid w:linePitch="360"/>
        </w:sectPr>
      </w:pPr>
    </w:p>
    <w:p w14:paraId="3E54731E" w14:textId="31CE471C" w:rsidR="008B0834" w:rsidRDefault="008B0834" w:rsidP="008B0834">
      <w:pPr>
        <w:spacing w:after="0"/>
        <w:jc w:val="both"/>
        <w:rPr>
          <w:sz w:val="16"/>
        </w:rPr>
      </w:pPr>
    </w:p>
    <w:p w14:paraId="518ACE18" w14:textId="55114F27" w:rsidR="00904E9B" w:rsidRDefault="00904E9B" w:rsidP="008B0834">
      <w:pPr>
        <w:spacing w:after="0"/>
        <w:jc w:val="both"/>
        <w:rPr>
          <w:sz w:val="16"/>
        </w:rPr>
      </w:pPr>
    </w:p>
    <w:p w14:paraId="14165C3E" w14:textId="77777777" w:rsidR="00904E9B" w:rsidRDefault="00904E9B" w:rsidP="008B0834">
      <w:pPr>
        <w:spacing w:after="0"/>
        <w:jc w:val="both"/>
        <w:rPr>
          <w:sz w:val="16"/>
        </w:rPr>
      </w:pPr>
    </w:p>
    <w:p w14:paraId="48D128E1" w14:textId="77777777" w:rsidR="008B0834" w:rsidRDefault="008B0834" w:rsidP="008B0834">
      <w:pPr>
        <w:pStyle w:val="BodyText"/>
        <w:spacing w:after="0"/>
        <w:jc w:val="both"/>
        <w:rPr>
          <w:sz w:val="16"/>
        </w:rPr>
        <w:sectPr w:rsidR="008B0834" w:rsidSect="007B5658">
          <w:type w:val="continuous"/>
          <w:pgSz w:w="11907" w:h="16840" w:code="9"/>
          <w:pgMar w:top="1701" w:right="720" w:bottom="720" w:left="720" w:header="709" w:footer="709" w:gutter="0"/>
          <w:cols w:num="2" w:space="284" w:equalWidth="0">
            <w:col w:w="5647" w:space="284"/>
            <w:col w:w="4536"/>
          </w:cols>
          <w:docGrid w:linePitch="360"/>
        </w:sectPr>
      </w:pPr>
    </w:p>
    <w:p w14:paraId="530677EE" w14:textId="77777777" w:rsidR="008B0834" w:rsidRDefault="008B0834" w:rsidP="008B0834">
      <w:pPr>
        <w:pStyle w:val="BodyText"/>
        <w:spacing w:after="0"/>
        <w:rPr>
          <w:b/>
          <w:color w:val="92278F" w:themeColor="accent1"/>
          <w:sz w:val="20"/>
        </w:rPr>
      </w:pPr>
      <w:r w:rsidRPr="00020369">
        <w:rPr>
          <w:b/>
          <w:color w:val="92278F" w:themeColor="accent1"/>
          <w:sz w:val="20"/>
        </w:rPr>
        <w:t>Western Australia’s employment</w:t>
      </w:r>
      <w:r w:rsidRPr="00020369">
        <w:rPr>
          <w:b/>
          <w:color w:val="92278F" w:themeColor="accent1"/>
          <w:sz w:val="20"/>
          <w:vertAlign w:val="superscript"/>
        </w:rPr>
        <w:t>1</w:t>
      </w:r>
    </w:p>
    <w:p w14:paraId="42AAD36D" w14:textId="4F1AA99C" w:rsidR="00904E9B" w:rsidRPr="00904E9B" w:rsidRDefault="00554D23" w:rsidP="008B0834">
      <w:pPr>
        <w:pStyle w:val="BodyText"/>
        <w:spacing w:after="0"/>
        <w:jc w:val="both"/>
        <w:rPr>
          <w:sz w:val="16"/>
        </w:rPr>
      </w:pPr>
      <w:r>
        <w:rPr>
          <w:noProof/>
          <w:sz w:val="16"/>
        </w:rPr>
        <w:drawing>
          <wp:inline distT="0" distB="0" distL="0" distR="0" wp14:anchorId="13BE851D" wp14:editId="60A40601">
            <wp:extent cx="3528000" cy="2106559"/>
            <wp:effectExtent l="0" t="0" r="0"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28000" cy="2106559"/>
                    </a:xfrm>
                    <a:prstGeom prst="rect">
                      <a:avLst/>
                    </a:prstGeom>
                    <a:noFill/>
                    <a:ln>
                      <a:noFill/>
                    </a:ln>
                  </pic:spPr>
                </pic:pic>
              </a:graphicData>
            </a:graphic>
          </wp:inline>
        </w:drawing>
      </w:r>
    </w:p>
    <w:p w14:paraId="3A33BB08" w14:textId="5A7B2E44" w:rsidR="008B0834" w:rsidRDefault="008B0834" w:rsidP="008B0834">
      <w:pPr>
        <w:pStyle w:val="BodyText"/>
        <w:spacing w:after="0"/>
        <w:jc w:val="both"/>
        <w:rPr>
          <w:sz w:val="10"/>
        </w:rPr>
      </w:pPr>
      <w:r>
        <w:rPr>
          <w:sz w:val="10"/>
        </w:rPr>
        <w:t>Note – A</w:t>
      </w:r>
      <w:r w:rsidRPr="000F79FB">
        <w:rPr>
          <w:sz w:val="10"/>
        </w:rPr>
        <w:t>xis does not start at zero.</w:t>
      </w:r>
      <w:r>
        <w:rPr>
          <w:sz w:val="10"/>
        </w:rPr>
        <w:t xml:space="preserve"> </w:t>
      </w:r>
      <w:r w:rsidRPr="00D01563">
        <w:rPr>
          <w:sz w:val="10"/>
          <w:vertAlign w:val="superscript"/>
        </w:rPr>
        <w:t>1</w:t>
      </w:r>
      <w:r>
        <w:rPr>
          <w:sz w:val="10"/>
        </w:rPr>
        <w:t xml:space="preserve"> Seasonally adjusted series. </w:t>
      </w:r>
      <w:r>
        <w:rPr>
          <w:sz w:val="10"/>
          <w:vertAlign w:val="superscript"/>
        </w:rPr>
        <w:t>2</w:t>
      </w:r>
      <w:r w:rsidRPr="000F79FB">
        <w:rPr>
          <w:sz w:val="10"/>
        </w:rPr>
        <w:t xml:space="preserve"> Worked 35 hours or more a week. </w:t>
      </w:r>
    </w:p>
    <w:p w14:paraId="6D9AE603" w14:textId="77777777" w:rsidR="008B0834" w:rsidRPr="000F79FB" w:rsidRDefault="008B0834" w:rsidP="008B0834">
      <w:pPr>
        <w:pStyle w:val="BodyText"/>
        <w:spacing w:after="0"/>
        <w:jc w:val="both"/>
        <w:rPr>
          <w:sz w:val="10"/>
        </w:rPr>
      </w:pPr>
      <w:r>
        <w:rPr>
          <w:sz w:val="10"/>
          <w:vertAlign w:val="superscript"/>
        </w:rPr>
        <w:t>3</w:t>
      </w:r>
      <w:r w:rsidRPr="000F79FB">
        <w:rPr>
          <w:sz w:val="10"/>
        </w:rPr>
        <w:t xml:space="preserve"> Wo</w:t>
      </w:r>
      <w:r>
        <w:rPr>
          <w:sz w:val="10"/>
        </w:rPr>
        <w:t>rked less than 35 hours a week.</w:t>
      </w:r>
    </w:p>
    <w:p w14:paraId="6A770590" w14:textId="77777777" w:rsidR="008B0834" w:rsidRDefault="008B0834" w:rsidP="008B0834">
      <w:pPr>
        <w:spacing w:after="0"/>
        <w:jc w:val="both"/>
        <w:rPr>
          <w:sz w:val="10"/>
        </w:rPr>
      </w:pPr>
      <w:r w:rsidRPr="000F79FB">
        <w:rPr>
          <w:sz w:val="10"/>
        </w:rPr>
        <w:t xml:space="preserve">Source: </w:t>
      </w:r>
      <w:r w:rsidRPr="0065045F">
        <w:rPr>
          <w:sz w:val="10"/>
        </w:rPr>
        <w:t xml:space="preserve">Based on data from </w:t>
      </w:r>
      <w:r w:rsidRPr="000F79FB">
        <w:rPr>
          <w:sz w:val="10"/>
        </w:rPr>
        <w:t>ABS 6202.0 Labour Force, Australia</w:t>
      </w:r>
      <w:r>
        <w:rPr>
          <w:sz w:val="10"/>
        </w:rPr>
        <w:t xml:space="preserve"> (Monthly)</w:t>
      </w:r>
      <w:r w:rsidRPr="00B720D6">
        <w:rPr>
          <w:sz w:val="10"/>
        </w:rPr>
        <w:t>.</w:t>
      </w:r>
    </w:p>
    <w:p w14:paraId="731D448B" w14:textId="77777777" w:rsidR="008B0834" w:rsidRPr="00BF090B" w:rsidRDefault="008B0834" w:rsidP="008B0834">
      <w:pPr>
        <w:pStyle w:val="BodyText"/>
        <w:spacing w:after="0"/>
        <w:jc w:val="both"/>
        <w:rPr>
          <w:sz w:val="16"/>
        </w:rPr>
      </w:pPr>
    </w:p>
    <w:p w14:paraId="44DB8387" w14:textId="77777777" w:rsidR="008B0834" w:rsidRPr="00BF090B" w:rsidRDefault="008B0834" w:rsidP="008B0834">
      <w:pPr>
        <w:pStyle w:val="BodyText"/>
        <w:spacing w:after="0"/>
        <w:jc w:val="both"/>
        <w:rPr>
          <w:sz w:val="16"/>
        </w:rPr>
      </w:pPr>
    </w:p>
    <w:p w14:paraId="3451B5C6" w14:textId="77777777" w:rsidR="008B0834" w:rsidRDefault="008B0834" w:rsidP="008B0834">
      <w:pPr>
        <w:pStyle w:val="BodyText"/>
        <w:spacing w:after="0"/>
        <w:jc w:val="both"/>
        <w:rPr>
          <w:sz w:val="16"/>
        </w:rPr>
      </w:pPr>
      <w:r w:rsidRPr="0025604E">
        <w:rPr>
          <w:sz w:val="16"/>
        </w:rPr>
        <w:br w:type="column"/>
      </w:r>
    </w:p>
    <w:p w14:paraId="39C6F4E3" w14:textId="46B96EA6" w:rsidR="008B0834" w:rsidRPr="00B0381F" w:rsidRDefault="008B0834" w:rsidP="008B0834">
      <w:pPr>
        <w:pStyle w:val="BodyText"/>
        <w:numPr>
          <w:ilvl w:val="0"/>
          <w:numId w:val="9"/>
        </w:numPr>
        <w:spacing w:after="0"/>
        <w:jc w:val="both"/>
        <w:rPr>
          <w:sz w:val="16"/>
        </w:rPr>
      </w:pPr>
      <w:r w:rsidRPr="00B0381F">
        <w:rPr>
          <w:sz w:val="16"/>
        </w:rPr>
        <w:t xml:space="preserve">Western Australia’s employment </w:t>
      </w:r>
      <w:r w:rsidR="006533E6" w:rsidRPr="00B0381F">
        <w:rPr>
          <w:sz w:val="16"/>
        </w:rPr>
        <w:t>rose</w:t>
      </w:r>
      <w:r w:rsidRPr="00B0381F">
        <w:rPr>
          <w:sz w:val="16"/>
        </w:rPr>
        <w:t xml:space="preserve"> 0.</w:t>
      </w:r>
      <w:r w:rsidR="00380A45" w:rsidRPr="00B0381F">
        <w:rPr>
          <w:sz w:val="16"/>
        </w:rPr>
        <w:t>8</w:t>
      </w:r>
      <w:r w:rsidRPr="00B0381F">
        <w:rPr>
          <w:sz w:val="16"/>
        </w:rPr>
        <w:t>% (</w:t>
      </w:r>
      <w:r w:rsidR="00380A45" w:rsidRPr="00B0381F">
        <w:rPr>
          <w:sz w:val="16"/>
        </w:rPr>
        <w:t>12,690</w:t>
      </w:r>
      <w:r w:rsidRPr="00B0381F">
        <w:rPr>
          <w:sz w:val="16"/>
        </w:rPr>
        <w:t>) to 1.5</w:t>
      </w:r>
      <w:r w:rsidR="00380A45" w:rsidRPr="00B0381F">
        <w:rPr>
          <w:sz w:val="16"/>
        </w:rPr>
        <w:t>9</w:t>
      </w:r>
      <w:r w:rsidRPr="00B0381F">
        <w:rPr>
          <w:sz w:val="16"/>
        </w:rPr>
        <w:t xml:space="preserve"> million in </w:t>
      </w:r>
      <w:r w:rsidR="00380A45" w:rsidRPr="00B0381F">
        <w:rPr>
          <w:sz w:val="16"/>
        </w:rPr>
        <w:t>Novem</w:t>
      </w:r>
      <w:r w:rsidR="006533E6" w:rsidRPr="00B0381F">
        <w:rPr>
          <w:sz w:val="16"/>
        </w:rPr>
        <w:t>ber</w:t>
      </w:r>
      <w:r w:rsidRPr="00B0381F">
        <w:rPr>
          <w:sz w:val="16"/>
        </w:rPr>
        <w:t> 2023.</w:t>
      </w:r>
    </w:p>
    <w:p w14:paraId="20AD81C8" w14:textId="3A7F87D8" w:rsidR="008B0834" w:rsidRPr="00B0381F" w:rsidRDefault="008B0834" w:rsidP="008B0834">
      <w:pPr>
        <w:pStyle w:val="BodyText"/>
        <w:numPr>
          <w:ilvl w:val="0"/>
          <w:numId w:val="9"/>
        </w:numPr>
        <w:spacing w:after="0"/>
        <w:jc w:val="both"/>
        <w:rPr>
          <w:sz w:val="16"/>
        </w:rPr>
      </w:pPr>
      <w:r w:rsidRPr="00B0381F">
        <w:rPr>
          <w:sz w:val="16"/>
        </w:rPr>
        <w:t xml:space="preserve">In </w:t>
      </w:r>
      <w:r w:rsidR="00380A45" w:rsidRPr="00B0381F">
        <w:rPr>
          <w:sz w:val="16"/>
        </w:rPr>
        <w:t>Novem</w:t>
      </w:r>
      <w:r w:rsidR="00840F19" w:rsidRPr="00B0381F">
        <w:rPr>
          <w:sz w:val="16"/>
        </w:rPr>
        <w:t>ber</w:t>
      </w:r>
      <w:r w:rsidRPr="00B0381F">
        <w:rPr>
          <w:sz w:val="16"/>
        </w:rPr>
        <w:t> 2023, Western Australia’s:</w:t>
      </w:r>
    </w:p>
    <w:p w14:paraId="3B589CEA" w14:textId="1CEAD8AC" w:rsidR="008B0834" w:rsidRPr="00B0381F" w:rsidRDefault="008B0834" w:rsidP="008B0834">
      <w:pPr>
        <w:pStyle w:val="BodyText"/>
        <w:numPr>
          <w:ilvl w:val="1"/>
          <w:numId w:val="11"/>
        </w:numPr>
        <w:spacing w:after="0"/>
        <w:ind w:left="851" w:hanging="284"/>
        <w:jc w:val="both"/>
        <w:rPr>
          <w:sz w:val="16"/>
        </w:rPr>
      </w:pPr>
      <w:r w:rsidRPr="00B0381F">
        <w:rPr>
          <w:sz w:val="16"/>
        </w:rPr>
        <w:t>full-time</w:t>
      </w:r>
      <w:r w:rsidRPr="00B0381F">
        <w:rPr>
          <w:sz w:val="16"/>
          <w:vertAlign w:val="superscript"/>
        </w:rPr>
        <w:t>2</w:t>
      </w:r>
      <w:r w:rsidRPr="00B0381F">
        <w:rPr>
          <w:sz w:val="16"/>
        </w:rPr>
        <w:t xml:space="preserve"> employment </w:t>
      </w:r>
      <w:r w:rsidR="00840F19" w:rsidRPr="00B0381F">
        <w:rPr>
          <w:sz w:val="16"/>
        </w:rPr>
        <w:t>rose</w:t>
      </w:r>
      <w:r w:rsidRPr="00B0381F">
        <w:rPr>
          <w:sz w:val="16"/>
        </w:rPr>
        <w:t xml:space="preserve"> </w:t>
      </w:r>
      <w:r w:rsidR="00380A45" w:rsidRPr="00B0381F">
        <w:rPr>
          <w:sz w:val="16"/>
        </w:rPr>
        <w:t>1.6</w:t>
      </w:r>
      <w:r w:rsidRPr="00B0381F">
        <w:rPr>
          <w:sz w:val="16"/>
        </w:rPr>
        <w:t>% (</w:t>
      </w:r>
      <w:r w:rsidR="00380A45" w:rsidRPr="00B0381F">
        <w:rPr>
          <w:sz w:val="16"/>
        </w:rPr>
        <w:t>16,954</w:t>
      </w:r>
      <w:r w:rsidRPr="00B0381F">
        <w:rPr>
          <w:sz w:val="16"/>
        </w:rPr>
        <w:t>) to 1,</w:t>
      </w:r>
      <w:r w:rsidR="00380A45" w:rsidRPr="00B0381F">
        <w:rPr>
          <w:sz w:val="16"/>
        </w:rPr>
        <w:t>100,192</w:t>
      </w:r>
    </w:p>
    <w:p w14:paraId="51888CE1" w14:textId="7359D91E" w:rsidR="008B0834" w:rsidRPr="00B0381F" w:rsidRDefault="008B0834" w:rsidP="008B0834">
      <w:pPr>
        <w:pStyle w:val="BodyText"/>
        <w:numPr>
          <w:ilvl w:val="1"/>
          <w:numId w:val="11"/>
        </w:numPr>
        <w:spacing w:after="0"/>
        <w:ind w:left="851" w:hanging="284"/>
        <w:jc w:val="both"/>
        <w:rPr>
          <w:sz w:val="16"/>
        </w:rPr>
      </w:pPr>
      <w:r w:rsidRPr="00B0381F">
        <w:rPr>
          <w:sz w:val="16"/>
        </w:rPr>
        <w:t>part-time</w:t>
      </w:r>
      <w:r w:rsidRPr="00B0381F">
        <w:rPr>
          <w:sz w:val="16"/>
          <w:vertAlign w:val="superscript"/>
        </w:rPr>
        <w:t>3</w:t>
      </w:r>
      <w:r w:rsidRPr="00B0381F">
        <w:rPr>
          <w:sz w:val="16"/>
        </w:rPr>
        <w:t xml:space="preserve"> employment </w:t>
      </w:r>
      <w:r w:rsidR="00380A45" w:rsidRPr="00B0381F">
        <w:rPr>
          <w:sz w:val="16"/>
        </w:rPr>
        <w:t>fell</w:t>
      </w:r>
      <w:r w:rsidRPr="00B0381F">
        <w:rPr>
          <w:sz w:val="16"/>
        </w:rPr>
        <w:t xml:space="preserve"> </w:t>
      </w:r>
      <w:r w:rsidR="00840F19" w:rsidRPr="00B0381F">
        <w:rPr>
          <w:sz w:val="16"/>
        </w:rPr>
        <w:t>0.9</w:t>
      </w:r>
      <w:r w:rsidRPr="00B0381F">
        <w:rPr>
          <w:sz w:val="16"/>
        </w:rPr>
        <w:t>% (</w:t>
      </w:r>
      <w:r w:rsidR="00840F19" w:rsidRPr="00B0381F">
        <w:rPr>
          <w:sz w:val="16"/>
        </w:rPr>
        <w:t>4,</w:t>
      </w:r>
      <w:r w:rsidR="00380A45" w:rsidRPr="00B0381F">
        <w:rPr>
          <w:sz w:val="16"/>
        </w:rPr>
        <w:t>264</w:t>
      </w:r>
      <w:r w:rsidRPr="00B0381F">
        <w:rPr>
          <w:sz w:val="16"/>
        </w:rPr>
        <w:t>) to 4</w:t>
      </w:r>
      <w:r w:rsidR="00840F19" w:rsidRPr="00B0381F">
        <w:rPr>
          <w:sz w:val="16"/>
        </w:rPr>
        <w:t>94,</w:t>
      </w:r>
      <w:r w:rsidR="00380A45" w:rsidRPr="00B0381F">
        <w:rPr>
          <w:sz w:val="16"/>
        </w:rPr>
        <w:t>031</w:t>
      </w:r>
      <w:r w:rsidRPr="00B0381F">
        <w:rPr>
          <w:sz w:val="16"/>
        </w:rPr>
        <w:t>.</w:t>
      </w:r>
    </w:p>
    <w:p w14:paraId="7E9185B3" w14:textId="6CD28312" w:rsidR="008B0834" w:rsidRPr="00B0381F" w:rsidRDefault="008B0834" w:rsidP="008B0834">
      <w:pPr>
        <w:pStyle w:val="BodyText"/>
        <w:numPr>
          <w:ilvl w:val="0"/>
          <w:numId w:val="9"/>
        </w:numPr>
        <w:spacing w:after="0"/>
        <w:jc w:val="both"/>
        <w:rPr>
          <w:sz w:val="16"/>
        </w:rPr>
      </w:pPr>
      <w:r w:rsidRPr="00B0381F">
        <w:rPr>
          <w:sz w:val="16"/>
        </w:rPr>
        <w:t>Western Australia’s annual average employment rose 2.</w:t>
      </w:r>
      <w:r w:rsidR="006C6687" w:rsidRPr="00B0381F">
        <w:rPr>
          <w:sz w:val="16"/>
        </w:rPr>
        <w:t>8</w:t>
      </w:r>
      <w:r w:rsidRPr="00B0381F">
        <w:rPr>
          <w:sz w:val="16"/>
        </w:rPr>
        <w:t xml:space="preserve">% in 2022-23 and the WA Government </w:t>
      </w:r>
      <w:r w:rsidR="00F666EB" w:rsidRPr="00B0381F">
        <w:rPr>
          <w:sz w:val="16"/>
        </w:rPr>
        <w:t>Mid-year Financial Projections Statement</w:t>
      </w:r>
      <w:r w:rsidR="00F666EB" w:rsidRPr="00B0381F" w:rsidDel="00F666EB">
        <w:rPr>
          <w:sz w:val="16"/>
        </w:rPr>
        <w:t xml:space="preserve"> </w:t>
      </w:r>
      <w:r w:rsidRPr="00B0381F">
        <w:rPr>
          <w:sz w:val="16"/>
        </w:rPr>
        <w:t xml:space="preserve">2023-24 forecasts Western Australia’s annual average employment will rise </w:t>
      </w:r>
      <w:r w:rsidR="00F666EB" w:rsidRPr="00B0381F">
        <w:rPr>
          <w:sz w:val="16"/>
        </w:rPr>
        <w:t>2</w:t>
      </w:r>
      <w:r w:rsidRPr="00B0381F">
        <w:rPr>
          <w:sz w:val="16"/>
        </w:rPr>
        <w:t>.</w:t>
      </w:r>
      <w:r w:rsidR="00F666EB" w:rsidRPr="00B0381F">
        <w:rPr>
          <w:sz w:val="16"/>
        </w:rPr>
        <w:t>5</w:t>
      </w:r>
      <w:r w:rsidRPr="00B0381F">
        <w:rPr>
          <w:sz w:val="16"/>
        </w:rPr>
        <w:t>% in 2023</w:t>
      </w:r>
      <w:r w:rsidRPr="00B0381F">
        <w:rPr>
          <w:sz w:val="16"/>
        </w:rPr>
        <w:noBreakHyphen/>
        <w:t>24 and 1.</w:t>
      </w:r>
      <w:r w:rsidR="00F666EB" w:rsidRPr="00B0381F">
        <w:rPr>
          <w:sz w:val="16"/>
        </w:rPr>
        <w:t>7</w:t>
      </w:r>
      <w:r w:rsidRPr="00B0381F">
        <w:rPr>
          <w:sz w:val="16"/>
        </w:rPr>
        <w:t>5% in 2024-25.</w:t>
      </w:r>
    </w:p>
    <w:p w14:paraId="2FC32ECC" w14:textId="77777777" w:rsidR="008B0834" w:rsidRPr="00542DE2" w:rsidRDefault="008B0834" w:rsidP="008B0834">
      <w:pPr>
        <w:pStyle w:val="BodyText"/>
        <w:numPr>
          <w:ilvl w:val="0"/>
          <w:numId w:val="9"/>
        </w:numPr>
        <w:spacing w:after="0"/>
        <w:jc w:val="both"/>
        <w:rPr>
          <w:sz w:val="16"/>
        </w:rPr>
        <w:sectPr w:rsidR="008B0834" w:rsidRPr="00542DE2" w:rsidSect="00F7498D">
          <w:type w:val="continuous"/>
          <w:pgSz w:w="11907" w:h="16840" w:code="9"/>
          <w:pgMar w:top="1701" w:right="720" w:bottom="720" w:left="720" w:header="709" w:footer="709" w:gutter="0"/>
          <w:cols w:num="2" w:space="284" w:equalWidth="0">
            <w:col w:w="5647" w:space="284"/>
            <w:col w:w="4536"/>
          </w:cols>
          <w:docGrid w:linePitch="360"/>
        </w:sectPr>
      </w:pPr>
    </w:p>
    <w:p w14:paraId="6DE70ADE"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employment</w:t>
      </w:r>
      <w:r>
        <w:rPr>
          <w:b/>
          <w:color w:val="92278F" w:themeColor="accent1"/>
          <w:sz w:val="20"/>
        </w:rPr>
        <w:t xml:space="preserve"> </w:t>
      </w:r>
      <w:r w:rsidRPr="00020369">
        <w:rPr>
          <w:b/>
          <w:color w:val="92278F" w:themeColor="accent1"/>
          <w:sz w:val="20"/>
        </w:rPr>
        <w:t>by industry</w:t>
      </w:r>
      <w:r w:rsidRPr="00020369">
        <w:rPr>
          <w:b/>
          <w:color w:val="92278F" w:themeColor="accent1"/>
          <w:sz w:val="20"/>
          <w:vertAlign w:val="superscript"/>
        </w:rPr>
        <w:t>1</w:t>
      </w:r>
    </w:p>
    <w:p w14:paraId="5398E0C8" w14:textId="00A3FBBE" w:rsidR="008B0834" w:rsidRDefault="00554D23" w:rsidP="008B0834">
      <w:pPr>
        <w:pStyle w:val="BodyText"/>
        <w:spacing w:after="0"/>
        <w:jc w:val="both"/>
        <w:rPr>
          <w:sz w:val="16"/>
        </w:rPr>
      </w:pPr>
      <w:r>
        <w:rPr>
          <w:noProof/>
          <w:sz w:val="16"/>
        </w:rPr>
        <w:drawing>
          <wp:inline distT="0" distB="0" distL="0" distR="0" wp14:anchorId="0C70AC48" wp14:editId="41862654">
            <wp:extent cx="3528000" cy="21034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2AF4357E" w14:textId="77777777" w:rsidR="008B0834" w:rsidRPr="00472592" w:rsidRDefault="008B0834" w:rsidP="008B0834">
      <w:pPr>
        <w:pStyle w:val="BodyText"/>
        <w:spacing w:after="0"/>
        <w:jc w:val="both"/>
        <w:rPr>
          <w:sz w:val="10"/>
        </w:rPr>
      </w:pPr>
      <w:r w:rsidRPr="000570EA">
        <w:rPr>
          <w:sz w:val="10"/>
          <w:vertAlign w:val="superscript"/>
        </w:rPr>
        <w:t>1</w:t>
      </w:r>
      <w:r>
        <w:rPr>
          <w:sz w:val="10"/>
        </w:rPr>
        <w:t xml:space="preserve"> </w:t>
      </w:r>
      <w:r w:rsidRPr="00472592">
        <w:rPr>
          <w:sz w:val="10"/>
        </w:rPr>
        <w:t xml:space="preserve">Average </w:t>
      </w:r>
      <w:r>
        <w:rPr>
          <w:sz w:val="10"/>
        </w:rPr>
        <w:t xml:space="preserve">of the original series </w:t>
      </w:r>
      <w:r w:rsidRPr="00472592">
        <w:rPr>
          <w:sz w:val="10"/>
        </w:rPr>
        <w:t xml:space="preserve">over the past </w:t>
      </w:r>
      <w:r>
        <w:rPr>
          <w:sz w:val="10"/>
        </w:rPr>
        <w:t>four</w:t>
      </w:r>
      <w:r w:rsidRPr="00472592">
        <w:rPr>
          <w:sz w:val="10"/>
        </w:rPr>
        <w:t xml:space="preserve"> quarters. </w:t>
      </w:r>
      <w:r>
        <w:rPr>
          <w:sz w:val="10"/>
        </w:rPr>
        <w:t>Data is collected for the m</w:t>
      </w:r>
      <w:r w:rsidRPr="00472592">
        <w:rPr>
          <w:sz w:val="10"/>
        </w:rPr>
        <w:t>iddle month of each quarter</w:t>
      </w:r>
      <w:r>
        <w:rPr>
          <w:sz w:val="10"/>
        </w:rPr>
        <w:t>:</w:t>
      </w:r>
      <w:r w:rsidRPr="00472592">
        <w:rPr>
          <w:sz w:val="10"/>
        </w:rPr>
        <w:t xml:space="preserve"> February, May, August and November.</w:t>
      </w:r>
      <w:r>
        <w:rPr>
          <w:sz w:val="10"/>
        </w:rPr>
        <w:t xml:space="preserve"> </w:t>
      </w:r>
      <w:r w:rsidRPr="00472592">
        <w:rPr>
          <w:sz w:val="10"/>
        </w:rPr>
        <w:t>(a) Repairs, maintenance and personal services.</w:t>
      </w:r>
    </w:p>
    <w:p w14:paraId="75B4FEA2" w14:textId="666CC5DC" w:rsidR="008B0834" w:rsidRPr="00715528" w:rsidRDefault="008B0834" w:rsidP="008B0834">
      <w:pPr>
        <w:pStyle w:val="BodyText"/>
        <w:spacing w:after="0"/>
        <w:jc w:val="both"/>
        <w:rPr>
          <w:sz w:val="10"/>
        </w:rPr>
      </w:pPr>
      <w:r w:rsidRPr="00715528">
        <w:rPr>
          <w:sz w:val="10"/>
        </w:rPr>
        <w:t xml:space="preserve">Source: </w:t>
      </w:r>
      <w:r w:rsidRPr="0065045F">
        <w:rPr>
          <w:sz w:val="10"/>
        </w:rPr>
        <w:t xml:space="preserve">Based on data from ABS </w:t>
      </w:r>
      <w:r>
        <w:rPr>
          <w:sz w:val="10"/>
        </w:rPr>
        <w:t>6291.0.55.003 Labour Force, Australia, Detailed (</w:t>
      </w:r>
      <w:r w:rsidR="00E9096F">
        <w:rPr>
          <w:sz w:val="10"/>
        </w:rPr>
        <w:t>Quarterly</w:t>
      </w:r>
      <w:r>
        <w:rPr>
          <w:sz w:val="10"/>
        </w:rPr>
        <w:t>)</w:t>
      </w:r>
      <w:r w:rsidRPr="00715528">
        <w:rPr>
          <w:sz w:val="10"/>
        </w:rPr>
        <w:t>.</w:t>
      </w:r>
    </w:p>
    <w:p w14:paraId="2F479E81" w14:textId="77777777" w:rsidR="00904E9B" w:rsidRPr="00904E9B" w:rsidRDefault="008B0834" w:rsidP="00904E9B">
      <w:pPr>
        <w:pStyle w:val="BodyText"/>
        <w:spacing w:after="0"/>
        <w:jc w:val="both"/>
        <w:rPr>
          <w:color w:val="000000" w:themeColor="text1"/>
          <w:sz w:val="16"/>
        </w:rPr>
      </w:pPr>
      <w:r>
        <w:rPr>
          <w:sz w:val="16"/>
        </w:rPr>
        <w:br w:type="column"/>
      </w:r>
    </w:p>
    <w:p w14:paraId="3B998137" w14:textId="6DF1421B" w:rsidR="008B0834" w:rsidRPr="00B0381F" w:rsidRDefault="008B0834" w:rsidP="008B0834">
      <w:pPr>
        <w:pStyle w:val="BodyText"/>
        <w:numPr>
          <w:ilvl w:val="0"/>
          <w:numId w:val="9"/>
        </w:numPr>
        <w:spacing w:after="0"/>
        <w:jc w:val="both"/>
        <w:rPr>
          <w:sz w:val="16"/>
        </w:rPr>
      </w:pPr>
      <w:r w:rsidRPr="00B0381F">
        <w:rPr>
          <w:sz w:val="16"/>
        </w:rPr>
        <w:t>Services industries accounted for 7</w:t>
      </w:r>
      <w:r w:rsidR="00561A71" w:rsidRPr="00B0381F">
        <w:rPr>
          <w:sz w:val="16"/>
        </w:rPr>
        <w:t>2</w:t>
      </w:r>
      <w:r w:rsidRPr="00B0381F">
        <w:rPr>
          <w:sz w:val="16"/>
        </w:rPr>
        <w:t xml:space="preserve">% of Western Australia’s average employment over the four quarters to the </w:t>
      </w:r>
      <w:r w:rsidR="00857DB9" w:rsidRPr="00B0381F">
        <w:rPr>
          <w:sz w:val="16"/>
        </w:rPr>
        <w:t>December</w:t>
      </w:r>
      <w:r w:rsidRPr="00B0381F">
        <w:rPr>
          <w:sz w:val="16"/>
        </w:rPr>
        <w:t xml:space="preserve"> quarter 2023, including:</w:t>
      </w:r>
    </w:p>
    <w:p w14:paraId="0AFEF845" w14:textId="173E526D" w:rsidR="008B0834" w:rsidRPr="00B0381F" w:rsidRDefault="008B0834" w:rsidP="008B0834">
      <w:pPr>
        <w:pStyle w:val="BodyText"/>
        <w:numPr>
          <w:ilvl w:val="1"/>
          <w:numId w:val="11"/>
        </w:numPr>
        <w:spacing w:after="0"/>
        <w:ind w:left="851" w:hanging="284"/>
        <w:jc w:val="both"/>
        <w:rPr>
          <w:sz w:val="16"/>
        </w:rPr>
      </w:pPr>
      <w:r w:rsidRPr="00B0381F">
        <w:rPr>
          <w:sz w:val="16"/>
        </w:rPr>
        <w:t>healthcare and social assistance (</w:t>
      </w:r>
      <w:r w:rsidR="0080504E" w:rsidRPr="00B0381F">
        <w:rPr>
          <w:sz w:val="16"/>
        </w:rPr>
        <w:t>14.0</w:t>
      </w:r>
      <w:r w:rsidRPr="00B0381F">
        <w:rPr>
          <w:sz w:val="16"/>
        </w:rPr>
        <w:t>%)</w:t>
      </w:r>
    </w:p>
    <w:p w14:paraId="72872802" w14:textId="35D48148" w:rsidR="008B0834" w:rsidRPr="00B0381F" w:rsidRDefault="008B0834" w:rsidP="008B0834">
      <w:pPr>
        <w:pStyle w:val="BodyText"/>
        <w:numPr>
          <w:ilvl w:val="1"/>
          <w:numId w:val="11"/>
        </w:numPr>
        <w:spacing w:after="0"/>
        <w:ind w:left="851" w:hanging="284"/>
        <w:jc w:val="both"/>
        <w:rPr>
          <w:sz w:val="16"/>
        </w:rPr>
      </w:pPr>
      <w:r w:rsidRPr="00B0381F">
        <w:rPr>
          <w:sz w:val="16"/>
        </w:rPr>
        <w:t>retail trade (8.</w:t>
      </w:r>
      <w:r w:rsidR="0080504E" w:rsidRPr="00B0381F">
        <w:rPr>
          <w:sz w:val="16"/>
        </w:rPr>
        <w:t>6</w:t>
      </w:r>
      <w:r w:rsidRPr="00B0381F">
        <w:rPr>
          <w:sz w:val="16"/>
        </w:rPr>
        <w:t>%)</w:t>
      </w:r>
    </w:p>
    <w:p w14:paraId="4616D6BA" w14:textId="6BDC3FCE" w:rsidR="008B0834" w:rsidRPr="00B0381F" w:rsidRDefault="008B0834" w:rsidP="008B0834">
      <w:pPr>
        <w:pStyle w:val="BodyText"/>
        <w:numPr>
          <w:ilvl w:val="1"/>
          <w:numId w:val="11"/>
        </w:numPr>
        <w:spacing w:after="0"/>
        <w:ind w:left="851" w:hanging="284"/>
        <w:jc w:val="both"/>
        <w:rPr>
          <w:sz w:val="16"/>
        </w:rPr>
      </w:pPr>
      <w:r w:rsidRPr="00B0381F">
        <w:rPr>
          <w:sz w:val="16"/>
        </w:rPr>
        <w:t>education and training (</w:t>
      </w:r>
      <w:r w:rsidR="0080504E" w:rsidRPr="00B0381F">
        <w:rPr>
          <w:sz w:val="16"/>
        </w:rPr>
        <w:t>8.2</w:t>
      </w:r>
      <w:r w:rsidRPr="00B0381F">
        <w:rPr>
          <w:sz w:val="16"/>
        </w:rPr>
        <w:t>%).</w:t>
      </w:r>
    </w:p>
    <w:p w14:paraId="75387D1A" w14:textId="2669D00C" w:rsidR="008B0834" w:rsidRPr="00B0381F" w:rsidRDefault="008B0834" w:rsidP="008B0834">
      <w:pPr>
        <w:pStyle w:val="BodyText"/>
        <w:numPr>
          <w:ilvl w:val="0"/>
          <w:numId w:val="9"/>
        </w:numPr>
        <w:spacing w:after="0"/>
        <w:jc w:val="both"/>
        <w:rPr>
          <w:sz w:val="16"/>
        </w:rPr>
      </w:pPr>
      <w:r w:rsidRPr="00B0381F">
        <w:rPr>
          <w:sz w:val="16"/>
        </w:rPr>
        <w:t>Goods</w:t>
      </w:r>
      <w:r w:rsidR="00904E9B" w:rsidRPr="00B0381F">
        <w:rPr>
          <w:sz w:val="16"/>
        </w:rPr>
        <w:noBreakHyphen/>
      </w:r>
      <w:r w:rsidRPr="00B0381F">
        <w:rPr>
          <w:sz w:val="16"/>
        </w:rPr>
        <w:t>producing industries accounted for 2</w:t>
      </w:r>
      <w:r w:rsidR="00561A71" w:rsidRPr="00B0381F">
        <w:rPr>
          <w:sz w:val="16"/>
        </w:rPr>
        <w:t>8</w:t>
      </w:r>
      <w:r w:rsidRPr="00B0381F">
        <w:rPr>
          <w:sz w:val="16"/>
        </w:rPr>
        <w:t xml:space="preserve">% of Western Australia’s average employment over the four quarters to the </w:t>
      </w:r>
      <w:r w:rsidR="00857DB9" w:rsidRPr="00B0381F">
        <w:rPr>
          <w:sz w:val="16"/>
        </w:rPr>
        <w:t>December</w:t>
      </w:r>
      <w:r w:rsidRPr="00B0381F">
        <w:rPr>
          <w:sz w:val="16"/>
        </w:rPr>
        <w:t xml:space="preserve"> quarter 2023, including:</w:t>
      </w:r>
    </w:p>
    <w:p w14:paraId="13243EFE" w14:textId="44B7775A" w:rsidR="008B0834" w:rsidRPr="00B0381F" w:rsidRDefault="008B0834" w:rsidP="008B0834">
      <w:pPr>
        <w:pStyle w:val="BodyText"/>
        <w:numPr>
          <w:ilvl w:val="1"/>
          <w:numId w:val="11"/>
        </w:numPr>
        <w:spacing w:after="0"/>
        <w:ind w:left="851" w:hanging="284"/>
        <w:jc w:val="both"/>
        <w:rPr>
          <w:sz w:val="16"/>
        </w:rPr>
      </w:pPr>
      <w:r w:rsidRPr="00B0381F">
        <w:rPr>
          <w:sz w:val="16"/>
        </w:rPr>
        <w:t>mining (</w:t>
      </w:r>
      <w:r w:rsidR="00857DB9" w:rsidRPr="00B0381F">
        <w:rPr>
          <w:sz w:val="16"/>
        </w:rPr>
        <w:t>9.</w:t>
      </w:r>
      <w:r w:rsidR="0080504E" w:rsidRPr="00B0381F">
        <w:rPr>
          <w:sz w:val="16"/>
        </w:rPr>
        <w:t>8</w:t>
      </w:r>
      <w:r w:rsidRPr="00B0381F">
        <w:rPr>
          <w:sz w:val="16"/>
        </w:rPr>
        <w:t>%)</w:t>
      </w:r>
    </w:p>
    <w:p w14:paraId="70914327" w14:textId="785F3BA4" w:rsidR="008B0834" w:rsidRPr="00B0381F" w:rsidRDefault="008B0834" w:rsidP="008B0834">
      <w:pPr>
        <w:pStyle w:val="BodyText"/>
        <w:numPr>
          <w:ilvl w:val="1"/>
          <w:numId w:val="11"/>
        </w:numPr>
        <w:spacing w:after="0"/>
        <w:ind w:left="851" w:hanging="284"/>
        <w:jc w:val="both"/>
        <w:rPr>
          <w:sz w:val="16"/>
        </w:rPr>
      </w:pPr>
      <w:r w:rsidRPr="00B0381F">
        <w:rPr>
          <w:sz w:val="16"/>
        </w:rPr>
        <w:t>construction (</w:t>
      </w:r>
      <w:r w:rsidR="0080504E" w:rsidRPr="00B0381F">
        <w:rPr>
          <w:sz w:val="16"/>
        </w:rPr>
        <w:t>9.3</w:t>
      </w:r>
      <w:r w:rsidRPr="00B0381F">
        <w:rPr>
          <w:sz w:val="16"/>
        </w:rPr>
        <w:t>%)</w:t>
      </w:r>
    </w:p>
    <w:p w14:paraId="0FCA27CE" w14:textId="7CD34E66" w:rsidR="008B0834" w:rsidRPr="00B0381F" w:rsidRDefault="008B0834" w:rsidP="008B0834">
      <w:pPr>
        <w:pStyle w:val="BodyText"/>
        <w:numPr>
          <w:ilvl w:val="1"/>
          <w:numId w:val="11"/>
        </w:numPr>
        <w:spacing w:after="0"/>
        <w:ind w:left="851" w:hanging="284"/>
        <w:jc w:val="both"/>
        <w:rPr>
          <w:sz w:val="16"/>
        </w:rPr>
      </w:pPr>
      <w:r w:rsidRPr="00B0381F">
        <w:rPr>
          <w:sz w:val="16"/>
        </w:rPr>
        <w:t>manufacturing (</w:t>
      </w:r>
      <w:r w:rsidR="0080504E" w:rsidRPr="00B0381F">
        <w:rPr>
          <w:sz w:val="16"/>
        </w:rPr>
        <w:t>5.8</w:t>
      </w:r>
      <w:r w:rsidRPr="00B0381F">
        <w:rPr>
          <w:sz w:val="16"/>
        </w:rPr>
        <w:t>%).</w:t>
      </w:r>
    </w:p>
    <w:p w14:paraId="5965CE65" w14:textId="2430B5F8" w:rsidR="008B0834" w:rsidRPr="00B0381F" w:rsidRDefault="0080504E" w:rsidP="008B0834">
      <w:pPr>
        <w:pStyle w:val="BodyText"/>
        <w:numPr>
          <w:ilvl w:val="0"/>
          <w:numId w:val="9"/>
        </w:numPr>
        <w:spacing w:after="0"/>
        <w:jc w:val="both"/>
        <w:rPr>
          <w:sz w:val="16"/>
        </w:rPr>
      </w:pPr>
      <w:r w:rsidRPr="00B0381F">
        <w:rPr>
          <w:sz w:val="16"/>
        </w:rPr>
        <w:t>Healthcare and social assistance</w:t>
      </w:r>
      <w:r w:rsidR="008B0834" w:rsidRPr="00B0381F">
        <w:rPr>
          <w:sz w:val="16"/>
        </w:rPr>
        <w:t xml:space="preserve"> (up </w:t>
      </w:r>
      <w:r w:rsidRPr="00B0381F">
        <w:rPr>
          <w:sz w:val="16"/>
        </w:rPr>
        <w:t>17,291</w:t>
      </w:r>
      <w:r w:rsidR="008B0834" w:rsidRPr="00B0381F">
        <w:rPr>
          <w:sz w:val="16"/>
        </w:rPr>
        <w:t xml:space="preserve"> or </w:t>
      </w:r>
      <w:r w:rsidRPr="00B0381F">
        <w:rPr>
          <w:sz w:val="16"/>
        </w:rPr>
        <w:t>8.5</w:t>
      </w:r>
      <w:r w:rsidR="008B0834" w:rsidRPr="00B0381F">
        <w:rPr>
          <w:sz w:val="16"/>
        </w:rPr>
        <w:t>%) had the largest rise in average employment</w:t>
      </w:r>
      <w:r w:rsidR="008B0834" w:rsidRPr="00B0381F">
        <w:rPr>
          <w:sz w:val="16"/>
          <w:vertAlign w:val="superscript"/>
        </w:rPr>
        <w:t>2</w:t>
      </w:r>
      <w:r w:rsidR="008B0834" w:rsidRPr="00B0381F">
        <w:rPr>
          <w:sz w:val="16"/>
        </w:rPr>
        <w:t xml:space="preserve"> between the </w:t>
      </w:r>
      <w:r w:rsidRPr="00B0381F">
        <w:rPr>
          <w:sz w:val="16"/>
        </w:rPr>
        <w:t>December</w:t>
      </w:r>
      <w:r w:rsidR="008B0834" w:rsidRPr="00B0381F">
        <w:rPr>
          <w:sz w:val="16"/>
        </w:rPr>
        <w:t xml:space="preserve"> quarters of 2022 and 2023, followed by </w:t>
      </w:r>
      <w:r w:rsidR="00554D23" w:rsidRPr="00B0381F">
        <w:rPr>
          <w:sz w:val="16"/>
        </w:rPr>
        <w:t>other services</w:t>
      </w:r>
      <w:r w:rsidR="008B0834" w:rsidRPr="00B0381F">
        <w:rPr>
          <w:sz w:val="16"/>
        </w:rPr>
        <w:t xml:space="preserve"> (up 11,</w:t>
      </w:r>
      <w:r w:rsidRPr="00B0381F">
        <w:rPr>
          <w:sz w:val="16"/>
        </w:rPr>
        <w:t>0</w:t>
      </w:r>
      <w:r w:rsidR="00554D23" w:rsidRPr="00B0381F">
        <w:rPr>
          <w:sz w:val="16"/>
        </w:rPr>
        <w:t>71</w:t>
      </w:r>
      <w:r w:rsidR="008B0834" w:rsidRPr="00B0381F">
        <w:rPr>
          <w:sz w:val="16"/>
        </w:rPr>
        <w:t xml:space="preserve"> or </w:t>
      </w:r>
      <w:r w:rsidR="00554D23" w:rsidRPr="00B0381F">
        <w:rPr>
          <w:sz w:val="16"/>
        </w:rPr>
        <w:t>18.6</w:t>
      </w:r>
      <w:r w:rsidR="008B0834" w:rsidRPr="00B0381F">
        <w:rPr>
          <w:sz w:val="16"/>
        </w:rPr>
        <w:t>%).</w:t>
      </w:r>
    </w:p>
    <w:p w14:paraId="31ABDA40" w14:textId="1D23AC8C" w:rsidR="008B0834" w:rsidRPr="00736640" w:rsidRDefault="008B0834" w:rsidP="008B0834">
      <w:pPr>
        <w:pStyle w:val="BodyText"/>
        <w:numPr>
          <w:ilvl w:val="0"/>
          <w:numId w:val="9"/>
        </w:numPr>
        <w:spacing w:after="0"/>
        <w:jc w:val="both"/>
        <w:rPr>
          <w:sz w:val="16"/>
        </w:rPr>
      </w:pPr>
      <w:r w:rsidRPr="00B0381F">
        <w:rPr>
          <w:sz w:val="16"/>
        </w:rPr>
        <w:t xml:space="preserve">Public administration and safety (down </w:t>
      </w:r>
      <w:r w:rsidR="0080504E" w:rsidRPr="00B0381F">
        <w:rPr>
          <w:sz w:val="16"/>
        </w:rPr>
        <w:t>17,339</w:t>
      </w:r>
      <w:r w:rsidRPr="00B0381F">
        <w:rPr>
          <w:sz w:val="16"/>
        </w:rPr>
        <w:t xml:space="preserve"> or </w:t>
      </w:r>
      <w:r w:rsidR="0080504E" w:rsidRPr="00B0381F">
        <w:rPr>
          <w:sz w:val="16"/>
        </w:rPr>
        <w:t>17.2</w:t>
      </w:r>
      <w:r w:rsidRPr="00B0381F">
        <w:rPr>
          <w:sz w:val="16"/>
        </w:rPr>
        <w:t>%) had the largest fall in average employment</w:t>
      </w:r>
      <w:r w:rsidRPr="00B0381F">
        <w:rPr>
          <w:sz w:val="16"/>
          <w:vertAlign w:val="superscript"/>
        </w:rPr>
        <w:t>2</w:t>
      </w:r>
      <w:r w:rsidRPr="00B0381F">
        <w:rPr>
          <w:sz w:val="16"/>
        </w:rPr>
        <w:t xml:space="preserve"> between the </w:t>
      </w:r>
      <w:r w:rsidR="0080504E" w:rsidRPr="00B0381F">
        <w:rPr>
          <w:sz w:val="16"/>
        </w:rPr>
        <w:t>December</w:t>
      </w:r>
      <w:r w:rsidRPr="00B0381F">
        <w:rPr>
          <w:sz w:val="16"/>
        </w:rPr>
        <w:t xml:space="preserve"> quarters of 2022 and 2023, followed by </w:t>
      </w:r>
      <w:r w:rsidR="00B87FF7" w:rsidRPr="00B0381F">
        <w:rPr>
          <w:sz w:val="16"/>
        </w:rPr>
        <w:t>agriculture, forestry and fishing</w:t>
      </w:r>
      <w:r w:rsidRPr="00B0381F">
        <w:rPr>
          <w:sz w:val="16"/>
        </w:rPr>
        <w:t xml:space="preserve"> (down </w:t>
      </w:r>
      <w:r w:rsidR="0080504E" w:rsidRPr="00B0381F">
        <w:rPr>
          <w:sz w:val="16"/>
        </w:rPr>
        <w:t>5,</w:t>
      </w:r>
      <w:r w:rsidR="00B87FF7" w:rsidRPr="00B0381F">
        <w:rPr>
          <w:sz w:val="16"/>
        </w:rPr>
        <w:t>590</w:t>
      </w:r>
      <w:r w:rsidRPr="00B0381F">
        <w:rPr>
          <w:sz w:val="16"/>
        </w:rPr>
        <w:t xml:space="preserve"> or </w:t>
      </w:r>
      <w:r w:rsidR="00B87FF7" w:rsidRPr="00B0381F">
        <w:rPr>
          <w:sz w:val="16"/>
        </w:rPr>
        <w:t>17.2</w:t>
      </w:r>
      <w:r w:rsidRPr="00B0381F">
        <w:rPr>
          <w:sz w:val="16"/>
        </w:rPr>
        <w:t>%).</w:t>
      </w:r>
      <w:r w:rsidRPr="00736640">
        <w:rPr>
          <w:sz w:val="16"/>
        </w:rPr>
        <w:br w:type="page"/>
      </w:r>
    </w:p>
    <w:p w14:paraId="28E08FC2" w14:textId="77777777" w:rsidR="008B0834" w:rsidRPr="00DD5DF4" w:rsidRDefault="008B0834" w:rsidP="008B0834">
      <w:pPr>
        <w:pStyle w:val="BodyText"/>
        <w:spacing w:after="0"/>
        <w:rPr>
          <w:b/>
          <w:color w:val="002060"/>
          <w:sz w:val="22"/>
        </w:rPr>
      </w:pPr>
      <w:r w:rsidRPr="00DD5DF4">
        <w:rPr>
          <w:b/>
          <w:color w:val="002060"/>
          <w:sz w:val="22"/>
        </w:rPr>
        <w:lastRenderedPageBreak/>
        <w:t>Labour market</w:t>
      </w:r>
    </w:p>
    <w:p w14:paraId="49F7DC65"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total hours worked</w:t>
      </w:r>
      <w:r w:rsidRPr="00020369">
        <w:rPr>
          <w:b/>
          <w:color w:val="92278F" w:themeColor="accent1"/>
          <w:sz w:val="20"/>
          <w:vertAlign w:val="superscript"/>
        </w:rPr>
        <w:t>1</w:t>
      </w:r>
    </w:p>
    <w:p w14:paraId="44CEDD24" w14:textId="189E5562" w:rsidR="008B0834" w:rsidRPr="00BF090B" w:rsidRDefault="00B87FF7" w:rsidP="008B0834">
      <w:pPr>
        <w:spacing w:after="0"/>
        <w:jc w:val="both"/>
        <w:rPr>
          <w:sz w:val="16"/>
          <w:szCs w:val="16"/>
        </w:rPr>
      </w:pPr>
      <w:r>
        <w:rPr>
          <w:noProof/>
          <w:sz w:val="16"/>
          <w:szCs w:val="16"/>
        </w:rPr>
        <w:drawing>
          <wp:inline distT="0" distB="0" distL="0" distR="0" wp14:anchorId="1DA540D2" wp14:editId="1836F69D">
            <wp:extent cx="3528000" cy="209709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28000" cy="2097090"/>
                    </a:xfrm>
                    <a:prstGeom prst="rect">
                      <a:avLst/>
                    </a:prstGeom>
                    <a:noFill/>
                    <a:ln>
                      <a:noFill/>
                    </a:ln>
                  </pic:spPr>
                </pic:pic>
              </a:graphicData>
            </a:graphic>
          </wp:inline>
        </w:drawing>
      </w:r>
    </w:p>
    <w:p w14:paraId="4F068EBC" w14:textId="77777777" w:rsidR="008B0834" w:rsidRDefault="008B0834" w:rsidP="008B0834">
      <w:pPr>
        <w:spacing w:after="0"/>
        <w:jc w:val="both"/>
        <w:rPr>
          <w:sz w:val="10"/>
        </w:rPr>
      </w:pPr>
      <w:r w:rsidRPr="00CA619B">
        <w:rPr>
          <w:sz w:val="10"/>
        </w:rPr>
        <w:t xml:space="preserve">Note – Axis does not start at zero. </w:t>
      </w:r>
      <w:r w:rsidRPr="00CA619B">
        <w:rPr>
          <w:sz w:val="10"/>
          <w:vertAlign w:val="superscript"/>
        </w:rPr>
        <w:t>1</w:t>
      </w:r>
      <w:r w:rsidRPr="00CA619B">
        <w:rPr>
          <w:sz w:val="10"/>
        </w:rPr>
        <w:t xml:space="preserve"> Total monthly hours worked in all jobs (full time and part time jobs). </w:t>
      </w:r>
    </w:p>
    <w:p w14:paraId="499EA846" w14:textId="77777777" w:rsidR="008B0834" w:rsidRPr="00CA619B" w:rsidRDefault="008B0834" w:rsidP="008B0834">
      <w:pPr>
        <w:spacing w:after="0"/>
        <w:jc w:val="both"/>
        <w:rPr>
          <w:sz w:val="10"/>
        </w:rPr>
      </w:pPr>
      <w:r w:rsidRPr="00CA619B">
        <w:rPr>
          <w:sz w:val="10"/>
        </w:rPr>
        <w:t>Seasonally adjusted series.</w:t>
      </w:r>
    </w:p>
    <w:p w14:paraId="66AA676F" w14:textId="77777777" w:rsidR="008B0834" w:rsidRPr="00CA619B" w:rsidRDefault="008B0834" w:rsidP="008B0834">
      <w:pPr>
        <w:spacing w:after="0"/>
        <w:jc w:val="both"/>
        <w:rPr>
          <w:sz w:val="16"/>
        </w:rPr>
      </w:pPr>
      <w:r w:rsidRPr="00CA619B">
        <w:rPr>
          <w:sz w:val="10"/>
        </w:rPr>
        <w:t xml:space="preserve">Source: </w:t>
      </w:r>
      <w:r w:rsidRPr="0065045F">
        <w:rPr>
          <w:sz w:val="10"/>
        </w:rPr>
        <w:t>Based on data from ABS 6202</w:t>
      </w:r>
      <w:r w:rsidRPr="00CA619B">
        <w:rPr>
          <w:sz w:val="10"/>
        </w:rPr>
        <w:t>.0 Labour Force, Australia (Monthly).</w:t>
      </w:r>
    </w:p>
    <w:p w14:paraId="324EFDA5" w14:textId="77777777" w:rsidR="008B0834" w:rsidRDefault="008B0834" w:rsidP="008B0834">
      <w:pPr>
        <w:spacing w:after="0"/>
        <w:jc w:val="both"/>
        <w:rPr>
          <w:sz w:val="16"/>
        </w:rPr>
      </w:pPr>
    </w:p>
    <w:p w14:paraId="1B656122" w14:textId="77777777" w:rsidR="008B0834" w:rsidRDefault="008B0834" w:rsidP="008B0834">
      <w:pPr>
        <w:spacing w:after="0"/>
        <w:jc w:val="both"/>
        <w:rPr>
          <w:sz w:val="16"/>
        </w:rPr>
      </w:pPr>
    </w:p>
    <w:p w14:paraId="1B4C260D" w14:textId="77777777" w:rsidR="008B0834" w:rsidRDefault="008B0834" w:rsidP="008B0834">
      <w:pPr>
        <w:spacing w:after="0"/>
        <w:jc w:val="both"/>
        <w:rPr>
          <w:sz w:val="16"/>
        </w:rPr>
      </w:pPr>
      <w:r>
        <w:rPr>
          <w:sz w:val="16"/>
        </w:rPr>
        <w:br w:type="column"/>
      </w:r>
    </w:p>
    <w:p w14:paraId="535C8C40" w14:textId="77777777" w:rsidR="008B0834" w:rsidRDefault="008B0834" w:rsidP="008B0834">
      <w:pPr>
        <w:spacing w:after="0"/>
        <w:jc w:val="both"/>
        <w:rPr>
          <w:sz w:val="16"/>
        </w:rPr>
      </w:pPr>
    </w:p>
    <w:p w14:paraId="207D50B0" w14:textId="5BCE09EE" w:rsidR="008B0834" w:rsidRPr="00B0381F" w:rsidRDefault="008B0834" w:rsidP="008B0834">
      <w:pPr>
        <w:pStyle w:val="BodyText"/>
        <w:numPr>
          <w:ilvl w:val="0"/>
          <w:numId w:val="9"/>
        </w:numPr>
        <w:spacing w:after="0"/>
        <w:jc w:val="both"/>
        <w:rPr>
          <w:sz w:val="16"/>
        </w:rPr>
      </w:pPr>
      <w:r w:rsidRPr="00B0381F">
        <w:rPr>
          <w:sz w:val="16"/>
        </w:rPr>
        <w:t xml:space="preserve">Western Australia’s total hours worked in all jobs </w:t>
      </w:r>
      <w:r w:rsidR="00875D47" w:rsidRPr="00B0381F">
        <w:rPr>
          <w:sz w:val="16"/>
        </w:rPr>
        <w:t>rose 0.7% to 221.3</w:t>
      </w:r>
      <w:r w:rsidRPr="00B0381F">
        <w:rPr>
          <w:sz w:val="16"/>
        </w:rPr>
        <w:t xml:space="preserve"> million hours in </w:t>
      </w:r>
      <w:r w:rsidR="00875D47" w:rsidRPr="00B0381F">
        <w:rPr>
          <w:sz w:val="16"/>
        </w:rPr>
        <w:t>Novem</w:t>
      </w:r>
      <w:r w:rsidR="0021499C" w:rsidRPr="00B0381F">
        <w:rPr>
          <w:sz w:val="16"/>
        </w:rPr>
        <w:t>ber</w:t>
      </w:r>
      <w:r w:rsidRPr="00B0381F">
        <w:rPr>
          <w:sz w:val="16"/>
        </w:rPr>
        <w:t xml:space="preserve"> 2023, following a </w:t>
      </w:r>
      <w:r w:rsidR="00A06A8A" w:rsidRPr="00B0381F">
        <w:rPr>
          <w:sz w:val="16"/>
        </w:rPr>
        <w:t>rise</w:t>
      </w:r>
      <w:r w:rsidRPr="00B0381F">
        <w:rPr>
          <w:sz w:val="16"/>
        </w:rPr>
        <w:t xml:space="preserve"> of 0.</w:t>
      </w:r>
      <w:r w:rsidR="00A06A8A" w:rsidRPr="00B0381F">
        <w:rPr>
          <w:sz w:val="16"/>
        </w:rPr>
        <w:t>1</w:t>
      </w:r>
      <w:r w:rsidRPr="00B0381F">
        <w:rPr>
          <w:sz w:val="16"/>
        </w:rPr>
        <w:t xml:space="preserve">% in </w:t>
      </w:r>
      <w:r w:rsidR="00A06A8A" w:rsidRPr="00B0381F">
        <w:rPr>
          <w:sz w:val="16"/>
        </w:rPr>
        <w:t>Octo</w:t>
      </w:r>
      <w:r w:rsidR="0021499C" w:rsidRPr="00B0381F">
        <w:rPr>
          <w:sz w:val="16"/>
        </w:rPr>
        <w:t>ber</w:t>
      </w:r>
      <w:r w:rsidRPr="00B0381F">
        <w:rPr>
          <w:sz w:val="16"/>
        </w:rPr>
        <w:t> 2023.</w:t>
      </w:r>
    </w:p>
    <w:p w14:paraId="028D36D3" w14:textId="175F6861" w:rsidR="008B0834" w:rsidRPr="00B0381F" w:rsidRDefault="008B0834" w:rsidP="008B0834">
      <w:pPr>
        <w:pStyle w:val="BodyText"/>
        <w:numPr>
          <w:ilvl w:val="0"/>
          <w:numId w:val="9"/>
        </w:numPr>
        <w:spacing w:after="0"/>
        <w:jc w:val="both"/>
        <w:rPr>
          <w:sz w:val="16"/>
        </w:rPr>
      </w:pPr>
      <w:r w:rsidRPr="00B0381F">
        <w:rPr>
          <w:sz w:val="16"/>
        </w:rPr>
        <w:t>Western Australia’s total hours worked in all jobs rose 4.</w:t>
      </w:r>
      <w:r w:rsidR="002F022C" w:rsidRPr="00B0381F">
        <w:rPr>
          <w:sz w:val="16"/>
        </w:rPr>
        <w:t>5</w:t>
      </w:r>
      <w:r w:rsidRPr="00B0381F">
        <w:rPr>
          <w:sz w:val="16"/>
        </w:rPr>
        <w:t>% in 2022-23.</w:t>
      </w:r>
    </w:p>
    <w:p w14:paraId="7E7CE9AE" w14:textId="29A538D6" w:rsidR="008B0834" w:rsidRPr="00B0381F" w:rsidRDefault="008B0834" w:rsidP="008B0834">
      <w:pPr>
        <w:pStyle w:val="BodyText"/>
        <w:numPr>
          <w:ilvl w:val="0"/>
          <w:numId w:val="9"/>
        </w:numPr>
        <w:spacing w:after="0"/>
        <w:jc w:val="both"/>
        <w:rPr>
          <w:sz w:val="16"/>
        </w:rPr>
      </w:pPr>
      <w:r w:rsidRPr="00B0381F">
        <w:rPr>
          <w:sz w:val="16"/>
        </w:rPr>
        <w:t>Western Australia’s monthly average hours worked per employed person fell 0.</w:t>
      </w:r>
      <w:r w:rsidR="002F022C" w:rsidRPr="00B0381F">
        <w:rPr>
          <w:sz w:val="16"/>
        </w:rPr>
        <w:t>1</w:t>
      </w:r>
      <w:r w:rsidRPr="00B0381F">
        <w:rPr>
          <w:sz w:val="16"/>
        </w:rPr>
        <w:t>% to 13</w:t>
      </w:r>
      <w:r w:rsidR="00181DAE" w:rsidRPr="00B0381F">
        <w:rPr>
          <w:sz w:val="16"/>
        </w:rPr>
        <w:t>8</w:t>
      </w:r>
      <w:r w:rsidRPr="00B0381F">
        <w:rPr>
          <w:sz w:val="16"/>
        </w:rPr>
        <w:t xml:space="preserve">.8 hours in </w:t>
      </w:r>
      <w:r w:rsidR="002F022C" w:rsidRPr="00B0381F">
        <w:rPr>
          <w:sz w:val="16"/>
        </w:rPr>
        <w:t>Novem</w:t>
      </w:r>
      <w:r w:rsidR="00181DAE" w:rsidRPr="00B0381F">
        <w:rPr>
          <w:sz w:val="16"/>
        </w:rPr>
        <w:t>ber</w:t>
      </w:r>
      <w:r w:rsidRPr="00B0381F">
        <w:rPr>
          <w:sz w:val="16"/>
        </w:rPr>
        <w:t> 2023.</w:t>
      </w:r>
    </w:p>
    <w:p w14:paraId="191DBECA" w14:textId="77777777" w:rsidR="008B0834" w:rsidRPr="009B327C" w:rsidRDefault="008B0834" w:rsidP="008B0834">
      <w:pPr>
        <w:pStyle w:val="BodyText"/>
        <w:spacing w:after="0"/>
        <w:ind w:left="284"/>
        <w:jc w:val="both"/>
        <w:rPr>
          <w:color w:val="0070C0"/>
          <w:sz w:val="16"/>
        </w:rPr>
        <w:sectPr w:rsidR="008B0834" w:rsidRPr="009B327C" w:rsidSect="00A929D4">
          <w:type w:val="continuous"/>
          <w:pgSz w:w="11907" w:h="16840" w:code="9"/>
          <w:pgMar w:top="1701" w:right="720" w:bottom="720" w:left="720" w:header="709" w:footer="709" w:gutter="0"/>
          <w:cols w:num="2" w:space="284" w:equalWidth="0">
            <w:col w:w="5659" w:space="272"/>
            <w:col w:w="4536"/>
          </w:cols>
          <w:docGrid w:linePitch="360"/>
        </w:sectPr>
      </w:pPr>
    </w:p>
    <w:p w14:paraId="252CF844" w14:textId="46F9FE04" w:rsidR="008B0834" w:rsidRDefault="008B0834" w:rsidP="008B0834">
      <w:pPr>
        <w:pStyle w:val="BodyText"/>
        <w:spacing w:after="0"/>
        <w:rPr>
          <w:b/>
          <w:color w:val="92278F" w:themeColor="accent1"/>
          <w:sz w:val="20"/>
          <w:vertAlign w:val="superscript"/>
        </w:rPr>
      </w:pPr>
      <w:r w:rsidRPr="00020369">
        <w:rPr>
          <w:b/>
          <w:color w:val="92278F" w:themeColor="accent1"/>
          <w:sz w:val="20"/>
        </w:rPr>
        <w:t>Western Australia’s participation rate</w:t>
      </w:r>
      <w:r w:rsidRPr="00020369">
        <w:rPr>
          <w:b/>
          <w:color w:val="92278F" w:themeColor="accent1"/>
          <w:sz w:val="20"/>
          <w:vertAlign w:val="superscript"/>
        </w:rPr>
        <w:t>1</w:t>
      </w:r>
    </w:p>
    <w:p w14:paraId="7F92B8D7" w14:textId="28F0BE3F" w:rsidR="001F12E0" w:rsidRPr="001F12E0" w:rsidRDefault="00B87FF7" w:rsidP="001F12E0">
      <w:pPr>
        <w:spacing w:after="0"/>
        <w:jc w:val="both"/>
        <w:rPr>
          <w:sz w:val="16"/>
          <w:szCs w:val="16"/>
        </w:rPr>
      </w:pPr>
      <w:r>
        <w:rPr>
          <w:noProof/>
          <w:sz w:val="16"/>
          <w:szCs w:val="16"/>
        </w:rPr>
        <w:drawing>
          <wp:inline distT="0" distB="0" distL="0" distR="0" wp14:anchorId="07C0CE90" wp14:editId="0C75E530">
            <wp:extent cx="3528000" cy="210340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493D1AF9" w14:textId="3C0FA764" w:rsidR="008B0834" w:rsidRPr="0065045F" w:rsidRDefault="008B0834" w:rsidP="008B0834">
      <w:pPr>
        <w:pStyle w:val="BodyText"/>
        <w:spacing w:after="0"/>
        <w:jc w:val="both"/>
        <w:rPr>
          <w:sz w:val="10"/>
        </w:rPr>
      </w:pPr>
      <w:r w:rsidRPr="000C0C45">
        <w:rPr>
          <w:sz w:val="10"/>
        </w:rPr>
        <w:t xml:space="preserve">Note – Axis </w:t>
      </w:r>
      <w:r w:rsidRPr="0065045F">
        <w:rPr>
          <w:sz w:val="10"/>
        </w:rPr>
        <w:t xml:space="preserve">does not start at zero. </w:t>
      </w:r>
      <w:r w:rsidRPr="0065045F">
        <w:rPr>
          <w:sz w:val="10"/>
          <w:vertAlign w:val="superscript"/>
        </w:rPr>
        <w:t xml:space="preserve">1 </w:t>
      </w:r>
      <w:r w:rsidRPr="0065045F">
        <w:rPr>
          <w:sz w:val="10"/>
        </w:rPr>
        <w:t>Seasonally adjusted series.</w:t>
      </w:r>
    </w:p>
    <w:p w14:paraId="4840AD3B" w14:textId="77777777" w:rsidR="008B0834" w:rsidRPr="000C0C45" w:rsidRDefault="008B0834" w:rsidP="008B0834">
      <w:pPr>
        <w:pStyle w:val="BodyText"/>
        <w:spacing w:after="0"/>
        <w:jc w:val="both"/>
        <w:rPr>
          <w:sz w:val="10"/>
        </w:rPr>
      </w:pPr>
      <w:r w:rsidRPr="0065045F">
        <w:rPr>
          <w:sz w:val="10"/>
        </w:rPr>
        <w:t xml:space="preserve">Source: Based on data from ABS </w:t>
      </w:r>
      <w:r w:rsidRPr="000C0C45">
        <w:rPr>
          <w:sz w:val="10"/>
        </w:rPr>
        <w:t>6202.0 Labour Force, Australia (Monthly).</w:t>
      </w:r>
    </w:p>
    <w:p w14:paraId="7442840D" w14:textId="77777777" w:rsidR="008B0834" w:rsidRDefault="008B0834" w:rsidP="008B0834">
      <w:pPr>
        <w:spacing w:after="0"/>
        <w:jc w:val="both"/>
        <w:rPr>
          <w:sz w:val="16"/>
        </w:rPr>
      </w:pPr>
    </w:p>
    <w:p w14:paraId="36D0DBD6" w14:textId="77777777" w:rsidR="008B0834" w:rsidRDefault="008B0834" w:rsidP="008B0834">
      <w:pPr>
        <w:spacing w:after="0"/>
        <w:jc w:val="both"/>
        <w:rPr>
          <w:sz w:val="16"/>
        </w:rPr>
      </w:pPr>
    </w:p>
    <w:p w14:paraId="058E76FD" w14:textId="0D467D15" w:rsidR="008B0834" w:rsidRPr="006E6B8E" w:rsidRDefault="008B0834" w:rsidP="008B0834">
      <w:pPr>
        <w:pStyle w:val="BodyText"/>
        <w:spacing w:after="0"/>
        <w:jc w:val="both"/>
        <w:rPr>
          <w:sz w:val="16"/>
        </w:rPr>
      </w:pPr>
      <w:r>
        <w:rPr>
          <w:sz w:val="16"/>
        </w:rPr>
        <w:br w:type="column"/>
      </w:r>
      <w:r w:rsidR="00E24236">
        <w:rPr>
          <w:sz w:val="16"/>
        </w:rPr>
        <w:t xml:space="preserve"> </w:t>
      </w:r>
    </w:p>
    <w:p w14:paraId="45777E02" w14:textId="0780CF63" w:rsidR="008B0834" w:rsidRPr="00B0381F" w:rsidRDefault="008B0834" w:rsidP="008B0834">
      <w:pPr>
        <w:pStyle w:val="BodyText"/>
        <w:numPr>
          <w:ilvl w:val="0"/>
          <w:numId w:val="9"/>
        </w:numPr>
        <w:spacing w:after="0"/>
        <w:jc w:val="both"/>
        <w:rPr>
          <w:sz w:val="16"/>
        </w:rPr>
      </w:pPr>
      <w:r w:rsidRPr="00B0381F">
        <w:rPr>
          <w:sz w:val="16"/>
        </w:rPr>
        <w:t xml:space="preserve">Western Australia’s participation rate </w:t>
      </w:r>
      <w:r w:rsidR="00EA2ECE" w:rsidRPr="00B0381F">
        <w:rPr>
          <w:sz w:val="16"/>
        </w:rPr>
        <w:t>rose</w:t>
      </w:r>
      <w:r w:rsidRPr="00B0381F">
        <w:rPr>
          <w:sz w:val="16"/>
        </w:rPr>
        <w:t xml:space="preserve"> to 6</w:t>
      </w:r>
      <w:r w:rsidR="00EA2ECE" w:rsidRPr="00B0381F">
        <w:rPr>
          <w:sz w:val="16"/>
        </w:rPr>
        <w:t>9.</w:t>
      </w:r>
      <w:r w:rsidR="00917072" w:rsidRPr="00B0381F">
        <w:rPr>
          <w:sz w:val="16"/>
        </w:rPr>
        <w:t>7</w:t>
      </w:r>
      <w:r w:rsidRPr="00B0381F">
        <w:rPr>
          <w:sz w:val="16"/>
        </w:rPr>
        <w:t xml:space="preserve">% in </w:t>
      </w:r>
      <w:r w:rsidR="00917072" w:rsidRPr="00B0381F">
        <w:rPr>
          <w:sz w:val="16"/>
        </w:rPr>
        <w:t>Novem</w:t>
      </w:r>
      <w:r w:rsidR="00EA2ECE" w:rsidRPr="00B0381F">
        <w:rPr>
          <w:sz w:val="16"/>
        </w:rPr>
        <w:t>ber</w:t>
      </w:r>
      <w:r w:rsidRPr="00B0381F">
        <w:rPr>
          <w:sz w:val="16"/>
        </w:rPr>
        <w:t> 2023, from 6</w:t>
      </w:r>
      <w:r w:rsidR="00917072" w:rsidRPr="00B0381F">
        <w:rPr>
          <w:sz w:val="16"/>
        </w:rPr>
        <w:t>9.5</w:t>
      </w:r>
      <w:r w:rsidRPr="00B0381F">
        <w:rPr>
          <w:sz w:val="16"/>
        </w:rPr>
        <w:t xml:space="preserve">% in </w:t>
      </w:r>
      <w:r w:rsidR="00917072" w:rsidRPr="00B0381F">
        <w:rPr>
          <w:sz w:val="16"/>
        </w:rPr>
        <w:t>Octo</w:t>
      </w:r>
      <w:r w:rsidR="00EA2ECE" w:rsidRPr="00B0381F">
        <w:rPr>
          <w:sz w:val="16"/>
        </w:rPr>
        <w:t>ber</w:t>
      </w:r>
      <w:r w:rsidRPr="00B0381F">
        <w:rPr>
          <w:sz w:val="16"/>
        </w:rPr>
        <w:t> 2023.</w:t>
      </w:r>
    </w:p>
    <w:p w14:paraId="1429F21D" w14:textId="60976EF0" w:rsidR="008B0834" w:rsidRPr="00B0381F" w:rsidRDefault="008B0834" w:rsidP="008B0834">
      <w:pPr>
        <w:pStyle w:val="BodyText"/>
        <w:numPr>
          <w:ilvl w:val="0"/>
          <w:numId w:val="9"/>
        </w:numPr>
        <w:spacing w:after="0"/>
        <w:jc w:val="both"/>
        <w:rPr>
          <w:sz w:val="16"/>
        </w:rPr>
      </w:pPr>
      <w:r w:rsidRPr="00B0381F">
        <w:rPr>
          <w:sz w:val="16"/>
        </w:rPr>
        <w:t xml:space="preserve">Australia’s participation rate </w:t>
      </w:r>
      <w:r w:rsidR="00B9635A" w:rsidRPr="00B0381F">
        <w:rPr>
          <w:sz w:val="16"/>
        </w:rPr>
        <w:t>rose</w:t>
      </w:r>
      <w:r w:rsidRPr="00B0381F">
        <w:rPr>
          <w:sz w:val="16"/>
        </w:rPr>
        <w:t xml:space="preserve"> to 67</w:t>
      </w:r>
      <w:r w:rsidR="00B9635A" w:rsidRPr="00B0381F">
        <w:rPr>
          <w:sz w:val="16"/>
        </w:rPr>
        <w:t>.</w:t>
      </w:r>
      <w:r w:rsidR="00917072" w:rsidRPr="00B0381F">
        <w:rPr>
          <w:sz w:val="16"/>
        </w:rPr>
        <w:t>2</w:t>
      </w:r>
      <w:r w:rsidRPr="00B0381F">
        <w:rPr>
          <w:sz w:val="16"/>
        </w:rPr>
        <w:t xml:space="preserve">% in </w:t>
      </w:r>
      <w:r w:rsidR="00917072" w:rsidRPr="00B0381F">
        <w:rPr>
          <w:sz w:val="16"/>
        </w:rPr>
        <w:t>Novem</w:t>
      </w:r>
      <w:r w:rsidR="00B9635A" w:rsidRPr="00B0381F">
        <w:rPr>
          <w:sz w:val="16"/>
        </w:rPr>
        <w:t>ber</w:t>
      </w:r>
      <w:r w:rsidRPr="00B0381F">
        <w:rPr>
          <w:sz w:val="16"/>
        </w:rPr>
        <w:t> 2023, from 6</w:t>
      </w:r>
      <w:r w:rsidR="00917072" w:rsidRPr="00B0381F">
        <w:rPr>
          <w:sz w:val="16"/>
        </w:rPr>
        <w:t>7.0</w:t>
      </w:r>
      <w:r w:rsidRPr="00B0381F">
        <w:rPr>
          <w:sz w:val="16"/>
        </w:rPr>
        <w:t xml:space="preserve">% in </w:t>
      </w:r>
      <w:r w:rsidR="00917072" w:rsidRPr="00B0381F">
        <w:rPr>
          <w:sz w:val="16"/>
        </w:rPr>
        <w:t>Octo</w:t>
      </w:r>
      <w:r w:rsidR="00B9635A" w:rsidRPr="00B0381F">
        <w:rPr>
          <w:sz w:val="16"/>
        </w:rPr>
        <w:t>ber</w:t>
      </w:r>
      <w:r w:rsidRPr="00B0381F">
        <w:rPr>
          <w:sz w:val="16"/>
        </w:rPr>
        <w:t> 2023.</w:t>
      </w:r>
    </w:p>
    <w:p w14:paraId="2839FEC7" w14:textId="597B9FF3" w:rsidR="008B0834" w:rsidRPr="00B0381F" w:rsidRDefault="008B0834" w:rsidP="008B0834">
      <w:pPr>
        <w:pStyle w:val="BodyText"/>
        <w:numPr>
          <w:ilvl w:val="0"/>
          <w:numId w:val="9"/>
        </w:numPr>
        <w:spacing w:after="0"/>
        <w:jc w:val="both"/>
        <w:rPr>
          <w:sz w:val="16"/>
        </w:rPr>
      </w:pPr>
      <w:r w:rsidRPr="00B0381F">
        <w:rPr>
          <w:sz w:val="16"/>
        </w:rPr>
        <w:t xml:space="preserve">Western Australia’s participation rate averaged 69.2% in 2022-23 and the WA Government </w:t>
      </w:r>
      <w:r w:rsidR="00BB272E" w:rsidRPr="00B0381F">
        <w:rPr>
          <w:sz w:val="16"/>
        </w:rPr>
        <w:t>Mid-year Financial Projections Statement</w:t>
      </w:r>
      <w:r w:rsidR="00BB272E" w:rsidRPr="00B0381F" w:rsidDel="00BB272E">
        <w:rPr>
          <w:sz w:val="16"/>
        </w:rPr>
        <w:t xml:space="preserve"> </w:t>
      </w:r>
      <w:r w:rsidRPr="00B0381F">
        <w:rPr>
          <w:sz w:val="16"/>
        </w:rPr>
        <w:t>2023-24 forecasts Western Australia’s participation rate will average 68.</w:t>
      </w:r>
      <w:r w:rsidR="00BB272E" w:rsidRPr="00B0381F">
        <w:rPr>
          <w:sz w:val="16"/>
        </w:rPr>
        <w:t>9</w:t>
      </w:r>
      <w:r w:rsidRPr="00B0381F">
        <w:rPr>
          <w:sz w:val="16"/>
        </w:rPr>
        <w:t>% in 2023</w:t>
      </w:r>
      <w:r w:rsidRPr="00B0381F">
        <w:rPr>
          <w:sz w:val="16"/>
        </w:rPr>
        <w:noBreakHyphen/>
        <w:t>24 and 68.</w:t>
      </w:r>
      <w:r w:rsidR="00BB272E" w:rsidRPr="00B0381F">
        <w:rPr>
          <w:sz w:val="16"/>
        </w:rPr>
        <w:t>8</w:t>
      </w:r>
      <w:r w:rsidRPr="00B0381F">
        <w:rPr>
          <w:sz w:val="16"/>
        </w:rPr>
        <w:t>% in 2024</w:t>
      </w:r>
      <w:r w:rsidRPr="00B0381F">
        <w:rPr>
          <w:sz w:val="16"/>
        </w:rPr>
        <w:noBreakHyphen/>
        <w:t>25.</w:t>
      </w:r>
    </w:p>
    <w:p w14:paraId="53EFF3A1" w14:textId="77777777" w:rsidR="008B0834" w:rsidRPr="00356C21" w:rsidRDefault="008B0834" w:rsidP="008B0834">
      <w:pPr>
        <w:pStyle w:val="BodyText"/>
        <w:spacing w:after="0"/>
        <w:ind w:left="284"/>
        <w:jc w:val="both"/>
        <w:rPr>
          <w:color w:val="FF0000"/>
          <w:sz w:val="16"/>
        </w:rPr>
        <w:sectPr w:rsidR="008B0834" w:rsidRPr="00356C21" w:rsidSect="00F7498D">
          <w:type w:val="continuous"/>
          <w:pgSz w:w="11907" w:h="16840" w:code="9"/>
          <w:pgMar w:top="1701" w:right="720" w:bottom="720" w:left="720" w:header="709" w:footer="709" w:gutter="0"/>
          <w:cols w:num="2" w:space="284" w:equalWidth="0">
            <w:col w:w="5647" w:space="284"/>
            <w:col w:w="4536"/>
          </w:cols>
          <w:docGrid w:linePitch="360"/>
        </w:sectPr>
      </w:pPr>
    </w:p>
    <w:p w14:paraId="37625170" w14:textId="77777777" w:rsidR="008B0834" w:rsidRDefault="008B0834" w:rsidP="008B0834">
      <w:pPr>
        <w:pStyle w:val="BodyText"/>
        <w:spacing w:after="0"/>
        <w:rPr>
          <w:b/>
          <w:color w:val="92278F" w:themeColor="accent1"/>
          <w:sz w:val="20"/>
        </w:rPr>
      </w:pPr>
      <w:r w:rsidRPr="00020369">
        <w:rPr>
          <w:b/>
          <w:color w:val="92278F" w:themeColor="accent1"/>
          <w:sz w:val="20"/>
        </w:rPr>
        <w:t>Western Australia’s unemployment rate</w:t>
      </w:r>
      <w:r w:rsidRPr="00020369">
        <w:rPr>
          <w:b/>
          <w:color w:val="92278F" w:themeColor="accent1"/>
          <w:sz w:val="20"/>
          <w:vertAlign w:val="superscript"/>
        </w:rPr>
        <w:t>1</w:t>
      </w:r>
    </w:p>
    <w:p w14:paraId="51DB0962" w14:textId="72D6E3D5" w:rsidR="008B0834" w:rsidRPr="009B5AB5" w:rsidRDefault="00B87FF7" w:rsidP="008B0834">
      <w:pPr>
        <w:pStyle w:val="BodyText"/>
        <w:spacing w:after="0"/>
        <w:rPr>
          <w:sz w:val="16"/>
        </w:rPr>
      </w:pPr>
      <w:r>
        <w:rPr>
          <w:noProof/>
          <w:sz w:val="16"/>
        </w:rPr>
        <w:drawing>
          <wp:inline distT="0" distB="0" distL="0" distR="0" wp14:anchorId="2C06FE47" wp14:editId="1AC5893C">
            <wp:extent cx="3528000" cy="2106559"/>
            <wp:effectExtent l="0" t="0" r="0"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28000" cy="2106559"/>
                    </a:xfrm>
                    <a:prstGeom prst="rect">
                      <a:avLst/>
                    </a:prstGeom>
                    <a:noFill/>
                    <a:ln>
                      <a:noFill/>
                    </a:ln>
                  </pic:spPr>
                </pic:pic>
              </a:graphicData>
            </a:graphic>
          </wp:inline>
        </w:drawing>
      </w:r>
    </w:p>
    <w:p w14:paraId="5B03CA51" w14:textId="77777777" w:rsidR="008B0834" w:rsidRPr="00ED55E2" w:rsidRDefault="008B0834" w:rsidP="008B0834">
      <w:pPr>
        <w:spacing w:after="0"/>
        <w:jc w:val="both"/>
        <w:rPr>
          <w:sz w:val="10"/>
        </w:rPr>
      </w:pPr>
      <w:r w:rsidRPr="00ED55E2">
        <w:rPr>
          <w:sz w:val="10"/>
          <w:vertAlign w:val="superscript"/>
        </w:rPr>
        <w:t xml:space="preserve">1 </w:t>
      </w:r>
      <w:r>
        <w:rPr>
          <w:sz w:val="10"/>
        </w:rPr>
        <w:t>Seasonally adjusted series</w:t>
      </w:r>
      <w:r w:rsidRPr="00ED55E2">
        <w:rPr>
          <w:sz w:val="10"/>
        </w:rPr>
        <w:t>.</w:t>
      </w:r>
    </w:p>
    <w:p w14:paraId="3B757DD6" w14:textId="77777777" w:rsidR="008B0834" w:rsidRPr="00716C34" w:rsidRDefault="008B0834" w:rsidP="008B0834">
      <w:pPr>
        <w:spacing w:after="0"/>
        <w:jc w:val="both"/>
        <w:rPr>
          <w:sz w:val="10"/>
        </w:rPr>
      </w:pPr>
      <w:r w:rsidRPr="00ED55E2">
        <w:rPr>
          <w:sz w:val="10"/>
        </w:rPr>
        <w:t xml:space="preserve">Source: </w:t>
      </w:r>
      <w:r w:rsidRPr="0065045F">
        <w:rPr>
          <w:sz w:val="10"/>
        </w:rPr>
        <w:t xml:space="preserve">Based on data from ABS </w:t>
      </w:r>
      <w:r w:rsidRPr="00ED55E2">
        <w:rPr>
          <w:sz w:val="10"/>
        </w:rPr>
        <w:t>6202.0 Labour Force, Australia (Monthly</w:t>
      </w:r>
      <w:r>
        <w:rPr>
          <w:sz w:val="10"/>
        </w:rPr>
        <w:t>)</w:t>
      </w:r>
      <w:r w:rsidRPr="00716C34">
        <w:rPr>
          <w:sz w:val="10"/>
        </w:rPr>
        <w:t>.</w:t>
      </w:r>
    </w:p>
    <w:p w14:paraId="2569509D" w14:textId="77777777" w:rsidR="008B0834" w:rsidRDefault="008B0834" w:rsidP="008B0834">
      <w:pPr>
        <w:spacing w:after="0"/>
        <w:jc w:val="both"/>
        <w:rPr>
          <w:sz w:val="16"/>
        </w:rPr>
      </w:pPr>
    </w:p>
    <w:p w14:paraId="544650A7" w14:textId="77777777" w:rsidR="008B0834" w:rsidRPr="008809A4" w:rsidRDefault="008B0834" w:rsidP="008B0834">
      <w:pPr>
        <w:pStyle w:val="BodyText"/>
        <w:spacing w:after="0"/>
        <w:jc w:val="both"/>
        <w:rPr>
          <w:sz w:val="16"/>
        </w:rPr>
      </w:pPr>
      <w:r w:rsidRPr="009828DE">
        <w:rPr>
          <w:sz w:val="16"/>
        </w:rPr>
        <w:br w:type="column"/>
      </w:r>
    </w:p>
    <w:p w14:paraId="28910AA9" w14:textId="4A03D962" w:rsidR="008B0834" w:rsidRPr="00B0381F" w:rsidRDefault="008B0834" w:rsidP="008B0834">
      <w:pPr>
        <w:pStyle w:val="BodyText"/>
        <w:numPr>
          <w:ilvl w:val="0"/>
          <w:numId w:val="9"/>
        </w:numPr>
        <w:spacing w:after="0"/>
        <w:jc w:val="both"/>
        <w:rPr>
          <w:sz w:val="16"/>
        </w:rPr>
      </w:pPr>
      <w:r w:rsidRPr="00B0381F">
        <w:rPr>
          <w:sz w:val="16"/>
        </w:rPr>
        <w:t xml:space="preserve">Western Australia’s unemployment rate </w:t>
      </w:r>
      <w:r w:rsidR="000241DF" w:rsidRPr="00B0381F">
        <w:rPr>
          <w:sz w:val="16"/>
        </w:rPr>
        <w:t>fell</w:t>
      </w:r>
      <w:r w:rsidRPr="00B0381F">
        <w:rPr>
          <w:sz w:val="16"/>
        </w:rPr>
        <w:t xml:space="preserve"> to 3.</w:t>
      </w:r>
      <w:r w:rsidR="000241DF" w:rsidRPr="00B0381F">
        <w:rPr>
          <w:sz w:val="16"/>
        </w:rPr>
        <w:t>7</w:t>
      </w:r>
      <w:r w:rsidRPr="00B0381F">
        <w:rPr>
          <w:sz w:val="16"/>
        </w:rPr>
        <w:t xml:space="preserve">% in </w:t>
      </w:r>
      <w:r w:rsidR="000241DF" w:rsidRPr="00B0381F">
        <w:rPr>
          <w:sz w:val="16"/>
        </w:rPr>
        <w:t>Novem</w:t>
      </w:r>
      <w:r w:rsidR="004B7F3C" w:rsidRPr="00B0381F">
        <w:rPr>
          <w:sz w:val="16"/>
        </w:rPr>
        <w:t>ber</w:t>
      </w:r>
      <w:r w:rsidRPr="00B0381F">
        <w:rPr>
          <w:sz w:val="16"/>
        </w:rPr>
        <w:t> 2023, from 3.</w:t>
      </w:r>
      <w:r w:rsidR="000241DF" w:rsidRPr="00B0381F">
        <w:rPr>
          <w:sz w:val="16"/>
        </w:rPr>
        <w:t>8</w:t>
      </w:r>
      <w:r w:rsidRPr="00B0381F">
        <w:rPr>
          <w:sz w:val="16"/>
        </w:rPr>
        <w:t xml:space="preserve">% in </w:t>
      </w:r>
      <w:r w:rsidR="000241DF" w:rsidRPr="00B0381F">
        <w:rPr>
          <w:sz w:val="16"/>
        </w:rPr>
        <w:t>Octo</w:t>
      </w:r>
      <w:r w:rsidR="004B7F3C" w:rsidRPr="00B0381F">
        <w:rPr>
          <w:sz w:val="16"/>
        </w:rPr>
        <w:t>ber</w:t>
      </w:r>
      <w:r w:rsidRPr="00B0381F">
        <w:rPr>
          <w:sz w:val="16"/>
        </w:rPr>
        <w:t> 2023.</w:t>
      </w:r>
    </w:p>
    <w:p w14:paraId="5F52AFC3" w14:textId="03F4BB3B" w:rsidR="008B0834" w:rsidRPr="00B0381F" w:rsidRDefault="008B0834" w:rsidP="008B0834">
      <w:pPr>
        <w:pStyle w:val="BodyText"/>
        <w:numPr>
          <w:ilvl w:val="0"/>
          <w:numId w:val="9"/>
        </w:numPr>
        <w:spacing w:after="0"/>
        <w:jc w:val="both"/>
        <w:rPr>
          <w:sz w:val="16"/>
        </w:rPr>
      </w:pPr>
      <w:r w:rsidRPr="00B0381F">
        <w:rPr>
          <w:sz w:val="16"/>
        </w:rPr>
        <w:t xml:space="preserve">Australia’s unemployment rate </w:t>
      </w:r>
      <w:r w:rsidR="009F580D" w:rsidRPr="00B0381F">
        <w:rPr>
          <w:sz w:val="16"/>
        </w:rPr>
        <w:t>rose</w:t>
      </w:r>
      <w:r w:rsidRPr="00B0381F">
        <w:rPr>
          <w:sz w:val="16"/>
        </w:rPr>
        <w:t xml:space="preserve"> to 3.</w:t>
      </w:r>
      <w:r w:rsidR="000241DF" w:rsidRPr="00B0381F">
        <w:rPr>
          <w:sz w:val="16"/>
        </w:rPr>
        <w:t>9</w:t>
      </w:r>
      <w:r w:rsidRPr="00B0381F">
        <w:rPr>
          <w:sz w:val="16"/>
        </w:rPr>
        <w:t xml:space="preserve">% in </w:t>
      </w:r>
      <w:r w:rsidR="000241DF" w:rsidRPr="00B0381F">
        <w:rPr>
          <w:sz w:val="16"/>
        </w:rPr>
        <w:t>Novem</w:t>
      </w:r>
      <w:r w:rsidR="009F580D" w:rsidRPr="00B0381F">
        <w:rPr>
          <w:sz w:val="16"/>
        </w:rPr>
        <w:t>ber</w:t>
      </w:r>
      <w:r w:rsidR="001F12E0" w:rsidRPr="00B0381F">
        <w:rPr>
          <w:sz w:val="16"/>
        </w:rPr>
        <w:t> </w:t>
      </w:r>
      <w:r w:rsidRPr="00B0381F">
        <w:rPr>
          <w:sz w:val="16"/>
        </w:rPr>
        <w:t>2023, from 3.</w:t>
      </w:r>
      <w:r w:rsidR="000241DF" w:rsidRPr="00B0381F">
        <w:rPr>
          <w:sz w:val="16"/>
        </w:rPr>
        <w:t>8</w:t>
      </w:r>
      <w:r w:rsidRPr="00B0381F">
        <w:rPr>
          <w:sz w:val="16"/>
        </w:rPr>
        <w:t xml:space="preserve">% in </w:t>
      </w:r>
      <w:r w:rsidR="000241DF" w:rsidRPr="00B0381F">
        <w:rPr>
          <w:sz w:val="16"/>
        </w:rPr>
        <w:t>Octo</w:t>
      </w:r>
      <w:r w:rsidR="009F580D" w:rsidRPr="00B0381F">
        <w:rPr>
          <w:sz w:val="16"/>
        </w:rPr>
        <w:t>ber</w:t>
      </w:r>
      <w:r w:rsidRPr="00B0381F">
        <w:rPr>
          <w:sz w:val="16"/>
        </w:rPr>
        <w:t xml:space="preserve"> 2023.</w:t>
      </w:r>
    </w:p>
    <w:p w14:paraId="022DB8CA" w14:textId="70EB924E" w:rsidR="008B0834" w:rsidRPr="00B0381F" w:rsidRDefault="008B0834" w:rsidP="008B0834">
      <w:pPr>
        <w:pStyle w:val="BodyText"/>
        <w:numPr>
          <w:ilvl w:val="0"/>
          <w:numId w:val="9"/>
        </w:numPr>
        <w:spacing w:after="0"/>
        <w:jc w:val="both"/>
        <w:rPr>
          <w:sz w:val="16"/>
        </w:rPr>
      </w:pPr>
      <w:r w:rsidRPr="00B0381F">
        <w:rPr>
          <w:sz w:val="16"/>
        </w:rPr>
        <w:t xml:space="preserve">The number of unemployed persons in Western Australia </w:t>
      </w:r>
      <w:r w:rsidR="000241DF" w:rsidRPr="00B0381F">
        <w:rPr>
          <w:sz w:val="16"/>
        </w:rPr>
        <w:t>fell 2.0</w:t>
      </w:r>
      <w:r w:rsidRPr="00B0381F">
        <w:rPr>
          <w:sz w:val="16"/>
        </w:rPr>
        <w:t>% (</w:t>
      </w:r>
      <w:r w:rsidR="000241DF" w:rsidRPr="00B0381F">
        <w:rPr>
          <w:sz w:val="16"/>
        </w:rPr>
        <w:t>1,224</w:t>
      </w:r>
      <w:r w:rsidRPr="00B0381F">
        <w:rPr>
          <w:sz w:val="16"/>
        </w:rPr>
        <w:t xml:space="preserve">) to </w:t>
      </w:r>
      <w:r w:rsidR="007308BB" w:rsidRPr="00B0381F">
        <w:rPr>
          <w:sz w:val="16"/>
        </w:rPr>
        <w:t>6</w:t>
      </w:r>
      <w:r w:rsidR="000241DF" w:rsidRPr="00B0381F">
        <w:rPr>
          <w:sz w:val="16"/>
        </w:rPr>
        <w:t>0,873</w:t>
      </w:r>
      <w:r w:rsidRPr="00B0381F">
        <w:rPr>
          <w:sz w:val="16"/>
        </w:rPr>
        <w:t xml:space="preserve"> in </w:t>
      </w:r>
      <w:r w:rsidR="000241DF" w:rsidRPr="00B0381F">
        <w:rPr>
          <w:sz w:val="16"/>
        </w:rPr>
        <w:t>Novem</w:t>
      </w:r>
      <w:r w:rsidR="007308BB" w:rsidRPr="00B0381F">
        <w:rPr>
          <w:sz w:val="16"/>
        </w:rPr>
        <w:t>ber</w:t>
      </w:r>
      <w:r w:rsidRPr="00B0381F">
        <w:rPr>
          <w:sz w:val="16"/>
        </w:rPr>
        <w:t> 2023.</w:t>
      </w:r>
    </w:p>
    <w:p w14:paraId="2F16D4E8" w14:textId="5A4F03A5" w:rsidR="008B0834" w:rsidRPr="00B0381F" w:rsidRDefault="008B0834" w:rsidP="008B0834">
      <w:pPr>
        <w:pStyle w:val="BodyText"/>
        <w:numPr>
          <w:ilvl w:val="0"/>
          <w:numId w:val="9"/>
        </w:numPr>
        <w:spacing w:after="0"/>
        <w:jc w:val="both"/>
        <w:rPr>
          <w:sz w:val="16"/>
        </w:rPr>
      </w:pPr>
      <w:r w:rsidRPr="00B0381F">
        <w:rPr>
          <w:sz w:val="16"/>
        </w:rPr>
        <w:t xml:space="preserve">Western Australia’s unemployment rate averaged 3.5% in 2022-23 and the WA Government </w:t>
      </w:r>
      <w:r w:rsidR="00BB272E" w:rsidRPr="00B0381F">
        <w:rPr>
          <w:sz w:val="16"/>
        </w:rPr>
        <w:t>Mid-year Financial Projections Statement</w:t>
      </w:r>
      <w:r w:rsidR="00BB272E" w:rsidRPr="00B0381F" w:rsidDel="00BB272E">
        <w:rPr>
          <w:sz w:val="16"/>
        </w:rPr>
        <w:t xml:space="preserve"> </w:t>
      </w:r>
      <w:r w:rsidRPr="00B0381F">
        <w:rPr>
          <w:sz w:val="16"/>
        </w:rPr>
        <w:t xml:space="preserve">2023-24 forecasts Western Australia’s unemployment rate will average </w:t>
      </w:r>
      <w:r w:rsidR="00BB272E" w:rsidRPr="00B0381F">
        <w:rPr>
          <w:sz w:val="16"/>
        </w:rPr>
        <w:t>3.75</w:t>
      </w:r>
      <w:r w:rsidRPr="00B0381F">
        <w:rPr>
          <w:sz w:val="16"/>
        </w:rPr>
        <w:t>% in 2023</w:t>
      </w:r>
      <w:r w:rsidRPr="00B0381F">
        <w:rPr>
          <w:sz w:val="16"/>
        </w:rPr>
        <w:noBreakHyphen/>
        <w:t>24 and 4.</w:t>
      </w:r>
      <w:r w:rsidR="00BB272E" w:rsidRPr="00B0381F">
        <w:rPr>
          <w:sz w:val="16"/>
        </w:rPr>
        <w:t>0</w:t>
      </w:r>
      <w:r w:rsidRPr="00B0381F">
        <w:rPr>
          <w:sz w:val="16"/>
        </w:rPr>
        <w:t>% in 2024-25.</w:t>
      </w:r>
    </w:p>
    <w:p w14:paraId="19F2929D" w14:textId="77777777" w:rsidR="008B0834" w:rsidRDefault="008B0834" w:rsidP="008B0834">
      <w:pPr>
        <w:jc w:val="both"/>
        <w:rPr>
          <w:sz w:val="16"/>
        </w:rPr>
      </w:pPr>
      <w:r>
        <w:rPr>
          <w:sz w:val="16"/>
        </w:rPr>
        <w:br w:type="page"/>
      </w:r>
    </w:p>
    <w:p w14:paraId="09EF62B6" w14:textId="77777777" w:rsidR="008B0834" w:rsidRPr="00DD5DF4" w:rsidRDefault="008B0834" w:rsidP="008B0834">
      <w:pPr>
        <w:pStyle w:val="BodyText"/>
        <w:spacing w:after="0"/>
        <w:rPr>
          <w:b/>
          <w:color w:val="002060"/>
          <w:sz w:val="22"/>
        </w:rPr>
      </w:pPr>
      <w:bookmarkStart w:id="1" w:name="_UNITED_KINGDOM"/>
      <w:bookmarkEnd w:id="1"/>
      <w:r w:rsidRPr="00DD5DF4">
        <w:rPr>
          <w:b/>
          <w:color w:val="002060"/>
          <w:sz w:val="22"/>
        </w:rPr>
        <w:lastRenderedPageBreak/>
        <w:t>Labour market</w:t>
      </w:r>
    </w:p>
    <w:p w14:paraId="3FAA9325"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underemployment rate</w:t>
      </w:r>
      <w:r w:rsidRPr="00020369">
        <w:rPr>
          <w:b/>
          <w:color w:val="92278F" w:themeColor="accent1"/>
          <w:sz w:val="20"/>
          <w:vertAlign w:val="superscript"/>
        </w:rPr>
        <w:t>1</w:t>
      </w:r>
    </w:p>
    <w:p w14:paraId="0DDBC0AC" w14:textId="461A7019" w:rsidR="008B0834" w:rsidRDefault="00B87FF7" w:rsidP="008B0834">
      <w:pPr>
        <w:spacing w:after="0"/>
        <w:jc w:val="both"/>
        <w:rPr>
          <w:sz w:val="16"/>
        </w:rPr>
      </w:pPr>
      <w:r>
        <w:rPr>
          <w:noProof/>
          <w:sz w:val="16"/>
        </w:rPr>
        <w:drawing>
          <wp:inline distT="0" distB="0" distL="0" distR="0" wp14:anchorId="4D1CD1C4" wp14:editId="0469A33C">
            <wp:extent cx="3528000" cy="210340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427B2BE0" w14:textId="77777777" w:rsidR="008B0834" w:rsidRPr="002F15F9" w:rsidRDefault="008B0834" w:rsidP="008B0834">
      <w:pPr>
        <w:pStyle w:val="BodyText"/>
        <w:spacing w:after="0"/>
        <w:jc w:val="both"/>
        <w:rPr>
          <w:sz w:val="10"/>
        </w:rPr>
      </w:pPr>
      <w:r w:rsidRPr="002F15F9">
        <w:rPr>
          <w:sz w:val="10"/>
          <w:vertAlign w:val="superscript"/>
        </w:rPr>
        <w:t xml:space="preserve">1 </w:t>
      </w:r>
      <w:r>
        <w:rPr>
          <w:sz w:val="10"/>
        </w:rPr>
        <w:t>Seasonally adjusted series.</w:t>
      </w:r>
    </w:p>
    <w:p w14:paraId="0A4EFC5B" w14:textId="77777777" w:rsidR="008B0834" w:rsidRPr="00FE23FA" w:rsidRDefault="008B0834" w:rsidP="008B0834">
      <w:pPr>
        <w:spacing w:after="0"/>
        <w:jc w:val="both"/>
        <w:rPr>
          <w:sz w:val="16"/>
        </w:rPr>
      </w:pPr>
      <w:r w:rsidRPr="002F15F9">
        <w:rPr>
          <w:sz w:val="10"/>
        </w:rPr>
        <w:t>Source:</w:t>
      </w:r>
      <w:r w:rsidRPr="002D4109">
        <w:rPr>
          <w:color w:val="0070C0"/>
          <w:sz w:val="10"/>
        </w:rPr>
        <w:t xml:space="preserve"> </w:t>
      </w:r>
      <w:r w:rsidRPr="0065045F">
        <w:rPr>
          <w:sz w:val="10"/>
        </w:rPr>
        <w:t xml:space="preserve">Based on data from ABS </w:t>
      </w:r>
      <w:r w:rsidRPr="002F15F9">
        <w:rPr>
          <w:sz w:val="10"/>
        </w:rPr>
        <w:t>6202.0 Labour Force, Australia</w:t>
      </w:r>
      <w:r>
        <w:rPr>
          <w:sz w:val="10"/>
        </w:rPr>
        <w:t xml:space="preserve"> (Monthly).</w:t>
      </w:r>
    </w:p>
    <w:p w14:paraId="1333E995" w14:textId="77777777" w:rsidR="008B0834" w:rsidRDefault="008B0834" w:rsidP="008B0834">
      <w:pPr>
        <w:spacing w:after="0"/>
        <w:jc w:val="both"/>
        <w:rPr>
          <w:sz w:val="16"/>
        </w:rPr>
      </w:pPr>
    </w:p>
    <w:p w14:paraId="4994A749" w14:textId="77777777" w:rsidR="008B0834" w:rsidRDefault="008B0834" w:rsidP="008B0834">
      <w:pPr>
        <w:spacing w:after="0"/>
        <w:jc w:val="both"/>
        <w:rPr>
          <w:sz w:val="16"/>
        </w:rPr>
      </w:pPr>
    </w:p>
    <w:p w14:paraId="66E27129" w14:textId="77777777" w:rsidR="008B0834" w:rsidRPr="00D94010" w:rsidRDefault="008B0834" w:rsidP="008B0834">
      <w:pPr>
        <w:spacing w:after="0"/>
        <w:jc w:val="both"/>
        <w:rPr>
          <w:sz w:val="16"/>
        </w:rPr>
      </w:pPr>
      <w:r w:rsidRPr="00D94010">
        <w:rPr>
          <w:sz w:val="16"/>
        </w:rPr>
        <w:br w:type="column"/>
      </w:r>
    </w:p>
    <w:p w14:paraId="181C2357" w14:textId="77777777" w:rsidR="008B0834" w:rsidRPr="00D94010" w:rsidRDefault="008B0834" w:rsidP="008B0834">
      <w:pPr>
        <w:spacing w:after="0"/>
        <w:jc w:val="both"/>
        <w:rPr>
          <w:sz w:val="16"/>
        </w:rPr>
      </w:pPr>
    </w:p>
    <w:p w14:paraId="0A84743C" w14:textId="097D1987" w:rsidR="008B0834" w:rsidRPr="00B0381F" w:rsidRDefault="008B0834" w:rsidP="008B0834">
      <w:pPr>
        <w:pStyle w:val="BodyText"/>
        <w:numPr>
          <w:ilvl w:val="0"/>
          <w:numId w:val="9"/>
        </w:numPr>
        <w:spacing w:after="0"/>
        <w:jc w:val="both"/>
        <w:rPr>
          <w:sz w:val="16"/>
        </w:rPr>
      </w:pPr>
      <w:r w:rsidRPr="00B0381F">
        <w:rPr>
          <w:sz w:val="16"/>
        </w:rPr>
        <w:t xml:space="preserve">Western Australia’s underemployment rate </w:t>
      </w:r>
      <w:r w:rsidR="002727B8" w:rsidRPr="00B0381F">
        <w:rPr>
          <w:sz w:val="16"/>
        </w:rPr>
        <w:t>rose to 5.8%</w:t>
      </w:r>
      <w:r w:rsidRPr="00B0381F">
        <w:rPr>
          <w:sz w:val="16"/>
        </w:rPr>
        <w:t xml:space="preserve"> in </w:t>
      </w:r>
      <w:r w:rsidR="002727B8" w:rsidRPr="00B0381F">
        <w:rPr>
          <w:sz w:val="16"/>
        </w:rPr>
        <w:t>November</w:t>
      </w:r>
      <w:r w:rsidRPr="00B0381F">
        <w:rPr>
          <w:sz w:val="16"/>
        </w:rPr>
        <w:t xml:space="preserve"> 202</w:t>
      </w:r>
      <w:r w:rsidR="00E65850" w:rsidRPr="00B0381F">
        <w:rPr>
          <w:sz w:val="16"/>
        </w:rPr>
        <w:t>3</w:t>
      </w:r>
      <w:r w:rsidR="002727B8" w:rsidRPr="00B0381F">
        <w:rPr>
          <w:sz w:val="16"/>
        </w:rPr>
        <w:t>, from 5.7% in October 2023</w:t>
      </w:r>
      <w:r w:rsidR="00E65850" w:rsidRPr="00B0381F">
        <w:rPr>
          <w:sz w:val="16"/>
        </w:rPr>
        <w:t>.</w:t>
      </w:r>
    </w:p>
    <w:p w14:paraId="166BDB0C" w14:textId="39E687D3" w:rsidR="008B0834" w:rsidRPr="00B0381F" w:rsidRDefault="008B0834" w:rsidP="008B0834">
      <w:pPr>
        <w:pStyle w:val="BodyText"/>
        <w:numPr>
          <w:ilvl w:val="0"/>
          <w:numId w:val="9"/>
        </w:numPr>
        <w:spacing w:after="0"/>
        <w:jc w:val="both"/>
        <w:rPr>
          <w:sz w:val="16"/>
        </w:rPr>
      </w:pPr>
      <w:r w:rsidRPr="00B0381F">
        <w:rPr>
          <w:sz w:val="16"/>
        </w:rPr>
        <w:t xml:space="preserve">The number of underemployed persons in Western Australia </w:t>
      </w:r>
      <w:r w:rsidR="00192BA5" w:rsidRPr="00B0381F">
        <w:rPr>
          <w:sz w:val="16"/>
        </w:rPr>
        <w:t>rose</w:t>
      </w:r>
      <w:r w:rsidRPr="00B0381F">
        <w:rPr>
          <w:sz w:val="16"/>
        </w:rPr>
        <w:t xml:space="preserve"> </w:t>
      </w:r>
      <w:r w:rsidR="002727B8" w:rsidRPr="00B0381F">
        <w:rPr>
          <w:sz w:val="16"/>
        </w:rPr>
        <w:t>2.3</w:t>
      </w:r>
      <w:r w:rsidRPr="00B0381F">
        <w:rPr>
          <w:sz w:val="16"/>
        </w:rPr>
        <w:t>% (</w:t>
      </w:r>
      <w:r w:rsidR="002727B8" w:rsidRPr="00B0381F">
        <w:rPr>
          <w:sz w:val="16"/>
        </w:rPr>
        <w:t>2,129</w:t>
      </w:r>
      <w:r w:rsidRPr="00B0381F">
        <w:rPr>
          <w:sz w:val="16"/>
        </w:rPr>
        <w:t>) to 9</w:t>
      </w:r>
      <w:r w:rsidR="002727B8" w:rsidRPr="00B0381F">
        <w:rPr>
          <w:sz w:val="16"/>
        </w:rPr>
        <w:t>5,956</w:t>
      </w:r>
      <w:r w:rsidRPr="00B0381F">
        <w:rPr>
          <w:sz w:val="16"/>
        </w:rPr>
        <w:t xml:space="preserve"> in </w:t>
      </w:r>
      <w:r w:rsidR="002727B8" w:rsidRPr="00B0381F">
        <w:rPr>
          <w:sz w:val="16"/>
        </w:rPr>
        <w:t>Novem</w:t>
      </w:r>
      <w:r w:rsidR="00192BA5" w:rsidRPr="00B0381F">
        <w:rPr>
          <w:sz w:val="16"/>
        </w:rPr>
        <w:t>ber</w:t>
      </w:r>
      <w:r w:rsidRPr="00B0381F">
        <w:rPr>
          <w:sz w:val="16"/>
        </w:rPr>
        <w:t> 2023.</w:t>
      </w:r>
    </w:p>
    <w:p w14:paraId="42BF0625" w14:textId="77777777" w:rsidR="008B0834" w:rsidRPr="007D42CA" w:rsidRDefault="008B0834" w:rsidP="008B0834">
      <w:pPr>
        <w:pStyle w:val="BodyText"/>
        <w:numPr>
          <w:ilvl w:val="0"/>
          <w:numId w:val="9"/>
        </w:numPr>
        <w:spacing w:after="0"/>
        <w:jc w:val="both"/>
        <w:rPr>
          <w:sz w:val="16"/>
        </w:rPr>
      </w:pPr>
      <w:r w:rsidRPr="007D42CA">
        <w:rPr>
          <w:sz w:val="16"/>
        </w:rPr>
        <w:t>Western Australia’s underemployment rate averaged 5.8% in 2022-23.</w:t>
      </w:r>
    </w:p>
    <w:p w14:paraId="355B886B" w14:textId="77777777" w:rsidR="008B0834" w:rsidRPr="00D94010" w:rsidRDefault="008B0834" w:rsidP="008B0834">
      <w:pPr>
        <w:spacing w:after="0"/>
        <w:jc w:val="both"/>
        <w:rPr>
          <w:sz w:val="16"/>
        </w:rPr>
        <w:sectPr w:rsidR="008B0834" w:rsidRPr="00D94010" w:rsidSect="00F7498D">
          <w:type w:val="continuous"/>
          <w:pgSz w:w="11907" w:h="16840" w:code="9"/>
          <w:pgMar w:top="1701" w:right="720" w:bottom="720" w:left="720" w:header="709" w:footer="709" w:gutter="0"/>
          <w:cols w:num="2" w:space="284" w:equalWidth="0">
            <w:col w:w="5647" w:space="284"/>
            <w:col w:w="4536"/>
          </w:cols>
          <w:docGrid w:linePitch="360"/>
        </w:sectPr>
      </w:pPr>
    </w:p>
    <w:p w14:paraId="138D3595" w14:textId="77777777" w:rsidR="008B0834" w:rsidRPr="00C00EC0" w:rsidRDefault="008B0834" w:rsidP="008B0834">
      <w:pPr>
        <w:pStyle w:val="BodyText"/>
        <w:spacing w:after="0"/>
        <w:rPr>
          <w:b/>
          <w:color w:val="92278F" w:themeColor="accent1"/>
          <w:sz w:val="20"/>
        </w:rPr>
      </w:pPr>
      <w:r w:rsidRPr="00020369">
        <w:rPr>
          <w:b/>
          <w:color w:val="92278F" w:themeColor="accent1"/>
          <w:sz w:val="20"/>
        </w:rPr>
        <w:t xml:space="preserve">Western Australia’s </w:t>
      </w:r>
      <w:r w:rsidRPr="00C00EC0">
        <w:rPr>
          <w:b/>
          <w:color w:val="92278F" w:themeColor="accent1"/>
          <w:sz w:val="20"/>
        </w:rPr>
        <w:t>online job advertisements</w:t>
      </w:r>
      <w:r w:rsidRPr="00C00EC0">
        <w:rPr>
          <w:b/>
          <w:color w:val="92278F" w:themeColor="accent1"/>
          <w:sz w:val="20"/>
          <w:vertAlign w:val="superscript"/>
        </w:rPr>
        <w:t>1</w:t>
      </w:r>
    </w:p>
    <w:p w14:paraId="2B4D5E43" w14:textId="02A7B922" w:rsidR="008B0834" w:rsidRDefault="00B87FF7" w:rsidP="008B0834">
      <w:pPr>
        <w:spacing w:after="0"/>
        <w:jc w:val="both"/>
        <w:rPr>
          <w:sz w:val="16"/>
        </w:rPr>
      </w:pPr>
      <w:r>
        <w:rPr>
          <w:noProof/>
          <w:sz w:val="16"/>
        </w:rPr>
        <w:drawing>
          <wp:inline distT="0" distB="0" distL="0" distR="0" wp14:anchorId="632C3967" wp14:editId="41EAA4A0">
            <wp:extent cx="3528000" cy="210340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5225EE9B" w14:textId="77777777" w:rsidR="008B0834" w:rsidRPr="007520AC" w:rsidRDefault="008B0834" w:rsidP="008B0834">
      <w:pPr>
        <w:pStyle w:val="BodyText"/>
        <w:spacing w:after="0"/>
        <w:jc w:val="both"/>
        <w:rPr>
          <w:sz w:val="10"/>
        </w:rPr>
      </w:pPr>
      <w:r w:rsidRPr="007520AC">
        <w:rPr>
          <w:sz w:val="10"/>
          <w:vertAlign w:val="superscript"/>
        </w:rPr>
        <w:t>1</w:t>
      </w:r>
      <w:r w:rsidRPr="007520AC">
        <w:rPr>
          <w:sz w:val="10"/>
        </w:rPr>
        <w:t xml:space="preserve"> Online job advertisements on SEEK, CareerOne and Australian </w:t>
      </w:r>
      <w:proofErr w:type="spellStart"/>
      <w:r w:rsidRPr="007520AC">
        <w:rPr>
          <w:sz w:val="10"/>
        </w:rPr>
        <w:t>JobSearch</w:t>
      </w:r>
      <w:proofErr w:type="spellEnd"/>
      <w:r w:rsidRPr="007520AC">
        <w:rPr>
          <w:sz w:val="10"/>
        </w:rPr>
        <w:t>. Excludes job advertisements on other online job boards, employer web sites, newspapers and word of mouth.</w:t>
      </w:r>
      <w:r>
        <w:rPr>
          <w:sz w:val="10"/>
        </w:rPr>
        <w:t xml:space="preserve"> Seasonally adjusted series. </w:t>
      </w:r>
      <w:r w:rsidRPr="00F947B0">
        <w:rPr>
          <w:sz w:val="10"/>
          <w:vertAlign w:val="superscript"/>
        </w:rPr>
        <w:t>2</w:t>
      </w:r>
      <w:r>
        <w:rPr>
          <w:sz w:val="10"/>
        </w:rPr>
        <w:t xml:space="preserve"> Recruitment through on site and online j</w:t>
      </w:r>
      <w:r w:rsidRPr="000F715D">
        <w:rPr>
          <w:sz w:val="10"/>
        </w:rPr>
        <w:t>ob advertisements</w:t>
      </w:r>
      <w:r>
        <w:rPr>
          <w:sz w:val="10"/>
        </w:rPr>
        <w:t xml:space="preserve">, by notifying employment agencies or </w:t>
      </w:r>
      <w:r w:rsidRPr="000F715D">
        <w:rPr>
          <w:sz w:val="10"/>
        </w:rPr>
        <w:t>trade union</w:t>
      </w:r>
      <w:r>
        <w:rPr>
          <w:sz w:val="10"/>
        </w:rPr>
        <w:t>s, and from internal job registers</w:t>
      </w:r>
      <w:r w:rsidRPr="000F715D">
        <w:rPr>
          <w:sz w:val="10"/>
        </w:rPr>
        <w:t>.</w:t>
      </w:r>
      <w:r>
        <w:rPr>
          <w:sz w:val="10"/>
        </w:rPr>
        <w:t xml:space="preserve"> Original series.</w:t>
      </w:r>
    </w:p>
    <w:p w14:paraId="143F87FA" w14:textId="77777777" w:rsidR="008B0834" w:rsidRDefault="008B0834" w:rsidP="008B0834">
      <w:pPr>
        <w:pStyle w:val="ListBullet"/>
        <w:numPr>
          <w:ilvl w:val="0"/>
          <w:numId w:val="0"/>
        </w:numPr>
        <w:spacing w:after="0"/>
        <w:jc w:val="both"/>
        <w:rPr>
          <w:sz w:val="10"/>
        </w:rPr>
      </w:pPr>
      <w:r w:rsidRPr="007520AC">
        <w:rPr>
          <w:sz w:val="10"/>
        </w:rPr>
        <w:t xml:space="preserve">Source: </w:t>
      </w:r>
      <w:r w:rsidRPr="00713587">
        <w:rPr>
          <w:sz w:val="10"/>
        </w:rPr>
        <w:t xml:space="preserve">Jobs and Skills Australia, Internet Vacancy Index </w:t>
      </w:r>
      <w:r>
        <w:rPr>
          <w:sz w:val="10"/>
        </w:rPr>
        <w:t>(Monthly).</w:t>
      </w:r>
    </w:p>
    <w:p w14:paraId="6450493A" w14:textId="77777777" w:rsidR="008B0834" w:rsidRDefault="008B0834" w:rsidP="008B0834">
      <w:pPr>
        <w:spacing w:after="0"/>
        <w:jc w:val="both"/>
        <w:rPr>
          <w:sz w:val="16"/>
        </w:rPr>
      </w:pPr>
    </w:p>
    <w:p w14:paraId="771613E1" w14:textId="77777777" w:rsidR="008B0834" w:rsidRDefault="008B0834" w:rsidP="008B0834">
      <w:pPr>
        <w:spacing w:after="0"/>
        <w:jc w:val="both"/>
        <w:rPr>
          <w:sz w:val="16"/>
        </w:rPr>
      </w:pPr>
    </w:p>
    <w:p w14:paraId="25058877" w14:textId="77777777" w:rsidR="008B0834" w:rsidRDefault="008B0834" w:rsidP="008B0834">
      <w:pPr>
        <w:pStyle w:val="BodyText"/>
        <w:spacing w:after="0"/>
        <w:jc w:val="both"/>
        <w:rPr>
          <w:sz w:val="16"/>
        </w:rPr>
      </w:pPr>
      <w:r w:rsidRPr="003A18A2">
        <w:rPr>
          <w:sz w:val="16"/>
        </w:rPr>
        <w:br w:type="column"/>
      </w:r>
    </w:p>
    <w:p w14:paraId="6050FC18" w14:textId="34D1B857" w:rsidR="008B0834" w:rsidRPr="00B0381F" w:rsidRDefault="008B0834" w:rsidP="008B0834">
      <w:pPr>
        <w:pStyle w:val="BodyText"/>
        <w:numPr>
          <w:ilvl w:val="0"/>
          <w:numId w:val="9"/>
        </w:numPr>
        <w:spacing w:after="0"/>
        <w:jc w:val="both"/>
        <w:rPr>
          <w:sz w:val="16"/>
        </w:rPr>
      </w:pPr>
      <w:r w:rsidRPr="00B0381F">
        <w:rPr>
          <w:sz w:val="16"/>
        </w:rPr>
        <w:t xml:space="preserve">Western Australia’s online job advertisements </w:t>
      </w:r>
      <w:r w:rsidR="004915A1" w:rsidRPr="00B0381F">
        <w:rPr>
          <w:sz w:val="16"/>
        </w:rPr>
        <w:t>rose</w:t>
      </w:r>
      <w:r w:rsidRPr="00B0381F">
        <w:rPr>
          <w:sz w:val="16"/>
        </w:rPr>
        <w:t xml:space="preserve"> </w:t>
      </w:r>
      <w:r w:rsidR="004915A1" w:rsidRPr="00B0381F">
        <w:rPr>
          <w:sz w:val="16"/>
        </w:rPr>
        <w:t>1.4</w:t>
      </w:r>
      <w:r w:rsidRPr="00B0381F">
        <w:rPr>
          <w:sz w:val="16"/>
        </w:rPr>
        <w:t>% to 3</w:t>
      </w:r>
      <w:r w:rsidR="004915A1" w:rsidRPr="00B0381F">
        <w:rPr>
          <w:sz w:val="16"/>
        </w:rPr>
        <w:t>2</w:t>
      </w:r>
      <w:r w:rsidRPr="00B0381F">
        <w:rPr>
          <w:sz w:val="16"/>
        </w:rPr>
        <w:t>,</w:t>
      </w:r>
      <w:r w:rsidR="002144BC" w:rsidRPr="00B0381F">
        <w:rPr>
          <w:sz w:val="16"/>
        </w:rPr>
        <w:t>584</w:t>
      </w:r>
      <w:r w:rsidRPr="00B0381F">
        <w:rPr>
          <w:sz w:val="16"/>
        </w:rPr>
        <w:t xml:space="preserve"> in </w:t>
      </w:r>
      <w:r w:rsidR="002144BC" w:rsidRPr="00B0381F">
        <w:rPr>
          <w:sz w:val="16"/>
        </w:rPr>
        <w:t>Novemb</w:t>
      </w:r>
      <w:r w:rsidR="004915A1" w:rsidRPr="00B0381F">
        <w:rPr>
          <w:sz w:val="16"/>
        </w:rPr>
        <w:t>er</w:t>
      </w:r>
      <w:r w:rsidRPr="00B0381F">
        <w:rPr>
          <w:sz w:val="16"/>
        </w:rPr>
        <w:t> 2023.</w:t>
      </w:r>
    </w:p>
    <w:p w14:paraId="1DE40DC5" w14:textId="77777777" w:rsidR="008B0834" w:rsidRPr="00E930AA" w:rsidRDefault="008B0834" w:rsidP="008B0834">
      <w:pPr>
        <w:pStyle w:val="BodyText"/>
        <w:numPr>
          <w:ilvl w:val="0"/>
          <w:numId w:val="9"/>
        </w:numPr>
        <w:spacing w:after="0"/>
        <w:jc w:val="both"/>
        <w:rPr>
          <w:sz w:val="16"/>
        </w:rPr>
      </w:pPr>
      <w:r w:rsidRPr="00E930AA">
        <w:rPr>
          <w:sz w:val="16"/>
        </w:rPr>
        <w:t>According to the ABS Job Vacancy Survey</w:t>
      </w:r>
      <w:r w:rsidRPr="00E930AA">
        <w:rPr>
          <w:sz w:val="16"/>
          <w:vertAlign w:val="superscript"/>
        </w:rPr>
        <w:t>2</w:t>
      </w:r>
      <w:r w:rsidRPr="00E930AA">
        <w:rPr>
          <w:sz w:val="16"/>
        </w:rPr>
        <w:t>, Western Australia had 52,500 job vacancies in the September quarter 2023, 2,400 less than in the previous quarter and 8,200 less than a year ago.</w:t>
      </w:r>
    </w:p>
    <w:p w14:paraId="50F10B5E" w14:textId="77777777" w:rsidR="008B0834" w:rsidRPr="00F45A4B" w:rsidRDefault="008B0834" w:rsidP="008B0834">
      <w:pPr>
        <w:pStyle w:val="BodyText"/>
        <w:numPr>
          <w:ilvl w:val="0"/>
          <w:numId w:val="9"/>
        </w:numPr>
        <w:spacing w:after="0"/>
        <w:jc w:val="both"/>
        <w:rPr>
          <w:sz w:val="16"/>
        </w:rPr>
        <w:sectPr w:rsidR="008B0834" w:rsidRPr="00F45A4B" w:rsidSect="00F7498D">
          <w:type w:val="continuous"/>
          <w:pgSz w:w="11907" w:h="16840" w:code="9"/>
          <w:pgMar w:top="1701" w:right="720" w:bottom="720" w:left="720" w:header="709" w:footer="709" w:gutter="0"/>
          <w:cols w:num="2" w:space="284" w:equalWidth="0">
            <w:col w:w="5647" w:space="284"/>
            <w:col w:w="4536"/>
          </w:cols>
          <w:docGrid w:linePitch="360"/>
        </w:sectPr>
      </w:pPr>
    </w:p>
    <w:p w14:paraId="4A4DF5F5" w14:textId="77777777" w:rsidR="008B0834" w:rsidRPr="00020369" w:rsidRDefault="008B0834" w:rsidP="008B0834">
      <w:pPr>
        <w:spacing w:after="0"/>
        <w:rPr>
          <w:color w:val="92278F" w:themeColor="accent1"/>
          <w:sz w:val="22"/>
        </w:rPr>
      </w:pPr>
      <w:r w:rsidRPr="00020369">
        <w:rPr>
          <w:b/>
          <w:color w:val="92278F" w:themeColor="accent1"/>
          <w:sz w:val="20"/>
        </w:rPr>
        <w:t>Wage price index (% change</w:t>
      </w:r>
      <w:r w:rsidRPr="00020369">
        <w:rPr>
          <w:b/>
          <w:color w:val="92278F" w:themeColor="accent1"/>
          <w:sz w:val="20"/>
          <w:vertAlign w:val="superscript"/>
        </w:rPr>
        <w:t>1</w:t>
      </w:r>
      <w:r>
        <w:rPr>
          <w:b/>
          <w:color w:val="92278F" w:themeColor="accent1"/>
          <w:sz w:val="20"/>
        </w:rPr>
        <w:t>)</w:t>
      </w:r>
    </w:p>
    <w:p w14:paraId="2BE1858E" w14:textId="5AA0956F" w:rsidR="008B0834" w:rsidRDefault="00B87FF7" w:rsidP="008B0834">
      <w:pPr>
        <w:spacing w:after="0"/>
        <w:jc w:val="both"/>
        <w:rPr>
          <w:sz w:val="16"/>
        </w:rPr>
      </w:pPr>
      <w:r>
        <w:rPr>
          <w:noProof/>
          <w:sz w:val="16"/>
        </w:rPr>
        <w:drawing>
          <wp:inline distT="0" distB="0" distL="0" distR="0" wp14:anchorId="2BD1412C" wp14:editId="5599A38A">
            <wp:extent cx="3528000" cy="210340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05CD725B" w14:textId="77777777" w:rsidR="008B0834" w:rsidRPr="00E06068" w:rsidRDefault="008B0834" w:rsidP="008B0834">
      <w:pPr>
        <w:spacing w:after="0"/>
        <w:jc w:val="both"/>
        <w:rPr>
          <w:sz w:val="10"/>
        </w:rPr>
      </w:pPr>
      <w:r w:rsidRPr="00044565">
        <w:rPr>
          <w:sz w:val="10"/>
          <w:vertAlign w:val="superscript"/>
        </w:rPr>
        <w:t xml:space="preserve">1 </w:t>
      </w:r>
      <w:r w:rsidRPr="00044565">
        <w:rPr>
          <w:sz w:val="10"/>
        </w:rPr>
        <w:t xml:space="preserve">Change from same quarter of previous year or year-on-year. Original series. Wage price index 2008-09 = 100.0. Note - Changes in the wage price index and average </w:t>
      </w:r>
      <w:r w:rsidRPr="00E06068">
        <w:rPr>
          <w:sz w:val="10"/>
        </w:rPr>
        <w:t>weekly earnings differ because labour quality (job specifications and employee performance and experience) and labour quantity (hours worked and employee numbers) is held constant by the wage price index.</w:t>
      </w:r>
    </w:p>
    <w:p w14:paraId="35A8B166" w14:textId="77777777" w:rsidR="008B0834" w:rsidRPr="009B5AB5" w:rsidRDefault="008B0834" w:rsidP="008B0834">
      <w:pPr>
        <w:spacing w:after="0"/>
        <w:jc w:val="both"/>
        <w:rPr>
          <w:sz w:val="10"/>
        </w:rPr>
      </w:pPr>
      <w:r w:rsidRPr="00E06068">
        <w:rPr>
          <w:sz w:val="10"/>
        </w:rPr>
        <w:t xml:space="preserve">Source: </w:t>
      </w:r>
      <w:r w:rsidRPr="0065045F">
        <w:rPr>
          <w:sz w:val="10"/>
        </w:rPr>
        <w:t>Based on data from ABS 6345.</w:t>
      </w:r>
      <w:r w:rsidRPr="00E06068">
        <w:rPr>
          <w:sz w:val="10"/>
        </w:rPr>
        <w:t>0 Wage Price Index, Australia (Quarterly).</w:t>
      </w:r>
    </w:p>
    <w:p w14:paraId="23AA7391" w14:textId="77777777" w:rsidR="008B0834" w:rsidRDefault="008B0834" w:rsidP="008B0834">
      <w:pPr>
        <w:pStyle w:val="BodyText"/>
        <w:spacing w:after="0"/>
        <w:jc w:val="both"/>
        <w:rPr>
          <w:sz w:val="16"/>
        </w:rPr>
      </w:pPr>
      <w:r w:rsidRPr="006A2E95">
        <w:rPr>
          <w:sz w:val="16"/>
        </w:rPr>
        <w:br w:type="column"/>
      </w:r>
    </w:p>
    <w:p w14:paraId="5D204F86" w14:textId="682E5744" w:rsidR="008B0834" w:rsidRPr="00BA2B3B" w:rsidRDefault="00B12996" w:rsidP="008B0834">
      <w:pPr>
        <w:pStyle w:val="BodyText"/>
        <w:numPr>
          <w:ilvl w:val="0"/>
          <w:numId w:val="9"/>
        </w:numPr>
        <w:spacing w:after="0"/>
        <w:jc w:val="both"/>
        <w:rPr>
          <w:sz w:val="16"/>
        </w:rPr>
      </w:pPr>
      <w:r w:rsidRPr="00BA2B3B">
        <w:rPr>
          <w:sz w:val="16"/>
        </w:rPr>
        <w:t xml:space="preserve">Western </w:t>
      </w:r>
      <w:r w:rsidR="008B0834" w:rsidRPr="00BA2B3B">
        <w:rPr>
          <w:sz w:val="16"/>
        </w:rPr>
        <w:t>Australia’s wage price index rose 4.</w:t>
      </w:r>
      <w:r w:rsidR="001D6719" w:rsidRPr="00BA2B3B">
        <w:rPr>
          <w:sz w:val="16"/>
        </w:rPr>
        <w:t>6</w:t>
      </w:r>
      <w:r w:rsidR="008B0834" w:rsidRPr="00BA2B3B">
        <w:rPr>
          <w:sz w:val="16"/>
        </w:rPr>
        <w:t xml:space="preserve">% in the </w:t>
      </w:r>
      <w:r w:rsidR="001D6719" w:rsidRPr="00BA2B3B">
        <w:rPr>
          <w:sz w:val="16"/>
        </w:rPr>
        <w:t>September</w:t>
      </w:r>
      <w:r w:rsidR="008B0834" w:rsidRPr="00BA2B3B">
        <w:rPr>
          <w:sz w:val="16"/>
        </w:rPr>
        <w:t xml:space="preserve"> quarter 2023 (year</w:t>
      </w:r>
      <w:r w:rsidR="008B0834" w:rsidRPr="00BA2B3B">
        <w:rPr>
          <w:sz w:val="16"/>
        </w:rPr>
        <w:noBreakHyphen/>
        <w:t>on</w:t>
      </w:r>
      <w:r w:rsidR="008B0834" w:rsidRPr="00BA2B3B">
        <w:rPr>
          <w:sz w:val="16"/>
        </w:rPr>
        <w:noBreakHyphen/>
        <w:t>year), higher than the 4.</w:t>
      </w:r>
      <w:r w:rsidR="001D6719" w:rsidRPr="00BA2B3B">
        <w:rPr>
          <w:sz w:val="16"/>
        </w:rPr>
        <w:t>2</w:t>
      </w:r>
      <w:r w:rsidR="008B0834" w:rsidRPr="00BA2B3B">
        <w:rPr>
          <w:sz w:val="16"/>
        </w:rPr>
        <w:t xml:space="preserve">% growth in the </w:t>
      </w:r>
      <w:r w:rsidR="001D6719" w:rsidRPr="00BA2B3B">
        <w:rPr>
          <w:sz w:val="16"/>
        </w:rPr>
        <w:t>June</w:t>
      </w:r>
      <w:r w:rsidR="008B0834" w:rsidRPr="00BA2B3B">
        <w:rPr>
          <w:sz w:val="16"/>
        </w:rPr>
        <w:t xml:space="preserve"> quarter 2023.</w:t>
      </w:r>
    </w:p>
    <w:p w14:paraId="3B97BD51" w14:textId="339CDA91" w:rsidR="008B0834" w:rsidRPr="00BA2B3B" w:rsidRDefault="008B0834" w:rsidP="008B0834">
      <w:pPr>
        <w:pStyle w:val="BodyText"/>
        <w:numPr>
          <w:ilvl w:val="0"/>
          <w:numId w:val="9"/>
        </w:numPr>
        <w:spacing w:after="0"/>
        <w:jc w:val="both"/>
        <w:rPr>
          <w:sz w:val="16"/>
        </w:rPr>
      </w:pPr>
      <w:r w:rsidRPr="00BA2B3B">
        <w:rPr>
          <w:sz w:val="16"/>
        </w:rPr>
        <w:t xml:space="preserve">Australia’s wage price index </w:t>
      </w:r>
      <w:r w:rsidR="001D6719" w:rsidRPr="00BA2B3B">
        <w:rPr>
          <w:sz w:val="16"/>
        </w:rPr>
        <w:t xml:space="preserve">rose 4.1% in the September quarter (year-on-year), higher than the 3.6% growth in the </w:t>
      </w:r>
      <w:r w:rsidRPr="00BA2B3B">
        <w:rPr>
          <w:sz w:val="16"/>
        </w:rPr>
        <w:t>June quarter 2023.</w:t>
      </w:r>
    </w:p>
    <w:p w14:paraId="4746AD02" w14:textId="77777777" w:rsidR="008B0834" w:rsidRPr="00454E0A" w:rsidRDefault="008B0834" w:rsidP="008B0834">
      <w:pPr>
        <w:pStyle w:val="BodyText"/>
        <w:numPr>
          <w:ilvl w:val="0"/>
          <w:numId w:val="9"/>
        </w:numPr>
        <w:spacing w:after="0"/>
        <w:jc w:val="both"/>
        <w:rPr>
          <w:sz w:val="16"/>
        </w:rPr>
      </w:pPr>
      <w:r w:rsidRPr="00454E0A">
        <w:rPr>
          <w:sz w:val="16"/>
        </w:rPr>
        <w:t>Western Australia’s annual average wages rose 3.8% in 2022-23.</w:t>
      </w:r>
    </w:p>
    <w:p w14:paraId="7D6804BB" w14:textId="47CA1077" w:rsidR="008B0834" w:rsidRPr="00B0381F" w:rsidRDefault="008B0834" w:rsidP="008B0834">
      <w:pPr>
        <w:pStyle w:val="BodyText"/>
        <w:numPr>
          <w:ilvl w:val="0"/>
          <w:numId w:val="9"/>
        </w:numPr>
        <w:spacing w:after="0"/>
        <w:jc w:val="both"/>
        <w:rPr>
          <w:sz w:val="16"/>
        </w:rPr>
      </w:pPr>
      <w:r w:rsidRPr="00B0381F">
        <w:rPr>
          <w:sz w:val="16"/>
        </w:rPr>
        <w:t xml:space="preserve">The WA Government </w:t>
      </w:r>
      <w:r w:rsidR="005358EC" w:rsidRPr="00B0381F">
        <w:rPr>
          <w:sz w:val="16"/>
        </w:rPr>
        <w:t>Mid-year Financial Projections Statement</w:t>
      </w:r>
      <w:r w:rsidR="005358EC" w:rsidRPr="00B0381F" w:rsidDel="005358EC">
        <w:rPr>
          <w:sz w:val="16"/>
        </w:rPr>
        <w:t xml:space="preserve"> </w:t>
      </w:r>
      <w:r w:rsidRPr="00B0381F">
        <w:rPr>
          <w:sz w:val="16"/>
        </w:rPr>
        <w:t xml:space="preserve">2023-24 forecasts Western Australia’s annual average </w:t>
      </w:r>
      <w:r w:rsidRPr="00B0381F">
        <w:rPr>
          <w:sz w:val="16"/>
          <w:lang w:val="en-US"/>
        </w:rPr>
        <w:t>wages will rise 4.</w:t>
      </w:r>
      <w:r w:rsidR="005358EC" w:rsidRPr="00B0381F">
        <w:rPr>
          <w:sz w:val="16"/>
          <w:lang w:val="en-US"/>
        </w:rPr>
        <w:t>25</w:t>
      </w:r>
      <w:r w:rsidRPr="00B0381F">
        <w:rPr>
          <w:sz w:val="16"/>
          <w:lang w:val="en-US"/>
        </w:rPr>
        <w:t>% in 2023</w:t>
      </w:r>
      <w:r w:rsidRPr="00B0381F">
        <w:rPr>
          <w:sz w:val="16"/>
          <w:lang w:val="en-US"/>
        </w:rPr>
        <w:noBreakHyphen/>
        <w:t>24 and 3.</w:t>
      </w:r>
      <w:r w:rsidR="005358EC" w:rsidRPr="00B0381F">
        <w:rPr>
          <w:sz w:val="16"/>
          <w:lang w:val="en-US"/>
        </w:rPr>
        <w:t>5</w:t>
      </w:r>
      <w:r w:rsidRPr="00B0381F">
        <w:rPr>
          <w:sz w:val="16"/>
          <w:lang w:val="en-US"/>
        </w:rPr>
        <w:t>% in 2024</w:t>
      </w:r>
      <w:r w:rsidRPr="00B0381F">
        <w:rPr>
          <w:sz w:val="16"/>
          <w:lang w:val="en-US"/>
        </w:rPr>
        <w:noBreakHyphen/>
        <w:t>25.</w:t>
      </w:r>
    </w:p>
    <w:p w14:paraId="1A8A866D" w14:textId="77777777" w:rsidR="008B0834" w:rsidRPr="00454E0A" w:rsidRDefault="008B0834" w:rsidP="008B0834">
      <w:pPr>
        <w:pStyle w:val="BodyText"/>
        <w:numPr>
          <w:ilvl w:val="0"/>
          <w:numId w:val="9"/>
        </w:numPr>
        <w:spacing w:after="0"/>
        <w:jc w:val="both"/>
        <w:rPr>
          <w:sz w:val="16"/>
        </w:rPr>
      </w:pPr>
      <w:r w:rsidRPr="00454E0A">
        <w:rPr>
          <w:sz w:val="16"/>
        </w:rPr>
        <w:t>Western Australia’s annual adult full</w:t>
      </w:r>
      <w:r w:rsidRPr="00454E0A">
        <w:rPr>
          <w:sz w:val="16"/>
        </w:rPr>
        <w:noBreakHyphen/>
        <w:t>time total earnings averaged $108,943 in 2022-23, 10.7% ($10,530) above the Australian average of $98,413.</w:t>
      </w:r>
    </w:p>
    <w:p w14:paraId="4F53CD40" w14:textId="77777777" w:rsidR="008B0834" w:rsidRDefault="008B0834" w:rsidP="008B0834">
      <w:pPr>
        <w:pStyle w:val="BodyText"/>
        <w:spacing w:after="0"/>
        <w:rPr>
          <w:b/>
          <w:sz w:val="20"/>
        </w:rPr>
      </w:pPr>
      <w:r>
        <w:rPr>
          <w:b/>
          <w:sz w:val="20"/>
        </w:rPr>
        <w:br w:type="page"/>
      </w:r>
    </w:p>
    <w:p w14:paraId="5CF5FF4B" w14:textId="77777777" w:rsidR="008B0834" w:rsidRPr="00DD5DF4" w:rsidRDefault="008B0834" w:rsidP="008B0834">
      <w:pPr>
        <w:pStyle w:val="BodyText"/>
        <w:spacing w:after="0"/>
        <w:rPr>
          <w:b/>
          <w:color w:val="002060"/>
          <w:sz w:val="22"/>
        </w:rPr>
      </w:pPr>
      <w:r w:rsidRPr="00DD5DF4">
        <w:rPr>
          <w:b/>
          <w:color w:val="002060"/>
          <w:sz w:val="22"/>
        </w:rPr>
        <w:lastRenderedPageBreak/>
        <w:t>Consumption</w:t>
      </w:r>
    </w:p>
    <w:p w14:paraId="644FC16D"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household consumption (% change</w:t>
      </w:r>
      <w:r w:rsidRPr="00020369">
        <w:rPr>
          <w:b/>
          <w:color w:val="92278F" w:themeColor="accent1"/>
          <w:sz w:val="20"/>
          <w:vertAlign w:val="superscript"/>
        </w:rPr>
        <w:t>1</w:t>
      </w:r>
      <w:r>
        <w:rPr>
          <w:b/>
          <w:color w:val="92278F" w:themeColor="accent1"/>
          <w:sz w:val="20"/>
        </w:rPr>
        <w:t>)</w:t>
      </w:r>
    </w:p>
    <w:p w14:paraId="62BC62FD" w14:textId="5F7B4460" w:rsidR="008B0834" w:rsidRDefault="003650F7" w:rsidP="008B0834">
      <w:pPr>
        <w:spacing w:after="0"/>
        <w:jc w:val="both"/>
        <w:rPr>
          <w:sz w:val="16"/>
        </w:rPr>
      </w:pPr>
      <w:r>
        <w:rPr>
          <w:noProof/>
          <w:sz w:val="16"/>
        </w:rPr>
        <w:drawing>
          <wp:inline distT="0" distB="0" distL="0" distR="0" wp14:anchorId="30CA6983" wp14:editId="3A5785FD">
            <wp:extent cx="3528000" cy="210340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702E6F6E" w14:textId="77777777" w:rsidR="008B0834" w:rsidRPr="00643B76" w:rsidRDefault="008B0834" w:rsidP="008B0834">
      <w:pPr>
        <w:spacing w:after="0"/>
        <w:jc w:val="both"/>
        <w:rPr>
          <w:sz w:val="10"/>
        </w:rPr>
      </w:pPr>
      <w:r w:rsidRPr="00643B76">
        <w:rPr>
          <w:sz w:val="10"/>
          <w:vertAlign w:val="superscript"/>
        </w:rPr>
        <w:t>1</w:t>
      </w:r>
      <w:r w:rsidRPr="00643B76">
        <w:rPr>
          <w:sz w:val="10"/>
        </w:rPr>
        <w:t xml:space="preserve"> Real or a</w:t>
      </w:r>
      <w:r>
        <w:rPr>
          <w:sz w:val="10"/>
        </w:rPr>
        <w:t xml:space="preserve">djusted for </w:t>
      </w:r>
      <w:r w:rsidRPr="00643B76">
        <w:rPr>
          <w:sz w:val="10"/>
        </w:rPr>
        <w:t>price</w:t>
      </w:r>
      <w:r>
        <w:rPr>
          <w:sz w:val="10"/>
        </w:rPr>
        <w:t xml:space="preserve"> change</w:t>
      </w:r>
      <w:r w:rsidRPr="00643B76">
        <w:rPr>
          <w:sz w:val="10"/>
        </w:rPr>
        <w:t>s.</w:t>
      </w:r>
      <w:r>
        <w:rPr>
          <w:sz w:val="10"/>
        </w:rPr>
        <w:t xml:space="preserve"> Original series.</w:t>
      </w:r>
    </w:p>
    <w:p w14:paraId="4075C1E7" w14:textId="77777777" w:rsidR="008B0834" w:rsidRDefault="008B0834" w:rsidP="008B0834">
      <w:pPr>
        <w:spacing w:after="0"/>
        <w:jc w:val="both"/>
        <w:rPr>
          <w:sz w:val="10"/>
        </w:rPr>
      </w:pPr>
      <w:r w:rsidRPr="00643B76">
        <w:rPr>
          <w:sz w:val="10"/>
        </w:rPr>
        <w:t xml:space="preserve">Source: </w:t>
      </w:r>
      <w:r w:rsidRPr="0065045F">
        <w:rPr>
          <w:sz w:val="10"/>
        </w:rPr>
        <w:t xml:space="preserve">Based on data from </w:t>
      </w:r>
      <w:r w:rsidRPr="00BF3151">
        <w:rPr>
          <w:sz w:val="10"/>
        </w:rPr>
        <w:t>ABS 5220.0 Australian National Ac</w:t>
      </w:r>
      <w:r>
        <w:rPr>
          <w:sz w:val="10"/>
        </w:rPr>
        <w:t xml:space="preserve">counts: State Accounts (Annual); and </w:t>
      </w:r>
      <w:r w:rsidRPr="00643B76">
        <w:rPr>
          <w:sz w:val="10"/>
        </w:rPr>
        <w:t>ABS 520</w:t>
      </w:r>
      <w:r>
        <w:rPr>
          <w:sz w:val="10"/>
        </w:rPr>
        <w:t>6</w:t>
      </w:r>
      <w:r w:rsidRPr="00643B76">
        <w:rPr>
          <w:sz w:val="10"/>
        </w:rPr>
        <w:t xml:space="preserve">.0. Australian National </w:t>
      </w:r>
      <w:r w:rsidRPr="00BF3151">
        <w:rPr>
          <w:sz w:val="10"/>
        </w:rPr>
        <w:t>Accounts: National Income, Expenditure an</w:t>
      </w:r>
      <w:r>
        <w:rPr>
          <w:sz w:val="10"/>
        </w:rPr>
        <w:t>d Product (Quarterly).</w:t>
      </w:r>
    </w:p>
    <w:p w14:paraId="009C86F9" w14:textId="77777777" w:rsidR="008B0834" w:rsidRDefault="008B0834" w:rsidP="008B0834">
      <w:pPr>
        <w:spacing w:after="0"/>
        <w:jc w:val="both"/>
        <w:rPr>
          <w:sz w:val="16"/>
        </w:rPr>
      </w:pPr>
    </w:p>
    <w:p w14:paraId="0FF2BFF3" w14:textId="77777777" w:rsidR="008B0834" w:rsidRPr="00250273" w:rsidRDefault="008B0834" w:rsidP="008B0834">
      <w:pPr>
        <w:spacing w:after="0"/>
        <w:jc w:val="both"/>
        <w:rPr>
          <w:sz w:val="16"/>
        </w:rPr>
      </w:pPr>
    </w:p>
    <w:p w14:paraId="6EBA7750" w14:textId="77777777" w:rsidR="008B0834" w:rsidRPr="00223893" w:rsidRDefault="008B0834" w:rsidP="008B0834">
      <w:pPr>
        <w:pStyle w:val="BodyText"/>
        <w:spacing w:after="0"/>
        <w:jc w:val="both"/>
        <w:rPr>
          <w:sz w:val="16"/>
        </w:rPr>
      </w:pPr>
      <w:r w:rsidRPr="006C7C4F">
        <w:rPr>
          <w:color w:val="0070C0"/>
          <w:sz w:val="16"/>
        </w:rPr>
        <w:br w:type="column"/>
      </w:r>
    </w:p>
    <w:p w14:paraId="02801996" w14:textId="77777777" w:rsidR="008B0834" w:rsidRPr="00223893" w:rsidRDefault="008B0834" w:rsidP="008B0834">
      <w:pPr>
        <w:pStyle w:val="BodyText"/>
        <w:spacing w:after="0"/>
        <w:jc w:val="both"/>
        <w:rPr>
          <w:sz w:val="16"/>
        </w:rPr>
      </w:pPr>
    </w:p>
    <w:p w14:paraId="07623F60" w14:textId="7744F380" w:rsidR="008B0834" w:rsidRPr="00BA2B3B" w:rsidRDefault="008B0834" w:rsidP="008B0834">
      <w:pPr>
        <w:pStyle w:val="BodyText"/>
        <w:numPr>
          <w:ilvl w:val="0"/>
          <w:numId w:val="9"/>
        </w:numPr>
        <w:spacing w:after="0"/>
        <w:jc w:val="both"/>
        <w:rPr>
          <w:sz w:val="16"/>
        </w:rPr>
      </w:pPr>
      <w:r w:rsidRPr="00BA2B3B">
        <w:rPr>
          <w:sz w:val="16"/>
        </w:rPr>
        <w:t xml:space="preserve">Household consumption in Western Australia </w:t>
      </w:r>
      <w:r w:rsidR="003650F7" w:rsidRPr="00BA2B3B">
        <w:rPr>
          <w:sz w:val="16"/>
        </w:rPr>
        <w:t xml:space="preserve">increased </w:t>
      </w:r>
      <w:r w:rsidRPr="00BA2B3B">
        <w:rPr>
          <w:sz w:val="16"/>
        </w:rPr>
        <w:t xml:space="preserve">strongly </w:t>
      </w:r>
      <w:r w:rsidR="003650F7" w:rsidRPr="00BA2B3B">
        <w:rPr>
          <w:sz w:val="16"/>
        </w:rPr>
        <w:t xml:space="preserve">over </w:t>
      </w:r>
      <w:r w:rsidRPr="00BA2B3B">
        <w:rPr>
          <w:sz w:val="16"/>
        </w:rPr>
        <w:t xml:space="preserve">the </w:t>
      </w:r>
      <w:r w:rsidR="003650F7" w:rsidRPr="00BA2B3B">
        <w:rPr>
          <w:sz w:val="16"/>
        </w:rPr>
        <w:t xml:space="preserve">past </w:t>
      </w:r>
      <w:r w:rsidRPr="00BA2B3B">
        <w:rPr>
          <w:sz w:val="16"/>
        </w:rPr>
        <w:t xml:space="preserve">three </w:t>
      </w:r>
      <w:r w:rsidR="003650F7" w:rsidRPr="00BA2B3B">
        <w:rPr>
          <w:sz w:val="16"/>
        </w:rPr>
        <w:t xml:space="preserve">financial </w:t>
      </w:r>
      <w:r w:rsidRPr="00BA2B3B">
        <w:rPr>
          <w:sz w:val="16"/>
        </w:rPr>
        <w:t>years</w:t>
      </w:r>
      <w:r w:rsidR="003650F7" w:rsidRPr="00BA2B3B">
        <w:rPr>
          <w:sz w:val="16"/>
        </w:rPr>
        <w:t>,</w:t>
      </w:r>
      <w:r w:rsidRPr="00BA2B3B">
        <w:rPr>
          <w:sz w:val="16"/>
        </w:rPr>
        <w:t xml:space="preserve"> following </w:t>
      </w:r>
      <w:r w:rsidR="003650F7" w:rsidRPr="00BA2B3B">
        <w:rPr>
          <w:sz w:val="16"/>
        </w:rPr>
        <w:t>a decline in 2019</w:t>
      </w:r>
      <w:r w:rsidR="003650F7" w:rsidRPr="00BA2B3B">
        <w:rPr>
          <w:sz w:val="16"/>
        </w:rPr>
        <w:noBreakHyphen/>
        <w:t xml:space="preserve">20 related to </w:t>
      </w:r>
      <w:r w:rsidRPr="00BA2B3B">
        <w:rPr>
          <w:sz w:val="16"/>
        </w:rPr>
        <w:t>the onset of the COVID</w:t>
      </w:r>
      <w:r w:rsidRPr="00BA2B3B">
        <w:rPr>
          <w:sz w:val="16"/>
        </w:rPr>
        <w:noBreakHyphen/>
        <w:t>19 pandemic.</w:t>
      </w:r>
    </w:p>
    <w:p w14:paraId="5F25FBF9" w14:textId="05B50444" w:rsidR="008B0834" w:rsidRPr="00BA2B3B" w:rsidRDefault="008B0834" w:rsidP="008B0834">
      <w:pPr>
        <w:pStyle w:val="BodyText"/>
        <w:numPr>
          <w:ilvl w:val="0"/>
          <w:numId w:val="9"/>
        </w:numPr>
        <w:spacing w:after="0"/>
        <w:jc w:val="both"/>
        <w:rPr>
          <w:sz w:val="16"/>
        </w:rPr>
      </w:pPr>
      <w:r w:rsidRPr="00BA2B3B">
        <w:rPr>
          <w:sz w:val="16"/>
        </w:rPr>
        <w:t>Western Australia’s real household consumption rose 3.</w:t>
      </w:r>
      <w:r w:rsidR="00CD6A09">
        <w:rPr>
          <w:sz w:val="16"/>
        </w:rPr>
        <w:t>5</w:t>
      </w:r>
      <w:r w:rsidRPr="00BA2B3B">
        <w:rPr>
          <w:sz w:val="16"/>
        </w:rPr>
        <w:t>% in 2022-23.</w:t>
      </w:r>
    </w:p>
    <w:p w14:paraId="4F4075D5" w14:textId="77777777" w:rsidR="008B0834" w:rsidRPr="00BA2B3B" w:rsidRDefault="008B0834" w:rsidP="008B0834">
      <w:pPr>
        <w:pStyle w:val="BodyText"/>
        <w:numPr>
          <w:ilvl w:val="0"/>
          <w:numId w:val="9"/>
        </w:numPr>
        <w:spacing w:after="0"/>
        <w:jc w:val="both"/>
        <w:rPr>
          <w:sz w:val="16"/>
        </w:rPr>
      </w:pPr>
      <w:r w:rsidRPr="00BA2B3B">
        <w:rPr>
          <w:sz w:val="16"/>
        </w:rPr>
        <w:t>Western Australia accounted for 10.6% of Australia’s household consumption in 2022-23.</w:t>
      </w:r>
    </w:p>
    <w:p w14:paraId="76F55CFE" w14:textId="1428FDB4" w:rsidR="008B0834" w:rsidRPr="00B0381F" w:rsidRDefault="008B0834" w:rsidP="008B0834">
      <w:pPr>
        <w:pStyle w:val="BodyText"/>
        <w:numPr>
          <w:ilvl w:val="0"/>
          <w:numId w:val="9"/>
        </w:numPr>
        <w:spacing w:after="0"/>
        <w:jc w:val="both"/>
        <w:rPr>
          <w:sz w:val="16"/>
        </w:rPr>
      </w:pPr>
      <w:r w:rsidRPr="00B0381F">
        <w:rPr>
          <w:sz w:val="16"/>
        </w:rPr>
        <w:t xml:space="preserve">The WA Government </w:t>
      </w:r>
      <w:r w:rsidR="005358EC" w:rsidRPr="00B0381F">
        <w:rPr>
          <w:sz w:val="16"/>
        </w:rPr>
        <w:t>Mid-year Financial Projections Statement</w:t>
      </w:r>
      <w:r w:rsidR="005358EC" w:rsidRPr="00B0381F" w:rsidDel="005358EC">
        <w:rPr>
          <w:sz w:val="16"/>
        </w:rPr>
        <w:t xml:space="preserve"> </w:t>
      </w:r>
      <w:r w:rsidRPr="00B0381F">
        <w:rPr>
          <w:sz w:val="16"/>
        </w:rPr>
        <w:t xml:space="preserve">2023-24 forecasts Western Australia’s real household consumption will rise </w:t>
      </w:r>
      <w:r w:rsidR="005358EC" w:rsidRPr="00B0381F">
        <w:rPr>
          <w:sz w:val="16"/>
        </w:rPr>
        <w:t>2</w:t>
      </w:r>
      <w:r w:rsidRPr="00B0381F">
        <w:rPr>
          <w:sz w:val="16"/>
        </w:rPr>
        <w:t>.5% in 2023</w:t>
      </w:r>
      <w:r w:rsidRPr="00B0381F">
        <w:rPr>
          <w:sz w:val="16"/>
        </w:rPr>
        <w:noBreakHyphen/>
        <w:t>24 and 2.25% in 2024-25.</w:t>
      </w:r>
    </w:p>
    <w:p w14:paraId="3DFD7CB3" w14:textId="77777777" w:rsidR="008B0834" w:rsidRPr="00CC7800" w:rsidRDefault="008B0834" w:rsidP="008B0834">
      <w:pPr>
        <w:pStyle w:val="BodyText"/>
        <w:spacing w:after="0"/>
        <w:jc w:val="both"/>
        <w:rPr>
          <w:color w:val="0070C0"/>
          <w:sz w:val="16"/>
        </w:rPr>
        <w:sectPr w:rsidR="008B0834" w:rsidRPr="00CC7800" w:rsidSect="00F7498D">
          <w:type w:val="continuous"/>
          <w:pgSz w:w="11907" w:h="16840" w:code="9"/>
          <w:pgMar w:top="1701" w:right="720" w:bottom="720" w:left="720" w:header="709" w:footer="709" w:gutter="0"/>
          <w:cols w:num="2" w:space="284" w:equalWidth="0">
            <w:col w:w="5647" w:space="284"/>
            <w:col w:w="4536"/>
          </w:cols>
          <w:docGrid w:linePitch="360"/>
        </w:sectPr>
      </w:pPr>
    </w:p>
    <w:p w14:paraId="40A5C5C1" w14:textId="77777777" w:rsidR="008B0834" w:rsidRPr="0098478E" w:rsidRDefault="008B0834" w:rsidP="008B0834">
      <w:pPr>
        <w:pStyle w:val="BodyText"/>
        <w:spacing w:after="0"/>
        <w:rPr>
          <w:b/>
          <w:color w:val="92278F" w:themeColor="accent1"/>
          <w:sz w:val="20"/>
        </w:rPr>
      </w:pPr>
      <w:r w:rsidRPr="0098478E">
        <w:rPr>
          <w:b/>
          <w:color w:val="92278F" w:themeColor="accent1"/>
          <w:sz w:val="20"/>
        </w:rPr>
        <w:t>Western Australia’s household consumption by industry sector</w:t>
      </w:r>
      <w:r w:rsidRPr="0098478E">
        <w:rPr>
          <w:b/>
          <w:color w:val="92278F" w:themeColor="accent1"/>
          <w:sz w:val="20"/>
          <w:vertAlign w:val="superscript"/>
        </w:rPr>
        <w:t>1</w:t>
      </w:r>
    </w:p>
    <w:p w14:paraId="32A05814" w14:textId="55158AE1" w:rsidR="008B0834" w:rsidRPr="00250273" w:rsidRDefault="003650F7" w:rsidP="008B0834">
      <w:pPr>
        <w:spacing w:after="0"/>
        <w:jc w:val="both"/>
        <w:rPr>
          <w:sz w:val="16"/>
        </w:rPr>
      </w:pPr>
      <w:r>
        <w:rPr>
          <w:noProof/>
          <w:sz w:val="16"/>
        </w:rPr>
        <w:drawing>
          <wp:inline distT="0" distB="0" distL="0" distR="0" wp14:anchorId="568E646C" wp14:editId="06251EBD">
            <wp:extent cx="3528000" cy="210340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4C5FBE5F" w14:textId="77777777" w:rsidR="008B0834" w:rsidRPr="00A5645B" w:rsidRDefault="008B0834" w:rsidP="008B0834">
      <w:pPr>
        <w:spacing w:after="0"/>
        <w:jc w:val="both"/>
        <w:rPr>
          <w:sz w:val="10"/>
        </w:rPr>
      </w:pPr>
      <w:r w:rsidRPr="006C7C4F">
        <w:rPr>
          <w:color w:val="0070C0"/>
          <w:sz w:val="10"/>
          <w:vertAlign w:val="superscript"/>
        </w:rPr>
        <w:t>1</w:t>
      </w:r>
      <w:r w:rsidRPr="006C7C4F">
        <w:rPr>
          <w:color w:val="0070C0"/>
          <w:sz w:val="10"/>
        </w:rPr>
        <w:t xml:space="preserve"> </w:t>
      </w:r>
      <w:r w:rsidRPr="00FF26FD">
        <w:rPr>
          <w:sz w:val="10"/>
        </w:rPr>
        <w:t xml:space="preserve">Nominal or not adjusted for </w:t>
      </w:r>
      <w:r w:rsidRPr="00A5645B">
        <w:rPr>
          <w:sz w:val="10"/>
        </w:rPr>
        <w:t>price changes. Original series.</w:t>
      </w:r>
    </w:p>
    <w:p w14:paraId="10172AD1" w14:textId="77777777" w:rsidR="008B0834" w:rsidRPr="00A5645B" w:rsidRDefault="008B0834" w:rsidP="008B0834">
      <w:pPr>
        <w:spacing w:after="0"/>
        <w:jc w:val="both"/>
        <w:rPr>
          <w:sz w:val="10"/>
        </w:rPr>
      </w:pPr>
      <w:r w:rsidRPr="00A5645B">
        <w:rPr>
          <w:sz w:val="10"/>
        </w:rPr>
        <w:t>(a) Water, electricity and gas.</w:t>
      </w:r>
    </w:p>
    <w:p w14:paraId="63D24168" w14:textId="77777777" w:rsidR="008B0834" w:rsidRPr="00FF26FD" w:rsidRDefault="008B0834" w:rsidP="008B0834">
      <w:pPr>
        <w:spacing w:after="0"/>
        <w:jc w:val="both"/>
        <w:rPr>
          <w:sz w:val="10"/>
        </w:rPr>
      </w:pPr>
      <w:r w:rsidRPr="00FF26FD">
        <w:rPr>
          <w:sz w:val="10"/>
        </w:rPr>
        <w:t xml:space="preserve">Source: </w:t>
      </w:r>
      <w:r w:rsidRPr="001670A2">
        <w:rPr>
          <w:color w:val="000000" w:themeColor="text1"/>
          <w:sz w:val="10"/>
        </w:rPr>
        <w:t xml:space="preserve">Based on data from </w:t>
      </w:r>
      <w:r w:rsidRPr="00FF26FD">
        <w:rPr>
          <w:sz w:val="10"/>
        </w:rPr>
        <w:t>ABS 5220.0 Australian National Accounts: State Accounts (Annual); and ABS 5206.0. Australian National Accounts: National Income, Expenditure and Product (Quarterly).</w:t>
      </w:r>
    </w:p>
    <w:p w14:paraId="14241670" w14:textId="77777777" w:rsidR="008B0834" w:rsidRPr="00250273" w:rsidRDefault="008B0834" w:rsidP="008B0834">
      <w:pPr>
        <w:spacing w:after="0"/>
        <w:jc w:val="both"/>
        <w:rPr>
          <w:sz w:val="16"/>
        </w:rPr>
      </w:pPr>
    </w:p>
    <w:p w14:paraId="477D907E" w14:textId="77777777" w:rsidR="008B0834" w:rsidRPr="00250273" w:rsidRDefault="008B0834" w:rsidP="008B0834">
      <w:pPr>
        <w:spacing w:after="0"/>
        <w:jc w:val="both"/>
        <w:rPr>
          <w:sz w:val="16"/>
        </w:rPr>
      </w:pPr>
    </w:p>
    <w:p w14:paraId="2C0B0DAE" w14:textId="30030E42" w:rsidR="003650F7" w:rsidRPr="003650F7" w:rsidRDefault="008B0834" w:rsidP="008B0834">
      <w:pPr>
        <w:pStyle w:val="BodyText"/>
        <w:spacing w:after="0"/>
        <w:jc w:val="both"/>
        <w:rPr>
          <w:sz w:val="16"/>
        </w:rPr>
      </w:pPr>
      <w:r w:rsidRPr="006C7C4F">
        <w:rPr>
          <w:color w:val="0070C0"/>
          <w:sz w:val="16"/>
        </w:rPr>
        <w:br w:type="column"/>
      </w:r>
    </w:p>
    <w:p w14:paraId="0046C296" w14:textId="77777777" w:rsidR="003650F7" w:rsidRPr="00250273" w:rsidRDefault="003650F7" w:rsidP="008B0834">
      <w:pPr>
        <w:pStyle w:val="BodyText"/>
        <w:spacing w:after="0"/>
        <w:jc w:val="both"/>
        <w:rPr>
          <w:sz w:val="16"/>
        </w:rPr>
      </w:pPr>
    </w:p>
    <w:p w14:paraId="6FD7BD44" w14:textId="5B77FCC2" w:rsidR="008B0834" w:rsidRPr="00BA2B3B" w:rsidRDefault="008B0834" w:rsidP="008B0834">
      <w:pPr>
        <w:pStyle w:val="BodyText"/>
        <w:numPr>
          <w:ilvl w:val="0"/>
          <w:numId w:val="9"/>
        </w:numPr>
        <w:spacing w:after="0"/>
        <w:jc w:val="both"/>
        <w:rPr>
          <w:sz w:val="16"/>
        </w:rPr>
      </w:pPr>
      <w:r w:rsidRPr="00BA2B3B">
        <w:rPr>
          <w:sz w:val="16"/>
        </w:rPr>
        <w:t>The value of Western Australia’s</w:t>
      </w:r>
      <w:r w:rsidRPr="00BA2B3B">
        <w:rPr>
          <w:rFonts w:ascii="Arial" w:hAnsi="Arial" w:cs="Times New Roman"/>
          <w:sz w:val="20"/>
          <w:szCs w:val="20"/>
        </w:rPr>
        <w:t xml:space="preserve"> </w:t>
      </w:r>
      <w:r w:rsidRPr="00BA2B3B">
        <w:rPr>
          <w:sz w:val="16"/>
        </w:rPr>
        <w:t xml:space="preserve">household consumption rose </w:t>
      </w:r>
      <w:r w:rsidR="008816DF" w:rsidRPr="00BA2B3B">
        <w:rPr>
          <w:sz w:val="16"/>
        </w:rPr>
        <w:t>11.1</w:t>
      </w:r>
      <w:r w:rsidRPr="00BA2B3B">
        <w:rPr>
          <w:sz w:val="16"/>
        </w:rPr>
        <w:t>% to $13</w:t>
      </w:r>
      <w:r w:rsidR="008816DF" w:rsidRPr="00BA2B3B">
        <w:rPr>
          <w:sz w:val="16"/>
        </w:rPr>
        <w:t>5</w:t>
      </w:r>
      <w:r w:rsidRPr="00BA2B3B">
        <w:rPr>
          <w:sz w:val="16"/>
        </w:rPr>
        <w:t>.</w:t>
      </w:r>
      <w:r w:rsidR="008816DF" w:rsidRPr="00BA2B3B">
        <w:rPr>
          <w:sz w:val="16"/>
        </w:rPr>
        <w:t>3</w:t>
      </w:r>
      <w:r w:rsidRPr="00BA2B3B">
        <w:rPr>
          <w:sz w:val="16"/>
        </w:rPr>
        <w:t> billion in 2022-23.</w:t>
      </w:r>
    </w:p>
    <w:p w14:paraId="4284CAD8" w14:textId="2DFE3F1C" w:rsidR="008B0834" w:rsidRPr="00BA2B3B" w:rsidRDefault="00BD4321" w:rsidP="008B0834">
      <w:pPr>
        <w:pStyle w:val="BodyText"/>
        <w:numPr>
          <w:ilvl w:val="0"/>
          <w:numId w:val="9"/>
        </w:numPr>
        <w:spacing w:after="0"/>
        <w:jc w:val="both"/>
        <w:rPr>
          <w:sz w:val="16"/>
        </w:rPr>
      </w:pPr>
      <w:r w:rsidRPr="00BA2B3B">
        <w:rPr>
          <w:sz w:val="16"/>
        </w:rPr>
        <w:t>Rent and other dwelling services</w:t>
      </w:r>
      <w:r w:rsidR="008B0834" w:rsidRPr="00BA2B3B">
        <w:rPr>
          <w:sz w:val="16"/>
        </w:rPr>
        <w:t xml:space="preserve"> accounted for </w:t>
      </w:r>
      <w:r w:rsidRPr="00BA2B3B">
        <w:rPr>
          <w:sz w:val="16"/>
        </w:rPr>
        <w:t>21.3</w:t>
      </w:r>
      <w:r w:rsidR="008B0834" w:rsidRPr="00BA2B3B">
        <w:rPr>
          <w:sz w:val="16"/>
        </w:rPr>
        <w:t>% of Western Australia’s household consumption in 2022-23, followed by insurance, finance and other (14.</w:t>
      </w:r>
      <w:r w:rsidRPr="00BA2B3B">
        <w:rPr>
          <w:sz w:val="16"/>
        </w:rPr>
        <w:t>1</w:t>
      </w:r>
      <w:r w:rsidR="008B0834" w:rsidRPr="00BA2B3B">
        <w:rPr>
          <w:sz w:val="16"/>
        </w:rPr>
        <w:t>%) and transport (</w:t>
      </w:r>
      <w:r w:rsidRPr="00BA2B3B">
        <w:rPr>
          <w:sz w:val="16"/>
        </w:rPr>
        <w:t>12.7</w:t>
      </w:r>
      <w:r w:rsidR="008B0834" w:rsidRPr="00BA2B3B">
        <w:rPr>
          <w:sz w:val="16"/>
        </w:rPr>
        <w:t>%).</w:t>
      </w:r>
    </w:p>
    <w:p w14:paraId="7B66A518" w14:textId="77777777" w:rsidR="008B0834" w:rsidRPr="00BA2B3B" w:rsidRDefault="008B0834" w:rsidP="008B0834">
      <w:pPr>
        <w:pStyle w:val="BodyText"/>
        <w:numPr>
          <w:ilvl w:val="0"/>
          <w:numId w:val="9"/>
        </w:numPr>
        <w:spacing w:after="0"/>
        <w:jc w:val="both"/>
        <w:rPr>
          <w:sz w:val="16"/>
        </w:rPr>
      </w:pPr>
      <w:r w:rsidRPr="00BA2B3B">
        <w:rPr>
          <w:sz w:val="16"/>
        </w:rPr>
        <w:t>The largest increases in Western Australia’s household consumption in 2022-23 were in:</w:t>
      </w:r>
    </w:p>
    <w:p w14:paraId="2BD887C0" w14:textId="28CA6A27" w:rsidR="008B0834" w:rsidRPr="00BA2B3B" w:rsidRDefault="008B0834" w:rsidP="008B0834">
      <w:pPr>
        <w:pStyle w:val="BodyText"/>
        <w:numPr>
          <w:ilvl w:val="1"/>
          <w:numId w:val="11"/>
        </w:numPr>
        <w:spacing w:after="0"/>
        <w:ind w:left="851" w:hanging="284"/>
        <w:jc w:val="both"/>
        <w:rPr>
          <w:sz w:val="16"/>
        </w:rPr>
      </w:pPr>
      <w:r w:rsidRPr="00BA2B3B">
        <w:rPr>
          <w:sz w:val="16"/>
        </w:rPr>
        <w:t>transport (up $4.</w:t>
      </w:r>
      <w:r w:rsidR="00606F72" w:rsidRPr="00BA2B3B">
        <w:rPr>
          <w:sz w:val="16"/>
        </w:rPr>
        <w:t>9</w:t>
      </w:r>
      <w:r w:rsidRPr="00BA2B3B">
        <w:rPr>
          <w:sz w:val="16"/>
        </w:rPr>
        <w:t> billion or 3</w:t>
      </w:r>
      <w:r w:rsidR="00606F72" w:rsidRPr="00BA2B3B">
        <w:rPr>
          <w:sz w:val="16"/>
        </w:rPr>
        <w:t>9.4</w:t>
      </w:r>
      <w:r w:rsidRPr="00BA2B3B">
        <w:rPr>
          <w:sz w:val="16"/>
        </w:rPr>
        <w:t>%)</w:t>
      </w:r>
    </w:p>
    <w:p w14:paraId="2CDC984F" w14:textId="47A587B0" w:rsidR="008B0834" w:rsidRPr="00BA2B3B" w:rsidRDefault="00606F72" w:rsidP="008B0834">
      <w:pPr>
        <w:pStyle w:val="BodyText"/>
        <w:numPr>
          <w:ilvl w:val="1"/>
          <w:numId w:val="11"/>
        </w:numPr>
        <w:spacing w:after="0"/>
        <w:ind w:left="851" w:hanging="284"/>
        <w:jc w:val="both"/>
        <w:rPr>
          <w:sz w:val="16"/>
        </w:rPr>
      </w:pPr>
      <w:r w:rsidRPr="00BA2B3B">
        <w:rPr>
          <w:sz w:val="16"/>
        </w:rPr>
        <w:t xml:space="preserve">rent and other dwelling services </w:t>
      </w:r>
      <w:r w:rsidR="008B0834" w:rsidRPr="00BA2B3B">
        <w:rPr>
          <w:sz w:val="16"/>
        </w:rPr>
        <w:t>(up $2.</w:t>
      </w:r>
      <w:r w:rsidRPr="00BA2B3B">
        <w:rPr>
          <w:sz w:val="16"/>
        </w:rPr>
        <w:t>8</w:t>
      </w:r>
      <w:r w:rsidR="008B0834" w:rsidRPr="00BA2B3B">
        <w:rPr>
          <w:sz w:val="16"/>
        </w:rPr>
        <w:t xml:space="preserve"> billion or </w:t>
      </w:r>
      <w:r w:rsidRPr="00BA2B3B">
        <w:rPr>
          <w:sz w:val="16"/>
        </w:rPr>
        <w:t xml:space="preserve">10.6 </w:t>
      </w:r>
      <w:r w:rsidR="008B0834" w:rsidRPr="00BA2B3B">
        <w:rPr>
          <w:sz w:val="16"/>
        </w:rPr>
        <w:t>%)</w:t>
      </w:r>
    </w:p>
    <w:p w14:paraId="25CBD416" w14:textId="66EC5657" w:rsidR="008B0834" w:rsidRPr="00BA2B3B" w:rsidRDefault="008B0834" w:rsidP="008B0834">
      <w:pPr>
        <w:pStyle w:val="BodyText"/>
        <w:numPr>
          <w:ilvl w:val="1"/>
          <w:numId w:val="11"/>
        </w:numPr>
        <w:spacing w:after="0"/>
        <w:ind w:left="851" w:hanging="284"/>
        <w:jc w:val="both"/>
        <w:rPr>
          <w:sz w:val="16"/>
        </w:rPr>
      </w:pPr>
      <w:r w:rsidRPr="00BA2B3B">
        <w:rPr>
          <w:sz w:val="16"/>
        </w:rPr>
        <w:t>insurance, finance and other (up $1.</w:t>
      </w:r>
      <w:r w:rsidR="00606F72" w:rsidRPr="00BA2B3B">
        <w:rPr>
          <w:sz w:val="16"/>
        </w:rPr>
        <w:t>6</w:t>
      </w:r>
      <w:r w:rsidRPr="00BA2B3B">
        <w:rPr>
          <w:sz w:val="16"/>
        </w:rPr>
        <w:t> billion or 9.</w:t>
      </w:r>
      <w:r w:rsidR="00606F72" w:rsidRPr="00BA2B3B">
        <w:rPr>
          <w:sz w:val="16"/>
        </w:rPr>
        <w:t>0</w:t>
      </w:r>
      <w:r w:rsidRPr="00BA2B3B">
        <w:rPr>
          <w:sz w:val="16"/>
        </w:rPr>
        <w:t>%).</w:t>
      </w:r>
    </w:p>
    <w:p w14:paraId="17940B1D" w14:textId="77777777" w:rsidR="008B0834" w:rsidRDefault="008B0834" w:rsidP="008B0834">
      <w:pPr>
        <w:pStyle w:val="BodyText"/>
        <w:spacing w:after="0"/>
        <w:jc w:val="both"/>
        <w:rPr>
          <w:sz w:val="16"/>
        </w:rPr>
      </w:pPr>
    </w:p>
    <w:p w14:paraId="257B1714" w14:textId="77777777" w:rsidR="008B0834" w:rsidRPr="00994BC7" w:rsidRDefault="008B0834" w:rsidP="008B0834">
      <w:pPr>
        <w:pStyle w:val="BodyText"/>
        <w:spacing w:after="0"/>
        <w:jc w:val="both"/>
        <w:rPr>
          <w:color w:val="FF0000"/>
          <w:sz w:val="16"/>
        </w:rPr>
        <w:sectPr w:rsidR="008B0834" w:rsidRPr="00994BC7" w:rsidSect="00F7498D">
          <w:type w:val="continuous"/>
          <w:pgSz w:w="11907" w:h="16840" w:code="9"/>
          <w:pgMar w:top="1701" w:right="720" w:bottom="720" w:left="720" w:header="709" w:footer="709" w:gutter="0"/>
          <w:cols w:num="2" w:space="284" w:equalWidth="0">
            <w:col w:w="5647" w:space="284"/>
            <w:col w:w="4536"/>
          </w:cols>
          <w:docGrid w:linePitch="360"/>
        </w:sectPr>
      </w:pPr>
    </w:p>
    <w:p w14:paraId="7E310EF0"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retail turnover</w:t>
      </w:r>
      <w:r w:rsidRPr="00020369">
        <w:rPr>
          <w:b/>
          <w:color w:val="92278F" w:themeColor="accent1"/>
          <w:sz w:val="20"/>
          <w:vertAlign w:val="superscript"/>
        </w:rPr>
        <w:t>1</w:t>
      </w:r>
    </w:p>
    <w:p w14:paraId="3B1701A0" w14:textId="760E6725" w:rsidR="008B0834" w:rsidRDefault="00B87FF7" w:rsidP="008B0834">
      <w:pPr>
        <w:pStyle w:val="BodyText"/>
        <w:spacing w:after="0"/>
        <w:jc w:val="both"/>
        <w:rPr>
          <w:sz w:val="16"/>
        </w:rPr>
      </w:pPr>
      <w:r>
        <w:rPr>
          <w:noProof/>
          <w:sz w:val="16"/>
        </w:rPr>
        <w:drawing>
          <wp:inline distT="0" distB="0" distL="0" distR="0" wp14:anchorId="2748BB2E" wp14:editId="77CB6BE7">
            <wp:extent cx="3528000" cy="210340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7CA63B73" w14:textId="77777777" w:rsidR="008B0834" w:rsidRPr="00820809" w:rsidRDefault="008B0834" w:rsidP="008B0834">
      <w:pPr>
        <w:spacing w:after="0"/>
        <w:jc w:val="both"/>
        <w:rPr>
          <w:sz w:val="10"/>
        </w:rPr>
      </w:pPr>
      <w:r>
        <w:rPr>
          <w:sz w:val="10"/>
        </w:rPr>
        <w:t>Note – A</w:t>
      </w:r>
      <w:r w:rsidRPr="00820809">
        <w:rPr>
          <w:sz w:val="10"/>
        </w:rPr>
        <w:t xml:space="preserve">xis does not start at zero. </w:t>
      </w:r>
      <w:r w:rsidRPr="00820809">
        <w:rPr>
          <w:sz w:val="10"/>
          <w:vertAlign w:val="superscript"/>
        </w:rPr>
        <w:t>1</w:t>
      </w:r>
      <w:r>
        <w:rPr>
          <w:sz w:val="10"/>
        </w:rPr>
        <w:t xml:space="preserve"> Nominal or not adjusted for price changes</w:t>
      </w:r>
      <w:r w:rsidRPr="00820809">
        <w:rPr>
          <w:sz w:val="10"/>
        </w:rPr>
        <w:t>.</w:t>
      </w:r>
      <w:r>
        <w:rPr>
          <w:sz w:val="10"/>
        </w:rPr>
        <w:t xml:space="preserve"> Seasonally adjusted series</w:t>
      </w:r>
      <w:r w:rsidRPr="00820809">
        <w:rPr>
          <w:sz w:val="10"/>
        </w:rPr>
        <w:t xml:space="preserve"> </w:t>
      </w:r>
      <w:r w:rsidRPr="00820809">
        <w:rPr>
          <w:sz w:val="10"/>
          <w:vertAlign w:val="superscript"/>
        </w:rPr>
        <w:t>2</w:t>
      </w:r>
      <w:r w:rsidRPr="00820809">
        <w:rPr>
          <w:sz w:val="10"/>
        </w:rPr>
        <w:t xml:space="preserve"> Includes newspapers and books; other recreational goods; pharmaceutical, cosmetic and toiletry goods; and other retailing.</w:t>
      </w:r>
    </w:p>
    <w:p w14:paraId="1043B34D" w14:textId="77777777" w:rsidR="008B0834" w:rsidRPr="00715528" w:rsidRDefault="008B0834" w:rsidP="008B0834">
      <w:pPr>
        <w:spacing w:after="0"/>
        <w:jc w:val="both"/>
        <w:rPr>
          <w:sz w:val="10"/>
        </w:rPr>
      </w:pPr>
      <w:r w:rsidRPr="00820809">
        <w:rPr>
          <w:sz w:val="10"/>
        </w:rPr>
        <w:t xml:space="preserve">Source: </w:t>
      </w:r>
      <w:r w:rsidRPr="00C65751">
        <w:rPr>
          <w:sz w:val="10"/>
        </w:rPr>
        <w:t xml:space="preserve">Based on data from </w:t>
      </w:r>
      <w:r w:rsidRPr="00820809">
        <w:rPr>
          <w:sz w:val="10"/>
        </w:rPr>
        <w:t>ABS 8501.0 Retail Trade, Australia</w:t>
      </w:r>
      <w:r>
        <w:rPr>
          <w:sz w:val="10"/>
        </w:rPr>
        <w:t xml:space="preserve"> (Monthly).</w:t>
      </w:r>
    </w:p>
    <w:p w14:paraId="104242A7" w14:textId="77777777" w:rsidR="008B0834" w:rsidRPr="008809A4" w:rsidRDefault="008B0834" w:rsidP="008B0834">
      <w:pPr>
        <w:pStyle w:val="BodyText"/>
        <w:spacing w:after="0"/>
        <w:jc w:val="both"/>
        <w:rPr>
          <w:sz w:val="16"/>
        </w:rPr>
      </w:pPr>
      <w:r w:rsidRPr="009A3397">
        <w:rPr>
          <w:sz w:val="16"/>
        </w:rPr>
        <w:br w:type="column"/>
      </w:r>
    </w:p>
    <w:p w14:paraId="5903C48D" w14:textId="0A977F77" w:rsidR="008B0834" w:rsidRPr="00B0381F" w:rsidRDefault="008B0834" w:rsidP="008B0834">
      <w:pPr>
        <w:pStyle w:val="BodyText"/>
        <w:numPr>
          <w:ilvl w:val="0"/>
          <w:numId w:val="9"/>
        </w:numPr>
        <w:spacing w:after="0"/>
        <w:jc w:val="both"/>
        <w:rPr>
          <w:sz w:val="16"/>
        </w:rPr>
      </w:pPr>
      <w:r w:rsidRPr="00B0381F">
        <w:rPr>
          <w:sz w:val="16"/>
        </w:rPr>
        <w:t>The value of Western Australia’s retail turnover rose 0.</w:t>
      </w:r>
      <w:r w:rsidR="004D1ABF" w:rsidRPr="00B0381F">
        <w:rPr>
          <w:sz w:val="16"/>
        </w:rPr>
        <w:t>8</w:t>
      </w:r>
      <w:r w:rsidRPr="00B0381F">
        <w:rPr>
          <w:sz w:val="16"/>
        </w:rPr>
        <w:t xml:space="preserve">% to $4.0 billion in </w:t>
      </w:r>
      <w:r w:rsidR="004D1ABF" w:rsidRPr="00B0381F">
        <w:rPr>
          <w:sz w:val="16"/>
        </w:rPr>
        <w:t xml:space="preserve">October </w:t>
      </w:r>
      <w:r w:rsidRPr="00B0381F">
        <w:rPr>
          <w:sz w:val="16"/>
        </w:rPr>
        <w:t>2023, following a rise of 0.</w:t>
      </w:r>
      <w:r w:rsidR="004D1ABF" w:rsidRPr="00B0381F">
        <w:rPr>
          <w:sz w:val="16"/>
        </w:rPr>
        <w:t>1</w:t>
      </w:r>
      <w:r w:rsidRPr="00B0381F">
        <w:rPr>
          <w:sz w:val="16"/>
        </w:rPr>
        <w:t xml:space="preserve">% in </w:t>
      </w:r>
      <w:r w:rsidR="004D1ABF" w:rsidRPr="00B0381F">
        <w:rPr>
          <w:sz w:val="16"/>
        </w:rPr>
        <w:t>September</w:t>
      </w:r>
      <w:r w:rsidRPr="00B0381F">
        <w:rPr>
          <w:sz w:val="16"/>
        </w:rPr>
        <w:t> 2023.</w:t>
      </w:r>
    </w:p>
    <w:p w14:paraId="009844CC" w14:textId="45C9401C" w:rsidR="008B0834" w:rsidRPr="00B0381F" w:rsidRDefault="008B0834" w:rsidP="008B0834">
      <w:pPr>
        <w:pStyle w:val="BodyText"/>
        <w:numPr>
          <w:ilvl w:val="0"/>
          <w:numId w:val="9"/>
        </w:numPr>
        <w:spacing w:after="0"/>
        <w:jc w:val="both"/>
        <w:rPr>
          <w:sz w:val="16"/>
        </w:rPr>
      </w:pPr>
      <w:r w:rsidRPr="00B0381F">
        <w:rPr>
          <w:sz w:val="16"/>
        </w:rPr>
        <w:t xml:space="preserve">Components of retail turnover that rose in </w:t>
      </w:r>
      <w:r w:rsidR="00F42E24" w:rsidRPr="00B0381F">
        <w:rPr>
          <w:sz w:val="16"/>
        </w:rPr>
        <w:t>Octo</w:t>
      </w:r>
      <w:r w:rsidRPr="00B0381F">
        <w:rPr>
          <w:sz w:val="16"/>
        </w:rPr>
        <w:t>ber 2023 were:</w:t>
      </w:r>
    </w:p>
    <w:p w14:paraId="6C93E4FA" w14:textId="0223945E" w:rsidR="008B0834" w:rsidRPr="00B0381F" w:rsidRDefault="008B0834" w:rsidP="008B0834">
      <w:pPr>
        <w:pStyle w:val="BodyText"/>
        <w:numPr>
          <w:ilvl w:val="1"/>
          <w:numId w:val="11"/>
        </w:numPr>
        <w:spacing w:after="0"/>
        <w:ind w:left="851" w:hanging="284"/>
        <w:jc w:val="both"/>
        <w:rPr>
          <w:sz w:val="16"/>
        </w:rPr>
      </w:pPr>
      <w:r w:rsidRPr="00B0381F">
        <w:rPr>
          <w:sz w:val="16"/>
        </w:rPr>
        <w:t>food, up $</w:t>
      </w:r>
      <w:r w:rsidR="00F42E24" w:rsidRPr="00B0381F">
        <w:rPr>
          <w:sz w:val="16"/>
        </w:rPr>
        <w:t xml:space="preserve">22 </w:t>
      </w:r>
      <w:r w:rsidRPr="00B0381F">
        <w:rPr>
          <w:sz w:val="16"/>
        </w:rPr>
        <w:t xml:space="preserve">million or </w:t>
      </w:r>
      <w:r w:rsidR="00F42E24" w:rsidRPr="00B0381F">
        <w:rPr>
          <w:sz w:val="16"/>
        </w:rPr>
        <w:t>1.4</w:t>
      </w:r>
      <w:r w:rsidRPr="00B0381F">
        <w:rPr>
          <w:sz w:val="16"/>
        </w:rPr>
        <w:t>%</w:t>
      </w:r>
    </w:p>
    <w:p w14:paraId="03F21277" w14:textId="183023D1" w:rsidR="00F42E24" w:rsidRPr="00B0381F" w:rsidRDefault="008B0834" w:rsidP="008B0834">
      <w:pPr>
        <w:pStyle w:val="BodyText"/>
        <w:numPr>
          <w:ilvl w:val="1"/>
          <w:numId w:val="11"/>
        </w:numPr>
        <w:spacing w:after="0"/>
        <w:ind w:left="851" w:hanging="284"/>
        <w:jc w:val="both"/>
        <w:rPr>
          <w:sz w:val="16"/>
        </w:rPr>
      </w:pPr>
      <w:r w:rsidRPr="00B0381F">
        <w:rPr>
          <w:sz w:val="16"/>
        </w:rPr>
        <w:t>household goods, up $</w:t>
      </w:r>
      <w:r w:rsidR="00F42E24" w:rsidRPr="00B0381F">
        <w:rPr>
          <w:sz w:val="16"/>
        </w:rPr>
        <w:t>9</w:t>
      </w:r>
      <w:r w:rsidRPr="00B0381F">
        <w:rPr>
          <w:sz w:val="16"/>
        </w:rPr>
        <w:t xml:space="preserve"> million or </w:t>
      </w:r>
      <w:r w:rsidR="00F42E24" w:rsidRPr="00B0381F">
        <w:rPr>
          <w:sz w:val="16"/>
        </w:rPr>
        <w:t>1.4</w:t>
      </w:r>
      <w:r w:rsidRPr="00B0381F">
        <w:rPr>
          <w:sz w:val="16"/>
        </w:rPr>
        <w:t>%</w:t>
      </w:r>
    </w:p>
    <w:p w14:paraId="048D8D55" w14:textId="51AA4AC5" w:rsidR="008B0834" w:rsidRPr="00B0381F" w:rsidRDefault="00F42E24" w:rsidP="00F42E24">
      <w:pPr>
        <w:pStyle w:val="BodyText"/>
        <w:numPr>
          <w:ilvl w:val="1"/>
          <w:numId w:val="11"/>
        </w:numPr>
        <w:spacing w:after="0"/>
        <w:ind w:left="851" w:hanging="284"/>
        <w:jc w:val="both"/>
        <w:rPr>
          <w:sz w:val="16"/>
        </w:rPr>
      </w:pPr>
      <w:r w:rsidRPr="00B0381F">
        <w:rPr>
          <w:sz w:val="16"/>
        </w:rPr>
        <w:t>clothing, footwear and personal accessories, up $3 million or 1.1%</w:t>
      </w:r>
      <w:r w:rsidR="008B0834" w:rsidRPr="00B0381F">
        <w:rPr>
          <w:sz w:val="16"/>
        </w:rPr>
        <w:t>.</w:t>
      </w:r>
    </w:p>
    <w:p w14:paraId="4573AFBA" w14:textId="1CCFD8F2" w:rsidR="008B0834" w:rsidRPr="00B0381F" w:rsidRDefault="008B0834" w:rsidP="008B0834">
      <w:pPr>
        <w:pStyle w:val="BodyText"/>
        <w:numPr>
          <w:ilvl w:val="0"/>
          <w:numId w:val="9"/>
        </w:numPr>
        <w:spacing w:after="0"/>
        <w:jc w:val="both"/>
        <w:rPr>
          <w:sz w:val="16"/>
        </w:rPr>
      </w:pPr>
      <w:r w:rsidRPr="00B0381F">
        <w:rPr>
          <w:sz w:val="16"/>
        </w:rPr>
        <w:t xml:space="preserve">Components of retail turnover that fell in </w:t>
      </w:r>
      <w:r w:rsidR="00F42E24" w:rsidRPr="00B0381F">
        <w:rPr>
          <w:sz w:val="16"/>
        </w:rPr>
        <w:t>Octo</w:t>
      </w:r>
      <w:r w:rsidRPr="00B0381F">
        <w:rPr>
          <w:sz w:val="16"/>
        </w:rPr>
        <w:t>ber 2023 were:</w:t>
      </w:r>
    </w:p>
    <w:p w14:paraId="02293A3D" w14:textId="4FEDDE1C" w:rsidR="008B0834" w:rsidRPr="00B0381F" w:rsidRDefault="008B0834" w:rsidP="008B0834">
      <w:pPr>
        <w:pStyle w:val="BodyText"/>
        <w:numPr>
          <w:ilvl w:val="1"/>
          <w:numId w:val="11"/>
        </w:numPr>
        <w:spacing w:after="0"/>
        <w:ind w:left="851" w:hanging="284"/>
        <w:jc w:val="both"/>
        <w:rPr>
          <w:sz w:val="16"/>
        </w:rPr>
      </w:pPr>
      <w:r w:rsidRPr="00B0381F">
        <w:rPr>
          <w:sz w:val="16"/>
        </w:rPr>
        <w:t>other retailing, which includes recreational goods, pharmaceuticals, cosmetics and toiletries, down $</w:t>
      </w:r>
      <w:r w:rsidR="00F42E24" w:rsidRPr="00B0381F">
        <w:rPr>
          <w:sz w:val="16"/>
        </w:rPr>
        <w:t>2</w:t>
      </w:r>
      <w:r w:rsidRPr="00B0381F">
        <w:rPr>
          <w:sz w:val="16"/>
        </w:rPr>
        <w:t xml:space="preserve"> million or </w:t>
      </w:r>
      <w:r w:rsidR="00F42E24" w:rsidRPr="00B0381F">
        <w:rPr>
          <w:sz w:val="16"/>
        </w:rPr>
        <w:t>0.4</w:t>
      </w:r>
      <w:r w:rsidRPr="00B0381F">
        <w:rPr>
          <w:sz w:val="16"/>
        </w:rPr>
        <w:t>%</w:t>
      </w:r>
    </w:p>
    <w:p w14:paraId="6B564A07" w14:textId="77777777" w:rsidR="007551E7" w:rsidRPr="00B0381F" w:rsidRDefault="008B0834" w:rsidP="008B0834">
      <w:pPr>
        <w:pStyle w:val="BodyText"/>
        <w:numPr>
          <w:ilvl w:val="1"/>
          <w:numId w:val="11"/>
        </w:numPr>
        <w:spacing w:after="0"/>
        <w:ind w:left="851" w:hanging="284"/>
        <w:jc w:val="both"/>
        <w:rPr>
          <w:sz w:val="16"/>
        </w:rPr>
      </w:pPr>
      <w:r w:rsidRPr="00B0381F">
        <w:rPr>
          <w:sz w:val="16"/>
        </w:rPr>
        <w:t>cafes, restaurants and takeaway, down $</w:t>
      </w:r>
      <w:r w:rsidR="007551E7" w:rsidRPr="00B0381F">
        <w:rPr>
          <w:sz w:val="16"/>
        </w:rPr>
        <w:t>1</w:t>
      </w:r>
      <w:r w:rsidRPr="00B0381F">
        <w:rPr>
          <w:sz w:val="16"/>
        </w:rPr>
        <w:t> million or 0.</w:t>
      </w:r>
      <w:r w:rsidR="007551E7" w:rsidRPr="00B0381F">
        <w:rPr>
          <w:sz w:val="16"/>
        </w:rPr>
        <w:t>1</w:t>
      </w:r>
      <w:r w:rsidRPr="00B0381F">
        <w:rPr>
          <w:sz w:val="16"/>
        </w:rPr>
        <w:t>%</w:t>
      </w:r>
    </w:p>
    <w:p w14:paraId="02ABEB37" w14:textId="590EDA71" w:rsidR="008B0834" w:rsidRPr="00B0381F" w:rsidRDefault="007551E7" w:rsidP="008B0834">
      <w:pPr>
        <w:pStyle w:val="BodyText"/>
        <w:numPr>
          <w:ilvl w:val="1"/>
          <w:numId w:val="11"/>
        </w:numPr>
        <w:spacing w:after="0"/>
        <w:ind w:left="851" w:hanging="284"/>
        <w:jc w:val="both"/>
        <w:rPr>
          <w:sz w:val="16"/>
        </w:rPr>
      </w:pPr>
      <w:r w:rsidRPr="00B0381F">
        <w:rPr>
          <w:sz w:val="16"/>
        </w:rPr>
        <w:t>department stores, down $0.3 million or 0.1%</w:t>
      </w:r>
      <w:r w:rsidR="00F42E24" w:rsidRPr="00B0381F">
        <w:rPr>
          <w:sz w:val="16"/>
        </w:rPr>
        <w:t>.</w:t>
      </w:r>
    </w:p>
    <w:p w14:paraId="65B01B8E" w14:textId="77777777" w:rsidR="008B0834" w:rsidRPr="00AF23DC" w:rsidRDefault="008B0834" w:rsidP="008B0834">
      <w:pPr>
        <w:pStyle w:val="BodyText"/>
        <w:spacing w:after="0"/>
        <w:jc w:val="both"/>
        <w:rPr>
          <w:sz w:val="16"/>
        </w:rPr>
      </w:pPr>
      <w:r w:rsidRPr="00AF23DC">
        <w:rPr>
          <w:sz w:val="16"/>
        </w:rPr>
        <w:br w:type="page"/>
      </w:r>
    </w:p>
    <w:p w14:paraId="301E025A" w14:textId="77777777" w:rsidR="008B0834" w:rsidRPr="00DD5DF4" w:rsidRDefault="008B0834" w:rsidP="008B0834">
      <w:pPr>
        <w:pStyle w:val="BodyText"/>
        <w:spacing w:after="0"/>
        <w:rPr>
          <w:b/>
          <w:color w:val="002060"/>
          <w:sz w:val="22"/>
        </w:rPr>
      </w:pPr>
      <w:r w:rsidRPr="00DD5DF4">
        <w:rPr>
          <w:b/>
          <w:color w:val="002060"/>
          <w:sz w:val="22"/>
        </w:rPr>
        <w:lastRenderedPageBreak/>
        <w:t>Investment</w:t>
      </w:r>
    </w:p>
    <w:p w14:paraId="0A4D1050"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investment</w:t>
      </w:r>
      <w:r w:rsidRPr="00020369">
        <w:rPr>
          <w:b/>
          <w:color w:val="92278F" w:themeColor="accent1"/>
          <w:sz w:val="20"/>
          <w:vertAlign w:val="superscript"/>
        </w:rPr>
        <w:t>1</w:t>
      </w:r>
    </w:p>
    <w:p w14:paraId="497789D4" w14:textId="0F7CF7EE" w:rsidR="008B0834" w:rsidRDefault="003650F7" w:rsidP="008B0834">
      <w:pPr>
        <w:spacing w:after="0"/>
        <w:jc w:val="both"/>
        <w:rPr>
          <w:sz w:val="16"/>
        </w:rPr>
      </w:pPr>
      <w:r>
        <w:rPr>
          <w:noProof/>
          <w:sz w:val="16"/>
        </w:rPr>
        <w:drawing>
          <wp:inline distT="0" distB="0" distL="0" distR="0" wp14:anchorId="1AC17173" wp14:editId="7406B2B3">
            <wp:extent cx="3528000" cy="2106560"/>
            <wp:effectExtent l="0" t="0" r="0" b="825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528000" cy="2106560"/>
                    </a:xfrm>
                    <a:prstGeom prst="rect">
                      <a:avLst/>
                    </a:prstGeom>
                    <a:noFill/>
                    <a:ln>
                      <a:noFill/>
                    </a:ln>
                  </pic:spPr>
                </pic:pic>
              </a:graphicData>
            </a:graphic>
          </wp:inline>
        </w:drawing>
      </w:r>
    </w:p>
    <w:p w14:paraId="09EF6FC6" w14:textId="77777777" w:rsidR="008B0834" w:rsidRDefault="008B0834" w:rsidP="008B0834">
      <w:pPr>
        <w:spacing w:after="0"/>
        <w:jc w:val="both"/>
        <w:rPr>
          <w:sz w:val="10"/>
        </w:rPr>
      </w:pPr>
      <w:r w:rsidRPr="00A8430F">
        <w:rPr>
          <w:sz w:val="10"/>
          <w:vertAlign w:val="superscript"/>
        </w:rPr>
        <w:t>1</w:t>
      </w:r>
      <w:r>
        <w:rPr>
          <w:sz w:val="10"/>
        </w:rPr>
        <w:t xml:space="preserve"> Gross fixed capital formation. Nominal or not adjusted for price changes. Original series.</w:t>
      </w:r>
    </w:p>
    <w:p w14:paraId="419FA5AB" w14:textId="77777777" w:rsidR="008B0834" w:rsidRPr="00241CBD" w:rsidRDefault="008B0834" w:rsidP="008B0834">
      <w:pPr>
        <w:spacing w:after="0"/>
        <w:jc w:val="both"/>
        <w:rPr>
          <w:sz w:val="10"/>
        </w:rPr>
      </w:pPr>
      <w:r w:rsidRPr="00643B76">
        <w:rPr>
          <w:sz w:val="10"/>
        </w:rPr>
        <w:t xml:space="preserve">Source: </w:t>
      </w:r>
      <w:r w:rsidRPr="00544CB6">
        <w:rPr>
          <w:sz w:val="10"/>
        </w:rPr>
        <w:t>Based on data from ABS 5220</w:t>
      </w:r>
      <w:r w:rsidRPr="00BF3151">
        <w:rPr>
          <w:sz w:val="10"/>
        </w:rPr>
        <w:t>.0 Australian National Ac</w:t>
      </w:r>
      <w:r>
        <w:rPr>
          <w:sz w:val="10"/>
        </w:rPr>
        <w:t xml:space="preserve">counts: State Accounts (Annual); and </w:t>
      </w:r>
      <w:r w:rsidRPr="00643B76">
        <w:rPr>
          <w:sz w:val="10"/>
        </w:rPr>
        <w:t>ABS 520</w:t>
      </w:r>
      <w:r>
        <w:rPr>
          <w:sz w:val="10"/>
        </w:rPr>
        <w:t>6</w:t>
      </w:r>
      <w:r w:rsidRPr="00643B76">
        <w:rPr>
          <w:sz w:val="10"/>
        </w:rPr>
        <w:t xml:space="preserve">.0. Australian National </w:t>
      </w:r>
      <w:r w:rsidRPr="00BF3151">
        <w:rPr>
          <w:sz w:val="10"/>
        </w:rPr>
        <w:t>Accounts: National Income, Expenditure an</w:t>
      </w:r>
      <w:r>
        <w:rPr>
          <w:sz w:val="10"/>
        </w:rPr>
        <w:t>d Product (Quarterly).</w:t>
      </w:r>
    </w:p>
    <w:p w14:paraId="24A36771" w14:textId="77777777" w:rsidR="008B0834" w:rsidRDefault="008B0834" w:rsidP="008B0834">
      <w:pPr>
        <w:spacing w:after="0"/>
        <w:jc w:val="both"/>
        <w:rPr>
          <w:sz w:val="16"/>
        </w:rPr>
      </w:pPr>
    </w:p>
    <w:p w14:paraId="2BC4171E" w14:textId="77777777" w:rsidR="008B0834" w:rsidRDefault="008B0834" w:rsidP="008B0834">
      <w:pPr>
        <w:spacing w:after="0"/>
        <w:jc w:val="both"/>
        <w:rPr>
          <w:sz w:val="16"/>
        </w:rPr>
      </w:pPr>
    </w:p>
    <w:p w14:paraId="1CB7B52A" w14:textId="77777777" w:rsidR="008B0834" w:rsidRDefault="008B0834" w:rsidP="008B0834">
      <w:pPr>
        <w:spacing w:after="0"/>
        <w:jc w:val="both"/>
        <w:rPr>
          <w:sz w:val="16"/>
        </w:rPr>
      </w:pPr>
      <w:r>
        <w:rPr>
          <w:sz w:val="16"/>
        </w:rPr>
        <w:br w:type="column"/>
      </w:r>
    </w:p>
    <w:p w14:paraId="4EADC8E0" w14:textId="77777777" w:rsidR="008B0834" w:rsidRDefault="008B0834" w:rsidP="008B0834">
      <w:pPr>
        <w:spacing w:after="0"/>
        <w:jc w:val="both"/>
        <w:rPr>
          <w:sz w:val="16"/>
        </w:rPr>
      </w:pPr>
    </w:p>
    <w:p w14:paraId="7C001130" w14:textId="22AA66E3" w:rsidR="008B0834" w:rsidRPr="00562DCE" w:rsidRDefault="008B0834" w:rsidP="008B0834">
      <w:pPr>
        <w:pStyle w:val="BodyText"/>
        <w:numPr>
          <w:ilvl w:val="0"/>
          <w:numId w:val="9"/>
        </w:numPr>
        <w:spacing w:after="0"/>
        <w:jc w:val="both"/>
        <w:rPr>
          <w:sz w:val="16"/>
        </w:rPr>
      </w:pPr>
      <w:r w:rsidRPr="00562DCE">
        <w:rPr>
          <w:sz w:val="16"/>
        </w:rPr>
        <w:t>Western Australia accounted for 18.</w:t>
      </w:r>
      <w:r w:rsidR="001C340B" w:rsidRPr="00562DCE">
        <w:rPr>
          <w:sz w:val="16"/>
        </w:rPr>
        <w:t>6</w:t>
      </w:r>
      <w:r w:rsidRPr="00562DCE">
        <w:rPr>
          <w:sz w:val="16"/>
        </w:rPr>
        <w:t>% of Australia’s business investment in 2022-23.</w:t>
      </w:r>
    </w:p>
    <w:p w14:paraId="29A05A25" w14:textId="77777777" w:rsidR="008B0834" w:rsidRPr="00562DCE" w:rsidRDefault="008B0834" w:rsidP="008B0834">
      <w:pPr>
        <w:pStyle w:val="BodyText"/>
        <w:numPr>
          <w:ilvl w:val="0"/>
          <w:numId w:val="9"/>
        </w:numPr>
        <w:spacing w:after="0"/>
        <w:jc w:val="both"/>
        <w:rPr>
          <w:sz w:val="16"/>
        </w:rPr>
      </w:pPr>
      <w:r w:rsidRPr="00562DCE">
        <w:rPr>
          <w:sz w:val="16"/>
        </w:rPr>
        <w:t>Western Australia’s nominal business investment grew in each of the four years to 2022-23, following six years of decline from a peak of $76.6 billion in 2012-13.</w:t>
      </w:r>
    </w:p>
    <w:p w14:paraId="07AF1317" w14:textId="77777777" w:rsidR="008B0834" w:rsidRPr="00562DCE" w:rsidRDefault="008B0834" w:rsidP="008B0834">
      <w:pPr>
        <w:pStyle w:val="BodyText"/>
        <w:numPr>
          <w:ilvl w:val="0"/>
          <w:numId w:val="9"/>
        </w:numPr>
        <w:spacing w:after="0"/>
        <w:jc w:val="both"/>
        <w:rPr>
          <w:sz w:val="16"/>
        </w:rPr>
      </w:pPr>
      <w:r w:rsidRPr="00562DCE">
        <w:rPr>
          <w:sz w:val="16"/>
        </w:rPr>
        <w:t>In 2022-23, the value of Western Australia’s:</w:t>
      </w:r>
    </w:p>
    <w:p w14:paraId="627BFE12" w14:textId="32008125" w:rsidR="008B0834" w:rsidRPr="00562DCE" w:rsidRDefault="008B0834" w:rsidP="008B0834">
      <w:pPr>
        <w:pStyle w:val="BodyText"/>
        <w:numPr>
          <w:ilvl w:val="1"/>
          <w:numId w:val="11"/>
        </w:numPr>
        <w:spacing w:after="0"/>
        <w:ind w:left="851" w:hanging="284"/>
        <w:jc w:val="both"/>
        <w:rPr>
          <w:sz w:val="16"/>
        </w:rPr>
      </w:pPr>
      <w:r w:rsidRPr="00562DCE">
        <w:rPr>
          <w:sz w:val="16"/>
        </w:rPr>
        <w:t>business investment rose 13.</w:t>
      </w:r>
      <w:r w:rsidR="00B22F15" w:rsidRPr="00562DCE">
        <w:rPr>
          <w:sz w:val="16"/>
        </w:rPr>
        <w:t>1</w:t>
      </w:r>
      <w:r w:rsidRPr="00562DCE">
        <w:rPr>
          <w:sz w:val="16"/>
        </w:rPr>
        <w:t>% to $53.</w:t>
      </w:r>
      <w:r w:rsidR="00B22F15" w:rsidRPr="00562DCE">
        <w:rPr>
          <w:sz w:val="16"/>
        </w:rPr>
        <w:t>4</w:t>
      </w:r>
      <w:r w:rsidRPr="00562DCE">
        <w:rPr>
          <w:sz w:val="16"/>
        </w:rPr>
        <w:t> billion</w:t>
      </w:r>
    </w:p>
    <w:p w14:paraId="49CED287" w14:textId="01F4235C" w:rsidR="008B0834" w:rsidRPr="00562DCE" w:rsidRDefault="008B0834" w:rsidP="008B0834">
      <w:pPr>
        <w:pStyle w:val="BodyText"/>
        <w:numPr>
          <w:ilvl w:val="1"/>
          <w:numId w:val="11"/>
        </w:numPr>
        <w:spacing w:after="0"/>
        <w:ind w:left="851" w:hanging="284"/>
        <w:jc w:val="both"/>
        <w:rPr>
          <w:sz w:val="16"/>
        </w:rPr>
      </w:pPr>
      <w:r w:rsidRPr="00562DCE">
        <w:rPr>
          <w:sz w:val="16"/>
        </w:rPr>
        <w:t>public investment rose 19.</w:t>
      </w:r>
      <w:r w:rsidR="00B22F15" w:rsidRPr="00562DCE">
        <w:rPr>
          <w:sz w:val="16"/>
        </w:rPr>
        <w:t>7</w:t>
      </w:r>
      <w:r w:rsidRPr="00562DCE">
        <w:rPr>
          <w:sz w:val="16"/>
        </w:rPr>
        <w:t>% to $13.</w:t>
      </w:r>
      <w:r w:rsidR="00B22F15" w:rsidRPr="00562DCE">
        <w:rPr>
          <w:sz w:val="16"/>
        </w:rPr>
        <w:t>4</w:t>
      </w:r>
      <w:r w:rsidRPr="00562DCE">
        <w:rPr>
          <w:sz w:val="16"/>
        </w:rPr>
        <w:t> billion.</w:t>
      </w:r>
    </w:p>
    <w:p w14:paraId="1E6F64A7" w14:textId="0D4F2433" w:rsidR="008B0834" w:rsidRPr="00562DCE" w:rsidRDefault="008B0834" w:rsidP="008B0834">
      <w:pPr>
        <w:pStyle w:val="BodyText"/>
        <w:numPr>
          <w:ilvl w:val="1"/>
          <w:numId w:val="11"/>
        </w:numPr>
        <w:spacing w:after="0"/>
        <w:ind w:left="851" w:hanging="284"/>
        <w:jc w:val="both"/>
        <w:rPr>
          <w:sz w:val="16"/>
        </w:rPr>
      </w:pPr>
      <w:r w:rsidRPr="00562DCE">
        <w:rPr>
          <w:sz w:val="16"/>
        </w:rPr>
        <w:t>dwelling investment rose 1</w:t>
      </w:r>
      <w:r w:rsidR="00B22F15" w:rsidRPr="00562DCE">
        <w:rPr>
          <w:sz w:val="16"/>
        </w:rPr>
        <w:t>1.0</w:t>
      </w:r>
      <w:r w:rsidRPr="00562DCE">
        <w:rPr>
          <w:sz w:val="16"/>
        </w:rPr>
        <w:t>% to $10.</w:t>
      </w:r>
      <w:r w:rsidR="00B22F15" w:rsidRPr="00562DCE">
        <w:rPr>
          <w:sz w:val="16"/>
        </w:rPr>
        <w:t>7</w:t>
      </w:r>
      <w:r w:rsidRPr="00562DCE">
        <w:rPr>
          <w:sz w:val="16"/>
        </w:rPr>
        <w:t> billion.</w:t>
      </w:r>
    </w:p>
    <w:p w14:paraId="32752BD1" w14:textId="3F4BC9DD" w:rsidR="008B0834" w:rsidRPr="00562DCE" w:rsidRDefault="008B0834" w:rsidP="008B0834">
      <w:pPr>
        <w:pStyle w:val="BodyText"/>
        <w:numPr>
          <w:ilvl w:val="0"/>
          <w:numId w:val="9"/>
        </w:numPr>
        <w:spacing w:after="0"/>
        <w:jc w:val="both"/>
        <w:rPr>
          <w:sz w:val="16"/>
        </w:rPr>
      </w:pPr>
      <w:r w:rsidRPr="00562DCE">
        <w:rPr>
          <w:sz w:val="16"/>
        </w:rPr>
        <w:t xml:space="preserve">Western Australia’s real business investment rose </w:t>
      </w:r>
      <w:r w:rsidR="00CD6A09">
        <w:rPr>
          <w:sz w:val="16"/>
        </w:rPr>
        <w:t>4.3</w:t>
      </w:r>
      <w:r w:rsidRPr="00562DCE">
        <w:rPr>
          <w:sz w:val="16"/>
        </w:rPr>
        <w:t>% in 2022-23.</w:t>
      </w:r>
    </w:p>
    <w:p w14:paraId="541EBFE6" w14:textId="44835DBB" w:rsidR="008B0834" w:rsidRPr="00B0381F" w:rsidRDefault="008B0834" w:rsidP="008B0834">
      <w:pPr>
        <w:pStyle w:val="BodyText"/>
        <w:numPr>
          <w:ilvl w:val="0"/>
          <w:numId w:val="9"/>
        </w:numPr>
        <w:spacing w:after="0"/>
        <w:jc w:val="both"/>
        <w:rPr>
          <w:sz w:val="16"/>
        </w:rPr>
      </w:pPr>
      <w:r w:rsidRPr="00B0381F">
        <w:rPr>
          <w:sz w:val="16"/>
        </w:rPr>
        <w:t xml:space="preserve">The WA Government </w:t>
      </w:r>
      <w:r w:rsidR="008379AD" w:rsidRPr="00B0381F">
        <w:rPr>
          <w:sz w:val="16"/>
        </w:rPr>
        <w:t>Mid-year Financial Projections Statement</w:t>
      </w:r>
      <w:r w:rsidR="008379AD" w:rsidRPr="00B0381F" w:rsidDel="008379AD">
        <w:rPr>
          <w:sz w:val="16"/>
        </w:rPr>
        <w:t xml:space="preserve"> </w:t>
      </w:r>
      <w:r w:rsidRPr="00B0381F">
        <w:rPr>
          <w:sz w:val="16"/>
        </w:rPr>
        <w:t xml:space="preserve">2023-24 forecasts Western Australia’s real business investment will rise </w:t>
      </w:r>
      <w:r w:rsidR="008379AD" w:rsidRPr="00B0381F">
        <w:rPr>
          <w:sz w:val="16"/>
          <w:lang w:val="en-US"/>
        </w:rPr>
        <w:t>8.5</w:t>
      </w:r>
      <w:r w:rsidRPr="00B0381F">
        <w:rPr>
          <w:sz w:val="16"/>
          <w:lang w:val="en-US"/>
        </w:rPr>
        <w:t>% in 2023-24 and 5.5% in 2024</w:t>
      </w:r>
      <w:r w:rsidRPr="00B0381F">
        <w:rPr>
          <w:sz w:val="16"/>
          <w:lang w:val="en-US"/>
        </w:rPr>
        <w:noBreakHyphen/>
        <w:t>25</w:t>
      </w:r>
      <w:r w:rsidRPr="00B0381F">
        <w:rPr>
          <w:sz w:val="16"/>
        </w:rPr>
        <w:t>.</w:t>
      </w:r>
    </w:p>
    <w:p w14:paraId="3AB4C5A1" w14:textId="77777777" w:rsidR="008B0834" w:rsidRDefault="008B0834" w:rsidP="008B0834">
      <w:pPr>
        <w:spacing w:after="0"/>
        <w:jc w:val="both"/>
        <w:rPr>
          <w:sz w:val="16"/>
        </w:rPr>
        <w:sectPr w:rsidR="008B0834" w:rsidSect="00F7498D">
          <w:type w:val="continuous"/>
          <w:pgSz w:w="11907" w:h="16840" w:code="9"/>
          <w:pgMar w:top="1701" w:right="720" w:bottom="720" w:left="720" w:header="709" w:footer="709" w:gutter="0"/>
          <w:cols w:num="2" w:space="284" w:equalWidth="0">
            <w:col w:w="5647" w:space="284"/>
            <w:col w:w="4536"/>
          </w:cols>
          <w:docGrid w:linePitch="360"/>
        </w:sectPr>
      </w:pPr>
    </w:p>
    <w:p w14:paraId="440E7A9E"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private new capital expenditure</w:t>
      </w:r>
      <w:r w:rsidRPr="00020369">
        <w:rPr>
          <w:b/>
          <w:color w:val="92278F" w:themeColor="accent1"/>
          <w:sz w:val="20"/>
          <w:vertAlign w:val="superscript"/>
        </w:rPr>
        <w:t>1</w:t>
      </w:r>
    </w:p>
    <w:p w14:paraId="7A82E406" w14:textId="68589040" w:rsidR="008B0834" w:rsidRDefault="003650F7" w:rsidP="008B0834">
      <w:pPr>
        <w:spacing w:after="0"/>
        <w:jc w:val="both"/>
        <w:rPr>
          <w:sz w:val="16"/>
        </w:rPr>
      </w:pPr>
      <w:r>
        <w:rPr>
          <w:noProof/>
          <w:sz w:val="16"/>
        </w:rPr>
        <w:drawing>
          <wp:inline distT="0" distB="0" distL="0" distR="0" wp14:anchorId="72A6E262" wp14:editId="773B17B4">
            <wp:extent cx="3528000" cy="210340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0A72B836" w14:textId="77777777" w:rsidR="008B0834" w:rsidRPr="00764646" w:rsidRDefault="008B0834" w:rsidP="008B0834">
      <w:pPr>
        <w:spacing w:after="0"/>
        <w:jc w:val="both"/>
        <w:rPr>
          <w:sz w:val="10"/>
        </w:rPr>
      </w:pPr>
      <w:r w:rsidRPr="00560188">
        <w:rPr>
          <w:sz w:val="10"/>
          <w:vertAlign w:val="superscript"/>
        </w:rPr>
        <w:t>1</w:t>
      </w:r>
      <w:r>
        <w:rPr>
          <w:sz w:val="10"/>
        </w:rPr>
        <w:t xml:space="preserve"> Nominal or not adjusted for price changes. Original series. </w:t>
      </w:r>
      <w:r w:rsidRPr="00560188">
        <w:rPr>
          <w:sz w:val="10"/>
        </w:rPr>
        <w:t xml:space="preserve">(a) All industries </w:t>
      </w:r>
      <w:r>
        <w:rPr>
          <w:sz w:val="10"/>
        </w:rPr>
        <w:t xml:space="preserve">other than </w:t>
      </w:r>
      <w:r w:rsidRPr="00560188">
        <w:rPr>
          <w:sz w:val="10"/>
        </w:rPr>
        <w:t>mining; agriculture, forestry and fishing; public administration and s</w:t>
      </w:r>
      <w:r>
        <w:rPr>
          <w:sz w:val="10"/>
        </w:rPr>
        <w:t>afety; and superannuation funds</w:t>
      </w:r>
      <w:r w:rsidRPr="00764646">
        <w:rPr>
          <w:sz w:val="10"/>
        </w:rPr>
        <w:t>. (b) Source: WA Department of Mines, Industry Regulation and Safety.</w:t>
      </w:r>
    </w:p>
    <w:p w14:paraId="6E11B72C" w14:textId="77777777" w:rsidR="008B0834" w:rsidRDefault="008B0834" w:rsidP="008B0834">
      <w:pPr>
        <w:spacing w:after="0"/>
        <w:jc w:val="both"/>
        <w:rPr>
          <w:sz w:val="10"/>
        </w:rPr>
      </w:pPr>
      <w:r>
        <w:rPr>
          <w:sz w:val="10"/>
        </w:rPr>
        <w:t xml:space="preserve">Source: </w:t>
      </w:r>
      <w:r w:rsidRPr="004B69DE">
        <w:rPr>
          <w:sz w:val="10"/>
        </w:rPr>
        <w:t xml:space="preserve">Based on data from ABS </w:t>
      </w:r>
      <w:r>
        <w:rPr>
          <w:sz w:val="10"/>
        </w:rPr>
        <w:t>5625.0 Private New Capital Expenditure and Expected Expenditure, Australia (Quarterly).</w:t>
      </w:r>
    </w:p>
    <w:p w14:paraId="38ACFEBB" w14:textId="77777777" w:rsidR="008B0834" w:rsidRDefault="008B0834" w:rsidP="008B0834">
      <w:pPr>
        <w:spacing w:after="0"/>
        <w:jc w:val="both"/>
        <w:rPr>
          <w:sz w:val="16"/>
        </w:rPr>
      </w:pPr>
    </w:p>
    <w:p w14:paraId="5FB52D90" w14:textId="77777777" w:rsidR="008B0834" w:rsidRDefault="008B0834" w:rsidP="008B0834">
      <w:pPr>
        <w:spacing w:after="0"/>
        <w:jc w:val="both"/>
        <w:rPr>
          <w:sz w:val="16"/>
        </w:rPr>
      </w:pPr>
    </w:p>
    <w:p w14:paraId="44A1E127" w14:textId="77777777" w:rsidR="008B0834" w:rsidRDefault="008B0834" w:rsidP="008B0834">
      <w:pPr>
        <w:pStyle w:val="BodyText"/>
        <w:spacing w:after="0"/>
        <w:jc w:val="both"/>
        <w:rPr>
          <w:sz w:val="16"/>
        </w:rPr>
      </w:pPr>
      <w:r w:rsidRPr="00756762">
        <w:rPr>
          <w:sz w:val="16"/>
        </w:rPr>
        <w:br w:type="column"/>
      </w:r>
    </w:p>
    <w:p w14:paraId="114767F8" w14:textId="1BA0FE6C" w:rsidR="008B0834" w:rsidRPr="00B83E2C" w:rsidRDefault="008B0834" w:rsidP="008B0834">
      <w:pPr>
        <w:pStyle w:val="BodyText"/>
        <w:numPr>
          <w:ilvl w:val="0"/>
          <w:numId w:val="9"/>
        </w:numPr>
        <w:spacing w:after="0"/>
        <w:jc w:val="both"/>
        <w:rPr>
          <w:sz w:val="16"/>
        </w:rPr>
      </w:pPr>
      <w:r w:rsidRPr="00CF65B6">
        <w:rPr>
          <w:color w:val="000000" w:themeColor="text1"/>
          <w:sz w:val="16"/>
        </w:rPr>
        <w:t xml:space="preserve">Western </w:t>
      </w:r>
      <w:r w:rsidRPr="00B83E2C">
        <w:rPr>
          <w:sz w:val="16"/>
        </w:rPr>
        <w:t>Australia accounted for 23% of Australia’s private new capital expenditure in 2022-23, including 58% of Australia’s mining industry new capital expenditure and 9% of Australia’s non</w:t>
      </w:r>
      <w:r w:rsidRPr="00B83E2C">
        <w:rPr>
          <w:sz w:val="16"/>
        </w:rPr>
        <w:noBreakHyphen/>
        <w:t>mining industries new capital expenditure.</w:t>
      </w:r>
    </w:p>
    <w:p w14:paraId="7B6C3D8D" w14:textId="77777777" w:rsidR="008B0834" w:rsidRPr="00B83E2C" w:rsidRDefault="008B0834" w:rsidP="008B0834">
      <w:pPr>
        <w:pStyle w:val="BodyText"/>
        <w:numPr>
          <w:ilvl w:val="0"/>
          <w:numId w:val="9"/>
        </w:numPr>
        <w:spacing w:after="0"/>
        <w:jc w:val="both"/>
        <w:rPr>
          <w:sz w:val="16"/>
        </w:rPr>
      </w:pPr>
      <w:r w:rsidRPr="00B83E2C">
        <w:rPr>
          <w:sz w:val="16"/>
        </w:rPr>
        <w:t>The mining industry accounted for 71% of Western Australia’s private new capital expenditure in 2022-23.</w:t>
      </w:r>
    </w:p>
    <w:p w14:paraId="02824DBA" w14:textId="77777777" w:rsidR="008B0834" w:rsidRPr="00B83E2C" w:rsidRDefault="008B0834" w:rsidP="008B0834">
      <w:pPr>
        <w:pStyle w:val="BodyText"/>
        <w:numPr>
          <w:ilvl w:val="0"/>
          <w:numId w:val="9"/>
        </w:numPr>
        <w:spacing w:after="0"/>
        <w:jc w:val="both"/>
        <w:rPr>
          <w:sz w:val="16"/>
        </w:rPr>
      </w:pPr>
      <w:r w:rsidRPr="00B83E2C">
        <w:rPr>
          <w:sz w:val="16"/>
        </w:rPr>
        <w:t>In 2022-23, the value of Western Australia’s new capital expenditure in the:</w:t>
      </w:r>
    </w:p>
    <w:p w14:paraId="5BEC83A7" w14:textId="77777777" w:rsidR="008B0834" w:rsidRPr="00B83E2C" w:rsidRDefault="008B0834" w:rsidP="008B0834">
      <w:pPr>
        <w:pStyle w:val="BodyText"/>
        <w:numPr>
          <w:ilvl w:val="1"/>
          <w:numId w:val="11"/>
        </w:numPr>
        <w:spacing w:after="0"/>
        <w:ind w:left="851" w:hanging="284"/>
        <w:jc w:val="both"/>
        <w:rPr>
          <w:sz w:val="16"/>
        </w:rPr>
      </w:pPr>
      <w:r w:rsidRPr="00B83E2C">
        <w:rPr>
          <w:sz w:val="16"/>
        </w:rPr>
        <w:t>mining industry rose 11.6% to $27.3 billion</w:t>
      </w:r>
    </w:p>
    <w:p w14:paraId="1B838885" w14:textId="77777777" w:rsidR="008B0834" w:rsidRPr="00B83E2C" w:rsidRDefault="008B0834" w:rsidP="008B0834">
      <w:pPr>
        <w:pStyle w:val="BodyText"/>
        <w:numPr>
          <w:ilvl w:val="1"/>
          <w:numId w:val="11"/>
        </w:numPr>
        <w:spacing w:after="0"/>
        <w:ind w:left="851" w:hanging="284"/>
        <w:jc w:val="both"/>
        <w:rPr>
          <w:sz w:val="16"/>
        </w:rPr>
      </w:pPr>
      <w:r w:rsidRPr="00B83E2C">
        <w:rPr>
          <w:sz w:val="16"/>
        </w:rPr>
        <w:t>non</w:t>
      </w:r>
      <w:r w:rsidRPr="00B83E2C">
        <w:rPr>
          <w:sz w:val="16"/>
        </w:rPr>
        <w:noBreakHyphen/>
        <w:t>mining industries rose 11.1 % to $10.9 billion.</w:t>
      </w:r>
    </w:p>
    <w:p w14:paraId="2019218C" w14:textId="77777777" w:rsidR="008B0834" w:rsidRPr="00B83E2C" w:rsidRDefault="008B0834" w:rsidP="008B0834">
      <w:pPr>
        <w:pStyle w:val="BodyText"/>
        <w:numPr>
          <w:ilvl w:val="0"/>
          <w:numId w:val="9"/>
        </w:numPr>
        <w:spacing w:after="0"/>
        <w:jc w:val="both"/>
        <w:rPr>
          <w:sz w:val="16"/>
        </w:rPr>
      </w:pPr>
      <w:r w:rsidRPr="00B83E2C">
        <w:rPr>
          <w:sz w:val="16"/>
        </w:rPr>
        <w:t>The value of Western Australia’s private new capital expenditure in the mining industry is expected to fall 13.7% in 2023-24.</w:t>
      </w:r>
    </w:p>
    <w:p w14:paraId="7F28B96B" w14:textId="77777777" w:rsidR="008B0834" w:rsidRPr="00B83E2C" w:rsidRDefault="008B0834" w:rsidP="008B0834">
      <w:pPr>
        <w:pStyle w:val="BodyText"/>
        <w:numPr>
          <w:ilvl w:val="0"/>
          <w:numId w:val="9"/>
        </w:numPr>
        <w:spacing w:after="0"/>
        <w:jc w:val="both"/>
        <w:rPr>
          <w:sz w:val="16"/>
        </w:rPr>
      </w:pPr>
      <w:r w:rsidRPr="00B83E2C">
        <w:rPr>
          <w:sz w:val="16"/>
        </w:rPr>
        <w:t>The value of Western Australia’s private new capital expenditure in non-mining industries is expected to fall 21.7% in 2023-24.</w:t>
      </w:r>
    </w:p>
    <w:p w14:paraId="585E3B9A" w14:textId="5D435DB1" w:rsidR="008B0834" w:rsidRPr="00B0381F" w:rsidRDefault="008B0834" w:rsidP="008B0834">
      <w:pPr>
        <w:pStyle w:val="BodyText"/>
        <w:numPr>
          <w:ilvl w:val="0"/>
          <w:numId w:val="9"/>
        </w:numPr>
        <w:spacing w:after="0"/>
        <w:jc w:val="both"/>
        <w:rPr>
          <w:sz w:val="16"/>
        </w:rPr>
      </w:pPr>
      <w:r w:rsidRPr="00B0381F">
        <w:rPr>
          <w:sz w:val="16"/>
        </w:rPr>
        <w:t>Western Australia had $</w:t>
      </w:r>
      <w:r w:rsidR="00942CD7" w:rsidRPr="00B0381F">
        <w:rPr>
          <w:sz w:val="16"/>
        </w:rPr>
        <w:t>55</w:t>
      </w:r>
      <w:r w:rsidRPr="00B0381F">
        <w:rPr>
          <w:sz w:val="16"/>
        </w:rPr>
        <w:t> billion of major resource projects under construction or committed and $</w:t>
      </w:r>
      <w:r w:rsidR="00942CD7" w:rsidRPr="00B0381F">
        <w:rPr>
          <w:sz w:val="16"/>
        </w:rPr>
        <w:t>93</w:t>
      </w:r>
      <w:r w:rsidRPr="00B0381F">
        <w:rPr>
          <w:sz w:val="16"/>
        </w:rPr>
        <w:t xml:space="preserve"> billion under consideration in </w:t>
      </w:r>
      <w:r w:rsidR="00942CD7" w:rsidRPr="00B0381F">
        <w:rPr>
          <w:sz w:val="16"/>
        </w:rPr>
        <w:t>September</w:t>
      </w:r>
      <w:r w:rsidRPr="00B0381F">
        <w:rPr>
          <w:sz w:val="16"/>
        </w:rPr>
        <w:t> 2023.</w:t>
      </w:r>
      <w:r w:rsidRPr="00B0381F">
        <w:rPr>
          <w:sz w:val="16"/>
          <w:vertAlign w:val="superscript"/>
        </w:rPr>
        <w:t>(b)</w:t>
      </w:r>
    </w:p>
    <w:p w14:paraId="322154FE" w14:textId="77777777" w:rsidR="008B0834" w:rsidRPr="003718D7" w:rsidRDefault="008B0834" w:rsidP="008B0834">
      <w:pPr>
        <w:pStyle w:val="BodyText"/>
        <w:spacing w:after="0"/>
        <w:ind w:left="284"/>
        <w:jc w:val="both"/>
        <w:rPr>
          <w:color w:val="FF0000"/>
          <w:sz w:val="16"/>
        </w:rPr>
        <w:sectPr w:rsidR="008B0834" w:rsidRPr="003718D7" w:rsidSect="00F7498D">
          <w:type w:val="continuous"/>
          <w:pgSz w:w="11907" w:h="16840" w:code="9"/>
          <w:pgMar w:top="1701" w:right="720" w:bottom="720" w:left="720" w:header="709" w:footer="709" w:gutter="0"/>
          <w:cols w:num="2" w:space="284" w:equalWidth="0">
            <w:col w:w="5647" w:space="284"/>
            <w:col w:w="4536"/>
          </w:cols>
          <w:docGrid w:linePitch="360"/>
        </w:sectPr>
      </w:pPr>
    </w:p>
    <w:p w14:paraId="43C66A24"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Industry contribution to Western Australia’s investment</w:t>
      </w:r>
      <w:r w:rsidRPr="00020369">
        <w:rPr>
          <w:b/>
          <w:color w:val="92278F" w:themeColor="accent1"/>
          <w:sz w:val="20"/>
          <w:vertAlign w:val="superscript"/>
        </w:rPr>
        <w:t>1</w:t>
      </w:r>
    </w:p>
    <w:p w14:paraId="2DE2C710" w14:textId="308B34D2" w:rsidR="008B0834" w:rsidRDefault="00034C5A" w:rsidP="008B0834">
      <w:pPr>
        <w:spacing w:after="0"/>
        <w:jc w:val="both"/>
        <w:rPr>
          <w:sz w:val="16"/>
        </w:rPr>
      </w:pPr>
      <w:r>
        <w:rPr>
          <w:noProof/>
          <w:sz w:val="16"/>
        </w:rPr>
        <w:drawing>
          <wp:inline distT="0" distB="0" distL="0" distR="0" wp14:anchorId="5973CD8F" wp14:editId="0C1A4F67">
            <wp:extent cx="3403130" cy="2032000"/>
            <wp:effectExtent l="0" t="0" r="6985" b="635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06016" cy="2033723"/>
                    </a:xfrm>
                    <a:prstGeom prst="rect">
                      <a:avLst/>
                    </a:prstGeom>
                    <a:noFill/>
                    <a:ln>
                      <a:noFill/>
                    </a:ln>
                  </pic:spPr>
                </pic:pic>
              </a:graphicData>
            </a:graphic>
          </wp:inline>
        </w:drawing>
      </w:r>
    </w:p>
    <w:p w14:paraId="6FFB7E70" w14:textId="77777777" w:rsidR="008B0834" w:rsidRPr="00716C34" w:rsidRDefault="008B0834" w:rsidP="008B0834">
      <w:pPr>
        <w:spacing w:after="0"/>
        <w:jc w:val="both"/>
        <w:rPr>
          <w:sz w:val="10"/>
        </w:rPr>
      </w:pPr>
      <w:r w:rsidRPr="00A8430F">
        <w:rPr>
          <w:sz w:val="10"/>
          <w:vertAlign w:val="superscript"/>
        </w:rPr>
        <w:t>1</w:t>
      </w:r>
      <w:r>
        <w:rPr>
          <w:sz w:val="10"/>
        </w:rPr>
        <w:t xml:space="preserve"> Gross fixed capital formation. Nominal or not adjusted for price changes. Original series. </w:t>
      </w:r>
      <w:r w:rsidRPr="00F652FD">
        <w:rPr>
          <w:sz w:val="10"/>
        </w:rPr>
        <w:t>(a) Repairs, maintenance and personal services</w:t>
      </w:r>
      <w:r w:rsidRPr="00764646">
        <w:rPr>
          <w:sz w:val="10"/>
        </w:rPr>
        <w:t>. (b) Sum of private spending on fixed assets (including dwellings, non-dwelling construction, machinery and equipment, agricultural assets, intellectual property products and transfer costs) and general government and public corporations spending on new fixed assets, net spending on second</w:t>
      </w:r>
      <w:r w:rsidRPr="00764646">
        <w:rPr>
          <w:sz w:val="10"/>
        </w:rPr>
        <w:noBreakHyphen/>
        <w:t xml:space="preserve">hand fixed assets and employee compensation for capital </w:t>
      </w:r>
      <w:r w:rsidRPr="00FE56E9">
        <w:rPr>
          <w:sz w:val="10"/>
        </w:rPr>
        <w:t>works</w:t>
      </w:r>
      <w:r>
        <w:rPr>
          <w:color w:val="0070C0"/>
          <w:sz w:val="10"/>
        </w:rPr>
        <w:t xml:space="preserve">. </w:t>
      </w:r>
      <w:r w:rsidRPr="00643B76">
        <w:rPr>
          <w:sz w:val="10"/>
        </w:rPr>
        <w:t xml:space="preserve">Source: </w:t>
      </w:r>
      <w:r w:rsidRPr="00533DAB">
        <w:rPr>
          <w:sz w:val="10"/>
        </w:rPr>
        <w:t xml:space="preserve">Based on data from ABS </w:t>
      </w:r>
      <w:r w:rsidRPr="00BF3151">
        <w:rPr>
          <w:sz w:val="10"/>
        </w:rPr>
        <w:t>5220.0 Australian National Ac</w:t>
      </w:r>
      <w:r>
        <w:rPr>
          <w:sz w:val="10"/>
        </w:rPr>
        <w:t>counts: State Accounts (Annual)</w:t>
      </w:r>
      <w:r w:rsidRPr="00716C34">
        <w:rPr>
          <w:sz w:val="10"/>
        </w:rPr>
        <w:t>.</w:t>
      </w:r>
    </w:p>
    <w:p w14:paraId="1E2E6F6C" w14:textId="77777777" w:rsidR="008B0834" w:rsidRDefault="008B0834" w:rsidP="008B0834">
      <w:pPr>
        <w:spacing w:after="0"/>
        <w:jc w:val="both"/>
        <w:rPr>
          <w:sz w:val="16"/>
        </w:rPr>
      </w:pPr>
    </w:p>
    <w:p w14:paraId="767548E4" w14:textId="77777777" w:rsidR="008B0834" w:rsidRPr="00250273" w:rsidRDefault="008B0834" w:rsidP="008B0834">
      <w:pPr>
        <w:pStyle w:val="BodyText"/>
        <w:spacing w:after="0"/>
        <w:jc w:val="both"/>
        <w:rPr>
          <w:color w:val="000000" w:themeColor="text1"/>
          <w:sz w:val="16"/>
        </w:rPr>
      </w:pPr>
      <w:r w:rsidRPr="00263AEC">
        <w:rPr>
          <w:sz w:val="16"/>
        </w:rPr>
        <w:br w:type="column"/>
      </w:r>
    </w:p>
    <w:p w14:paraId="0C7A37AF" w14:textId="60F184D6" w:rsidR="008B0834" w:rsidRPr="00562DCE" w:rsidRDefault="008B0834" w:rsidP="008B0834">
      <w:pPr>
        <w:pStyle w:val="BodyText"/>
        <w:numPr>
          <w:ilvl w:val="0"/>
          <w:numId w:val="9"/>
        </w:numPr>
        <w:spacing w:after="0"/>
        <w:jc w:val="both"/>
        <w:rPr>
          <w:sz w:val="16"/>
        </w:rPr>
      </w:pPr>
      <w:r w:rsidRPr="00562DCE">
        <w:rPr>
          <w:sz w:val="16"/>
        </w:rPr>
        <w:t>The mining industry accounted for 43% ($3</w:t>
      </w:r>
      <w:r w:rsidR="005635B3" w:rsidRPr="00562DCE">
        <w:rPr>
          <w:sz w:val="16"/>
        </w:rPr>
        <w:t>5.3</w:t>
      </w:r>
      <w:r w:rsidRPr="00562DCE">
        <w:rPr>
          <w:sz w:val="16"/>
        </w:rPr>
        <w:t> billion) of Western Australia’s gross fixed capital formation</w:t>
      </w:r>
      <w:r w:rsidRPr="00562DCE">
        <w:rPr>
          <w:sz w:val="16"/>
          <w:vertAlign w:val="superscript"/>
        </w:rPr>
        <w:t>(b)</w:t>
      </w:r>
      <w:r w:rsidRPr="00562DCE">
        <w:rPr>
          <w:sz w:val="16"/>
        </w:rPr>
        <w:t xml:space="preserve"> in 202</w:t>
      </w:r>
      <w:r w:rsidR="005635B3" w:rsidRPr="00562DCE">
        <w:rPr>
          <w:sz w:val="16"/>
        </w:rPr>
        <w:t>2</w:t>
      </w:r>
      <w:r w:rsidRPr="00562DCE">
        <w:rPr>
          <w:sz w:val="16"/>
        </w:rPr>
        <w:noBreakHyphen/>
        <w:t>2</w:t>
      </w:r>
      <w:r w:rsidR="005635B3" w:rsidRPr="00562DCE">
        <w:rPr>
          <w:sz w:val="16"/>
        </w:rPr>
        <w:t>3</w:t>
      </w:r>
      <w:r w:rsidRPr="00562DCE">
        <w:rPr>
          <w:sz w:val="16"/>
        </w:rPr>
        <w:t>, followed by:</w:t>
      </w:r>
    </w:p>
    <w:p w14:paraId="47B6FAEF" w14:textId="7D1C23A1" w:rsidR="008B0834" w:rsidRPr="00562DCE" w:rsidRDefault="008B0834" w:rsidP="008B0834">
      <w:pPr>
        <w:pStyle w:val="BodyText"/>
        <w:numPr>
          <w:ilvl w:val="1"/>
          <w:numId w:val="10"/>
        </w:numPr>
        <w:spacing w:after="0"/>
        <w:ind w:left="851" w:hanging="284"/>
        <w:jc w:val="both"/>
        <w:rPr>
          <w:sz w:val="16"/>
        </w:rPr>
      </w:pPr>
      <w:r w:rsidRPr="00562DCE">
        <w:rPr>
          <w:sz w:val="16"/>
        </w:rPr>
        <w:t>transport, postal and warehousing (8% or $</w:t>
      </w:r>
      <w:r w:rsidR="00BD0862" w:rsidRPr="00562DCE">
        <w:rPr>
          <w:sz w:val="16"/>
        </w:rPr>
        <w:t>6.9</w:t>
      </w:r>
      <w:r w:rsidR="00034C5A" w:rsidRPr="00562DCE">
        <w:rPr>
          <w:sz w:val="16"/>
        </w:rPr>
        <w:t> </w:t>
      </w:r>
      <w:r w:rsidRPr="00562DCE">
        <w:rPr>
          <w:sz w:val="16"/>
        </w:rPr>
        <w:t>billion)</w:t>
      </w:r>
    </w:p>
    <w:p w14:paraId="51C56BCE" w14:textId="605E02DC" w:rsidR="008B0834" w:rsidRPr="00562DCE" w:rsidRDefault="008B0834" w:rsidP="008B0834">
      <w:pPr>
        <w:pStyle w:val="BodyText"/>
        <w:numPr>
          <w:ilvl w:val="1"/>
          <w:numId w:val="10"/>
        </w:numPr>
        <w:spacing w:after="0"/>
        <w:ind w:left="851" w:hanging="284"/>
        <w:jc w:val="both"/>
        <w:rPr>
          <w:sz w:val="16"/>
        </w:rPr>
      </w:pPr>
      <w:r w:rsidRPr="00562DCE">
        <w:rPr>
          <w:sz w:val="16"/>
        </w:rPr>
        <w:t>electricity, gas, water and waste services (4% or $</w:t>
      </w:r>
      <w:r w:rsidR="00BD0862" w:rsidRPr="00562DCE">
        <w:rPr>
          <w:sz w:val="16"/>
        </w:rPr>
        <w:t>3.3</w:t>
      </w:r>
      <w:r w:rsidRPr="00562DCE">
        <w:rPr>
          <w:sz w:val="16"/>
        </w:rPr>
        <w:t> billion)</w:t>
      </w:r>
    </w:p>
    <w:p w14:paraId="1DC59488" w14:textId="04B9E39D" w:rsidR="008B0834" w:rsidRPr="00562DCE" w:rsidRDefault="008B0834" w:rsidP="008B0834">
      <w:pPr>
        <w:pStyle w:val="BodyText"/>
        <w:numPr>
          <w:ilvl w:val="1"/>
          <w:numId w:val="10"/>
        </w:numPr>
        <w:spacing w:after="0"/>
        <w:ind w:left="851" w:hanging="284"/>
        <w:jc w:val="both"/>
        <w:rPr>
          <w:sz w:val="16"/>
        </w:rPr>
      </w:pPr>
      <w:r w:rsidRPr="00562DCE">
        <w:rPr>
          <w:sz w:val="16"/>
        </w:rPr>
        <w:t>public administration and safety (4% or $</w:t>
      </w:r>
      <w:r w:rsidR="00BD0862" w:rsidRPr="00562DCE">
        <w:rPr>
          <w:sz w:val="16"/>
        </w:rPr>
        <w:t>3.0</w:t>
      </w:r>
      <w:r w:rsidRPr="00562DCE">
        <w:rPr>
          <w:sz w:val="16"/>
        </w:rPr>
        <w:t> billion).</w:t>
      </w:r>
    </w:p>
    <w:p w14:paraId="3FDFDEF4" w14:textId="6973059B" w:rsidR="008B0834" w:rsidRPr="00562DCE" w:rsidRDefault="008B0834" w:rsidP="008B0834">
      <w:pPr>
        <w:pStyle w:val="BodyText"/>
        <w:numPr>
          <w:ilvl w:val="0"/>
          <w:numId w:val="9"/>
        </w:numPr>
        <w:spacing w:after="0"/>
        <w:jc w:val="both"/>
        <w:rPr>
          <w:sz w:val="16"/>
        </w:rPr>
      </w:pPr>
      <w:r w:rsidRPr="00562DCE">
        <w:rPr>
          <w:sz w:val="16"/>
        </w:rPr>
        <w:t>The largest increase in Western Australia’s gross fixed capital formation in 202</w:t>
      </w:r>
      <w:r w:rsidR="008D4BD8" w:rsidRPr="00562DCE">
        <w:rPr>
          <w:sz w:val="16"/>
        </w:rPr>
        <w:t>2</w:t>
      </w:r>
      <w:r w:rsidRPr="00562DCE">
        <w:rPr>
          <w:sz w:val="16"/>
        </w:rPr>
        <w:noBreakHyphen/>
        <w:t>2</w:t>
      </w:r>
      <w:r w:rsidR="008D4BD8" w:rsidRPr="00562DCE">
        <w:rPr>
          <w:sz w:val="16"/>
        </w:rPr>
        <w:t>3</w:t>
      </w:r>
      <w:r w:rsidRPr="00562DCE">
        <w:rPr>
          <w:sz w:val="16"/>
        </w:rPr>
        <w:t xml:space="preserve"> was in mining (up $</w:t>
      </w:r>
      <w:r w:rsidR="008D4BD8" w:rsidRPr="00562DCE">
        <w:rPr>
          <w:sz w:val="16"/>
        </w:rPr>
        <w:t>4.0</w:t>
      </w:r>
      <w:r w:rsidRPr="00562DCE">
        <w:rPr>
          <w:sz w:val="16"/>
        </w:rPr>
        <w:t xml:space="preserve"> billion or </w:t>
      </w:r>
      <w:r w:rsidR="008D4BD8" w:rsidRPr="00562DCE">
        <w:rPr>
          <w:sz w:val="16"/>
        </w:rPr>
        <w:t>12.7</w:t>
      </w:r>
      <w:r w:rsidRPr="00562DCE">
        <w:rPr>
          <w:sz w:val="16"/>
        </w:rPr>
        <w:t>%), followed by transport, postal and warehousing (up $1</w:t>
      </w:r>
      <w:r w:rsidR="008D4BD8" w:rsidRPr="00562DCE">
        <w:rPr>
          <w:sz w:val="16"/>
        </w:rPr>
        <w:t>.1</w:t>
      </w:r>
      <w:r w:rsidR="00034C5A" w:rsidRPr="00562DCE">
        <w:rPr>
          <w:sz w:val="16"/>
        </w:rPr>
        <w:t> </w:t>
      </w:r>
      <w:r w:rsidRPr="00562DCE">
        <w:rPr>
          <w:sz w:val="16"/>
        </w:rPr>
        <w:t xml:space="preserve">billion or </w:t>
      </w:r>
      <w:r w:rsidR="008D4BD8" w:rsidRPr="00562DCE">
        <w:rPr>
          <w:sz w:val="16"/>
        </w:rPr>
        <w:t>18.6</w:t>
      </w:r>
      <w:r w:rsidRPr="00562DCE">
        <w:rPr>
          <w:sz w:val="16"/>
        </w:rPr>
        <w:t>%).</w:t>
      </w:r>
    </w:p>
    <w:p w14:paraId="0A78FD4D" w14:textId="11132812" w:rsidR="008B0834" w:rsidRPr="00562DCE" w:rsidRDefault="008B0834" w:rsidP="008B0834">
      <w:pPr>
        <w:pStyle w:val="BodyText"/>
        <w:numPr>
          <w:ilvl w:val="0"/>
          <w:numId w:val="9"/>
        </w:numPr>
        <w:spacing w:after="0"/>
        <w:jc w:val="both"/>
        <w:rPr>
          <w:sz w:val="16"/>
        </w:rPr>
      </w:pPr>
      <w:r w:rsidRPr="00562DCE">
        <w:rPr>
          <w:sz w:val="16"/>
        </w:rPr>
        <w:t>The largest decrease in Western Australia’s gross fixed capital formation in 202</w:t>
      </w:r>
      <w:r w:rsidR="008D4BD8" w:rsidRPr="00562DCE">
        <w:rPr>
          <w:sz w:val="16"/>
        </w:rPr>
        <w:t>2</w:t>
      </w:r>
      <w:r w:rsidRPr="00562DCE">
        <w:rPr>
          <w:sz w:val="16"/>
        </w:rPr>
        <w:t>-2</w:t>
      </w:r>
      <w:r w:rsidR="008D4BD8" w:rsidRPr="00562DCE">
        <w:rPr>
          <w:sz w:val="16"/>
        </w:rPr>
        <w:t>3</w:t>
      </w:r>
      <w:r w:rsidRPr="00562DCE">
        <w:rPr>
          <w:sz w:val="16"/>
        </w:rPr>
        <w:t xml:space="preserve"> was in </w:t>
      </w:r>
      <w:r w:rsidR="008D4BD8" w:rsidRPr="00562DCE">
        <w:rPr>
          <w:sz w:val="16"/>
        </w:rPr>
        <w:t>retail, hiring and real estate services</w:t>
      </w:r>
      <w:r w:rsidRPr="00562DCE">
        <w:rPr>
          <w:sz w:val="16"/>
        </w:rPr>
        <w:t xml:space="preserve"> (down $</w:t>
      </w:r>
      <w:r w:rsidR="008D4BD8" w:rsidRPr="00562DCE">
        <w:rPr>
          <w:sz w:val="16"/>
        </w:rPr>
        <w:t>155</w:t>
      </w:r>
      <w:r w:rsidRPr="00562DCE">
        <w:rPr>
          <w:sz w:val="16"/>
        </w:rPr>
        <w:t xml:space="preserve"> million or </w:t>
      </w:r>
      <w:r w:rsidR="008D4BD8" w:rsidRPr="00562DCE">
        <w:rPr>
          <w:sz w:val="16"/>
        </w:rPr>
        <w:t>12.7</w:t>
      </w:r>
      <w:r w:rsidRPr="00562DCE">
        <w:rPr>
          <w:sz w:val="16"/>
        </w:rPr>
        <w:t xml:space="preserve">%), followed by </w:t>
      </w:r>
      <w:r w:rsidR="008D4BD8" w:rsidRPr="00562DCE">
        <w:rPr>
          <w:sz w:val="16"/>
        </w:rPr>
        <w:t>administrative and support services</w:t>
      </w:r>
      <w:r w:rsidRPr="00562DCE">
        <w:rPr>
          <w:sz w:val="16"/>
        </w:rPr>
        <w:t xml:space="preserve"> (down $2</w:t>
      </w:r>
      <w:r w:rsidR="008D4BD8" w:rsidRPr="00562DCE">
        <w:rPr>
          <w:sz w:val="16"/>
        </w:rPr>
        <w:t>1</w:t>
      </w:r>
      <w:r w:rsidRPr="00562DCE">
        <w:rPr>
          <w:sz w:val="16"/>
        </w:rPr>
        <w:t xml:space="preserve"> million or </w:t>
      </w:r>
      <w:r w:rsidR="008D4BD8" w:rsidRPr="00562DCE">
        <w:rPr>
          <w:sz w:val="16"/>
        </w:rPr>
        <w:t>14.4</w:t>
      </w:r>
      <w:r w:rsidRPr="00562DCE">
        <w:rPr>
          <w:sz w:val="16"/>
        </w:rPr>
        <w:t>%).</w:t>
      </w:r>
    </w:p>
    <w:p w14:paraId="5E9A3176" w14:textId="77777777" w:rsidR="008B0834" w:rsidRDefault="008B0834" w:rsidP="008B0834">
      <w:pPr>
        <w:jc w:val="both"/>
        <w:rPr>
          <w:sz w:val="16"/>
        </w:rPr>
      </w:pPr>
      <w:r>
        <w:rPr>
          <w:sz w:val="16"/>
        </w:rPr>
        <w:br w:type="page"/>
      </w:r>
    </w:p>
    <w:p w14:paraId="5C686870" w14:textId="77777777" w:rsidR="008B0834" w:rsidRPr="00DD5DF4" w:rsidRDefault="008B0834" w:rsidP="008B0834">
      <w:pPr>
        <w:pStyle w:val="BodyText"/>
        <w:spacing w:after="0"/>
        <w:rPr>
          <w:b/>
          <w:color w:val="002060"/>
          <w:sz w:val="22"/>
        </w:rPr>
      </w:pPr>
      <w:bookmarkStart w:id="2" w:name="_SOUTH_KOREA"/>
      <w:bookmarkEnd w:id="2"/>
      <w:r w:rsidRPr="00DD5DF4">
        <w:rPr>
          <w:b/>
          <w:color w:val="002060"/>
          <w:sz w:val="22"/>
        </w:rPr>
        <w:lastRenderedPageBreak/>
        <w:t>Investment</w:t>
      </w:r>
    </w:p>
    <w:p w14:paraId="2C7B7219" w14:textId="77777777" w:rsidR="008B0834" w:rsidRDefault="008B0834" w:rsidP="008B0834">
      <w:pPr>
        <w:spacing w:after="0"/>
        <w:rPr>
          <w:noProof/>
          <w:sz w:val="16"/>
          <w:lang w:eastAsia="en-AU"/>
        </w:rPr>
      </w:pPr>
      <w:r w:rsidRPr="00020369">
        <w:rPr>
          <w:b/>
          <w:color w:val="92278F" w:themeColor="accent1"/>
          <w:sz w:val="20"/>
        </w:rPr>
        <w:t>Western Australia’s exploration expenditure</w:t>
      </w:r>
      <w:r w:rsidRPr="00020369">
        <w:rPr>
          <w:b/>
          <w:color w:val="92278F" w:themeColor="accent1"/>
          <w:sz w:val="20"/>
          <w:vertAlign w:val="superscript"/>
        </w:rPr>
        <w:t>1</w:t>
      </w:r>
    </w:p>
    <w:p w14:paraId="16D4E1A8" w14:textId="3C5DB8B2" w:rsidR="008B0834" w:rsidRPr="001F6DB2" w:rsidRDefault="001F6DB2" w:rsidP="001F6DB2">
      <w:pPr>
        <w:spacing w:after="0"/>
        <w:jc w:val="both"/>
        <w:rPr>
          <w:sz w:val="16"/>
        </w:rPr>
      </w:pPr>
      <w:r>
        <w:rPr>
          <w:noProof/>
          <w:sz w:val="16"/>
        </w:rPr>
        <w:drawing>
          <wp:inline distT="0" distB="0" distL="0" distR="0" wp14:anchorId="67E56AEE" wp14:editId="0B3C0098">
            <wp:extent cx="3528000" cy="210340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7FE1A2D3" w14:textId="77777777" w:rsidR="008B0834" w:rsidRDefault="008B0834" w:rsidP="008B0834">
      <w:pPr>
        <w:spacing w:after="0"/>
        <w:jc w:val="both"/>
        <w:rPr>
          <w:sz w:val="10"/>
        </w:rPr>
      </w:pPr>
      <w:r w:rsidRPr="00A8430F">
        <w:rPr>
          <w:sz w:val="10"/>
          <w:vertAlign w:val="superscript"/>
        </w:rPr>
        <w:t>1</w:t>
      </w:r>
      <w:r>
        <w:rPr>
          <w:sz w:val="10"/>
        </w:rPr>
        <w:t xml:space="preserve"> Nominal or not adjusted for price changes. Original series.</w:t>
      </w:r>
    </w:p>
    <w:p w14:paraId="0E306CB8" w14:textId="77777777" w:rsidR="008B0834" w:rsidRPr="00560188" w:rsidRDefault="008B0834" w:rsidP="008B0834">
      <w:pPr>
        <w:spacing w:after="0"/>
        <w:jc w:val="both"/>
        <w:rPr>
          <w:sz w:val="10"/>
        </w:rPr>
      </w:pPr>
      <w:r w:rsidRPr="00716C34">
        <w:rPr>
          <w:sz w:val="10"/>
        </w:rPr>
        <w:t xml:space="preserve">Source: </w:t>
      </w:r>
      <w:r w:rsidRPr="00BE752F">
        <w:rPr>
          <w:sz w:val="10"/>
        </w:rPr>
        <w:t>Based on data from ABS 8412</w:t>
      </w:r>
      <w:r>
        <w:rPr>
          <w:sz w:val="10"/>
        </w:rPr>
        <w:t>.0 Mineral and Petroleum Exploration, Australia (Quarterly</w:t>
      </w:r>
      <w:r w:rsidRPr="00560188">
        <w:rPr>
          <w:sz w:val="10"/>
        </w:rPr>
        <w:t>).</w:t>
      </w:r>
    </w:p>
    <w:p w14:paraId="72C79041" w14:textId="77777777" w:rsidR="008B0834" w:rsidRDefault="008B0834" w:rsidP="008B0834">
      <w:pPr>
        <w:spacing w:after="0"/>
        <w:jc w:val="both"/>
        <w:rPr>
          <w:sz w:val="16"/>
        </w:rPr>
      </w:pPr>
    </w:p>
    <w:p w14:paraId="6CF5FD67" w14:textId="77777777" w:rsidR="008B0834" w:rsidRDefault="008B0834" w:rsidP="008B0834">
      <w:pPr>
        <w:spacing w:after="0"/>
        <w:jc w:val="both"/>
        <w:rPr>
          <w:sz w:val="16"/>
        </w:rPr>
      </w:pPr>
    </w:p>
    <w:p w14:paraId="340758EC" w14:textId="77777777" w:rsidR="008B0834" w:rsidRDefault="008B0834" w:rsidP="008B0834">
      <w:pPr>
        <w:spacing w:after="0"/>
        <w:jc w:val="both"/>
        <w:rPr>
          <w:sz w:val="16"/>
        </w:rPr>
      </w:pPr>
      <w:r>
        <w:rPr>
          <w:sz w:val="16"/>
        </w:rPr>
        <w:br w:type="column"/>
      </w:r>
    </w:p>
    <w:p w14:paraId="18EB1CFE" w14:textId="77777777" w:rsidR="008B0834" w:rsidRDefault="008B0834" w:rsidP="008B0834">
      <w:pPr>
        <w:spacing w:after="0"/>
        <w:jc w:val="both"/>
        <w:rPr>
          <w:sz w:val="16"/>
        </w:rPr>
      </w:pPr>
    </w:p>
    <w:p w14:paraId="0EC40C26" w14:textId="77777777" w:rsidR="008B0834" w:rsidRPr="00773A2D" w:rsidRDefault="008B0834" w:rsidP="008B0834">
      <w:pPr>
        <w:pStyle w:val="BodyText"/>
        <w:numPr>
          <w:ilvl w:val="0"/>
          <w:numId w:val="9"/>
        </w:numPr>
        <w:spacing w:after="0"/>
        <w:jc w:val="both"/>
        <w:rPr>
          <w:sz w:val="16"/>
        </w:rPr>
      </w:pPr>
      <w:r w:rsidRPr="00773A2D">
        <w:rPr>
          <w:sz w:val="16"/>
        </w:rPr>
        <w:t>Exploration expenditure can be a leading indicator for investment in minerals and petroleum projects.</w:t>
      </w:r>
    </w:p>
    <w:p w14:paraId="1212D969" w14:textId="77777777" w:rsidR="008B0834" w:rsidRPr="00773A2D" w:rsidRDefault="008B0834" w:rsidP="008B0834">
      <w:pPr>
        <w:pStyle w:val="BodyText"/>
        <w:numPr>
          <w:ilvl w:val="0"/>
          <w:numId w:val="9"/>
        </w:numPr>
        <w:spacing w:after="0"/>
        <w:jc w:val="both"/>
        <w:rPr>
          <w:sz w:val="16"/>
        </w:rPr>
      </w:pPr>
      <w:r w:rsidRPr="00773A2D">
        <w:rPr>
          <w:sz w:val="16"/>
        </w:rPr>
        <w:t>Western Australia accounted for 62% of Australia’s minerals exploration expenditure in 2022-23.</w:t>
      </w:r>
    </w:p>
    <w:p w14:paraId="782B4F2F" w14:textId="77777777" w:rsidR="008B0834" w:rsidRPr="00773A2D" w:rsidRDefault="008B0834" w:rsidP="008B0834">
      <w:pPr>
        <w:pStyle w:val="BodyText"/>
        <w:numPr>
          <w:ilvl w:val="0"/>
          <w:numId w:val="9"/>
        </w:numPr>
        <w:spacing w:after="0"/>
        <w:jc w:val="both"/>
        <w:rPr>
          <w:sz w:val="16"/>
        </w:rPr>
      </w:pPr>
      <w:r w:rsidRPr="00773A2D">
        <w:rPr>
          <w:sz w:val="16"/>
        </w:rPr>
        <w:t>The value of minerals exploration expenditure in Western Australia rose 2.5% to $2.5 billion in 2022-23, mainly due to increases in other minerals (including lithium and other critical minerals), iron ore, nickel and cobalt exploration.</w:t>
      </w:r>
    </w:p>
    <w:p w14:paraId="3089A733" w14:textId="77777777" w:rsidR="008B0834" w:rsidRPr="00773A2D" w:rsidRDefault="008B0834" w:rsidP="008B0834">
      <w:pPr>
        <w:pStyle w:val="BodyText"/>
        <w:numPr>
          <w:ilvl w:val="0"/>
          <w:numId w:val="9"/>
        </w:numPr>
        <w:spacing w:after="0"/>
        <w:jc w:val="both"/>
        <w:rPr>
          <w:sz w:val="16"/>
        </w:rPr>
      </w:pPr>
      <w:r w:rsidRPr="00773A2D">
        <w:rPr>
          <w:sz w:val="16"/>
        </w:rPr>
        <w:t>In 2022-23, the value of exploration expenditure in Western Australia on:</w:t>
      </w:r>
    </w:p>
    <w:p w14:paraId="2BE02360" w14:textId="77777777" w:rsidR="008B0834" w:rsidRPr="00773A2D" w:rsidRDefault="008B0834" w:rsidP="008B0834">
      <w:pPr>
        <w:pStyle w:val="BodyText"/>
        <w:numPr>
          <w:ilvl w:val="1"/>
          <w:numId w:val="11"/>
        </w:numPr>
        <w:spacing w:after="0"/>
        <w:ind w:left="851" w:hanging="284"/>
        <w:jc w:val="both"/>
        <w:rPr>
          <w:sz w:val="16"/>
        </w:rPr>
      </w:pPr>
      <w:r w:rsidRPr="00773A2D">
        <w:rPr>
          <w:sz w:val="16"/>
        </w:rPr>
        <w:t>other minerals rose 74.3% to $460 million</w:t>
      </w:r>
    </w:p>
    <w:p w14:paraId="50B9D72A" w14:textId="77777777" w:rsidR="008B0834" w:rsidRPr="00773A2D" w:rsidRDefault="008B0834" w:rsidP="008B0834">
      <w:pPr>
        <w:pStyle w:val="BodyText"/>
        <w:numPr>
          <w:ilvl w:val="1"/>
          <w:numId w:val="11"/>
        </w:numPr>
        <w:spacing w:after="0"/>
        <w:ind w:left="851" w:hanging="284"/>
        <w:jc w:val="both"/>
        <w:rPr>
          <w:sz w:val="16"/>
        </w:rPr>
      </w:pPr>
      <w:r w:rsidRPr="00773A2D">
        <w:rPr>
          <w:sz w:val="16"/>
        </w:rPr>
        <w:t>iron ore rose 9.6% to $648 million</w:t>
      </w:r>
    </w:p>
    <w:p w14:paraId="0480566E" w14:textId="77777777" w:rsidR="008B0834" w:rsidRPr="00773A2D" w:rsidRDefault="008B0834" w:rsidP="008B0834">
      <w:pPr>
        <w:pStyle w:val="BodyText"/>
        <w:numPr>
          <w:ilvl w:val="1"/>
          <w:numId w:val="11"/>
        </w:numPr>
        <w:spacing w:after="0"/>
        <w:ind w:left="851" w:hanging="284"/>
        <w:jc w:val="both"/>
        <w:rPr>
          <w:sz w:val="16"/>
        </w:rPr>
      </w:pPr>
      <w:r w:rsidRPr="00773A2D">
        <w:rPr>
          <w:sz w:val="16"/>
        </w:rPr>
        <w:t>nickel and cobalt rose 18.8% to $287 million.</w:t>
      </w:r>
    </w:p>
    <w:p w14:paraId="4A806A37" w14:textId="77777777" w:rsidR="008B0834" w:rsidRPr="00773A2D" w:rsidRDefault="008B0834" w:rsidP="008B0834">
      <w:pPr>
        <w:pStyle w:val="BodyText"/>
        <w:numPr>
          <w:ilvl w:val="0"/>
          <w:numId w:val="9"/>
        </w:numPr>
        <w:spacing w:after="0"/>
        <w:jc w:val="both"/>
        <w:rPr>
          <w:sz w:val="16"/>
        </w:rPr>
      </w:pPr>
      <w:r w:rsidRPr="00773A2D">
        <w:rPr>
          <w:sz w:val="16"/>
        </w:rPr>
        <w:t>Western Australia accounted for 39% of Australia’s petroleum exploration expenditure in 2022-23.</w:t>
      </w:r>
    </w:p>
    <w:p w14:paraId="3B7798EC" w14:textId="59768E02" w:rsidR="008B0834" w:rsidRPr="00773A2D" w:rsidRDefault="008B0834" w:rsidP="008B0834">
      <w:pPr>
        <w:pStyle w:val="BodyText"/>
        <w:numPr>
          <w:ilvl w:val="0"/>
          <w:numId w:val="9"/>
        </w:numPr>
        <w:spacing w:after="0"/>
        <w:jc w:val="both"/>
        <w:rPr>
          <w:sz w:val="16"/>
        </w:rPr>
      </w:pPr>
      <w:r w:rsidRPr="00773A2D">
        <w:rPr>
          <w:sz w:val="16"/>
        </w:rPr>
        <w:t>The value of petroleum exploration expenditure in Western Australia fell 37.8% to $352</w:t>
      </w:r>
      <w:r w:rsidR="001F6DB2">
        <w:rPr>
          <w:sz w:val="16"/>
        </w:rPr>
        <w:t> </w:t>
      </w:r>
      <w:r w:rsidRPr="00773A2D">
        <w:rPr>
          <w:sz w:val="16"/>
        </w:rPr>
        <w:t>million in 2022-23.</w:t>
      </w:r>
    </w:p>
    <w:p w14:paraId="76326083" w14:textId="77777777" w:rsidR="008B0834" w:rsidRPr="005864F8" w:rsidRDefault="008B0834" w:rsidP="008B0834">
      <w:pPr>
        <w:pStyle w:val="BodyText"/>
        <w:spacing w:after="0"/>
        <w:jc w:val="both"/>
        <w:rPr>
          <w:color w:val="FF0000"/>
          <w:sz w:val="16"/>
        </w:rPr>
        <w:sectPr w:rsidR="008B0834" w:rsidRPr="005864F8" w:rsidSect="00877B3F">
          <w:type w:val="continuous"/>
          <w:pgSz w:w="11907" w:h="16840" w:code="9"/>
          <w:pgMar w:top="1701" w:right="720" w:bottom="720" w:left="720" w:header="709" w:footer="709" w:gutter="0"/>
          <w:cols w:num="2" w:space="284" w:equalWidth="0">
            <w:col w:w="5647" w:space="284"/>
            <w:col w:w="4536"/>
          </w:cols>
          <w:docGrid w:linePitch="360"/>
        </w:sectPr>
      </w:pPr>
      <w:r>
        <w:rPr>
          <w:color w:val="FF0000"/>
          <w:sz w:val="16"/>
        </w:rPr>
        <w:t xml:space="preserve">  </w:t>
      </w:r>
    </w:p>
    <w:p w14:paraId="05AD6613"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engineering construction activity</w:t>
      </w:r>
      <w:r w:rsidRPr="00020369">
        <w:rPr>
          <w:b/>
          <w:color w:val="92278F" w:themeColor="accent1"/>
          <w:sz w:val="20"/>
          <w:vertAlign w:val="superscript"/>
        </w:rPr>
        <w:t>1</w:t>
      </w:r>
    </w:p>
    <w:p w14:paraId="68318A57" w14:textId="4B94C9E9" w:rsidR="008B0834" w:rsidRPr="00432DF3" w:rsidRDefault="001F6DB2" w:rsidP="008B0834">
      <w:pPr>
        <w:spacing w:after="0"/>
        <w:jc w:val="both"/>
        <w:rPr>
          <w:sz w:val="16"/>
        </w:rPr>
      </w:pPr>
      <w:r>
        <w:rPr>
          <w:noProof/>
          <w:sz w:val="16"/>
        </w:rPr>
        <w:drawing>
          <wp:inline distT="0" distB="0" distL="0" distR="0" wp14:anchorId="038D589A" wp14:editId="2EFDED5B">
            <wp:extent cx="3528000" cy="210340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4F952896" w14:textId="77777777" w:rsidR="008B0834" w:rsidRPr="00AD38D1" w:rsidRDefault="008B0834" w:rsidP="008B0834">
      <w:pPr>
        <w:spacing w:after="0"/>
        <w:jc w:val="both"/>
        <w:rPr>
          <w:sz w:val="10"/>
        </w:rPr>
      </w:pPr>
      <w:r>
        <w:rPr>
          <w:sz w:val="10"/>
        </w:rPr>
        <w:t xml:space="preserve">Note –The large value of engineering construction activity in the September quarter 2017 was mainly due to the arrival of the Prelude Floating LNG Plant. </w:t>
      </w:r>
      <w:r w:rsidRPr="00AD38D1">
        <w:rPr>
          <w:sz w:val="10"/>
          <w:vertAlign w:val="superscript"/>
        </w:rPr>
        <w:t>1</w:t>
      </w:r>
      <w:r w:rsidRPr="00AD38D1">
        <w:rPr>
          <w:sz w:val="10"/>
        </w:rPr>
        <w:t xml:space="preserve"> Nominal</w:t>
      </w:r>
      <w:r>
        <w:rPr>
          <w:sz w:val="10"/>
        </w:rPr>
        <w:t xml:space="preserve"> or not adjusted for price changes</w:t>
      </w:r>
      <w:r w:rsidRPr="00AD38D1">
        <w:rPr>
          <w:sz w:val="10"/>
        </w:rPr>
        <w:t>. Seasonally adjusted series.</w:t>
      </w:r>
    </w:p>
    <w:p w14:paraId="2842DB6F" w14:textId="77777777" w:rsidR="008B0834" w:rsidRPr="00AF0787" w:rsidRDefault="008B0834" w:rsidP="008B0834">
      <w:pPr>
        <w:pStyle w:val="BodyText"/>
        <w:spacing w:after="0"/>
        <w:jc w:val="both"/>
        <w:rPr>
          <w:sz w:val="10"/>
        </w:rPr>
      </w:pPr>
      <w:r w:rsidRPr="00AD38D1">
        <w:rPr>
          <w:sz w:val="10"/>
        </w:rPr>
        <w:t xml:space="preserve">Source: </w:t>
      </w:r>
      <w:r w:rsidRPr="00332C9E">
        <w:rPr>
          <w:sz w:val="10"/>
        </w:rPr>
        <w:t xml:space="preserve">Based on data from </w:t>
      </w:r>
      <w:r w:rsidRPr="00AD38D1">
        <w:rPr>
          <w:sz w:val="10"/>
        </w:rPr>
        <w:t>ABS 8762.0 Engineering Construction A</w:t>
      </w:r>
      <w:r>
        <w:rPr>
          <w:sz w:val="10"/>
        </w:rPr>
        <w:t>ctivity, Australia (Quarterly</w:t>
      </w:r>
      <w:r w:rsidRPr="00AD38D1">
        <w:rPr>
          <w:sz w:val="10"/>
        </w:rPr>
        <w:t>).</w:t>
      </w:r>
    </w:p>
    <w:p w14:paraId="27E8FC1B" w14:textId="77777777" w:rsidR="008B0834" w:rsidRDefault="008B0834" w:rsidP="008B0834">
      <w:pPr>
        <w:pStyle w:val="BodyText"/>
        <w:spacing w:after="0"/>
        <w:jc w:val="both"/>
        <w:rPr>
          <w:sz w:val="16"/>
        </w:rPr>
      </w:pPr>
    </w:p>
    <w:p w14:paraId="301C55ED" w14:textId="77777777" w:rsidR="008B0834" w:rsidRDefault="008B0834" w:rsidP="008B0834">
      <w:pPr>
        <w:pStyle w:val="BodyText"/>
        <w:spacing w:after="0"/>
        <w:jc w:val="both"/>
        <w:rPr>
          <w:sz w:val="16"/>
        </w:rPr>
      </w:pPr>
    </w:p>
    <w:p w14:paraId="4A192ED4" w14:textId="77777777" w:rsidR="008B0834" w:rsidRDefault="008B0834" w:rsidP="008B0834">
      <w:pPr>
        <w:pStyle w:val="BodyText"/>
        <w:spacing w:after="0"/>
        <w:jc w:val="both"/>
        <w:rPr>
          <w:sz w:val="16"/>
        </w:rPr>
      </w:pPr>
    </w:p>
    <w:p w14:paraId="43264AAA" w14:textId="77777777" w:rsidR="008B0834" w:rsidRPr="00403DB4" w:rsidRDefault="008B0834" w:rsidP="008B0834">
      <w:pPr>
        <w:pStyle w:val="BodyText"/>
        <w:spacing w:after="0"/>
        <w:jc w:val="both"/>
        <w:rPr>
          <w:sz w:val="16"/>
        </w:rPr>
      </w:pPr>
    </w:p>
    <w:p w14:paraId="2F0B38D2" w14:textId="77777777" w:rsidR="008B0834" w:rsidRDefault="008B0834" w:rsidP="008B0834">
      <w:pPr>
        <w:pStyle w:val="BodyText"/>
        <w:spacing w:after="0"/>
        <w:jc w:val="both"/>
        <w:rPr>
          <w:sz w:val="16"/>
        </w:rPr>
      </w:pPr>
      <w:r w:rsidRPr="0019392F">
        <w:rPr>
          <w:sz w:val="16"/>
        </w:rPr>
        <w:br w:type="column"/>
      </w:r>
    </w:p>
    <w:p w14:paraId="5C8F9AB1" w14:textId="77777777" w:rsidR="008B0834" w:rsidRPr="00773A2D" w:rsidRDefault="008B0834" w:rsidP="008B0834">
      <w:pPr>
        <w:pStyle w:val="BodyText"/>
        <w:numPr>
          <w:ilvl w:val="0"/>
          <w:numId w:val="9"/>
        </w:numPr>
        <w:spacing w:after="0"/>
        <w:jc w:val="both"/>
        <w:rPr>
          <w:sz w:val="16"/>
        </w:rPr>
      </w:pPr>
      <w:r w:rsidRPr="00773A2D">
        <w:rPr>
          <w:sz w:val="16"/>
        </w:rPr>
        <w:t>The value of engineering construction activity in Western Australia rose 5.4% to $6.4 billion in the June quarter 2023, following a rise of 1.5% in the March quarter 2023.</w:t>
      </w:r>
    </w:p>
    <w:p w14:paraId="0C2E604E" w14:textId="77777777" w:rsidR="008B0834" w:rsidRPr="00773A2D" w:rsidRDefault="008B0834" w:rsidP="008B0834">
      <w:pPr>
        <w:pStyle w:val="BodyText"/>
        <w:numPr>
          <w:ilvl w:val="0"/>
          <w:numId w:val="9"/>
        </w:numPr>
        <w:spacing w:after="0"/>
        <w:jc w:val="both"/>
        <w:rPr>
          <w:sz w:val="16"/>
        </w:rPr>
      </w:pPr>
      <w:r w:rsidRPr="00773A2D">
        <w:rPr>
          <w:sz w:val="16"/>
        </w:rPr>
        <w:t>In 2022-23, the value of engineering construction activity in Western Australia rose 21.2% to $24.1 billion. This was due to increases in the value of construction for:</w:t>
      </w:r>
    </w:p>
    <w:p w14:paraId="6A31484E" w14:textId="77777777" w:rsidR="008B0834" w:rsidRPr="00773A2D" w:rsidRDefault="008B0834" w:rsidP="008B0834">
      <w:pPr>
        <w:pStyle w:val="BodyText"/>
        <w:numPr>
          <w:ilvl w:val="1"/>
          <w:numId w:val="11"/>
        </w:numPr>
        <w:spacing w:after="0"/>
        <w:ind w:left="851" w:hanging="284"/>
        <w:jc w:val="both"/>
        <w:rPr>
          <w:sz w:val="16"/>
        </w:rPr>
      </w:pPr>
      <w:r w:rsidRPr="00773A2D">
        <w:rPr>
          <w:sz w:val="16"/>
        </w:rPr>
        <w:t>heavy industry (up 11.6% to $13.0 billion)</w:t>
      </w:r>
    </w:p>
    <w:p w14:paraId="7FAFCC79" w14:textId="77777777" w:rsidR="008B0834" w:rsidRPr="00773A2D" w:rsidRDefault="008B0834" w:rsidP="008B0834">
      <w:pPr>
        <w:pStyle w:val="BodyText"/>
        <w:numPr>
          <w:ilvl w:val="1"/>
          <w:numId w:val="11"/>
        </w:numPr>
        <w:spacing w:after="0"/>
        <w:ind w:left="851" w:hanging="284"/>
        <w:jc w:val="both"/>
        <w:rPr>
          <w:sz w:val="16"/>
        </w:rPr>
      </w:pPr>
      <w:r w:rsidRPr="00773A2D">
        <w:rPr>
          <w:sz w:val="16"/>
        </w:rPr>
        <w:t>bridges, railways and harbours (up 47.7% to $2.4 billion)</w:t>
      </w:r>
    </w:p>
    <w:p w14:paraId="16442CA1" w14:textId="77777777" w:rsidR="008B0834" w:rsidRPr="00773A2D" w:rsidRDefault="008B0834" w:rsidP="008B0834">
      <w:pPr>
        <w:pStyle w:val="BodyText"/>
        <w:numPr>
          <w:ilvl w:val="1"/>
          <w:numId w:val="11"/>
        </w:numPr>
        <w:spacing w:after="0"/>
        <w:ind w:left="851" w:hanging="284"/>
        <w:jc w:val="both"/>
        <w:rPr>
          <w:sz w:val="16"/>
        </w:rPr>
      </w:pPr>
      <w:r w:rsidRPr="00773A2D">
        <w:rPr>
          <w:sz w:val="16"/>
        </w:rPr>
        <w:t>roads, highways and subdivisions (up 28.7% to $2.7 billion)</w:t>
      </w:r>
    </w:p>
    <w:p w14:paraId="5070DAE7" w14:textId="77777777" w:rsidR="008B0834" w:rsidRPr="00773A2D" w:rsidRDefault="008B0834" w:rsidP="008B0834">
      <w:pPr>
        <w:pStyle w:val="BodyText"/>
        <w:numPr>
          <w:ilvl w:val="1"/>
          <w:numId w:val="11"/>
        </w:numPr>
        <w:spacing w:after="0"/>
        <w:ind w:left="851" w:hanging="284"/>
        <w:jc w:val="both"/>
        <w:rPr>
          <w:sz w:val="16"/>
        </w:rPr>
      </w:pPr>
      <w:r w:rsidRPr="00773A2D">
        <w:rPr>
          <w:sz w:val="16"/>
        </w:rPr>
        <w:t>electricity generation, transmission and distribution and pipelines (up 25.7% to $3.0 billion)</w:t>
      </w:r>
    </w:p>
    <w:p w14:paraId="148AB586" w14:textId="77777777" w:rsidR="008B0834" w:rsidRPr="00773A2D" w:rsidRDefault="008B0834" w:rsidP="008B0834">
      <w:pPr>
        <w:pStyle w:val="BodyText"/>
        <w:numPr>
          <w:ilvl w:val="1"/>
          <w:numId w:val="11"/>
        </w:numPr>
        <w:spacing w:after="0"/>
        <w:ind w:left="851" w:hanging="284"/>
        <w:jc w:val="both"/>
        <w:rPr>
          <w:sz w:val="16"/>
        </w:rPr>
      </w:pPr>
      <w:r w:rsidRPr="00773A2D">
        <w:rPr>
          <w:sz w:val="16"/>
        </w:rPr>
        <w:t>water storage and supply, sewerage and drainage (up 45.0% to $1.6 billion)</w:t>
      </w:r>
    </w:p>
    <w:p w14:paraId="286294D9" w14:textId="77777777" w:rsidR="008B0834" w:rsidRPr="00773A2D" w:rsidRDefault="008B0834" w:rsidP="008B0834">
      <w:pPr>
        <w:pStyle w:val="BodyText"/>
        <w:numPr>
          <w:ilvl w:val="1"/>
          <w:numId w:val="11"/>
        </w:numPr>
        <w:spacing w:after="0"/>
        <w:ind w:left="851" w:hanging="284"/>
        <w:jc w:val="both"/>
        <w:rPr>
          <w:sz w:val="16"/>
        </w:rPr>
      </w:pPr>
      <w:r w:rsidRPr="00773A2D">
        <w:rPr>
          <w:sz w:val="16"/>
        </w:rPr>
        <w:t>recreation and other (up 63.1% to $659 million)</w:t>
      </w:r>
    </w:p>
    <w:p w14:paraId="68F50107" w14:textId="77777777" w:rsidR="008B0834" w:rsidRPr="00773A2D" w:rsidRDefault="008B0834" w:rsidP="008B0834">
      <w:pPr>
        <w:pStyle w:val="BodyText"/>
        <w:numPr>
          <w:ilvl w:val="1"/>
          <w:numId w:val="11"/>
        </w:numPr>
        <w:spacing w:after="0"/>
        <w:ind w:left="851" w:hanging="284"/>
        <w:jc w:val="both"/>
        <w:rPr>
          <w:sz w:val="16"/>
        </w:rPr>
      </w:pPr>
      <w:r w:rsidRPr="00773A2D">
        <w:rPr>
          <w:sz w:val="16"/>
        </w:rPr>
        <w:t>telecommunications (up 17.8% to $784 million).</w:t>
      </w:r>
    </w:p>
    <w:p w14:paraId="1A354C3A" w14:textId="77777777" w:rsidR="008B0834" w:rsidRPr="00773A2D" w:rsidRDefault="008B0834" w:rsidP="008B0834">
      <w:pPr>
        <w:pStyle w:val="BodyText"/>
        <w:spacing w:after="0"/>
        <w:ind w:left="284"/>
        <w:jc w:val="both"/>
        <w:rPr>
          <w:sz w:val="16"/>
        </w:rPr>
        <w:sectPr w:rsidR="008B0834" w:rsidRPr="00773A2D" w:rsidSect="00F7498D">
          <w:type w:val="continuous"/>
          <w:pgSz w:w="11907" w:h="16840" w:code="9"/>
          <w:pgMar w:top="1701" w:right="720" w:bottom="720" w:left="720" w:header="709" w:footer="709" w:gutter="0"/>
          <w:cols w:num="2" w:space="284" w:equalWidth="0">
            <w:col w:w="5647" w:space="284"/>
            <w:col w:w="4536"/>
          </w:cols>
          <w:docGrid w:linePitch="360"/>
        </w:sectPr>
      </w:pPr>
    </w:p>
    <w:p w14:paraId="09BA0904"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building activity</w:t>
      </w:r>
      <w:r w:rsidRPr="00020369">
        <w:rPr>
          <w:b/>
          <w:color w:val="92278F" w:themeColor="accent1"/>
          <w:sz w:val="20"/>
          <w:vertAlign w:val="superscript"/>
        </w:rPr>
        <w:t>1</w:t>
      </w:r>
    </w:p>
    <w:p w14:paraId="40F89DEB" w14:textId="4653C85F" w:rsidR="008B0834" w:rsidRDefault="00B87FF7" w:rsidP="008B0834">
      <w:pPr>
        <w:spacing w:after="0"/>
        <w:jc w:val="both"/>
        <w:rPr>
          <w:sz w:val="16"/>
        </w:rPr>
      </w:pPr>
      <w:r>
        <w:rPr>
          <w:noProof/>
          <w:sz w:val="16"/>
        </w:rPr>
        <w:drawing>
          <wp:inline distT="0" distB="0" distL="0" distR="0" wp14:anchorId="530240E6" wp14:editId="7D952EE6">
            <wp:extent cx="3251200" cy="1938376"/>
            <wp:effectExtent l="0" t="0" r="6350" b="508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258440" cy="1942693"/>
                    </a:xfrm>
                    <a:prstGeom prst="rect">
                      <a:avLst/>
                    </a:prstGeom>
                    <a:noFill/>
                    <a:ln>
                      <a:noFill/>
                    </a:ln>
                  </pic:spPr>
                </pic:pic>
              </a:graphicData>
            </a:graphic>
          </wp:inline>
        </w:drawing>
      </w:r>
    </w:p>
    <w:p w14:paraId="1CCF1471" w14:textId="77777777" w:rsidR="008B0834" w:rsidRDefault="008B0834" w:rsidP="008B0834">
      <w:pPr>
        <w:spacing w:after="0"/>
        <w:jc w:val="both"/>
        <w:rPr>
          <w:sz w:val="10"/>
        </w:rPr>
      </w:pPr>
      <w:r w:rsidRPr="00ED3DB7">
        <w:rPr>
          <w:sz w:val="10"/>
          <w:vertAlign w:val="superscript"/>
        </w:rPr>
        <w:t>1</w:t>
      </w:r>
      <w:r w:rsidRPr="00ED3DB7">
        <w:rPr>
          <w:sz w:val="10"/>
        </w:rPr>
        <w:t xml:space="preserve"> Nominal</w:t>
      </w:r>
      <w:r>
        <w:rPr>
          <w:sz w:val="10"/>
        </w:rPr>
        <w:t xml:space="preserve"> or not adjusted for price changes</w:t>
      </w:r>
      <w:r w:rsidRPr="00ED3DB7">
        <w:rPr>
          <w:sz w:val="10"/>
        </w:rPr>
        <w:t>. Seasonally adjusted series (except for total building activity in the pipeline).</w:t>
      </w:r>
    </w:p>
    <w:p w14:paraId="4F50053F" w14:textId="77777777" w:rsidR="008B0834" w:rsidRPr="00ED3DB7" w:rsidRDefault="008B0834" w:rsidP="008B0834">
      <w:pPr>
        <w:spacing w:after="0"/>
        <w:jc w:val="both"/>
        <w:rPr>
          <w:sz w:val="10"/>
        </w:rPr>
      </w:pPr>
      <w:r w:rsidRPr="00ED3DB7">
        <w:rPr>
          <w:sz w:val="10"/>
        </w:rPr>
        <w:t>(a) Total residential and non-residential building activity in the pipeline. Original series.</w:t>
      </w:r>
    </w:p>
    <w:p w14:paraId="4BE625B1" w14:textId="77777777" w:rsidR="008B0834" w:rsidRPr="00ED3DB7" w:rsidRDefault="008B0834" w:rsidP="008B0834">
      <w:pPr>
        <w:spacing w:after="0"/>
        <w:jc w:val="both"/>
        <w:rPr>
          <w:sz w:val="10"/>
        </w:rPr>
      </w:pPr>
      <w:r w:rsidRPr="00ED3DB7">
        <w:rPr>
          <w:sz w:val="10"/>
        </w:rPr>
        <w:t xml:space="preserve">Source: </w:t>
      </w:r>
      <w:r w:rsidRPr="00D74050">
        <w:rPr>
          <w:sz w:val="10"/>
        </w:rPr>
        <w:t xml:space="preserve">Based on data from </w:t>
      </w:r>
      <w:r w:rsidRPr="00332C9E">
        <w:rPr>
          <w:sz w:val="10"/>
        </w:rPr>
        <w:t xml:space="preserve">ABS </w:t>
      </w:r>
      <w:r w:rsidRPr="00ED3DB7">
        <w:rPr>
          <w:sz w:val="10"/>
        </w:rPr>
        <w:t>8752.0 Building Activity, Australia (Quarterly).</w:t>
      </w:r>
    </w:p>
    <w:p w14:paraId="5740CF0A" w14:textId="77777777" w:rsidR="008B0834" w:rsidRDefault="008B0834" w:rsidP="008B0834">
      <w:pPr>
        <w:spacing w:after="0"/>
        <w:jc w:val="both"/>
        <w:rPr>
          <w:sz w:val="16"/>
        </w:rPr>
      </w:pPr>
    </w:p>
    <w:p w14:paraId="6C53A75E" w14:textId="77777777" w:rsidR="008B0834" w:rsidRPr="00CB298C" w:rsidRDefault="008B0834" w:rsidP="008B0834">
      <w:pPr>
        <w:spacing w:after="0"/>
        <w:jc w:val="both"/>
        <w:rPr>
          <w:sz w:val="16"/>
        </w:rPr>
      </w:pPr>
    </w:p>
    <w:p w14:paraId="6048C133" w14:textId="77777777" w:rsidR="008B0834" w:rsidRDefault="008B0834" w:rsidP="008B0834">
      <w:pPr>
        <w:pStyle w:val="BodyText"/>
        <w:spacing w:after="0"/>
        <w:jc w:val="both"/>
        <w:rPr>
          <w:sz w:val="16"/>
        </w:rPr>
      </w:pPr>
      <w:r w:rsidRPr="00ED3DB7">
        <w:rPr>
          <w:sz w:val="16"/>
        </w:rPr>
        <w:br w:type="column"/>
      </w:r>
    </w:p>
    <w:p w14:paraId="6228ABB3" w14:textId="77777777" w:rsidR="008B0834" w:rsidRPr="00F0711B" w:rsidRDefault="008B0834" w:rsidP="008B0834">
      <w:pPr>
        <w:pStyle w:val="BodyText"/>
        <w:numPr>
          <w:ilvl w:val="0"/>
          <w:numId w:val="9"/>
        </w:numPr>
        <w:spacing w:after="0"/>
        <w:jc w:val="both"/>
        <w:rPr>
          <w:sz w:val="16"/>
        </w:rPr>
      </w:pPr>
      <w:r w:rsidRPr="00F0711B">
        <w:rPr>
          <w:sz w:val="16"/>
        </w:rPr>
        <w:t>The value of building activity in Western Australia rose 4.8% to $3.5 billion in the June quarter 2023, with:</w:t>
      </w:r>
    </w:p>
    <w:p w14:paraId="4D4FDAA0" w14:textId="77777777" w:rsidR="008B0834" w:rsidRPr="00F0711B" w:rsidRDefault="008B0834" w:rsidP="008B0834">
      <w:pPr>
        <w:pStyle w:val="BodyText"/>
        <w:numPr>
          <w:ilvl w:val="1"/>
          <w:numId w:val="11"/>
        </w:numPr>
        <w:spacing w:after="0"/>
        <w:ind w:left="851" w:hanging="284"/>
        <w:jc w:val="both"/>
        <w:rPr>
          <w:sz w:val="16"/>
        </w:rPr>
      </w:pPr>
      <w:r w:rsidRPr="00F0711B">
        <w:rPr>
          <w:sz w:val="16"/>
        </w:rPr>
        <w:t>residential building activity up 8.8% to $2.1 billion</w:t>
      </w:r>
    </w:p>
    <w:p w14:paraId="0B831BD9" w14:textId="77777777" w:rsidR="008B0834" w:rsidRPr="00F0711B" w:rsidRDefault="008B0834" w:rsidP="008B0834">
      <w:pPr>
        <w:pStyle w:val="BodyText"/>
        <w:numPr>
          <w:ilvl w:val="1"/>
          <w:numId w:val="11"/>
        </w:numPr>
        <w:spacing w:after="0"/>
        <w:ind w:left="851" w:hanging="284"/>
        <w:jc w:val="both"/>
        <w:rPr>
          <w:sz w:val="16"/>
        </w:rPr>
      </w:pPr>
      <w:r w:rsidRPr="00F0711B">
        <w:rPr>
          <w:sz w:val="16"/>
        </w:rPr>
        <w:t>non-residential building activity down 0.8% to $1.4 billion.</w:t>
      </w:r>
    </w:p>
    <w:p w14:paraId="3FD000A4" w14:textId="77777777" w:rsidR="008B0834" w:rsidRPr="00F0711B" w:rsidRDefault="008B0834" w:rsidP="008B0834">
      <w:pPr>
        <w:pStyle w:val="BodyText"/>
        <w:numPr>
          <w:ilvl w:val="0"/>
          <w:numId w:val="9"/>
        </w:numPr>
        <w:spacing w:after="0"/>
        <w:jc w:val="both"/>
        <w:rPr>
          <w:sz w:val="16"/>
        </w:rPr>
      </w:pPr>
      <w:r w:rsidRPr="00F0711B">
        <w:rPr>
          <w:sz w:val="16"/>
        </w:rPr>
        <w:t>The value of building work in the pipeline in Western Australia fell 8.2% to $10.2 billion in the June quarter 2023, which is 14.8% lower than in the June quarter 2022.</w:t>
      </w:r>
    </w:p>
    <w:p w14:paraId="29B55EE2" w14:textId="77777777" w:rsidR="008B0834" w:rsidRPr="00F0711B" w:rsidRDefault="008B0834" w:rsidP="008B0834">
      <w:pPr>
        <w:pStyle w:val="BodyText"/>
        <w:numPr>
          <w:ilvl w:val="0"/>
          <w:numId w:val="9"/>
        </w:numPr>
        <w:spacing w:after="0"/>
        <w:jc w:val="both"/>
        <w:rPr>
          <w:sz w:val="16"/>
        </w:rPr>
      </w:pPr>
      <w:r w:rsidRPr="00F0711B">
        <w:rPr>
          <w:sz w:val="16"/>
        </w:rPr>
        <w:t>In 2022-23, the value of building activity in Western Australia rose 15.5% to $13.1 billion, with:</w:t>
      </w:r>
    </w:p>
    <w:p w14:paraId="2E05CCA2" w14:textId="77777777" w:rsidR="008B0834" w:rsidRPr="00F0711B" w:rsidRDefault="008B0834" w:rsidP="008B0834">
      <w:pPr>
        <w:pStyle w:val="BodyText"/>
        <w:numPr>
          <w:ilvl w:val="1"/>
          <w:numId w:val="11"/>
        </w:numPr>
        <w:spacing w:after="0"/>
        <w:ind w:left="851" w:hanging="284"/>
        <w:jc w:val="both"/>
        <w:rPr>
          <w:sz w:val="16"/>
        </w:rPr>
      </w:pPr>
      <w:r w:rsidRPr="00F0711B">
        <w:rPr>
          <w:sz w:val="16"/>
        </w:rPr>
        <w:t>residential building up 13.7% to $7.6 billion</w:t>
      </w:r>
    </w:p>
    <w:p w14:paraId="2F883619" w14:textId="77777777" w:rsidR="008B0834" w:rsidRPr="00F0711B" w:rsidRDefault="008B0834" w:rsidP="008B0834">
      <w:pPr>
        <w:pStyle w:val="BodyText"/>
        <w:numPr>
          <w:ilvl w:val="1"/>
          <w:numId w:val="11"/>
        </w:numPr>
        <w:spacing w:after="0"/>
        <w:ind w:left="851" w:hanging="284"/>
        <w:jc w:val="both"/>
        <w:rPr>
          <w:sz w:val="16"/>
        </w:rPr>
      </w:pPr>
      <w:r w:rsidRPr="00F0711B">
        <w:rPr>
          <w:sz w:val="16"/>
        </w:rPr>
        <w:t>non-residential building up 18.0% to $5.4 billion.</w:t>
      </w:r>
    </w:p>
    <w:p w14:paraId="17902F5B" w14:textId="77777777" w:rsidR="008B0834" w:rsidRDefault="008B0834" w:rsidP="008B0834">
      <w:pPr>
        <w:spacing w:after="0"/>
        <w:jc w:val="both"/>
        <w:rPr>
          <w:sz w:val="16"/>
        </w:rPr>
      </w:pPr>
      <w:r>
        <w:rPr>
          <w:sz w:val="16"/>
        </w:rPr>
        <w:br w:type="page"/>
      </w:r>
    </w:p>
    <w:p w14:paraId="11757A79" w14:textId="77777777" w:rsidR="008B0834" w:rsidRPr="00780E56" w:rsidRDefault="008B0834" w:rsidP="008B0834">
      <w:pPr>
        <w:pStyle w:val="BodyText"/>
        <w:spacing w:after="0"/>
        <w:rPr>
          <w:b/>
          <w:color w:val="002060"/>
          <w:sz w:val="22"/>
        </w:rPr>
      </w:pPr>
      <w:r w:rsidRPr="00780E56">
        <w:rPr>
          <w:b/>
          <w:color w:val="002060"/>
          <w:sz w:val="22"/>
        </w:rPr>
        <w:lastRenderedPageBreak/>
        <w:t>Investment</w:t>
      </w:r>
    </w:p>
    <w:p w14:paraId="62E82136"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housing finance</w:t>
      </w:r>
      <w:r w:rsidRPr="00020369">
        <w:rPr>
          <w:b/>
          <w:color w:val="92278F" w:themeColor="accent1"/>
          <w:sz w:val="20"/>
          <w:vertAlign w:val="superscript"/>
        </w:rPr>
        <w:t>1</w:t>
      </w:r>
    </w:p>
    <w:p w14:paraId="7E4F09BA" w14:textId="265AB2A5" w:rsidR="008B0834" w:rsidRPr="002B4436" w:rsidRDefault="00B87FF7" w:rsidP="008B0834">
      <w:pPr>
        <w:pStyle w:val="BodyText"/>
        <w:spacing w:after="0"/>
        <w:jc w:val="both"/>
        <w:rPr>
          <w:sz w:val="16"/>
          <w:szCs w:val="16"/>
        </w:rPr>
      </w:pPr>
      <w:r>
        <w:rPr>
          <w:noProof/>
          <w:sz w:val="16"/>
          <w:szCs w:val="16"/>
        </w:rPr>
        <w:drawing>
          <wp:inline distT="0" distB="0" distL="0" distR="0" wp14:anchorId="3590EE3A" wp14:editId="38E8CA0F">
            <wp:extent cx="3528000" cy="209709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528000" cy="2097090"/>
                    </a:xfrm>
                    <a:prstGeom prst="rect">
                      <a:avLst/>
                    </a:prstGeom>
                    <a:noFill/>
                    <a:ln>
                      <a:noFill/>
                    </a:ln>
                  </pic:spPr>
                </pic:pic>
              </a:graphicData>
            </a:graphic>
          </wp:inline>
        </w:drawing>
      </w:r>
    </w:p>
    <w:p w14:paraId="3935211A" w14:textId="77777777" w:rsidR="008B0834" w:rsidRPr="00DB5DAA" w:rsidRDefault="008B0834" w:rsidP="008B0834">
      <w:pPr>
        <w:spacing w:after="0"/>
        <w:jc w:val="both"/>
        <w:rPr>
          <w:rFonts w:cs="Arial"/>
          <w:sz w:val="10"/>
          <w:szCs w:val="20"/>
        </w:rPr>
      </w:pPr>
      <w:r w:rsidRPr="00DB5DAA">
        <w:rPr>
          <w:sz w:val="10"/>
          <w:vertAlign w:val="superscript"/>
        </w:rPr>
        <w:t>1</w:t>
      </w:r>
      <w:r w:rsidRPr="00DB5DAA">
        <w:rPr>
          <w:sz w:val="10"/>
        </w:rPr>
        <w:t xml:space="preserve"> </w:t>
      </w:r>
      <w:r w:rsidRPr="00DB5DAA">
        <w:rPr>
          <w:rFonts w:cs="Arial"/>
          <w:sz w:val="10"/>
          <w:szCs w:val="20"/>
        </w:rPr>
        <w:t>Value of new loan commitments for housing by owner-occupiers and investors</w:t>
      </w:r>
      <w:r>
        <w:rPr>
          <w:rFonts w:cs="Arial"/>
          <w:sz w:val="10"/>
          <w:szCs w:val="20"/>
        </w:rPr>
        <w:t xml:space="preserve">, </w:t>
      </w:r>
      <w:r w:rsidRPr="00026B7E">
        <w:rPr>
          <w:rFonts w:cs="Arial"/>
          <w:sz w:val="10"/>
          <w:szCs w:val="20"/>
        </w:rPr>
        <w:t xml:space="preserve">including for dwellings already built. Nominal </w:t>
      </w:r>
      <w:r w:rsidRPr="00DB5DAA">
        <w:rPr>
          <w:rFonts w:cs="Arial"/>
          <w:sz w:val="10"/>
          <w:szCs w:val="20"/>
        </w:rPr>
        <w:t>or not adjusted for price changes. Seasonally adjusted series.</w:t>
      </w:r>
    </w:p>
    <w:p w14:paraId="4643B817" w14:textId="77777777" w:rsidR="008B0834" w:rsidRPr="00A019D0" w:rsidRDefault="008B0834" w:rsidP="008B0834">
      <w:pPr>
        <w:spacing w:after="0"/>
        <w:jc w:val="both"/>
        <w:rPr>
          <w:rFonts w:ascii="Arial" w:hAnsi="Arial" w:cs="Times New Roman"/>
          <w:sz w:val="10"/>
        </w:rPr>
      </w:pPr>
      <w:r w:rsidRPr="00ED3DB7">
        <w:rPr>
          <w:rFonts w:cs="Arial"/>
          <w:sz w:val="10"/>
          <w:szCs w:val="20"/>
        </w:rPr>
        <w:t xml:space="preserve">Source: </w:t>
      </w:r>
      <w:r w:rsidRPr="00D74050">
        <w:rPr>
          <w:sz w:val="10"/>
        </w:rPr>
        <w:t xml:space="preserve">Based on data from </w:t>
      </w:r>
      <w:r w:rsidRPr="00332C9E">
        <w:rPr>
          <w:rFonts w:cs="Arial"/>
          <w:sz w:val="10"/>
          <w:szCs w:val="20"/>
        </w:rPr>
        <w:t xml:space="preserve">ABS </w:t>
      </w:r>
      <w:r w:rsidRPr="00ED3DB7">
        <w:rPr>
          <w:rFonts w:cs="Arial"/>
          <w:sz w:val="10"/>
          <w:szCs w:val="20"/>
        </w:rPr>
        <w:t>5601.0 Lending Indicators, Australia (Monthly</w:t>
      </w:r>
      <w:r>
        <w:rPr>
          <w:sz w:val="10"/>
        </w:rPr>
        <w:t>)</w:t>
      </w:r>
      <w:r w:rsidRPr="00B720D6">
        <w:rPr>
          <w:sz w:val="10"/>
        </w:rPr>
        <w:t>.</w:t>
      </w:r>
    </w:p>
    <w:p w14:paraId="2EFA156F" w14:textId="77777777" w:rsidR="008B0834" w:rsidRDefault="008B0834" w:rsidP="008B0834">
      <w:pPr>
        <w:spacing w:after="0"/>
        <w:jc w:val="both"/>
        <w:rPr>
          <w:sz w:val="16"/>
        </w:rPr>
      </w:pPr>
    </w:p>
    <w:p w14:paraId="4B151D50" w14:textId="77777777" w:rsidR="008B0834" w:rsidRDefault="008B0834" w:rsidP="008B0834">
      <w:pPr>
        <w:spacing w:after="0"/>
        <w:jc w:val="both"/>
        <w:rPr>
          <w:sz w:val="16"/>
        </w:rPr>
      </w:pPr>
    </w:p>
    <w:p w14:paraId="041265AD" w14:textId="77777777" w:rsidR="008B0834" w:rsidRDefault="008B0834" w:rsidP="008B0834">
      <w:pPr>
        <w:spacing w:after="0"/>
        <w:jc w:val="both"/>
        <w:rPr>
          <w:sz w:val="16"/>
        </w:rPr>
      </w:pPr>
    </w:p>
    <w:p w14:paraId="50D348A2" w14:textId="77777777" w:rsidR="008B0834" w:rsidRDefault="008B0834" w:rsidP="008B0834">
      <w:pPr>
        <w:spacing w:after="0"/>
        <w:jc w:val="both"/>
        <w:rPr>
          <w:sz w:val="16"/>
        </w:rPr>
      </w:pPr>
      <w:r>
        <w:rPr>
          <w:sz w:val="16"/>
        </w:rPr>
        <w:br w:type="column"/>
      </w:r>
    </w:p>
    <w:p w14:paraId="54963DD3" w14:textId="77777777" w:rsidR="008B0834" w:rsidRPr="00C32336" w:rsidRDefault="008B0834" w:rsidP="008B0834">
      <w:pPr>
        <w:spacing w:after="0"/>
        <w:jc w:val="both"/>
        <w:rPr>
          <w:sz w:val="16"/>
        </w:rPr>
      </w:pPr>
    </w:p>
    <w:p w14:paraId="22CEB2BA" w14:textId="05C5B068" w:rsidR="008B0834" w:rsidRPr="00B0381F" w:rsidRDefault="008B0834" w:rsidP="008B0834">
      <w:pPr>
        <w:pStyle w:val="BodyText"/>
        <w:numPr>
          <w:ilvl w:val="0"/>
          <w:numId w:val="9"/>
        </w:numPr>
        <w:spacing w:after="0"/>
        <w:jc w:val="both"/>
        <w:rPr>
          <w:sz w:val="16"/>
        </w:rPr>
      </w:pPr>
      <w:r w:rsidRPr="00B0381F">
        <w:rPr>
          <w:sz w:val="16"/>
        </w:rPr>
        <w:t xml:space="preserve">The value of housing finance commitments in Western Australia </w:t>
      </w:r>
      <w:r w:rsidR="00B46B0D" w:rsidRPr="00B0381F">
        <w:rPr>
          <w:sz w:val="16"/>
        </w:rPr>
        <w:t>rose 13</w:t>
      </w:r>
      <w:r w:rsidRPr="00B0381F">
        <w:rPr>
          <w:sz w:val="16"/>
        </w:rPr>
        <w:t>% to $2.</w:t>
      </w:r>
      <w:r w:rsidR="00B46B0D" w:rsidRPr="00B0381F">
        <w:rPr>
          <w:sz w:val="16"/>
        </w:rPr>
        <w:t>8</w:t>
      </w:r>
      <w:r w:rsidRPr="00B0381F">
        <w:rPr>
          <w:sz w:val="16"/>
        </w:rPr>
        <w:t xml:space="preserve"> billion in </w:t>
      </w:r>
      <w:r w:rsidR="00B46B0D" w:rsidRPr="00B0381F">
        <w:rPr>
          <w:sz w:val="16"/>
        </w:rPr>
        <w:t>Octo</w:t>
      </w:r>
      <w:r w:rsidRPr="00B0381F">
        <w:rPr>
          <w:sz w:val="16"/>
        </w:rPr>
        <w:t xml:space="preserve">ber 2023, following a </w:t>
      </w:r>
      <w:r w:rsidR="00B46B0D" w:rsidRPr="00B0381F">
        <w:rPr>
          <w:sz w:val="16"/>
        </w:rPr>
        <w:t xml:space="preserve">fall </w:t>
      </w:r>
      <w:r w:rsidRPr="00B0381F">
        <w:rPr>
          <w:sz w:val="16"/>
        </w:rPr>
        <w:t xml:space="preserve">of </w:t>
      </w:r>
      <w:r w:rsidR="00B46B0D" w:rsidRPr="00B0381F">
        <w:rPr>
          <w:sz w:val="16"/>
        </w:rPr>
        <w:t>3</w:t>
      </w:r>
      <w:r w:rsidRPr="00B0381F">
        <w:rPr>
          <w:sz w:val="16"/>
        </w:rPr>
        <w:t xml:space="preserve">% in </w:t>
      </w:r>
      <w:r w:rsidR="00B46B0D" w:rsidRPr="00B0381F">
        <w:rPr>
          <w:sz w:val="16"/>
        </w:rPr>
        <w:t>September</w:t>
      </w:r>
      <w:r w:rsidRPr="00B0381F">
        <w:rPr>
          <w:sz w:val="16"/>
        </w:rPr>
        <w:t xml:space="preserve"> 2023.</w:t>
      </w:r>
    </w:p>
    <w:p w14:paraId="6EAB52B3" w14:textId="440A41E9" w:rsidR="008B0834" w:rsidRPr="00B0381F" w:rsidRDefault="008B0834" w:rsidP="008B0834">
      <w:pPr>
        <w:pStyle w:val="BodyText"/>
        <w:numPr>
          <w:ilvl w:val="0"/>
          <w:numId w:val="9"/>
        </w:numPr>
        <w:spacing w:after="0"/>
        <w:jc w:val="both"/>
        <w:rPr>
          <w:sz w:val="16"/>
        </w:rPr>
      </w:pPr>
      <w:r w:rsidRPr="00B0381F">
        <w:rPr>
          <w:sz w:val="16"/>
        </w:rPr>
        <w:t xml:space="preserve">In </w:t>
      </w:r>
      <w:r w:rsidR="00B46B0D" w:rsidRPr="00B0381F">
        <w:rPr>
          <w:sz w:val="16"/>
        </w:rPr>
        <w:t>Octo</w:t>
      </w:r>
      <w:r w:rsidRPr="00B0381F">
        <w:rPr>
          <w:sz w:val="16"/>
        </w:rPr>
        <w:t>ber 2023, the value of housing finance commitments in Western Australia for:</w:t>
      </w:r>
    </w:p>
    <w:p w14:paraId="3D9081A8" w14:textId="533F3A9B" w:rsidR="008B0834" w:rsidRPr="00B0381F" w:rsidRDefault="008B0834" w:rsidP="008B0834">
      <w:pPr>
        <w:pStyle w:val="BodyText"/>
        <w:numPr>
          <w:ilvl w:val="1"/>
          <w:numId w:val="11"/>
        </w:numPr>
        <w:spacing w:after="0"/>
        <w:ind w:left="851" w:hanging="284"/>
        <w:jc w:val="both"/>
        <w:rPr>
          <w:sz w:val="16"/>
        </w:rPr>
      </w:pPr>
      <w:r w:rsidRPr="00B0381F">
        <w:rPr>
          <w:sz w:val="16"/>
        </w:rPr>
        <w:t>owner</w:t>
      </w:r>
      <w:r w:rsidRPr="00B0381F">
        <w:rPr>
          <w:sz w:val="16"/>
        </w:rPr>
        <w:noBreakHyphen/>
        <w:t xml:space="preserve">occupiers </w:t>
      </w:r>
      <w:r w:rsidR="00B46B0D" w:rsidRPr="00B0381F">
        <w:rPr>
          <w:sz w:val="16"/>
        </w:rPr>
        <w:t>rose 17</w:t>
      </w:r>
      <w:r w:rsidRPr="00B0381F">
        <w:rPr>
          <w:sz w:val="16"/>
        </w:rPr>
        <w:t>% to $1.</w:t>
      </w:r>
      <w:r w:rsidR="00B46B0D" w:rsidRPr="00B0381F">
        <w:rPr>
          <w:sz w:val="16"/>
        </w:rPr>
        <w:t>9</w:t>
      </w:r>
      <w:r w:rsidRPr="00B0381F">
        <w:rPr>
          <w:sz w:val="16"/>
        </w:rPr>
        <w:t> billion</w:t>
      </w:r>
    </w:p>
    <w:p w14:paraId="6BCAE1C5" w14:textId="7063265C" w:rsidR="008B0834" w:rsidRPr="00B0381F" w:rsidRDefault="008B0834" w:rsidP="008B0834">
      <w:pPr>
        <w:pStyle w:val="BodyText"/>
        <w:numPr>
          <w:ilvl w:val="1"/>
          <w:numId w:val="11"/>
        </w:numPr>
        <w:spacing w:after="0"/>
        <w:ind w:left="851" w:hanging="284"/>
        <w:jc w:val="both"/>
        <w:rPr>
          <w:sz w:val="16"/>
        </w:rPr>
      </w:pPr>
      <w:r w:rsidRPr="00B0381F">
        <w:rPr>
          <w:sz w:val="16"/>
        </w:rPr>
        <w:t>investors rose 6% to $</w:t>
      </w:r>
      <w:r w:rsidR="00B46B0D" w:rsidRPr="00B0381F">
        <w:rPr>
          <w:sz w:val="16"/>
        </w:rPr>
        <w:t>900</w:t>
      </w:r>
      <w:r w:rsidRPr="00B0381F">
        <w:rPr>
          <w:sz w:val="16"/>
        </w:rPr>
        <w:t> million.</w:t>
      </w:r>
    </w:p>
    <w:p w14:paraId="6144374E" w14:textId="77777777" w:rsidR="008B0834" w:rsidRPr="00F0711B" w:rsidRDefault="008B0834" w:rsidP="008B0834">
      <w:pPr>
        <w:pStyle w:val="BodyText"/>
        <w:spacing w:after="0"/>
        <w:jc w:val="both"/>
        <w:rPr>
          <w:sz w:val="16"/>
        </w:rPr>
        <w:sectPr w:rsidR="008B0834" w:rsidRPr="00F0711B" w:rsidSect="00F7498D">
          <w:type w:val="continuous"/>
          <w:pgSz w:w="11907" w:h="16840" w:code="9"/>
          <w:pgMar w:top="1701" w:right="720" w:bottom="720" w:left="720" w:header="709" w:footer="709" w:gutter="0"/>
          <w:cols w:num="2" w:space="284" w:equalWidth="0">
            <w:col w:w="5647" w:space="284"/>
            <w:col w:w="4536"/>
          </w:cols>
          <w:docGrid w:linePitch="360"/>
        </w:sectPr>
      </w:pPr>
    </w:p>
    <w:p w14:paraId="110A852E" w14:textId="77777777" w:rsidR="008B0834" w:rsidRPr="001F6DB2" w:rsidRDefault="008B0834" w:rsidP="008B0834">
      <w:pPr>
        <w:pStyle w:val="BodyText"/>
        <w:spacing w:after="0"/>
        <w:rPr>
          <w:b/>
          <w:color w:val="92278F" w:themeColor="accent1"/>
          <w:sz w:val="20"/>
        </w:rPr>
      </w:pPr>
      <w:r w:rsidRPr="005A0FBA">
        <w:rPr>
          <w:rFonts w:ascii="Arial" w:hAnsi="Arial" w:cs="Times New Roman"/>
          <w:b/>
          <w:color w:val="92278F" w:themeColor="accent1"/>
          <w:sz w:val="20"/>
        </w:rPr>
        <w:t>Western Australia’s dwelling approvals</w:t>
      </w:r>
      <w:r w:rsidRPr="005A0FBA">
        <w:rPr>
          <w:rFonts w:ascii="Arial" w:hAnsi="Arial" w:cs="Times New Roman"/>
          <w:b/>
          <w:color w:val="92278F" w:themeColor="accent1"/>
          <w:sz w:val="20"/>
          <w:vertAlign w:val="superscript"/>
        </w:rPr>
        <w:t>1</w:t>
      </w:r>
    </w:p>
    <w:p w14:paraId="5BA3E105" w14:textId="413EA767" w:rsidR="008B0834" w:rsidRPr="001F6DB2" w:rsidRDefault="00B87FF7" w:rsidP="008B0834">
      <w:pPr>
        <w:pStyle w:val="BodyText"/>
        <w:spacing w:after="0"/>
        <w:jc w:val="both"/>
        <w:rPr>
          <w:sz w:val="16"/>
          <w:szCs w:val="16"/>
        </w:rPr>
      </w:pPr>
      <w:r>
        <w:rPr>
          <w:noProof/>
          <w:sz w:val="16"/>
          <w:szCs w:val="16"/>
        </w:rPr>
        <w:drawing>
          <wp:inline distT="0" distB="0" distL="0" distR="0" wp14:anchorId="442B6F4B" wp14:editId="764E7EFC">
            <wp:extent cx="3528000" cy="209709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528000" cy="2097090"/>
                    </a:xfrm>
                    <a:prstGeom prst="rect">
                      <a:avLst/>
                    </a:prstGeom>
                    <a:noFill/>
                    <a:ln>
                      <a:noFill/>
                    </a:ln>
                  </pic:spPr>
                </pic:pic>
              </a:graphicData>
            </a:graphic>
          </wp:inline>
        </w:drawing>
      </w:r>
    </w:p>
    <w:p w14:paraId="38FC5635" w14:textId="77777777" w:rsidR="008B0834" w:rsidRPr="005A0FBA" w:rsidRDefault="008B0834" w:rsidP="008B0834">
      <w:pPr>
        <w:pStyle w:val="BodyText"/>
        <w:spacing w:after="0"/>
        <w:jc w:val="both"/>
        <w:rPr>
          <w:sz w:val="10"/>
        </w:rPr>
      </w:pPr>
      <w:r w:rsidRPr="005A0FBA">
        <w:rPr>
          <w:sz w:val="10"/>
          <w:vertAlign w:val="superscript"/>
        </w:rPr>
        <w:t>1</w:t>
      </w:r>
      <w:r w:rsidRPr="005A0FBA">
        <w:rPr>
          <w:sz w:val="10"/>
        </w:rPr>
        <w:t xml:space="preserve"> House and other dwelling approvals. Seasonally adjusted series. </w:t>
      </w:r>
      <w:r w:rsidRPr="005A0FBA">
        <w:rPr>
          <w:sz w:val="10"/>
          <w:vertAlign w:val="superscript"/>
        </w:rPr>
        <w:t>2</w:t>
      </w:r>
      <w:r w:rsidRPr="005A0FBA">
        <w:rPr>
          <w:sz w:val="10"/>
        </w:rPr>
        <w:t xml:space="preserve"> Residential and non-residential building approvals.</w:t>
      </w:r>
    </w:p>
    <w:p w14:paraId="4383FD7B" w14:textId="77777777" w:rsidR="008B0834" w:rsidRPr="005A0FBA" w:rsidRDefault="008B0834" w:rsidP="008B0834">
      <w:pPr>
        <w:pStyle w:val="BodyText"/>
        <w:spacing w:after="0"/>
        <w:jc w:val="both"/>
        <w:rPr>
          <w:sz w:val="10"/>
        </w:rPr>
      </w:pPr>
      <w:r w:rsidRPr="005A0FBA">
        <w:rPr>
          <w:sz w:val="10"/>
        </w:rPr>
        <w:t>Source: Based on data from ABS 8731.0 Building Approvals, Australia (Monthly).</w:t>
      </w:r>
    </w:p>
    <w:p w14:paraId="39A02370" w14:textId="77777777" w:rsidR="008B0834" w:rsidRPr="008809A4" w:rsidRDefault="008B0834" w:rsidP="008B0834">
      <w:pPr>
        <w:spacing w:after="0"/>
        <w:jc w:val="both"/>
        <w:rPr>
          <w:sz w:val="16"/>
        </w:rPr>
      </w:pPr>
      <w:r w:rsidRPr="002B4436">
        <w:rPr>
          <w:color w:val="00B0F0"/>
          <w:sz w:val="16"/>
        </w:rPr>
        <w:br w:type="column"/>
      </w:r>
    </w:p>
    <w:p w14:paraId="6E6F99A3" w14:textId="57C66E05" w:rsidR="008B0834" w:rsidRPr="00B0381F" w:rsidRDefault="008B0834" w:rsidP="008B0834">
      <w:pPr>
        <w:pStyle w:val="ListParagraph"/>
        <w:numPr>
          <w:ilvl w:val="0"/>
          <w:numId w:val="21"/>
        </w:numPr>
        <w:spacing w:after="0"/>
        <w:jc w:val="both"/>
        <w:rPr>
          <w:sz w:val="16"/>
        </w:rPr>
      </w:pPr>
      <w:r w:rsidRPr="00B0381F">
        <w:rPr>
          <w:sz w:val="16"/>
        </w:rPr>
        <w:t>T</w:t>
      </w:r>
      <w:r w:rsidRPr="00B0381F">
        <w:rPr>
          <w:sz w:val="16"/>
          <w:lang w:val="en"/>
        </w:rPr>
        <w:t>he</w:t>
      </w:r>
      <w:r w:rsidRPr="00B0381F">
        <w:rPr>
          <w:sz w:val="16"/>
        </w:rPr>
        <w:t xml:space="preserve"> number of dwelling approvals in Western Australia </w:t>
      </w:r>
      <w:r w:rsidR="00F25A64" w:rsidRPr="00B0381F">
        <w:rPr>
          <w:sz w:val="16"/>
        </w:rPr>
        <w:t xml:space="preserve">rose </w:t>
      </w:r>
      <w:r w:rsidRPr="00B0381F">
        <w:rPr>
          <w:sz w:val="16"/>
        </w:rPr>
        <w:t>11% to 1,</w:t>
      </w:r>
      <w:r w:rsidR="00F25A64" w:rsidRPr="00B0381F">
        <w:rPr>
          <w:sz w:val="16"/>
        </w:rPr>
        <w:t>277</w:t>
      </w:r>
      <w:r w:rsidRPr="00B0381F">
        <w:rPr>
          <w:sz w:val="16"/>
        </w:rPr>
        <w:t xml:space="preserve"> in </w:t>
      </w:r>
      <w:r w:rsidR="00F25A64" w:rsidRPr="00B0381F">
        <w:rPr>
          <w:sz w:val="16"/>
        </w:rPr>
        <w:t>Octo</w:t>
      </w:r>
      <w:r w:rsidRPr="00B0381F">
        <w:rPr>
          <w:sz w:val="16"/>
        </w:rPr>
        <w:t>ber</w:t>
      </w:r>
      <w:r w:rsidR="00942CD7" w:rsidRPr="00B0381F">
        <w:rPr>
          <w:sz w:val="16"/>
        </w:rPr>
        <w:t> </w:t>
      </w:r>
      <w:r w:rsidRPr="00B0381F">
        <w:rPr>
          <w:sz w:val="16"/>
        </w:rPr>
        <w:t>2023.</w:t>
      </w:r>
    </w:p>
    <w:p w14:paraId="4A65FD19" w14:textId="72DCCE86" w:rsidR="008B0834" w:rsidRPr="00B0381F" w:rsidRDefault="008B0834" w:rsidP="008B0834">
      <w:pPr>
        <w:pStyle w:val="BodyText"/>
        <w:numPr>
          <w:ilvl w:val="0"/>
          <w:numId w:val="9"/>
        </w:numPr>
        <w:spacing w:after="0"/>
        <w:jc w:val="both"/>
        <w:rPr>
          <w:sz w:val="16"/>
        </w:rPr>
      </w:pPr>
      <w:r w:rsidRPr="00B0381F">
        <w:rPr>
          <w:sz w:val="16"/>
        </w:rPr>
        <w:t>The value of building approvals in Western Australia</w:t>
      </w:r>
      <w:r w:rsidRPr="00B0381F">
        <w:rPr>
          <w:sz w:val="16"/>
          <w:vertAlign w:val="superscript"/>
        </w:rPr>
        <w:t>2</w:t>
      </w:r>
      <w:r w:rsidRPr="00B0381F">
        <w:rPr>
          <w:sz w:val="16"/>
        </w:rPr>
        <w:t xml:space="preserve"> </w:t>
      </w:r>
      <w:r w:rsidR="00F25A64" w:rsidRPr="00B0381F">
        <w:rPr>
          <w:sz w:val="16"/>
        </w:rPr>
        <w:t>rose 45</w:t>
      </w:r>
      <w:r w:rsidRPr="00B0381F">
        <w:rPr>
          <w:sz w:val="16"/>
        </w:rPr>
        <w:t>% to $</w:t>
      </w:r>
      <w:r w:rsidR="00D552F4" w:rsidRPr="00B0381F">
        <w:rPr>
          <w:sz w:val="16"/>
        </w:rPr>
        <w:t>1.4</w:t>
      </w:r>
      <w:r w:rsidR="00942CD7" w:rsidRPr="00B0381F">
        <w:rPr>
          <w:sz w:val="16"/>
        </w:rPr>
        <w:t> </w:t>
      </w:r>
      <w:r w:rsidR="00D552F4" w:rsidRPr="00B0381F">
        <w:rPr>
          <w:sz w:val="16"/>
        </w:rPr>
        <w:t>b</w:t>
      </w:r>
      <w:r w:rsidRPr="00B0381F">
        <w:rPr>
          <w:sz w:val="16"/>
        </w:rPr>
        <w:t xml:space="preserve">illion in </w:t>
      </w:r>
      <w:r w:rsidR="00D552F4" w:rsidRPr="00B0381F">
        <w:rPr>
          <w:sz w:val="16"/>
        </w:rPr>
        <w:t>Octo</w:t>
      </w:r>
      <w:r w:rsidRPr="00B0381F">
        <w:rPr>
          <w:sz w:val="16"/>
        </w:rPr>
        <w:t>ber 2023.</w:t>
      </w:r>
    </w:p>
    <w:p w14:paraId="45AB7DBA" w14:textId="4AA8D83B" w:rsidR="008B0834" w:rsidRPr="00B0381F" w:rsidRDefault="008B0834" w:rsidP="008B0834">
      <w:pPr>
        <w:pStyle w:val="BodyText"/>
        <w:numPr>
          <w:ilvl w:val="0"/>
          <w:numId w:val="9"/>
        </w:numPr>
        <w:spacing w:after="0"/>
        <w:jc w:val="both"/>
        <w:rPr>
          <w:sz w:val="16"/>
        </w:rPr>
      </w:pPr>
      <w:r w:rsidRPr="00B0381F">
        <w:rPr>
          <w:sz w:val="16"/>
        </w:rPr>
        <w:t xml:space="preserve">In </w:t>
      </w:r>
      <w:r w:rsidR="00D552F4" w:rsidRPr="00B0381F">
        <w:rPr>
          <w:sz w:val="16"/>
        </w:rPr>
        <w:t>Octo</w:t>
      </w:r>
      <w:r w:rsidRPr="00B0381F">
        <w:rPr>
          <w:sz w:val="16"/>
        </w:rPr>
        <w:t>ber 2023, the value of approvals for:</w:t>
      </w:r>
    </w:p>
    <w:p w14:paraId="5F0313A6" w14:textId="31E6C50A" w:rsidR="008B0834" w:rsidRPr="00B0381F" w:rsidRDefault="008B0834" w:rsidP="008B0834">
      <w:pPr>
        <w:pStyle w:val="BodyText"/>
        <w:numPr>
          <w:ilvl w:val="1"/>
          <w:numId w:val="11"/>
        </w:numPr>
        <w:spacing w:after="0"/>
        <w:ind w:left="851" w:hanging="284"/>
        <w:jc w:val="both"/>
        <w:rPr>
          <w:sz w:val="16"/>
        </w:rPr>
      </w:pPr>
      <w:r w:rsidRPr="00B0381F">
        <w:rPr>
          <w:sz w:val="16"/>
        </w:rPr>
        <w:t xml:space="preserve">residential building rose </w:t>
      </w:r>
      <w:r w:rsidR="00D552F4" w:rsidRPr="00B0381F">
        <w:rPr>
          <w:sz w:val="16"/>
        </w:rPr>
        <w:t>10</w:t>
      </w:r>
      <w:r w:rsidRPr="00B0381F">
        <w:rPr>
          <w:sz w:val="16"/>
        </w:rPr>
        <w:t>% to $</w:t>
      </w:r>
      <w:r w:rsidR="00D552F4" w:rsidRPr="00B0381F">
        <w:rPr>
          <w:sz w:val="16"/>
        </w:rPr>
        <w:t>628</w:t>
      </w:r>
      <w:r w:rsidRPr="00B0381F">
        <w:rPr>
          <w:sz w:val="16"/>
        </w:rPr>
        <w:t> million</w:t>
      </w:r>
    </w:p>
    <w:p w14:paraId="1415A14C" w14:textId="296FDF99" w:rsidR="008B0834" w:rsidRPr="00B0381F" w:rsidRDefault="008B0834" w:rsidP="008B0834">
      <w:pPr>
        <w:pStyle w:val="BodyText"/>
        <w:numPr>
          <w:ilvl w:val="1"/>
          <w:numId w:val="11"/>
        </w:numPr>
        <w:spacing w:after="0"/>
        <w:ind w:left="851" w:hanging="284"/>
        <w:jc w:val="both"/>
        <w:rPr>
          <w:sz w:val="16"/>
        </w:rPr>
      </w:pPr>
      <w:r w:rsidRPr="00B0381F">
        <w:rPr>
          <w:sz w:val="16"/>
        </w:rPr>
        <w:t xml:space="preserve">non-residential building </w:t>
      </w:r>
      <w:r w:rsidR="00D552F4" w:rsidRPr="00B0381F">
        <w:rPr>
          <w:sz w:val="16"/>
        </w:rPr>
        <w:t>rose 98</w:t>
      </w:r>
      <w:r w:rsidRPr="00B0381F">
        <w:rPr>
          <w:sz w:val="16"/>
        </w:rPr>
        <w:t>% to $</w:t>
      </w:r>
      <w:r w:rsidR="00D552F4" w:rsidRPr="00B0381F">
        <w:rPr>
          <w:sz w:val="16"/>
        </w:rPr>
        <w:t>767</w:t>
      </w:r>
      <w:r w:rsidRPr="00B0381F">
        <w:rPr>
          <w:sz w:val="16"/>
        </w:rPr>
        <w:t> million.</w:t>
      </w:r>
    </w:p>
    <w:p w14:paraId="1CD999DB" w14:textId="6183F05E" w:rsidR="008B0834" w:rsidRPr="00B0381F" w:rsidRDefault="008B0834" w:rsidP="008B0834">
      <w:pPr>
        <w:pStyle w:val="ListParagraph"/>
        <w:numPr>
          <w:ilvl w:val="0"/>
          <w:numId w:val="21"/>
        </w:numPr>
        <w:spacing w:after="0"/>
        <w:jc w:val="both"/>
        <w:rPr>
          <w:sz w:val="16"/>
        </w:rPr>
        <w:sectPr w:rsidR="008B0834" w:rsidRPr="00B0381F" w:rsidSect="00F7498D">
          <w:type w:val="continuous"/>
          <w:pgSz w:w="11907" w:h="16840" w:code="9"/>
          <w:pgMar w:top="1701" w:right="720" w:bottom="720" w:left="720" w:header="709" w:footer="709" w:gutter="0"/>
          <w:cols w:num="2" w:space="284" w:equalWidth="0">
            <w:col w:w="5647" w:space="284"/>
            <w:col w:w="4536"/>
          </w:cols>
          <w:docGrid w:linePitch="360"/>
        </w:sectPr>
      </w:pPr>
      <w:r w:rsidRPr="00B0381F">
        <w:rPr>
          <w:sz w:val="16"/>
        </w:rPr>
        <w:t xml:space="preserve">Western Australia’s real dwelling investment </w:t>
      </w:r>
      <w:r w:rsidR="00942CD7" w:rsidRPr="00B0381F">
        <w:rPr>
          <w:sz w:val="16"/>
        </w:rPr>
        <w:t>fell</w:t>
      </w:r>
      <w:r w:rsidRPr="00B0381F">
        <w:rPr>
          <w:sz w:val="16"/>
        </w:rPr>
        <w:t xml:space="preserve"> 2.</w:t>
      </w:r>
      <w:r w:rsidR="00942CD7" w:rsidRPr="00B0381F">
        <w:rPr>
          <w:sz w:val="16"/>
        </w:rPr>
        <w:t>5</w:t>
      </w:r>
      <w:r w:rsidRPr="00B0381F">
        <w:rPr>
          <w:sz w:val="16"/>
        </w:rPr>
        <w:t>% in 202</w:t>
      </w:r>
      <w:r w:rsidR="00942CD7" w:rsidRPr="00B0381F">
        <w:rPr>
          <w:sz w:val="16"/>
        </w:rPr>
        <w:t>2</w:t>
      </w:r>
      <w:r w:rsidR="00942CD7" w:rsidRPr="00B0381F">
        <w:rPr>
          <w:sz w:val="16"/>
        </w:rPr>
        <w:noBreakHyphen/>
      </w:r>
      <w:r w:rsidRPr="00B0381F">
        <w:rPr>
          <w:sz w:val="16"/>
        </w:rPr>
        <w:t>2</w:t>
      </w:r>
      <w:r w:rsidR="00942CD7" w:rsidRPr="00B0381F">
        <w:rPr>
          <w:sz w:val="16"/>
        </w:rPr>
        <w:t>3</w:t>
      </w:r>
      <w:r w:rsidRPr="00B0381F">
        <w:rPr>
          <w:sz w:val="16"/>
        </w:rPr>
        <w:t xml:space="preserve"> and the WA Government </w:t>
      </w:r>
      <w:r w:rsidR="009818A9" w:rsidRPr="00B0381F">
        <w:rPr>
          <w:sz w:val="16"/>
        </w:rPr>
        <w:t>Mid-year Financial Projections Statement</w:t>
      </w:r>
      <w:r w:rsidR="009818A9" w:rsidRPr="00B0381F" w:rsidDel="009818A9">
        <w:rPr>
          <w:sz w:val="16"/>
        </w:rPr>
        <w:t xml:space="preserve"> </w:t>
      </w:r>
      <w:r w:rsidRPr="00B0381F">
        <w:rPr>
          <w:sz w:val="16"/>
        </w:rPr>
        <w:t xml:space="preserve">forecasts Western Australia’s real dwelling investment will rise </w:t>
      </w:r>
      <w:r w:rsidR="009818A9" w:rsidRPr="00B0381F">
        <w:rPr>
          <w:sz w:val="16"/>
        </w:rPr>
        <w:t>12.0</w:t>
      </w:r>
      <w:r w:rsidRPr="00B0381F">
        <w:rPr>
          <w:sz w:val="16"/>
        </w:rPr>
        <w:t>% in 2023-24 and 7.75% in 2024</w:t>
      </w:r>
      <w:r w:rsidRPr="00B0381F">
        <w:rPr>
          <w:sz w:val="16"/>
        </w:rPr>
        <w:noBreakHyphen/>
        <w:t>25.</w:t>
      </w:r>
    </w:p>
    <w:p w14:paraId="62F037B4" w14:textId="77777777" w:rsidR="008B0834" w:rsidRDefault="008B0834" w:rsidP="008B0834">
      <w:pPr>
        <w:pStyle w:val="BodyText"/>
        <w:spacing w:after="0"/>
        <w:rPr>
          <w:sz w:val="16"/>
        </w:rPr>
      </w:pPr>
    </w:p>
    <w:p w14:paraId="3495E9BB" w14:textId="77777777" w:rsidR="008B0834" w:rsidRDefault="008B0834" w:rsidP="008B0834">
      <w:pPr>
        <w:pStyle w:val="BodyText"/>
        <w:spacing w:after="0"/>
        <w:rPr>
          <w:sz w:val="16"/>
        </w:rPr>
      </w:pPr>
    </w:p>
    <w:p w14:paraId="76346FA4" w14:textId="77777777" w:rsidR="008B0834" w:rsidRDefault="008B0834" w:rsidP="008B0834">
      <w:pPr>
        <w:pStyle w:val="BodyText"/>
        <w:spacing w:after="0"/>
        <w:rPr>
          <w:sz w:val="16"/>
        </w:rPr>
      </w:pPr>
    </w:p>
    <w:p w14:paraId="54ABD612" w14:textId="77777777" w:rsidR="008B0834" w:rsidRPr="00020369" w:rsidRDefault="008B0834" w:rsidP="008B0834">
      <w:pPr>
        <w:spacing w:after="0"/>
        <w:rPr>
          <w:rFonts w:ascii="Arial" w:hAnsi="Arial" w:cs="Times New Roman"/>
          <w:b/>
          <w:color w:val="92278F" w:themeColor="accent1"/>
          <w:sz w:val="20"/>
        </w:rPr>
      </w:pPr>
      <w:r>
        <w:rPr>
          <w:rFonts w:ascii="Arial" w:hAnsi="Arial" w:cs="Times New Roman"/>
          <w:b/>
          <w:color w:val="92278F" w:themeColor="accent1"/>
          <w:sz w:val="20"/>
        </w:rPr>
        <w:t xml:space="preserve">Perth’s </w:t>
      </w:r>
      <w:r w:rsidRPr="00020369">
        <w:rPr>
          <w:rFonts w:ascii="Arial" w:hAnsi="Arial" w:cs="Times New Roman"/>
          <w:b/>
          <w:color w:val="92278F" w:themeColor="accent1"/>
          <w:sz w:val="20"/>
        </w:rPr>
        <w:t>housing prices</w:t>
      </w:r>
      <w:r w:rsidRPr="00020369">
        <w:rPr>
          <w:rFonts w:ascii="Arial" w:hAnsi="Arial" w:cs="Times New Roman"/>
          <w:b/>
          <w:color w:val="92278F" w:themeColor="accent1"/>
          <w:sz w:val="20"/>
          <w:vertAlign w:val="superscript"/>
        </w:rPr>
        <w:t>1</w:t>
      </w:r>
    </w:p>
    <w:p w14:paraId="5F40552B" w14:textId="547BD8BF" w:rsidR="008B0834" w:rsidRDefault="00B87FF7" w:rsidP="008B0834">
      <w:pPr>
        <w:pStyle w:val="BodyText"/>
        <w:spacing w:after="0"/>
        <w:jc w:val="both"/>
        <w:rPr>
          <w:sz w:val="16"/>
        </w:rPr>
      </w:pPr>
      <w:r>
        <w:rPr>
          <w:noProof/>
          <w:sz w:val="16"/>
        </w:rPr>
        <w:drawing>
          <wp:inline distT="0" distB="0" distL="0" distR="0" wp14:anchorId="0F37D4C4" wp14:editId="2B0D4629">
            <wp:extent cx="3528000" cy="2065037"/>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528000" cy="2065037"/>
                    </a:xfrm>
                    <a:prstGeom prst="rect">
                      <a:avLst/>
                    </a:prstGeom>
                    <a:noFill/>
                    <a:ln>
                      <a:noFill/>
                    </a:ln>
                  </pic:spPr>
                </pic:pic>
              </a:graphicData>
            </a:graphic>
          </wp:inline>
        </w:drawing>
      </w:r>
    </w:p>
    <w:p w14:paraId="42102A4A" w14:textId="77777777" w:rsidR="008B0834" w:rsidRPr="00993D3C" w:rsidRDefault="008B0834" w:rsidP="008B0834">
      <w:pPr>
        <w:spacing w:after="0"/>
        <w:jc w:val="both"/>
        <w:rPr>
          <w:rFonts w:ascii="Arial" w:hAnsi="Arial" w:cs="Times New Roman"/>
          <w:sz w:val="10"/>
        </w:rPr>
      </w:pPr>
      <w:r w:rsidRPr="00993D3C">
        <w:rPr>
          <w:rFonts w:ascii="Arial" w:hAnsi="Arial" w:cs="Times New Roman"/>
          <w:sz w:val="10"/>
        </w:rPr>
        <w:t xml:space="preserve">Note – Axis does not start at zero. </w:t>
      </w:r>
      <w:r w:rsidRPr="00993D3C">
        <w:rPr>
          <w:rFonts w:ascii="Arial" w:hAnsi="Arial" w:cs="Times New Roman"/>
          <w:sz w:val="10"/>
          <w:vertAlign w:val="superscript"/>
        </w:rPr>
        <w:t>1</w:t>
      </w:r>
      <w:r w:rsidRPr="00993D3C">
        <w:rPr>
          <w:rFonts w:ascii="Arial" w:hAnsi="Arial" w:cs="Times New Roman"/>
          <w:sz w:val="10"/>
        </w:rPr>
        <w:t xml:space="preserve"> Nominal or not adjusted for price changes. Original se</w:t>
      </w:r>
      <w:r>
        <w:rPr>
          <w:rFonts w:ascii="Arial" w:hAnsi="Arial" w:cs="Times New Roman"/>
          <w:sz w:val="10"/>
        </w:rPr>
        <w:t>ries. Consumer price index 2011</w:t>
      </w:r>
      <w:r>
        <w:rPr>
          <w:rFonts w:ascii="Arial" w:hAnsi="Arial" w:cs="Times New Roman"/>
          <w:sz w:val="10"/>
        </w:rPr>
        <w:noBreakHyphen/>
      </w:r>
      <w:r w:rsidRPr="00993D3C">
        <w:rPr>
          <w:rFonts w:ascii="Arial" w:hAnsi="Arial" w:cs="Times New Roman"/>
          <w:sz w:val="10"/>
        </w:rPr>
        <w:t>12 = 100.0. (a) Index of prices for new dwellings purchased by owner-occupiers in Perth. (b) Index of prices for rents in Perth.</w:t>
      </w:r>
    </w:p>
    <w:p w14:paraId="0133204B" w14:textId="77777777" w:rsidR="008B0834" w:rsidRPr="00AD38D1" w:rsidRDefault="008B0834" w:rsidP="008B0834">
      <w:pPr>
        <w:pStyle w:val="BodyText"/>
        <w:spacing w:after="0"/>
        <w:jc w:val="both"/>
        <w:rPr>
          <w:sz w:val="10"/>
        </w:rPr>
      </w:pPr>
      <w:r w:rsidRPr="00993D3C">
        <w:rPr>
          <w:rFonts w:ascii="Arial" w:hAnsi="Arial" w:cs="Times New Roman"/>
          <w:sz w:val="10"/>
        </w:rPr>
        <w:t>Source</w:t>
      </w:r>
      <w:r w:rsidRPr="009B72DB">
        <w:rPr>
          <w:rFonts w:ascii="Arial" w:hAnsi="Arial" w:cs="Times New Roman"/>
          <w:sz w:val="10"/>
        </w:rPr>
        <w:t>:</w:t>
      </w:r>
      <w:r w:rsidRPr="009B72DB">
        <w:rPr>
          <w:sz w:val="10"/>
        </w:rPr>
        <w:t xml:space="preserve"> Based on data from</w:t>
      </w:r>
      <w:r w:rsidRPr="009B72DB">
        <w:rPr>
          <w:rFonts w:ascii="Arial" w:hAnsi="Arial" w:cs="Times New Roman"/>
          <w:sz w:val="10"/>
        </w:rPr>
        <w:t xml:space="preserve"> </w:t>
      </w:r>
      <w:r w:rsidRPr="00993D3C">
        <w:rPr>
          <w:rFonts w:ascii="Arial" w:hAnsi="Arial" w:cs="Times New Roman"/>
          <w:sz w:val="10"/>
        </w:rPr>
        <w:t>ABS 6401.0 Consumer Price Index, Australia (Quarterly</w:t>
      </w:r>
      <w:r w:rsidRPr="00AD38D1">
        <w:rPr>
          <w:sz w:val="10"/>
        </w:rPr>
        <w:t>).</w:t>
      </w:r>
    </w:p>
    <w:p w14:paraId="216A94B2" w14:textId="77777777" w:rsidR="008B0834" w:rsidRPr="00AD38D1" w:rsidRDefault="008B0834" w:rsidP="008B0834">
      <w:pPr>
        <w:pStyle w:val="BodyText"/>
        <w:spacing w:after="0"/>
        <w:jc w:val="both"/>
        <w:rPr>
          <w:sz w:val="16"/>
        </w:rPr>
      </w:pPr>
      <w:r>
        <w:rPr>
          <w:sz w:val="16"/>
        </w:rPr>
        <w:br w:type="column"/>
      </w:r>
    </w:p>
    <w:p w14:paraId="10D73407" w14:textId="77777777" w:rsidR="008B0834" w:rsidRDefault="008B0834" w:rsidP="008B0834">
      <w:pPr>
        <w:pStyle w:val="BodyText"/>
        <w:spacing w:after="0"/>
        <w:jc w:val="both"/>
        <w:rPr>
          <w:sz w:val="16"/>
        </w:rPr>
      </w:pPr>
    </w:p>
    <w:p w14:paraId="2AF3BAD6" w14:textId="77777777" w:rsidR="008B0834" w:rsidRDefault="008B0834" w:rsidP="008B0834">
      <w:pPr>
        <w:pStyle w:val="BodyText"/>
        <w:spacing w:after="0"/>
        <w:jc w:val="both"/>
        <w:rPr>
          <w:sz w:val="16"/>
        </w:rPr>
      </w:pPr>
    </w:p>
    <w:p w14:paraId="63536E1B" w14:textId="77777777" w:rsidR="008B0834" w:rsidRDefault="008B0834" w:rsidP="008B0834">
      <w:pPr>
        <w:pStyle w:val="BodyText"/>
        <w:spacing w:after="0"/>
        <w:jc w:val="both"/>
        <w:rPr>
          <w:sz w:val="16"/>
        </w:rPr>
      </w:pPr>
    </w:p>
    <w:p w14:paraId="12B3F982" w14:textId="77777777" w:rsidR="008B0834" w:rsidRPr="00F0711B" w:rsidRDefault="008B0834" w:rsidP="008B0834">
      <w:pPr>
        <w:numPr>
          <w:ilvl w:val="0"/>
          <w:numId w:val="9"/>
        </w:numPr>
        <w:spacing w:after="0"/>
        <w:jc w:val="both"/>
        <w:rPr>
          <w:rFonts w:ascii="Arial" w:hAnsi="Arial" w:cs="Times New Roman"/>
          <w:sz w:val="16"/>
        </w:rPr>
      </w:pPr>
      <w:r w:rsidRPr="00F0711B">
        <w:rPr>
          <w:rFonts w:ascii="Arial" w:hAnsi="Arial" w:cs="Times New Roman"/>
          <w:sz w:val="16"/>
        </w:rPr>
        <w:t>Prices for new dwellings purchased by owner-occupiers in Perth rose 3.0% in the September quarter 2023, and 4.6% over the year to the September quarter 2022.</w:t>
      </w:r>
    </w:p>
    <w:p w14:paraId="1D77BD68" w14:textId="77777777" w:rsidR="008B0834" w:rsidRPr="00F0711B" w:rsidRDefault="008B0834" w:rsidP="008B0834">
      <w:pPr>
        <w:numPr>
          <w:ilvl w:val="0"/>
          <w:numId w:val="9"/>
        </w:numPr>
        <w:spacing w:after="0"/>
        <w:jc w:val="both"/>
        <w:rPr>
          <w:rFonts w:ascii="Arial" w:hAnsi="Arial" w:cs="Times New Roman"/>
          <w:sz w:val="16"/>
        </w:rPr>
      </w:pPr>
      <w:r w:rsidRPr="00F0711B">
        <w:rPr>
          <w:rFonts w:ascii="Arial" w:hAnsi="Arial" w:cs="Times New Roman"/>
          <w:sz w:val="16"/>
        </w:rPr>
        <w:t>Perth’s rents rose 2.7% in the September quarter 2023, to be 9.0% higher than in the September quarter 2022.</w:t>
      </w:r>
    </w:p>
    <w:p w14:paraId="15A9F5B5" w14:textId="77777777" w:rsidR="008B0834" w:rsidRPr="00220A0F" w:rsidRDefault="008B0834" w:rsidP="008B0834">
      <w:pPr>
        <w:numPr>
          <w:ilvl w:val="0"/>
          <w:numId w:val="9"/>
        </w:numPr>
        <w:spacing w:after="0"/>
        <w:jc w:val="both"/>
        <w:rPr>
          <w:rFonts w:ascii="Arial" w:hAnsi="Arial" w:cs="Times New Roman"/>
          <w:sz w:val="16"/>
        </w:rPr>
      </w:pPr>
      <w:r w:rsidRPr="00220A0F">
        <w:rPr>
          <w:rFonts w:ascii="Arial" w:hAnsi="Arial" w:cs="Times New Roman"/>
          <w:sz w:val="16"/>
        </w:rPr>
        <w:t>Perth’s median established house price rose 3.4% to $600,000 in the June quarter 2023.</w:t>
      </w:r>
    </w:p>
    <w:p w14:paraId="3443D9B3" w14:textId="77777777" w:rsidR="008B0834" w:rsidRPr="00220A0F" w:rsidRDefault="008B0834" w:rsidP="008B0834">
      <w:pPr>
        <w:pStyle w:val="BodyText"/>
        <w:numPr>
          <w:ilvl w:val="0"/>
          <w:numId w:val="9"/>
        </w:numPr>
        <w:spacing w:after="0"/>
        <w:jc w:val="both"/>
        <w:rPr>
          <w:sz w:val="16"/>
        </w:rPr>
      </w:pPr>
      <w:r w:rsidRPr="00220A0F">
        <w:rPr>
          <w:rFonts w:ascii="Arial" w:hAnsi="Arial" w:cs="Times New Roman"/>
          <w:sz w:val="16"/>
        </w:rPr>
        <w:t>The median established house price for the rest of Western Australia (excluding Perth) remained unchanged at $400,000 in the June quarter 2023</w:t>
      </w:r>
      <w:r w:rsidRPr="00220A0F">
        <w:rPr>
          <w:sz w:val="16"/>
        </w:rPr>
        <w:t>.</w:t>
      </w:r>
    </w:p>
    <w:p w14:paraId="2A0383AB" w14:textId="6CF12985" w:rsidR="008B0834" w:rsidRPr="00B0381F" w:rsidRDefault="008B0834" w:rsidP="008B0834">
      <w:pPr>
        <w:pStyle w:val="ListParagraph"/>
        <w:numPr>
          <w:ilvl w:val="0"/>
          <w:numId w:val="9"/>
        </w:numPr>
        <w:spacing w:after="0"/>
        <w:jc w:val="both"/>
        <w:rPr>
          <w:sz w:val="16"/>
        </w:rPr>
      </w:pPr>
      <w:r w:rsidRPr="00B0381F">
        <w:rPr>
          <w:sz w:val="16"/>
        </w:rPr>
        <w:t>The</w:t>
      </w:r>
      <w:r w:rsidR="00912F7E" w:rsidRPr="00B0381F">
        <w:rPr>
          <w:sz w:val="16"/>
        </w:rPr>
        <w:t xml:space="preserve"> </w:t>
      </w:r>
      <w:r w:rsidRPr="00B0381F">
        <w:rPr>
          <w:sz w:val="16"/>
        </w:rPr>
        <w:t xml:space="preserve">WA Government </w:t>
      </w:r>
      <w:r w:rsidR="00912F7E" w:rsidRPr="00B0381F">
        <w:rPr>
          <w:sz w:val="16"/>
        </w:rPr>
        <w:t>Mid-year Financial Projections Statement</w:t>
      </w:r>
      <w:r w:rsidR="00912F7E" w:rsidRPr="00B0381F" w:rsidDel="00912F7E">
        <w:rPr>
          <w:sz w:val="16"/>
        </w:rPr>
        <w:t xml:space="preserve"> </w:t>
      </w:r>
      <w:r w:rsidRPr="00B0381F">
        <w:rPr>
          <w:sz w:val="16"/>
        </w:rPr>
        <w:t xml:space="preserve">2023-24 forecasts Western Australia’s median house price will rise </w:t>
      </w:r>
      <w:r w:rsidR="00912F7E" w:rsidRPr="00B0381F">
        <w:rPr>
          <w:sz w:val="16"/>
        </w:rPr>
        <w:t>7.7</w:t>
      </w:r>
      <w:r w:rsidRPr="00B0381F">
        <w:rPr>
          <w:sz w:val="16"/>
        </w:rPr>
        <w:t>% in 2023</w:t>
      </w:r>
      <w:r w:rsidRPr="00B0381F">
        <w:rPr>
          <w:sz w:val="16"/>
        </w:rPr>
        <w:noBreakHyphen/>
        <w:t xml:space="preserve">24 and </w:t>
      </w:r>
      <w:r w:rsidR="00912F7E" w:rsidRPr="00B0381F">
        <w:rPr>
          <w:sz w:val="16"/>
        </w:rPr>
        <w:t>3.3</w:t>
      </w:r>
      <w:r w:rsidRPr="00B0381F">
        <w:rPr>
          <w:sz w:val="16"/>
        </w:rPr>
        <w:t>% in 2024-25.</w:t>
      </w:r>
    </w:p>
    <w:p w14:paraId="63DEF037" w14:textId="77777777" w:rsidR="008B0834" w:rsidRPr="00AF0787" w:rsidRDefault="008B0834" w:rsidP="008B0834">
      <w:pPr>
        <w:pStyle w:val="BodyText"/>
        <w:numPr>
          <w:ilvl w:val="1"/>
          <w:numId w:val="11"/>
        </w:numPr>
        <w:spacing w:after="0"/>
        <w:ind w:left="851" w:hanging="284"/>
        <w:jc w:val="both"/>
        <w:rPr>
          <w:sz w:val="16"/>
        </w:rPr>
      </w:pPr>
      <w:r w:rsidRPr="00AF0787">
        <w:rPr>
          <w:sz w:val="16"/>
        </w:rPr>
        <w:br w:type="page"/>
      </w:r>
    </w:p>
    <w:p w14:paraId="7AB2578D" w14:textId="77777777" w:rsidR="008B0834" w:rsidRPr="00DD5DF4" w:rsidRDefault="008B0834" w:rsidP="008B0834">
      <w:pPr>
        <w:pStyle w:val="BodyText"/>
        <w:spacing w:after="0"/>
        <w:rPr>
          <w:b/>
          <w:color w:val="002060"/>
          <w:sz w:val="22"/>
        </w:rPr>
      </w:pPr>
      <w:r w:rsidRPr="00DD5DF4">
        <w:rPr>
          <w:b/>
          <w:color w:val="002060"/>
          <w:sz w:val="22"/>
        </w:rPr>
        <w:lastRenderedPageBreak/>
        <w:t>International trade</w:t>
      </w:r>
    </w:p>
    <w:p w14:paraId="26D5B9CE"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exports of goods</w:t>
      </w:r>
      <w:r w:rsidRPr="00020369">
        <w:rPr>
          <w:b/>
          <w:color w:val="92278F" w:themeColor="accent1"/>
          <w:sz w:val="20"/>
          <w:vertAlign w:val="superscript"/>
        </w:rPr>
        <w:t>1</w:t>
      </w:r>
    </w:p>
    <w:p w14:paraId="7045D7CB" w14:textId="69C17B00" w:rsidR="008B0834" w:rsidRDefault="00B5070C" w:rsidP="008B0834">
      <w:pPr>
        <w:spacing w:after="0"/>
        <w:jc w:val="both"/>
        <w:rPr>
          <w:sz w:val="16"/>
        </w:rPr>
      </w:pPr>
      <w:r>
        <w:rPr>
          <w:noProof/>
          <w:sz w:val="16"/>
        </w:rPr>
        <w:drawing>
          <wp:inline distT="0" distB="0" distL="0" distR="0" wp14:anchorId="589DFDE6" wp14:editId="1DC086EE">
            <wp:extent cx="3528000" cy="2106559"/>
            <wp:effectExtent l="0" t="0" r="0" b="825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528000" cy="2106559"/>
                    </a:xfrm>
                    <a:prstGeom prst="rect">
                      <a:avLst/>
                    </a:prstGeom>
                    <a:noFill/>
                    <a:ln>
                      <a:noFill/>
                    </a:ln>
                  </pic:spPr>
                </pic:pic>
              </a:graphicData>
            </a:graphic>
          </wp:inline>
        </w:drawing>
      </w:r>
    </w:p>
    <w:p w14:paraId="42747D48" w14:textId="77777777" w:rsidR="008B0834" w:rsidRDefault="008B0834" w:rsidP="008B0834">
      <w:pPr>
        <w:spacing w:after="0"/>
        <w:jc w:val="both"/>
        <w:rPr>
          <w:sz w:val="10"/>
        </w:rPr>
      </w:pPr>
      <w:r w:rsidRPr="00AD38D1">
        <w:rPr>
          <w:sz w:val="10"/>
          <w:vertAlign w:val="superscript"/>
        </w:rPr>
        <w:t>1</w:t>
      </w:r>
      <w:r w:rsidRPr="00AD38D1">
        <w:rPr>
          <w:sz w:val="10"/>
        </w:rPr>
        <w:t xml:space="preserve"> Free on board. Nominal</w:t>
      </w:r>
      <w:r>
        <w:rPr>
          <w:sz w:val="10"/>
        </w:rPr>
        <w:t xml:space="preserve"> or not adjusted for price changes</w:t>
      </w:r>
      <w:r w:rsidRPr="00AD38D1">
        <w:rPr>
          <w:sz w:val="10"/>
        </w:rPr>
        <w:t>. Original series.</w:t>
      </w:r>
    </w:p>
    <w:p w14:paraId="67CB4C83" w14:textId="3D2D644A" w:rsidR="008B0834" w:rsidRDefault="008B0834" w:rsidP="008B0834">
      <w:pPr>
        <w:spacing w:after="0"/>
        <w:jc w:val="both"/>
        <w:rPr>
          <w:sz w:val="16"/>
        </w:rPr>
      </w:pPr>
      <w:r w:rsidRPr="00AD38D1">
        <w:rPr>
          <w:sz w:val="10"/>
        </w:rPr>
        <w:t xml:space="preserve">Source: </w:t>
      </w:r>
      <w:r w:rsidRPr="00D6222A">
        <w:rPr>
          <w:sz w:val="10"/>
        </w:rPr>
        <w:t>Based on data from ABS 5368.0 International Trade in Goods and Services, Australia (Monthly).</w:t>
      </w:r>
      <w:r w:rsidR="00E55FFF" w:rsidRPr="00D6222A">
        <w:t xml:space="preserve"> </w:t>
      </w:r>
      <w:r w:rsidR="00E55FFF" w:rsidRPr="00D6222A">
        <w:rPr>
          <w:sz w:val="10"/>
        </w:rPr>
        <w:t>Merchandise trade statistics are current as at June 2023. ABS monthly international trade statistics are subject to revision up to six months after they are first released.</w:t>
      </w:r>
    </w:p>
    <w:p w14:paraId="743B4FC6" w14:textId="77777777" w:rsidR="008B0834" w:rsidRDefault="008B0834" w:rsidP="008B0834">
      <w:pPr>
        <w:spacing w:after="0"/>
        <w:jc w:val="both"/>
        <w:rPr>
          <w:sz w:val="16"/>
        </w:rPr>
      </w:pPr>
      <w:r>
        <w:rPr>
          <w:sz w:val="16"/>
        </w:rPr>
        <w:br w:type="column"/>
      </w:r>
    </w:p>
    <w:p w14:paraId="227057DE" w14:textId="77777777" w:rsidR="008B0834" w:rsidRDefault="008B0834" w:rsidP="008B0834">
      <w:pPr>
        <w:spacing w:after="0"/>
        <w:jc w:val="both"/>
        <w:rPr>
          <w:sz w:val="16"/>
        </w:rPr>
      </w:pPr>
    </w:p>
    <w:p w14:paraId="4AE799B8" w14:textId="77777777" w:rsidR="008B0834" w:rsidRPr="00D6222A" w:rsidRDefault="008B0834" w:rsidP="008B0834">
      <w:pPr>
        <w:pStyle w:val="BodyText"/>
        <w:numPr>
          <w:ilvl w:val="0"/>
          <w:numId w:val="9"/>
        </w:numPr>
        <w:spacing w:after="0"/>
        <w:jc w:val="both"/>
        <w:rPr>
          <w:sz w:val="16"/>
        </w:rPr>
      </w:pPr>
      <w:r w:rsidRPr="00D6222A">
        <w:rPr>
          <w:sz w:val="16"/>
        </w:rPr>
        <w:t>Western Australia accounted for 46% of Australia’s goods exports in 2022-23.</w:t>
      </w:r>
    </w:p>
    <w:p w14:paraId="3200F8EB" w14:textId="77777777" w:rsidR="008B0834" w:rsidRPr="00D6222A" w:rsidRDefault="008B0834" w:rsidP="008B0834">
      <w:pPr>
        <w:pStyle w:val="BodyText"/>
        <w:numPr>
          <w:ilvl w:val="0"/>
          <w:numId w:val="9"/>
        </w:numPr>
        <w:spacing w:after="0"/>
        <w:jc w:val="both"/>
        <w:rPr>
          <w:sz w:val="16"/>
        </w:rPr>
      </w:pPr>
      <w:r w:rsidRPr="00D6222A">
        <w:rPr>
          <w:sz w:val="16"/>
        </w:rPr>
        <w:t>The value of Western Australia’s goods exports rose 12.5% to $270.4 billion in 2022-23, with:</w:t>
      </w:r>
    </w:p>
    <w:p w14:paraId="6A5A1760" w14:textId="77777777" w:rsidR="008B0834" w:rsidRPr="00D6222A" w:rsidRDefault="008B0834" w:rsidP="008B0834">
      <w:pPr>
        <w:pStyle w:val="BodyText"/>
        <w:numPr>
          <w:ilvl w:val="1"/>
          <w:numId w:val="11"/>
        </w:numPr>
        <w:spacing w:after="0"/>
        <w:ind w:left="851" w:hanging="284"/>
        <w:jc w:val="both"/>
        <w:rPr>
          <w:sz w:val="16"/>
        </w:rPr>
      </w:pPr>
      <w:r w:rsidRPr="00D6222A">
        <w:rPr>
          <w:sz w:val="16"/>
        </w:rPr>
        <w:t>iron ore exports falling 6.4% to $122.6 billion</w:t>
      </w:r>
    </w:p>
    <w:p w14:paraId="1D3FAD12" w14:textId="77777777" w:rsidR="008B0834" w:rsidRPr="00D6222A" w:rsidRDefault="008B0834" w:rsidP="008B0834">
      <w:pPr>
        <w:pStyle w:val="BodyText"/>
        <w:numPr>
          <w:ilvl w:val="1"/>
          <w:numId w:val="11"/>
        </w:numPr>
        <w:spacing w:after="0"/>
        <w:ind w:left="851" w:hanging="284"/>
        <w:jc w:val="both"/>
        <w:rPr>
          <w:sz w:val="16"/>
        </w:rPr>
      </w:pPr>
      <w:r w:rsidRPr="00D6222A">
        <w:rPr>
          <w:sz w:val="16"/>
        </w:rPr>
        <w:t>non</w:t>
      </w:r>
      <w:r w:rsidRPr="00D6222A">
        <w:rPr>
          <w:sz w:val="16"/>
        </w:rPr>
        <w:noBreakHyphen/>
        <w:t>iron ore exports rising 35.1% to $147.8 billion.</w:t>
      </w:r>
    </w:p>
    <w:p w14:paraId="2EDF544C" w14:textId="01B80191" w:rsidR="008B0834" w:rsidRPr="00B0381F" w:rsidRDefault="008B0834" w:rsidP="008B0834">
      <w:pPr>
        <w:numPr>
          <w:ilvl w:val="0"/>
          <w:numId w:val="9"/>
        </w:numPr>
        <w:spacing w:after="0"/>
        <w:jc w:val="both"/>
        <w:rPr>
          <w:rFonts w:ascii="Arial" w:hAnsi="Arial" w:cs="Times New Roman"/>
          <w:sz w:val="16"/>
        </w:rPr>
      </w:pPr>
      <w:r w:rsidRPr="00B0381F">
        <w:rPr>
          <w:rFonts w:ascii="Arial" w:hAnsi="Arial" w:cs="Times New Roman"/>
          <w:sz w:val="16"/>
        </w:rPr>
        <w:t>Western Australia exported $2</w:t>
      </w:r>
      <w:r w:rsidR="000C17C5" w:rsidRPr="00B0381F">
        <w:rPr>
          <w:rFonts w:ascii="Arial" w:hAnsi="Arial" w:cs="Times New Roman"/>
          <w:sz w:val="16"/>
        </w:rPr>
        <w:t>2.1</w:t>
      </w:r>
      <w:r w:rsidRPr="00B0381F">
        <w:rPr>
          <w:rFonts w:ascii="Arial" w:hAnsi="Arial" w:cs="Times New Roman"/>
          <w:sz w:val="16"/>
        </w:rPr>
        <w:t xml:space="preserve"> billion of goods in </w:t>
      </w:r>
      <w:r w:rsidR="002F7EBD" w:rsidRPr="00B0381F">
        <w:rPr>
          <w:rFonts w:ascii="Arial" w:hAnsi="Arial" w:cs="Times New Roman"/>
          <w:sz w:val="16"/>
        </w:rPr>
        <w:t>Octo</w:t>
      </w:r>
      <w:r w:rsidR="008E3EA3" w:rsidRPr="00B0381F">
        <w:rPr>
          <w:rFonts w:ascii="Arial" w:hAnsi="Arial" w:cs="Times New Roman"/>
          <w:sz w:val="16"/>
        </w:rPr>
        <w:t>ber</w:t>
      </w:r>
      <w:r w:rsidRPr="00B0381F">
        <w:rPr>
          <w:rFonts w:ascii="Arial" w:hAnsi="Arial" w:cs="Times New Roman"/>
          <w:sz w:val="16"/>
        </w:rPr>
        <w:t xml:space="preserve"> 2023, </w:t>
      </w:r>
      <w:r w:rsidR="008E3EA3" w:rsidRPr="00B0381F">
        <w:rPr>
          <w:rFonts w:ascii="Arial" w:hAnsi="Arial" w:cs="Times New Roman"/>
          <w:sz w:val="16"/>
        </w:rPr>
        <w:t>7.</w:t>
      </w:r>
      <w:r w:rsidR="002F7EBD" w:rsidRPr="00B0381F">
        <w:rPr>
          <w:rFonts w:ascii="Arial" w:hAnsi="Arial" w:cs="Times New Roman"/>
          <w:sz w:val="16"/>
        </w:rPr>
        <w:t>4</w:t>
      </w:r>
      <w:r w:rsidRPr="00B0381F">
        <w:rPr>
          <w:rFonts w:ascii="Arial" w:hAnsi="Arial" w:cs="Times New Roman"/>
          <w:sz w:val="16"/>
        </w:rPr>
        <w:t xml:space="preserve">% </w:t>
      </w:r>
      <w:r w:rsidR="002F7EBD" w:rsidRPr="00B0381F">
        <w:rPr>
          <w:rFonts w:ascii="Arial" w:hAnsi="Arial" w:cs="Times New Roman"/>
          <w:sz w:val="16"/>
        </w:rPr>
        <w:t>more</w:t>
      </w:r>
      <w:r w:rsidRPr="00B0381F">
        <w:rPr>
          <w:rFonts w:ascii="Arial" w:hAnsi="Arial" w:cs="Times New Roman"/>
          <w:sz w:val="16"/>
        </w:rPr>
        <w:t xml:space="preserve"> than the previous month, </w:t>
      </w:r>
      <w:r w:rsidR="00923641" w:rsidRPr="00B0381F">
        <w:rPr>
          <w:rFonts w:ascii="Arial" w:hAnsi="Arial" w:cs="Times New Roman"/>
          <w:sz w:val="16"/>
        </w:rPr>
        <w:t>but</w:t>
      </w:r>
      <w:r w:rsidR="002F7EBD" w:rsidRPr="00B0381F">
        <w:rPr>
          <w:rFonts w:ascii="Arial" w:hAnsi="Arial" w:cs="Times New Roman"/>
          <w:sz w:val="16"/>
        </w:rPr>
        <w:t xml:space="preserve"> 2.7</w:t>
      </w:r>
      <w:r w:rsidRPr="00B0381F">
        <w:rPr>
          <w:rFonts w:ascii="Arial" w:hAnsi="Arial" w:cs="Times New Roman"/>
          <w:sz w:val="16"/>
        </w:rPr>
        <w:t xml:space="preserve">% </w:t>
      </w:r>
      <w:r w:rsidR="008E3EA3" w:rsidRPr="00B0381F">
        <w:rPr>
          <w:rFonts w:ascii="Arial" w:hAnsi="Arial" w:cs="Times New Roman"/>
          <w:sz w:val="16"/>
        </w:rPr>
        <w:t>less</w:t>
      </w:r>
      <w:r w:rsidRPr="00B0381F">
        <w:rPr>
          <w:rFonts w:ascii="Arial" w:hAnsi="Arial" w:cs="Times New Roman"/>
          <w:sz w:val="16"/>
        </w:rPr>
        <w:t xml:space="preserve"> than a year earlier.</w:t>
      </w:r>
    </w:p>
    <w:p w14:paraId="48B1A965" w14:textId="4D26CD3C" w:rsidR="008B0834" w:rsidRPr="00B0381F" w:rsidRDefault="008B0834" w:rsidP="008B0834">
      <w:pPr>
        <w:pStyle w:val="BodyText"/>
        <w:numPr>
          <w:ilvl w:val="0"/>
          <w:numId w:val="9"/>
        </w:numPr>
        <w:spacing w:after="0"/>
        <w:jc w:val="both"/>
        <w:rPr>
          <w:sz w:val="16"/>
        </w:rPr>
      </w:pPr>
      <w:r w:rsidRPr="00B0381F">
        <w:rPr>
          <w:sz w:val="16"/>
        </w:rPr>
        <w:t xml:space="preserve">Western Australia’s real goods exports </w:t>
      </w:r>
      <w:r w:rsidR="00B62D53" w:rsidRPr="00B0381F">
        <w:rPr>
          <w:sz w:val="16"/>
        </w:rPr>
        <w:t>rose 4.</w:t>
      </w:r>
      <w:r w:rsidR="00912F7E" w:rsidRPr="00B0381F">
        <w:rPr>
          <w:sz w:val="16"/>
        </w:rPr>
        <w:t>7</w:t>
      </w:r>
      <w:r w:rsidRPr="00B0381F">
        <w:rPr>
          <w:sz w:val="16"/>
        </w:rPr>
        <w:t>% in 2022</w:t>
      </w:r>
      <w:r w:rsidR="007F55F3" w:rsidRPr="00B0381F">
        <w:rPr>
          <w:sz w:val="16"/>
        </w:rPr>
        <w:noBreakHyphen/>
      </w:r>
      <w:r w:rsidR="00B62D53" w:rsidRPr="00B0381F">
        <w:rPr>
          <w:sz w:val="16"/>
        </w:rPr>
        <w:t>23</w:t>
      </w:r>
      <w:r w:rsidR="00EF442B" w:rsidRPr="00B0381F">
        <w:rPr>
          <w:sz w:val="16"/>
        </w:rPr>
        <w:t>.</w:t>
      </w:r>
    </w:p>
    <w:p w14:paraId="62BC73F6" w14:textId="30C4B31B" w:rsidR="008B0834" w:rsidRPr="00B0381F" w:rsidRDefault="008B0834" w:rsidP="008B0834">
      <w:pPr>
        <w:pStyle w:val="BodyText"/>
        <w:numPr>
          <w:ilvl w:val="0"/>
          <w:numId w:val="9"/>
        </w:numPr>
        <w:spacing w:after="0"/>
        <w:jc w:val="both"/>
        <w:rPr>
          <w:sz w:val="16"/>
        </w:rPr>
      </w:pPr>
      <w:r w:rsidRPr="00B0381F">
        <w:rPr>
          <w:sz w:val="16"/>
        </w:rPr>
        <w:t xml:space="preserve">The WA Government </w:t>
      </w:r>
      <w:r w:rsidR="00912F7E" w:rsidRPr="00B0381F">
        <w:rPr>
          <w:sz w:val="16"/>
        </w:rPr>
        <w:t>Mid-year Financial Projections Statement</w:t>
      </w:r>
      <w:r w:rsidR="00912F7E" w:rsidRPr="00B0381F" w:rsidDel="00912F7E">
        <w:rPr>
          <w:sz w:val="16"/>
        </w:rPr>
        <w:t xml:space="preserve"> </w:t>
      </w:r>
      <w:r w:rsidRPr="00B0381F">
        <w:rPr>
          <w:sz w:val="16"/>
        </w:rPr>
        <w:t xml:space="preserve">2023-24 forecasts Western Australia’s real goods exports will </w:t>
      </w:r>
      <w:r w:rsidR="00912F7E" w:rsidRPr="00B0381F">
        <w:rPr>
          <w:sz w:val="16"/>
        </w:rPr>
        <w:t>fall</w:t>
      </w:r>
      <w:r w:rsidRPr="00B0381F">
        <w:rPr>
          <w:rFonts w:ascii="Arial" w:hAnsi="Arial" w:cs="Times New Roman"/>
          <w:sz w:val="16"/>
        </w:rPr>
        <w:t xml:space="preserve"> </w:t>
      </w:r>
      <w:r w:rsidRPr="00B0381F">
        <w:rPr>
          <w:sz w:val="16"/>
        </w:rPr>
        <w:t>0</w:t>
      </w:r>
      <w:r w:rsidR="00912F7E" w:rsidRPr="00B0381F">
        <w:rPr>
          <w:sz w:val="16"/>
        </w:rPr>
        <w:t>.5</w:t>
      </w:r>
      <w:r w:rsidRPr="00B0381F">
        <w:rPr>
          <w:sz w:val="16"/>
        </w:rPr>
        <w:t>% in 2023</w:t>
      </w:r>
      <w:r w:rsidRPr="00B0381F">
        <w:rPr>
          <w:sz w:val="16"/>
        </w:rPr>
        <w:noBreakHyphen/>
        <w:t>24</w:t>
      </w:r>
      <w:r w:rsidR="00923641" w:rsidRPr="00B0381F">
        <w:rPr>
          <w:sz w:val="16"/>
        </w:rPr>
        <w:t>, but then rise</w:t>
      </w:r>
      <w:r w:rsidRPr="00B0381F">
        <w:rPr>
          <w:sz w:val="16"/>
        </w:rPr>
        <w:t xml:space="preserve"> 1.75% in 2024</w:t>
      </w:r>
      <w:r w:rsidR="00923641" w:rsidRPr="00B0381F">
        <w:rPr>
          <w:sz w:val="16"/>
        </w:rPr>
        <w:noBreakHyphen/>
      </w:r>
      <w:r w:rsidRPr="00B0381F">
        <w:rPr>
          <w:sz w:val="16"/>
        </w:rPr>
        <w:t>25.</w:t>
      </w:r>
    </w:p>
    <w:p w14:paraId="72B99043" w14:textId="77777777" w:rsidR="008B0834" w:rsidRPr="00E24C6A" w:rsidRDefault="008B0834" w:rsidP="008B0834">
      <w:pPr>
        <w:pStyle w:val="BodyText"/>
        <w:numPr>
          <w:ilvl w:val="0"/>
          <w:numId w:val="9"/>
        </w:numPr>
        <w:spacing w:after="0"/>
        <w:jc w:val="both"/>
        <w:rPr>
          <w:sz w:val="16"/>
        </w:rPr>
        <w:sectPr w:rsidR="008B0834" w:rsidRPr="00E24C6A" w:rsidSect="00F7498D">
          <w:type w:val="continuous"/>
          <w:pgSz w:w="11907" w:h="16840" w:code="9"/>
          <w:pgMar w:top="1701" w:right="720" w:bottom="720" w:left="720" w:header="709" w:footer="709" w:gutter="0"/>
          <w:cols w:num="2" w:space="284" w:equalWidth="0">
            <w:col w:w="5647" w:space="284"/>
            <w:col w:w="4536"/>
          </w:cols>
          <w:docGrid w:linePitch="360"/>
        </w:sectPr>
      </w:pPr>
    </w:p>
    <w:p w14:paraId="53E049C2"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major markets for goods exports</w:t>
      </w:r>
      <w:r w:rsidRPr="00020369">
        <w:rPr>
          <w:b/>
          <w:color w:val="92278F" w:themeColor="accent1"/>
          <w:sz w:val="20"/>
          <w:vertAlign w:val="superscript"/>
        </w:rPr>
        <w:t>1</w:t>
      </w:r>
    </w:p>
    <w:p w14:paraId="5E7A7536" w14:textId="153CCA14" w:rsidR="008B0834" w:rsidRDefault="00B5070C" w:rsidP="008B0834">
      <w:pPr>
        <w:spacing w:after="0"/>
        <w:jc w:val="both"/>
        <w:rPr>
          <w:sz w:val="16"/>
        </w:rPr>
      </w:pPr>
      <w:r>
        <w:rPr>
          <w:noProof/>
          <w:sz w:val="16"/>
        </w:rPr>
        <w:drawing>
          <wp:inline distT="0" distB="0" distL="0" distR="0" wp14:anchorId="69F6932B" wp14:editId="4ACE1630">
            <wp:extent cx="3528000" cy="210340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1AEF7B60" w14:textId="77777777" w:rsidR="008B0834" w:rsidRDefault="008B0834" w:rsidP="008B0834">
      <w:pPr>
        <w:pStyle w:val="ListBullet"/>
        <w:numPr>
          <w:ilvl w:val="0"/>
          <w:numId w:val="0"/>
        </w:numPr>
        <w:spacing w:after="0"/>
        <w:jc w:val="both"/>
        <w:rPr>
          <w:sz w:val="10"/>
        </w:rPr>
      </w:pPr>
      <w:r w:rsidRPr="009537D9">
        <w:rPr>
          <w:sz w:val="10"/>
          <w:vertAlign w:val="superscript"/>
        </w:rPr>
        <w:t>1</w:t>
      </w:r>
      <w:r>
        <w:rPr>
          <w:sz w:val="10"/>
        </w:rPr>
        <w:t xml:space="preserve"> Nominal or not adjusted for price changes. Original series.</w:t>
      </w:r>
    </w:p>
    <w:p w14:paraId="345C04BA" w14:textId="1BBA9B6D" w:rsidR="008B0834" w:rsidRPr="00D6222A" w:rsidRDefault="008B0834" w:rsidP="00A20B8B">
      <w:pPr>
        <w:pStyle w:val="ListBullet"/>
        <w:numPr>
          <w:ilvl w:val="0"/>
          <w:numId w:val="0"/>
        </w:numPr>
        <w:spacing w:after="0"/>
        <w:jc w:val="both"/>
        <w:rPr>
          <w:sz w:val="16"/>
        </w:rPr>
      </w:pPr>
      <w:r w:rsidRPr="00D6222A">
        <w:rPr>
          <w:sz w:val="10"/>
        </w:rPr>
        <w:t>Source: Based on data from ABS 5368.0 International Trade in Goods and Services, Australia (Monthly).</w:t>
      </w:r>
      <w:r w:rsidR="00E55FFF" w:rsidRPr="00D6222A">
        <w:rPr>
          <w:sz w:val="10"/>
        </w:rPr>
        <w:t xml:space="preserve"> Merchandise trade statistics are current as at June 2023. ABS monthly international trade statistics are subject to revision up to six months after they are first released.</w:t>
      </w:r>
    </w:p>
    <w:p w14:paraId="4D25F130" w14:textId="77777777" w:rsidR="008B0834" w:rsidRDefault="008B0834" w:rsidP="008B0834">
      <w:pPr>
        <w:pStyle w:val="BodyText"/>
        <w:spacing w:after="0"/>
        <w:jc w:val="both"/>
        <w:rPr>
          <w:sz w:val="16"/>
        </w:rPr>
      </w:pPr>
      <w:r>
        <w:rPr>
          <w:sz w:val="16"/>
        </w:rPr>
        <w:br w:type="column"/>
      </w:r>
    </w:p>
    <w:p w14:paraId="43A2980D" w14:textId="77777777" w:rsidR="008B0834" w:rsidRPr="00BC3382" w:rsidRDefault="008B0834" w:rsidP="008B0834">
      <w:pPr>
        <w:pStyle w:val="BodyText"/>
        <w:numPr>
          <w:ilvl w:val="0"/>
          <w:numId w:val="9"/>
        </w:numPr>
        <w:spacing w:after="0"/>
        <w:jc w:val="both"/>
        <w:rPr>
          <w:color w:val="000000" w:themeColor="text1"/>
          <w:sz w:val="16"/>
        </w:rPr>
      </w:pPr>
      <w:r w:rsidRPr="00BC3382">
        <w:rPr>
          <w:color w:val="000000" w:themeColor="text1"/>
          <w:sz w:val="16"/>
        </w:rPr>
        <w:t>In 2022-23, Western Australia’s largest market for goods exports was China ($147.7 billion or 54.6%), followed by Japan ($36.3 billion or 13.4%) and South Korea ($18.8 billion or 7.0%).</w:t>
      </w:r>
    </w:p>
    <w:p w14:paraId="4FB00DDA" w14:textId="77777777" w:rsidR="008B0834" w:rsidRPr="005473D1" w:rsidRDefault="008B0834" w:rsidP="008B0834">
      <w:pPr>
        <w:pStyle w:val="BodyText"/>
        <w:numPr>
          <w:ilvl w:val="0"/>
          <w:numId w:val="9"/>
        </w:numPr>
        <w:spacing w:after="0"/>
        <w:jc w:val="both"/>
        <w:rPr>
          <w:sz w:val="16"/>
        </w:rPr>
      </w:pPr>
      <w:r w:rsidRPr="005473D1">
        <w:rPr>
          <w:sz w:val="16"/>
        </w:rPr>
        <w:t>Western Australia accounted for the majority of the value of Australia’s goods exports to China (77%), Singapore (</w:t>
      </w:r>
      <w:r w:rsidRPr="00DF31DA">
        <w:rPr>
          <w:sz w:val="16"/>
        </w:rPr>
        <w:t xml:space="preserve">65%) </w:t>
      </w:r>
      <w:r w:rsidRPr="005473D1">
        <w:rPr>
          <w:sz w:val="16"/>
        </w:rPr>
        <w:t>and Hong Kong SAR of China (57%) in 2022</w:t>
      </w:r>
      <w:r w:rsidRPr="005473D1">
        <w:rPr>
          <w:sz w:val="16"/>
        </w:rPr>
        <w:noBreakHyphen/>
        <w:t>23.</w:t>
      </w:r>
    </w:p>
    <w:p w14:paraId="301049F3" w14:textId="77777777" w:rsidR="008B0834" w:rsidRPr="00BC3382" w:rsidRDefault="008B0834" w:rsidP="008B0834">
      <w:pPr>
        <w:pStyle w:val="BodyText"/>
        <w:numPr>
          <w:ilvl w:val="0"/>
          <w:numId w:val="9"/>
        </w:numPr>
        <w:spacing w:after="0"/>
        <w:jc w:val="both"/>
        <w:rPr>
          <w:color w:val="000000" w:themeColor="text1"/>
          <w:sz w:val="16"/>
        </w:rPr>
      </w:pPr>
      <w:r w:rsidRPr="00BC3382">
        <w:rPr>
          <w:color w:val="000000" w:themeColor="text1"/>
          <w:sz w:val="16"/>
        </w:rPr>
        <w:t>The largest increases in Western Australia’s goods exports in 2022-23 were to China (up $13.5 billion or 10%), Japan (up $5.8 billion or 19.2%) and Taiwan (up $2.7 billion or 35.0%).</w:t>
      </w:r>
    </w:p>
    <w:p w14:paraId="7BF1BC60" w14:textId="77777777" w:rsidR="008B0834" w:rsidRPr="006034FA" w:rsidRDefault="008B0834" w:rsidP="008B0834">
      <w:pPr>
        <w:pStyle w:val="BodyText"/>
        <w:numPr>
          <w:ilvl w:val="0"/>
          <w:numId w:val="9"/>
        </w:numPr>
        <w:spacing w:after="0"/>
        <w:jc w:val="both"/>
        <w:rPr>
          <w:color w:val="000000" w:themeColor="text1"/>
          <w:sz w:val="16"/>
        </w:rPr>
      </w:pPr>
      <w:r w:rsidRPr="005473D1">
        <w:rPr>
          <w:sz w:val="16"/>
        </w:rPr>
        <w:t xml:space="preserve">The largest decreases in Western Australia’s goods exports in 2022-23 </w:t>
      </w:r>
      <w:r w:rsidRPr="006034FA">
        <w:rPr>
          <w:color w:val="000000" w:themeColor="text1"/>
          <w:sz w:val="16"/>
        </w:rPr>
        <w:t>were to Hong Kong (down $1.3 billion or 25.1%), Germany (down $561 million or 20.8%) and the Russian Federation (down $161 million or 100.0%).</w:t>
      </w:r>
    </w:p>
    <w:p w14:paraId="03D4AB8F" w14:textId="77777777" w:rsidR="008B0834" w:rsidRDefault="008B0834" w:rsidP="008B0834">
      <w:pPr>
        <w:jc w:val="both"/>
        <w:rPr>
          <w:sz w:val="16"/>
        </w:rPr>
        <w:sectPr w:rsidR="008B0834" w:rsidSect="00F7498D">
          <w:type w:val="continuous"/>
          <w:pgSz w:w="11907" w:h="16840" w:code="9"/>
          <w:pgMar w:top="1701" w:right="720" w:bottom="720" w:left="720" w:header="709" w:footer="709" w:gutter="0"/>
          <w:cols w:num="2" w:space="284" w:equalWidth="0">
            <w:col w:w="5647" w:space="284"/>
            <w:col w:w="4536"/>
          </w:cols>
          <w:docGrid w:linePitch="360"/>
        </w:sectPr>
      </w:pPr>
    </w:p>
    <w:p w14:paraId="10C64A05" w14:textId="77777777" w:rsidR="008B0834" w:rsidRPr="00366146" w:rsidRDefault="008B0834" w:rsidP="008B0834">
      <w:pPr>
        <w:spacing w:after="0"/>
        <w:rPr>
          <w:sz w:val="22"/>
        </w:rPr>
      </w:pPr>
      <w:r w:rsidRPr="00020369">
        <w:rPr>
          <w:b/>
          <w:color w:val="92278F" w:themeColor="accent1"/>
          <w:sz w:val="20"/>
        </w:rPr>
        <w:t>Western Australia’s major export commodities by market</w:t>
      </w:r>
      <w:r w:rsidRPr="00020369">
        <w:rPr>
          <w:b/>
          <w:color w:val="92278F" w:themeColor="accent1"/>
          <w:sz w:val="20"/>
          <w:vertAlign w:val="superscript"/>
        </w:rPr>
        <w:t>1</w:t>
      </w:r>
      <w:r w:rsidRPr="00020369">
        <w:rPr>
          <w:b/>
          <w:color w:val="92278F" w:themeColor="accent1"/>
          <w:sz w:val="20"/>
        </w:rPr>
        <w:t xml:space="preserve">: </w:t>
      </w:r>
      <w:r w:rsidRPr="009315FB">
        <w:rPr>
          <w:b/>
          <w:color w:val="92278F" w:themeColor="accent1"/>
          <w:sz w:val="20"/>
        </w:rPr>
        <w:t>2022-23</w:t>
      </w:r>
    </w:p>
    <w:tbl>
      <w:tblPr>
        <w:tblStyle w:val="ListTable3-Accent1"/>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87"/>
        <w:gridCol w:w="723"/>
        <w:gridCol w:w="450"/>
        <w:gridCol w:w="974"/>
        <w:gridCol w:w="645"/>
        <w:gridCol w:w="450"/>
        <w:gridCol w:w="1005"/>
        <w:gridCol w:w="645"/>
        <w:gridCol w:w="450"/>
        <w:gridCol w:w="959"/>
        <w:gridCol w:w="645"/>
        <w:gridCol w:w="489"/>
        <w:gridCol w:w="1018"/>
        <w:gridCol w:w="567"/>
        <w:gridCol w:w="450"/>
      </w:tblGrid>
      <w:tr w:rsidR="00DF7577" w:rsidRPr="00AF5DB7" w14:paraId="2CD17813" w14:textId="77777777" w:rsidTr="007D78C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9" w:type="pct"/>
            <w:shd w:val="clear" w:color="auto" w:fill="002060"/>
          </w:tcPr>
          <w:p w14:paraId="221256B8" w14:textId="77777777" w:rsidR="008B0834" w:rsidRPr="00FA2DA3" w:rsidRDefault="008B0834" w:rsidP="007D78CB">
            <w:pPr>
              <w:pStyle w:val="BodyText"/>
              <w:spacing w:after="0"/>
              <w:rPr>
                <w:rFonts w:cstheme="minorHAnsi"/>
                <w:b w:val="0"/>
                <w:sz w:val="14"/>
                <w:szCs w:val="14"/>
              </w:rPr>
            </w:pPr>
            <w:r w:rsidRPr="00FA2DA3">
              <w:rPr>
                <w:rFonts w:cstheme="minorHAnsi"/>
                <w:b w:val="0"/>
                <w:sz w:val="14"/>
                <w:szCs w:val="14"/>
              </w:rPr>
              <w:t>Iron ore</w:t>
            </w:r>
          </w:p>
        </w:tc>
        <w:tc>
          <w:tcPr>
            <w:tcW w:w="348" w:type="pct"/>
            <w:shd w:val="clear" w:color="auto" w:fill="002060"/>
          </w:tcPr>
          <w:p w14:paraId="34958D76" w14:textId="77777777" w:rsidR="008B0834" w:rsidRPr="00FA2DA3"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FA2DA3">
              <w:rPr>
                <w:rFonts w:cstheme="minorHAnsi"/>
                <w:b w:val="0"/>
                <w:sz w:val="14"/>
                <w:szCs w:val="14"/>
              </w:rPr>
              <w:t>$m</w:t>
            </w:r>
          </w:p>
        </w:tc>
        <w:tc>
          <w:tcPr>
            <w:tcW w:w="217" w:type="pct"/>
            <w:shd w:val="clear" w:color="auto" w:fill="002060"/>
          </w:tcPr>
          <w:p w14:paraId="6860BFAE" w14:textId="77777777" w:rsidR="008B0834" w:rsidRPr="00FA2DA3"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FA2DA3">
              <w:rPr>
                <w:rFonts w:cstheme="minorHAnsi"/>
                <w:b w:val="0"/>
                <w:sz w:val="14"/>
                <w:szCs w:val="14"/>
              </w:rPr>
              <w:t>%</w:t>
            </w:r>
          </w:p>
        </w:tc>
        <w:tc>
          <w:tcPr>
            <w:tcW w:w="479" w:type="pct"/>
            <w:shd w:val="clear" w:color="auto" w:fill="002060"/>
          </w:tcPr>
          <w:p w14:paraId="62A671EA" w14:textId="77777777" w:rsidR="008B0834" w:rsidRPr="00780E56" w:rsidRDefault="008B0834" w:rsidP="007D78CB">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780E56">
              <w:rPr>
                <w:rFonts w:cstheme="minorHAnsi"/>
                <w:b w:val="0"/>
                <w:sz w:val="14"/>
                <w:szCs w:val="14"/>
              </w:rPr>
              <w:t>Petroleum</w:t>
            </w:r>
            <w:r w:rsidRPr="00780E56">
              <w:rPr>
                <w:rFonts w:cstheme="minorHAnsi"/>
                <w:b w:val="0"/>
                <w:sz w:val="14"/>
                <w:szCs w:val="14"/>
                <w:vertAlign w:val="superscript"/>
              </w:rPr>
              <w:t>2</w:t>
            </w:r>
          </w:p>
        </w:tc>
        <w:tc>
          <w:tcPr>
            <w:tcW w:w="310" w:type="pct"/>
            <w:shd w:val="clear" w:color="auto" w:fill="002060"/>
          </w:tcPr>
          <w:p w14:paraId="266D19F1" w14:textId="77777777" w:rsidR="008B0834" w:rsidRPr="00780E56"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780E56">
              <w:rPr>
                <w:rFonts w:cstheme="minorHAnsi"/>
                <w:b w:val="0"/>
                <w:sz w:val="14"/>
                <w:szCs w:val="14"/>
              </w:rPr>
              <w:t>$m</w:t>
            </w:r>
          </w:p>
        </w:tc>
        <w:tc>
          <w:tcPr>
            <w:tcW w:w="217" w:type="pct"/>
            <w:shd w:val="clear" w:color="auto" w:fill="002060"/>
          </w:tcPr>
          <w:p w14:paraId="4288F6A9" w14:textId="77777777" w:rsidR="008B0834" w:rsidRPr="00780E56"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780E56">
              <w:rPr>
                <w:rFonts w:cstheme="minorHAnsi"/>
                <w:b w:val="0"/>
                <w:sz w:val="14"/>
                <w:szCs w:val="14"/>
              </w:rPr>
              <w:t>%</w:t>
            </w:r>
          </w:p>
        </w:tc>
        <w:tc>
          <w:tcPr>
            <w:tcW w:w="494" w:type="pct"/>
            <w:shd w:val="clear" w:color="auto" w:fill="002060"/>
          </w:tcPr>
          <w:p w14:paraId="1B6B8F82" w14:textId="77777777" w:rsidR="008B0834" w:rsidRPr="00E257BF" w:rsidRDefault="008B0834" w:rsidP="007D78CB">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8536A7">
              <w:rPr>
                <w:rFonts w:cstheme="minorHAnsi"/>
                <w:b w:val="0"/>
                <w:color w:val="auto"/>
                <w:sz w:val="14"/>
                <w:szCs w:val="14"/>
              </w:rPr>
              <w:t>Gold</w:t>
            </w:r>
            <w:r w:rsidRPr="00FD7148">
              <w:rPr>
                <w:rFonts w:cstheme="minorHAnsi"/>
                <w:sz w:val="14"/>
                <w:szCs w:val="14"/>
                <w:highlight w:val="black"/>
                <w:vertAlign w:val="superscript"/>
              </w:rPr>
              <w:t>3</w:t>
            </w:r>
          </w:p>
        </w:tc>
        <w:tc>
          <w:tcPr>
            <w:tcW w:w="310" w:type="pct"/>
            <w:shd w:val="clear" w:color="auto" w:fill="002060"/>
          </w:tcPr>
          <w:p w14:paraId="086D271A" w14:textId="77777777" w:rsidR="008B0834" w:rsidRPr="00FA2DA3"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FA2DA3">
              <w:rPr>
                <w:rFonts w:cstheme="minorHAnsi"/>
                <w:b w:val="0"/>
                <w:sz w:val="14"/>
                <w:szCs w:val="14"/>
              </w:rPr>
              <w:t>$m</w:t>
            </w:r>
          </w:p>
        </w:tc>
        <w:tc>
          <w:tcPr>
            <w:tcW w:w="217" w:type="pct"/>
            <w:shd w:val="clear" w:color="auto" w:fill="002060"/>
          </w:tcPr>
          <w:p w14:paraId="5E81BEC0" w14:textId="77777777" w:rsidR="008B0834" w:rsidRPr="00FA2DA3"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FA2DA3">
              <w:rPr>
                <w:rFonts w:cstheme="minorHAnsi"/>
                <w:b w:val="0"/>
                <w:sz w:val="14"/>
                <w:szCs w:val="14"/>
              </w:rPr>
              <w:t>%</w:t>
            </w:r>
          </w:p>
        </w:tc>
        <w:tc>
          <w:tcPr>
            <w:tcW w:w="471" w:type="pct"/>
            <w:shd w:val="clear" w:color="auto" w:fill="002060"/>
          </w:tcPr>
          <w:p w14:paraId="327FAF55" w14:textId="77777777" w:rsidR="008B0834" w:rsidRPr="00FA2DA3" w:rsidRDefault="008B0834" w:rsidP="007D78CB">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Pr>
                <w:rFonts w:cstheme="minorHAnsi"/>
                <w:b w:val="0"/>
                <w:sz w:val="14"/>
                <w:szCs w:val="14"/>
              </w:rPr>
              <w:t>Lithium</w:t>
            </w:r>
            <w:r w:rsidRPr="009D268C">
              <w:rPr>
                <w:rFonts w:cstheme="minorHAnsi"/>
                <w:b w:val="0"/>
                <w:sz w:val="14"/>
                <w:szCs w:val="14"/>
                <w:vertAlign w:val="superscript"/>
              </w:rPr>
              <w:t>4</w:t>
            </w:r>
          </w:p>
        </w:tc>
        <w:tc>
          <w:tcPr>
            <w:tcW w:w="273" w:type="pct"/>
            <w:shd w:val="clear" w:color="auto" w:fill="002060"/>
          </w:tcPr>
          <w:p w14:paraId="677612B6" w14:textId="77777777" w:rsidR="008B0834" w:rsidRPr="00FA2DA3"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FA2DA3">
              <w:rPr>
                <w:rFonts w:cstheme="minorHAnsi"/>
                <w:b w:val="0"/>
                <w:sz w:val="14"/>
                <w:szCs w:val="14"/>
              </w:rPr>
              <w:t>$m</w:t>
            </w:r>
          </w:p>
        </w:tc>
        <w:tc>
          <w:tcPr>
            <w:tcW w:w="217" w:type="pct"/>
            <w:shd w:val="clear" w:color="auto" w:fill="002060"/>
          </w:tcPr>
          <w:p w14:paraId="37B8D138" w14:textId="77777777" w:rsidR="008B0834" w:rsidRPr="00FA2DA3"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FA2DA3">
              <w:rPr>
                <w:rFonts w:cstheme="minorHAnsi"/>
                <w:b w:val="0"/>
                <w:sz w:val="14"/>
                <w:szCs w:val="14"/>
              </w:rPr>
              <w:t>%</w:t>
            </w:r>
          </w:p>
        </w:tc>
        <w:tc>
          <w:tcPr>
            <w:tcW w:w="479" w:type="pct"/>
            <w:shd w:val="clear" w:color="auto" w:fill="002060"/>
          </w:tcPr>
          <w:p w14:paraId="483F29E9" w14:textId="77777777" w:rsidR="008B0834" w:rsidRPr="00FA2DA3" w:rsidRDefault="008B0834" w:rsidP="007D78CB">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337EB8">
              <w:rPr>
                <w:rFonts w:cstheme="minorHAnsi"/>
                <w:b w:val="0"/>
                <w:sz w:val="14"/>
                <w:szCs w:val="14"/>
              </w:rPr>
              <w:t>Alumina</w:t>
            </w:r>
            <w:r w:rsidRPr="00441E46">
              <w:rPr>
                <w:rFonts w:cstheme="minorHAnsi"/>
                <w:b w:val="0"/>
                <w:sz w:val="14"/>
                <w:szCs w:val="14"/>
                <w:vertAlign w:val="superscript"/>
              </w:rPr>
              <w:t>5</w:t>
            </w:r>
          </w:p>
        </w:tc>
        <w:tc>
          <w:tcPr>
            <w:tcW w:w="273" w:type="pct"/>
            <w:shd w:val="clear" w:color="auto" w:fill="002060"/>
          </w:tcPr>
          <w:p w14:paraId="3A379DF2" w14:textId="77777777" w:rsidR="008B0834" w:rsidRPr="00FA2DA3"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FA2DA3">
              <w:rPr>
                <w:rFonts w:cstheme="minorHAnsi"/>
                <w:b w:val="0"/>
                <w:sz w:val="14"/>
                <w:szCs w:val="14"/>
              </w:rPr>
              <w:t>$m</w:t>
            </w:r>
          </w:p>
        </w:tc>
        <w:tc>
          <w:tcPr>
            <w:tcW w:w="217" w:type="pct"/>
            <w:shd w:val="clear" w:color="auto" w:fill="002060"/>
          </w:tcPr>
          <w:p w14:paraId="02B31FA4" w14:textId="77777777" w:rsidR="008B0834" w:rsidRPr="00FA2DA3"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FA2DA3">
              <w:rPr>
                <w:rFonts w:cstheme="minorHAnsi"/>
                <w:b w:val="0"/>
                <w:sz w:val="14"/>
                <w:szCs w:val="14"/>
              </w:rPr>
              <w:t>%</w:t>
            </w:r>
          </w:p>
        </w:tc>
      </w:tr>
      <w:tr w:rsidR="008B0834" w:rsidRPr="008536A7" w14:paraId="56745D1B" w14:textId="77777777" w:rsidTr="007D7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7AF82BCC" w14:textId="77777777" w:rsidR="008B0834" w:rsidRPr="008809A4" w:rsidRDefault="008B0834" w:rsidP="007D78CB">
            <w:pPr>
              <w:pStyle w:val="BodyText"/>
              <w:spacing w:after="0"/>
              <w:rPr>
                <w:rFonts w:cstheme="minorHAnsi"/>
                <w:b w:val="0"/>
                <w:sz w:val="14"/>
                <w:szCs w:val="14"/>
              </w:rPr>
            </w:pPr>
            <w:r w:rsidRPr="008809A4">
              <w:rPr>
                <w:rFonts w:cstheme="minorHAnsi"/>
                <w:b w:val="0"/>
                <w:sz w:val="14"/>
                <w:szCs w:val="14"/>
              </w:rPr>
              <w:t>China</w:t>
            </w:r>
            <w:r w:rsidRPr="008809A4">
              <w:rPr>
                <w:rFonts w:cstheme="minorHAnsi"/>
                <w:b w:val="0"/>
                <w:sz w:val="14"/>
                <w:szCs w:val="14"/>
                <w:vertAlign w:val="superscript"/>
              </w:rPr>
              <w:t>(a)</w:t>
            </w:r>
          </w:p>
        </w:tc>
        <w:tc>
          <w:tcPr>
            <w:tcW w:w="348" w:type="pct"/>
          </w:tcPr>
          <w:p w14:paraId="1DB5191D"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104,368</w:t>
            </w:r>
          </w:p>
        </w:tc>
        <w:tc>
          <w:tcPr>
            <w:tcW w:w="217" w:type="pct"/>
          </w:tcPr>
          <w:p w14:paraId="47912582"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85</w:t>
            </w:r>
          </w:p>
        </w:tc>
        <w:tc>
          <w:tcPr>
            <w:tcW w:w="479" w:type="pct"/>
          </w:tcPr>
          <w:p w14:paraId="2658BA01"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Japan</w:t>
            </w:r>
          </w:p>
        </w:tc>
        <w:tc>
          <w:tcPr>
            <w:tcW w:w="310" w:type="pct"/>
          </w:tcPr>
          <w:p w14:paraId="34E480AC"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24,767</w:t>
            </w:r>
          </w:p>
        </w:tc>
        <w:tc>
          <w:tcPr>
            <w:tcW w:w="217" w:type="pct"/>
          </w:tcPr>
          <w:p w14:paraId="3D2904D3"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37</w:t>
            </w:r>
          </w:p>
        </w:tc>
        <w:tc>
          <w:tcPr>
            <w:tcW w:w="494" w:type="pct"/>
          </w:tcPr>
          <w:p w14:paraId="69AAF149"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China</w:t>
            </w:r>
            <w:r w:rsidRPr="009315FB">
              <w:rPr>
                <w:rFonts w:cstheme="minorHAnsi"/>
                <w:color w:val="000000" w:themeColor="text1"/>
                <w:sz w:val="14"/>
                <w:szCs w:val="14"/>
                <w:vertAlign w:val="superscript"/>
              </w:rPr>
              <w:t>(a)</w:t>
            </w:r>
          </w:p>
        </w:tc>
        <w:tc>
          <w:tcPr>
            <w:tcW w:w="310" w:type="pct"/>
          </w:tcPr>
          <w:p w14:paraId="5DF7672B"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8,055</w:t>
            </w:r>
          </w:p>
        </w:tc>
        <w:tc>
          <w:tcPr>
            <w:tcW w:w="217" w:type="pct"/>
          </w:tcPr>
          <w:p w14:paraId="773DBACE"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32</w:t>
            </w:r>
          </w:p>
        </w:tc>
        <w:tc>
          <w:tcPr>
            <w:tcW w:w="471" w:type="pct"/>
          </w:tcPr>
          <w:p w14:paraId="1634570A"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China</w:t>
            </w:r>
            <w:r w:rsidRPr="009315FB">
              <w:rPr>
                <w:rFonts w:cstheme="minorHAnsi"/>
                <w:color w:val="000000" w:themeColor="text1"/>
                <w:sz w:val="14"/>
                <w:szCs w:val="14"/>
                <w:vertAlign w:val="superscript"/>
              </w:rPr>
              <w:t>(a</w:t>
            </w:r>
            <w:r w:rsidRPr="009315FB">
              <w:rPr>
                <w:rFonts w:cstheme="minorHAnsi"/>
                <w:b/>
                <w:color w:val="000000" w:themeColor="text1"/>
                <w:sz w:val="14"/>
                <w:szCs w:val="14"/>
                <w:vertAlign w:val="superscript"/>
              </w:rPr>
              <w:t>)</w:t>
            </w:r>
          </w:p>
        </w:tc>
        <w:tc>
          <w:tcPr>
            <w:tcW w:w="273" w:type="pct"/>
          </w:tcPr>
          <w:p w14:paraId="70FBEB2E"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19,824</w:t>
            </w:r>
          </w:p>
        </w:tc>
        <w:tc>
          <w:tcPr>
            <w:tcW w:w="217" w:type="pct"/>
          </w:tcPr>
          <w:p w14:paraId="0B7A27AB"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99</w:t>
            </w:r>
          </w:p>
        </w:tc>
        <w:tc>
          <w:tcPr>
            <w:tcW w:w="479" w:type="pct"/>
          </w:tcPr>
          <w:p w14:paraId="68508A95"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Bahrain</w:t>
            </w:r>
          </w:p>
        </w:tc>
        <w:tc>
          <w:tcPr>
            <w:tcW w:w="273" w:type="pct"/>
          </w:tcPr>
          <w:p w14:paraId="74E1708F"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1,434</w:t>
            </w:r>
          </w:p>
        </w:tc>
        <w:tc>
          <w:tcPr>
            <w:tcW w:w="217" w:type="pct"/>
          </w:tcPr>
          <w:p w14:paraId="07A81683"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19</w:t>
            </w:r>
          </w:p>
        </w:tc>
      </w:tr>
      <w:tr w:rsidR="008B0834" w:rsidRPr="008536A7" w14:paraId="6F667BF1" w14:textId="77777777" w:rsidTr="007D78CB">
        <w:tc>
          <w:tcPr>
            <w:cnfStyle w:val="001000000000" w:firstRow="0" w:lastRow="0" w:firstColumn="1" w:lastColumn="0" w:oddVBand="0" w:evenVBand="0" w:oddHBand="0" w:evenHBand="0" w:firstRowFirstColumn="0" w:firstRowLastColumn="0" w:lastRowFirstColumn="0" w:lastRowLastColumn="0"/>
            <w:tcW w:w="479" w:type="pct"/>
          </w:tcPr>
          <w:p w14:paraId="4924B385" w14:textId="77777777" w:rsidR="008B0834" w:rsidRPr="008809A4" w:rsidRDefault="008B0834" w:rsidP="007D78CB">
            <w:pPr>
              <w:pStyle w:val="BodyText"/>
              <w:spacing w:after="0"/>
              <w:rPr>
                <w:rFonts w:cstheme="minorHAnsi"/>
                <w:b w:val="0"/>
                <w:sz w:val="14"/>
                <w:szCs w:val="14"/>
              </w:rPr>
            </w:pPr>
            <w:r w:rsidRPr="008809A4">
              <w:rPr>
                <w:rFonts w:cstheme="minorHAnsi"/>
                <w:b w:val="0"/>
                <w:sz w:val="14"/>
                <w:szCs w:val="14"/>
              </w:rPr>
              <w:t>Japan</w:t>
            </w:r>
          </w:p>
        </w:tc>
        <w:tc>
          <w:tcPr>
            <w:tcW w:w="348" w:type="pct"/>
          </w:tcPr>
          <w:p w14:paraId="2007BF93"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8,046</w:t>
            </w:r>
          </w:p>
        </w:tc>
        <w:tc>
          <w:tcPr>
            <w:tcW w:w="217" w:type="pct"/>
          </w:tcPr>
          <w:p w14:paraId="644D1E1A"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7</w:t>
            </w:r>
          </w:p>
        </w:tc>
        <w:tc>
          <w:tcPr>
            <w:tcW w:w="479" w:type="pct"/>
          </w:tcPr>
          <w:p w14:paraId="7D88B205"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Singapore</w:t>
            </w:r>
          </w:p>
        </w:tc>
        <w:tc>
          <w:tcPr>
            <w:tcW w:w="310" w:type="pct"/>
          </w:tcPr>
          <w:p w14:paraId="00225D36"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9,540</w:t>
            </w:r>
          </w:p>
        </w:tc>
        <w:tc>
          <w:tcPr>
            <w:tcW w:w="217" w:type="pct"/>
          </w:tcPr>
          <w:p w14:paraId="415E899A"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14</w:t>
            </w:r>
          </w:p>
        </w:tc>
        <w:tc>
          <w:tcPr>
            <w:tcW w:w="494" w:type="pct"/>
          </w:tcPr>
          <w:p w14:paraId="62D1C07F"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Hong Kong</w:t>
            </w:r>
            <w:r w:rsidRPr="009315FB">
              <w:rPr>
                <w:rFonts w:cstheme="minorHAnsi"/>
                <w:color w:val="000000" w:themeColor="text1"/>
                <w:sz w:val="14"/>
                <w:szCs w:val="14"/>
                <w:vertAlign w:val="superscript"/>
              </w:rPr>
              <w:t>(b)</w:t>
            </w:r>
          </w:p>
        </w:tc>
        <w:tc>
          <w:tcPr>
            <w:tcW w:w="310" w:type="pct"/>
          </w:tcPr>
          <w:p w14:paraId="23D2B16A"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3,511</w:t>
            </w:r>
          </w:p>
        </w:tc>
        <w:tc>
          <w:tcPr>
            <w:tcW w:w="217" w:type="pct"/>
          </w:tcPr>
          <w:p w14:paraId="64ECEAD9"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14</w:t>
            </w:r>
          </w:p>
        </w:tc>
        <w:tc>
          <w:tcPr>
            <w:tcW w:w="471" w:type="pct"/>
          </w:tcPr>
          <w:p w14:paraId="6FFA81A3"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Belgium</w:t>
            </w:r>
          </w:p>
        </w:tc>
        <w:tc>
          <w:tcPr>
            <w:tcW w:w="273" w:type="pct"/>
          </w:tcPr>
          <w:p w14:paraId="784C3F40"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119</w:t>
            </w:r>
          </w:p>
        </w:tc>
        <w:tc>
          <w:tcPr>
            <w:tcW w:w="217" w:type="pct"/>
          </w:tcPr>
          <w:p w14:paraId="20236FF7"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w:t>
            </w:r>
          </w:p>
        </w:tc>
        <w:tc>
          <w:tcPr>
            <w:tcW w:w="479" w:type="pct"/>
          </w:tcPr>
          <w:p w14:paraId="0A8B17FF"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South Africa</w:t>
            </w:r>
          </w:p>
        </w:tc>
        <w:tc>
          <w:tcPr>
            <w:tcW w:w="273" w:type="pct"/>
          </w:tcPr>
          <w:p w14:paraId="15244D22"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1,382</w:t>
            </w:r>
          </w:p>
        </w:tc>
        <w:tc>
          <w:tcPr>
            <w:tcW w:w="217" w:type="pct"/>
          </w:tcPr>
          <w:p w14:paraId="2CAFCD5F"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18</w:t>
            </w:r>
          </w:p>
        </w:tc>
      </w:tr>
      <w:tr w:rsidR="008B0834" w:rsidRPr="008536A7" w14:paraId="5E008A75" w14:textId="77777777" w:rsidTr="007D7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49ADC2DD" w14:textId="77777777" w:rsidR="008B0834" w:rsidRPr="008809A4" w:rsidRDefault="008B0834" w:rsidP="007D78CB">
            <w:pPr>
              <w:pStyle w:val="BodyText"/>
              <w:spacing w:after="0"/>
              <w:rPr>
                <w:rFonts w:cstheme="minorHAnsi"/>
                <w:b w:val="0"/>
                <w:sz w:val="14"/>
                <w:szCs w:val="14"/>
              </w:rPr>
            </w:pPr>
            <w:r w:rsidRPr="008809A4">
              <w:rPr>
                <w:rFonts w:cstheme="minorHAnsi"/>
                <w:b w:val="0"/>
                <w:sz w:val="14"/>
                <w:szCs w:val="14"/>
              </w:rPr>
              <w:t>South Korea</w:t>
            </w:r>
          </w:p>
        </w:tc>
        <w:tc>
          <w:tcPr>
            <w:tcW w:w="348" w:type="pct"/>
          </w:tcPr>
          <w:p w14:paraId="2A196AEF"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6,591</w:t>
            </w:r>
          </w:p>
        </w:tc>
        <w:tc>
          <w:tcPr>
            <w:tcW w:w="217" w:type="pct"/>
          </w:tcPr>
          <w:p w14:paraId="2C2813B7"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5</w:t>
            </w:r>
          </w:p>
        </w:tc>
        <w:tc>
          <w:tcPr>
            <w:tcW w:w="479" w:type="pct"/>
          </w:tcPr>
          <w:p w14:paraId="1889127F"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South Korea</w:t>
            </w:r>
          </w:p>
        </w:tc>
        <w:tc>
          <w:tcPr>
            <w:tcW w:w="310" w:type="pct"/>
          </w:tcPr>
          <w:p w14:paraId="5D9762C2"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8,888</w:t>
            </w:r>
          </w:p>
        </w:tc>
        <w:tc>
          <w:tcPr>
            <w:tcW w:w="217" w:type="pct"/>
          </w:tcPr>
          <w:p w14:paraId="13B49767"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13</w:t>
            </w:r>
          </w:p>
        </w:tc>
        <w:tc>
          <w:tcPr>
            <w:tcW w:w="494" w:type="pct"/>
          </w:tcPr>
          <w:p w14:paraId="1221059D"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Singapore</w:t>
            </w:r>
          </w:p>
        </w:tc>
        <w:tc>
          <w:tcPr>
            <w:tcW w:w="310" w:type="pct"/>
          </w:tcPr>
          <w:p w14:paraId="17E11E8C"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3,123</w:t>
            </w:r>
          </w:p>
        </w:tc>
        <w:tc>
          <w:tcPr>
            <w:tcW w:w="217" w:type="pct"/>
          </w:tcPr>
          <w:p w14:paraId="325D916A"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12</w:t>
            </w:r>
          </w:p>
        </w:tc>
        <w:tc>
          <w:tcPr>
            <w:tcW w:w="471" w:type="pct"/>
          </w:tcPr>
          <w:p w14:paraId="4AA05DF5"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South Korea</w:t>
            </w:r>
          </w:p>
        </w:tc>
        <w:tc>
          <w:tcPr>
            <w:tcW w:w="273" w:type="pct"/>
          </w:tcPr>
          <w:p w14:paraId="054160AA"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90</w:t>
            </w:r>
          </w:p>
        </w:tc>
        <w:tc>
          <w:tcPr>
            <w:tcW w:w="217" w:type="pct"/>
          </w:tcPr>
          <w:p w14:paraId="3826195F"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0.5</w:t>
            </w:r>
          </w:p>
        </w:tc>
        <w:tc>
          <w:tcPr>
            <w:tcW w:w="479" w:type="pct"/>
          </w:tcPr>
          <w:p w14:paraId="28A83385"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UAE</w:t>
            </w:r>
          </w:p>
        </w:tc>
        <w:tc>
          <w:tcPr>
            <w:tcW w:w="273" w:type="pct"/>
          </w:tcPr>
          <w:p w14:paraId="57CD3F45"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1,048</w:t>
            </w:r>
          </w:p>
        </w:tc>
        <w:tc>
          <w:tcPr>
            <w:tcW w:w="217" w:type="pct"/>
          </w:tcPr>
          <w:p w14:paraId="78011E9E"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14</w:t>
            </w:r>
          </w:p>
        </w:tc>
      </w:tr>
      <w:tr w:rsidR="008B0834" w:rsidRPr="008536A7" w14:paraId="1D9455C0" w14:textId="77777777" w:rsidTr="007D78CB">
        <w:tc>
          <w:tcPr>
            <w:cnfStyle w:val="001000000000" w:firstRow="0" w:lastRow="0" w:firstColumn="1" w:lastColumn="0" w:oddVBand="0" w:evenVBand="0" w:oddHBand="0" w:evenHBand="0" w:firstRowFirstColumn="0" w:firstRowLastColumn="0" w:lastRowFirstColumn="0" w:lastRowLastColumn="0"/>
            <w:tcW w:w="479" w:type="pct"/>
          </w:tcPr>
          <w:p w14:paraId="55CC9C78" w14:textId="77777777" w:rsidR="008B0834" w:rsidRPr="008809A4" w:rsidRDefault="008B0834" w:rsidP="007D78CB">
            <w:pPr>
              <w:pStyle w:val="BodyText"/>
              <w:spacing w:after="0"/>
              <w:rPr>
                <w:rFonts w:cstheme="minorHAnsi"/>
                <w:b w:val="0"/>
                <w:sz w:val="14"/>
                <w:szCs w:val="14"/>
              </w:rPr>
            </w:pPr>
            <w:r w:rsidRPr="008809A4">
              <w:rPr>
                <w:rFonts w:cstheme="minorHAnsi"/>
                <w:b w:val="0"/>
                <w:sz w:val="14"/>
                <w:szCs w:val="14"/>
              </w:rPr>
              <w:t>Taiwan</w:t>
            </w:r>
          </w:p>
        </w:tc>
        <w:tc>
          <w:tcPr>
            <w:tcW w:w="348" w:type="pct"/>
          </w:tcPr>
          <w:p w14:paraId="259B8C00"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1,977</w:t>
            </w:r>
          </w:p>
        </w:tc>
        <w:tc>
          <w:tcPr>
            <w:tcW w:w="217" w:type="pct"/>
          </w:tcPr>
          <w:p w14:paraId="5B569EC3"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2</w:t>
            </w:r>
          </w:p>
        </w:tc>
        <w:tc>
          <w:tcPr>
            <w:tcW w:w="479" w:type="pct"/>
          </w:tcPr>
          <w:p w14:paraId="2515729D"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Taiwan</w:t>
            </w:r>
          </w:p>
        </w:tc>
        <w:tc>
          <w:tcPr>
            <w:tcW w:w="310" w:type="pct"/>
          </w:tcPr>
          <w:p w14:paraId="42DAA75C"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7,930</w:t>
            </w:r>
          </w:p>
        </w:tc>
        <w:tc>
          <w:tcPr>
            <w:tcW w:w="217" w:type="pct"/>
          </w:tcPr>
          <w:p w14:paraId="59534259"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12</w:t>
            </w:r>
          </w:p>
        </w:tc>
        <w:tc>
          <w:tcPr>
            <w:tcW w:w="494" w:type="pct"/>
          </w:tcPr>
          <w:p w14:paraId="6A252692"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USA</w:t>
            </w:r>
          </w:p>
        </w:tc>
        <w:tc>
          <w:tcPr>
            <w:tcW w:w="310" w:type="pct"/>
          </w:tcPr>
          <w:p w14:paraId="2E45B1DE"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3,035</w:t>
            </w:r>
          </w:p>
        </w:tc>
        <w:tc>
          <w:tcPr>
            <w:tcW w:w="217" w:type="pct"/>
          </w:tcPr>
          <w:p w14:paraId="42C54AAB"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12</w:t>
            </w:r>
          </w:p>
        </w:tc>
        <w:tc>
          <w:tcPr>
            <w:tcW w:w="471" w:type="pct"/>
          </w:tcPr>
          <w:p w14:paraId="25CE64BB"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USA</w:t>
            </w:r>
          </w:p>
        </w:tc>
        <w:tc>
          <w:tcPr>
            <w:tcW w:w="273" w:type="pct"/>
          </w:tcPr>
          <w:p w14:paraId="79FB0EE8"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16</w:t>
            </w:r>
          </w:p>
        </w:tc>
        <w:tc>
          <w:tcPr>
            <w:tcW w:w="217" w:type="pct"/>
          </w:tcPr>
          <w:p w14:paraId="2F77C43B"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0.1</w:t>
            </w:r>
          </w:p>
        </w:tc>
        <w:tc>
          <w:tcPr>
            <w:tcW w:w="479" w:type="pct"/>
          </w:tcPr>
          <w:p w14:paraId="20AFDF48"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Mozambique</w:t>
            </w:r>
          </w:p>
        </w:tc>
        <w:tc>
          <w:tcPr>
            <w:tcW w:w="273" w:type="pct"/>
          </w:tcPr>
          <w:p w14:paraId="16158A73"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583</w:t>
            </w:r>
          </w:p>
        </w:tc>
        <w:tc>
          <w:tcPr>
            <w:tcW w:w="217" w:type="pct"/>
          </w:tcPr>
          <w:p w14:paraId="536D2795"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8</w:t>
            </w:r>
          </w:p>
        </w:tc>
      </w:tr>
      <w:tr w:rsidR="008B0834" w:rsidRPr="008536A7" w14:paraId="595CE237" w14:textId="77777777" w:rsidTr="007D7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5EAA5953" w14:textId="77777777" w:rsidR="008B0834" w:rsidRPr="008809A4" w:rsidRDefault="008B0834" w:rsidP="007D78CB">
            <w:pPr>
              <w:pStyle w:val="BodyText"/>
              <w:spacing w:after="0"/>
              <w:rPr>
                <w:rFonts w:cstheme="minorHAnsi"/>
                <w:b w:val="0"/>
                <w:sz w:val="14"/>
                <w:szCs w:val="14"/>
              </w:rPr>
            </w:pPr>
            <w:r w:rsidRPr="009315FB">
              <w:rPr>
                <w:rFonts w:cstheme="minorHAnsi"/>
                <w:b w:val="0"/>
                <w:color w:val="000000" w:themeColor="text1"/>
                <w:sz w:val="14"/>
                <w:szCs w:val="14"/>
              </w:rPr>
              <w:t>Indonesia</w:t>
            </w:r>
          </w:p>
        </w:tc>
        <w:tc>
          <w:tcPr>
            <w:tcW w:w="348" w:type="pct"/>
          </w:tcPr>
          <w:p w14:paraId="4831B64B"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964</w:t>
            </w:r>
          </w:p>
        </w:tc>
        <w:tc>
          <w:tcPr>
            <w:tcW w:w="217" w:type="pct"/>
          </w:tcPr>
          <w:p w14:paraId="362B3FBA"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w:t>
            </w:r>
          </w:p>
        </w:tc>
        <w:tc>
          <w:tcPr>
            <w:tcW w:w="479" w:type="pct"/>
          </w:tcPr>
          <w:p w14:paraId="34388C4D"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China(a)</w:t>
            </w:r>
          </w:p>
        </w:tc>
        <w:tc>
          <w:tcPr>
            <w:tcW w:w="310" w:type="pct"/>
          </w:tcPr>
          <w:p w14:paraId="786B359E"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7,764</w:t>
            </w:r>
          </w:p>
        </w:tc>
        <w:tc>
          <w:tcPr>
            <w:tcW w:w="217" w:type="pct"/>
          </w:tcPr>
          <w:p w14:paraId="43F4F1D3"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11</w:t>
            </w:r>
          </w:p>
        </w:tc>
        <w:tc>
          <w:tcPr>
            <w:tcW w:w="494" w:type="pct"/>
          </w:tcPr>
          <w:p w14:paraId="26EDF635"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India</w:t>
            </w:r>
          </w:p>
        </w:tc>
        <w:tc>
          <w:tcPr>
            <w:tcW w:w="310" w:type="pct"/>
          </w:tcPr>
          <w:p w14:paraId="120B1ED5"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1,439</w:t>
            </w:r>
          </w:p>
        </w:tc>
        <w:tc>
          <w:tcPr>
            <w:tcW w:w="217" w:type="pct"/>
          </w:tcPr>
          <w:p w14:paraId="4FAA811C"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6</w:t>
            </w:r>
          </w:p>
        </w:tc>
        <w:tc>
          <w:tcPr>
            <w:tcW w:w="471" w:type="pct"/>
          </w:tcPr>
          <w:p w14:paraId="5B27DDB2"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Japan</w:t>
            </w:r>
          </w:p>
        </w:tc>
        <w:tc>
          <w:tcPr>
            <w:tcW w:w="273" w:type="pct"/>
          </w:tcPr>
          <w:p w14:paraId="2370DD4B"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9</w:t>
            </w:r>
          </w:p>
        </w:tc>
        <w:tc>
          <w:tcPr>
            <w:tcW w:w="217" w:type="pct"/>
          </w:tcPr>
          <w:p w14:paraId="3BE641BD"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0.05</w:t>
            </w:r>
          </w:p>
        </w:tc>
        <w:tc>
          <w:tcPr>
            <w:tcW w:w="479" w:type="pct"/>
          </w:tcPr>
          <w:p w14:paraId="0B74D20B"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Qatar</w:t>
            </w:r>
          </w:p>
        </w:tc>
        <w:tc>
          <w:tcPr>
            <w:tcW w:w="273" w:type="pct"/>
          </w:tcPr>
          <w:p w14:paraId="1BAAB66E"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568</w:t>
            </w:r>
          </w:p>
        </w:tc>
        <w:tc>
          <w:tcPr>
            <w:tcW w:w="217" w:type="pct"/>
          </w:tcPr>
          <w:p w14:paraId="7F2569E8"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7</w:t>
            </w:r>
          </w:p>
        </w:tc>
      </w:tr>
      <w:tr w:rsidR="008B0834" w:rsidRPr="008536A7" w14:paraId="23CD39B4" w14:textId="77777777" w:rsidTr="007D78CB">
        <w:tc>
          <w:tcPr>
            <w:cnfStyle w:val="001000000000" w:firstRow="0" w:lastRow="0" w:firstColumn="1" w:lastColumn="0" w:oddVBand="0" w:evenVBand="0" w:oddHBand="0" w:evenHBand="0" w:firstRowFirstColumn="0" w:firstRowLastColumn="0" w:lastRowFirstColumn="0" w:lastRowLastColumn="0"/>
            <w:tcW w:w="479" w:type="pct"/>
          </w:tcPr>
          <w:p w14:paraId="5B5F3869" w14:textId="77777777" w:rsidR="008B0834" w:rsidRPr="008809A4" w:rsidRDefault="008B0834" w:rsidP="007D78CB">
            <w:pPr>
              <w:pStyle w:val="BodyText"/>
              <w:spacing w:after="0"/>
              <w:rPr>
                <w:rFonts w:cstheme="minorHAnsi"/>
                <w:b w:val="0"/>
                <w:sz w:val="14"/>
                <w:szCs w:val="14"/>
              </w:rPr>
            </w:pPr>
            <w:r w:rsidRPr="008809A4">
              <w:rPr>
                <w:rFonts w:cstheme="minorHAnsi"/>
                <w:b w:val="0"/>
                <w:sz w:val="14"/>
                <w:szCs w:val="14"/>
              </w:rPr>
              <w:t>Other</w:t>
            </w:r>
          </w:p>
        </w:tc>
        <w:tc>
          <w:tcPr>
            <w:tcW w:w="348" w:type="pct"/>
          </w:tcPr>
          <w:p w14:paraId="6F040B94"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612</w:t>
            </w:r>
          </w:p>
        </w:tc>
        <w:tc>
          <w:tcPr>
            <w:tcW w:w="217" w:type="pct"/>
          </w:tcPr>
          <w:p w14:paraId="093D1B24"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0.5</w:t>
            </w:r>
          </w:p>
        </w:tc>
        <w:tc>
          <w:tcPr>
            <w:tcW w:w="479" w:type="pct"/>
          </w:tcPr>
          <w:p w14:paraId="0846D6A0"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Other</w:t>
            </w:r>
          </w:p>
        </w:tc>
        <w:tc>
          <w:tcPr>
            <w:tcW w:w="310" w:type="pct"/>
          </w:tcPr>
          <w:p w14:paraId="20A4617D"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8,900</w:t>
            </w:r>
          </w:p>
        </w:tc>
        <w:tc>
          <w:tcPr>
            <w:tcW w:w="217" w:type="pct"/>
          </w:tcPr>
          <w:p w14:paraId="5D3CB613"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13</w:t>
            </w:r>
          </w:p>
        </w:tc>
        <w:tc>
          <w:tcPr>
            <w:tcW w:w="494" w:type="pct"/>
          </w:tcPr>
          <w:p w14:paraId="7D21E38C"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Other</w:t>
            </w:r>
          </w:p>
        </w:tc>
        <w:tc>
          <w:tcPr>
            <w:tcW w:w="310" w:type="pct"/>
          </w:tcPr>
          <w:p w14:paraId="18235A3D"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6,138</w:t>
            </w:r>
          </w:p>
        </w:tc>
        <w:tc>
          <w:tcPr>
            <w:tcW w:w="217" w:type="pct"/>
          </w:tcPr>
          <w:p w14:paraId="1F498AB0"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24</w:t>
            </w:r>
          </w:p>
        </w:tc>
        <w:tc>
          <w:tcPr>
            <w:tcW w:w="471" w:type="pct"/>
          </w:tcPr>
          <w:p w14:paraId="635A4213"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Other</w:t>
            </w:r>
          </w:p>
        </w:tc>
        <w:tc>
          <w:tcPr>
            <w:tcW w:w="273" w:type="pct"/>
          </w:tcPr>
          <w:p w14:paraId="18A5BF54"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4</w:t>
            </w:r>
          </w:p>
        </w:tc>
        <w:tc>
          <w:tcPr>
            <w:tcW w:w="217" w:type="pct"/>
          </w:tcPr>
          <w:p w14:paraId="29A9A6A0"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0.02</w:t>
            </w:r>
          </w:p>
        </w:tc>
        <w:tc>
          <w:tcPr>
            <w:tcW w:w="479" w:type="pct"/>
          </w:tcPr>
          <w:p w14:paraId="6C6A08F0"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Other</w:t>
            </w:r>
          </w:p>
        </w:tc>
        <w:tc>
          <w:tcPr>
            <w:tcW w:w="273" w:type="pct"/>
          </w:tcPr>
          <w:p w14:paraId="3AE5BD99"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2,469</w:t>
            </w:r>
          </w:p>
        </w:tc>
        <w:tc>
          <w:tcPr>
            <w:tcW w:w="217" w:type="pct"/>
          </w:tcPr>
          <w:p w14:paraId="1AA76B54"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34</w:t>
            </w:r>
          </w:p>
        </w:tc>
      </w:tr>
      <w:tr w:rsidR="008B0834" w:rsidRPr="008536A7" w14:paraId="4FAC2DF2" w14:textId="77777777" w:rsidTr="007D7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9" w:type="pct"/>
          </w:tcPr>
          <w:p w14:paraId="132B6D1C" w14:textId="77777777" w:rsidR="008B0834" w:rsidRPr="008809A4" w:rsidRDefault="008B0834" w:rsidP="007D78CB">
            <w:pPr>
              <w:pStyle w:val="BodyText"/>
              <w:spacing w:after="0"/>
              <w:rPr>
                <w:rFonts w:cstheme="minorHAnsi"/>
                <w:sz w:val="14"/>
                <w:szCs w:val="14"/>
              </w:rPr>
            </w:pPr>
            <w:r w:rsidRPr="008809A4">
              <w:rPr>
                <w:rFonts w:cstheme="minorHAnsi"/>
                <w:sz w:val="14"/>
                <w:szCs w:val="14"/>
              </w:rPr>
              <w:t>Total</w:t>
            </w:r>
          </w:p>
        </w:tc>
        <w:tc>
          <w:tcPr>
            <w:tcW w:w="348" w:type="pct"/>
          </w:tcPr>
          <w:p w14:paraId="04057FED"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122,558</w:t>
            </w:r>
          </w:p>
        </w:tc>
        <w:tc>
          <w:tcPr>
            <w:tcW w:w="217" w:type="pct"/>
          </w:tcPr>
          <w:p w14:paraId="620955C7"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100</w:t>
            </w:r>
          </w:p>
        </w:tc>
        <w:tc>
          <w:tcPr>
            <w:tcW w:w="479" w:type="pct"/>
          </w:tcPr>
          <w:p w14:paraId="1B2C935B"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Total</w:t>
            </w:r>
          </w:p>
        </w:tc>
        <w:tc>
          <w:tcPr>
            <w:tcW w:w="310" w:type="pct"/>
          </w:tcPr>
          <w:p w14:paraId="181DB84B"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67,789</w:t>
            </w:r>
          </w:p>
        </w:tc>
        <w:tc>
          <w:tcPr>
            <w:tcW w:w="217" w:type="pct"/>
          </w:tcPr>
          <w:p w14:paraId="4733CB7E"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100</w:t>
            </w:r>
          </w:p>
        </w:tc>
        <w:tc>
          <w:tcPr>
            <w:tcW w:w="494" w:type="pct"/>
          </w:tcPr>
          <w:p w14:paraId="29128E18"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Total</w:t>
            </w:r>
          </w:p>
        </w:tc>
        <w:tc>
          <w:tcPr>
            <w:tcW w:w="310" w:type="pct"/>
          </w:tcPr>
          <w:p w14:paraId="47E20915"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25,301</w:t>
            </w:r>
          </w:p>
        </w:tc>
        <w:tc>
          <w:tcPr>
            <w:tcW w:w="217" w:type="pct"/>
          </w:tcPr>
          <w:p w14:paraId="458346B7"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100</w:t>
            </w:r>
          </w:p>
        </w:tc>
        <w:tc>
          <w:tcPr>
            <w:tcW w:w="471" w:type="pct"/>
          </w:tcPr>
          <w:p w14:paraId="583CBD62"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Total</w:t>
            </w:r>
          </w:p>
        </w:tc>
        <w:tc>
          <w:tcPr>
            <w:tcW w:w="273" w:type="pct"/>
          </w:tcPr>
          <w:p w14:paraId="2D3A4FD0"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20,063</w:t>
            </w:r>
          </w:p>
        </w:tc>
        <w:tc>
          <w:tcPr>
            <w:tcW w:w="217" w:type="pct"/>
          </w:tcPr>
          <w:p w14:paraId="3114B807"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100</w:t>
            </w:r>
          </w:p>
        </w:tc>
        <w:tc>
          <w:tcPr>
            <w:tcW w:w="479" w:type="pct"/>
          </w:tcPr>
          <w:p w14:paraId="02E4B9BE"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Total</w:t>
            </w:r>
          </w:p>
        </w:tc>
        <w:tc>
          <w:tcPr>
            <w:tcW w:w="273" w:type="pct"/>
          </w:tcPr>
          <w:p w14:paraId="1BB64F4B"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7,603</w:t>
            </w:r>
          </w:p>
        </w:tc>
        <w:tc>
          <w:tcPr>
            <w:tcW w:w="217" w:type="pct"/>
          </w:tcPr>
          <w:p w14:paraId="3C0CBC9A"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100</w:t>
            </w:r>
          </w:p>
        </w:tc>
      </w:tr>
    </w:tbl>
    <w:p w14:paraId="1B6B7A21" w14:textId="77777777" w:rsidR="008B0834" w:rsidRPr="008536A7" w:rsidRDefault="008B0834" w:rsidP="008B0834">
      <w:pPr>
        <w:spacing w:after="0"/>
        <w:jc w:val="both"/>
        <w:rPr>
          <w:sz w:val="10"/>
        </w:rPr>
      </w:pPr>
    </w:p>
    <w:tbl>
      <w:tblPr>
        <w:tblStyle w:val="ListTable3-Accent1"/>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51"/>
        <w:gridCol w:w="567"/>
        <w:gridCol w:w="528"/>
        <w:gridCol w:w="1076"/>
        <w:gridCol w:w="567"/>
        <w:gridCol w:w="526"/>
        <w:gridCol w:w="971"/>
        <w:gridCol w:w="666"/>
        <w:gridCol w:w="499"/>
        <w:gridCol w:w="832"/>
        <w:gridCol w:w="567"/>
        <w:gridCol w:w="450"/>
        <w:gridCol w:w="1140"/>
        <w:gridCol w:w="567"/>
        <w:gridCol w:w="450"/>
      </w:tblGrid>
      <w:tr w:rsidR="00AA0EDC" w:rsidRPr="008536A7" w14:paraId="4142DA10" w14:textId="77777777" w:rsidTr="007D78C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pct"/>
            <w:shd w:val="clear" w:color="auto" w:fill="002060"/>
            <w:vAlign w:val="center"/>
          </w:tcPr>
          <w:p w14:paraId="0538F5F8" w14:textId="77777777" w:rsidR="008B0834" w:rsidRPr="00337EB8" w:rsidRDefault="008B0834" w:rsidP="007D78CB">
            <w:pPr>
              <w:pStyle w:val="BodyText"/>
              <w:spacing w:after="0"/>
              <w:rPr>
                <w:rFonts w:cstheme="minorHAnsi"/>
                <w:b w:val="0"/>
                <w:color w:val="FFFFFF"/>
                <w:sz w:val="14"/>
                <w:szCs w:val="14"/>
              </w:rPr>
            </w:pPr>
            <w:r>
              <w:rPr>
                <w:rFonts w:cstheme="minorHAnsi"/>
                <w:b w:val="0"/>
                <w:sz w:val="14"/>
                <w:szCs w:val="14"/>
              </w:rPr>
              <w:t>Wheat</w:t>
            </w:r>
          </w:p>
        </w:tc>
        <w:tc>
          <w:tcPr>
            <w:tcW w:w="0" w:type="pct"/>
            <w:shd w:val="clear" w:color="auto" w:fill="002060"/>
            <w:vAlign w:val="center"/>
          </w:tcPr>
          <w:p w14:paraId="7540E47C" w14:textId="77777777" w:rsidR="008B0834" w:rsidRPr="008536A7"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14"/>
                <w:szCs w:val="14"/>
              </w:rPr>
            </w:pPr>
            <w:r w:rsidRPr="008536A7">
              <w:rPr>
                <w:rFonts w:cstheme="minorHAnsi"/>
                <w:b w:val="0"/>
                <w:color w:val="auto"/>
                <w:sz w:val="14"/>
                <w:szCs w:val="14"/>
              </w:rPr>
              <w:t>$m</w:t>
            </w:r>
          </w:p>
        </w:tc>
        <w:tc>
          <w:tcPr>
            <w:tcW w:w="0" w:type="pct"/>
            <w:shd w:val="clear" w:color="auto" w:fill="002060"/>
            <w:vAlign w:val="center"/>
          </w:tcPr>
          <w:p w14:paraId="558A6E7E" w14:textId="77777777" w:rsidR="008B0834" w:rsidRPr="00F122CB"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F122CB">
              <w:rPr>
                <w:rFonts w:cstheme="minorHAnsi"/>
                <w:b w:val="0"/>
                <w:sz w:val="14"/>
                <w:szCs w:val="14"/>
              </w:rPr>
              <w:t>%</w:t>
            </w:r>
          </w:p>
        </w:tc>
        <w:tc>
          <w:tcPr>
            <w:tcW w:w="0" w:type="pct"/>
            <w:shd w:val="clear" w:color="auto" w:fill="002060"/>
            <w:vAlign w:val="center"/>
          </w:tcPr>
          <w:p w14:paraId="3ABDC4F2" w14:textId="77777777" w:rsidR="008B0834" w:rsidRPr="00744966" w:rsidRDefault="008B0834" w:rsidP="007D78CB">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b w:val="0"/>
                <w:sz w:val="14"/>
                <w:szCs w:val="14"/>
                <w:vertAlign w:val="superscript"/>
              </w:rPr>
            </w:pPr>
            <w:r>
              <w:rPr>
                <w:rFonts w:cstheme="minorHAnsi"/>
                <w:b w:val="0"/>
                <w:sz w:val="14"/>
                <w:szCs w:val="14"/>
              </w:rPr>
              <w:t>Nickel</w:t>
            </w:r>
            <w:r w:rsidRPr="00441E46">
              <w:rPr>
                <w:rFonts w:cstheme="minorHAnsi"/>
                <w:b w:val="0"/>
                <w:sz w:val="14"/>
                <w:szCs w:val="14"/>
                <w:vertAlign w:val="superscript"/>
              </w:rPr>
              <w:t>6</w:t>
            </w:r>
          </w:p>
        </w:tc>
        <w:tc>
          <w:tcPr>
            <w:tcW w:w="0" w:type="pct"/>
            <w:shd w:val="clear" w:color="auto" w:fill="002060"/>
            <w:vAlign w:val="center"/>
          </w:tcPr>
          <w:p w14:paraId="1D394458" w14:textId="77777777" w:rsidR="008B0834" w:rsidRPr="008536A7"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14"/>
                <w:szCs w:val="14"/>
              </w:rPr>
            </w:pPr>
            <w:r w:rsidRPr="008536A7">
              <w:rPr>
                <w:rFonts w:cstheme="minorHAnsi"/>
                <w:b w:val="0"/>
                <w:color w:val="auto"/>
                <w:sz w:val="14"/>
                <w:szCs w:val="14"/>
              </w:rPr>
              <w:t>$m</w:t>
            </w:r>
          </w:p>
        </w:tc>
        <w:tc>
          <w:tcPr>
            <w:tcW w:w="0" w:type="pct"/>
            <w:shd w:val="clear" w:color="auto" w:fill="002060"/>
            <w:vAlign w:val="center"/>
          </w:tcPr>
          <w:p w14:paraId="38FFA1EF" w14:textId="77777777" w:rsidR="008B0834" w:rsidRPr="008536A7"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14"/>
                <w:szCs w:val="14"/>
              </w:rPr>
            </w:pPr>
            <w:r w:rsidRPr="008536A7">
              <w:rPr>
                <w:rFonts w:cstheme="minorHAnsi"/>
                <w:b w:val="0"/>
                <w:color w:val="auto"/>
                <w:sz w:val="14"/>
                <w:szCs w:val="14"/>
              </w:rPr>
              <w:t>%</w:t>
            </w:r>
          </w:p>
        </w:tc>
        <w:tc>
          <w:tcPr>
            <w:tcW w:w="0" w:type="pct"/>
            <w:shd w:val="clear" w:color="auto" w:fill="002060"/>
            <w:vAlign w:val="center"/>
          </w:tcPr>
          <w:p w14:paraId="41F42FFB" w14:textId="77777777" w:rsidR="008B0834" w:rsidRPr="008536A7" w:rsidRDefault="008B0834" w:rsidP="007D78CB">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b w:val="0"/>
                <w:color w:val="auto"/>
                <w:sz w:val="14"/>
                <w:szCs w:val="14"/>
              </w:rPr>
            </w:pPr>
            <w:r>
              <w:rPr>
                <w:rFonts w:cstheme="minorHAnsi"/>
                <w:b w:val="0"/>
                <w:color w:val="auto"/>
                <w:sz w:val="14"/>
                <w:szCs w:val="14"/>
              </w:rPr>
              <w:t>Canola</w:t>
            </w:r>
            <w:r w:rsidRPr="00510A8D">
              <w:rPr>
                <w:rFonts w:cstheme="minorHAnsi"/>
                <w:b w:val="0"/>
                <w:color w:val="FF0000"/>
                <w:sz w:val="14"/>
                <w:szCs w:val="14"/>
              </w:rPr>
              <w:t xml:space="preserve"> </w:t>
            </w:r>
            <w:r w:rsidRPr="00D70189">
              <w:rPr>
                <w:rFonts w:cstheme="minorHAnsi"/>
                <w:b w:val="0"/>
                <w:sz w:val="14"/>
                <w:szCs w:val="14"/>
              </w:rPr>
              <w:t>seed</w:t>
            </w:r>
            <w:r>
              <w:rPr>
                <w:rFonts w:cstheme="minorHAnsi"/>
                <w:b w:val="0"/>
                <w:sz w:val="14"/>
                <w:szCs w:val="14"/>
              </w:rPr>
              <w:t>s</w:t>
            </w:r>
          </w:p>
        </w:tc>
        <w:tc>
          <w:tcPr>
            <w:tcW w:w="0" w:type="pct"/>
            <w:shd w:val="clear" w:color="auto" w:fill="002060"/>
            <w:vAlign w:val="center"/>
          </w:tcPr>
          <w:p w14:paraId="4FE18813" w14:textId="77777777" w:rsidR="008B0834" w:rsidRPr="008536A7"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14"/>
                <w:szCs w:val="14"/>
              </w:rPr>
            </w:pPr>
            <w:r w:rsidRPr="008536A7">
              <w:rPr>
                <w:rFonts w:cstheme="minorHAnsi"/>
                <w:b w:val="0"/>
                <w:color w:val="auto"/>
                <w:sz w:val="14"/>
                <w:szCs w:val="14"/>
              </w:rPr>
              <w:t>$m</w:t>
            </w:r>
          </w:p>
        </w:tc>
        <w:tc>
          <w:tcPr>
            <w:tcW w:w="0" w:type="pct"/>
            <w:shd w:val="clear" w:color="auto" w:fill="002060"/>
            <w:vAlign w:val="center"/>
          </w:tcPr>
          <w:p w14:paraId="1A2E1D37" w14:textId="77777777" w:rsidR="008B0834" w:rsidRPr="008536A7"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14"/>
                <w:szCs w:val="14"/>
              </w:rPr>
            </w:pPr>
            <w:r w:rsidRPr="008536A7">
              <w:rPr>
                <w:rFonts w:cstheme="minorHAnsi"/>
                <w:b w:val="0"/>
                <w:color w:val="auto"/>
                <w:sz w:val="14"/>
                <w:szCs w:val="14"/>
              </w:rPr>
              <w:t>%</w:t>
            </w:r>
          </w:p>
        </w:tc>
        <w:tc>
          <w:tcPr>
            <w:tcW w:w="0" w:type="pct"/>
            <w:shd w:val="clear" w:color="auto" w:fill="002060"/>
            <w:vAlign w:val="center"/>
          </w:tcPr>
          <w:p w14:paraId="7623986D" w14:textId="77777777" w:rsidR="008B0834" w:rsidRPr="008536A7" w:rsidRDefault="008B0834" w:rsidP="007D78CB">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b w:val="0"/>
                <w:color w:val="auto"/>
                <w:sz w:val="14"/>
                <w:szCs w:val="14"/>
              </w:rPr>
            </w:pPr>
            <w:r>
              <w:rPr>
                <w:rFonts w:cstheme="minorHAnsi"/>
                <w:b w:val="0"/>
                <w:sz w:val="14"/>
                <w:szCs w:val="14"/>
              </w:rPr>
              <w:t>Mineral sands</w:t>
            </w:r>
          </w:p>
        </w:tc>
        <w:tc>
          <w:tcPr>
            <w:tcW w:w="0" w:type="pct"/>
            <w:shd w:val="clear" w:color="auto" w:fill="002060"/>
            <w:vAlign w:val="center"/>
          </w:tcPr>
          <w:p w14:paraId="4E9B7872" w14:textId="77777777" w:rsidR="008B0834" w:rsidRPr="008536A7"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14"/>
                <w:szCs w:val="14"/>
              </w:rPr>
            </w:pPr>
            <w:r w:rsidRPr="008536A7">
              <w:rPr>
                <w:rFonts w:cstheme="minorHAnsi"/>
                <w:b w:val="0"/>
                <w:color w:val="auto"/>
                <w:sz w:val="14"/>
                <w:szCs w:val="14"/>
              </w:rPr>
              <w:t>$m</w:t>
            </w:r>
          </w:p>
        </w:tc>
        <w:tc>
          <w:tcPr>
            <w:tcW w:w="0" w:type="pct"/>
            <w:shd w:val="clear" w:color="auto" w:fill="002060"/>
            <w:vAlign w:val="center"/>
          </w:tcPr>
          <w:p w14:paraId="3D688827" w14:textId="77777777" w:rsidR="008B0834" w:rsidRPr="008536A7"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14"/>
                <w:szCs w:val="14"/>
              </w:rPr>
            </w:pPr>
            <w:r w:rsidRPr="008536A7">
              <w:rPr>
                <w:rFonts w:cstheme="minorHAnsi"/>
                <w:b w:val="0"/>
                <w:color w:val="auto"/>
                <w:sz w:val="14"/>
                <w:szCs w:val="14"/>
              </w:rPr>
              <w:t>%</w:t>
            </w:r>
          </w:p>
        </w:tc>
        <w:tc>
          <w:tcPr>
            <w:tcW w:w="0" w:type="pct"/>
            <w:shd w:val="clear" w:color="auto" w:fill="002060"/>
            <w:vAlign w:val="center"/>
          </w:tcPr>
          <w:p w14:paraId="6E3C18BB" w14:textId="77777777" w:rsidR="008B0834" w:rsidRPr="008536A7" w:rsidRDefault="008B0834" w:rsidP="007D78CB">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b w:val="0"/>
                <w:color w:val="auto"/>
                <w:sz w:val="14"/>
                <w:szCs w:val="14"/>
              </w:rPr>
            </w:pPr>
            <w:r>
              <w:rPr>
                <w:rFonts w:cstheme="minorHAnsi"/>
                <w:b w:val="0"/>
                <w:sz w:val="14"/>
                <w:szCs w:val="14"/>
              </w:rPr>
              <w:t>Barley</w:t>
            </w:r>
          </w:p>
        </w:tc>
        <w:tc>
          <w:tcPr>
            <w:tcW w:w="0" w:type="pct"/>
            <w:shd w:val="clear" w:color="auto" w:fill="002060"/>
            <w:vAlign w:val="center"/>
          </w:tcPr>
          <w:p w14:paraId="128DB29A" w14:textId="77777777" w:rsidR="008B0834" w:rsidRPr="008536A7"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14"/>
                <w:szCs w:val="14"/>
              </w:rPr>
            </w:pPr>
            <w:r w:rsidRPr="008536A7">
              <w:rPr>
                <w:rFonts w:cstheme="minorHAnsi"/>
                <w:b w:val="0"/>
                <w:color w:val="auto"/>
                <w:sz w:val="14"/>
                <w:szCs w:val="14"/>
              </w:rPr>
              <w:t>$m</w:t>
            </w:r>
          </w:p>
        </w:tc>
        <w:tc>
          <w:tcPr>
            <w:tcW w:w="0" w:type="pct"/>
            <w:shd w:val="clear" w:color="auto" w:fill="002060"/>
          </w:tcPr>
          <w:p w14:paraId="61096A60" w14:textId="77777777" w:rsidR="008B0834" w:rsidRPr="008536A7"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14"/>
                <w:szCs w:val="14"/>
              </w:rPr>
            </w:pPr>
            <w:r w:rsidRPr="008536A7">
              <w:rPr>
                <w:rFonts w:cstheme="minorHAnsi"/>
                <w:b w:val="0"/>
                <w:color w:val="auto"/>
                <w:sz w:val="14"/>
                <w:szCs w:val="14"/>
              </w:rPr>
              <w:t>%</w:t>
            </w:r>
          </w:p>
        </w:tc>
      </w:tr>
      <w:tr w:rsidR="008B0834" w:rsidRPr="003527AA" w14:paraId="0C831FC6" w14:textId="77777777" w:rsidTr="007D7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pct"/>
          </w:tcPr>
          <w:p w14:paraId="3CB474F3" w14:textId="77777777" w:rsidR="008B0834" w:rsidRPr="009315FB" w:rsidRDefault="008B0834" w:rsidP="007D78CB">
            <w:pPr>
              <w:pStyle w:val="BodyText"/>
              <w:spacing w:after="0"/>
              <w:rPr>
                <w:rFonts w:cstheme="minorHAnsi"/>
                <w:b w:val="0"/>
                <w:bCs w:val="0"/>
                <w:color w:val="000000" w:themeColor="text1"/>
                <w:sz w:val="14"/>
                <w:szCs w:val="14"/>
              </w:rPr>
            </w:pPr>
            <w:r w:rsidRPr="009315FB">
              <w:rPr>
                <w:rFonts w:cstheme="minorHAnsi"/>
                <w:b w:val="0"/>
                <w:bCs w:val="0"/>
                <w:color w:val="000000" w:themeColor="text1"/>
                <w:sz w:val="14"/>
                <w:szCs w:val="14"/>
              </w:rPr>
              <w:t>China</w:t>
            </w:r>
            <w:r w:rsidRPr="009315FB">
              <w:rPr>
                <w:rFonts w:cstheme="minorHAnsi"/>
                <w:b w:val="0"/>
                <w:bCs w:val="0"/>
                <w:color w:val="000000" w:themeColor="text1"/>
                <w:sz w:val="14"/>
                <w:szCs w:val="14"/>
                <w:vertAlign w:val="superscript"/>
              </w:rPr>
              <w:t>(a)</w:t>
            </w:r>
          </w:p>
        </w:tc>
        <w:tc>
          <w:tcPr>
            <w:tcW w:w="199" w:type="pct"/>
          </w:tcPr>
          <w:p w14:paraId="71F75FA6"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1,700</w:t>
            </w:r>
          </w:p>
        </w:tc>
        <w:tc>
          <w:tcPr>
            <w:tcW w:w="265" w:type="pct"/>
          </w:tcPr>
          <w:p w14:paraId="3A1D472F"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26</w:t>
            </w:r>
          </w:p>
        </w:tc>
        <w:tc>
          <w:tcPr>
            <w:tcW w:w="527" w:type="pct"/>
          </w:tcPr>
          <w:p w14:paraId="1040B4DD"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China</w:t>
            </w:r>
            <w:r w:rsidRPr="009315FB">
              <w:rPr>
                <w:rFonts w:cstheme="minorHAnsi"/>
                <w:color w:val="000000" w:themeColor="text1"/>
                <w:sz w:val="14"/>
                <w:szCs w:val="14"/>
                <w:vertAlign w:val="superscript"/>
              </w:rPr>
              <w:t>(a)</w:t>
            </w:r>
          </w:p>
        </w:tc>
        <w:tc>
          <w:tcPr>
            <w:tcW w:w="265" w:type="pct"/>
          </w:tcPr>
          <w:p w14:paraId="1D672D26"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2,779</w:t>
            </w:r>
          </w:p>
        </w:tc>
        <w:tc>
          <w:tcPr>
            <w:tcW w:w="264" w:type="pct"/>
          </w:tcPr>
          <w:p w14:paraId="1A3BBA63"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47</w:t>
            </w:r>
          </w:p>
        </w:tc>
        <w:tc>
          <w:tcPr>
            <w:tcW w:w="463" w:type="pct"/>
          </w:tcPr>
          <w:p w14:paraId="006A288F"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Germany</w:t>
            </w:r>
          </w:p>
        </w:tc>
        <w:tc>
          <w:tcPr>
            <w:tcW w:w="331" w:type="pct"/>
          </w:tcPr>
          <w:p w14:paraId="03A29918"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662</w:t>
            </w:r>
          </w:p>
        </w:tc>
        <w:tc>
          <w:tcPr>
            <w:tcW w:w="251" w:type="pct"/>
          </w:tcPr>
          <w:p w14:paraId="0FD7E878"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21</w:t>
            </w:r>
          </w:p>
        </w:tc>
        <w:tc>
          <w:tcPr>
            <w:tcW w:w="410" w:type="pct"/>
          </w:tcPr>
          <w:p w14:paraId="68FDEBC9"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China</w:t>
            </w:r>
          </w:p>
        </w:tc>
        <w:tc>
          <w:tcPr>
            <w:tcW w:w="265" w:type="pct"/>
          </w:tcPr>
          <w:p w14:paraId="704B74AF"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783</w:t>
            </w:r>
          </w:p>
        </w:tc>
        <w:tc>
          <w:tcPr>
            <w:tcW w:w="211" w:type="pct"/>
          </w:tcPr>
          <w:p w14:paraId="19C85ADB"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35</w:t>
            </w:r>
          </w:p>
        </w:tc>
        <w:tc>
          <w:tcPr>
            <w:tcW w:w="557" w:type="pct"/>
          </w:tcPr>
          <w:p w14:paraId="36525202"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Saudi Arabia</w:t>
            </w:r>
          </w:p>
        </w:tc>
        <w:tc>
          <w:tcPr>
            <w:tcW w:w="265" w:type="pct"/>
          </w:tcPr>
          <w:p w14:paraId="0F20F763"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789</w:t>
            </w:r>
          </w:p>
        </w:tc>
        <w:tc>
          <w:tcPr>
            <w:tcW w:w="211" w:type="pct"/>
          </w:tcPr>
          <w:p w14:paraId="7EBF5093"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40</w:t>
            </w:r>
          </w:p>
        </w:tc>
      </w:tr>
      <w:tr w:rsidR="008B0834" w:rsidRPr="003527AA" w14:paraId="46E9F7EC" w14:textId="77777777" w:rsidTr="007D78CB">
        <w:tc>
          <w:tcPr>
            <w:cnfStyle w:val="001000000000" w:firstRow="0" w:lastRow="0" w:firstColumn="1" w:lastColumn="0" w:oddVBand="0" w:evenVBand="0" w:oddHBand="0" w:evenHBand="0" w:firstRowFirstColumn="0" w:firstRowLastColumn="0" w:lastRowFirstColumn="0" w:lastRowLastColumn="0"/>
            <w:tcW w:w="515" w:type="pct"/>
          </w:tcPr>
          <w:p w14:paraId="1D66B8E3" w14:textId="77777777" w:rsidR="008B0834" w:rsidRPr="009315FB" w:rsidRDefault="008B0834" w:rsidP="007D78CB">
            <w:pPr>
              <w:pStyle w:val="BodyText"/>
              <w:spacing w:after="0"/>
              <w:rPr>
                <w:rFonts w:cstheme="minorHAnsi"/>
                <w:b w:val="0"/>
                <w:bCs w:val="0"/>
                <w:color w:val="000000" w:themeColor="text1"/>
                <w:sz w:val="14"/>
                <w:szCs w:val="14"/>
              </w:rPr>
            </w:pPr>
            <w:r w:rsidRPr="009315FB">
              <w:rPr>
                <w:rFonts w:cstheme="minorHAnsi"/>
                <w:b w:val="0"/>
                <w:bCs w:val="0"/>
                <w:color w:val="000000" w:themeColor="text1"/>
                <w:sz w:val="14"/>
                <w:szCs w:val="14"/>
              </w:rPr>
              <w:t>Indonesia</w:t>
            </w:r>
          </w:p>
        </w:tc>
        <w:tc>
          <w:tcPr>
            <w:tcW w:w="199" w:type="pct"/>
          </w:tcPr>
          <w:p w14:paraId="08CF9AA9"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1,170</w:t>
            </w:r>
          </w:p>
        </w:tc>
        <w:tc>
          <w:tcPr>
            <w:tcW w:w="265" w:type="pct"/>
          </w:tcPr>
          <w:p w14:paraId="1F6CEFBB"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18</w:t>
            </w:r>
          </w:p>
        </w:tc>
        <w:tc>
          <w:tcPr>
            <w:tcW w:w="527" w:type="pct"/>
          </w:tcPr>
          <w:p w14:paraId="3135A476"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Japan</w:t>
            </w:r>
          </w:p>
        </w:tc>
        <w:tc>
          <w:tcPr>
            <w:tcW w:w="265" w:type="pct"/>
          </w:tcPr>
          <w:p w14:paraId="71F3204D"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801</w:t>
            </w:r>
          </w:p>
        </w:tc>
        <w:tc>
          <w:tcPr>
            <w:tcW w:w="264" w:type="pct"/>
          </w:tcPr>
          <w:p w14:paraId="172B1739"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13</w:t>
            </w:r>
          </w:p>
        </w:tc>
        <w:tc>
          <w:tcPr>
            <w:tcW w:w="463" w:type="pct"/>
          </w:tcPr>
          <w:p w14:paraId="6B2692E3"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UAE</w:t>
            </w:r>
          </w:p>
        </w:tc>
        <w:tc>
          <w:tcPr>
            <w:tcW w:w="331" w:type="pct"/>
          </w:tcPr>
          <w:p w14:paraId="41DDFC9C"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537</w:t>
            </w:r>
          </w:p>
        </w:tc>
        <w:tc>
          <w:tcPr>
            <w:tcW w:w="251" w:type="pct"/>
          </w:tcPr>
          <w:p w14:paraId="7C30C71B"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17</w:t>
            </w:r>
          </w:p>
        </w:tc>
        <w:tc>
          <w:tcPr>
            <w:tcW w:w="410" w:type="pct"/>
          </w:tcPr>
          <w:p w14:paraId="76536039"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Malaysia</w:t>
            </w:r>
          </w:p>
        </w:tc>
        <w:tc>
          <w:tcPr>
            <w:tcW w:w="265" w:type="pct"/>
          </w:tcPr>
          <w:p w14:paraId="779F7000"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262</w:t>
            </w:r>
          </w:p>
        </w:tc>
        <w:tc>
          <w:tcPr>
            <w:tcW w:w="211" w:type="pct"/>
          </w:tcPr>
          <w:p w14:paraId="3A98B599"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12</w:t>
            </w:r>
          </w:p>
        </w:tc>
        <w:tc>
          <w:tcPr>
            <w:tcW w:w="557" w:type="pct"/>
          </w:tcPr>
          <w:p w14:paraId="0F7B8354"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Japan</w:t>
            </w:r>
          </w:p>
        </w:tc>
        <w:tc>
          <w:tcPr>
            <w:tcW w:w="265" w:type="pct"/>
          </w:tcPr>
          <w:p w14:paraId="1069F1B4"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354</w:t>
            </w:r>
          </w:p>
        </w:tc>
        <w:tc>
          <w:tcPr>
            <w:tcW w:w="211" w:type="pct"/>
          </w:tcPr>
          <w:p w14:paraId="4B6A451B"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18</w:t>
            </w:r>
          </w:p>
        </w:tc>
      </w:tr>
      <w:tr w:rsidR="008B0834" w:rsidRPr="003527AA" w14:paraId="2B3F30A4" w14:textId="77777777" w:rsidTr="007D7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pct"/>
          </w:tcPr>
          <w:p w14:paraId="18D8EDC8" w14:textId="77777777" w:rsidR="008B0834" w:rsidRPr="009315FB" w:rsidRDefault="008B0834" w:rsidP="007D78CB">
            <w:pPr>
              <w:pStyle w:val="BodyText"/>
              <w:spacing w:after="0"/>
              <w:rPr>
                <w:rFonts w:cstheme="minorHAnsi"/>
                <w:b w:val="0"/>
                <w:bCs w:val="0"/>
                <w:color w:val="000000" w:themeColor="text1"/>
                <w:sz w:val="14"/>
                <w:szCs w:val="14"/>
              </w:rPr>
            </w:pPr>
            <w:r w:rsidRPr="009315FB">
              <w:rPr>
                <w:rFonts w:cstheme="minorHAnsi"/>
                <w:b w:val="0"/>
                <w:bCs w:val="0"/>
                <w:color w:val="000000" w:themeColor="text1"/>
                <w:sz w:val="14"/>
                <w:szCs w:val="14"/>
              </w:rPr>
              <w:t>Philippines</w:t>
            </w:r>
          </w:p>
        </w:tc>
        <w:tc>
          <w:tcPr>
            <w:tcW w:w="199" w:type="pct"/>
          </w:tcPr>
          <w:p w14:paraId="5526CB5A"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801</w:t>
            </w:r>
          </w:p>
        </w:tc>
        <w:tc>
          <w:tcPr>
            <w:tcW w:w="265" w:type="pct"/>
          </w:tcPr>
          <w:p w14:paraId="4C54104A"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12</w:t>
            </w:r>
          </w:p>
        </w:tc>
        <w:tc>
          <w:tcPr>
            <w:tcW w:w="527" w:type="pct"/>
          </w:tcPr>
          <w:p w14:paraId="5001C37E"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South Korea</w:t>
            </w:r>
          </w:p>
        </w:tc>
        <w:tc>
          <w:tcPr>
            <w:tcW w:w="265" w:type="pct"/>
          </w:tcPr>
          <w:p w14:paraId="6EB5A617"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708</w:t>
            </w:r>
          </w:p>
        </w:tc>
        <w:tc>
          <w:tcPr>
            <w:tcW w:w="264" w:type="pct"/>
          </w:tcPr>
          <w:p w14:paraId="49B1C115"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12</w:t>
            </w:r>
          </w:p>
        </w:tc>
        <w:tc>
          <w:tcPr>
            <w:tcW w:w="463" w:type="pct"/>
          </w:tcPr>
          <w:p w14:paraId="43491EDE"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Belgium</w:t>
            </w:r>
          </w:p>
        </w:tc>
        <w:tc>
          <w:tcPr>
            <w:tcW w:w="331" w:type="pct"/>
          </w:tcPr>
          <w:p w14:paraId="6731F520"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489</w:t>
            </w:r>
          </w:p>
        </w:tc>
        <w:tc>
          <w:tcPr>
            <w:tcW w:w="251" w:type="pct"/>
          </w:tcPr>
          <w:p w14:paraId="0295BB99"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15</w:t>
            </w:r>
          </w:p>
        </w:tc>
        <w:tc>
          <w:tcPr>
            <w:tcW w:w="410" w:type="pct"/>
          </w:tcPr>
          <w:p w14:paraId="454A906F"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Spain</w:t>
            </w:r>
          </w:p>
        </w:tc>
        <w:tc>
          <w:tcPr>
            <w:tcW w:w="265" w:type="pct"/>
          </w:tcPr>
          <w:p w14:paraId="5893C07A"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196</w:t>
            </w:r>
          </w:p>
        </w:tc>
        <w:tc>
          <w:tcPr>
            <w:tcW w:w="211" w:type="pct"/>
          </w:tcPr>
          <w:p w14:paraId="374BE41C"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9</w:t>
            </w:r>
          </w:p>
        </w:tc>
        <w:tc>
          <w:tcPr>
            <w:tcW w:w="557" w:type="pct"/>
          </w:tcPr>
          <w:p w14:paraId="757ACD33"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Kuwait</w:t>
            </w:r>
          </w:p>
        </w:tc>
        <w:tc>
          <w:tcPr>
            <w:tcW w:w="265" w:type="pct"/>
          </w:tcPr>
          <w:p w14:paraId="031F253A"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145</w:t>
            </w:r>
          </w:p>
        </w:tc>
        <w:tc>
          <w:tcPr>
            <w:tcW w:w="211" w:type="pct"/>
          </w:tcPr>
          <w:p w14:paraId="5CE3D3BF"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7</w:t>
            </w:r>
          </w:p>
        </w:tc>
      </w:tr>
      <w:tr w:rsidR="008B0834" w:rsidRPr="003527AA" w14:paraId="668A47F7" w14:textId="77777777" w:rsidTr="007D78CB">
        <w:tc>
          <w:tcPr>
            <w:cnfStyle w:val="001000000000" w:firstRow="0" w:lastRow="0" w:firstColumn="1" w:lastColumn="0" w:oddVBand="0" w:evenVBand="0" w:oddHBand="0" w:evenHBand="0" w:firstRowFirstColumn="0" w:firstRowLastColumn="0" w:lastRowFirstColumn="0" w:lastRowLastColumn="0"/>
            <w:tcW w:w="515" w:type="pct"/>
          </w:tcPr>
          <w:p w14:paraId="3239BD6D" w14:textId="77777777" w:rsidR="008B0834" w:rsidRPr="009315FB" w:rsidRDefault="008B0834" w:rsidP="007D78CB">
            <w:pPr>
              <w:pStyle w:val="BodyText"/>
              <w:spacing w:after="0"/>
              <w:rPr>
                <w:rFonts w:cstheme="minorHAnsi"/>
                <w:b w:val="0"/>
                <w:bCs w:val="0"/>
                <w:color w:val="000000" w:themeColor="text1"/>
                <w:sz w:val="14"/>
                <w:szCs w:val="14"/>
              </w:rPr>
            </w:pPr>
            <w:r w:rsidRPr="009315FB">
              <w:rPr>
                <w:rFonts w:cstheme="minorHAnsi"/>
                <w:b w:val="0"/>
                <w:bCs w:val="0"/>
                <w:color w:val="000000" w:themeColor="text1"/>
                <w:sz w:val="14"/>
                <w:szCs w:val="14"/>
              </w:rPr>
              <w:t>South Korea</w:t>
            </w:r>
          </w:p>
        </w:tc>
        <w:tc>
          <w:tcPr>
            <w:tcW w:w="199" w:type="pct"/>
          </w:tcPr>
          <w:p w14:paraId="6C24BAC3"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722</w:t>
            </w:r>
          </w:p>
        </w:tc>
        <w:tc>
          <w:tcPr>
            <w:tcW w:w="265" w:type="pct"/>
          </w:tcPr>
          <w:p w14:paraId="581DC592"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11</w:t>
            </w:r>
          </w:p>
        </w:tc>
        <w:tc>
          <w:tcPr>
            <w:tcW w:w="527" w:type="pct"/>
          </w:tcPr>
          <w:p w14:paraId="09316043"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Netherlands</w:t>
            </w:r>
          </w:p>
        </w:tc>
        <w:tc>
          <w:tcPr>
            <w:tcW w:w="265" w:type="pct"/>
          </w:tcPr>
          <w:p w14:paraId="4646A53C"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560</w:t>
            </w:r>
          </w:p>
        </w:tc>
        <w:tc>
          <w:tcPr>
            <w:tcW w:w="264" w:type="pct"/>
          </w:tcPr>
          <w:p w14:paraId="1F3DBFCC"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9</w:t>
            </w:r>
          </w:p>
        </w:tc>
        <w:tc>
          <w:tcPr>
            <w:tcW w:w="463" w:type="pct"/>
          </w:tcPr>
          <w:p w14:paraId="1EF3B626"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France</w:t>
            </w:r>
          </w:p>
        </w:tc>
        <w:tc>
          <w:tcPr>
            <w:tcW w:w="331" w:type="pct"/>
          </w:tcPr>
          <w:p w14:paraId="069F9CC3"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408</w:t>
            </w:r>
          </w:p>
        </w:tc>
        <w:tc>
          <w:tcPr>
            <w:tcW w:w="251" w:type="pct"/>
          </w:tcPr>
          <w:p w14:paraId="344D86DC"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13</w:t>
            </w:r>
          </w:p>
        </w:tc>
        <w:tc>
          <w:tcPr>
            <w:tcW w:w="410" w:type="pct"/>
          </w:tcPr>
          <w:p w14:paraId="1D3B6B3C"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USA</w:t>
            </w:r>
          </w:p>
        </w:tc>
        <w:tc>
          <w:tcPr>
            <w:tcW w:w="265" w:type="pct"/>
          </w:tcPr>
          <w:p w14:paraId="0B8D90F3"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163</w:t>
            </w:r>
          </w:p>
        </w:tc>
        <w:tc>
          <w:tcPr>
            <w:tcW w:w="211" w:type="pct"/>
          </w:tcPr>
          <w:p w14:paraId="50FE7DF0"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7</w:t>
            </w:r>
          </w:p>
        </w:tc>
        <w:tc>
          <w:tcPr>
            <w:tcW w:w="557" w:type="pct"/>
          </w:tcPr>
          <w:p w14:paraId="4E323ADA"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Vietnam</w:t>
            </w:r>
          </w:p>
        </w:tc>
        <w:tc>
          <w:tcPr>
            <w:tcW w:w="265" w:type="pct"/>
          </w:tcPr>
          <w:p w14:paraId="78088ECA"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139</w:t>
            </w:r>
          </w:p>
        </w:tc>
        <w:tc>
          <w:tcPr>
            <w:tcW w:w="211" w:type="pct"/>
          </w:tcPr>
          <w:p w14:paraId="7B5AD42A"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7</w:t>
            </w:r>
          </w:p>
        </w:tc>
      </w:tr>
      <w:tr w:rsidR="008B0834" w:rsidRPr="003527AA" w14:paraId="0C8B738E" w14:textId="77777777" w:rsidTr="007D7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pct"/>
          </w:tcPr>
          <w:p w14:paraId="61F7C08B" w14:textId="77777777" w:rsidR="008B0834" w:rsidRPr="009315FB" w:rsidRDefault="008B0834" w:rsidP="007D78CB">
            <w:pPr>
              <w:pStyle w:val="BodyText"/>
              <w:spacing w:after="0"/>
              <w:rPr>
                <w:rFonts w:cstheme="minorHAnsi"/>
                <w:b w:val="0"/>
                <w:bCs w:val="0"/>
                <w:color w:val="000000" w:themeColor="text1"/>
                <w:sz w:val="14"/>
                <w:szCs w:val="14"/>
              </w:rPr>
            </w:pPr>
            <w:r w:rsidRPr="009315FB">
              <w:rPr>
                <w:rFonts w:cstheme="minorHAnsi"/>
                <w:b w:val="0"/>
                <w:bCs w:val="0"/>
                <w:color w:val="000000" w:themeColor="text1"/>
                <w:sz w:val="14"/>
                <w:szCs w:val="14"/>
              </w:rPr>
              <w:t>Japan</w:t>
            </w:r>
          </w:p>
        </w:tc>
        <w:tc>
          <w:tcPr>
            <w:tcW w:w="199" w:type="pct"/>
          </w:tcPr>
          <w:p w14:paraId="78A29153"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583</w:t>
            </w:r>
          </w:p>
        </w:tc>
        <w:tc>
          <w:tcPr>
            <w:tcW w:w="265" w:type="pct"/>
          </w:tcPr>
          <w:p w14:paraId="0FAE0E86"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9</w:t>
            </w:r>
          </w:p>
        </w:tc>
        <w:tc>
          <w:tcPr>
            <w:tcW w:w="527" w:type="pct"/>
          </w:tcPr>
          <w:p w14:paraId="236FD76A"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Norway</w:t>
            </w:r>
          </w:p>
        </w:tc>
        <w:tc>
          <w:tcPr>
            <w:tcW w:w="265" w:type="pct"/>
          </w:tcPr>
          <w:p w14:paraId="14A7C1D8"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396</w:t>
            </w:r>
          </w:p>
        </w:tc>
        <w:tc>
          <w:tcPr>
            <w:tcW w:w="264" w:type="pct"/>
          </w:tcPr>
          <w:p w14:paraId="02C44820"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7</w:t>
            </w:r>
          </w:p>
        </w:tc>
        <w:tc>
          <w:tcPr>
            <w:tcW w:w="463" w:type="pct"/>
          </w:tcPr>
          <w:p w14:paraId="3F0FA022"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Netherlands</w:t>
            </w:r>
          </w:p>
        </w:tc>
        <w:tc>
          <w:tcPr>
            <w:tcW w:w="331" w:type="pct"/>
          </w:tcPr>
          <w:p w14:paraId="557F0E25"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406</w:t>
            </w:r>
          </w:p>
        </w:tc>
        <w:tc>
          <w:tcPr>
            <w:tcW w:w="251" w:type="pct"/>
          </w:tcPr>
          <w:p w14:paraId="064E9177"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13</w:t>
            </w:r>
          </w:p>
        </w:tc>
        <w:tc>
          <w:tcPr>
            <w:tcW w:w="410" w:type="pct"/>
          </w:tcPr>
          <w:p w14:paraId="0F2F248D"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Mexico</w:t>
            </w:r>
          </w:p>
        </w:tc>
        <w:tc>
          <w:tcPr>
            <w:tcW w:w="265" w:type="pct"/>
          </w:tcPr>
          <w:p w14:paraId="1E99F00B"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109</w:t>
            </w:r>
          </w:p>
        </w:tc>
        <w:tc>
          <w:tcPr>
            <w:tcW w:w="211" w:type="pct"/>
          </w:tcPr>
          <w:p w14:paraId="129AA007"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5</w:t>
            </w:r>
          </w:p>
        </w:tc>
        <w:tc>
          <w:tcPr>
            <w:tcW w:w="557" w:type="pct"/>
          </w:tcPr>
          <w:p w14:paraId="50F9F1B3"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Jordan</w:t>
            </w:r>
          </w:p>
        </w:tc>
        <w:tc>
          <w:tcPr>
            <w:tcW w:w="265" w:type="pct"/>
          </w:tcPr>
          <w:p w14:paraId="1FBA52F8"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110</w:t>
            </w:r>
          </w:p>
        </w:tc>
        <w:tc>
          <w:tcPr>
            <w:tcW w:w="211" w:type="pct"/>
          </w:tcPr>
          <w:p w14:paraId="4A0DBFFF"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6</w:t>
            </w:r>
          </w:p>
        </w:tc>
      </w:tr>
      <w:tr w:rsidR="008B0834" w:rsidRPr="003527AA" w14:paraId="7408A95A" w14:textId="77777777" w:rsidTr="007D78CB">
        <w:tc>
          <w:tcPr>
            <w:cnfStyle w:val="001000000000" w:firstRow="0" w:lastRow="0" w:firstColumn="1" w:lastColumn="0" w:oddVBand="0" w:evenVBand="0" w:oddHBand="0" w:evenHBand="0" w:firstRowFirstColumn="0" w:firstRowLastColumn="0" w:lastRowFirstColumn="0" w:lastRowLastColumn="0"/>
            <w:tcW w:w="515" w:type="pct"/>
          </w:tcPr>
          <w:p w14:paraId="5CDCC0DD" w14:textId="77777777" w:rsidR="008B0834" w:rsidRPr="009315FB" w:rsidRDefault="008B0834" w:rsidP="007D78CB">
            <w:pPr>
              <w:pStyle w:val="BodyText"/>
              <w:spacing w:after="0"/>
              <w:rPr>
                <w:rFonts w:cstheme="minorHAnsi"/>
                <w:b w:val="0"/>
                <w:color w:val="000000" w:themeColor="text1"/>
                <w:sz w:val="14"/>
                <w:szCs w:val="14"/>
              </w:rPr>
            </w:pPr>
            <w:r w:rsidRPr="009315FB">
              <w:rPr>
                <w:rFonts w:cstheme="minorHAnsi"/>
                <w:b w:val="0"/>
                <w:color w:val="000000" w:themeColor="text1"/>
                <w:sz w:val="14"/>
                <w:szCs w:val="14"/>
              </w:rPr>
              <w:t>Other</w:t>
            </w:r>
          </w:p>
        </w:tc>
        <w:tc>
          <w:tcPr>
            <w:tcW w:w="199" w:type="pct"/>
          </w:tcPr>
          <w:p w14:paraId="1BDFB38E"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1,672</w:t>
            </w:r>
          </w:p>
        </w:tc>
        <w:tc>
          <w:tcPr>
            <w:tcW w:w="265" w:type="pct"/>
          </w:tcPr>
          <w:p w14:paraId="6FF81D2F"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25</w:t>
            </w:r>
          </w:p>
        </w:tc>
        <w:tc>
          <w:tcPr>
            <w:tcW w:w="527" w:type="pct"/>
          </w:tcPr>
          <w:p w14:paraId="1C8482AC"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Other</w:t>
            </w:r>
          </w:p>
        </w:tc>
        <w:tc>
          <w:tcPr>
            <w:tcW w:w="265" w:type="pct"/>
          </w:tcPr>
          <w:p w14:paraId="2295B7DC"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721</w:t>
            </w:r>
          </w:p>
        </w:tc>
        <w:tc>
          <w:tcPr>
            <w:tcW w:w="264" w:type="pct"/>
          </w:tcPr>
          <w:p w14:paraId="64BB2F50"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12</w:t>
            </w:r>
          </w:p>
        </w:tc>
        <w:tc>
          <w:tcPr>
            <w:tcW w:w="463" w:type="pct"/>
          </w:tcPr>
          <w:p w14:paraId="7C12F955"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Other</w:t>
            </w:r>
          </w:p>
        </w:tc>
        <w:tc>
          <w:tcPr>
            <w:tcW w:w="331" w:type="pct"/>
          </w:tcPr>
          <w:p w14:paraId="7EF439F2"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697</w:t>
            </w:r>
          </w:p>
        </w:tc>
        <w:tc>
          <w:tcPr>
            <w:tcW w:w="251" w:type="pct"/>
          </w:tcPr>
          <w:p w14:paraId="7A5FF3B8"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22</w:t>
            </w:r>
          </w:p>
        </w:tc>
        <w:tc>
          <w:tcPr>
            <w:tcW w:w="410" w:type="pct"/>
          </w:tcPr>
          <w:p w14:paraId="4E15CEF5"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Other</w:t>
            </w:r>
          </w:p>
        </w:tc>
        <w:tc>
          <w:tcPr>
            <w:tcW w:w="265" w:type="pct"/>
          </w:tcPr>
          <w:p w14:paraId="35B1633F"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700</w:t>
            </w:r>
          </w:p>
        </w:tc>
        <w:tc>
          <w:tcPr>
            <w:tcW w:w="211" w:type="pct"/>
          </w:tcPr>
          <w:p w14:paraId="71394458"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32</w:t>
            </w:r>
          </w:p>
        </w:tc>
        <w:tc>
          <w:tcPr>
            <w:tcW w:w="557" w:type="pct"/>
          </w:tcPr>
          <w:p w14:paraId="3CFFE9B7" w14:textId="77777777" w:rsidR="008B0834" w:rsidRPr="009315FB" w:rsidRDefault="008B0834" w:rsidP="007D78CB">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Other</w:t>
            </w:r>
          </w:p>
        </w:tc>
        <w:tc>
          <w:tcPr>
            <w:tcW w:w="265" w:type="pct"/>
          </w:tcPr>
          <w:p w14:paraId="40B5F429"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436</w:t>
            </w:r>
          </w:p>
        </w:tc>
        <w:tc>
          <w:tcPr>
            <w:tcW w:w="211" w:type="pct"/>
          </w:tcPr>
          <w:p w14:paraId="1F64AB34" w14:textId="77777777" w:rsidR="008B0834" w:rsidRPr="009315FB"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9315FB">
              <w:rPr>
                <w:rFonts w:cstheme="minorHAnsi"/>
                <w:color w:val="000000" w:themeColor="text1"/>
                <w:sz w:val="14"/>
                <w:szCs w:val="14"/>
              </w:rPr>
              <w:t>22</w:t>
            </w:r>
          </w:p>
        </w:tc>
      </w:tr>
      <w:tr w:rsidR="008B0834" w:rsidRPr="003527AA" w14:paraId="1B00045C" w14:textId="77777777" w:rsidTr="007D7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pct"/>
          </w:tcPr>
          <w:p w14:paraId="0B55DC22" w14:textId="77777777" w:rsidR="008B0834" w:rsidRPr="009315FB" w:rsidRDefault="008B0834" w:rsidP="007D78CB">
            <w:pPr>
              <w:pStyle w:val="BodyText"/>
              <w:spacing w:after="0"/>
              <w:rPr>
                <w:rFonts w:cstheme="minorHAnsi"/>
                <w:color w:val="000000" w:themeColor="text1"/>
                <w:sz w:val="14"/>
                <w:szCs w:val="14"/>
              </w:rPr>
            </w:pPr>
            <w:r w:rsidRPr="009315FB">
              <w:rPr>
                <w:rFonts w:cstheme="minorHAnsi"/>
                <w:color w:val="000000" w:themeColor="text1"/>
                <w:sz w:val="14"/>
                <w:szCs w:val="14"/>
              </w:rPr>
              <w:t>Total</w:t>
            </w:r>
          </w:p>
        </w:tc>
        <w:tc>
          <w:tcPr>
            <w:tcW w:w="199" w:type="pct"/>
          </w:tcPr>
          <w:p w14:paraId="77EAB055"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6,648</w:t>
            </w:r>
          </w:p>
        </w:tc>
        <w:tc>
          <w:tcPr>
            <w:tcW w:w="265" w:type="pct"/>
          </w:tcPr>
          <w:p w14:paraId="017B9EA0"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100</w:t>
            </w:r>
          </w:p>
        </w:tc>
        <w:tc>
          <w:tcPr>
            <w:tcW w:w="527" w:type="pct"/>
          </w:tcPr>
          <w:p w14:paraId="7E810968"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Total</w:t>
            </w:r>
          </w:p>
        </w:tc>
        <w:tc>
          <w:tcPr>
            <w:tcW w:w="265" w:type="pct"/>
          </w:tcPr>
          <w:p w14:paraId="3752DE35"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5,964</w:t>
            </w:r>
          </w:p>
        </w:tc>
        <w:tc>
          <w:tcPr>
            <w:tcW w:w="264" w:type="pct"/>
          </w:tcPr>
          <w:p w14:paraId="01236D33"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100</w:t>
            </w:r>
          </w:p>
        </w:tc>
        <w:tc>
          <w:tcPr>
            <w:tcW w:w="463" w:type="pct"/>
          </w:tcPr>
          <w:p w14:paraId="4720FE1E"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Total</w:t>
            </w:r>
          </w:p>
        </w:tc>
        <w:tc>
          <w:tcPr>
            <w:tcW w:w="331" w:type="pct"/>
          </w:tcPr>
          <w:p w14:paraId="57C18E67"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3,199</w:t>
            </w:r>
          </w:p>
        </w:tc>
        <w:tc>
          <w:tcPr>
            <w:tcW w:w="251" w:type="pct"/>
          </w:tcPr>
          <w:p w14:paraId="3780F1FD"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100</w:t>
            </w:r>
          </w:p>
        </w:tc>
        <w:tc>
          <w:tcPr>
            <w:tcW w:w="410" w:type="pct"/>
          </w:tcPr>
          <w:p w14:paraId="68D05851"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Total</w:t>
            </w:r>
          </w:p>
        </w:tc>
        <w:tc>
          <w:tcPr>
            <w:tcW w:w="265" w:type="pct"/>
          </w:tcPr>
          <w:p w14:paraId="1BD8FA5D"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2,214</w:t>
            </w:r>
          </w:p>
        </w:tc>
        <w:tc>
          <w:tcPr>
            <w:tcW w:w="211" w:type="pct"/>
          </w:tcPr>
          <w:p w14:paraId="6E097A94"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100</w:t>
            </w:r>
          </w:p>
        </w:tc>
        <w:tc>
          <w:tcPr>
            <w:tcW w:w="557" w:type="pct"/>
          </w:tcPr>
          <w:p w14:paraId="7CB073D4" w14:textId="77777777" w:rsidR="008B0834" w:rsidRPr="009315FB" w:rsidRDefault="008B0834" w:rsidP="007D78CB">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Total</w:t>
            </w:r>
          </w:p>
        </w:tc>
        <w:tc>
          <w:tcPr>
            <w:tcW w:w="265" w:type="pct"/>
          </w:tcPr>
          <w:p w14:paraId="185873CB"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1,972</w:t>
            </w:r>
          </w:p>
        </w:tc>
        <w:tc>
          <w:tcPr>
            <w:tcW w:w="211" w:type="pct"/>
          </w:tcPr>
          <w:p w14:paraId="145EFC41" w14:textId="77777777" w:rsidR="008B0834" w:rsidRPr="009315FB"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14"/>
                <w:szCs w:val="14"/>
              </w:rPr>
            </w:pPr>
            <w:r w:rsidRPr="009315FB">
              <w:rPr>
                <w:rFonts w:cstheme="minorHAnsi"/>
                <w:b/>
                <w:color w:val="000000" w:themeColor="text1"/>
                <w:sz w:val="14"/>
                <w:szCs w:val="14"/>
              </w:rPr>
              <w:t>100</w:t>
            </w:r>
          </w:p>
        </w:tc>
      </w:tr>
    </w:tbl>
    <w:p w14:paraId="6AB4007B" w14:textId="77777777" w:rsidR="008B0834" w:rsidRPr="009315FB" w:rsidRDefault="008B0834" w:rsidP="008B0834">
      <w:pPr>
        <w:spacing w:after="0"/>
        <w:jc w:val="both"/>
        <w:rPr>
          <w:color w:val="000000" w:themeColor="text1"/>
          <w:sz w:val="10"/>
        </w:rPr>
      </w:pPr>
      <w:r w:rsidRPr="009315FB">
        <w:rPr>
          <w:color w:val="000000" w:themeColor="text1"/>
          <w:sz w:val="10"/>
        </w:rPr>
        <w:br/>
        <w:t xml:space="preserve">Note – Components may not add to totals due to rounding. </w:t>
      </w:r>
      <w:r w:rsidRPr="009315FB">
        <w:rPr>
          <w:color w:val="000000" w:themeColor="text1"/>
          <w:sz w:val="10"/>
          <w:vertAlign w:val="superscript"/>
        </w:rPr>
        <w:t>1</w:t>
      </w:r>
      <w:r w:rsidRPr="009315FB">
        <w:rPr>
          <w:color w:val="000000" w:themeColor="text1"/>
          <w:sz w:val="10"/>
        </w:rPr>
        <w:t xml:space="preserve"> Nominal or not adjusted for price changes. Original series. </w:t>
      </w:r>
      <w:r w:rsidRPr="009315FB">
        <w:rPr>
          <w:color w:val="000000" w:themeColor="text1"/>
          <w:sz w:val="10"/>
          <w:vertAlign w:val="superscript"/>
        </w:rPr>
        <w:t>2</w:t>
      </w:r>
      <w:r w:rsidRPr="009315FB">
        <w:rPr>
          <w:color w:val="000000" w:themeColor="text1"/>
          <w:sz w:val="10"/>
        </w:rPr>
        <w:t xml:space="preserve"> LNG, condensate, crude oil and LPG. JTSI estimates.</w:t>
      </w:r>
      <w:r w:rsidRPr="009315FB">
        <w:rPr>
          <w:color w:val="000000" w:themeColor="text1"/>
          <w:sz w:val="10"/>
          <w:vertAlign w:val="superscript"/>
        </w:rPr>
        <w:t>3</w:t>
      </w:r>
      <w:r w:rsidRPr="009315FB">
        <w:rPr>
          <w:color w:val="000000" w:themeColor="text1"/>
          <w:sz w:val="10"/>
        </w:rPr>
        <w:t xml:space="preserve"> Non-monetary, ore and coin. May include other precious metal ores. </w:t>
      </w:r>
      <w:r w:rsidRPr="009315FB">
        <w:rPr>
          <w:color w:val="000000" w:themeColor="text1"/>
          <w:sz w:val="10"/>
          <w:vertAlign w:val="superscript"/>
        </w:rPr>
        <w:t>4</w:t>
      </w:r>
      <w:r w:rsidRPr="009315FB">
        <w:rPr>
          <w:color w:val="000000" w:themeColor="text1"/>
          <w:sz w:val="10"/>
        </w:rPr>
        <w:t xml:space="preserve"> Spodumene concentrate. May include some other crude minerals. </w:t>
      </w:r>
      <w:r w:rsidRPr="009315FB">
        <w:rPr>
          <w:color w:val="000000" w:themeColor="text1"/>
          <w:sz w:val="10"/>
          <w:vertAlign w:val="superscript"/>
        </w:rPr>
        <w:t xml:space="preserve">5 </w:t>
      </w:r>
      <w:r w:rsidRPr="009315FB">
        <w:rPr>
          <w:color w:val="000000" w:themeColor="text1"/>
          <w:sz w:val="10"/>
        </w:rPr>
        <w:t xml:space="preserve">Includes bauxite.  </w:t>
      </w:r>
      <w:r w:rsidRPr="009315FB">
        <w:rPr>
          <w:color w:val="000000" w:themeColor="text1"/>
          <w:sz w:val="10"/>
          <w:vertAlign w:val="superscript"/>
        </w:rPr>
        <w:t xml:space="preserve">6 </w:t>
      </w:r>
      <w:r w:rsidRPr="009315FB">
        <w:rPr>
          <w:color w:val="000000" w:themeColor="text1"/>
          <w:sz w:val="10"/>
        </w:rPr>
        <w:t>JTSI estimates. (a) Mainland. (b) Special Administrative Region of China.</w:t>
      </w:r>
    </w:p>
    <w:p w14:paraId="16835E54" w14:textId="7955688A" w:rsidR="008B0834" w:rsidRPr="009315FB" w:rsidRDefault="008B0834" w:rsidP="008B0834">
      <w:pPr>
        <w:spacing w:after="0"/>
        <w:jc w:val="both"/>
        <w:rPr>
          <w:color w:val="000000" w:themeColor="text1"/>
          <w:sz w:val="10"/>
        </w:rPr>
      </w:pPr>
      <w:r w:rsidRPr="009315FB">
        <w:rPr>
          <w:color w:val="000000" w:themeColor="text1"/>
          <w:sz w:val="10"/>
        </w:rPr>
        <w:t xml:space="preserve">Source: Based on data from ABS 5368.0 International Trade in Goods and Services, Australia </w:t>
      </w:r>
      <w:r w:rsidRPr="00D85AB5">
        <w:rPr>
          <w:sz w:val="10"/>
        </w:rPr>
        <w:t xml:space="preserve">(Monthly), as at </w:t>
      </w:r>
      <w:r w:rsidR="00E55FFF" w:rsidRPr="00D85AB5">
        <w:rPr>
          <w:sz w:val="10"/>
        </w:rPr>
        <w:t>June </w:t>
      </w:r>
      <w:r w:rsidRPr="00D85AB5">
        <w:rPr>
          <w:sz w:val="10"/>
        </w:rPr>
        <w:t xml:space="preserve">2023; WA </w:t>
      </w:r>
      <w:r w:rsidRPr="009315FB">
        <w:rPr>
          <w:color w:val="000000" w:themeColor="text1"/>
          <w:sz w:val="10"/>
        </w:rPr>
        <w:t>Department of Mines, Industry Regulation and Safety, Resource Data Files (Bi-annual), and WA Department of Jobs, Tourism, Science and Innovation.</w:t>
      </w:r>
    </w:p>
    <w:p w14:paraId="48C688B8" w14:textId="77777777" w:rsidR="008B0834" w:rsidRDefault="008B0834" w:rsidP="008B0834">
      <w:pPr>
        <w:jc w:val="both"/>
        <w:rPr>
          <w:sz w:val="16"/>
        </w:rPr>
        <w:sectPr w:rsidR="008B0834" w:rsidSect="00E106CB">
          <w:type w:val="continuous"/>
          <w:pgSz w:w="11907" w:h="16840" w:code="9"/>
          <w:pgMar w:top="1701" w:right="720" w:bottom="720" w:left="720" w:header="709" w:footer="709" w:gutter="0"/>
          <w:cols w:space="284"/>
          <w:docGrid w:linePitch="360"/>
        </w:sectPr>
      </w:pPr>
    </w:p>
    <w:p w14:paraId="0377CA46" w14:textId="77777777" w:rsidR="008B0834" w:rsidRDefault="008B0834" w:rsidP="008B0834">
      <w:pPr>
        <w:jc w:val="both"/>
        <w:rPr>
          <w:sz w:val="16"/>
        </w:rPr>
      </w:pPr>
      <w:r>
        <w:rPr>
          <w:sz w:val="16"/>
        </w:rPr>
        <w:br w:type="page"/>
      </w:r>
    </w:p>
    <w:p w14:paraId="25978139" w14:textId="77777777" w:rsidR="008B0834" w:rsidRPr="00DD5DF4" w:rsidRDefault="008B0834" w:rsidP="008B0834">
      <w:pPr>
        <w:pStyle w:val="BodyText"/>
        <w:spacing w:after="0"/>
        <w:rPr>
          <w:b/>
          <w:color w:val="002060"/>
          <w:sz w:val="22"/>
        </w:rPr>
      </w:pPr>
      <w:bookmarkStart w:id="3" w:name="_SINGAPORE"/>
      <w:bookmarkEnd w:id="3"/>
      <w:r w:rsidRPr="00DD5DF4">
        <w:rPr>
          <w:b/>
          <w:color w:val="002060"/>
          <w:sz w:val="22"/>
        </w:rPr>
        <w:lastRenderedPageBreak/>
        <w:t>International trade</w:t>
      </w:r>
    </w:p>
    <w:p w14:paraId="40453E79"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exports of services</w:t>
      </w:r>
      <w:r w:rsidRPr="00020369">
        <w:rPr>
          <w:b/>
          <w:color w:val="92278F" w:themeColor="accent1"/>
          <w:sz w:val="20"/>
          <w:vertAlign w:val="superscript"/>
        </w:rPr>
        <w:t>1</w:t>
      </w:r>
    </w:p>
    <w:p w14:paraId="3B7A8ED6" w14:textId="475EB1BE" w:rsidR="008B0834" w:rsidRDefault="008C67E6" w:rsidP="008B0834">
      <w:pPr>
        <w:spacing w:after="0"/>
        <w:jc w:val="both"/>
        <w:rPr>
          <w:sz w:val="16"/>
        </w:rPr>
      </w:pPr>
      <w:r>
        <w:rPr>
          <w:noProof/>
          <w:sz w:val="16"/>
        </w:rPr>
        <w:drawing>
          <wp:inline distT="0" distB="0" distL="0" distR="0" wp14:anchorId="33DBC5D3" wp14:editId="6A0E7EC3">
            <wp:extent cx="3528000" cy="209709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528000" cy="2097090"/>
                    </a:xfrm>
                    <a:prstGeom prst="rect">
                      <a:avLst/>
                    </a:prstGeom>
                    <a:noFill/>
                    <a:ln>
                      <a:noFill/>
                    </a:ln>
                  </pic:spPr>
                </pic:pic>
              </a:graphicData>
            </a:graphic>
          </wp:inline>
        </w:drawing>
      </w:r>
    </w:p>
    <w:p w14:paraId="67C66A47" w14:textId="77777777" w:rsidR="008B0834" w:rsidRPr="00A5645B" w:rsidRDefault="008B0834" w:rsidP="008B0834">
      <w:pPr>
        <w:spacing w:after="0"/>
        <w:jc w:val="both"/>
        <w:rPr>
          <w:sz w:val="10"/>
        </w:rPr>
      </w:pPr>
      <w:r w:rsidRPr="002432B1">
        <w:rPr>
          <w:sz w:val="10"/>
          <w:vertAlign w:val="superscript"/>
        </w:rPr>
        <w:t>1</w:t>
      </w:r>
      <w:r w:rsidRPr="002432B1">
        <w:rPr>
          <w:sz w:val="10"/>
        </w:rPr>
        <w:t xml:space="preserve"> Customs Value. Nominal</w:t>
      </w:r>
      <w:r>
        <w:rPr>
          <w:sz w:val="10"/>
        </w:rPr>
        <w:t xml:space="preserve"> or not adjusted for price changes</w:t>
      </w:r>
      <w:r w:rsidRPr="002432B1">
        <w:rPr>
          <w:sz w:val="10"/>
        </w:rPr>
        <w:t>. Original series.</w:t>
      </w:r>
      <w:r>
        <w:rPr>
          <w:sz w:val="10"/>
        </w:rPr>
        <w:t xml:space="preserve"> (a) Education, personal and business travel; and passenger, freight, postal, courier and other transport. (b) T</w:t>
      </w:r>
      <w:r w:rsidRPr="00475B3C">
        <w:rPr>
          <w:sz w:val="10"/>
        </w:rPr>
        <w:t>echnical, trade-related &amp; other business</w:t>
      </w:r>
      <w:r>
        <w:rPr>
          <w:sz w:val="10"/>
        </w:rPr>
        <w:t>;</w:t>
      </w:r>
      <w:r w:rsidRPr="00475B3C">
        <w:rPr>
          <w:sz w:val="10"/>
        </w:rPr>
        <w:t xml:space="preserve"> financial services</w:t>
      </w:r>
      <w:r>
        <w:rPr>
          <w:sz w:val="10"/>
        </w:rPr>
        <w:t xml:space="preserve">; government goods &amp; services; </w:t>
      </w:r>
      <w:r w:rsidRPr="00475B3C">
        <w:rPr>
          <w:sz w:val="10"/>
        </w:rPr>
        <w:t xml:space="preserve">telecommunications, computer &amp; information; insurance &amp; pension; personal, cultural &amp; </w:t>
      </w:r>
      <w:r w:rsidRPr="00A5645B">
        <w:rPr>
          <w:sz w:val="10"/>
        </w:rPr>
        <w:t>recreational; professional &amp; management consulting; intellectual property charges; research &amp; development; and others.</w:t>
      </w:r>
    </w:p>
    <w:p w14:paraId="41E80B05" w14:textId="77777777" w:rsidR="008B0834" w:rsidRDefault="008B0834" w:rsidP="008B0834">
      <w:pPr>
        <w:pStyle w:val="BodyText"/>
        <w:spacing w:after="0"/>
        <w:jc w:val="both"/>
        <w:rPr>
          <w:sz w:val="10"/>
        </w:rPr>
      </w:pPr>
      <w:r>
        <w:rPr>
          <w:sz w:val="10"/>
        </w:rPr>
        <w:t>Source</w:t>
      </w:r>
      <w:r w:rsidRPr="000A7652">
        <w:rPr>
          <w:sz w:val="10"/>
        </w:rPr>
        <w:t xml:space="preserve">: Based on data from ABS </w:t>
      </w:r>
      <w:r w:rsidRPr="00CD3038">
        <w:rPr>
          <w:sz w:val="10"/>
        </w:rPr>
        <w:t>5368.0.55.003/004</w:t>
      </w:r>
      <w:r>
        <w:rPr>
          <w:sz w:val="10"/>
        </w:rPr>
        <w:t xml:space="preserve"> International Trade: Supplementary Information, Financial Year/Calendar Year (Annual)</w:t>
      </w:r>
      <w:r w:rsidRPr="00B720D6">
        <w:rPr>
          <w:sz w:val="10"/>
        </w:rPr>
        <w:t>.</w:t>
      </w:r>
    </w:p>
    <w:p w14:paraId="7DFBA7DD" w14:textId="77777777" w:rsidR="008B0834" w:rsidRDefault="008B0834" w:rsidP="008B0834">
      <w:pPr>
        <w:spacing w:after="0"/>
        <w:jc w:val="both"/>
        <w:rPr>
          <w:sz w:val="16"/>
        </w:rPr>
      </w:pPr>
    </w:p>
    <w:p w14:paraId="3A63BC73" w14:textId="77777777" w:rsidR="008B0834" w:rsidRDefault="008B0834" w:rsidP="008B0834">
      <w:pPr>
        <w:spacing w:after="0"/>
        <w:jc w:val="both"/>
        <w:rPr>
          <w:sz w:val="16"/>
        </w:rPr>
      </w:pPr>
    </w:p>
    <w:p w14:paraId="1F4168A9" w14:textId="77777777" w:rsidR="008B0834" w:rsidRDefault="008B0834" w:rsidP="008B0834">
      <w:pPr>
        <w:spacing w:after="0"/>
        <w:jc w:val="both"/>
        <w:rPr>
          <w:sz w:val="16"/>
        </w:rPr>
      </w:pPr>
      <w:r>
        <w:rPr>
          <w:sz w:val="16"/>
        </w:rPr>
        <w:br w:type="column"/>
      </w:r>
    </w:p>
    <w:p w14:paraId="2B58EFEA" w14:textId="77777777" w:rsidR="008B0834" w:rsidRDefault="008B0834" w:rsidP="008B0834">
      <w:pPr>
        <w:spacing w:after="0"/>
        <w:jc w:val="both"/>
        <w:rPr>
          <w:sz w:val="16"/>
        </w:rPr>
      </w:pPr>
    </w:p>
    <w:p w14:paraId="0DF8B9A7" w14:textId="12A99546" w:rsidR="008B0834" w:rsidRPr="00B0381F" w:rsidRDefault="008B0834" w:rsidP="008B0834">
      <w:pPr>
        <w:pStyle w:val="BodyText"/>
        <w:numPr>
          <w:ilvl w:val="0"/>
          <w:numId w:val="9"/>
        </w:numPr>
        <w:spacing w:after="0"/>
        <w:jc w:val="both"/>
        <w:rPr>
          <w:sz w:val="16"/>
        </w:rPr>
      </w:pPr>
      <w:r w:rsidRPr="00B0381F">
        <w:rPr>
          <w:sz w:val="16"/>
        </w:rPr>
        <w:t xml:space="preserve">Western Australia accounted for </w:t>
      </w:r>
      <w:r w:rsidR="00A10457" w:rsidRPr="00B0381F">
        <w:rPr>
          <w:sz w:val="16"/>
        </w:rPr>
        <w:t>7.1</w:t>
      </w:r>
      <w:r w:rsidRPr="00B0381F">
        <w:rPr>
          <w:sz w:val="16"/>
        </w:rPr>
        <w:t>% of Australia’s services exports in 2022</w:t>
      </w:r>
      <w:r w:rsidR="00A10457" w:rsidRPr="00B0381F">
        <w:rPr>
          <w:sz w:val="16"/>
        </w:rPr>
        <w:t>-23</w:t>
      </w:r>
      <w:r w:rsidRPr="00B0381F">
        <w:rPr>
          <w:sz w:val="16"/>
        </w:rPr>
        <w:t>.</w:t>
      </w:r>
    </w:p>
    <w:p w14:paraId="19F706C0" w14:textId="55EBEB7E" w:rsidR="008B0834" w:rsidRPr="00B0381F" w:rsidRDefault="008B0834" w:rsidP="008B0834">
      <w:pPr>
        <w:pStyle w:val="BodyText"/>
        <w:numPr>
          <w:ilvl w:val="0"/>
          <w:numId w:val="9"/>
        </w:numPr>
        <w:spacing w:after="0"/>
        <w:jc w:val="both"/>
        <w:rPr>
          <w:sz w:val="16"/>
        </w:rPr>
      </w:pPr>
      <w:r w:rsidRPr="00B0381F">
        <w:rPr>
          <w:sz w:val="16"/>
        </w:rPr>
        <w:t xml:space="preserve">The value of Western Australia’s services exports rose </w:t>
      </w:r>
      <w:r w:rsidR="00A10457" w:rsidRPr="00B0381F">
        <w:rPr>
          <w:sz w:val="16"/>
        </w:rPr>
        <w:t>67</w:t>
      </w:r>
      <w:r w:rsidRPr="00B0381F">
        <w:rPr>
          <w:sz w:val="16"/>
        </w:rPr>
        <w:t>% to $</w:t>
      </w:r>
      <w:r w:rsidR="00A10457" w:rsidRPr="00B0381F">
        <w:rPr>
          <w:sz w:val="16"/>
        </w:rPr>
        <w:t>6.8</w:t>
      </w:r>
      <w:r w:rsidRPr="00B0381F">
        <w:rPr>
          <w:sz w:val="16"/>
        </w:rPr>
        <w:t> billion in 2022</w:t>
      </w:r>
      <w:r w:rsidR="00A10457" w:rsidRPr="00B0381F">
        <w:rPr>
          <w:sz w:val="16"/>
        </w:rPr>
        <w:t>-23</w:t>
      </w:r>
      <w:r w:rsidRPr="00B0381F">
        <w:rPr>
          <w:sz w:val="16"/>
        </w:rPr>
        <w:t>.</w:t>
      </w:r>
    </w:p>
    <w:p w14:paraId="34CAA760" w14:textId="592C9922" w:rsidR="008B0834" w:rsidRPr="00B0381F" w:rsidRDefault="008B0834" w:rsidP="008B0834">
      <w:pPr>
        <w:pStyle w:val="BodyText"/>
        <w:numPr>
          <w:ilvl w:val="0"/>
          <w:numId w:val="9"/>
        </w:numPr>
        <w:spacing w:after="0"/>
        <w:jc w:val="both"/>
        <w:rPr>
          <w:sz w:val="16"/>
        </w:rPr>
      </w:pPr>
      <w:r w:rsidRPr="00B0381F">
        <w:rPr>
          <w:sz w:val="16"/>
        </w:rPr>
        <w:t xml:space="preserve">Western Australia’s real services exports rose </w:t>
      </w:r>
      <w:r w:rsidR="009955DC" w:rsidRPr="00B0381F">
        <w:rPr>
          <w:sz w:val="16"/>
        </w:rPr>
        <w:t>49.6</w:t>
      </w:r>
      <w:r w:rsidRPr="00B0381F">
        <w:rPr>
          <w:sz w:val="16"/>
        </w:rPr>
        <w:t>% in 2022</w:t>
      </w:r>
      <w:r w:rsidR="009955DC" w:rsidRPr="00B0381F">
        <w:rPr>
          <w:sz w:val="16"/>
        </w:rPr>
        <w:t>-23</w:t>
      </w:r>
      <w:r w:rsidRPr="00B0381F">
        <w:rPr>
          <w:sz w:val="16"/>
        </w:rPr>
        <w:t xml:space="preserve"> (down </w:t>
      </w:r>
      <w:r w:rsidR="009955DC" w:rsidRPr="00B0381F">
        <w:rPr>
          <w:sz w:val="16"/>
        </w:rPr>
        <w:t>4.2</w:t>
      </w:r>
      <w:r w:rsidRPr="00B0381F">
        <w:rPr>
          <w:sz w:val="16"/>
        </w:rPr>
        <w:t>% in 2021</w:t>
      </w:r>
      <w:r w:rsidRPr="00B0381F">
        <w:rPr>
          <w:sz w:val="16"/>
        </w:rPr>
        <w:noBreakHyphen/>
        <w:t>22).</w:t>
      </w:r>
    </w:p>
    <w:p w14:paraId="5D83ED7B" w14:textId="27C7E732" w:rsidR="008B0834" w:rsidRPr="00B0381F" w:rsidRDefault="008B0834" w:rsidP="008B0834">
      <w:pPr>
        <w:pStyle w:val="BodyText"/>
        <w:numPr>
          <w:ilvl w:val="0"/>
          <w:numId w:val="9"/>
        </w:numPr>
        <w:spacing w:after="0"/>
        <w:jc w:val="both"/>
        <w:rPr>
          <w:sz w:val="16"/>
        </w:rPr>
      </w:pPr>
      <w:r w:rsidRPr="00B0381F">
        <w:rPr>
          <w:sz w:val="16"/>
        </w:rPr>
        <w:t xml:space="preserve">Western Australia’s travel and transport services exports rose </w:t>
      </w:r>
      <w:r w:rsidR="00A10457" w:rsidRPr="00B0381F">
        <w:rPr>
          <w:sz w:val="16"/>
        </w:rPr>
        <w:t>from $2.0</w:t>
      </w:r>
      <w:r w:rsidR="00923641" w:rsidRPr="00B0381F">
        <w:rPr>
          <w:sz w:val="16"/>
        </w:rPr>
        <w:t> </w:t>
      </w:r>
      <w:r w:rsidR="00A10457" w:rsidRPr="00B0381F">
        <w:rPr>
          <w:sz w:val="16"/>
        </w:rPr>
        <w:t>billion in 2021</w:t>
      </w:r>
      <w:r w:rsidR="00923641" w:rsidRPr="00B0381F">
        <w:rPr>
          <w:sz w:val="16"/>
        </w:rPr>
        <w:noBreakHyphen/>
      </w:r>
      <w:r w:rsidR="00A10457" w:rsidRPr="00B0381F">
        <w:rPr>
          <w:sz w:val="16"/>
        </w:rPr>
        <w:t xml:space="preserve">22 to </w:t>
      </w:r>
      <w:r w:rsidRPr="00B0381F">
        <w:rPr>
          <w:sz w:val="16"/>
        </w:rPr>
        <w:t>$</w:t>
      </w:r>
      <w:r w:rsidR="00A10457" w:rsidRPr="00B0381F">
        <w:rPr>
          <w:sz w:val="16"/>
        </w:rPr>
        <w:t>5.1</w:t>
      </w:r>
      <w:r w:rsidRPr="00B0381F">
        <w:rPr>
          <w:sz w:val="16"/>
        </w:rPr>
        <w:t> billion in 2022</w:t>
      </w:r>
      <w:r w:rsidR="00A10457" w:rsidRPr="00B0381F">
        <w:rPr>
          <w:sz w:val="16"/>
        </w:rPr>
        <w:t>-23</w:t>
      </w:r>
      <w:r w:rsidRPr="00B0381F">
        <w:rPr>
          <w:sz w:val="16"/>
        </w:rPr>
        <w:t>, with exports of:</w:t>
      </w:r>
    </w:p>
    <w:p w14:paraId="293A7F32" w14:textId="10385BE4" w:rsidR="008B0834" w:rsidRPr="00B0381F" w:rsidRDefault="008B0834" w:rsidP="008B0834">
      <w:pPr>
        <w:pStyle w:val="BodyText"/>
        <w:numPr>
          <w:ilvl w:val="1"/>
          <w:numId w:val="11"/>
        </w:numPr>
        <w:spacing w:after="0"/>
        <w:ind w:left="851" w:hanging="284"/>
        <w:jc w:val="both"/>
        <w:rPr>
          <w:sz w:val="16"/>
        </w:rPr>
      </w:pPr>
      <w:r w:rsidRPr="00B0381F">
        <w:rPr>
          <w:sz w:val="16"/>
        </w:rPr>
        <w:t>personal travel up $</w:t>
      </w:r>
      <w:r w:rsidR="00A10457" w:rsidRPr="00B0381F">
        <w:rPr>
          <w:sz w:val="16"/>
        </w:rPr>
        <w:t>1.4 b</w:t>
      </w:r>
      <w:r w:rsidRPr="00B0381F">
        <w:rPr>
          <w:sz w:val="16"/>
        </w:rPr>
        <w:t>illion</w:t>
      </w:r>
    </w:p>
    <w:p w14:paraId="442E7023" w14:textId="72887AE5" w:rsidR="008B0834" w:rsidRPr="00B0381F" w:rsidRDefault="008B0834" w:rsidP="008B0834">
      <w:pPr>
        <w:pStyle w:val="BodyText"/>
        <w:numPr>
          <w:ilvl w:val="1"/>
          <w:numId w:val="11"/>
        </w:numPr>
        <w:spacing w:after="0"/>
        <w:ind w:left="851" w:hanging="284"/>
        <w:jc w:val="both"/>
        <w:rPr>
          <w:sz w:val="16"/>
        </w:rPr>
      </w:pPr>
      <w:r w:rsidRPr="00B0381F">
        <w:rPr>
          <w:sz w:val="16"/>
        </w:rPr>
        <w:t>education travel up $</w:t>
      </w:r>
      <w:r w:rsidR="00A10457" w:rsidRPr="00B0381F">
        <w:rPr>
          <w:sz w:val="16"/>
        </w:rPr>
        <w:t>1.2</w:t>
      </w:r>
      <w:r w:rsidRPr="00B0381F">
        <w:rPr>
          <w:sz w:val="16"/>
        </w:rPr>
        <w:t> billion</w:t>
      </w:r>
    </w:p>
    <w:p w14:paraId="4490D9CA" w14:textId="58FFD065" w:rsidR="008B0834" w:rsidRPr="00B0381F" w:rsidRDefault="008B0834" w:rsidP="008B0834">
      <w:pPr>
        <w:pStyle w:val="BodyText"/>
        <w:numPr>
          <w:ilvl w:val="1"/>
          <w:numId w:val="11"/>
        </w:numPr>
        <w:spacing w:after="0"/>
        <w:ind w:left="851" w:hanging="284"/>
        <w:jc w:val="both"/>
        <w:rPr>
          <w:sz w:val="16"/>
        </w:rPr>
      </w:pPr>
      <w:r w:rsidRPr="00B0381F">
        <w:rPr>
          <w:sz w:val="16"/>
        </w:rPr>
        <w:t>transport up $</w:t>
      </w:r>
      <w:r w:rsidR="00A10457" w:rsidRPr="00B0381F">
        <w:rPr>
          <w:sz w:val="16"/>
        </w:rPr>
        <w:t>356</w:t>
      </w:r>
      <w:r w:rsidRPr="00B0381F">
        <w:rPr>
          <w:sz w:val="16"/>
        </w:rPr>
        <w:t> million</w:t>
      </w:r>
    </w:p>
    <w:p w14:paraId="03FFE384" w14:textId="678D83A7" w:rsidR="008B0834" w:rsidRPr="00B0381F" w:rsidRDefault="008B0834" w:rsidP="008B0834">
      <w:pPr>
        <w:pStyle w:val="BodyText"/>
        <w:numPr>
          <w:ilvl w:val="1"/>
          <w:numId w:val="11"/>
        </w:numPr>
        <w:spacing w:after="0"/>
        <w:ind w:left="851" w:hanging="284"/>
        <w:jc w:val="both"/>
        <w:rPr>
          <w:sz w:val="16"/>
        </w:rPr>
      </w:pPr>
      <w:r w:rsidRPr="00B0381F">
        <w:rPr>
          <w:sz w:val="16"/>
        </w:rPr>
        <w:t>business travel up $</w:t>
      </w:r>
      <w:r w:rsidR="00A10457" w:rsidRPr="00B0381F">
        <w:rPr>
          <w:sz w:val="16"/>
        </w:rPr>
        <w:t xml:space="preserve">183 </w:t>
      </w:r>
      <w:r w:rsidRPr="00B0381F">
        <w:rPr>
          <w:sz w:val="16"/>
        </w:rPr>
        <w:t>million.</w:t>
      </w:r>
    </w:p>
    <w:p w14:paraId="0AC7FD39" w14:textId="197BECCC" w:rsidR="008B0834" w:rsidRPr="00B0381F" w:rsidRDefault="008B0834" w:rsidP="008B0834">
      <w:pPr>
        <w:pStyle w:val="BodyText"/>
        <w:numPr>
          <w:ilvl w:val="0"/>
          <w:numId w:val="9"/>
        </w:numPr>
        <w:spacing w:after="0"/>
        <w:jc w:val="both"/>
        <w:rPr>
          <w:sz w:val="16"/>
        </w:rPr>
      </w:pPr>
      <w:r w:rsidRPr="00B0381F">
        <w:rPr>
          <w:sz w:val="16"/>
        </w:rPr>
        <w:t>Western Australia’s business and other services exports fell 1</w:t>
      </w:r>
      <w:r w:rsidR="00A10457" w:rsidRPr="00B0381F">
        <w:rPr>
          <w:sz w:val="16"/>
        </w:rPr>
        <w:t>9</w:t>
      </w:r>
      <w:r w:rsidRPr="00B0381F">
        <w:rPr>
          <w:sz w:val="16"/>
        </w:rPr>
        <w:t>% to $1.</w:t>
      </w:r>
      <w:r w:rsidR="00A10457" w:rsidRPr="00B0381F">
        <w:rPr>
          <w:sz w:val="16"/>
        </w:rPr>
        <w:t>7</w:t>
      </w:r>
      <w:r w:rsidRPr="00B0381F">
        <w:rPr>
          <w:sz w:val="16"/>
        </w:rPr>
        <w:t> billion in 2022</w:t>
      </w:r>
      <w:r w:rsidR="00A10457" w:rsidRPr="00B0381F">
        <w:rPr>
          <w:sz w:val="16"/>
        </w:rPr>
        <w:t>-23</w:t>
      </w:r>
      <w:r w:rsidRPr="00B0381F">
        <w:rPr>
          <w:sz w:val="16"/>
        </w:rPr>
        <w:t>, with exports of:</w:t>
      </w:r>
    </w:p>
    <w:p w14:paraId="354A2503" w14:textId="535E8A3D" w:rsidR="008B0834" w:rsidRPr="00B0381F" w:rsidRDefault="008B0834" w:rsidP="008B0834">
      <w:pPr>
        <w:pStyle w:val="BodyText"/>
        <w:numPr>
          <w:ilvl w:val="1"/>
          <w:numId w:val="11"/>
        </w:numPr>
        <w:spacing w:after="0"/>
        <w:ind w:left="851" w:hanging="284"/>
        <w:jc w:val="both"/>
        <w:rPr>
          <w:sz w:val="16"/>
        </w:rPr>
      </w:pPr>
      <w:r w:rsidRPr="00B0381F">
        <w:rPr>
          <w:sz w:val="16"/>
        </w:rPr>
        <w:t>telecommunications, computer and information services down $</w:t>
      </w:r>
      <w:r w:rsidR="00A10457" w:rsidRPr="00B0381F">
        <w:rPr>
          <w:sz w:val="16"/>
        </w:rPr>
        <w:t>350</w:t>
      </w:r>
      <w:r w:rsidRPr="00B0381F">
        <w:rPr>
          <w:sz w:val="16"/>
        </w:rPr>
        <w:t> million</w:t>
      </w:r>
    </w:p>
    <w:p w14:paraId="787AAB7E" w14:textId="1351F437" w:rsidR="008B0834" w:rsidRPr="00B0381F" w:rsidRDefault="008B0834" w:rsidP="008B0834">
      <w:pPr>
        <w:pStyle w:val="BodyText"/>
        <w:numPr>
          <w:ilvl w:val="1"/>
          <w:numId w:val="11"/>
        </w:numPr>
        <w:spacing w:after="0"/>
        <w:ind w:left="851" w:hanging="284"/>
        <w:jc w:val="both"/>
        <w:rPr>
          <w:sz w:val="16"/>
        </w:rPr>
      </w:pPr>
      <w:r w:rsidRPr="00B0381F">
        <w:rPr>
          <w:sz w:val="16"/>
        </w:rPr>
        <w:t>professional and management consulting services down $</w:t>
      </w:r>
      <w:r w:rsidR="00A10457" w:rsidRPr="00B0381F">
        <w:rPr>
          <w:sz w:val="16"/>
        </w:rPr>
        <w:t xml:space="preserve">157 </w:t>
      </w:r>
      <w:r w:rsidRPr="00B0381F">
        <w:rPr>
          <w:sz w:val="16"/>
        </w:rPr>
        <w:t>million.</w:t>
      </w:r>
    </w:p>
    <w:p w14:paraId="151204F3" w14:textId="77777777" w:rsidR="008B0834" w:rsidRPr="0062546E" w:rsidRDefault="008B0834" w:rsidP="008B0834">
      <w:pPr>
        <w:pStyle w:val="BodyText"/>
        <w:spacing w:after="0"/>
        <w:ind w:left="851"/>
        <w:jc w:val="both"/>
        <w:rPr>
          <w:sz w:val="16"/>
        </w:rPr>
        <w:sectPr w:rsidR="008B0834" w:rsidRPr="0062546E" w:rsidSect="00F7498D">
          <w:type w:val="continuous"/>
          <w:pgSz w:w="11907" w:h="16840" w:code="9"/>
          <w:pgMar w:top="1701" w:right="720" w:bottom="720" w:left="720" w:header="709" w:footer="709" w:gutter="0"/>
          <w:cols w:num="2" w:space="284" w:equalWidth="0">
            <w:col w:w="5647" w:space="284"/>
            <w:col w:w="4536"/>
          </w:cols>
          <w:docGrid w:linePitch="360"/>
        </w:sectPr>
      </w:pPr>
    </w:p>
    <w:p w14:paraId="6F54A1A3"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overnight visitor spend</w:t>
      </w:r>
      <w:r w:rsidRPr="00020369">
        <w:rPr>
          <w:b/>
          <w:color w:val="92278F" w:themeColor="accent1"/>
          <w:sz w:val="20"/>
          <w:vertAlign w:val="superscript"/>
        </w:rPr>
        <w:t>1</w:t>
      </w:r>
    </w:p>
    <w:p w14:paraId="1CC9CF5F" w14:textId="3C128315" w:rsidR="008B0834" w:rsidRPr="009D3B14" w:rsidRDefault="00B5070C" w:rsidP="008B0834">
      <w:pPr>
        <w:pStyle w:val="BodyText"/>
        <w:spacing w:after="0"/>
        <w:jc w:val="both"/>
        <w:rPr>
          <w:sz w:val="16"/>
        </w:rPr>
      </w:pPr>
      <w:r>
        <w:rPr>
          <w:noProof/>
          <w:sz w:val="16"/>
        </w:rPr>
        <w:drawing>
          <wp:inline distT="0" distB="0" distL="0" distR="0" wp14:anchorId="07CBCC99" wp14:editId="19DA5514">
            <wp:extent cx="3528000" cy="210340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05252B62" w14:textId="77777777" w:rsidR="008B0834" w:rsidRDefault="008B0834" w:rsidP="008B0834">
      <w:pPr>
        <w:pStyle w:val="BodyText"/>
        <w:spacing w:after="0"/>
        <w:jc w:val="both"/>
        <w:rPr>
          <w:sz w:val="10"/>
        </w:rPr>
      </w:pPr>
      <w:r w:rsidRPr="00681F2A">
        <w:rPr>
          <w:sz w:val="10"/>
          <w:vertAlign w:val="superscript"/>
        </w:rPr>
        <w:t>1</w:t>
      </w:r>
      <w:r>
        <w:rPr>
          <w:sz w:val="10"/>
        </w:rPr>
        <w:t xml:space="preserve"> Nominal or not adjusted for price changes. Original series.</w:t>
      </w:r>
    </w:p>
    <w:p w14:paraId="7DFE0718" w14:textId="77777777" w:rsidR="008B0834" w:rsidRDefault="008B0834" w:rsidP="008B0834">
      <w:pPr>
        <w:pStyle w:val="BodyText"/>
        <w:spacing w:after="0"/>
        <w:jc w:val="both"/>
        <w:rPr>
          <w:sz w:val="10"/>
        </w:rPr>
      </w:pPr>
      <w:r>
        <w:rPr>
          <w:sz w:val="10"/>
        </w:rPr>
        <w:t xml:space="preserve">Source: </w:t>
      </w:r>
      <w:r w:rsidRPr="00514046">
        <w:rPr>
          <w:sz w:val="10"/>
        </w:rPr>
        <w:t>Tourism Research Australia, International and National Visitor Surveys</w:t>
      </w:r>
      <w:r>
        <w:rPr>
          <w:sz w:val="10"/>
        </w:rPr>
        <w:t xml:space="preserve"> (Quarterly)</w:t>
      </w:r>
      <w:r w:rsidRPr="00B720D6">
        <w:rPr>
          <w:sz w:val="10"/>
        </w:rPr>
        <w:t>.</w:t>
      </w:r>
    </w:p>
    <w:p w14:paraId="15632247" w14:textId="77777777" w:rsidR="008B0834" w:rsidRDefault="008B0834" w:rsidP="008B0834">
      <w:pPr>
        <w:pStyle w:val="BodyText"/>
        <w:spacing w:after="0"/>
        <w:jc w:val="both"/>
        <w:rPr>
          <w:sz w:val="16"/>
        </w:rPr>
      </w:pPr>
    </w:p>
    <w:p w14:paraId="1726A954" w14:textId="77777777" w:rsidR="008B0834" w:rsidRDefault="008B0834" w:rsidP="008B0834">
      <w:pPr>
        <w:pStyle w:val="BodyText"/>
        <w:spacing w:after="0"/>
        <w:jc w:val="both"/>
        <w:rPr>
          <w:sz w:val="16"/>
        </w:rPr>
      </w:pPr>
    </w:p>
    <w:p w14:paraId="413AC372" w14:textId="77777777" w:rsidR="008B0834" w:rsidRPr="00403DB4" w:rsidRDefault="008B0834" w:rsidP="008B0834">
      <w:pPr>
        <w:pStyle w:val="BodyText"/>
        <w:spacing w:after="0"/>
        <w:jc w:val="both"/>
        <w:rPr>
          <w:sz w:val="16"/>
        </w:rPr>
      </w:pPr>
    </w:p>
    <w:p w14:paraId="0668D4A5" w14:textId="77777777" w:rsidR="008B0834" w:rsidRPr="00D6222A" w:rsidRDefault="008B0834" w:rsidP="008B0834">
      <w:pPr>
        <w:pStyle w:val="BodyText"/>
        <w:numPr>
          <w:ilvl w:val="0"/>
          <w:numId w:val="9"/>
        </w:numPr>
        <w:spacing w:before="240" w:after="0"/>
        <w:jc w:val="both"/>
        <w:rPr>
          <w:sz w:val="16"/>
        </w:rPr>
      </w:pPr>
      <w:r>
        <w:rPr>
          <w:sz w:val="16"/>
        </w:rPr>
        <w:br w:type="column"/>
      </w:r>
      <w:r w:rsidRPr="00D6222A">
        <w:rPr>
          <w:sz w:val="16"/>
        </w:rPr>
        <w:t>The tourism industry (including net taxes) accounted for 2.2% ($8.7 billion) of Western Australia’s GSP and 5.6% (89,000) of Western Australia’s employment in 2021</w:t>
      </w:r>
      <w:r w:rsidRPr="00D6222A">
        <w:rPr>
          <w:sz w:val="16"/>
        </w:rPr>
        <w:noBreakHyphen/>
        <w:t>22.</w:t>
      </w:r>
    </w:p>
    <w:p w14:paraId="7EB26473" w14:textId="77777777" w:rsidR="008B0834" w:rsidRPr="00D6222A" w:rsidRDefault="008B0834" w:rsidP="008B0834">
      <w:pPr>
        <w:pStyle w:val="BodyText"/>
        <w:numPr>
          <w:ilvl w:val="0"/>
          <w:numId w:val="9"/>
        </w:numPr>
        <w:spacing w:after="0"/>
        <w:jc w:val="both"/>
        <w:rPr>
          <w:sz w:val="16"/>
        </w:rPr>
      </w:pPr>
      <w:r w:rsidRPr="00D6222A">
        <w:rPr>
          <w:sz w:val="16"/>
        </w:rPr>
        <w:t>Tourists in Western Australia spent $16.8 billion in 2022-23, 52.4% ($5.8 billion) more than in 2021-22.</w:t>
      </w:r>
    </w:p>
    <w:p w14:paraId="1CC49DEB" w14:textId="77777777" w:rsidR="008B0834" w:rsidRPr="00D6222A" w:rsidRDefault="008B0834" w:rsidP="008B0834">
      <w:pPr>
        <w:pStyle w:val="BodyText"/>
        <w:numPr>
          <w:ilvl w:val="0"/>
          <w:numId w:val="9"/>
        </w:numPr>
        <w:spacing w:after="0"/>
        <w:jc w:val="both"/>
        <w:rPr>
          <w:sz w:val="16"/>
        </w:rPr>
      </w:pPr>
      <w:r w:rsidRPr="00D6222A">
        <w:rPr>
          <w:sz w:val="16"/>
        </w:rPr>
        <w:t>In 2022-23, spending in Western Australia by:</w:t>
      </w:r>
    </w:p>
    <w:p w14:paraId="3DEB09E0" w14:textId="77777777" w:rsidR="008B0834" w:rsidRPr="00D6222A" w:rsidRDefault="008B0834" w:rsidP="008B0834">
      <w:pPr>
        <w:pStyle w:val="BodyText"/>
        <w:numPr>
          <w:ilvl w:val="1"/>
          <w:numId w:val="11"/>
        </w:numPr>
        <w:spacing w:after="0"/>
        <w:ind w:left="851" w:hanging="284"/>
        <w:jc w:val="both"/>
        <w:rPr>
          <w:sz w:val="16"/>
        </w:rPr>
      </w:pPr>
      <w:r w:rsidRPr="00D6222A">
        <w:rPr>
          <w:sz w:val="16"/>
        </w:rPr>
        <w:t>interstate visitors rose from $1.1 billion to $3.4 billion</w:t>
      </w:r>
    </w:p>
    <w:p w14:paraId="7CE6B77B" w14:textId="77777777" w:rsidR="008B0834" w:rsidRPr="00D6222A" w:rsidRDefault="008B0834" w:rsidP="008B0834">
      <w:pPr>
        <w:pStyle w:val="BodyText"/>
        <w:numPr>
          <w:ilvl w:val="1"/>
          <w:numId w:val="11"/>
        </w:numPr>
        <w:spacing w:after="0"/>
        <w:ind w:left="851" w:hanging="284"/>
        <w:jc w:val="both"/>
        <w:rPr>
          <w:sz w:val="16"/>
        </w:rPr>
      </w:pPr>
      <w:r w:rsidRPr="00D6222A">
        <w:rPr>
          <w:sz w:val="16"/>
        </w:rPr>
        <w:t>international visitors rose from $304 million to $2.0 billion</w:t>
      </w:r>
    </w:p>
    <w:p w14:paraId="3A19D31C" w14:textId="77777777" w:rsidR="008B0834" w:rsidRPr="00D6222A" w:rsidRDefault="008B0834" w:rsidP="008B0834">
      <w:pPr>
        <w:pStyle w:val="BodyText"/>
        <w:numPr>
          <w:ilvl w:val="1"/>
          <w:numId w:val="11"/>
        </w:numPr>
        <w:spacing w:after="0"/>
        <w:ind w:left="851" w:hanging="284"/>
        <w:jc w:val="both"/>
        <w:rPr>
          <w:sz w:val="16"/>
        </w:rPr>
      </w:pPr>
      <w:r w:rsidRPr="00D6222A">
        <w:rPr>
          <w:sz w:val="16"/>
        </w:rPr>
        <w:t>intrastate (daytrips) visitors rose 46.6% to $3.3 billion</w:t>
      </w:r>
    </w:p>
    <w:p w14:paraId="0BC4A288" w14:textId="77777777" w:rsidR="008B0834" w:rsidRPr="00D6222A" w:rsidRDefault="008B0834" w:rsidP="008B0834">
      <w:pPr>
        <w:pStyle w:val="BodyText"/>
        <w:numPr>
          <w:ilvl w:val="1"/>
          <w:numId w:val="11"/>
        </w:numPr>
        <w:spacing w:after="0"/>
        <w:ind w:left="851" w:hanging="284"/>
        <w:jc w:val="both"/>
        <w:rPr>
          <w:sz w:val="16"/>
        </w:rPr>
      </w:pPr>
      <w:r w:rsidRPr="00D6222A">
        <w:rPr>
          <w:sz w:val="16"/>
        </w:rPr>
        <w:t>intrastate (overnight) visitors rose 9.6% to $8.0 billion.</w:t>
      </w:r>
    </w:p>
    <w:p w14:paraId="119BE837" w14:textId="0ED21013" w:rsidR="008B0834" w:rsidRPr="00D6222A" w:rsidRDefault="008B0834" w:rsidP="008B0834">
      <w:pPr>
        <w:pStyle w:val="BodyText"/>
        <w:numPr>
          <w:ilvl w:val="0"/>
          <w:numId w:val="9"/>
        </w:numPr>
        <w:spacing w:after="0"/>
        <w:jc w:val="both"/>
        <w:rPr>
          <w:bCs/>
          <w:sz w:val="16"/>
        </w:rPr>
      </w:pPr>
      <w:r w:rsidRPr="00D6222A">
        <w:rPr>
          <w:sz w:val="16"/>
        </w:rPr>
        <w:t>In 2022-23, Western Australia had 6</w:t>
      </w:r>
      <w:r w:rsidR="00F90893" w:rsidRPr="00D6222A">
        <w:rPr>
          <w:sz w:val="16"/>
        </w:rPr>
        <w:t>88</w:t>
      </w:r>
      <w:r w:rsidRPr="00D6222A">
        <w:rPr>
          <w:sz w:val="16"/>
        </w:rPr>
        <w:t>,0</w:t>
      </w:r>
      <w:r w:rsidR="00F90893" w:rsidRPr="00D6222A">
        <w:rPr>
          <w:sz w:val="16"/>
        </w:rPr>
        <w:t>0</w:t>
      </w:r>
      <w:r w:rsidRPr="00D6222A">
        <w:rPr>
          <w:sz w:val="16"/>
        </w:rPr>
        <w:t xml:space="preserve">0 </w:t>
      </w:r>
      <w:r w:rsidR="00F90893" w:rsidRPr="00D6222A">
        <w:rPr>
          <w:sz w:val="16"/>
        </w:rPr>
        <w:t>international</w:t>
      </w:r>
      <w:r w:rsidRPr="00D6222A">
        <w:rPr>
          <w:sz w:val="16"/>
        </w:rPr>
        <w:t xml:space="preserve"> visitors, compared to 10</w:t>
      </w:r>
      <w:r w:rsidR="00575C66" w:rsidRPr="00D6222A">
        <w:rPr>
          <w:sz w:val="16"/>
        </w:rPr>
        <w:t>2</w:t>
      </w:r>
      <w:r w:rsidRPr="00D6222A">
        <w:rPr>
          <w:sz w:val="16"/>
        </w:rPr>
        <w:t>,</w:t>
      </w:r>
      <w:r w:rsidR="00575C66" w:rsidRPr="00D6222A">
        <w:rPr>
          <w:sz w:val="16"/>
        </w:rPr>
        <w:t>000</w:t>
      </w:r>
      <w:r w:rsidRPr="00D6222A">
        <w:rPr>
          <w:sz w:val="16"/>
        </w:rPr>
        <w:t xml:space="preserve"> in 2021</w:t>
      </w:r>
      <w:r w:rsidRPr="00D6222A">
        <w:rPr>
          <w:sz w:val="16"/>
        </w:rPr>
        <w:noBreakHyphen/>
        <w:t>22</w:t>
      </w:r>
      <w:r w:rsidRPr="00D6222A">
        <w:rPr>
          <w:bCs/>
          <w:sz w:val="16"/>
        </w:rPr>
        <w:t>.</w:t>
      </w:r>
    </w:p>
    <w:p w14:paraId="16C3260E" w14:textId="77777777" w:rsidR="008B0834" w:rsidRDefault="008B0834" w:rsidP="008B0834">
      <w:pPr>
        <w:pStyle w:val="BodyText"/>
        <w:spacing w:after="0"/>
        <w:ind w:left="284"/>
        <w:jc w:val="both"/>
        <w:rPr>
          <w:sz w:val="16"/>
        </w:rPr>
        <w:sectPr w:rsidR="008B0834" w:rsidSect="00F7498D">
          <w:type w:val="continuous"/>
          <w:pgSz w:w="11907" w:h="16840" w:code="9"/>
          <w:pgMar w:top="1701" w:right="720" w:bottom="720" w:left="720" w:header="709" w:footer="709" w:gutter="0"/>
          <w:cols w:num="2" w:space="284" w:equalWidth="0">
            <w:col w:w="5647" w:space="284"/>
            <w:col w:w="4536"/>
          </w:cols>
          <w:docGrid w:linePitch="360"/>
        </w:sectPr>
      </w:pPr>
    </w:p>
    <w:p w14:paraId="579793F8"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international students</w:t>
      </w:r>
      <w:r w:rsidRPr="00020369">
        <w:rPr>
          <w:b/>
          <w:color w:val="92278F" w:themeColor="accent1"/>
          <w:sz w:val="20"/>
          <w:vertAlign w:val="superscript"/>
        </w:rPr>
        <w:t>1</w:t>
      </w:r>
    </w:p>
    <w:p w14:paraId="6D14635D" w14:textId="4BB5719F" w:rsidR="008B0834" w:rsidRDefault="00B5070C" w:rsidP="008B0834">
      <w:pPr>
        <w:pStyle w:val="BodyText"/>
        <w:spacing w:after="0"/>
        <w:jc w:val="both"/>
        <w:rPr>
          <w:sz w:val="16"/>
        </w:rPr>
      </w:pPr>
      <w:r>
        <w:rPr>
          <w:noProof/>
          <w:sz w:val="16"/>
        </w:rPr>
        <w:drawing>
          <wp:inline distT="0" distB="0" distL="0" distR="0" wp14:anchorId="7A4E593D" wp14:editId="19C38DEF">
            <wp:extent cx="3528000" cy="210340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4234D18F" w14:textId="77777777" w:rsidR="008B0834" w:rsidRPr="00E138D0" w:rsidRDefault="008B0834" w:rsidP="008B0834">
      <w:pPr>
        <w:pStyle w:val="BodyText"/>
        <w:spacing w:after="0"/>
        <w:jc w:val="both"/>
        <w:rPr>
          <w:sz w:val="10"/>
        </w:rPr>
      </w:pPr>
      <w:r w:rsidRPr="00E138D0">
        <w:rPr>
          <w:sz w:val="10"/>
          <w:vertAlign w:val="superscript"/>
          <w:lang w:val="en-US"/>
        </w:rPr>
        <w:t>1</w:t>
      </w:r>
      <w:r w:rsidRPr="00E138D0">
        <w:rPr>
          <w:sz w:val="10"/>
          <w:lang w:val="en-US"/>
        </w:rPr>
        <w:t xml:space="preserve"> Enrolments</w:t>
      </w:r>
      <w:r w:rsidRPr="00E138D0">
        <w:rPr>
          <w:sz w:val="10"/>
        </w:rPr>
        <w:t>.</w:t>
      </w:r>
      <w:r>
        <w:rPr>
          <w:sz w:val="10"/>
        </w:rPr>
        <w:t xml:space="preserve"> Original series.</w:t>
      </w:r>
    </w:p>
    <w:p w14:paraId="7F582EA4" w14:textId="77777777" w:rsidR="008B0834" w:rsidRPr="00E138D0" w:rsidRDefault="008B0834" w:rsidP="008B0834">
      <w:pPr>
        <w:pStyle w:val="BodyText"/>
        <w:spacing w:after="0"/>
        <w:jc w:val="both"/>
        <w:rPr>
          <w:sz w:val="10"/>
        </w:rPr>
      </w:pPr>
      <w:r w:rsidRPr="00E138D0">
        <w:rPr>
          <w:sz w:val="10"/>
        </w:rPr>
        <w:t xml:space="preserve">Source: Department of Education, </w:t>
      </w:r>
      <w:r w:rsidRPr="002C6C6A">
        <w:rPr>
          <w:sz w:val="10"/>
        </w:rPr>
        <w:t>In</w:t>
      </w:r>
      <w:r>
        <w:rPr>
          <w:sz w:val="10"/>
        </w:rPr>
        <w:t>ternational Student Data (</w:t>
      </w:r>
      <w:r w:rsidRPr="00E930AA">
        <w:rPr>
          <w:sz w:val="10"/>
        </w:rPr>
        <w:t>Year to December)</w:t>
      </w:r>
      <w:r w:rsidRPr="00743C06">
        <w:rPr>
          <w:sz w:val="10"/>
        </w:rPr>
        <w:t>.</w:t>
      </w:r>
    </w:p>
    <w:p w14:paraId="750245A8" w14:textId="77777777" w:rsidR="008B0834" w:rsidRDefault="008B0834" w:rsidP="008B0834">
      <w:pPr>
        <w:pStyle w:val="BodyText"/>
        <w:spacing w:after="0"/>
        <w:jc w:val="both"/>
        <w:rPr>
          <w:sz w:val="16"/>
        </w:rPr>
      </w:pPr>
      <w:r>
        <w:rPr>
          <w:sz w:val="16"/>
        </w:rPr>
        <w:br w:type="column"/>
      </w:r>
    </w:p>
    <w:p w14:paraId="73373670" w14:textId="77777777" w:rsidR="008B0834" w:rsidRPr="006E6B8E" w:rsidRDefault="008B0834" w:rsidP="008B0834">
      <w:pPr>
        <w:pStyle w:val="BodyText"/>
        <w:numPr>
          <w:ilvl w:val="0"/>
          <w:numId w:val="9"/>
        </w:numPr>
        <w:spacing w:after="0"/>
        <w:jc w:val="both"/>
        <w:rPr>
          <w:sz w:val="16"/>
        </w:rPr>
      </w:pPr>
      <w:r w:rsidRPr="006E6B8E">
        <w:rPr>
          <w:sz w:val="16"/>
        </w:rPr>
        <w:t>International student enrolments in Western Australia began to recover in 2022, after falling in 2020 and 2021 due to COVID</w:t>
      </w:r>
      <w:r w:rsidRPr="006E6B8E">
        <w:rPr>
          <w:sz w:val="16"/>
        </w:rPr>
        <w:noBreakHyphen/>
        <w:t>19 travel restrictions.</w:t>
      </w:r>
    </w:p>
    <w:p w14:paraId="283062FF" w14:textId="77777777" w:rsidR="008B0834" w:rsidRPr="006E6B8E" w:rsidRDefault="008B0834" w:rsidP="008B0834">
      <w:pPr>
        <w:pStyle w:val="BodyText"/>
        <w:numPr>
          <w:ilvl w:val="0"/>
          <w:numId w:val="9"/>
        </w:numPr>
        <w:spacing w:after="0"/>
        <w:jc w:val="both"/>
        <w:rPr>
          <w:sz w:val="16"/>
        </w:rPr>
      </w:pPr>
      <w:r w:rsidRPr="006E6B8E">
        <w:rPr>
          <w:sz w:val="16"/>
        </w:rPr>
        <w:t>The number of international student enrolments in Western Australia rose 10.2% to 44,999 in 2022.</w:t>
      </w:r>
    </w:p>
    <w:p w14:paraId="6352914C" w14:textId="77777777" w:rsidR="008B0834" w:rsidRDefault="008B0834" w:rsidP="008B0834">
      <w:pPr>
        <w:pStyle w:val="BodyText"/>
        <w:numPr>
          <w:ilvl w:val="0"/>
          <w:numId w:val="9"/>
        </w:numPr>
        <w:spacing w:after="0"/>
        <w:jc w:val="both"/>
        <w:rPr>
          <w:sz w:val="16"/>
        </w:rPr>
      </w:pPr>
      <w:r w:rsidRPr="006E6B8E">
        <w:rPr>
          <w:sz w:val="16"/>
        </w:rPr>
        <w:t>Western Australia’s share of Australia’s international student enrolments rose from 5.7% in 2021 to 6.0% in 2022.</w:t>
      </w:r>
    </w:p>
    <w:p w14:paraId="719D0771" w14:textId="3AFD2EEC" w:rsidR="008B0834" w:rsidRPr="00B0381F" w:rsidRDefault="008B0834" w:rsidP="008B0834">
      <w:pPr>
        <w:pStyle w:val="BodyText"/>
        <w:numPr>
          <w:ilvl w:val="0"/>
          <w:numId w:val="9"/>
        </w:numPr>
        <w:spacing w:after="0"/>
        <w:jc w:val="both"/>
        <w:rPr>
          <w:sz w:val="16"/>
        </w:rPr>
      </w:pPr>
      <w:r w:rsidRPr="00B0381F">
        <w:rPr>
          <w:sz w:val="16"/>
        </w:rPr>
        <w:t xml:space="preserve">The recovery in Western Australia’s international education sector continued in 2023. The number of international student enrolments in Western Australia was </w:t>
      </w:r>
      <w:r w:rsidR="0009691E" w:rsidRPr="00B0381F">
        <w:rPr>
          <w:sz w:val="16"/>
        </w:rPr>
        <w:t>66,260</w:t>
      </w:r>
      <w:r w:rsidRPr="00B0381F">
        <w:rPr>
          <w:sz w:val="16"/>
        </w:rPr>
        <w:t xml:space="preserve"> in the first </w:t>
      </w:r>
      <w:r w:rsidR="0009691E" w:rsidRPr="00B0381F">
        <w:rPr>
          <w:sz w:val="16"/>
        </w:rPr>
        <w:t>nine</w:t>
      </w:r>
      <w:r w:rsidRPr="00B0381F">
        <w:rPr>
          <w:sz w:val="16"/>
        </w:rPr>
        <w:t xml:space="preserve"> months of 2023, </w:t>
      </w:r>
      <w:r w:rsidR="008D77D1" w:rsidRPr="00B0381F">
        <w:rPr>
          <w:sz w:val="16"/>
        </w:rPr>
        <w:t>6</w:t>
      </w:r>
      <w:r w:rsidR="0009691E" w:rsidRPr="00B0381F">
        <w:rPr>
          <w:sz w:val="16"/>
        </w:rPr>
        <w:t>6</w:t>
      </w:r>
      <w:r w:rsidRPr="00B0381F">
        <w:rPr>
          <w:sz w:val="16"/>
        </w:rPr>
        <w:t>% higher than the same period of 2022.</w:t>
      </w:r>
    </w:p>
    <w:p w14:paraId="30337D67" w14:textId="77777777" w:rsidR="008B0834" w:rsidRDefault="008B0834" w:rsidP="008B0834">
      <w:pPr>
        <w:spacing w:after="0"/>
        <w:jc w:val="both"/>
        <w:rPr>
          <w:sz w:val="16"/>
        </w:rPr>
      </w:pPr>
      <w:r>
        <w:rPr>
          <w:sz w:val="16"/>
        </w:rPr>
        <w:br w:type="page"/>
      </w:r>
    </w:p>
    <w:p w14:paraId="425E9BEE" w14:textId="77777777" w:rsidR="008B0834" w:rsidRPr="00DD5DF4" w:rsidRDefault="008B0834" w:rsidP="008B0834">
      <w:pPr>
        <w:pStyle w:val="BodyText"/>
        <w:spacing w:after="0"/>
        <w:rPr>
          <w:b/>
          <w:color w:val="002060"/>
          <w:sz w:val="22"/>
        </w:rPr>
      </w:pPr>
      <w:r w:rsidRPr="00DD5DF4">
        <w:rPr>
          <w:b/>
          <w:color w:val="002060"/>
          <w:sz w:val="22"/>
        </w:rPr>
        <w:lastRenderedPageBreak/>
        <w:t>International trade</w:t>
      </w:r>
    </w:p>
    <w:p w14:paraId="4290C630"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imports of goods</w:t>
      </w:r>
      <w:r w:rsidRPr="00020369">
        <w:rPr>
          <w:b/>
          <w:color w:val="92278F" w:themeColor="accent1"/>
          <w:sz w:val="20"/>
          <w:vertAlign w:val="superscript"/>
        </w:rPr>
        <w:t>1</w:t>
      </w:r>
    </w:p>
    <w:p w14:paraId="470FF947" w14:textId="723ACF26" w:rsidR="008B0834" w:rsidRDefault="00B5070C" w:rsidP="008B0834">
      <w:pPr>
        <w:spacing w:after="0"/>
        <w:jc w:val="both"/>
        <w:rPr>
          <w:sz w:val="16"/>
        </w:rPr>
      </w:pPr>
      <w:r>
        <w:rPr>
          <w:noProof/>
          <w:sz w:val="16"/>
        </w:rPr>
        <w:drawing>
          <wp:inline distT="0" distB="0" distL="0" distR="0" wp14:anchorId="7F16EA90" wp14:editId="6141124B">
            <wp:extent cx="3528000" cy="210340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4ADAEA77" w14:textId="77777777" w:rsidR="008B0834" w:rsidRPr="001F1F20" w:rsidRDefault="008B0834" w:rsidP="008B0834">
      <w:pPr>
        <w:spacing w:after="0"/>
        <w:jc w:val="both"/>
        <w:rPr>
          <w:sz w:val="10"/>
        </w:rPr>
      </w:pPr>
      <w:r w:rsidRPr="002432B1">
        <w:rPr>
          <w:sz w:val="10"/>
          <w:vertAlign w:val="superscript"/>
        </w:rPr>
        <w:t>1</w:t>
      </w:r>
      <w:r w:rsidRPr="002432B1">
        <w:rPr>
          <w:sz w:val="10"/>
        </w:rPr>
        <w:t xml:space="preserve"> Customs Value. </w:t>
      </w:r>
      <w:r w:rsidRPr="006A3DD7">
        <w:rPr>
          <w:sz w:val="10"/>
        </w:rPr>
        <w:t xml:space="preserve">Nominal or not adjusted for price changes. Original series. (a) Other manufactures, gold (imported to Western Australia for refining at the Perth Mint to the London Bullion Market Association’s accredited standard and re-exported), mineral </w:t>
      </w:r>
      <w:r w:rsidRPr="00A5645B">
        <w:rPr>
          <w:sz w:val="10"/>
        </w:rPr>
        <w:t xml:space="preserve">fuels, </w:t>
      </w:r>
      <w:r w:rsidRPr="001F1F20">
        <w:rPr>
          <w:sz w:val="10"/>
        </w:rPr>
        <w:t>chemicals, agricultural products and other goods.</w:t>
      </w:r>
    </w:p>
    <w:p w14:paraId="7DC191FC" w14:textId="63D12D14" w:rsidR="008B0834" w:rsidRPr="001F1F20" w:rsidRDefault="008B0834" w:rsidP="008B0834">
      <w:pPr>
        <w:pStyle w:val="BodyText"/>
        <w:spacing w:after="0"/>
        <w:jc w:val="both"/>
        <w:rPr>
          <w:sz w:val="16"/>
        </w:rPr>
      </w:pPr>
      <w:r w:rsidRPr="001F1F20">
        <w:rPr>
          <w:sz w:val="10"/>
        </w:rPr>
        <w:t>Source: Based on data from ABS 5368.0 International Trade in Goods and Services, Australia (Monthly).</w:t>
      </w:r>
      <w:r w:rsidR="00E55FFF" w:rsidRPr="001F1F20">
        <w:rPr>
          <w:sz w:val="10"/>
        </w:rPr>
        <w:t xml:space="preserve"> Merchandise trade statistics are current as at June 2023. ABS monthly international trade statistics are subject to revision up to six months after they are first released.</w:t>
      </w:r>
    </w:p>
    <w:p w14:paraId="060A62AB" w14:textId="77777777" w:rsidR="008B0834" w:rsidRPr="00403DB4" w:rsidRDefault="008B0834" w:rsidP="008B0834">
      <w:pPr>
        <w:pStyle w:val="BodyText"/>
        <w:spacing w:after="0"/>
        <w:jc w:val="both"/>
        <w:rPr>
          <w:sz w:val="16"/>
        </w:rPr>
      </w:pPr>
    </w:p>
    <w:p w14:paraId="5777DFCF" w14:textId="77777777" w:rsidR="008B0834" w:rsidRDefault="008B0834" w:rsidP="008B0834">
      <w:pPr>
        <w:spacing w:after="0"/>
        <w:jc w:val="both"/>
        <w:rPr>
          <w:sz w:val="16"/>
        </w:rPr>
      </w:pPr>
      <w:r>
        <w:rPr>
          <w:sz w:val="16"/>
        </w:rPr>
        <w:br w:type="column"/>
      </w:r>
    </w:p>
    <w:p w14:paraId="2CD1F00D" w14:textId="77777777" w:rsidR="008B0834" w:rsidRDefault="008B0834" w:rsidP="008B0834">
      <w:pPr>
        <w:spacing w:after="0"/>
        <w:jc w:val="both"/>
        <w:rPr>
          <w:sz w:val="16"/>
        </w:rPr>
      </w:pPr>
    </w:p>
    <w:p w14:paraId="0CF2F320" w14:textId="77777777" w:rsidR="008B0834" w:rsidRPr="001F1F20" w:rsidRDefault="008B0834" w:rsidP="008B0834">
      <w:pPr>
        <w:pStyle w:val="BodyText"/>
        <w:numPr>
          <w:ilvl w:val="0"/>
          <w:numId w:val="9"/>
        </w:numPr>
        <w:spacing w:after="0"/>
        <w:jc w:val="both"/>
        <w:rPr>
          <w:sz w:val="16"/>
        </w:rPr>
      </w:pPr>
      <w:r w:rsidRPr="001F1F20">
        <w:rPr>
          <w:sz w:val="16"/>
        </w:rPr>
        <w:t>Western Australia accounted for 11.1% of Australia’s goods imports in 2022-23.</w:t>
      </w:r>
    </w:p>
    <w:p w14:paraId="5F65C247" w14:textId="77777777" w:rsidR="008B0834" w:rsidRPr="001F1F20" w:rsidRDefault="008B0834" w:rsidP="008B0834">
      <w:pPr>
        <w:pStyle w:val="BodyText"/>
        <w:numPr>
          <w:ilvl w:val="0"/>
          <w:numId w:val="9"/>
        </w:numPr>
        <w:spacing w:after="0"/>
        <w:jc w:val="both"/>
        <w:rPr>
          <w:sz w:val="16"/>
        </w:rPr>
      </w:pPr>
      <w:r w:rsidRPr="001F1F20">
        <w:rPr>
          <w:sz w:val="16"/>
        </w:rPr>
        <w:t>The value of Western Australia’s goods imports rose 13.0% to $46.6 billion in 2022-23, with:</w:t>
      </w:r>
    </w:p>
    <w:p w14:paraId="5DDB0BB6" w14:textId="77777777" w:rsidR="008B0834" w:rsidRPr="001F1F20" w:rsidRDefault="008B0834" w:rsidP="008B0834">
      <w:pPr>
        <w:pStyle w:val="BodyText"/>
        <w:numPr>
          <w:ilvl w:val="1"/>
          <w:numId w:val="11"/>
        </w:numPr>
        <w:spacing w:after="0"/>
        <w:ind w:left="851" w:hanging="284"/>
        <w:jc w:val="both"/>
        <w:rPr>
          <w:sz w:val="16"/>
        </w:rPr>
      </w:pPr>
      <w:r w:rsidRPr="001F1F20">
        <w:rPr>
          <w:sz w:val="16"/>
        </w:rPr>
        <w:t>machinery and transport equipment imports rising 26.5% to $14.9 billion</w:t>
      </w:r>
    </w:p>
    <w:p w14:paraId="375D30DD" w14:textId="77777777" w:rsidR="008B0834" w:rsidRPr="001F1F20" w:rsidRDefault="008B0834" w:rsidP="008B0834">
      <w:pPr>
        <w:pStyle w:val="BodyText"/>
        <w:numPr>
          <w:ilvl w:val="1"/>
          <w:numId w:val="11"/>
        </w:numPr>
        <w:spacing w:after="0"/>
        <w:ind w:left="851" w:hanging="284"/>
        <w:jc w:val="both"/>
        <w:rPr>
          <w:sz w:val="16"/>
        </w:rPr>
      </w:pPr>
      <w:r w:rsidRPr="001F1F20">
        <w:rPr>
          <w:sz w:val="16"/>
        </w:rPr>
        <w:t>other imports rising 7.7% to $31.7 billion.</w:t>
      </w:r>
    </w:p>
    <w:p w14:paraId="0D286FC5" w14:textId="50A80BE9" w:rsidR="008B0834" w:rsidRPr="001F1F20" w:rsidRDefault="008B0834" w:rsidP="008B0834">
      <w:pPr>
        <w:pStyle w:val="BodyText"/>
        <w:numPr>
          <w:ilvl w:val="0"/>
          <w:numId w:val="9"/>
        </w:numPr>
        <w:spacing w:after="0"/>
        <w:jc w:val="both"/>
        <w:rPr>
          <w:sz w:val="16"/>
        </w:rPr>
      </w:pPr>
      <w:r w:rsidRPr="001F1F20">
        <w:rPr>
          <w:sz w:val="16"/>
        </w:rPr>
        <w:t xml:space="preserve">Western Australia’s real goods imports rose </w:t>
      </w:r>
      <w:r w:rsidR="00FF0100" w:rsidRPr="001F1F20">
        <w:rPr>
          <w:sz w:val="16"/>
        </w:rPr>
        <w:t>7.8</w:t>
      </w:r>
      <w:r w:rsidRPr="001F1F20">
        <w:rPr>
          <w:sz w:val="16"/>
        </w:rPr>
        <w:t>% in 2022</w:t>
      </w:r>
      <w:r w:rsidR="00FF0100" w:rsidRPr="001F1F20">
        <w:rPr>
          <w:sz w:val="16"/>
        </w:rPr>
        <w:t>-23</w:t>
      </w:r>
      <w:r w:rsidR="00345294" w:rsidRPr="001F1F20">
        <w:rPr>
          <w:sz w:val="16"/>
        </w:rPr>
        <w:t xml:space="preserve"> (down 2.0% in 2021-22)</w:t>
      </w:r>
      <w:r w:rsidRPr="001F1F20">
        <w:rPr>
          <w:sz w:val="16"/>
        </w:rPr>
        <w:t>.</w:t>
      </w:r>
    </w:p>
    <w:p w14:paraId="6354981B" w14:textId="2B675C48" w:rsidR="008B0834" w:rsidRPr="00B0381F" w:rsidRDefault="008B0834" w:rsidP="008B0834">
      <w:pPr>
        <w:pStyle w:val="BodyText"/>
        <w:numPr>
          <w:ilvl w:val="0"/>
          <w:numId w:val="9"/>
        </w:numPr>
        <w:spacing w:after="0"/>
        <w:jc w:val="both"/>
        <w:rPr>
          <w:sz w:val="16"/>
        </w:rPr>
      </w:pPr>
      <w:r w:rsidRPr="00B0381F">
        <w:rPr>
          <w:sz w:val="16"/>
        </w:rPr>
        <w:t xml:space="preserve">The WA Government </w:t>
      </w:r>
      <w:r w:rsidR="00BC2CA1" w:rsidRPr="00B0381F">
        <w:rPr>
          <w:sz w:val="16"/>
        </w:rPr>
        <w:t>Mid-year Financial Projections Statement</w:t>
      </w:r>
      <w:r w:rsidR="00BC2CA1" w:rsidRPr="00B0381F" w:rsidDel="00BC2CA1">
        <w:rPr>
          <w:sz w:val="16"/>
        </w:rPr>
        <w:t xml:space="preserve"> </w:t>
      </w:r>
      <w:r w:rsidRPr="00B0381F">
        <w:rPr>
          <w:sz w:val="16"/>
        </w:rPr>
        <w:t xml:space="preserve">2023-24 forecasts Western Australia’s real goods imports will rise </w:t>
      </w:r>
      <w:r w:rsidR="00BC2CA1" w:rsidRPr="00B0381F">
        <w:rPr>
          <w:sz w:val="16"/>
        </w:rPr>
        <w:t>3</w:t>
      </w:r>
      <w:r w:rsidRPr="00B0381F">
        <w:rPr>
          <w:sz w:val="16"/>
        </w:rPr>
        <w:t>.25% in 202</w:t>
      </w:r>
      <w:r w:rsidR="00BC2CA1" w:rsidRPr="00B0381F">
        <w:rPr>
          <w:sz w:val="16"/>
        </w:rPr>
        <w:t>3</w:t>
      </w:r>
      <w:r w:rsidRPr="00B0381F">
        <w:rPr>
          <w:sz w:val="16"/>
        </w:rPr>
        <w:noBreakHyphen/>
        <w:t>2</w:t>
      </w:r>
      <w:r w:rsidR="00BC2CA1" w:rsidRPr="00B0381F">
        <w:rPr>
          <w:sz w:val="16"/>
        </w:rPr>
        <w:t>4</w:t>
      </w:r>
      <w:r w:rsidRPr="00B0381F">
        <w:rPr>
          <w:sz w:val="16"/>
        </w:rPr>
        <w:t xml:space="preserve"> and 2.5% </w:t>
      </w:r>
      <w:r w:rsidR="00BC2CA1" w:rsidRPr="00B0381F">
        <w:rPr>
          <w:sz w:val="16"/>
        </w:rPr>
        <w:t xml:space="preserve">in </w:t>
      </w:r>
      <w:r w:rsidRPr="00B0381F">
        <w:rPr>
          <w:sz w:val="16"/>
        </w:rPr>
        <w:t>2024</w:t>
      </w:r>
      <w:r w:rsidR="00923641" w:rsidRPr="00B0381F">
        <w:rPr>
          <w:sz w:val="16"/>
        </w:rPr>
        <w:noBreakHyphen/>
      </w:r>
      <w:r w:rsidRPr="00B0381F">
        <w:rPr>
          <w:sz w:val="16"/>
        </w:rPr>
        <w:t>25.</w:t>
      </w:r>
    </w:p>
    <w:p w14:paraId="3F5C1ED9" w14:textId="77777777" w:rsidR="008B0834" w:rsidRPr="00A2299E" w:rsidRDefault="008B0834" w:rsidP="008B0834">
      <w:pPr>
        <w:pStyle w:val="BodyText"/>
        <w:numPr>
          <w:ilvl w:val="0"/>
          <w:numId w:val="9"/>
        </w:numPr>
        <w:spacing w:after="0"/>
        <w:jc w:val="both"/>
        <w:rPr>
          <w:sz w:val="16"/>
        </w:rPr>
        <w:sectPr w:rsidR="008B0834" w:rsidRPr="00A2299E" w:rsidSect="00F7498D">
          <w:type w:val="continuous"/>
          <w:pgSz w:w="11907" w:h="16840" w:code="9"/>
          <w:pgMar w:top="1701" w:right="720" w:bottom="720" w:left="720" w:header="709" w:footer="709" w:gutter="0"/>
          <w:cols w:num="2" w:space="284" w:equalWidth="0">
            <w:col w:w="5647" w:space="284"/>
            <w:col w:w="4536"/>
          </w:cols>
          <w:docGrid w:linePitch="360"/>
        </w:sectPr>
      </w:pPr>
    </w:p>
    <w:p w14:paraId="4C1838E8"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major markets for goods imports</w:t>
      </w:r>
      <w:r w:rsidRPr="00020369">
        <w:rPr>
          <w:b/>
          <w:color w:val="92278F" w:themeColor="accent1"/>
          <w:sz w:val="20"/>
          <w:vertAlign w:val="superscript"/>
        </w:rPr>
        <w:t>1</w:t>
      </w:r>
    </w:p>
    <w:p w14:paraId="584C0076" w14:textId="4BCBD7BC" w:rsidR="008B0834" w:rsidRPr="001746F7" w:rsidRDefault="00F272DD" w:rsidP="008B0834">
      <w:pPr>
        <w:pStyle w:val="BodyText"/>
        <w:tabs>
          <w:tab w:val="left" w:pos="3261"/>
        </w:tabs>
        <w:spacing w:after="0"/>
        <w:jc w:val="both"/>
        <w:rPr>
          <w:sz w:val="16"/>
        </w:rPr>
      </w:pPr>
      <w:r>
        <w:rPr>
          <w:noProof/>
          <w:sz w:val="16"/>
        </w:rPr>
        <w:drawing>
          <wp:inline distT="0" distB="0" distL="0" distR="0" wp14:anchorId="7ACD2383" wp14:editId="45F53C00">
            <wp:extent cx="3528000" cy="210340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76BA8315" w14:textId="77777777" w:rsidR="008B0834" w:rsidRDefault="008B0834" w:rsidP="008B0834">
      <w:pPr>
        <w:pStyle w:val="BodyText"/>
        <w:spacing w:after="0"/>
        <w:jc w:val="both"/>
        <w:rPr>
          <w:sz w:val="10"/>
        </w:rPr>
      </w:pPr>
      <w:r w:rsidRPr="00681F2A">
        <w:rPr>
          <w:sz w:val="10"/>
          <w:vertAlign w:val="superscript"/>
        </w:rPr>
        <w:t>1</w:t>
      </w:r>
      <w:r>
        <w:rPr>
          <w:sz w:val="10"/>
        </w:rPr>
        <w:t xml:space="preserve"> Nominal or not adjusted for price changes. Original series.</w:t>
      </w:r>
    </w:p>
    <w:p w14:paraId="7EA17E42" w14:textId="51B9E0D8" w:rsidR="008B0834" w:rsidRPr="001D4005" w:rsidRDefault="008B0834" w:rsidP="008B0834">
      <w:pPr>
        <w:pStyle w:val="BodyText"/>
        <w:spacing w:after="0"/>
        <w:jc w:val="both"/>
        <w:rPr>
          <w:sz w:val="16"/>
        </w:rPr>
      </w:pPr>
      <w:r w:rsidRPr="001D4005">
        <w:rPr>
          <w:sz w:val="10"/>
        </w:rPr>
        <w:t>Source: Based on data from ABS 5368.0 International Trade in Goods and Services, Australia (Monthly).</w:t>
      </w:r>
      <w:r w:rsidR="00E55FFF" w:rsidRPr="001D4005">
        <w:rPr>
          <w:sz w:val="10"/>
        </w:rPr>
        <w:t xml:space="preserve"> Merchandise trade statistics are current as at June 2023. ABS monthly international trade statistics are subject to revision up to six months after they are first released.</w:t>
      </w:r>
    </w:p>
    <w:p w14:paraId="1475AFE0" w14:textId="77777777" w:rsidR="008B0834" w:rsidRPr="00403DB4" w:rsidRDefault="008B0834" w:rsidP="008B0834">
      <w:pPr>
        <w:pStyle w:val="BodyText"/>
        <w:spacing w:after="0"/>
        <w:jc w:val="both"/>
        <w:rPr>
          <w:sz w:val="16"/>
        </w:rPr>
      </w:pPr>
    </w:p>
    <w:p w14:paraId="01E8EEA2" w14:textId="77777777" w:rsidR="008B0834" w:rsidRDefault="008B0834" w:rsidP="008B0834">
      <w:pPr>
        <w:pStyle w:val="BodyText"/>
        <w:spacing w:after="0"/>
        <w:jc w:val="both"/>
        <w:rPr>
          <w:sz w:val="16"/>
        </w:rPr>
      </w:pPr>
      <w:r>
        <w:rPr>
          <w:sz w:val="16"/>
        </w:rPr>
        <w:br w:type="column"/>
      </w:r>
    </w:p>
    <w:p w14:paraId="6017708D" w14:textId="77777777" w:rsidR="008B0834" w:rsidRPr="00351552" w:rsidRDefault="008B0834" w:rsidP="008B0834">
      <w:pPr>
        <w:pStyle w:val="BodyText"/>
        <w:numPr>
          <w:ilvl w:val="0"/>
          <w:numId w:val="9"/>
        </w:numPr>
        <w:spacing w:after="0"/>
        <w:jc w:val="both"/>
        <w:rPr>
          <w:color w:val="000000" w:themeColor="text1"/>
          <w:sz w:val="16"/>
        </w:rPr>
      </w:pPr>
      <w:r w:rsidRPr="00C56B12">
        <w:rPr>
          <w:sz w:val="16"/>
        </w:rPr>
        <w:t xml:space="preserve">In 2022-23, Western Australia’s largest market for goods imports was China </w:t>
      </w:r>
      <w:r w:rsidRPr="00351552">
        <w:rPr>
          <w:color w:val="000000" w:themeColor="text1"/>
          <w:sz w:val="16"/>
        </w:rPr>
        <w:t>($10.4 billion or 22.3%), followed by the United States ($5.3 billion or 11.4%) and Singapore ($4.0 billion or 8.6%).</w:t>
      </w:r>
    </w:p>
    <w:p w14:paraId="7E45B7CC" w14:textId="77777777" w:rsidR="008B0834" w:rsidRPr="00C56B12" w:rsidRDefault="008B0834" w:rsidP="008B0834">
      <w:pPr>
        <w:pStyle w:val="BodyText"/>
        <w:numPr>
          <w:ilvl w:val="0"/>
          <w:numId w:val="9"/>
        </w:numPr>
        <w:spacing w:after="0"/>
        <w:jc w:val="both"/>
        <w:rPr>
          <w:sz w:val="16"/>
        </w:rPr>
      </w:pPr>
      <w:r w:rsidRPr="00C56B12">
        <w:rPr>
          <w:sz w:val="16"/>
        </w:rPr>
        <w:t>The largest increases in Western Australia’s goods imports in 2022</w:t>
      </w:r>
      <w:r w:rsidRPr="00C56B12">
        <w:rPr>
          <w:sz w:val="16"/>
        </w:rPr>
        <w:noBreakHyphen/>
        <w:t>23 were from China (up $2.4 billion or 30.4%), Malaysia (up $1.8 billion or 82.1%) and United States (up $1.3 billion or 31.0%).</w:t>
      </w:r>
    </w:p>
    <w:p w14:paraId="53A91780" w14:textId="77777777" w:rsidR="008B0834" w:rsidRPr="00C56B12" w:rsidRDefault="008B0834" w:rsidP="008B0834">
      <w:pPr>
        <w:pStyle w:val="BodyText"/>
        <w:numPr>
          <w:ilvl w:val="0"/>
          <w:numId w:val="9"/>
        </w:numPr>
        <w:spacing w:after="0"/>
        <w:jc w:val="both"/>
        <w:rPr>
          <w:sz w:val="16"/>
        </w:rPr>
      </w:pPr>
      <w:r w:rsidRPr="00C56B12">
        <w:rPr>
          <w:sz w:val="16"/>
        </w:rPr>
        <w:t xml:space="preserve">The largest decreases in Western Australia’s goods imports in 2022-23 </w:t>
      </w:r>
      <w:r w:rsidRPr="00A90FF3">
        <w:rPr>
          <w:sz w:val="16"/>
        </w:rPr>
        <w:t xml:space="preserve">were from India (down $1.3 billion or 56.5%), Singapore (down $767 million or 19.4%) and </w:t>
      </w:r>
      <w:r w:rsidRPr="00C56B12">
        <w:rPr>
          <w:sz w:val="16"/>
        </w:rPr>
        <w:t>Cote d'Ivoire (down $687 million or 99.9%).</w:t>
      </w:r>
    </w:p>
    <w:p w14:paraId="18F77639" w14:textId="77777777" w:rsidR="008B0834" w:rsidRDefault="008B0834" w:rsidP="008B0834">
      <w:pPr>
        <w:pStyle w:val="BodyText"/>
        <w:numPr>
          <w:ilvl w:val="0"/>
          <w:numId w:val="9"/>
        </w:numPr>
        <w:spacing w:after="0"/>
        <w:jc w:val="both"/>
        <w:rPr>
          <w:sz w:val="16"/>
        </w:rPr>
        <w:sectPr w:rsidR="008B0834" w:rsidSect="00F7498D">
          <w:type w:val="continuous"/>
          <w:pgSz w:w="11907" w:h="16840" w:code="9"/>
          <w:pgMar w:top="1701" w:right="720" w:bottom="720" w:left="720" w:header="709" w:footer="709" w:gutter="0"/>
          <w:cols w:num="2" w:space="284" w:equalWidth="0">
            <w:col w:w="5647" w:space="284"/>
            <w:col w:w="4536"/>
          </w:cols>
          <w:docGrid w:linePitch="360"/>
        </w:sectPr>
      </w:pPr>
    </w:p>
    <w:p w14:paraId="687F31AF"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imports of services</w:t>
      </w:r>
      <w:r w:rsidRPr="00020369">
        <w:rPr>
          <w:b/>
          <w:color w:val="92278F" w:themeColor="accent1"/>
          <w:sz w:val="20"/>
          <w:vertAlign w:val="superscript"/>
        </w:rPr>
        <w:t>1</w:t>
      </w:r>
    </w:p>
    <w:p w14:paraId="72A203A0" w14:textId="01DA9839" w:rsidR="008B0834" w:rsidRDefault="008C67E6" w:rsidP="008B0834">
      <w:pPr>
        <w:pStyle w:val="BodyText"/>
        <w:spacing w:after="0"/>
        <w:jc w:val="both"/>
        <w:rPr>
          <w:sz w:val="16"/>
        </w:rPr>
      </w:pPr>
      <w:r>
        <w:rPr>
          <w:noProof/>
          <w:sz w:val="16"/>
        </w:rPr>
        <w:drawing>
          <wp:inline distT="0" distB="0" distL="0" distR="0" wp14:anchorId="67A2D769" wp14:editId="2594D5B9">
            <wp:extent cx="3528000" cy="21034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4C721765" w14:textId="77777777" w:rsidR="008B0834" w:rsidRPr="00A5645B" w:rsidRDefault="008B0834" w:rsidP="008B0834">
      <w:pPr>
        <w:spacing w:after="0"/>
        <w:jc w:val="both"/>
        <w:rPr>
          <w:sz w:val="10"/>
        </w:rPr>
      </w:pPr>
      <w:r w:rsidRPr="002432B1">
        <w:rPr>
          <w:sz w:val="10"/>
          <w:vertAlign w:val="superscript"/>
        </w:rPr>
        <w:t>1</w:t>
      </w:r>
      <w:r w:rsidRPr="002432B1">
        <w:rPr>
          <w:sz w:val="10"/>
        </w:rPr>
        <w:t xml:space="preserve"> Customs Value. Nominal</w:t>
      </w:r>
      <w:r>
        <w:rPr>
          <w:sz w:val="10"/>
        </w:rPr>
        <w:t xml:space="preserve"> or not adjusted for price changes</w:t>
      </w:r>
      <w:r w:rsidRPr="002432B1">
        <w:rPr>
          <w:sz w:val="10"/>
        </w:rPr>
        <w:t>. Original series.</w:t>
      </w:r>
      <w:r>
        <w:rPr>
          <w:sz w:val="10"/>
        </w:rPr>
        <w:t xml:space="preserve"> (a) Education, personal and business travel; and passenger, freight, postal, courier and other transport. (b) T</w:t>
      </w:r>
      <w:r w:rsidRPr="00475B3C">
        <w:rPr>
          <w:sz w:val="10"/>
        </w:rPr>
        <w:t>echnical, trade-related &amp; other business</w:t>
      </w:r>
      <w:r>
        <w:rPr>
          <w:sz w:val="10"/>
        </w:rPr>
        <w:t>;</w:t>
      </w:r>
      <w:r w:rsidRPr="00475B3C">
        <w:rPr>
          <w:sz w:val="10"/>
        </w:rPr>
        <w:t xml:space="preserve"> financial services</w:t>
      </w:r>
      <w:r>
        <w:rPr>
          <w:sz w:val="10"/>
        </w:rPr>
        <w:t xml:space="preserve">; government goods &amp; services; </w:t>
      </w:r>
      <w:r w:rsidRPr="00475B3C">
        <w:rPr>
          <w:sz w:val="10"/>
        </w:rPr>
        <w:t xml:space="preserve">telecommunications, computer &amp; information; insurance &amp; pension; personal, cultural &amp; </w:t>
      </w:r>
      <w:r w:rsidRPr="00A5645B">
        <w:rPr>
          <w:sz w:val="10"/>
        </w:rPr>
        <w:t>recreational; professional &amp; management consulting; intellectual property charges; rese</w:t>
      </w:r>
      <w:r>
        <w:rPr>
          <w:sz w:val="10"/>
        </w:rPr>
        <w:t>arch &amp; development; and others</w:t>
      </w:r>
      <w:r w:rsidRPr="00A5645B">
        <w:rPr>
          <w:sz w:val="10"/>
        </w:rPr>
        <w:t>.</w:t>
      </w:r>
    </w:p>
    <w:p w14:paraId="4FF86AB6" w14:textId="77777777" w:rsidR="008B0834" w:rsidRPr="00E138D0" w:rsidRDefault="008B0834" w:rsidP="008B0834">
      <w:pPr>
        <w:pStyle w:val="BodyText"/>
        <w:spacing w:after="0"/>
        <w:jc w:val="both"/>
        <w:rPr>
          <w:sz w:val="10"/>
        </w:rPr>
      </w:pPr>
      <w:r>
        <w:rPr>
          <w:sz w:val="10"/>
        </w:rPr>
        <w:t xml:space="preserve">Source: </w:t>
      </w:r>
      <w:r w:rsidRPr="00A875F5">
        <w:rPr>
          <w:sz w:val="10"/>
        </w:rPr>
        <w:t xml:space="preserve">Based on data from ABS </w:t>
      </w:r>
      <w:r w:rsidRPr="00CD3038">
        <w:rPr>
          <w:sz w:val="10"/>
        </w:rPr>
        <w:t>5368.0.55.003/004</w:t>
      </w:r>
      <w:r>
        <w:rPr>
          <w:sz w:val="10"/>
        </w:rPr>
        <w:t xml:space="preserve"> International Trade: Supplementary Information, Financial Year/Calendar Year (Annual</w:t>
      </w:r>
      <w:r w:rsidRPr="00E138D0">
        <w:rPr>
          <w:sz w:val="10"/>
        </w:rPr>
        <w:t>).</w:t>
      </w:r>
    </w:p>
    <w:p w14:paraId="0822ACF9" w14:textId="77777777" w:rsidR="008B0834" w:rsidRPr="00C35976" w:rsidRDefault="008B0834" w:rsidP="008B0834">
      <w:pPr>
        <w:pStyle w:val="BodyText"/>
        <w:spacing w:after="0"/>
        <w:jc w:val="both"/>
        <w:rPr>
          <w:sz w:val="16"/>
        </w:rPr>
      </w:pPr>
      <w:r>
        <w:rPr>
          <w:sz w:val="16"/>
        </w:rPr>
        <w:br w:type="column"/>
      </w:r>
    </w:p>
    <w:p w14:paraId="355292AA" w14:textId="28D2F062" w:rsidR="008B0834" w:rsidRPr="00B0381F" w:rsidRDefault="008B0834" w:rsidP="008B0834">
      <w:pPr>
        <w:pStyle w:val="BodyText"/>
        <w:numPr>
          <w:ilvl w:val="0"/>
          <w:numId w:val="9"/>
        </w:numPr>
        <w:spacing w:after="0"/>
        <w:jc w:val="both"/>
        <w:rPr>
          <w:sz w:val="16"/>
        </w:rPr>
      </w:pPr>
      <w:r w:rsidRPr="00B0381F">
        <w:rPr>
          <w:sz w:val="16"/>
        </w:rPr>
        <w:t>Western Australia accounted for 9.</w:t>
      </w:r>
      <w:r w:rsidR="00CC0F9D" w:rsidRPr="00B0381F">
        <w:rPr>
          <w:sz w:val="16"/>
        </w:rPr>
        <w:t>2</w:t>
      </w:r>
      <w:r w:rsidRPr="00B0381F">
        <w:rPr>
          <w:sz w:val="16"/>
        </w:rPr>
        <w:t>% of Australia’s services imports in 2022</w:t>
      </w:r>
      <w:r w:rsidR="00CC0F9D" w:rsidRPr="00B0381F">
        <w:rPr>
          <w:sz w:val="16"/>
        </w:rPr>
        <w:t>-23</w:t>
      </w:r>
      <w:r w:rsidRPr="00B0381F">
        <w:rPr>
          <w:sz w:val="16"/>
        </w:rPr>
        <w:t>.</w:t>
      </w:r>
    </w:p>
    <w:p w14:paraId="3BD1652A" w14:textId="6F08AB21" w:rsidR="008B0834" w:rsidRPr="00B0381F" w:rsidRDefault="008B0834" w:rsidP="008B0834">
      <w:pPr>
        <w:pStyle w:val="BodyText"/>
        <w:numPr>
          <w:ilvl w:val="0"/>
          <w:numId w:val="9"/>
        </w:numPr>
        <w:spacing w:after="0"/>
        <w:jc w:val="both"/>
        <w:rPr>
          <w:sz w:val="16"/>
        </w:rPr>
      </w:pPr>
      <w:r w:rsidRPr="00B0381F">
        <w:rPr>
          <w:sz w:val="16"/>
        </w:rPr>
        <w:t xml:space="preserve">The value of Western Australia’s services imports rose </w:t>
      </w:r>
      <w:r w:rsidR="00CC0F9D" w:rsidRPr="00B0381F">
        <w:rPr>
          <w:sz w:val="16"/>
        </w:rPr>
        <w:t>61</w:t>
      </w:r>
      <w:r w:rsidRPr="00B0381F">
        <w:rPr>
          <w:sz w:val="16"/>
        </w:rPr>
        <w:t>% to $</w:t>
      </w:r>
      <w:r w:rsidR="00CC0F9D" w:rsidRPr="00B0381F">
        <w:rPr>
          <w:sz w:val="16"/>
        </w:rPr>
        <w:t>9.9</w:t>
      </w:r>
      <w:r w:rsidRPr="00B0381F">
        <w:rPr>
          <w:sz w:val="16"/>
        </w:rPr>
        <w:t> billion in 2022</w:t>
      </w:r>
      <w:r w:rsidR="00CC0F9D" w:rsidRPr="00B0381F">
        <w:rPr>
          <w:sz w:val="16"/>
        </w:rPr>
        <w:t>-23</w:t>
      </w:r>
      <w:r w:rsidRPr="00B0381F">
        <w:rPr>
          <w:sz w:val="16"/>
        </w:rPr>
        <w:t>.</w:t>
      </w:r>
    </w:p>
    <w:p w14:paraId="6B22DB31" w14:textId="7D85A8A9" w:rsidR="008B0834" w:rsidRPr="00B0381F" w:rsidRDefault="008B0834" w:rsidP="008B0834">
      <w:pPr>
        <w:pStyle w:val="BodyText"/>
        <w:numPr>
          <w:ilvl w:val="0"/>
          <w:numId w:val="9"/>
        </w:numPr>
        <w:spacing w:after="0"/>
        <w:jc w:val="both"/>
        <w:rPr>
          <w:sz w:val="16"/>
        </w:rPr>
      </w:pPr>
      <w:r w:rsidRPr="00B0381F">
        <w:rPr>
          <w:sz w:val="16"/>
        </w:rPr>
        <w:t xml:space="preserve">Western Australia’s real services imports rose </w:t>
      </w:r>
      <w:r w:rsidR="008A7ABE" w:rsidRPr="00B0381F">
        <w:rPr>
          <w:sz w:val="16"/>
        </w:rPr>
        <w:t>44.8</w:t>
      </w:r>
      <w:r w:rsidRPr="00B0381F">
        <w:rPr>
          <w:sz w:val="16"/>
        </w:rPr>
        <w:t>% in 2022</w:t>
      </w:r>
      <w:r w:rsidR="008A7ABE" w:rsidRPr="00B0381F">
        <w:rPr>
          <w:sz w:val="16"/>
        </w:rPr>
        <w:t>-23</w:t>
      </w:r>
      <w:r w:rsidRPr="00B0381F">
        <w:rPr>
          <w:sz w:val="16"/>
        </w:rPr>
        <w:t xml:space="preserve"> (up </w:t>
      </w:r>
      <w:r w:rsidR="008A7ABE" w:rsidRPr="00B0381F">
        <w:rPr>
          <w:sz w:val="16"/>
        </w:rPr>
        <w:t>22.4</w:t>
      </w:r>
      <w:r w:rsidRPr="00B0381F">
        <w:rPr>
          <w:sz w:val="16"/>
        </w:rPr>
        <w:t>% in 2021-22).</w:t>
      </w:r>
    </w:p>
    <w:p w14:paraId="333FC5F6" w14:textId="049FA3AC" w:rsidR="008B0834" w:rsidRPr="00B0381F" w:rsidRDefault="008B0834" w:rsidP="008B0834">
      <w:pPr>
        <w:pStyle w:val="BodyText"/>
        <w:numPr>
          <w:ilvl w:val="0"/>
          <w:numId w:val="9"/>
        </w:numPr>
        <w:spacing w:after="0"/>
        <w:jc w:val="both"/>
        <w:rPr>
          <w:sz w:val="16"/>
        </w:rPr>
      </w:pPr>
      <w:r w:rsidRPr="00B0381F">
        <w:rPr>
          <w:sz w:val="16"/>
        </w:rPr>
        <w:t>Western Australia’s travel and transport services imports rose from $</w:t>
      </w:r>
      <w:r w:rsidR="00CC0F9D" w:rsidRPr="00B0381F">
        <w:rPr>
          <w:sz w:val="16"/>
        </w:rPr>
        <w:t>3.5</w:t>
      </w:r>
      <w:r w:rsidR="00923641" w:rsidRPr="00B0381F">
        <w:rPr>
          <w:sz w:val="16"/>
        </w:rPr>
        <w:t> </w:t>
      </w:r>
      <w:r w:rsidRPr="00B0381F">
        <w:rPr>
          <w:sz w:val="16"/>
        </w:rPr>
        <w:t>billion in 2021</w:t>
      </w:r>
      <w:r w:rsidR="00CC0F9D" w:rsidRPr="00B0381F">
        <w:rPr>
          <w:sz w:val="16"/>
        </w:rPr>
        <w:t>-22</w:t>
      </w:r>
      <w:r w:rsidRPr="00B0381F">
        <w:rPr>
          <w:sz w:val="16"/>
        </w:rPr>
        <w:t xml:space="preserve"> to $</w:t>
      </w:r>
      <w:r w:rsidR="00CC0F9D" w:rsidRPr="00B0381F">
        <w:rPr>
          <w:sz w:val="16"/>
        </w:rPr>
        <w:t>7.9</w:t>
      </w:r>
      <w:r w:rsidRPr="00B0381F">
        <w:rPr>
          <w:sz w:val="16"/>
        </w:rPr>
        <w:t> billion in 2022</w:t>
      </w:r>
      <w:r w:rsidR="00923641" w:rsidRPr="00B0381F">
        <w:rPr>
          <w:sz w:val="16"/>
        </w:rPr>
        <w:noBreakHyphen/>
      </w:r>
      <w:r w:rsidR="00CC0F9D" w:rsidRPr="00B0381F">
        <w:rPr>
          <w:sz w:val="16"/>
        </w:rPr>
        <w:t>23</w:t>
      </w:r>
      <w:r w:rsidRPr="00B0381F">
        <w:rPr>
          <w:sz w:val="16"/>
        </w:rPr>
        <w:t>, with imports of:</w:t>
      </w:r>
    </w:p>
    <w:p w14:paraId="309A3C38" w14:textId="629C5F40" w:rsidR="008B0834" w:rsidRPr="00B0381F" w:rsidRDefault="008B0834" w:rsidP="008B0834">
      <w:pPr>
        <w:pStyle w:val="BodyText"/>
        <w:numPr>
          <w:ilvl w:val="1"/>
          <w:numId w:val="11"/>
        </w:numPr>
        <w:spacing w:after="0"/>
        <w:ind w:left="851" w:hanging="284"/>
        <w:jc w:val="both"/>
        <w:rPr>
          <w:sz w:val="16"/>
        </w:rPr>
      </w:pPr>
      <w:r w:rsidRPr="00B0381F">
        <w:rPr>
          <w:sz w:val="16"/>
        </w:rPr>
        <w:t>personal travel up $</w:t>
      </w:r>
      <w:r w:rsidR="00CC0F9D" w:rsidRPr="00B0381F">
        <w:rPr>
          <w:sz w:val="16"/>
        </w:rPr>
        <w:t>3.2</w:t>
      </w:r>
      <w:r w:rsidRPr="00B0381F">
        <w:rPr>
          <w:sz w:val="16"/>
        </w:rPr>
        <w:t> billion</w:t>
      </w:r>
    </w:p>
    <w:p w14:paraId="2804FF9F" w14:textId="571A8586" w:rsidR="008B0834" w:rsidRPr="00B0381F" w:rsidRDefault="008B0834" w:rsidP="008B0834">
      <w:pPr>
        <w:pStyle w:val="BodyText"/>
        <w:numPr>
          <w:ilvl w:val="1"/>
          <w:numId w:val="11"/>
        </w:numPr>
        <w:spacing w:after="0"/>
        <w:ind w:left="851" w:hanging="284"/>
        <w:jc w:val="both"/>
        <w:rPr>
          <w:sz w:val="16"/>
        </w:rPr>
      </w:pPr>
      <w:r w:rsidRPr="00B0381F">
        <w:rPr>
          <w:sz w:val="16"/>
        </w:rPr>
        <w:t>transport up $</w:t>
      </w:r>
      <w:r w:rsidR="00CC0F9D" w:rsidRPr="00B0381F">
        <w:rPr>
          <w:sz w:val="16"/>
        </w:rPr>
        <w:t>921</w:t>
      </w:r>
      <w:r w:rsidR="00923641" w:rsidRPr="00B0381F">
        <w:rPr>
          <w:sz w:val="16"/>
        </w:rPr>
        <w:t> </w:t>
      </w:r>
      <w:r w:rsidR="00CC0F9D" w:rsidRPr="00B0381F">
        <w:rPr>
          <w:sz w:val="16"/>
        </w:rPr>
        <w:t>m</w:t>
      </w:r>
      <w:r w:rsidRPr="00B0381F">
        <w:rPr>
          <w:sz w:val="16"/>
        </w:rPr>
        <w:t>illion.</w:t>
      </w:r>
    </w:p>
    <w:p w14:paraId="62CF30FB" w14:textId="6C2ED2CA" w:rsidR="008B0834" w:rsidRPr="00B0381F" w:rsidRDefault="008B0834" w:rsidP="008B0834">
      <w:pPr>
        <w:pStyle w:val="BodyText"/>
        <w:numPr>
          <w:ilvl w:val="0"/>
          <w:numId w:val="9"/>
        </w:numPr>
        <w:spacing w:after="0"/>
        <w:jc w:val="both"/>
        <w:rPr>
          <w:sz w:val="16"/>
        </w:rPr>
      </w:pPr>
      <w:r w:rsidRPr="00B0381F">
        <w:rPr>
          <w:sz w:val="16"/>
        </w:rPr>
        <w:t xml:space="preserve">Western Australia’s business and other services imports </w:t>
      </w:r>
      <w:r w:rsidR="00CC0F9D" w:rsidRPr="00B0381F">
        <w:rPr>
          <w:sz w:val="16"/>
        </w:rPr>
        <w:t>fell 24</w:t>
      </w:r>
      <w:r w:rsidRPr="00B0381F">
        <w:rPr>
          <w:sz w:val="16"/>
        </w:rPr>
        <w:t>% to $2.</w:t>
      </w:r>
      <w:r w:rsidR="00CC0F9D" w:rsidRPr="00B0381F">
        <w:rPr>
          <w:sz w:val="16"/>
        </w:rPr>
        <w:t>0</w:t>
      </w:r>
      <w:r w:rsidRPr="00B0381F">
        <w:rPr>
          <w:sz w:val="16"/>
        </w:rPr>
        <w:t> billion in 2022</w:t>
      </w:r>
      <w:r w:rsidR="00CC0F9D" w:rsidRPr="00B0381F">
        <w:rPr>
          <w:sz w:val="16"/>
        </w:rPr>
        <w:t>-23</w:t>
      </w:r>
      <w:r w:rsidRPr="00B0381F">
        <w:rPr>
          <w:sz w:val="16"/>
        </w:rPr>
        <w:t>, with imports of:</w:t>
      </w:r>
    </w:p>
    <w:p w14:paraId="78B08A19" w14:textId="77777777" w:rsidR="00CC0F9D" w:rsidRPr="00B0381F" w:rsidRDefault="00CC0F9D" w:rsidP="008B0834">
      <w:pPr>
        <w:pStyle w:val="BodyText"/>
        <w:numPr>
          <w:ilvl w:val="1"/>
          <w:numId w:val="11"/>
        </w:numPr>
        <w:spacing w:after="0"/>
        <w:ind w:left="851" w:hanging="284"/>
        <w:jc w:val="both"/>
        <w:rPr>
          <w:sz w:val="16"/>
        </w:rPr>
      </w:pPr>
      <w:r w:rsidRPr="00B0381F">
        <w:rPr>
          <w:sz w:val="16"/>
        </w:rPr>
        <w:t>professional and management consulting services down $470 million</w:t>
      </w:r>
    </w:p>
    <w:p w14:paraId="55EFF9ED" w14:textId="5C8A2590" w:rsidR="008B0834" w:rsidRPr="00B0381F" w:rsidRDefault="00CC0F9D" w:rsidP="00CC0F9D">
      <w:pPr>
        <w:pStyle w:val="BodyText"/>
        <w:numPr>
          <w:ilvl w:val="1"/>
          <w:numId w:val="11"/>
        </w:numPr>
        <w:spacing w:after="0"/>
        <w:ind w:left="851" w:hanging="284"/>
        <w:jc w:val="both"/>
        <w:rPr>
          <w:sz w:val="16"/>
        </w:rPr>
      </w:pPr>
      <w:r w:rsidRPr="00B0381F">
        <w:rPr>
          <w:sz w:val="16"/>
        </w:rPr>
        <w:t>telecommunications, computer and information services down $126</w:t>
      </w:r>
      <w:r w:rsidR="00923641" w:rsidRPr="00B0381F">
        <w:rPr>
          <w:sz w:val="16"/>
        </w:rPr>
        <w:t> </w:t>
      </w:r>
      <w:r w:rsidRPr="00B0381F">
        <w:rPr>
          <w:sz w:val="16"/>
        </w:rPr>
        <w:t>million</w:t>
      </w:r>
      <w:r w:rsidR="008B0834" w:rsidRPr="00B0381F">
        <w:rPr>
          <w:sz w:val="16"/>
        </w:rPr>
        <w:t>.</w:t>
      </w:r>
    </w:p>
    <w:p w14:paraId="7253E90A" w14:textId="77777777" w:rsidR="008B0834" w:rsidRDefault="008B0834" w:rsidP="008B0834">
      <w:pPr>
        <w:spacing w:after="0"/>
        <w:jc w:val="both"/>
        <w:rPr>
          <w:sz w:val="16"/>
        </w:rPr>
      </w:pPr>
      <w:r>
        <w:rPr>
          <w:sz w:val="16"/>
        </w:rPr>
        <w:br w:type="page"/>
      </w:r>
    </w:p>
    <w:p w14:paraId="18200CB6" w14:textId="77777777" w:rsidR="008B0834" w:rsidRPr="00DD5DF4" w:rsidRDefault="008B0834" w:rsidP="008B0834">
      <w:pPr>
        <w:spacing w:after="0"/>
        <w:jc w:val="both"/>
        <w:rPr>
          <w:b/>
          <w:color w:val="002060"/>
          <w:sz w:val="22"/>
        </w:rPr>
      </w:pPr>
      <w:r w:rsidRPr="00DD5DF4">
        <w:rPr>
          <w:b/>
          <w:color w:val="002060"/>
          <w:sz w:val="22"/>
        </w:rPr>
        <w:lastRenderedPageBreak/>
        <w:t>Mining industry</w:t>
      </w:r>
    </w:p>
    <w:p w14:paraId="20946122" w14:textId="77777777" w:rsidR="008B0834" w:rsidRPr="008809A4" w:rsidRDefault="008B0834" w:rsidP="008B0834">
      <w:pPr>
        <w:spacing w:after="0"/>
        <w:jc w:val="both"/>
        <w:rPr>
          <w:b/>
          <w:color w:val="92278F" w:themeColor="accent1"/>
          <w:sz w:val="20"/>
        </w:rPr>
      </w:pPr>
      <w:r>
        <w:rPr>
          <w:b/>
          <w:color w:val="92278F" w:themeColor="accent1"/>
          <w:sz w:val="20"/>
        </w:rPr>
        <w:t xml:space="preserve">Minerals production: </w:t>
      </w:r>
      <w:r w:rsidRPr="008809A4">
        <w:rPr>
          <w:b/>
          <w:color w:val="92278F" w:themeColor="accent1"/>
          <w:sz w:val="20"/>
        </w:rPr>
        <w:t>2022</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195"/>
        <w:gridCol w:w="473"/>
        <w:gridCol w:w="1009"/>
        <w:gridCol w:w="790"/>
        <w:gridCol w:w="670"/>
        <w:gridCol w:w="863"/>
        <w:gridCol w:w="863"/>
      </w:tblGrid>
      <w:tr w:rsidR="008B0834" w:rsidRPr="00AD28BB" w14:paraId="60ECE60C" w14:textId="77777777" w:rsidTr="007D78C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95" w:type="dxa"/>
            <w:shd w:val="clear" w:color="auto" w:fill="002060"/>
            <w:vAlign w:val="center"/>
          </w:tcPr>
          <w:p w14:paraId="775F25F9" w14:textId="77777777" w:rsidR="008B0834" w:rsidRPr="007211AE" w:rsidRDefault="008B0834" w:rsidP="007D78CB">
            <w:pPr>
              <w:pStyle w:val="BodyText"/>
              <w:spacing w:after="0"/>
              <w:jc w:val="both"/>
              <w:rPr>
                <w:rFonts w:cstheme="minorHAnsi"/>
                <w:b w:val="0"/>
                <w:sz w:val="14"/>
                <w:szCs w:val="14"/>
              </w:rPr>
            </w:pPr>
            <w:r w:rsidRPr="007211AE">
              <w:rPr>
                <w:rFonts w:cstheme="minorHAnsi"/>
                <w:b w:val="0"/>
                <w:sz w:val="14"/>
                <w:szCs w:val="14"/>
              </w:rPr>
              <w:t>Commodity</w:t>
            </w:r>
          </w:p>
        </w:tc>
        <w:tc>
          <w:tcPr>
            <w:tcW w:w="473" w:type="dxa"/>
            <w:shd w:val="clear" w:color="auto" w:fill="002060"/>
            <w:vAlign w:val="center"/>
          </w:tcPr>
          <w:p w14:paraId="1840AC62" w14:textId="77777777" w:rsidR="008B0834" w:rsidRPr="007211AE"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7211AE">
              <w:rPr>
                <w:rFonts w:cstheme="minorHAnsi"/>
                <w:b w:val="0"/>
                <w:sz w:val="14"/>
                <w:szCs w:val="14"/>
              </w:rPr>
              <w:t>Unit</w:t>
            </w:r>
          </w:p>
        </w:tc>
        <w:tc>
          <w:tcPr>
            <w:tcW w:w="1009" w:type="dxa"/>
            <w:shd w:val="clear" w:color="auto" w:fill="002060"/>
            <w:vAlign w:val="center"/>
          </w:tcPr>
          <w:p w14:paraId="0421E6E0" w14:textId="77777777" w:rsidR="008B0834" w:rsidRPr="007211AE"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7211AE">
              <w:rPr>
                <w:rFonts w:cstheme="minorHAnsi"/>
                <w:b w:val="0"/>
                <w:sz w:val="14"/>
                <w:szCs w:val="14"/>
              </w:rPr>
              <w:t>Western Australia</w:t>
            </w:r>
          </w:p>
        </w:tc>
        <w:tc>
          <w:tcPr>
            <w:tcW w:w="0" w:type="auto"/>
            <w:shd w:val="clear" w:color="auto" w:fill="002060"/>
            <w:vAlign w:val="center"/>
          </w:tcPr>
          <w:p w14:paraId="23A2C67D" w14:textId="77777777" w:rsidR="008B0834" w:rsidRPr="007211AE"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7211AE">
              <w:rPr>
                <w:rFonts w:cstheme="minorHAnsi"/>
                <w:b w:val="0"/>
                <w:sz w:val="14"/>
                <w:szCs w:val="14"/>
              </w:rPr>
              <w:t>Australia</w:t>
            </w:r>
          </w:p>
        </w:tc>
        <w:tc>
          <w:tcPr>
            <w:tcW w:w="0" w:type="auto"/>
            <w:shd w:val="clear" w:color="auto" w:fill="002060"/>
            <w:vAlign w:val="center"/>
          </w:tcPr>
          <w:p w14:paraId="36A57C35" w14:textId="77777777" w:rsidR="008B0834" w:rsidRPr="007211AE"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7211AE">
              <w:rPr>
                <w:rFonts w:cstheme="minorHAnsi"/>
                <w:b w:val="0"/>
                <w:sz w:val="14"/>
                <w:szCs w:val="14"/>
              </w:rPr>
              <w:t>World</w:t>
            </w:r>
          </w:p>
        </w:tc>
        <w:tc>
          <w:tcPr>
            <w:tcW w:w="0" w:type="auto"/>
            <w:shd w:val="clear" w:color="auto" w:fill="002060"/>
            <w:vAlign w:val="center"/>
          </w:tcPr>
          <w:p w14:paraId="059ACC15" w14:textId="77777777" w:rsidR="008B0834"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7211AE">
              <w:rPr>
                <w:rFonts w:cstheme="minorHAnsi"/>
                <w:b w:val="0"/>
                <w:sz w:val="14"/>
                <w:szCs w:val="14"/>
              </w:rPr>
              <w:t>W</w:t>
            </w:r>
            <w:r>
              <w:rPr>
                <w:rFonts w:cstheme="minorHAnsi"/>
                <w:b w:val="0"/>
                <w:sz w:val="14"/>
                <w:szCs w:val="14"/>
              </w:rPr>
              <w:t>A share</w:t>
            </w:r>
          </w:p>
          <w:p w14:paraId="1E93F867" w14:textId="77777777" w:rsidR="008B0834" w:rsidRPr="007211AE"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Pr>
                <w:rFonts w:cstheme="minorHAnsi"/>
                <w:b w:val="0"/>
                <w:sz w:val="14"/>
                <w:szCs w:val="14"/>
              </w:rPr>
              <w:t>of Aust.</w:t>
            </w:r>
          </w:p>
        </w:tc>
        <w:tc>
          <w:tcPr>
            <w:tcW w:w="0" w:type="auto"/>
            <w:shd w:val="clear" w:color="auto" w:fill="002060"/>
            <w:vAlign w:val="center"/>
          </w:tcPr>
          <w:p w14:paraId="2DAD58CB" w14:textId="77777777" w:rsidR="008B0834"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sidRPr="007211AE">
              <w:rPr>
                <w:rFonts w:cstheme="minorHAnsi"/>
                <w:b w:val="0"/>
                <w:sz w:val="14"/>
                <w:szCs w:val="14"/>
              </w:rPr>
              <w:t>W</w:t>
            </w:r>
            <w:r>
              <w:rPr>
                <w:rFonts w:cstheme="minorHAnsi"/>
                <w:b w:val="0"/>
                <w:sz w:val="14"/>
                <w:szCs w:val="14"/>
              </w:rPr>
              <w:t xml:space="preserve">A </w:t>
            </w:r>
            <w:r w:rsidRPr="007211AE">
              <w:rPr>
                <w:rFonts w:cstheme="minorHAnsi"/>
                <w:b w:val="0"/>
                <w:sz w:val="14"/>
                <w:szCs w:val="14"/>
              </w:rPr>
              <w:t>share</w:t>
            </w:r>
          </w:p>
          <w:p w14:paraId="6E342142" w14:textId="77777777" w:rsidR="008B0834" w:rsidRPr="007211AE" w:rsidRDefault="008B0834" w:rsidP="007D78CB">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sz w:val="14"/>
                <w:szCs w:val="14"/>
              </w:rPr>
            </w:pPr>
            <w:r>
              <w:rPr>
                <w:rFonts w:cstheme="minorHAnsi"/>
                <w:b w:val="0"/>
                <w:sz w:val="14"/>
                <w:szCs w:val="14"/>
              </w:rPr>
              <w:t>of world</w:t>
            </w:r>
          </w:p>
        </w:tc>
      </w:tr>
      <w:tr w:rsidR="008B0834" w:rsidRPr="00AD28BB" w14:paraId="5C641106" w14:textId="77777777" w:rsidTr="007D7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vAlign w:val="center"/>
          </w:tcPr>
          <w:p w14:paraId="7B424AF9" w14:textId="77777777" w:rsidR="008B0834" w:rsidRPr="008809A4" w:rsidRDefault="008B0834" w:rsidP="007D78CB">
            <w:pPr>
              <w:pStyle w:val="BodyText"/>
              <w:spacing w:after="0"/>
              <w:jc w:val="both"/>
              <w:rPr>
                <w:rFonts w:cstheme="minorHAnsi"/>
                <w:b w:val="0"/>
                <w:sz w:val="14"/>
                <w:szCs w:val="14"/>
              </w:rPr>
            </w:pPr>
            <w:r w:rsidRPr="008809A4">
              <w:rPr>
                <w:rFonts w:cstheme="minorHAnsi"/>
                <w:b w:val="0"/>
                <w:sz w:val="14"/>
                <w:szCs w:val="14"/>
              </w:rPr>
              <w:t>Lithium</w:t>
            </w:r>
          </w:p>
        </w:tc>
        <w:tc>
          <w:tcPr>
            <w:tcW w:w="473" w:type="dxa"/>
            <w:vAlign w:val="center"/>
          </w:tcPr>
          <w:p w14:paraId="394332E3" w14:textId="77777777" w:rsidR="008B0834" w:rsidRPr="008809A4"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8809A4">
              <w:rPr>
                <w:rFonts w:cstheme="minorHAnsi"/>
                <w:sz w:val="14"/>
                <w:szCs w:val="14"/>
              </w:rPr>
              <w:t>Kt</w:t>
            </w:r>
          </w:p>
        </w:tc>
        <w:tc>
          <w:tcPr>
            <w:tcW w:w="1009" w:type="dxa"/>
            <w:vAlign w:val="center"/>
          </w:tcPr>
          <w:p w14:paraId="6203EED4"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77</w:t>
            </w:r>
          </w:p>
        </w:tc>
        <w:tc>
          <w:tcPr>
            <w:tcW w:w="0" w:type="auto"/>
            <w:vAlign w:val="center"/>
          </w:tcPr>
          <w:p w14:paraId="4BEE15FA"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77</w:t>
            </w:r>
          </w:p>
        </w:tc>
        <w:tc>
          <w:tcPr>
            <w:tcW w:w="0" w:type="auto"/>
            <w:vAlign w:val="center"/>
          </w:tcPr>
          <w:p w14:paraId="07CE054B"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145</w:t>
            </w:r>
          </w:p>
        </w:tc>
        <w:tc>
          <w:tcPr>
            <w:tcW w:w="0" w:type="auto"/>
            <w:vAlign w:val="center"/>
          </w:tcPr>
          <w:p w14:paraId="05ADD030"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100%</w:t>
            </w:r>
          </w:p>
        </w:tc>
        <w:tc>
          <w:tcPr>
            <w:tcW w:w="0" w:type="auto"/>
            <w:vAlign w:val="center"/>
          </w:tcPr>
          <w:p w14:paraId="78186EEA"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53%</w:t>
            </w:r>
          </w:p>
        </w:tc>
      </w:tr>
      <w:tr w:rsidR="008B0834" w:rsidRPr="00AD28BB" w14:paraId="0877CEC0" w14:textId="77777777" w:rsidTr="007D78CB">
        <w:tc>
          <w:tcPr>
            <w:cnfStyle w:val="001000000000" w:firstRow="0" w:lastRow="0" w:firstColumn="1" w:lastColumn="0" w:oddVBand="0" w:evenVBand="0" w:oddHBand="0" w:evenHBand="0" w:firstRowFirstColumn="0" w:firstRowLastColumn="0" w:lastRowFirstColumn="0" w:lastRowLastColumn="0"/>
            <w:tcW w:w="1195" w:type="dxa"/>
            <w:vAlign w:val="center"/>
          </w:tcPr>
          <w:p w14:paraId="05EE0380" w14:textId="77777777" w:rsidR="008B0834" w:rsidRPr="008809A4" w:rsidRDefault="008B0834" w:rsidP="007D78CB">
            <w:pPr>
              <w:pStyle w:val="BodyText"/>
              <w:spacing w:after="0"/>
              <w:jc w:val="both"/>
              <w:rPr>
                <w:rFonts w:cstheme="minorHAnsi"/>
                <w:b w:val="0"/>
                <w:sz w:val="14"/>
                <w:szCs w:val="14"/>
              </w:rPr>
            </w:pPr>
            <w:r w:rsidRPr="008809A4">
              <w:rPr>
                <w:rFonts w:cstheme="minorHAnsi"/>
                <w:b w:val="0"/>
                <w:sz w:val="14"/>
                <w:szCs w:val="14"/>
              </w:rPr>
              <w:t>Garnet</w:t>
            </w:r>
          </w:p>
        </w:tc>
        <w:tc>
          <w:tcPr>
            <w:tcW w:w="473" w:type="dxa"/>
            <w:vAlign w:val="center"/>
          </w:tcPr>
          <w:p w14:paraId="170903B1" w14:textId="77777777" w:rsidR="008B0834" w:rsidRPr="008809A4"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8809A4">
              <w:rPr>
                <w:rFonts w:cstheme="minorHAnsi"/>
                <w:sz w:val="14"/>
                <w:szCs w:val="14"/>
              </w:rPr>
              <w:t>Kt</w:t>
            </w:r>
          </w:p>
        </w:tc>
        <w:tc>
          <w:tcPr>
            <w:tcW w:w="1009" w:type="dxa"/>
            <w:vAlign w:val="center"/>
          </w:tcPr>
          <w:p w14:paraId="4FDF6DFF"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388</w:t>
            </w:r>
          </w:p>
        </w:tc>
        <w:tc>
          <w:tcPr>
            <w:tcW w:w="0" w:type="auto"/>
            <w:vAlign w:val="center"/>
          </w:tcPr>
          <w:p w14:paraId="498BC187"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388</w:t>
            </w:r>
          </w:p>
        </w:tc>
        <w:tc>
          <w:tcPr>
            <w:tcW w:w="0" w:type="auto"/>
            <w:vAlign w:val="center"/>
          </w:tcPr>
          <w:p w14:paraId="118C357B"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999</w:t>
            </w:r>
          </w:p>
        </w:tc>
        <w:tc>
          <w:tcPr>
            <w:tcW w:w="0" w:type="auto"/>
            <w:vAlign w:val="center"/>
          </w:tcPr>
          <w:p w14:paraId="4AEC7691"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100%</w:t>
            </w:r>
          </w:p>
        </w:tc>
        <w:tc>
          <w:tcPr>
            <w:tcW w:w="0" w:type="auto"/>
            <w:vAlign w:val="center"/>
          </w:tcPr>
          <w:p w14:paraId="6C8D6C12"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39%</w:t>
            </w:r>
          </w:p>
        </w:tc>
      </w:tr>
      <w:tr w:rsidR="008B0834" w:rsidRPr="00AD28BB" w14:paraId="69704B6C" w14:textId="77777777" w:rsidTr="007D7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vAlign w:val="center"/>
          </w:tcPr>
          <w:p w14:paraId="774357EA" w14:textId="77777777" w:rsidR="008B0834" w:rsidRPr="008809A4" w:rsidRDefault="008B0834" w:rsidP="007D78CB">
            <w:pPr>
              <w:pStyle w:val="BodyText"/>
              <w:spacing w:after="0"/>
              <w:jc w:val="both"/>
              <w:rPr>
                <w:rFonts w:cstheme="minorHAnsi"/>
                <w:b w:val="0"/>
                <w:sz w:val="14"/>
                <w:szCs w:val="14"/>
              </w:rPr>
            </w:pPr>
            <w:r w:rsidRPr="008809A4">
              <w:rPr>
                <w:rFonts w:cstheme="minorHAnsi"/>
                <w:b w:val="0"/>
                <w:sz w:val="14"/>
                <w:szCs w:val="14"/>
              </w:rPr>
              <w:t>Iron ore</w:t>
            </w:r>
          </w:p>
        </w:tc>
        <w:tc>
          <w:tcPr>
            <w:tcW w:w="473" w:type="dxa"/>
            <w:vAlign w:val="center"/>
          </w:tcPr>
          <w:p w14:paraId="6D90A6BD" w14:textId="77777777" w:rsidR="008B0834" w:rsidRPr="008809A4"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8809A4">
              <w:rPr>
                <w:rFonts w:cstheme="minorHAnsi"/>
                <w:sz w:val="14"/>
                <w:szCs w:val="14"/>
              </w:rPr>
              <w:t>Mt</w:t>
            </w:r>
          </w:p>
        </w:tc>
        <w:tc>
          <w:tcPr>
            <w:tcW w:w="1009" w:type="dxa"/>
            <w:vAlign w:val="center"/>
          </w:tcPr>
          <w:p w14:paraId="61598EE1"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856</w:t>
            </w:r>
          </w:p>
        </w:tc>
        <w:tc>
          <w:tcPr>
            <w:tcW w:w="0" w:type="auto"/>
            <w:vAlign w:val="center"/>
          </w:tcPr>
          <w:p w14:paraId="43CB2F12"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866</w:t>
            </w:r>
          </w:p>
        </w:tc>
        <w:tc>
          <w:tcPr>
            <w:tcW w:w="0" w:type="auto"/>
            <w:vAlign w:val="center"/>
          </w:tcPr>
          <w:p w14:paraId="64D99D81"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2,605</w:t>
            </w:r>
          </w:p>
        </w:tc>
        <w:tc>
          <w:tcPr>
            <w:tcW w:w="0" w:type="auto"/>
            <w:vAlign w:val="center"/>
          </w:tcPr>
          <w:p w14:paraId="0B7C4126"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99%</w:t>
            </w:r>
          </w:p>
        </w:tc>
        <w:tc>
          <w:tcPr>
            <w:tcW w:w="0" w:type="auto"/>
            <w:vAlign w:val="center"/>
          </w:tcPr>
          <w:p w14:paraId="38DBF5C5"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33%</w:t>
            </w:r>
          </w:p>
        </w:tc>
      </w:tr>
      <w:tr w:rsidR="008B0834" w:rsidRPr="00AD28BB" w14:paraId="08E81EA5" w14:textId="77777777" w:rsidTr="007D78CB">
        <w:tc>
          <w:tcPr>
            <w:cnfStyle w:val="001000000000" w:firstRow="0" w:lastRow="0" w:firstColumn="1" w:lastColumn="0" w:oddVBand="0" w:evenVBand="0" w:oddHBand="0" w:evenHBand="0" w:firstRowFirstColumn="0" w:firstRowLastColumn="0" w:lastRowFirstColumn="0" w:lastRowLastColumn="0"/>
            <w:tcW w:w="1195" w:type="dxa"/>
            <w:vAlign w:val="center"/>
          </w:tcPr>
          <w:p w14:paraId="140A6BAB" w14:textId="77777777" w:rsidR="008B0834" w:rsidRPr="008809A4" w:rsidRDefault="008B0834" w:rsidP="007D78CB">
            <w:pPr>
              <w:pStyle w:val="BodyText"/>
              <w:spacing w:after="0"/>
              <w:jc w:val="both"/>
              <w:rPr>
                <w:rFonts w:cstheme="minorHAnsi"/>
                <w:b w:val="0"/>
                <w:sz w:val="14"/>
                <w:szCs w:val="14"/>
              </w:rPr>
            </w:pPr>
            <w:r w:rsidRPr="008809A4">
              <w:rPr>
                <w:rFonts w:cstheme="minorHAnsi"/>
                <w:b w:val="0"/>
                <w:sz w:val="14"/>
                <w:szCs w:val="14"/>
              </w:rPr>
              <w:t>Zircon</w:t>
            </w:r>
          </w:p>
        </w:tc>
        <w:tc>
          <w:tcPr>
            <w:tcW w:w="473" w:type="dxa"/>
            <w:vAlign w:val="center"/>
          </w:tcPr>
          <w:p w14:paraId="6ED13524" w14:textId="77777777" w:rsidR="008B0834" w:rsidRPr="008809A4"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8809A4">
              <w:rPr>
                <w:rFonts w:cstheme="minorHAnsi"/>
                <w:sz w:val="14"/>
                <w:szCs w:val="14"/>
              </w:rPr>
              <w:t>Kt</w:t>
            </w:r>
          </w:p>
        </w:tc>
        <w:tc>
          <w:tcPr>
            <w:tcW w:w="1009" w:type="dxa"/>
            <w:vAlign w:val="center"/>
          </w:tcPr>
          <w:p w14:paraId="6AF0A4DB"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227</w:t>
            </w:r>
          </w:p>
        </w:tc>
        <w:tc>
          <w:tcPr>
            <w:tcW w:w="0" w:type="auto"/>
            <w:vAlign w:val="center"/>
          </w:tcPr>
          <w:p w14:paraId="2CF14C49"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469</w:t>
            </w:r>
          </w:p>
        </w:tc>
        <w:tc>
          <w:tcPr>
            <w:tcW w:w="0" w:type="auto"/>
            <w:vAlign w:val="center"/>
          </w:tcPr>
          <w:p w14:paraId="4008678F"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1,419</w:t>
            </w:r>
          </w:p>
        </w:tc>
        <w:tc>
          <w:tcPr>
            <w:tcW w:w="0" w:type="auto"/>
            <w:vAlign w:val="center"/>
          </w:tcPr>
          <w:p w14:paraId="1D79A707"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48%</w:t>
            </w:r>
          </w:p>
        </w:tc>
        <w:tc>
          <w:tcPr>
            <w:tcW w:w="0" w:type="auto"/>
            <w:vAlign w:val="center"/>
          </w:tcPr>
          <w:p w14:paraId="5F09755B"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16%</w:t>
            </w:r>
          </w:p>
        </w:tc>
      </w:tr>
      <w:tr w:rsidR="008B0834" w:rsidRPr="00AD28BB" w14:paraId="7BB5C7B8" w14:textId="77777777" w:rsidTr="007D7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vAlign w:val="center"/>
          </w:tcPr>
          <w:p w14:paraId="4BEC59B6" w14:textId="77777777" w:rsidR="008B0834" w:rsidRPr="008809A4" w:rsidRDefault="008B0834" w:rsidP="007D78CB">
            <w:pPr>
              <w:pStyle w:val="BodyText"/>
              <w:spacing w:after="0"/>
              <w:jc w:val="both"/>
              <w:rPr>
                <w:rFonts w:cstheme="minorHAnsi"/>
                <w:b w:val="0"/>
                <w:sz w:val="14"/>
                <w:szCs w:val="14"/>
              </w:rPr>
            </w:pPr>
            <w:r w:rsidRPr="008809A4">
              <w:rPr>
                <w:rFonts w:cstheme="minorHAnsi"/>
                <w:b w:val="0"/>
                <w:sz w:val="14"/>
                <w:szCs w:val="14"/>
              </w:rPr>
              <w:t>Rutile</w:t>
            </w:r>
          </w:p>
        </w:tc>
        <w:tc>
          <w:tcPr>
            <w:tcW w:w="473" w:type="dxa"/>
            <w:vAlign w:val="center"/>
          </w:tcPr>
          <w:p w14:paraId="453A76AE" w14:textId="77777777" w:rsidR="008B0834" w:rsidRPr="008809A4"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8809A4">
              <w:rPr>
                <w:rFonts w:cstheme="minorHAnsi"/>
                <w:sz w:val="14"/>
                <w:szCs w:val="14"/>
              </w:rPr>
              <w:t>Kt</w:t>
            </w:r>
          </w:p>
        </w:tc>
        <w:tc>
          <w:tcPr>
            <w:tcW w:w="1009" w:type="dxa"/>
            <w:vAlign w:val="center"/>
          </w:tcPr>
          <w:p w14:paraId="6EE7C9B3"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69</w:t>
            </w:r>
          </w:p>
        </w:tc>
        <w:tc>
          <w:tcPr>
            <w:tcW w:w="0" w:type="auto"/>
            <w:vAlign w:val="center"/>
          </w:tcPr>
          <w:p w14:paraId="4D31C5B9"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191</w:t>
            </w:r>
          </w:p>
        </w:tc>
        <w:tc>
          <w:tcPr>
            <w:tcW w:w="0" w:type="auto"/>
            <w:vAlign w:val="center"/>
          </w:tcPr>
          <w:p w14:paraId="097B210D"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588</w:t>
            </w:r>
          </w:p>
        </w:tc>
        <w:tc>
          <w:tcPr>
            <w:tcW w:w="0" w:type="auto"/>
            <w:vAlign w:val="center"/>
          </w:tcPr>
          <w:p w14:paraId="53AFB734"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36%</w:t>
            </w:r>
          </w:p>
        </w:tc>
        <w:tc>
          <w:tcPr>
            <w:tcW w:w="0" w:type="auto"/>
            <w:vAlign w:val="center"/>
          </w:tcPr>
          <w:p w14:paraId="17142AAC"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12%</w:t>
            </w:r>
          </w:p>
        </w:tc>
      </w:tr>
      <w:tr w:rsidR="008B0834" w:rsidRPr="00AD28BB" w14:paraId="2084186C" w14:textId="77777777" w:rsidTr="007D78CB">
        <w:tc>
          <w:tcPr>
            <w:cnfStyle w:val="001000000000" w:firstRow="0" w:lastRow="0" w:firstColumn="1" w:lastColumn="0" w:oddVBand="0" w:evenVBand="0" w:oddHBand="0" w:evenHBand="0" w:firstRowFirstColumn="0" w:firstRowLastColumn="0" w:lastRowFirstColumn="0" w:lastRowLastColumn="0"/>
            <w:tcW w:w="1195" w:type="dxa"/>
            <w:vAlign w:val="center"/>
          </w:tcPr>
          <w:p w14:paraId="07BBE9BD" w14:textId="77777777" w:rsidR="008B0834" w:rsidRPr="008809A4" w:rsidRDefault="008B0834" w:rsidP="007D78CB">
            <w:pPr>
              <w:pStyle w:val="BodyText"/>
              <w:spacing w:after="0"/>
              <w:jc w:val="both"/>
              <w:rPr>
                <w:rFonts w:cstheme="minorHAnsi"/>
                <w:b w:val="0"/>
                <w:sz w:val="14"/>
                <w:szCs w:val="14"/>
              </w:rPr>
            </w:pPr>
            <w:r w:rsidRPr="008809A4">
              <w:rPr>
                <w:rFonts w:cstheme="minorHAnsi"/>
                <w:b w:val="0"/>
                <w:sz w:val="14"/>
                <w:szCs w:val="14"/>
              </w:rPr>
              <w:t>Alumina</w:t>
            </w:r>
          </w:p>
        </w:tc>
        <w:tc>
          <w:tcPr>
            <w:tcW w:w="473" w:type="dxa"/>
            <w:vAlign w:val="center"/>
          </w:tcPr>
          <w:p w14:paraId="4F02AFEE" w14:textId="77777777" w:rsidR="008B0834" w:rsidRPr="008809A4"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8809A4">
              <w:rPr>
                <w:rFonts w:cstheme="minorHAnsi"/>
                <w:sz w:val="14"/>
                <w:szCs w:val="14"/>
              </w:rPr>
              <w:t>Mt</w:t>
            </w:r>
          </w:p>
        </w:tc>
        <w:tc>
          <w:tcPr>
            <w:tcW w:w="1009" w:type="dxa"/>
            <w:vAlign w:val="center"/>
          </w:tcPr>
          <w:p w14:paraId="3524271C"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13</w:t>
            </w:r>
          </w:p>
        </w:tc>
        <w:tc>
          <w:tcPr>
            <w:tcW w:w="0" w:type="auto"/>
            <w:vAlign w:val="center"/>
          </w:tcPr>
          <w:p w14:paraId="46FD3B5B"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20</w:t>
            </w:r>
          </w:p>
        </w:tc>
        <w:tc>
          <w:tcPr>
            <w:tcW w:w="0" w:type="auto"/>
            <w:vAlign w:val="center"/>
          </w:tcPr>
          <w:p w14:paraId="7BDAF842"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136</w:t>
            </w:r>
          </w:p>
        </w:tc>
        <w:tc>
          <w:tcPr>
            <w:tcW w:w="0" w:type="auto"/>
            <w:vAlign w:val="center"/>
          </w:tcPr>
          <w:p w14:paraId="1A72F2E4"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69%</w:t>
            </w:r>
          </w:p>
        </w:tc>
        <w:tc>
          <w:tcPr>
            <w:tcW w:w="0" w:type="auto"/>
            <w:vAlign w:val="center"/>
          </w:tcPr>
          <w:p w14:paraId="46DCD27E"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10%</w:t>
            </w:r>
          </w:p>
        </w:tc>
      </w:tr>
      <w:tr w:rsidR="008B0834" w:rsidRPr="00AD28BB" w14:paraId="1F79136B" w14:textId="77777777" w:rsidTr="007D7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vAlign w:val="center"/>
          </w:tcPr>
          <w:p w14:paraId="06A9A940" w14:textId="77777777" w:rsidR="008B0834" w:rsidRPr="008809A4" w:rsidRDefault="008B0834" w:rsidP="007D78CB">
            <w:pPr>
              <w:pStyle w:val="BodyText"/>
              <w:spacing w:after="0"/>
              <w:jc w:val="both"/>
              <w:rPr>
                <w:rFonts w:cstheme="minorHAnsi"/>
                <w:b w:val="0"/>
                <w:sz w:val="14"/>
                <w:szCs w:val="14"/>
              </w:rPr>
            </w:pPr>
            <w:r w:rsidRPr="008809A4">
              <w:rPr>
                <w:rFonts w:cstheme="minorHAnsi"/>
                <w:b w:val="0"/>
                <w:sz w:val="14"/>
                <w:szCs w:val="14"/>
              </w:rPr>
              <w:t>Rare earths</w:t>
            </w:r>
          </w:p>
        </w:tc>
        <w:tc>
          <w:tcPr>
            <w:tcW w:w="473" w:type="dxa"/>
            <w:vAlign w:val="center"/>
          </w:tcPr>
          <w:p w14:paraId="35CEB0B3" w14:textId="77777777" w:rsidR="008B0834" w:rsidRPr="008809A4"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8809A4">
              <w:rPr>
                <w:rFonts w:cstheme="minorHAnsi"/>
                <w:sz w:val="14"/>
                <w:szCs w:val="14"/>
              </w:rPr>
              <w:t>Kt</w:t>
            </w:r>
          </w:p>
        </w:tc>
        <w:tc>
          <w:tcPr>
            <w:tcW w:w="1009" w:type="dxa"/>
            <w:vAlign w:val="center"/>
          </w:tcPr>
          <w:p w14:paraId="555DA28F"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30</w:t>
            </w:r>
          </w:p>
        </w:tc>
        <w:tc>
          <w:tcPr>
            <w:tcW w:w="0" w:type="auto"/>
            <w:vAlign w:val="center"/>
          </w:tcPr>
          <w:p w14:paraId="0432387F"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30</w:t>
            </w:r>
          </w:p>
        </w:tc>
        <w:tc>
          <w:tcPr>
            <w:tcW w:w="0" w:type="auto"/>
            <w:vAlign w:val="center"/>
          </w:tcPr>
          <w:p w14:paraId="15AE0CDF"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313</w:t>
            </w:r>
          </w:p>
        </w:tc>
        <w:tc>
          <w:tcPr>
            <w:tcW w:w="0" w:type="auto"/>
            <w:vAlign w:val="center"/>
          </w:tcPr>
          <w:p w14:paraId="51308B58"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100%</w:t>
            </w:r>
          </w:p>
        </w:tc>
        <w:tc>
          <w:tcPr>
            <w:tcW w:w="0" w:type="auto"/>
            <w:vAlign w:val="center"/>
          </w:tcPr>
          <w:p w14:paraId="4E5EA1FC"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10%</w:t>
            </w:r>
          </w:p>
        </w:tc>
      </w:tr>
      <w:tr w:rsidR="008B0834" w:rsidRPr="00AD28BB" w14:paraId="57F4F6C5" w14:textId="77777777" w:rsidTr="007D78CB">
        <w:tc>
          <w:tcPr>
            <w:cnfStyle w:val="001000000000" w:firstRow="0" w:lastRow="0" w:firstColumn="1" w:lastColumn="0" w:oddVBand="0" w:evenVBand="0" w:oddHBand="0" w:evenHBand="0" w:firstRowFirstColumn="0" w:firstRowLastColumn="0" w:lastRowFirstColumn="0" w:lastRowLastColumn="0"/>
            <w:tcW w:w="1195" w:type="dxa"/>
            <w:vAlign w:val="center"/>
          </w:tcPr>
          <w:p w14:paraId="02EAC5AB" w14:textId="77777777" w:rsidR="008B0834" w:rsidRPr="008809A4" w:rsidRDefault="008B0834" w:rsidP="007D78CB">
            <w:pPr>
              <w:pStyle w:val="BodyText"/>
              <w:spacing w:after="0"/>
              <w:jc w:val="both"/>
              <w:rPr>
                <w:rFonts w:cstheme="minorHAnsi"/>
                <w:b w:val="0"/>
                <w:sz w:val="14"/>
                <w:szCs w:val="14"/>
              </w:rPr>
            </w:pPr>
            <w:r w:rsidRPr="008809A4">
              <w:rPr>
                <w:rFonts w:cstheme="minorHAnsi"/>
                <w:b w:val="0"/>
                <w:sz w:val="14"/>
                <w:szCs w:val="14"/>
              </w:rPr>
              <w:t>Gold</w:t>
            </w:r>
          </w:p>
        </w:tc>
        <w:tc>
          <w:tcPr>
            <w:tcW w:w="473" w:type="dxa"/>
            <w:vAlign w:val="center"/>
          </w:tcPr>
          <w:p w14:paraId="03ADE3C7" w14:textId="77777777" w:rsidR="008B0834" w:rsidRPr="008809A4"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8809A4">
              <w:rPr>
                <w:rFonts w:cstheme="minorHAnsi"/>
                <w:sz w:val="14"/>
                <w:szCs w:val="14"/>
              </w:rPr>
              <w:t>t</w:t>
            </w:r>
          </w:p>
        </w:tc>
        <w:tc>
          <w:tcPr>
            <w:tcW w:w="1009" w:type="dxa"/>
            <w:vAlign w:val="center"/>
          </w:tcPr>
          <w:p w14:paraId="4107F4AE"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215</w:t>
            </w:r>
          </w:p>
        </w:tc>
        <w:tc>
          <w:tcPr>
            <w:tcW w:w="0" w:type="auto"/>
            <w:vAlign w:val="center"/>
          </w:tcPr>
          <w:p w14:paraId="69428832"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305</w:t>
            </w:r>
          </w:p>
        </w:tc>
        <w:tc>
          <w:tcPr>
            <w:tcW w:w="0" w:type="auto"/>
            <w:vAlign w:val="center"/>
          </w:tcPr>
          <w:p w14:paraId="386FE4A5"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3,075</w:t>
            </w:r>
          </w:p>
        </w:tc>
        <w:tc>
          <w:tcPr>
            <w:tcW w:w="0" w:type="auto"/>
            <w:vAlign w:val="center"/>
          </w:tcPr>
          <w:p w14:paraId="37A358CC"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70%</w:t>
            </w:r>
          </w:p>
        </w:tc>
        <w:tc>
          <w:tcPr>
            <w:tcW w:w="0" w:type="auto"/>
            <w:vAlign w:val="center"/>
          </w:tcPr>
          <w:p w14:paraId="10924F32"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7%</w:t>
            </w:r>
          </w:p>
        </w:tc>
      </w:tr>
      <w:tr w:rsidR="008B0834" w:rsidRPr="00AD28BB" w14:paraId="0CA6E5D9" w14:textId="77777777" w:rsidTr="007D7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vAlign w:val="center"/>
          </w:tcPr>
          <w:p w14:paraId="6BABD9F3" w14:textId="77777777" w:rsidR="008B0834" w:rsidRPr="008809A4" w:rsidRDefault="008B0834" w:rsidP="007D78CB">
            <w:pPr>
              <w:pStyle w:val="BodyText"/>
              <w:spacing w:after="0"/>
              <w:jc w:val="both"/>
              <w:rPr>
                <w:rFonts w:cstheme="minorHAnsi"/>
                <w:b w:val="0"/>
                <w:sz w:val="14"/>
                <w:szCs w:val="14"/>
              </w:rPr>
            </w:pPr>
            <w:r w:rsidRPr="008809A4">
              <w:rPr>
                <w:rFonts w:cstheme="minorHAnsi"/>
                <w:b w:val="0"/>
                <w:sz w:val="14"/>
                <w:szCs w:val="14"/>
              </w:rPr>
              <w:t>Nickel ore</w:t>
            </w:r>
          </w:p>
        </w:tc>
        <w:tc>
          <w:tcPr>
            <w:tcW w:w="473" w:type="dxa"/>
            <w:vAlign w:val="center"/>
          </w:tcPr>
          <w:p w14:paraId="3AD53F2E" w14:textId="77777777" w:rsidR="008B0834" w:rsidRPr="008809A4"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8809A4">
              <w:rPr>
                <w:rFonts w:cstheme="minorHAnsi"/>
                <w:sz w:val="14"/>
                <w:szCs w:val="14"/>
              </w:rPr>
              <w:t>Kt</w:t>
            </w:r>
          </w:p>
        </w:tc>
        <w:tc>
          <w:tcPr>
            <w:tcW w:w="1009" w:type="dxa"/>
            <w:vAlign w:val="center"/>
          </w:tcPr>
          <w:p w14:paraId="21E5A3F3"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155</w:t>
            </w:r>
          </w:p>
        </w:tc>
        <w:tc>
          <w:tcPr>
            <w:tcW w:w="0" w:type="auto"/>
            <w:vAlign w:val="center"/>
          </w:tcPr>
          <w:p w14:paraId="01CF6BC3"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157</w:t>
            </w:r>
          </w:p>
        </w:tc>
        <w:tc>
          <w:tcPr>
            <w:tcW w:w="0" w:type="auto"/>
            <w:vAlign w:val="center"/>
          </w:tcPr>
          <w:p w14:paraId="0D65BA16"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3,278</w:t>
            </w:r>
          </w:p>
        </w:tc>
        <w:tc>
          <w:tcPr>
            <w:tcW w:w="0" w:type="auto"/>
            <w:vAlign w:val="center"/>
          </w:tcPr>
          <w:p w14:paraId="12A091D9"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99%</w:t>
            </w:r>
          </w:p>
        </w:tc>
        <w:tc>
          <w:tcPr>
            <w:tcW w:w="0" w:type="auto"/>
            <w:vAlign w:val="center"/>
          </w:tcPr>
          <w:p w14:paraId="3507F09F"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5%</w:t>
            </w:r>
          </w:p>
        </w:tc>
      </w:tr>
      <w:tr w:rsidR="008B0834" w:rsidRPr="00AD28BB" w14:paraId="1ED112F2" w14:textId="77777777" w:rsidTr="007D78CB">
        <w:tc>
          <w:tcPr>
            <w:cnfStyle w:val="001000000000" w:firstRow="0" w:lastRow="0" w:firstColumn="1" w:lastColumn="0" w:oddVBand="0" w:evenVBand="0" w:oddHBand="0" w:evenHBand="0" w:firstRowFirstColumn="0" w:firstRowLastColumn="0" w:lastRowFirstColumn="0" w:lastRowLastColumn="0"/>
            <w:tcW w:w="1195" w:type="dxa"/>
            <w:vAlign w:val="center"/>
          </w:tcPr>
          <w:p w14:paraId="79CC6063" w14:textId="77777777" w:rsidR="008B0834" w:rsidRPr="00351552" w:rsidRDefault="008B0834" w:rsidP="007D78CB">
            <w:pPr>
              <w:pStyle w:val="BodyText"/>
              <w:spacing w:after="0"/>
              <w:jc w:val="both"/>
              <w:rPr>
                <w:rFonts w:cstheme="minorHAnsi"/>
                <w:b w:val="0"/>
                <w:color w:val="000000" w:themeColor="text1"/>
                <w:sz w:val="14"/>
                <w:szCs w:val="14"/>
              </w:rPr>
            </w:pPr>
            <w:r w:rsidRPr="00351552">
              <w:rPr>
                <w:rFonts w:cstheme="minorHAnsi"/>
                <w:b w:val="0"/>
                <w:color w:val="000000" w:themeColor="text1"/>
                <w:sz w:val="14"/>
                <w:szCs w:val="14"/>
              </w:rPr>
              <w:t>Salt</w:t>
            </w:r>
          </w:p>
        </w:tc>
        <w:tc>
          <w:tcPr>
            <w:tcW w:w="473" w:type="dxa"/>
            <w:vAlign w:val="center"/>
          </w:tcPr>
          <w:p w14:paraId="309ABCC3"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Mt</w:t>
            </w:r>
          </w:p>
        </w:tc>
        <w:tc>
          <w:tcPr>
            <w:tcW w:w="1009" w:type="dxa"/>
            <w:vAlign w:val="center"/>
          </w:tcPr>
          <w:p w14:paraId="3B4855FD"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12</w:t>
            </w:r>
          </w:p>
        </w:tc>
        <w:tc>
          <w:tcPr>
            <w:tcW w:w="0" w:type="auto"/>
            <w:vAlign w:val="center"/>
          </w:tcPr>
          <w:p w14:paraId="611799E2"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13</w:t>
            </w:r>
          </w:p>
        </w:tc>
        <w:tc>
          <w:tcPr>
            <w:tcW w:w="0" w:type="auto"/>
            <w:vAlign w:val="center"/>
          </w:tcPr>
          <w:p w14:paraId="61775E2C"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294</w:t>
            </w:r>
          </w:p>
        </w:tc>
        <w:tc>
          <w:tcPr>
            <w:tcW w:w="0" w:type="auto"/>
            <w:vAlign w:val="center"/>
          </w:tcPr>
          <w:p w14:paraId="3B64AD7A"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90%</w:t>
            </w:r>
          </w:p>
        </w:tc>
        <w:tc>
          <w:tcPr>
            <w:tcW w:w="0" w:type="auto"/>
            <w:vAlign w:val="center"/>
          </w:tcPr>
          <w:p w14:paraId="206005F4"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4%</w:t>
            </w:r>
          </w:p>
        </w:tc>
      </w:tr>
      <w:tr w:rsidR="008B0834" w:rsidRPr="00AD28BB" w14:paraId="7042543A" w14:textId="77777777" w:rsidTr="007D7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vAlign w:val="center"/>
          </w:tcPr>
          <w:p w14:paraId="55D09552" w14:textId="77777777" w:rsidR="008B0834" w:rsidRPr="00351552" w:rsidRDefault="008B0834" w:rsidP="007D78CB">
            <w:pPr>
              <w:pStyle w:val="BodyText"/>
              <w:spacing w:after="0"/>
              <w:jc w:val="both"/>
              <w:rPr>
                <w:rFonts w:cstheme="minorHAnsi"/>
                <w:b w:val="0"/>
                <w:color w:val="000000" w:themeColor="text1"/>
                <w:sz w:val="14"/>
                <w:szCs w:val="14"/>
              </w:rPr>
            </w:pPr>
            <w:r w:rsidRPr="00351552">
              <w:rPr>
                <w:rFonts w:cstheme="minorHAnsi"/>
                <w:b w:val="0"/>
                <w:color w:val="000000" w:themeColor="text1"/>
                <w:sz w:val="14"/>
                <w:szCs w:val="14"/>
              </w:rPr>
              <w:t>Cobalt</w:t>
            </w:r>
          </w:p>
        </w:tc>
        <w:tc>
          <w:tcPr>
            <w:tcW w:w="473" w:type="dxa"/>
            <w:vAlign w:val="center"/>
          </w:tcPr>
          <w:p w14:paraId="3DFD489A"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Kt</w:t>
            </w:r>
          </w:p>
        </w:tc>
        <w:tc>
          <w:tcPr>
            <w:tcW w:w="1009" w:type="dxa"/>
            <w:vAlign w:val="center"/>
          </w:tcPr>
          <w:p w14:paraId="38D6FF4E"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6</w:t>
            </w:r>
          </w:p>
        </w:tc>
        <w:tc>
          <w:tcPr>
            <w:tcW w:w="0" w:type="auto"/>
            <w:vAlign w:val="center"/>
          </w:tcPr>
          <w:p w14:paraId="2B0D387E"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6</w:t>
            </w:r>
          </w:p>
        </w:tc>
        <w:tc>
          <w:tcPr>
            <w:tcW w:w="0" w:type="auto"/>
            <w:vAlign w:val="center"/>
          </w:tcPr>
          <w:p w14:paraId="353CF57E"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185</w:t>
            </w:r>
          </w:p>
        </w:tc>
        <w:tc>
          <w:tcPr>
            <w:tcW w:w="0" w:type="auto"/>
            <w:vAlign w:val="center"/>
          </w:tcPr>
          <w:p w14:paraId="7EA2B3B1"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100%</w:t>
            </w:r>
          </w:p>
        </w:tc>
        <w:tc>
          <w:tcPr>
            <w:tcW w:w="0" w:type="auto"/>
            <w:vAlign w:val="center"/>
          </w:tcPr>
          <w:p w14:paraId="42D49419"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3%</w:t>
            </w:r>
          </w:p>
        </w:tc>
      </w:tr>
      <w:tr w:rsidR="008B0834" w:rsidRPr="00AD28BB" w14:paraId="618D6358" w14:textId="77777777" w:rsidTr="007D78CB">
        <w:tc>
          <w:tcPr>
            <w:cnfStyle w:val="001000000000" w:firstRow="0" w:lastRow="0" w:firstColumn="1" w:lastColumn="0" w:oddVBand="0" w:evenVBand="0" w:oddHBand="0" w:evenHBand="0" w:firstRowFirstColumn="0" w:firstRowLastColumn="0" w:lastRowFirstColumn="0" w:lastRowLastColumn="0"/>
            <w:tcW w:w="1195" w:type="dxa"/>
            <w:vAlign w:val="center"/>
          </w:tcPr>
          <w:p w14:paraId="3BA62A69" w14:textId="77777777" w:rsidR="008B0834" w:rsidRPr="00351552" w:rsidRDefault="008B0834" w:rsidP="007D78CB">
            <w:pPr>
              <w:pStyle w:val="BodyText"/>
              <w:spacing w:after="0"/>
              <w:jc w:val="both"/>
              <w:rPr>
                <w:rFonts w:cstheme="minorHAnsi"/>
                <w:b w:val="0"/>
                <w:color w:val="000000" w:themeColor="text1"/>
                <w:sz w:val="14"/>
                <w:szCs w:val="14"/>
              </w:rPr>
            </w:pPr>
            <w:r w:rsidRPr="00351552">
              <w:rPr>
                <w:rFonts w:cstheme="minorHAnsi"/>
                <w:b w:val="0"/>
                <w:color w:val="000000" w:themeColor="text1"/>
                <w:sz w:val="14"/>
                <w:szCs w:val="14"/>
              </w:rPr>
              <w:t>Manganese</w:t>
            </w:r>
          </w:p>
        </w:tc>
        <w:tc>
          <w:tcPr>
            <w:tcW w:w="473" w:type="dxa"/>
            <w:vAlign w:val="center"/>
          </w:tcPr>
          <w:p w14:paraId="70B5C300"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Kt</w:t>
            </w:r>
          </w:p>
        </w:tc>
        <w:tc>
          <w:tcPr>
            <w:tcW w:w="1009" w:type="dxa"/>
            <w:vAlign w:val="center"/>
          </w:tcPr>
          <w:p w14:paraId="0806D46F"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499</w:t>
            </w:r>
          </w:p>
        </w:tc>
        <w:tc>
          <w:tcPr>
            <w:tcW w:w="0" w:type="auto"/>
            <w:vAlign w:val="center"/>
          </w:tcPr>
          <w:p w14:paraId="09105C80"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2,971</w:t>
            </w:r>
          </w:p>
        </w:tc>
        <w:tc>
          <w:tcPr>
            <w:tcW w:w="0" w:type="auto"/>
            <w:vAlign w:val="center"/>
          </w:tcPr>
          <w:p w14:paraId="53B95A7D"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19,761</w:t>
            </w:r>
          </w:p>
        </w:tc>
        <w:tc>
          <w:tcPr>
            <w:tcW w:w="0" w:type="auto"/>
            <w:vAlign w:val="center"/>
          </w:tcPr>
          <w:p w14:paraId="08D14BE6"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17%</w:t>
            </w:r>
          </w:p>
        </w:tc>
        <w:tc>
          <w:tcPr>
            <w:tcW w:w="0" w:type="auto"/>
            <w:vAlign w:val="center"/>
          </w:tcPr>
          <w:p w14:paraId="60596BE7"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2%</w:t>
            </w:r>
          </w:p>
        </w:tc>
      </w:tr>
      <w:tr w:rsidR="008B0834" w:rsidRPr="00AD28BB" w14:paraId="30D722BF" w14:textId="77777777" w:rsidTr="007D7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vAlign w:val="center"/>
          </w:tcPr>
          <w:p w14:paraId="08290C6D" w14:textId="77777777" w:rsidR="008B0834" w:rsidRPr="008809A4" w:rsidRDefault="008B0834" w:rsidP="007D78CB">
            <w:pPr>
              <w:pStyle w:val="BodyText"/>
              <w:spacing w:after="0"/>
              <w:jc w:val="both"/>
              <w:rPr>
                <w:rFonts w:cstheme="minorHAnsi"/>
                <w:b w:val="0"/>
                <w:sz w:val="14"/>
                <w:szCs w:val="14"/>
              </w:rPr>
            </w:pPr>
            <w:r w:rsidRPr="008809A4">
              <w:rPr>
                <w:rFonts w:cstheme="minorHAnsi"/>
                <w:b w:val="0"/>
                <w:sz w:val="14"/>
                <w:szCs w:val="14"/>
              </w:rPr>
              <w:t>Illmenite</w:t>
            </w:r>
            <w:r w:rsidRPr="008809A4">
              <w:rPr>
                <w:rFonts w:cstheme="minorHAnsi"/>
                <w:b w:val="0"/>
                <w:sz w:val="14"/>
                <w:szCs w:val="14"/>
                <w:vertAlign w:val="superscript"/>
              </w:rPr>
              <w:t>1</w:t>
            </w:r>
          </w:p>
        </w:tc>
        <w:tc>
          <w:tcPr>
            <w:tcW w:w="473" w:type="dxa"/>
            <w:vAlign w:val="center"/>
          </w:tcPr>
          <w:p w14:paraId="29CE62D4" w14:textId="77777777" w:rsidR="008B0834" w:rsidRPr="008809A4"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8809A4">
              <w:rPr>
                <w:rFonts w:cstheme="minorHAnsi"/>
                <w:sz w:val="14"/>
                <w:szCs w:val="14"/>
              </w:rPr>
              <w:t>Kt</w:t>
            </w:r>
          </w:p>
        </w:tc>
        <w:tc>
          <w:tcPr>
            <w:tcW w:w="1009" w:type="dxa"/>
            <w:vAlign w:val="center"/>
          </w:tcPr>
          <w:p w14:paraId="6DB21F74"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206</w:t>
            </w:r>
          </w:p>
        </w:tc>
        <w:tc>
          <w:tcPr>
            <w:tcW w:w="0" w:type="auto"/>
            <w:vAlign w:val="center"/>
          </w:tcPr>
          <w:p w14:paraId="656D8712"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665</w:t>
            </w:r>
          </w:p>
        </w:tc>
        <w:tc>
          <w:tcPr>
            <w:tcW w:w="0" w:type="auto"/>
            <w:vAlign w:val="center"/>
          </w:tcPr>
          <w:p w14:paraId="35E3A6F7"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8,934</w:t>
            </w:r>
          </w:p>
        </w:tc>
        <w:tc>
          <w:tcPr>
            <w:tcW w:w="0" w:type="auto"/>
            <w:vAlign w:val="center"/>
          </w:tcPr>
          <w:p w14:paraId="79891B02"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31%</w:t>
            </w:r>
          </w:p>
        </w:tc>
        <w:tc>
          <w:tcPr>
            <w:tcW w:w="0" w:type="auto"/>
            <w:vAlign w:val="center"/>
          </w:tcPr>
          <w:p w14:paraId="1BDE0E4B"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2%</w:t>
            </w:r>
          </w:p>
        </w:tc>
      </w:tr>
      <w:tr w:rsidR="008B0834" w:rsidRPr="00AD28BB" w14:paraId="67FACF28" w14:textId="77777777" w:rsidTr="007D78CB">
        <w:tc>
          <w:tcPr>
            <w:cnfStyle w:val="001000000000" w:firstRow="0" w:lastRow="0" w:firstColumn="1" w:lastColumn="0" w:oddVBand="0" w:evenVBand="0" w:oddHBand="0" w:evenHBand="0" w:firstRowFirstColumn="0" w:firstRowLastColumn="0" w:lastRowFirstColumn="0" w:lastRowLastColumn="0"/>
            <w:tcW w:w="1195" w:type="dxa"/>
            <w:vAlign w:val="center"/>
          </w:tcPr>
          <w:p w14:paraId="485CC883" w14:textId="77777777" w:rsidR="008B0834" w:rsidRPr="008809A4" w:rsidRDefault="008B0834" w:rsidP="007D78CB">
            <w:pPr>
              <w:pStyle w:val="BodyText"/>
              <w:spacing w:after="0"/>
              <w:jc w:val="both"/>
              <w:rPr>
                <w:rFonts w:cstheme="minorHAnsi"/>
                <w:b w:val="0"/>
                <w:sz w:val="14"/>
                <w:szCs w:val="14"/>
              </w:rPr>
            </w:pPr>
            <w:r w:rsidRPr="008809A4">
              <w:rPr>
                <w:rFonts w:cstheme="minorHAnsi"/>
                <w:b w:val="0"/>
                <w:sz w:val="14"/>
                <w:szCs w:val="14"/>
              </w:rPr>
              <w:t>Copper</w:t>
            </w:r>
          </w:p>
        </w:tc>
        <w:tc>
          <w:tcPr>
            <w:tcW w:w="473" w:type="dxa"/>
            <w:vAlign w:val="center"/>
          </w:tcPr>
          <w:p w14:paraId="2A851C3D" w14:textId="77777777" w:rsidR="008B0834" w:rsidRPr="008809A4"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8809A4">
              <w:rPr>
                <w:rFonts w:cstheme="minorHAnsi"/>
                <w:sz w:val="14"/>
                <w:szCs w:val="14"/>
              </w:rPr>
              <w:t>Kt</w:t>
            </w:r>
          </w:p>
        </w:tc>
        <w:tc>
          <w:tcPr>
            <w:tcW w:w="1009" w:type="dxa"/>
            <w:vAlign w:val="center"/>
          </w:tcPr>
          <w:p w14:paraId="4F99110C"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143</w:t>
            </w:r>
          </w:p>
        </w:tc>
        <w:tc>
          <w:tcPr>
            <w:tcW w:w="0" w:type="auto"/>
            <w:vAlign w:val="center"/>
          </w:tcPr>
          <w:p w14:paraId="3E2FDEBD"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828</w:t>
            </w:r>
          </w:p>
        </w:tc>
        <w:tc>
          <w:tcPr>
            <w:tcW w:w="0" w:type="auto"/>
            <w:vAlign w:val="center"/>
          </w:tcPr>
          <w:p w14:paraId="4D80C948"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21,958</w:t>
            </w:r>
          </w:p>
        </w:tc>
        <w:tc>
          <w:tcPr>
            <w:tcW w:w="0" w:type="auto"/>
            <w:vAlign w:val="center"/>
          </w:tcPr>
          <w:p w14:paraId="60B6BA14"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17%</w:t>
            </w:r>
          </w:p>
        </w:tc>
        <w:tc>
          <w:tcPr>
            <w:tcW w:w="0" w:type="auto"/>
            <w:vAlign w:val="center"/>
          </w:tcPr>
          <w:p w14:paraId="5D0D72D2" w14:textId="77777777" w:rsidR="008B0834" w:rsidRPr="00351552" w:rsidRDefault="008B0834" w:rsidP="007D78CB">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w:t>
            </w:r>
          </w:p>
        </w:tc>
      </w:tr>
      <w:tr w:rsidR="008B0834" w:rsidRPr="00AD28BB" w14:paraId="68A01C13" w14:textId="77777777" w:rsidTr="007D7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vAlign w:val="center"/>
          </w:tcPr>
          <w:p w14:paraId="1BEA2ED0" w14:textId="77777777" w:rsidR="008B0834" w:rsidRPr="008809A4" w:rsidRDefault="008B0834" w:rsidP="007D78CB">
            <w:pPr>
              <w:pStyle w:val="BodyText"/>
              <w:spacing w:after="0"/>
              <w:jc w:val="both"/>
              <w:rPr>
                <w:rFonts w:cstheme="minorHAnsi"/>
                <w:b w:val="0"/>
                <w:sz w:val="14"/>
                <w:szCs w:val="14"/>
              </w:rPr>
            </w:pPr>
            <w:r w:rsidRPr="008809A4">
              <w:rPr>
                <w:rFonts w:cstheme="minorHAnsi"/>
                <w:b w:val="0"/>
                <w:sz w:val="14"/>
                <w:szCs w:val="14"/>
              </w:rPr>
              <w:t>Zinc</w:t>
            </w:r>
          </w:p>
        </w:tc>
        <w:tc>
          <w:tcPr>
            <w:tcW w:w="473" w:type="dxa"/>
            <w:vAlign w:val="center"/>
          </w:tcPr>
          <w:p w14:paraId="0212B004" w14:textId="77777777" w:rsidR="008B0834" w:rsidRPr="008809A4"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8809A4">
              <w:rPr>
                <w:rFonts w:cstheme="minorHAnsi"/>
                <w:sz w:val="14"/>
                <w:szCs w:val="14"/>
              </w:rPr>
              <w:t>Kt</w:t>
            </w:r>
          </w:p>
        </w:tc>
        <w:tc>
          <w:tcPr>
            <w:tcW w:w="1009" w:type="dxa"/>
            <w:vAlign w:val="center"/>
          </w:tcPr>
          <w:p w14:paraId="21F743C0"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70</w:t>
            </w:r>
          </w:p>
        </w:tc>
        <w:tc>
          <w:tcPr>
            <w:tcW w:w="0" w:type="auto"/>
            <w:vAlign w:val="center"/>
          </w:tcPr>
          <w:p w14:paraId="25EEDC5E"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1,224</w:t>
            </w:r>
          </w:p>
        </w:tc>
        <w:tc>
          <w:tcPr>
            <w:tcW w:w="0" w:type="auto"/>
            <w:vAlign w:val="center"/>
          </w:tcPr>
          <w:p w14:paraId="5788D4CB"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12,654</w:t>
            </w:r>
          </w:p>
        </w:tc>
        <w:tc>
          <w:tcPr>
            <w:tcW w:w="0" w:type="auto"/>
            <w:vAlign w:val="center"/>
          </w:tcPr>
          <w:p w14:paraId="37585700"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6%</w:t>
            </w:r>
          </w:p>
        </w:tc>
        <w:tc>
          <w:tcPr>
            <w:tcW w:w="0" w:type="auto"/>
            <w:vAlign w:val="center"/>
          </w:tcPr>
          <w:p w14:paraId="530E5A04" w14:textId="77777777" w:rsidR="008B0834" w:rsidRPr="00351552" w:rsidRDefault="008B0834" w:rsidP="007D78CB">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4"/>
                <w:szCs w:val="14"/>
              </w:rPr>
            </w:pPr>
            <w:r w:rsidRPr="00351552">
              <w:rPr>
                <w:rFonts w:cstheme="minorHAnsi"/>
                <w:color w:val="000000" w:themeColor="text1"/>
                <w:sz w:val="14"/>
                <w:szCs w:val="14"/>
              </w:rPr>
              <w:t>1%</w:t>
            </w:r>
          </w:p>
        </w:tc>
      </w:tr>
    </w:tbl>
    <w:p w14:paraId="6161EFD3" w14:textId="77777777" w:rsidR="008B0834" w:rsidRPr="00087867" w:rsidRDefault="008B0834" w:rsidP="008B0834">
      <w:pPr>
        <w:spacing w:after="0"/>
        <w:jc w:val="both"/>
        <w:rPr>
          <w:sz w:val="10"/>
        </w:rPr>
      </w:pPr>
      <w:r w:rsidRPr="00087867">
        <w:rPr>
          <w:sz w:val="10"/>
        </w:rPr>
        <w:t xml:space="preserve">Mt = Million tonnes. Kt = Thousand tonnes. t = tonnes. </w:t>
      </w:r>
      <w:proofErr w:type="spellStart"/>
      <w:r w:rsidRPr="00087867">
        <w:rPr>
          <w:sz w:val="10"/>
        </w:rPr>
        <w:t>Mct</w:t>
      </w:r>
      <w:proofErr w:type="spellEnd"/>
      <w:r w:rsidRPr="00087867">
        <w:rPr>
          <w:sz w:val="10"/>
        </w:rPr>
        <w:t xml:space="preserve"> = Million carats</w:t>
      </w:r>
      <w:r>
        <w:rPr>
          <w:sz w:val="10"/>
        </w:rPr>
        <w:t xml:space="preserve">. </w:t>
      </w:r>
      <w:r w:rsidRPr="00A02DE8">
        <w:rPr>
          <w:sz w:val="10"/>
          <w:vertAlign w:val="superscript"/>
        </w:rPr>
        <w:t>1</w:t>
      </w:r>
      <w:r>
        <w:rPr>
          <w:sz w:val="10"/>
        </w:rPr>
        <w:t xml:space="preserve"> </w:t>
      </w:r>
      <w:r w:rsidRPr="00087867">
        <w:rPr>
          <w:sz w:val="10"/>
        </w:rPr>
        <w:t>Excludes ilmenite feedstock for synthetic rutile production.</w:t>
      </w:r>
    </w:p>
    <w:p w14:paraId="053A5337" w14:textId="77777777" w:rsidR="008B0834" w:rsidRDefault="008B0834" w:rsidP="008B0834">
      <w:pPr>
        <w:pStyle w:val="ListBullet"/>
        <w:numPr>
          <w:ilvl w:val="0"/>
          <w:numId w:val="0"/>
        </w:numPr>
        <w:spacing w:after="0"/>
        <w:jc w:val="both"/>
        <w:rPr>
          <w:sz w:val="10"/>
        </w:rPr>
      </w:pPr>
      <w:r w:rsidRPr="00087867">
        <w:rPr>
          <w:sz w:val="10"/>
        </w:rPr>
        <w:t xml:space="preserve">Source: </w:t>
      </w:r>
      <w:r w:rsidRPr="00087867">
        <w:rPr>
          <w:color w:val="000000"/>
          <w:sz w:val="10"/>
        </w:rPr>
        <w:t>WA Department of Mines, Industry Regulation and Safety, Resource Data Files (Annual</w:t>
      </w:r>
      <w:r>
        <w:rPr>
          <w:sz w:val="10"/>
        </w:rPr>
        <w:t>).</w:t>
      </w:r>
    </w:p>
    <w:p w14:paraId="29970520" w14:textId="77777777" w:rsidR="008B0834" w:rsidRDefault="008B0834" w:rsidP="008B0834">
      <w:pPr>
        <w:spacing w:after="0"/>
        <w:jc w:val="both"/>
        <w:rPr>
          <w:sz w:val="16"/>
        </w:rPr>
      </w:pPr>
    </w:p>
    <w:p w14:paraId="21AC738B" w14:textId="77777777" w:rsidR="008B0834" w:rsidRDefault="008B0834" w:rsidP="008B0834">
      <w:pPr>
        <w:spacing w:after="0"/>
        <w:jc w:val="both"/>
        <w:rPr>
          <w:sz w:val="16"/>
        </w:rPr>
      </w:pPr>
    </w:p>
    <w:p w14:paraId="6FD969F2" w14:textId="77777777" w:rsidR="008B0834" w:rsidRDefault="008B0834" w:rsidP="008B0834">
      <w:pPr>
        <w:spacing w:after="0"/>
        <w:jc w:val="both"/>
        <w:rPr>
          <w:sz w:val="16"/>
        </w:rPr>
      </w:pPr>
      <w:r>
        <w:rPr>
          <w:sz w:val="16"/>
        </w:rPr>
        <w:br w:type="column"/>
      </w:r>
    </w:p>
    <w:p w14:paraId="02C24993" w14:textId="77777777" w:rsidR="008B0834" w:rsidRDefault="008B0834" w:rsidP="008B0834">
      <w:pPr>
        <w:spacing w:after="0"/>
        <w:jc w:val="both"/>
        <w:rPr>
          <w:sz w:val="16"/>
        </w:rPr>
      </w:pPr>
    </w:p>
    <w:p w14:paraId="728D4C2A" w14:textId="77777777" w:rsidR="008B0834" w:rsidRPr="0099116E" w:rsidRDefault="008B0834" w:rsidP="008B0834">
      <w:pPr>
        <w:pStyle w:val="BodyText"/>
        <w:numPr>
          <w:ilvl w:val="0"/>
          <w:numId w:val="9"/>
        </w:numPr>
        <w:spacing w:after="0"/>
        <w:jc w:val="both"/>
        <w:rPr>
          <w:sz w:val="16"/>
        </w:rPr>
      </w:pPr>
      <w:r w:rsidRPr="0099116E">
        <w:rPr>
          <w:sz w:val="16"/>
          <w:lang w:val="en"/>
        </w:rPr>
        <w:t>Western Australia is the main exporter of minerals and petroleum in Australia and accounts for a significant proportion of the world’s minerals and petroleum production.</w:t>
      </w:r>
    </w:p>
    <w:p w14:paraId="31AFD734" w14:textId="77777777" w:rsidR="008B0834" w:rsidRPr="00A82A2C" w:rsidRDefault="008B0834" w:rsidP="008B0834">
      <w:pPr>
        <w:pStyle w:val="BodyText"/>
        <w:numPr>
          <w:ilvl w:val="0"/>
          <w:numId w:val="9"/>
        </w:numPr>
        <w:spacing w:after="0"/>
        <w:jc w:val="both"/>
        <w:rPr>
          <w:sz w:val="16"/>
        </w:rPr>
      </w:pPr>
      <w:r w:rsidRPr="00A82A2C">
        <w:rPr>
          <w:sz w:val="16"/>
          <w:lang w:val="en"/>
        </w:rPr>
        <w:t xml:space="preserve">In </w:t>
      </w:r>
      <w:r w:rsidRPr="00171783">
        <w:rPr>
          <w:sz w:val="16"/>
          <w:lang w:val="en"/>
        </w:rPr>
        <w:t xml:space="preserve">2021-22, </w:t>
      </w:r>
      <w:r w:rsidRPr="00A82A2C">
        <w:rPr>
          <w:sz w:val="16"/>
          <w:lang w:val="en"/>
        </w:rPr>
        <w:t>Western Australia had 129 high</w:t>
      </w:r>
      <w:r w:rsidRPr="00A82A2C">
        <w:rPr>
          <w:sz w:val="16"/>
          <w:lang w:val="en"/>
        </w:rPr>
        <w:noBreakHyphen/>
        <w:t>value, export</w:t>
      </w:r>
      <w:r w:rsidRPr="00A82A2C">
        <w:rPr>
          <w:sz w:val="16"/>
          <w:lang w:val="en"/>
        </w:rPr>
        <w:noBreakHyphen/>
        <w:t xml:space="preserve">oriented mining projects and </w:t>
      </w:r>
      <w:r w:rsidRPr="00A82A2C">
        <w:rPr>
          <w:sz w:val="16"/>
        </w:rPr>
        <w:t>14 major mineral processing operations transforming bauxite into alumina; gold ore into gold bars; nickel ore into nickel concentrate and nickel concentrate into nickel matte, powder, briquettes and sulphate; rutile and synthetic rutile into titanium dioxide pigment; zircon into fused zirconia; silica sand into silicon metal; and spodumene concentrate into lithium hydroxide.</w:t>
      </w:r>
    </w:p>
    <w:p w14:paraId="41DFBEAE" w14:textId="77777777" w:rsidR="008B0834" w:rsidRPr="00A82A2C" w:rsidRDefault="008B0834" w:rsidP="008B0834">
      <w:pPr>
        <w:pStyle w:val="BodyText"/>
        <w:numPr>
          <w:ilvl w:val="0"/>
          <w:numId w:val="9"/>
        </w:numPr>
        <w:spacing w:after="0"/>
        <w:jc w:val="both"/>
        <w:rPr>
          <w:sz w:val="16"/>
        </w:rPr>
      </w:pPr>
      <w:r w:rsidRPr="00A82A2C">
        <w:rPr>
          <w:sz w:val="16"/>
        </w:rPr>
        <w:t xml:space="preserve">In </w:t>
      </w:r>
      <w:r w:rsidRPr="00171783">
        <w:rPr>
          <w:sz w:val="16"/>
        </w:rPr>
        <w:t xml:space="preserve">2021-22, </w:t>
      </w:r>
      <w:r w:rsidRPr="00A82A2C">
        <w:rPr>
          <w:sz w:val="16"/>
        </w:rPr>
        <w:t>Western Australia also had 20 petroleum projects that produced gas, condensate and crude oil from 51 onshore and offshore fields. These projects had associated processing plants for LNG exports and domestic gas sales.</w:t>
      </w:r>
    </w:p>
    <w:p w14:paraId="3FA2FC6B" w14:textId="77777777" w:rsidR="008B0834" w:rsidRDefault="008B0834" w:rsidP="008B0834">
      <w:pPr>
        <w:spacing w:after="0"/>
        <w:jc w:val="both"/>
        <w:rPr>
          <w:sz w:val="16"/>
        </w:rPr>
        <w:sectPr w:rsidR="008B0834" w:rsidSect="00F7498D">
          <w:type w:val="continuous"/>
          <w:pgSz w:w="11907" w:h="16840" w:code="9"/>
          <w:pgMar w:top="1701" w:right="720" w:bottom="720" w:left="720" w:header="709" w:footer="709" w:gutter="0"/>
          <w:cols w:num="2" w:space="284" w:equalWidth="0">
            <w:col w:w="5647" w:space="284"/>
            <w:col w:w="4536"/>
          </w:cols>
          <w:docGrid w:linePitch="360"/>
        </w:sectPr>
      </w:pPr>
    </w:p>
    <w:p w14:paraId="6ABA5B3A" w14:textId="77777777" w:rsidR="008B0834" w:rsidRPr="00020369" w:rsidRDefault="008B0834" w:rsidP="008B0834">
      <w:pPr>
        <w:pStyle w:val="BodyText"/>
        <w:spacing w:after="0"/>
        <w:rPr>
          <w:b/>
          <w:color w:val="92278F" w:themeColor="accent1"/>
          <w:sz w:val="20"/>
        </w:rPr>
      </w:pPr>
      <w:r w:rsidRPr="00020369">
        <w:rPr>
          <w:b/>
          <w:color w:val="92278F" w:themeColor="accent1"/>
          <w:sz w:val="20"/>
        </w:rPr>
        <w:t>Western Australia’s mineral and petroleum sales</w:t>
      </w:r>
      <w:r w:rsidRPr="00020369">
        <w:rPr>
          <w:b/>
          <w:color w:val="92278F" w:themeColor="accent1"/>
          <w:sz w:val="20"/>
          <w:vertAlign w:val="superscript"/>
        </w:rPr>
        <w:t>1</w:t>
      </w:r>
    </w:p>
    <w:p w14:paraId="0A4AAF6B" w14:textId="36187ADF" w:rsidR="008B0834" w:rsidRDefault="00F272DD" w:rsidP="008B0834">
      <w:pPr>
        <w:spacing w:after="0"/>
        <w:jc w:val="both"/>
        <w:rPr>
          <w:sz w:val="16"/>
        </w:rPr>
      </w:pPr>
      <w:r>
        <w:rPr>
          <w:noProof/>
          <w:sz w:val="16"/>
        </w:rPr>
        <w:drawing>
          <wp:inline distT="0" distB="0" distL="0" distR="0" wp14:anchorId="10992589" wp14:editId="1ABC0AF8">
            <wp:extent cx="3528000" cy="2103405"/>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6E384C33" w14:textId="77777777" w:rsidR="008B0834" w:rsidRDefault="008B0834" w:rsidP="008B0834">
      <w:pPr>
        <w:spacing w:after="0"/>
        <w:jc w:val="both"/>
        <w:rPr>
          <w:sz w:val="10"/>
        </w:rPr>
      </w:pPr>
      <w:r w:rsidRPr="00FB2DBD">
        <w:rPr>
          <w:sz w:val="10"/>
          <w:vertAlign w:val="superscript"/>
        </w:rPr>
        <w:t>1</w:t>
      </w:r>
      <w:r>
        <w:rPr>
          <w:sz w:val="10"/>
          <w:vertAlign w:val="superscript"/>
        </w:rPr>
        <w:t xml:space="preserve"> </w:t>
      </w:r>
      <w:r>
        <w:rPr>
          <w:sz w:val="10"/>
        </w:rPr>
        <w:t>Nominal or not adjusted for price changes. Original series.</w:t>
      </w:r>
    </w:p>
    <w:p w14:paraId="00D02071" w14:textId="77777777" w:rsidR="008B0834" w:rsidRPr="00716C34" w:rsidRDefault="008B0834" w:rsidP="008B0834">
      <w:pPr>
        <w:spacing w:after="0"/>
        <w:jc w:val="both"/>
        <w:rPr>
          <w:sz w:val="10"/>
        </w:rPr>
      </w:pPr>
      <w:r w:rsidRPr="006C6044">
        <w:rPr>
          <w:sz w:val="10"/>
        </w:rPr>
        <w:t xml:space="preserve">Source: WA Department of Mines, Industry Regulation </w:t>
      </w:r>
      <w:r>
        <w:rPr>
          <w:sz w:val="10"/>
        </w:rPr>
        <w:t>and Safety, Resource Data Files (Bi-Annual)</w:t>
      </w:r>
      <w:r w:rsidRPr="00716C34">
        <w:rPr>
          <w:sz w:val="10"/>
        </w:rPr>
        <w:t>.</w:t>
      </w:r>
    </w:p>
    <w:p w14:paraId="4B792F58" w14:textId="77777777" w:rsidR="008B0834" w:rsidRDefault="008B0834" w:rsidP="008B0834">
      <w:pPr>
        <w:spacing w:after="0"/>
        <w:jc w:val="both"/>
        <w:rPr>
          <w:sz w:val="16"/>
        </w:rPr>
      </w:pPr>
    </w:p>
    <w:p w14:paraId="031A27D4" w14:textId="77777777" w:rsidR="008B0834" w:rsidRDefault="008B0834" w:rsidP="008B0834">
      <w:pPr>
        <w:spacing w:after="0"/>
        <w:jc w:val="both"/>
        <w:rPr>
          <w:sz w:val="16"/>
        </w:rPr>
      </w:pPr>
    </w:p>
    <w:p w14:paraId="1D769B54" w14:textId="77777777" w:rsidR="008B0834" w:rsidRDefault="008B0834" w:rsidP="008B0834">
      <w:pPr>
        <w:pStyle w:val="BodyText"/>
        <w:spacing w:after="0"/>
        <w:jc w:val="both"/>
        <w:rPr>
          <w:sz w:val="16"/>
        </w:rPr>
      </w:pPr>
      <w:r>
        <w:rPr>
          <w:sz w:val="16"/>
        </w:rPr>
        <w:br w:type="column"/>
      </w:r>
    </w:p>
    <w:p w14:paraId="6A31988B" w14:textId="610DE6A6" w:rsidR="008B0834" w:rsidRPr="003B0FC6" w:rsidRDefault="008B0834" w:rsidP="008B0834">
      <w:pPr>
        <w:pStyle w:val="BodyText"/>
        <w:numPr>
          <w:ilvl w:val="0"/>
          <w:numId w:val="9"/>
        </w:numPr>
        <w:spacing w:after="0"/>
        <w:jc w:val="both"/>
        <w:rPr>
          <w:sz w:val="16"/>
        </w:rPr>
      </w:pPr>
      <w:r w:rsidRPr="003B0FC6">
        <w:rPr>
          <w:sz w:val="16"/>
        </w:rPr>
        <w:t>Western Australia accounted for 5</w:t>
      </w:r>
      <w:r w:rsidR="00C51DF2" w:rsidRPr="003B0FC6">
        <w:rPr>
          <w:sz w:val="16"/>
        </w:rPr>
        <w:t>8.1</w:t>
      </w:r>
      <w:r w:rsidRPr="003B0FC6">
        <w:rPr>
          <w:sz w:val="16"/>
        </w:rPr>
        <w:t>% of Australia’s mining industry gross value added in 202</w:t>
      </w:r>
      <w:r w:rsidR="00C51DF2" w:rsidRPr="003B0FC6">
        <w:rPr>
          <w:sz w:val="16"/>
        </w:rPr>
        <w:t>2</w:t>
      </w:r>
      <w:r w:rsidR="00F272DD" w:rsidRPr="003B0FC6">
        <w:rPr>
          <w:sz w:val="16"/>
        </w:rPr>
        <w:noBreakHyphen/>
      </w:r>
      <w:r w:rsidRPr="003B0FC6">
        <w:rPr>
          <w:sz w:val="16"/>
        </w:rPr>
        <w:t>2</w:t>
      </w:r>
      <w:r w:rsidR="00C51DF2" w:rsidRPr="003B0FC6">
        <w:rPr>
          <w:sz w:val="16"/>
        </w:rPr>
        <w:t>3</w:t>
      </w:r>
      <w:r w:rsidRPr="003B0FC6">
        <w:rPr>
          <w:sz w:val="16"/>
        </w:rPr>
        <w:t>.</w:t>
      </w:r>
    </w:p>
    <w:p w14:paraId="0BB5F1BA" w14:textId="247BE9B3" w:rsidR="008B0834" w:rsidRPr="003B0FC6" w:rsidRDefault="008B0834" w:rsidP="008B0834">
      <w:pPr>
        <w:pStyle w:val="BodyText"/>
        <w:numPr>
          <w:ilvl w:val="0"/>
          <w:numId w:val="9"/>
        </w:numPr>
        <w:spacing w:after="0"/>
        <w:jc w:val="both"/>
        <w:rPr>
          <w:sz w:val="16"/>
        </w:rPr>
      </w:pPr>
      <w:r w:rsidRPr="003B0FC6">
        <w:rPr>
          <w:sz w:val="16"/>
        </w:rPr>
        <w:t xml:space="preserve">Western Australia’s mining industry gross value added rose </w:t>
      </w:r>
      <w:r w:rsidR="00C51DF2" w:rsidRPr="003B0FC6">
        <w:rPr>
          <w:sz w:val="16"/>
        </w:rPr>
        <w:t>7.7</w:t>
      </w:r>
      <w:r w:rsidRPr="003B0FC6">
        <w:rPr>
          <w:sz w:val="16"/>
        </w:rPr>
        <w:t>% to $</w:t>
      </w:r>
      <w:r w:rsidR="00C51DF2" w:rsidRPr="003B0FC6">
        <w:rPr>
          <w:sz w:val="16"/>
        </w:rPr>
        <w:t>200.0</w:t>
      </w:r>
      <w:r w:rsidR="00F272DD" w:rsidRPr="003B0FC6">
        <w:rPr>
          <w:sz w:val="16"/>
        </w:rPr>
        <w:t> </w:t>
      </w:r>
      <w:r w:rsidRPr="003B0FC6">
        <w:rPr>
          <w:sz w:val="16"/>
        </w:rPr>
        <w:t>billion in 202</w:t>
      </w:r>
      <w:r w:rsidR="00C51DF2" w:rsidRPr="003B0FC6">
        <w:rPr>
          <w:sz w:val="16"/>
        </w:rPr>
        <w:t>2</w:t>
      </w:r>
      <w:r w:rsidR="00F272DD" w:rsidRPr="003B0FC6">
        <w:rPr>
          <w:sz w:val="16"/>
        </w:rPr>
        <w:noBreakHyphen/>
      </w:r>
      <w:r w:rsidRPr="003B0FC6">
        <w:rPr>
          <w:sz w:val="16"/>
        </w:rPr>
        <w:t>2</w:t>
      </w:r>
      <w:r w:rsidR="00C51DF2" w:rsidRPr="003B0FC6">
        <w:rPr>
          <w:sz w:val="16"/>
        </w:rPr>
        <w:t>3</w:t>
      </w:r>
      <w:r w:rsidRPr="003B0FC6">
        <w:rPr>
          <w:sz w:val="16"/>
        </w:rPr>
        <w:t>.</w:t>
      </w:r>
    </w:p>
    <w:p w14:paraId="5E072F41" w14:textId="77777777" w:rsidR="008B0834" w:rsidRPr="00351552" w:rsidRDefault="008B0834" w:rsidP="008B0834">
      <w:pPr>
        <w:pStyle w:val="BodyText"/>
        <w:numPr>
          <w:ilvl w:val="0"/>
          <w:numId w:val="9"/>
        </w:numPr>
        <w:spacing w:after="0"/>
        <w:jc w:val="both"/>
        <w:rPr>
          <w:color w:val="000000" w:themeColor="text1"/>
          <w:sz w:val="16"/>
        </w:rPr>
      </w:pPr>
      <w:r w:rsidRPr="00351552">
        <w:rPr>
          <w:color w:val="000000" w:themeColor="text1"/>
          <w:sz w:val="16"/>
        </w:rPr>
        <w:t>In 2022-23, Western Australia’s minerals and petroleum sales rose 8.5% to $254.1 billion, with:</w:t>
      </w:r>
    </w:p>
    <w:p w14:paraId="54ACC3C7" w14:textId="77777777" w:rsidR="008B0834" w:rsidRPr="00351552" w:rsidRDefault="008B0834" w:rsidP="008B0834">
      <w:pPr>
        <w:pStyle w:val="BodyText"/>
        <w:numPr>
          <w:ilvl w:val="1"/>
          <w:numId w:val="11"/>
        </w:numPr>
        <w:spacing w:after="0"/>
        <w:ind w:left="851" w:hanging="284"/>
        <w:jc w:val="both"/>
        <w:rPr>
          <w:color w:val="000000" w:themeColor="text1"/>
          <w:sz w:val="16"/>
        </w:rPr>
      </w:pPr>
      <w:r w:rsidRPr="00351552">
        <w:rPr>
          <w:color w:val="000000" w:themeColor="text1"/>
          <w:sz w:val="16"/>
        </w:rPr>
        <w:t>minerals sales up 1.2% to $182.9 billion</w:t>
      </w:r>
    </w:p>
    <w:p w14:paraId="02DF8A1B" w14:textId="77777777" w:rsidR="008B0834" w:rsidRPr="00351552" w:rsidRDefault="008B0834" w:rsidP="008B0834">
      <w:pPr>
        <w:pStyle w:val="BodyText"/>
        <w:numPr>
          <w:ilvl w:val="1"/>
          <w:numId w:val="11"/>
        </w:numPr>
        <w:spacing w:after="0"/>
        <w:ind w:left="851" w:hanging="284"/>
        <w:jc w:val="both"/>
        <w:rPr>
          <w:color w:val="000000" w:themeColor="text1"/>
          <w:sz w:val="16"/>
        </w:rPr>
      </w:pPr>
      <w:r w:rsidRPr="00351552">
        <w:rPr>
          <w:color w:val="000000" w:themeColor="text1"/>
          <w:sz w:val="16"/>
        </w:rPr>
        <w:t>petroleum sales up 33.5% to $71.2 billion.</w:t>
      </w:r>
    </w:p>
    <w:p w14:paraId="54C1D4FF" w14:textId="77777777" w:rsidR="008B0834" w:rsidRPr="00203377" w:rsidRDefault="008B0834" w:rsidP="008B0834">
      <w:pPr>
        <w:jc w:val="both"/>
        <w:rPr>
          <w:color w:val="FF0000"/>
          <w:sz w:val="16"/>
        </w:rPr>
        <w:sectPr w:rsidR="008B0834" w:rsidRPr="00203377" w:rsidSect="00F7498D">
          <w:type w:val="continuous"/>
          <w:pgSz w:w="11907" w:h="16840" w:code="9"/>
          <w:pgMar w:top="1701" w:right="720" w:bottom="720" w:left="720" w:header="709" w:footer="709" w:gutter="0"/>
          <w:cols w:num="2" w:space="284" w:equalWidth="0">
            <w:col w:w="5647" w:space="284"/>
            <w:col w:w="4536"/>
          </w:cols>
          <w:docGrid w:linePitch="360"/>
        </w:sectPr>
      </w:pPr>
    </w:p>
    <w:p w14:paraId="2B151468" w14:textId="77777777" w:rsidR="008B0834" w:rsidRPr="00800813" w:rsidRDefault="008B0834" w:rsidP="008B0834">
      <w:pPr>
        <w:spacing w:after="0"/>
        <w:rPr>
          <w:sz w:val="22"/>
        </w:rPr>
      </w:pPr>
      <w:r w:rsidRPr="00020369">
        <w:rPr>
          <w:b/>
          <w:color w:val="92278F" w:themeColor="accent1"/>
          <w:sz w:val="20"/>
        </w:rPr>
        <w:t>Western Australia’s major minerals and petroleum sales</w:t>
      </w:r>
      <w:r w:rsidRPr="00020369">
        <w:rPr>
          <w:b/>
          <w:color w:val="92278F" w:themeColor="accent1"/>
          <w:sz w:val="20"/>
          <w:vertAlign w:val="superscript"/>
        </w:rPr>
        <w:t>1</w:t>
      </w:r>
    </w:p>
    <w:p w14:paraId="62BC951F" w14:textId="5C6BBB36" w:rsidR="008B0834" w:rsidRDefault="00F272DD" w:rsidP="008B0834">
      <w:pPr>
        <w:spacing w:after="0"/>
        <w:jc w:val="both"/>
        <w:rPr>
          <w:sz w:val="16"/>
        </w:rPr>
      </w:pPr>
      <w:r>
        <w:rPr>
          <w:noProof/>
          <w:sz w:val="16"/>
        </w:rPr>
        <w:drawing>
          <wp:inline distT="0" distB="0" distL="0" distR="0" wp14:anchorId="5A1EAF55" wp14:editId="0DD29108">
            <wp:extent cx="3528000" cy="210340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77B1C111" w14:textId="77777777" w:rsidR="008B0834" w:rsidRPr="002D3691" w:rsidRDefault="008B0834" w:rsidP="008B0834">
      <w:pPr>
        <w:spacing w:after="0"/>
        <w:jc w:val="both"/>
        <w:rPr>
          <w:sz w:val="10"/>
        </w:rPr>
      </w:pPr>
      <w:r w:rsidRPr="002B0920">
        <w:rPr>
          <w:sz w:val="10"/>
          <w:vertAlign w:val="superscript"/>
        </w:rPr>
        <w:t>1</w:t>
      </w:r>
      <w:r>
        <w:rPr>
          <w:sz w:val="10"/>
        </w:rPr>
        <w:t xml:space="preserve"> </w:t>
      </w:r>
      <w:r w:rsidRPr="002D3691">
        <w:rPr>
          <w:sz w:val="10"/>
        </w:rPr>
        <w:t xml:space="preserve">Nominal or not adjusted for price changes. (a) Spodumene. (b) Copper, lead and zinc (contains gold and silver). (c) Garnet, </w:t>
      </w:r>
      <w:proofErr w:type="spellStart"/>
      <w:r w:rsidRPr="002D3691">
        <w:rPr>
          <w:sz w:val="10"/>
        </w:rPr>
        <w:t>illmenite</w:t>
      </w:r>
      <w:proofErr w:type="spellEnd"/>
      <w:r w:rsidRPr="002D3691">
        <w:rPr>
          <w:sz w:val="10"/>
        </w:rPr>
        <w:t>, leucoxene, zircon and rutile.</w:t>
      </w:r>
    </w:p>
    <w:p w14:paraId="79489E36" w14:textId="77777777" w:rsidR="008B0834" w:rsidRPr="002D3691" w:rsidRDefault="008B0834" w:rsidP="008B0834">
      <w:pPr>
        <w:spacing w:after="0"/>
        <w:jc w:val="both"/>
        <w:rPr>
          <w:sz w:val="10"/>
        </w:rPr>
      </w:pPr>
      <w:r w:rsidRPr="002D3691">
        <w:rPr>
          <w:sz w:val="10"/>
        </w:rPr>
        <w:t>Source: WA Department of Mines, Industry Regulation and Safety, Resource Data Files (Bi-Annual).</w:t>
      </w:r>
    </w:p>
    <w:p w14:paraId="71EA7354" w14:textId="77777777" w:rsidR="008B0834" w:rsidRDefault="008B0834" w:rsidP="008B0834">
      <w:pPr>
        <w:spacing w:after="0"/>
        <w:jc w:val="both"/>
        <w:rPr>
          <w:sz w:val="16"/>
        </w:rPr>
      </w:pPr>
    </w:p>
    <w:p w14:paraId="4A574524" w14:textId="77777777" w:rsidR="008B0834" w:rsidRPr="001746F7" w:rsidRDefault="008B0834" w:rsidP="008B0834">
      <w:pPr>
        <w:pStyle w:val="BodyText"/>
        <w:spacing w:after="0"/>
        <w:jc w:val="both"/>
        <w:rPr>
          <w:color w:val="000000" w:themeColor="text1"/>
          <w:sz w:val="16"/>
        </w:rPr>
      </w:pPr>
      <w:r w:rsidRPr="008243CF">
        <w:rPr>
          <w:sz w:val="16"/>
        </w:rPr>
        <w:br w:type="column"/>
      </w:r>
    </w:p>
    <w:p w14:paraId="11045803" w14:textId="77777777" w:rsidR="008B0834" w:rsidRPr="00351552" w:rsidRDefault="008B0834" w:rsidP="008B0834">
      <w:pPr>
        <w:pStyle w:val="BodyText"/>
        <w:numPr>
          <w:ilvl w:val="0"/>
          <w:numId w:val="9"/>
        </w:numPr>
        <w:spacing w:after="0"/>
        <w:jc w:val="both"/>
        <w:rPr>
          <w:color w:val="000000" w:themeColor="text1"/>
          <w:sz w:val="16"/>
        </w:rPr>
      </w:pPr>
      <w:r w:rsidRPr="00351552">
        <w:rPr>
          <w:color w:val="000000" w:themeColor="text1"/>
          <w:sz w:val="16"/>
        </w:rPr>
        <w:t>Iron ore accounted for 49.2% of the value of Western Australia’s minerals and petroleum sales in 2022-23, followed by LNG (22.1%) and lithium (8.2%).</w:t>
      </w:r>
    </w:p>
    <w:p w14:paraId="6EB12E13" w14:textId="77777777" w:rsidR="008B0834" w:rsidRPr="00351552" w:rsidRDefault="008B0834" w:rsidP="008B0834">
      <w:pPr>
        <w:pStyle w:val="BodyText"/>
        <w:numPr>
          <w:ilvl w:val="0"/>
          <w:numId w:val="9"/>
        </w:numPr>
        <w:spacing w:after="0"/>
        <w:jc w:val="both"/>
        <w:rPr>
          <w:color w:val="000000" w:themeColor="text1"/>
          <w:sz w:val="16"/>
        </w:rPr>
      </w:pPr>
      <w:r w:rsidRPr="00351552">
        <w:rPr>
          <w:color w:val="000000" w:themeColor="text1"/>
          <w:sz w:val="16"/>
        </w:rPr>
        <w:t>The largest increases in the value of Western Australia’s minerals and petroleum sales in 2022-23 were in:</w:t>
      </w:r>
    </w:p>
    <w:p w14:paraId="1E417794" w14:textId="77777777" w:rsidR="008B0834" w:rsidRPr="00351552" w:rsidRDefault="008B0834" w:rsidP="008B0834">
      <w:pPr>
        <w:pStyle w:val="BodyText"/>
        <w:numPr>
          <w:ilvl w:val="1"/>
          <w:numId w:val="11"/>
        </w:numPr>
        <w:spacing w:after="0"/>
        <w:ind w:left="851" w:hanging="284"/>
        <w:jc w:val="both"/>
        <w:rPr>
          <w:color w:val="000000" w:themeColor="text1"/>
          <w:sz w:val="16"/>
        </w:rPr>
      </w:pPr>
      <w:r w:rsidRPr="00351552">
        <w:rPr>
          <w:color w:val="000000" w:themeColor="text1"/>
          <w:sz w:val="16"/>
        </w:rPr>
        <w:t>LNG (up $17.9 billion or 46.5%)</w:t>
      </w:r>
    </w:p>
    <w:p w14:paraId="5095392A" w14:textId="77777777" w:rsidR="008B0834" w:rsidRPr="00351552" w:rsidRDefault="008B0834" w:rsidP="008B0834">
      <w:pPr>
        <w:pStyle w:val="BodyText"/>
        <w:numPr>
          <w:ilvl w:val="1"/>
          <w:numId w:val="11"/>
        </w:numPr>
        <w:spacing w:after="0"/>
        <w:ind w:left="851" w:hanging="284"/>
        <w:jc w:val="both"/>
        <w:rPr>
          <w:color w:val="000000" w:themeColor="text1"/>
          <w:sz w:val="16"/>
        </w:rPr>
      </w:pPr>
      <w:r w:rsidRPr="00351552">
        <w:rPr>
          <w:color w:val="000000" w:themeColor="text1"/>
          <w:sz w:val="16"/>
        </w:rPr>
        <w:t>lithium (up $12.9 billion or 162.1%)</w:t>
      </w:r>
    </w:p>
    <w:p w14:paraId="07BED647" w14:textId="77777777" w:rsidR="008B0834" w:rsidRPr="00351552" w:rsidRDefault="008B0834" w:rsidP="008B0834">
      <w:pPr>
        <w:pStyle w:val="BodyText"/>
        <w:numPr>
          <w:ilvl w:val="1"/>
          <w:numId w:val="11"/>
        </w:numPr>
        <w:spacing w:after="0"/>
        <w:ind w:left="851" w:hanging="284"/>
        <w:jc w:val="both"/>
        <w:rPr>
          <w:color w:val="000000" w:themeColor="text1"/>
          <w:sz w:val="16"/>
        </w:rPr>
      </w:pPr>
      <w:r w:rsidRPr="00351552">
        <w:rPr>
          <w:color w:val="000000" w:themeColor="text1"/>
          <w:sz w:val="16"/>
        </w:rPr>
        <w:t>gold (up $1.2 billion or 6.7%).</w:t>
      </w:r>
    </w:p>
    <w:p w14:paraId="3F2F295A" w14:textId="77777777" w:rsidR="008B0834" w:rsidRPr="00351552" w:rsidRDefault="008B0834" w:rsidP="008B0834">
      <w:pPr>
        <w:pStyle w:val="BodyText"/>
        <w:numPr>
          <w:ilvl w:val="0"/>
          <w:numId w:val="9"/>
        </w:numPr>
        <w:spacing w:after="0"/>
        <w:jc w:val="both"/>
        <w:rPr>
          <w:color w:val="000000" w:themeColor="text1"/>
          <w:sz w:val="16"/>
        </w:rPr>
      </w:pPr>
      <w:r w:rsidRPr="00351552">
        <w:rPr>
          <w:color w:val="000000" w:themeColor="text1"/>
          <w:sz w:val="16"/>
        </w:rPr>
        <w:t>The largest decreases in the value of Western Australia’s minerals and petroleum sales in 2022-23 were in:</w:t>
      </w:r>
    </w:p>
    <w:p w14:paraId="0F522715" w14:textId="77777777" w:rsidR="008B0834" w:rsidRPr="00351552" w:rsidRDefault="008B0834" w:rsidP="008B0834">
      <w:pPr>
        <w:pStyle w:val="BodyText"/>
        <w:numPr>
          <w:ilvl w:val="1"/>
          <w:numId w:val="11"/>
        </w:numPr>
        <w:spacing w:after="0"/>
        <w:ind w:left="851" w:hanging="284"/>
        <w:jc w:val="both"/>
        <w:rPr>
          <w:color w:val="000000" w:themeColor="text1"/>
          <w:sz w:val="16"/>
        </w:rPr>
      </w:pPr>
      <w:r w:rsidRPr="00351552">
        <w:rPr>
          <w:color w:val="000000" w:themeColor="text1"/>
          <w:sz w:val="16"/>
        </w:rPr>
        <w:t>iron ore (down $12.2 billion or 8.9%)</w:t>
      </w:r>
    </w:p>
    <w:p w14:paraId="5DB20BBF" w14:textId="7BC15E63" w:rsidR="008B0834" w:rsidRPr="00351552" w:rsidRDefault="008B0834" w:rsidP="008B0834">
      <w:pPr>
        <w:pStyle w:val="BodyText"/>
        <w:numPr>
          <w:ilvl w:val="1"/>
          <w:numId w:val="11"/>
        </w:numPr>
        <w:spacing w:after="0"/>
        <w:ind w:left="851" w:hanging="284"/>
        <w:jc w:val="both"/>
        <w:rPr>
          <w:color w:val="000000" w:themeColor="text1"/>
          <w:sz w:val="16"/>
        </w:rPr>
      </w:pPr>
      <w:r w:rsidRPr="00351552">
        <w:rPr>
          <w:color w:val="000000" w:themeColor="text1"/>
          <w:sz w:val="16"/>
        </w:rPr>
        <w:t>copper (down $497</w:t>
      </w:r>
      <w:r w:rsidR="00F272DD">
        <w:rPr>
          <w:color w:val="000000" w:themeColor="text1"/>
          <w:sz w:val="16"/>
        </w:rPr>
        <w:t> </w:t>
      </w:r>
      <w:r w:rsidRPr="00351552">
        <w:rPr>
          <w:color w:val="000000" w:themeColor="text1"/>
          <w:sz w:val="16"/>
        </w:rPr>
        <w:t>million or 26.2%)</w:t>
      </w:r>
    </w:p>
    <w:p w14:paraId="1279844B" w14:textId="217B19FE" w:rsidR="008B0834" w:rsidRPr="00351552" w:rsidRDefault="008B0834" w:rsidP="008B0834">
      <w:pPr>
        <w:pStyle w:val="BodyText"/>
        <w:numPr>
          <w:ilvl w:val="1"/>
          <w:numId w:val="11"/>
        </w:numPr>
        <w:spacing w:after="0"/>
        <w:ind w:left="851" w:hanging="284"/>
        <w:jc w:val="both"/>
        <w:rPr>
          <w:color w:val="000000" w:themeColor="text1"/>
          <w:sz w:val="16"/>
        </w:rPr>
      </w:pPr>
      <w:r w:rsidRPr="00351552">
        <w:rPr>
          <w:color w:val="000000" w:themeColor="text1"/>
          <w:sz w:val="16"/>
        </w:rPr>
        <w:t>crude oil (down $486</w:t>
      </w:r>
      <w:r w:rsidR="00F272DD">
        <w:rPr>
          <w:color w:val="000000" w:themeColor="text1"/>
          <w:sz w:val="16"/>
        </w:rPr>
        <w:t> </w:t>
      </w:r>
      <w:r w:rsidRPr="00351552">
        <w:rPr>
          <w:color w:val="000000" w:themeColor="text1"/>
          <w:sz w:val="16"/>
        </w:rPr>
        <w:t>million or 13.6%).</w:t>
      </w:r>
    </w:p>
    <w:p w14:paraId="5AD4E5EB" w14:textId="77777777" w:rsidR="008B0834" w:rsidRDefault="008B0834" w:rsidP="008B0834">
      <w:pPr>
        <w:jc w:val="both"/>
        <w:rPr>
          <w:sz w:val="16"/>
        </w:rPr>
      </w:pPr>
      <w:r>
        <w:rPr>
          <w:sz w:val="16"/>
        </w:rPr>
        <w:br w:type="page"/>
      </w:r>
    </w:p>
    <w:p w14:paraId="34855CD0" w14:textId="77777777" w:rsidR="008B0834" w:rsidRPr="000260DE" w:rsidRDefault="008B0834" w:rsidP="008B0834">
      <w:pPr>
        <w:spacing w:after="0"/>
        <w:jc w:val="both"/>
        <w:rPr>
          <w:b/>
          <w:color w:val="002060"/>
          <w:sz w:val="22"/>
        </w:rPr>
      </w:pPr>
      <w:bookmarkStart w:id="4" w:name="_UNITED_STATES"/>
      <w:bookmarkEnd w:id="4"/>
      <w:r w:rsidRPr="000260DE">
        <w:rPr>
          <w:b/>
          <w:color w:val="002060"/>
          <w:sz w:val="22"/>
        </w:rPr>
        <w:lastRenderedPageBreak/>
        <w:t>Mining industry</w:t>
      </w:r>
    </w:p>
    <w:p w14:paraId="7B465560" w14:textId="77777777" w:rsidR="008B0834" w:rsidRPr="003F7FF9" w:rsidRDefault="008B0834" w:rsidP="008B0834">
      <w:pPr>
        <w:pStyle w:val="BodyText"/>
        <w:spacing w:after="0"/>
        <w:rPr>
          <w:b/>
          <w:sz w:val="20"/>
        </w:rPr>
      </w:pPr>
      <w:r w:rsidRPr="00020369">
        <w:rPr>
          <w:b/>
          <w:color w:val="92278F" w:themeColor="accent1"/>
          <w:sz w:val="20"/>
        </w:rPr>
        <w:t>Western Australia’s iron ore sales</w:t>
      </w:r>
      <w:r w:rsidRPr="00020369">
        <w:rPr>
          <w:b/>
          <w:color w:val="92278F" w:themeColor="accent1"/>
          <w:sz w:val="20"/>
          <w:vertAlign w:val="superscript"/>
        </w:rPr>
        <w:t>1</w:t>
      </w:r>
    </w:p>
    <w:p w14:paraId="54463E75" w14:textId="35C1CF0B" w:rsidR="008B0834" w:rsidRDefault="00F272DD" w:rsidP="008B0834">
      <w:pPr>
        <w:spacing w:after="0"/>
        <w:jc w:val="both"/>
        <w:rPr>
          <w:sz w:val="16"/>
        </w:rPr>
      </w:pPr>
      <w:r>
        <w:rPr>
          <w:noProof/>
          <w:sz w:val="16"/>
        </w:rPr>
        <w:drawing>
          <wp:inline distT="0" distB="0" distL="0" distR="0" wp14:anchorId="69724254" wp14:editId="4A546503">
            <wp:extent cx="3528000" cy="2103405"/>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25D6EEA4" w14:textId="77777777" w:rsidR="008B0834" w:rsidRPr="008809A4" w:rsidRDefault="008B0834" w:rsidP="008B0834">
      <w:pPr>
        <w:spacing w:after="0"/>
        <w:jc w:val="both"/>
        <w:rPr>
          <w:sz w:val="10"/>
        </w:rPr>
      </w:pPr>
      <w:r w:rsidRPr="002B0920">
        <w:rPr>
          <w:sz w:val="10"/>
          <w:vertAlign w:val="superscript"/>
        </w:rPr>
        <w:t>1</w:t>
      </w:r>
      <w:r>
        <w:rPr>
          <w:sz w:val="10"/>
        </w:rPr>
        <w:t xml:space="preserve"> Nominal or not adjusted for price changes. Original </w:t>
      </w:r>
      <w:r w:rsidRPr="002F0C86">
        <w:rPr>
          <w:sz w:val="10"/>
        </w:rPr>
        <w:t xml:space="preserve">series. </w:t>
      </w:r>
      <w:r w:rsidRPr="008809A4">
        <w:rPr>
          <w:sz w:val="10"/>
        </w:rPr>
        <w:t>Indexes 2012 = 100.0.</w:t>
      </w:r>
    </w:p>
    <w:p w14:paraId="418DBEC7" w14:textId="77777777" w:rsidR="008B0834" w:rsidRDefault="008B0834" w:rsidP="008B0834">
      <w:pPr>
        <w:spacing w:after="0"/>
        <w:jc w:val="both"/>
        <w:rPr>
          <w:sz w:val="10"/>
        </w:rPr>
      </w:pPr>
      <w:r w:rsidRPr="00A441A2">
        <w:rPr>
          <w:sz w:val="10"/>
        </w:rPr>
        <w:t xml:space="preserve">Source: </w:t>
      </w:r>
      <w:r>
        <w:rPr>
          <w:sz w:val="10"/>
        </w:rPr>
        <w:t xml:space="preserve">WA </w:t>
      </w:r>
      <w:r w:rsidRPr="003875B0">
        <w:rPr>
          <w:sz w:val="10"/>
        </w:rPr>
        <w:t>Department of Mines, Industry Regulation and Safety, Resource Data Files</w:t>
      </w:r>
      <w:r>
        <w:rPr>
          <w:sz w:val="10"/>
        </w:rPr>
        <w:t xml:space="preserve"> (Bi-Annual).</w:t>
      </w:r>
    </w:p>
    <w:p w14:paraId="75DCB0C8" w14:textId="77777777" w:rsidR="008B0834" w:rsidRDefault="008B0834" w:rsidP="008B0834">
      <w:pPr>
        <w:spacing w:after="0"/>
        <w:jc w:val="both"/>
        <w:rPr>
          <w:sz w:val="16"/>
        </w:rPr>
      </w:pPr>
    </w:p>
    <w:p w14:paraId="2E76D65A" w14:textId="77777777" w:rsidR="008B0834" w:rsidRPr="00CB298C" w:rsidRDefault="008B0834" w:rsidP="008B0834">
      <w:pPr>
        <w:spacing w:after="0"/>
        <w:jc w:val="both"/>
        <w:rPr>
          <w:sz w:val="16"/>
        </w:rPr>
      </w:pPr>
    </w:p>
    <w:p w14:paraId="200A118A" w14:textId="77777777" w:rsidR="008B0834" w:rsidRDefault="008B0834" w:rsidP="008B0834">
      <w:pPr>
        <w:spacing w:after="0"/>
        <w:jc w:val="both"/>
        <w:rPr>
          <w:sz w:val="16"/>
        </w:rPr>
      </w:pPr>
      <w:r>
        <w:rPr>
          <w:sz w:val="16"/>
        </w:rPr>
        <w:br w:type="column"/>
      </w:r>
    </w:p>
    <w:p w14:paraId="3D4FA29D" w14:textId="77777777" w:rsidR="008B0834" w:rsidRDefault="008B0834" w:rsidP="008B0834">
      <w:pPr>
        <w:spacing w:after="0"/>
        <w:jc w:val="both"/>
        <w:rPr>
          <w:sz w:val="16"/>
        </w:rPr>
      </w:pPr>
    </w:p>
    <w:p w14:paraId="331E45D1" w14:textId="77777777" w:rsidR="008B0834" w:rsidRPr="00351552" w:rsidRDefault="008B0834" w:rsidP="008B0834">
      <w:pPr>
        <w:pStyle w:val="BodyText"/>
        <w:numPr>
          <w:ilvl w:val="0"/>
          <w:numId w:val="9"/>
        </w:numPr>
        <w:spacing w:after="0"/>
        <w:jc w:val="both"/>
        <w:rPr>
          <w:color w:val="000000" w:themeColor="text1"/>
          <w:sz w:val="16"/>
        </w:rPr>
      </w:pPr>
      <w:r w:rsidRPr="00351552">
        <w:rPr>
          <w:color w:val="000000" w:themeColor="text1"/>
          <w:sz w:val="16"/>
        </w:rPr>
        <w:t>The value of Western Australia’s iron ore sales fell 8.9% to $125.1 billion in 2022-23, with the fall in the average price in 2022-23 offsetting a small increase in sales volumes.</w:t>
      </w:r>
    </w:p>
    <w:p w14:paraId="2B69222B" w14:textId="77777777" w:rsidR="008B0834" w:rsidRPr="00351552" w:rsidRDefault="008B0834" w:rsidP="008B0834">
      <w:pPr>
        <w:pStyle w:val="BodyText"/>
        <w:numPr>
          <w:ilvl w:val="0"/>
          <w:numId w:val="9"/>
        </w:numPr>
        <w:spacing w:after="0"/>
        <w:jc w:val="both"/>
        <w:rPr>
          <w:color w:val="000000" w:themeColor="text1"/>
          <w:sz w:val="16"/>
        </w:rPr>
      </w:pPr>
      <w:r w:rsidRPr="00351552">
        <w:rPr>
          <w:color w:val="000000" w:themeColor="text1"/>
          <w:sz w:val="16"/>
        </w:rPr>
        <w:t>The annual average $A unit price (free on board) of Western Australia’s iron ore sales fell 10.6% in 2022-23.</w:t>
      </w:r>
    </w:p>
    <w:p w14:paraId="7B508AC8" w14:textId="77777777" w:rsidR="008B0834" w:rsidRPr="00351552" w:rsidRDefault="008B0834" w:rsidP="008B0834">
      <w:pPr>
        <w:pStyle w:val="BodyText"/>
        <w:numPr>
          <w:ilvl w:val="0"/>
          <w:numId w:val="9"/>
        </w:numPr>
        <w:spacing w:after="0"/>
        <w:jc w:val="both"/>
        <w:rPr>
          <w:color w:val="000000" w:themeColor="text1"/>
          <w:sz w:val="16"/>
        </w:rPr>
      </w:pPr>
      <w:r w:rsidRPr="00351552">
        <w:rPr>
          <w:color w:val="000000" w:themeColor="text1"/>
          <w:sz w:val="16"/>
        </w:rPr>
        <w:t>The volume of Western Australia’s iron ore sales rose 1.9% to 861 million tonnes in 2022-23.</w:t>
      </w:r>
    </w:p>
    <w:p w14:paraId="5BE91F94" w14:textId="77777777" w:rsidR="008B0834" w:rsidRDefault="008B0834" w:rsidP="008B0834">
      <w:pPr>
        <w:pStyle w:val="BodyText"/>
        <w:spacing w:after="0"/>
        <w:jc w:val="both"/>
        <w:rPr>
          <w:sz w:val="16"/>
        </w:rPr>
        <w:sectPr w:rsidR="008B0834" w:rsidSect="00F7498D">
          <w:type w:val="continuous"/>
          <w:pgSz w:w="11907" w:h="16840" w:code="9"/>
          <w:pgMar w:top="1701" w:right="720" w:bottom="720" w:left="720" w:header="709" w:footer="709" w:gutter="0"/>
          <w:cols w:num="2" w:space="284" w:equalWidth="0">
            <w:col w:w="5647" w:space="284"/>
            <w:col w:w="4536"/>
          </w:cols>
          <w:docGrid w:linePitch="360"/>
        </w:sectPr>
      </w:pPr>
    </w:p>
    <w:p w14:paraId="196D5399" w14:textId="77777777" w:rsidR="008B0834" w:rsidRPr="003F7FF9" w:rsidRDefault="008B0834" w:rsidP="008B0834">
      <w:pPr>
        <w:pStyle w:val="BodyText"/>
        <w:spacing w:after="0"/>
        <w:rPr>
          <w:b/>
          <w:sz w:val="20"/>
        </w:rPr>
      </w:pPr>
      <w:r w:rsidRPr="00020369">
        <w:rPr>
          <w:b/>
          <w:color w:val="92278F" w:themeColor="accent1"/>
          <w:sz w:val="20"/>
        </w:rPr>
        <w:t>Western Australia’s LNG sales</w:t>
      </w:r>
      <w:r w:rsidRPr="00020369">
        <w:rPr>
          <w:b/>
          <w:color w:val="92278F" w:themeColor="accent1"/>
          <w:sz w:val="20"/>
          <w:vertAlign w:val="superscript"/>
        </w:rPr>
        <w:t>1</w:t>
      </w:r>
    </w:p>
    <w:p w14:paraId="122CDE77" w14:textId="23B7C584" w:rsidR="008B0834" w:rsidRPr="002D284A" w:rsidRDefault="00F272DD" w:rsidP="008B0834">
      <w:pPr>
        <w:spacing w:after="0"/>
        <w:jc w:val="both"/>
        <w:rPr>
          <w:sz w:val="16"/>
        </w:rPr>
      </w:pPr>
      <w:r>
        <w:rPr>
          <w:noProof/>
          <w:sz w:val="16"/>
        </w:rPr>
        <w:drawing>
          <wp:inline distT="0" distB="0" distL="0" distR="0" wp14:anchorId="184A81BC" wp14:editId="025E16AF">
            <wp:extent cx="3528000" cy="2103405"/>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5E5F3273" w14:textId="77777777" w:rsidR="008B0834" w:rsidRPr="008809A4" w:rsidRDefault="008B0834" w:rsidP="008B0834">
      <w:pPr>
        <w:spacing w:after="0"/>
        <w:jc w:val="both"/>
        <w:rPr>
          <w:sz w:val="10"/>
        </w:rPr>
      </w:pPr>
      <w:r w:rsidRPr="002B0920">
        <w:rPr>
          <w:sz w:val="10"/>
          <w:vertAlign w:val="superscript"/>
        </w:rPr>
        <w:t>1</w:t>
      </w:r>
      <w:r>
        <w:rPr>
          <w:sz w:val="10"/>
        </w:rPr>
        <w:t xml:space="preserve"> Nominal or not adjusted for price changes. Original </w:t>
      </w:r>
      <w:r w:rsidRPr="002F0C86">
        <w:rPr>
          <w:sz w:val="10"/>
        </w:rPr>
        <w:t xml:space="preserve">series. </w:t>
      </w:r>
      <w:r w:rsidRPr="008809A4">
        <w:rPr>
          <w:sz w:val="10"/>
        </w:rPr>
        <w:t>Indexes 2012 = 100.0.</w:t>
      </w:r>
    </w:p>
    <w:p w14:paraId="051F60F7" w14:textId="77777777" w:rsidR="008B0834" w:rsidRDefault="008B0834" w:rsidP="008B0834">
      <w:pPr>
        <w:spacing w:after="0"/>
        <w:jc w:val="both"/>
        <w:rPr>
          <w:sz w:val="10"/>
        </w:rPr>
      </w:pPr>
      <w:r w:rsidRPr="00A441A2">
        <w:rPr>
          <w:sz w:val="10"/>
        </w:rPr>
        <w:t xml:space="preserve">Source: </w:t>
      </w:r>
      <w:r>
        <w:rPr>
          <w:sz w:val="10"/>
        </w:rPr>
        <w:t xml:space="preserve">WA </w:t>
      </w:r>
      <w:r w:rsidRPr="003875B0">
        <w:rPr>
          <w:sz w:val="10"/>
        </w:rPr>
        <w:t>Department of Mines, Industry Regulation and Safety, Resource Data Files</w:t>
      </w:r>
      <w:r>
        <w:rPr>
          <w:sz w:val="10"/>
        </w:rPr>
        <w:t xml:space="preserve"> (Bi-Annual).</w:t>
      </w:r>
    </w:p>
    <w:p w14:paraId="1FD78886" w14:textId="77777777" w:rsidR="008B0834" w:rsidRDefault="008B0834" w:rsidP="008B0834">
      <w:pPr>
        <w:pStyle w:val="BodyText"/>
        <w:spacing w:after="0"/>
        <w:jc w:val="both"/>
        <w:rPr>
          <w:sz w:val="16"/>
        </w:rPr>
      </w:pPr>
    </w:p>
    <w:p w14:paraId="2A9D3746" w14:textId="77777777" w:rsidR="008B0834" w:rsidRPr="00403DB4" w:rsidRDefault="008B0834" w:rsidP="008B0834">
      <w:pPr>
        <w:pStyle w:val="BodyText"/>
        <w:spacing w:after="0"/>
        <w:jc w:val="both"/>
        <w:rPr>
          <w:sz w:val="16"/>
        </w:rPr>
      </w:pPr>
    </w:p>
    <w:p w14:paraId="6C5E53EA" w14:textId="77777777" w:rsidR="008B0834" w:rsidRPr="008809A4" w:rsidRDefault="008B0834" w:rsidP="008B0834">
      <w:pPr>
        <w:pStyle w:val="BodyText"/>
        <w:spacing w:after="0"/>
        <w:jc w:val="both"/>
        <w:rPr>
          <w:sz w:val="16"/>
        </w:rPr>
      </w:pPr>
      <w:r>
        <w:rPr>
          <w:sz w:val="16"/>
        </w:rPr>
        <w:br w:type="column"/>
      </w:r>
    </w:p>
    <w:p w14:paraId="79C62FE4" w14:textId="77777777" w:rsidR="008B0834" w:rsidRPr="00351552" w:rsidRDefault="008B0834" w:rsidP="008B0834">
      <w:pPr>
        <w:pStyle w:val="BodyText"/>
        <w:numPr>
          <w:ilvl w:val="0"/>
          <w:numId w:val="9"/>
        </w:numPr>
        <w:spacing w:after="0"/>
        <w:jc w:val="both"/>
        <w:rPr>
          <w:color w:val="000000" w:themeColor="text1"/>
          <w:sz w:val="16"/>
        </w:rPr>
      </w:pPr>
      <w:r w:rsidRPr="00351552">
        <w:rPr>
          <w:color w:val="000000" w:themeColor="text1"/>
          <w:sz w:val="16"/>
        </w:rPr>
        <w:t>The value of Western Australia’s LNG sales rose 46.5% to $56.3 billion in 2022-23, due mostly to an increase in the average price in 2022-23.</w:t>
      </w:r>
    </w:p>
    <w:p w14:paraId="43282FA5" w14:textId="77777777" w:rsidR="008B0834" w:rsidRPr="00351552" w:rsidRDefault="008B0834" w:rsidP="008B0834">
      <w:pPr>
        <w:pStyle w:val="BodyText"/>
        <w:numPr>
          <w:ilvl w:val="0"/>
          <w:numId w:val="9"/>
        </w:numPr>
        <w:spacing w:after="0"/>
        <w:jc w:val="both"/>
        <w:rPr>
          <w:color w:val="000000" w:themeColor="text1"/>
          <w:sz w:val="16"/>
        </w:rPr>
      </w:pPr>
      <w:r w:rsidRPr="00351552">
        <w:rPr>
          <w:color w:val="000000" w:themeColor="text1"/>
          <w:sz w:val="16"/>
        </w:rPr>
        <w:t>The annual average $A unit price (free on board) of Western Australia’s LNG sales rose 37.5% in 2022-23.</w:t>
      </w:r>
    </w:p>
    <w:p w14:paraId="77B8A37B" w14:textId="77777777" w:rsidR="008B0834" w:rsidRPr="00351552" w:rsidRDefault="008B0834" w:rsidP="008B0834">
      <w:pPr>
        <w:pStyle w:val="BodyText"/>
        <w:numPr>
          <w:ilvl w:val="0"/>
          <w:numId w:val="9"/>
        </w:numPr>
        <w:spacing w:after="0"/>
        <w:jc w:val="both"/>
        <w:rPr>
          <w:color w:val="000000" w:themeColor="text1"/>
          <w:sz w:val="16"/>
        </w:rPr>
      </w:pPr>
      <w:r w:rsidRPr="00351552">
        <w:rPr>
          <w:color w:val="000000" w:themeColor="text1"/>
          <w:sz w:val="16"/>
        </w:rPr>
        <w:t>The volume of Western Australia’s LNG sales rose 6.6% to 50 million tonnes in 2022-23.</w:t>
      </w:r>
    </w:p>
    <w:p w14:paraId="01649E06" w14:textId="77777777" w:rsidR="008B0834" w:rsidRPr="00901533" w:rsidRDefault="008B0834" w:rsidP="008B0834">
      <w:pPr>
        <w:pStyle w:val="BodyText"/>
        <w:spacing w:after="0"/>
        <w:jc w:val="both"/>
        <w:rPr>
          <w:color w:val="FF0000"/>
          <w:sz w:val="16"/>
        </w:rPr>
        <w:sectPr w:rsidR="008B0834" w:rsidRPr="00901533" w:rsidSect="00F7498D">
          <w:type w:val="continuous"/>
          <w:pgSz w:w="11907" w:h="16840" w:code="9"/>
          <w:pgMar w:top="1701" w:right="720" w:bottom="720" w:left="720" w:header="709" w:footer="709" w:gutter="0"/>
          <w:cols w:num="2" w:space="284" w:equalWidth="0">
            <w:col w:w="5647" w:space="284"/>
            <w:col w:w="4536"/>
          </w:cols>
          <w:docGrid w:linePitch="360"/>
        </w:sectPr>
      </w:pPr>
    </w:p>
    <w:p w14:paraId="0C0EF4DF" w14:textId="77777777" w:rsidR="008B0834" w:rsidRPr="003F7FF9" w:rsidRDefault="008B0834" w:rsidP="008B0834">
      <w:pPr>
        <w:pStyle w:val="BodyText"/>
        <w:spacing w:after="0"/>
        <w:rPr>
          <w:b/>
          <w:sz w:val="20"/>
        </w:rPr>
      </w:pPr>
      <w:r w:rsidRPr="00020369">
        <w:rPr>
          <w:b/>
          <w:color w:val="92278F" w:themeColor="accent1"/>
          <w:sz w:val="20"/>
        </w:rPr>
        <w:t>Western Australia’s gold sales</w:t>
      </w:r>
      <w:r w:rsidRPr="00020369">
        <w:rPr>
          <w:b/>
          <w:color w:val="92278F" w:themeColor="accent1"/>
          <w:sz w:val="20"/>
          <w:vertAlign w:val="superscript"/>
        </w:rPr>
        <w:t>1</w:t>
      </w:r>
      <w:r w:rsidRPr="00020369">
        <w:rPr>
          <w:b/>
          <w:color w:val="92278F" w:themeColor="accent1"/>
          <w:sz w:val="20"/>
        </w:rPr>
        <w:t xml:space="preserve"> </w:t>
      </w:r>
    </w:p>
    <w:p w14:paraId="34D4B454" w14:textId="41D8ECD1" w:rsidR="008B0834" w:rsidRDefault="00F272DD" w:rsidP="008B0834">
      <w:pPr>
        <w:pStyle w:val="BodyText"/>
        <w:spacing w:after="0"/>
        <w:jc w:val="both"/>
        <w:rPr>
          <w:sz w:val="16"/>
        </w:rPr>
      </w:pPr>
      <w:r>
        <w:rPr>
          <w:noProof/>
          <w:sz w:val="16"/>
        </w:rPr>
        <w:drawing>
          <wp:inline distT="0" distB="0" distL="0" distR="0" wp14:anchorId="6D7F9F71" wp14:editId="25E964C8">
            <wp:extent cx="3528000" cy="2103405"/>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5F16CB06" w14:textId="77777777" w:rsidR="008B0834" w:rsidRPr="008809A4" w:rsidRDefault="008B0834" w:rsidP="008B0834">
      <w:pPr>
        <w:spacing w:after="0"/>
        <w:jc w:val="both"/>
        <w:rPr>
          <w:sz w:val="10"/>
        </w:rPr>
      </w:pPr>
      <w:r w:rsidRPr="002B0920">
        <w:rPr>
          <w:sz w:val="10"/>
          <w:vertAlign w:val="superscript"/>
        </w:rPr>
        <w:t>1</w:t>
      </w:r>
      <w:r>
        <w:rPr>
          <w:sz w:val="10"/>
        </w:rPr>
        <w:t xml:space="preserve"> Nominal or not adjusted for price changes. </w:t>
      </w:r>
      <w:r w:rsidRPr="008809A4">
        <w:rPr>
          <w:sz w:val="10"/>
        </w:rPr>
        <w:t>Original series. Indexes 2012 = 100.0.</w:t>
      </w:r>
    </w:p>
    <w:p w14:paraId="087798D6" w14:textId="77777777" w:rsidR="008B0834" w:rsidRPr="00715528" w:rsidRDefault="008B0834" w:rsidP="008B0834">
      <w:pPr>
        <w:pStyle w:val="BodyText"/>
        <w:spacing w:after="0"/>
        <w:jc w:val="both"/>
        <w:rPr>
          <w:sz w:val="10"/>
        </w:rPr>
      </w:pPr>
      <w:r w:rsidRPr="00A441A2">
        <w:rPr>
          <w:sz w:val="10"/>
        </w:rPr>
        <w:t xml:space="preserve">Source: </w:t>
      </w:r>
      <w:r>
        <w:rPr>
          <w:sz w:val="10"/>
        </w:rPr>
        <w:t xml:space="preserve">WA </w:t>
      </w:r>
      <w:r w:rsidRPr="003875B0">
        <w:rPr>
          <w:sz w:val="10"/>
        </w:rPr>
        <w:t>Department of Mines, Industry Regulation and Safety, Resource Data Files</w:t>
      </w:r>
      <w:r>
        <w:rPr>
          <w:sz w:val="10"/>
        </w:rPr>
        <w:t xml:space="preserve"> (Bi-Annual).</w:t>
      </w:r>
    </w:p>
    <w:p w14:paraId="6F2EF7E5" w14:textId="77777777" w:rsidR="008B0834" w:rsidRPr="008809A4" w:rsidRDefault="008B0834" w:rsidP="008B0834">
      <w:pPr>
        <w:pStyle w:val="BodyText"/>
        <w:spacing w:after="0"/>
        <w:jc w:val="both"/>
        <w:rPr>
          <w:sz w:val="16"/>
        </w:rPr>
      </w:pPr>
      <w:r>
        <w:rPr>
          <w:sz w:val="16"/>
        </w:rPr>
        <w:br w:type="column"/>
      </w:r>
    </w:p>
    <w:p w14:paraId="77E90832" w14:textId="77777777" w:rsidR="008B0834" w:rsidRPr="00351552" w:rsidRDefault="008B0834" w:rsidP="008B0834">
      <w:pPr>
        <w:pStyle w:val="BodyText"/>
        <w:numPr>
          <w:ilvl w:val="0"/>
          <w:numId w:val="9"/>
        </w:numPr>
        <w:spacing w:after="0"/>
        <w:jc w:val="both"/>
        <w:rPr>
          <w:color w:val="000000" w:themeColor="text1"/>
          <w:sz w:val="16"/>
        </w:rPr>
      </w:pPr>
      <w:r w:rsidRPr="00351552">
        <w:rPr>
          <w:color w:val="000000" w:themeColor="text1"/>
          <w:sz w:val="16"/>
        </w:rPr>
        <w:t>The value of Western Australia’s gold sales rose 6.7% to $18.6 billion in 2022-23, due solely to an increase in the average price in 2022-23.</w:t>
      </w:r>
    </w:p>
    <w:p w14:paraId="41EC57AE" w14:textId="77777777" w:rsidR="008B0834" w:rsidRPr="00351552" w:rsidRDefault="008B0834" w:rsidP="008B0834">
      <w:pPr>
        <w:pStyle w:val="BodyText"/>
        <w:numPr>
          <w:ilvl w:val="0"/>
          <w:numId w:val="9"/>
        </w:numPr>
        <w:spacing w:after="0"/>
        <w:jc w:val="both"/>
        <w:rPr>
          <w:color w:val="000000" w:themeColor="text1"/>
          <w:sz w:val="16"/>
        </w:rPr>
      </w:pPr>
      <w:r w:rsidRPr="00351552">
        <w:rPr>
          <w:color w:val="000000" w:themeColor="text1"/>
          <w:sz w:val="16"/>
        </w:rPr>
        <w:t>The annual average $A unit price (free on board) of Western Australia’s gold sales rose 7.7% in 2022-23.</w:t>
      </w:r>
    </w:p>
    <w:p w14:paraId="22EC8F3F" w14:textId="77777777" w:rsidR="008B0834" w:rsidRPr="00351552" w:rsidRDefault="008B0834" w:rsidP="008B0834">
      <w:pPr>
        <w:pStyle w:val="BodyText"/>
        <w:numPr>
          <w:ilvl w:val="0"/>
          <w:numId w:val="9"/>
        </w:numPr>
        <w:spacing w:after="0"/>
        <w:jc w:val="both"/>
        <w:rPr>
          <w:color w:val="000000" w:themeColor="text1"/>
          <w:sz w:val="16"/>
        </w:rPr>
      </w:pPr>
      <w:r w:rsidRPr="00351552">
        <w:rPr>
          <w:color w:val="000000" w:themeColor="text1"/>
          <w:sz w:val="16"/>
        </w:rPr>
        <w:t>The volume of Western Australia’s gold sales fell 0.9% to 212 tonnes in 2022-23.</w:t>
      </w:r>
    </w:p>
    <w:p w14:paraId="68401FFA" w14:textId="77777777" w:rsidR="008B0834" w:rsidRPr="00B911BA" w:rsidRDefault="008B0834" w:rsidP="008B0834">
      <w:pPr>
        <w:pStyle w:val="BodyText"/>
        <w:numPr>
          <w:ilvl w:val="0"/>
          <w:numId w:val="9"/>
        </w:numPr>
        <w:spacing w:after="0"/>
        <w:jc w:val="both"/>
        <w:rPr>
          <w:color w:val="0070C0"/>
          <w:sz w:val="16"/>
        </w:rPr>
      </w:pPr>
      <w:r w:rsidRPr="00B911BA">
        <w:rPr>
          <w:color w:val="0070C0"/>
          <w:sz w:val="16"/>
        </w:rPr>
        <w:br w:type="page"/>
      </w:r>
    </w:p>
    <w:p w14:paraId="7F17AD95" w14:textId="77777777" w:rsidR="008B0834" w:rsidRPr="00B911BA" w:rsidRDefault="008B0834" w:rsidP="008B0834">
      <w:pPr>
        <w:pStyle w:val="BodyText"/>
        <w:spacing w:after="0"/>
        <w:rPr>
          <w:color w:val="0070C0"/>
        </w:rPr>
        <w:sectPr w:rsidR="008B0834" w:rsidRPr="00B911BA" w:rsidSect="00F7498D">
          <w:type w:val="continuous"/>
          <w:pgSz w:w="11907" w:h="16840" w:code="9"/>
          <w:pgMar w:top="1701" w:right="720" w:bottom="720" w:left="720" w:header="709" w:footer="709" w:gutter="0"/>
          <w:cols w:num="2" w:space="284" w:equalWidth="0">
            <w:col w:w="5647" w:space="284"/>
            <w:col w:w="4536"/>
          </w:cols>
          <w:docGrid w:linePitch="360"/>
        </w:sectPr>
      </w:pPr>
    </w:p>
    <w:p w14:paraId="4A6B1F52" w14:textId="77777777" w:rsidR="008B0834" w:rsidRPr="00DD5DF4" w:rsidRDefault="008B0834" w:rsidP="008B0834">
      <w:pPr>
        <w:pStyle w:val="BodyText"/>
        <w:spacing w:after="0"/>
        <w:rPr>
          <w:b/>
          <w:color w:val="002060"/>
          <w:sz w:val="22"/>
        </w:rPr>
      </w:pPr>
      <w:r w:rsidRPr="00DD5DF4">
        <w:rPr>
          <w:b/>
          <w:color w:val="002060"/>
          <w:sz w:val="22"/>
        </w:rPr>
        <w:lastRenderedPageBreak/>
        <w:t>Regions</w:t>
      </w:r>
    </w:p>
    <w:p w14:paraId="0A9D5FBD" w14:textId="77777777" w:rsidR="008B0834" w:rsidRPr="008A06E7" w:rsidRDefault="008B0834" w:rsidP="008B0834">
      <w:pPr>
        <w:pStyle w:val="BodyText"/>
        <w:spacing w:after="0"/>
        <w:rPr>
          <w:b/>
          <w:color w:val="92278F" w:themeColor="accent1"/>
          <w:sz w:val="20"/>
        </w:rPr>
      </w:pPr>
      <w:r w:rsidRPr="005936ED">
        <w:rPr>
          <w:b/>
          <w:color w:val="92278F" w:themeColor="accent1"/>
          <w:sz w:val="20"/>
        </w:rPr>
        <w:t>Western Australia’s Regional Development</w:t>
      </w:r>
      <w:r w:rsidRPr="008A06E7">
        <w:rPr>
          <w:b/>
          <w:color w:val="92278F" w:themeColor="accent1"/>
          <w:sz w:val="20"/>
        </w:rPr>
        <w:t xml:space="preserve"> Commission Regions</w:t>
      </w:r>
    </w:p>
    <w:p w14:paraId="526E8C0F" w14:textId="77777777" w:rsidR="008B0834" w:rsidRDefault="008B0834" w:rsidP="008B0834">
      <w:pPr>
        <w:spacing w:after="0"/>
        <w:jc w:val="right"/>
        <w:rPr>
          <w:sz w:val="16"/>
        </w:rPr>
      </w:pPr>
      <w:r>
        <w:rPr>
          <w:noProof/>
          <w:sz w:val="16"/>
          <w:lang w:eastAsia="en-AU"/>
        </w:rPr>
        <mc:AlternateContent>
          <mc:Choice Requires="wps">
            <w:drawing>
              <wp:anchor distT="0" distB="0" distL="114300" distR="114300" simplePos="0" relativeHeight="251658240" behindDoc="0" locked="0" layoutInCell="1" allowOverlap="1" wp14:anchorId="0108813A" wp14:editId="3E5250FC">
                <wp:simplePos x="0" y="0"/>
                <wp:positionH relativeFrom="column">
                  <wp:posOffset>31750</wp:posOffset>
                </wp:positionH>
                <wp:positionV relativeFrom="paragraph">
                  <wp:posOffset>53340</wp:posOffset>
                </wp:positionV>
                <wp:extent cx="6794500" cy="7943850"/>
                <wp:effectExtent l="0" t="0" r="0" b="0"/>
                <wp:wrapNone/>
                <wp:docPr id="8" name="Text Box 8"/>
                <wp:cNvGraphicFramePr/>
                <a:graphic xmlns:a="http://schemas.openxmlformats.org/drawingml/2006/main">
                  <a:graphicData uri="http://schemas.microsoft.com/office/word/2010/wordprocessingShape">
                    <wps:wsp>
                      <wps:cNvSpPr txBox="1"/>
                      <wps:spPr>
                        <a:xfrm>
                          <a:off x="0" y="0"/>
                          <a:ext cx="6794500" cy="7943850"/>
                        </a:xfrm>
                        <a:prstGeom prst="rect">
                          <a:avLst/>
                        </a:prstGeom>
                        <a:no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814"/>
                              <w:gridCol w:w="1128"/>
                              <w:gridCol w:w="787"/>
                              <w:gridCol w:w="236"/>
                              <w:gridCol w:w="1145"/>
                              <w:gridCol w:w="1145"/>
                              <w:gridCol w:w="722"/>
                              <w:gridCol w:w="1128"/>
                              <w:gridCol w:w="787"/>
                            </w:tblGrid>
                            <w:tr w:rsidR="008B0834" w:rsidRPr="00EE46E2" w14:paraId="19C0E3F4" w14:textId="77777777" w:rsidTr="00E930AA">
                              <w:trPr>
                                <w:gridAfter w:val="4"/>
                                <w:wAfter w:w="3782" w:type="dxa"/>
                              </w:trPr>
                              <w:tc>
                                <w:tcPr>
                                  <w:tcW w:w="2235" w:type="dxa"/>
                                </w:tcPr>
                                <w:p w14:paraId="13C794B3" w14:textId="77777777" w:rsidR="008B0834" w:rsidRPr="00502167" w:rsidRDefault="008B0834" w:rsidP="00FD646A">
                                  <w:pPr>
                                    <w:rPr>
                                      <w:rFonts w:cstheme="minorHAnsi"/>
                                      <w:sz w:val="9"/>
                                      <w:szCs w:val="13"/>
                                    </w:rPr>
                                  </w:pPr>
                                </w:p>
                              </w:tc>
                              <w:tc>
                                <w:tcPr>
                                  <w:tcW w:w="2729" w:type="dxa"/>
                                  <w:gridSpan w:val="3"/>
                                </w:tcPr>
                                <w:p w14:paraId="6AA041BC" w14:textId="77777777" w:rsidR="008B0834" w:rsidRPr="00EE46E2" w:rsidRDefault="008B0834" w:rsidP="00FD646A">
                                  <w:pPr>
                                    <w:rPr>
                                      <w:rFonts w:cstheme="minorHAnsi"/>
                                      <w:sz w:val="13"/>
                                      <w:szCs w:val="13"/>
                                    </w:rPr>
                                  </w:pPr>
                                </w:p>
                              </w:tc>
                              <w:tc>
                                <w:tcPr>
                                  <w:tcW w:w="1381" w:type="dxa"/>
                                  <w:gridSpan w:val="2"/>
                                </w:tcPr>
                                <w:p w14:paraId="2106B7AB" w14:textId="77777777" w:rsidR="008B0834" w:rsidRPr="00EE46E2" w:rsidRDefault="008B0834" w:rsidP="00FD646A">
                                  <w:pPr>
                                    <w:rPr>
                                      <w:rFonts w:cstheme="minorHAnsi"/>
                                      <w:sz w:val="13"/>
                                      <w:szCs w:val="13"/>
                                    </w:rPr>
                                  </w:pPr>
                                </w:p>
                              </w:tc>
                            </w:tr>
                            <w:tr w:rsidR="008B0834" w:rsidRPr="00EE46E2" w14:paraId="128C4CC6" w14:textId="77777777" w:rsidTr="00E930AA">
                              <w:trPr>
                                <w:gridAfter w:val="4"/>
                                <w:wAfter w:w="3782" w:type="dxa"/>
                              </w:trPr>
                              <w:tc>
                                <w:tcPr>
                                  <w:tcW w:w="2235" w:type="dxa"/>
                                </w:tcPr>
                                <w:p w14:paraId="17F5D066" w14:textId="77777777" w:rsidR="008B0834" w:rsidRPr="00502167" w:rsidRDefault="008B0834" w:rsidP="00FD646A">
                                  <w:pPr>
                                    <w:rPr>
                                      <w:rFonts w:cstheme="minorHAnsi"/>
                                      <w:sz w:val="9"/>
                                      <w:szCs w:val="13"/>
                                    </w:rPr>
                                  </w:pPr>
                                </w:p>
                              </w:tc>
                              <w:tc>
                                <w:tcPr>
                                  <w:tcW w:w="2729" w:type="dxa"/>
                                  <w:gridSpan w:val="3"/>
                                </w:tcPr>
                                <w:p w14:paraId="4C489AD7" w14:textId="77777777" w:rsidR="008B0834" w:rsidRPr="00EE46E2" w:rsidRDefault="008B0834" w:rsidP="00FD646A">
                                  <w:pPr>
                                    <w:rPr>
                                      <w:rFonts w:cstheme="minorHAnsi"/>
                                      <w:sz w:val="13"/>
                                      <w:szCs w:val="13"/>
                                    </w:rPr>
                                  </w:pPr>
                                </w:p>
                              </w:tc>
                              <w:tc>
                                <w:tcPr>
                                  <w:tcW w:w="1381" w:type="dxa"/>
                                  <w:gridSpan w:val="2"/>
                                </w:tcPr>
                                <w:p w14:paraId="18691661" w14:textId="77777777" w:rsidR="008B0834" w:rsidRPr="00EE46E2" w:rsidRDefault="008B0834" w:rsidP="00FD646A">
                                  <w:pPr>
                                    <w:rPr>
                                      <w:rFonts w:cstheme="minorHAnsi"/>
                                      <w:sz w:val="13"/>
                                      <w:szCs w:val="13"/>
                                    </w:rPr>
                                  </w:pPr>
                                </w:p>
                              </w:tc>
                            </w:tr>
                            <w:tr w:rsidR="008B0834" w:rsidRPr="00EE46E2" w14:paraId="483A9F07" w14:textId="77777777" w:rsidTr="00E930AA">
                              <w:tc>
                                <w:tcPr>
                                  <w:tcW w:w="4964" w:type="dxa"/>
                                  <w:gridSpan w:val="4"/>
                                  <w:tcBorders>
                                    <w:top w:val="single" w:sz="4" w:space="0" w:color="auto"/>
                                    <w:left w:val="single" w:sz="4" w:space="0" w:color="auto"/>
                                    <w:bottom w:val="single" w:sz="4" w:space="0" w:color="auto"/>
                                    <w:right w:val="single" w:sz="4" w:space="0" w:color="auto"/>
                                  </w:tcBorders>
                                  <w:shd w:val="clear" w:color="auto" w:fill="DFBE9D"/>
                                </w:tcPr>
                                <w:p w14:paraId="2B6A10FD" w14:textId="77777777" w:rsidR="008B0834" w:rsidRPr="00EE46E2" w:rsidRDefault="008B0834" w:rsidP="008C34A6">
                                  <w:pPr>
                                    <w:spacing w:line="360" w:lineRule="auto"/>
                                    <w:rPr>
                                      <w:rFonts w:cstheme="minorHAnsi"/>
                                      <w:b/>
                                      <w:color w:val="FFFFFF" w:themeColor="background1"/>
                                      <w:sz w:val="13"/>
                                      <w:szCs w:val="13"/>
                                    </w:rPr>
                                  </w:pPr>
                                  <w:r w:rsidRPr="00904A09">
                                    <w:rPr>
                                      <w:rFonts w:cstheme="minorHAnsi"/>
                                      <w:b/>
                                      <w:color w:val="002060"/>
                                      <w:sz w:val="14"/>
                                      <w:szCs w:val="14"/>
                                    </w:rPr>
                                    <w:t>PILBARA &amp; OFFSHORE</w:t>
                                  </w:r>
                                </w:p>
                              </w:tc>
                              <w:tc>
                                <w:tcPr>
                                  <w:tcW w:w="236" w:type="dxa"/>
                                  <w:tcBorders>
                                    <w:right w:val="single" w:sz="4" w:space="0" w:color="auto"/>
                                  </w:tcBorders>
                                </w:tcPr>
                                <w:p w14:paraId="1F1A7136" w14:textId="77777777" w:rsidR="008B0834" w:rsidRPr="00EE46E2" w:rsidRDefault="008B0834" w:rsidP="008C34A6">
                                  <w:pPr>
                                    <w:rPr>
                                      <w:rFonts w:cstheme="minorHAnsi"/>
                                      <w:sz w:val="13"/>
                                      <w:szCs w:val="13"/>
                                    </w:rPr>
                                  </w:pPr>
                                </w:p>
                              </w:tc>
                              <w:tc>
                                <w:tcPr>
                                  <w:tcW w:w="4927" w:type="dxa"/>
                                  <w:gridSpan w:val="5"/>
                                  <w:tcBorders>
                                    <w:top w:val="single" w:sz="4" w:space="0" w:color="auto"/>
                                    <w:left w:val="single" w:sz="4" w:space="0" w:color="auto"/>
                                    <w:bottom w:val="single" w:sz="4" w:space="0" w:color="auto"/>
                                    <w:right w:val="single" w:sz="4" w:space="0" w:color="auto"/>
                                  </w:tcBorders>
                                  <w:shd w:val="clear" w:color="auto" w:fill="F1ECB1"/>
                                </w:tcPr>
                                <w:p w14:paraId="5475DA0A" w14:textId="77777777" w:rsidR="008B0834" w:rsidRPr="00EE46E2" w:rsidRDefault="008B0834" w:rsidP="008C34A6">
                                  <w:pPr>
                                    <w:spacing w:line="360" w:lineRule="auto"/>
                                    <w:rPr>
                                      <w:rFonts w:cstheme="minorHAnsi"/>
                                      <w:b/>
                                      <w:sz w:val="13"/>
                                      <w:szCs w:val="13"/>
                                    </w:rPr>
                                  </w:pPr>
                                  <w:r w:rsidRPr="00904A09">
                                    <w:rPr>
                                      <w:rFonts w:cstheme="minorHAnsi"/>
                                      <w:b/>
                                      <w:color w:val="002060"/>
                                      <w:sz w:val="14"/>
                                      <w:szCs w:val="14"/>
                                    </w:rPr>
                                    <w:t>KIMBERLEY</w:t>
                                  </w:r>
                                </w:p>
                              </w:tc>
                            </w:tr>
                            <w:tr w:rsidR="008B0834" w:rsidRPr="00EE46E2" w14:paraId="5BDFD04F" w14:textId="77777777" w:rsidTr="00E930AA">
                              <w:tc>
                                <w:tcPr>
                                  <w:tcW w:w="2235" w:type="dxa"/>
                                  <w:tcBorders>
                                    <w:top w:val="single" w:sz="4" w:space="0" w:color="auto"/>
                                    <w:left w:val="single" w:sz="4" w:space="0" w:color="auto"/>
                                    <w:right w:val="single" w:sz="4" w:space="0" w:color="auto"/>
                                  </w:tcBorders>
                                </w:tcPr>
                                <w:p w14:paraId="0BF3B0E1" w14:textId="77777777" w:rsidR="008B0834" w:rsidRPr="00A1002D" w:rsidRDefault="008B0834" w:rsidP="00993C31">
                                  <w:pPr>
                                    <w:spacing w:line="360" w:lineRule="auto"/>
                                    <w:rPr>
                                      <w:rFonts w:cstheme="minorHAnsi"/>
                                      <w:sz w:val="13"/>
                                      <w:szCs w:val="13"/>
                                    </w:rPr>
                                  </w:pPr>
                                </w:p>
                              </w:tc>
                              <w:tc>
                                <w:tcPr>
                                  <w:tcW w:w="814" w:type="dxa"/>
                                  <w:tcBorders>
                                    <w:top w:val="single" w:sz="4" w:space="0" w:color="auto"/>
                                    <w:left w:val="single" w:sz="4" w:space="0" w:color="auto"/>
                                    <w:right w:val="single" w:sz="4" w:space="0" w:color="auto"/>
                                  </w:tcBorders>
                                </w:tcPr>
                                <w:p w14:paraId="1ED55958" w14:textId="77777777" w:rsidR="008B0834" w:rsidRPr="00EE46E2" w:rsidRDefault="008B0834" w:rsidP="00993C31">
                                  <w:pPr>
                                    <w:spacing w:line="360" w:lineRule="auto"/>
                                    <w:jc w:val="right"/>
                                    <w:rPr>
                                      <w:rFonts w:cstheme="minorHAnsi"/>
                                      <w:sz w:val="13"/>
                                      <w:szCs w:val="13"/>
                                    </w:rPr>
                                  </w:pPr>
                                  <w:r w:rsidRPr="00EE46E2">
                                    <w:rPr>
                                      <w:rFonts w:cstheme="minorHAnsi"/>
                                      <w:sz w:val="13"/>
                                      <w:szCs w:val="13"/>
                                    </w:rPr>
                                    <w:t>Figure</w:t>
                                  </w:r>
                                </w:p>
                              </w:tc>
                              <w:tc>
                                <w:tcPr>
                                  <w:tcW w:w="1128" w:type="dxa"/>
                                  <w:tcBorders>
                                    <w:top w:val="single" w:sz="4" w:space="0" w:color="auto"/>
                                    <w:left w:val="single" w:sz="4" w:space="0" w:color="auto"/>
                                    <w:right w:val="single" w:sz="4" w:space="0" w:color="auto"/>
                                  </w:tcBorders>
                                </w:tcPr>
                                <w:p w14:paraId="79D141E2" w14:textId="77777777" w:rsidR="008B0834" w:rsidRPr="00EE46E2" w:rsidRDefault="008B0834" w:rsidP="00993C31">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787" w:type="dxa"/>
                                  <w:tcBorders>
                                    <w:top w:val="single" w:sz="4" w:space="0" w:color="auto"/>
                                    <w:left w:val="single" w:sz="4" w:space="0" w:color="auto"/>
                                    <w:right w:val="single" w:sz="4" w:space="0" w:color="auto"/>
                                  </w:tcBorders>
                                </w:tcPr>
                                <w:p w14:paraId="6BD96ECA" w14:textId="77777777" w:rsidR="008B0834" w:rsidRPr="00EE46E2" w:rsidRDefault="008B0834" w:rsidP="00993C31">
                                  <w:pPr>
                                    <w:spacing w:line="360" w:lineRule="auto"/>
                                    <w:jc w:val="right"/>
                                    <w:rPr>
                                      <w:rFonts w:cstheme="minorHAnsi"/>
                                      <w:sz w:val="13"/>
                                      <w:szCs w:val="13"/>
                                    </w:rPr>
                                  </w:pPr>
                                  <w:r w:rsidRPr="00EE46E2">
                                    <w:rPr>
                                      <w:rFonts w:cstheme="minorHAnsi"/>
                                      <w:sz w:val="13"/>
                                      <w:szCs w:val="13"/>
                                    </w:rPr>
                                    <w:t>WA share</w:t>
                                  </w:r>
                                </w:p>
                              </w:tc>
                              <w:tc>
                                <w:tcPr>
                                  <w:tcW w:w="236" w:type="dxa"/>
                                  <w:tcBorders>
                                    <w:right w:val="single" w:sz="4" w:space="0" w:color="auto"/>
                                  </w:tcBorders>
                                </w:tcPr>
                                <w:p w14:paraId="0F7C269C" w14:textId="77777777" w:rsidR="008B0834" w:rsidRPr="00EE46E2" w:rsidRDefault="008B0834" w:rsidP="00993C31">
                                  <w:pPr>
                                    <w:rPr>
                                      <w:rFonts w:cstheme="minorHAnsi"/>
                                      <w:sz w:val="13"/>
                                      <w:szCs w:val="13"/>
                                    </w:rPr>
                                  </w:pPr>
                                </w:p>
                              </w:tc>
                              <w:tc>
                                <w:tcPr>
                                  <w:tcW w:w="2290" w:type="dxa"/>
                                  <w:gridSpan w:val="2"/>
                                  <w:tcBorders>
                                    <w:top w:val="single" w:sz="4" w:space="0" w:color="auto"/>
                                    <w:left w:val="single" w:sz="4" w:space="0" w:color="auto"/>
                                    <w:right w:val="single" w:sz="4" w:space="0" w:color="auto"/>
                                  </w:tcBorders>
                                </w:tcPr>
                                <w:p w14:paraId="28E1DF74" w14:textId="77777777" w:rsidR="008B0834" w:rsidRPr="00EE46E2" w:rsidRDefault="008B0834" w:rsidP="00993C31">
                                  <w:pPr>
                                    <w:spacing w:line="360" w:lineRule="auto"/>
                                    <w:rPr>
                                      <w:rFonts w:cstheme="minorHAnsi"/>
                                      <w:sz w:val="13"/>
                                      <w:szCs w:val="13"/>
                                    </w:rPr>
                                  </w:pPr>
                                </w:p>
                              </w:tc>
                              <w:tc>
                                <w:tcPr>
                                  <w:tcW w:w="722" w:type="dxa"/>
                                  <w:tcBorders>
                                    <w:top w:val="single" w:sz="4" w:space="0" w:color="auto"/>
                                    <w:left w:val="single" w:sz="4" w:space="0" w:color="auto"/>
                                    <w:right w:val="single" w:sz="4" w:space="0" w:color="auto"/>
                                  </w:tcBorders>
                                </w:tcPr>
                                <w:p w14:paraId="7C462221" w14:textId="77777777" w:rsidR="008B0834" w:rsidRPr="00EE46E2" w:rsidRDefault="008B0834" w:rsidP="00993C31">
                                  <w:pPr>
                                    <w:spacing w:line="360" w:lineRule="auto"/>
                                    <w:jc w:val="right"/>
                                    <w:rPr>
                                      <w:rFonts w:cstheme="minorHAnsi"/>
                                      <w:sz w:val="13"/>
                                      <w:szCs w:val="13"/>
                                    </w:rPr>
                                  </w:pPr>
                                  <w:r w:rsidRPr="00EE46E2">
                                    <w:rPr>
                                      <w:rFonts w:cstheme="minorHAnsi"/>
                                      <w:sz w:val="13"/>
                                      <w:szCs w:val="13"/>
                                    </w:rPr>
                                    <w:t>Figure</w:t>
                                  </w:r>
                                </w:p>
                              </w:tc>
                              <w:tc>
                                <w:tcPr>
                                  <w:tcW w:w="1128" w:type="dxa"/>
                                  <w:tcBorders>
                                    <w:top w:val="single" w:sz="4" w:space="0" w:color="auto"/>
                                    <w:left w:val="single" w:sz="4" w:space="0" w:color="auto"/>
                                    <w:right w:val="single" w:sz="4" w:space="0" w:color="auto"/>
                                  </w:tcBorders>
                                </w:tcPr>
                                <w:p w14:paraId="299846A6" w14:textId="77777777" w:rsidR="008B0834" w:rsidRPr="00EE46E2" w:rsidRDefault="008B0834" w:rsidP="00993C31">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787" w:type="dxa"/>
                                  <w:tcBorders>
                                    <w:top w:val="single" w:sz="4" w:space="0" w:color="auto"/>
                                    <w:left w:val="single" w:sz="4" w:space="0" w:color="auto"/>
                                    <w:right w:val="single" w:sz="4" w:space="0" w:color="auto"/>
                                  </w:tcBorders>
                                </w:tcPr>
                                <w:p w14:paraId="51DB0F1E" w14:textId="77777777" w:rsidR="008B0834" w:rsidRPr="00EE46E2" w:rsidRDefault="008B0834" w:rsidP="00993C31">
                                  <w:pPr>
                                    <w:spacing w:line="360" w:lineRule="auto"/>
                                    <w:jc w:val="right"/>
                                    <w:rPr>
                                      <w:rFonts w:cstheme="minorHAnsi"/>
                                      <w:sz w:val="13"/>
                                      <w:szCs w:val="13"/>
                                    </w:rPr>
                                  </w:pPr>
                                  <w:r w:rsidRPr="00EE46E2">
                                    <w:rPr>
                                      <w:rFonts w:cstheme="minorHAnsi"/>
                                      <w:sz w:val="13"/>
                                      <w:szCs w:val="13"/>
                                    </w:rPr>
                                    <w:t>WA share</w:t>
                                  </w:r>
                                </w:p>
                              </w:tc>
                            </w:tr>
                            <w:tr w:rsidR="008B0834" w:rsidRPr="00EE46E2" w14:paraId="6AE4D7E0" w14:textId="77777777" w:rsidTr="00E930AA">
                              <w:tc>
                                <w:tcPr>
                                  <w:tcW w:w="2235" w:type="dxa"/>
                                  <w:tcBorders>
                                    <w:left w:val="single" w:sz="4" w:space="0" w:color="auto"/>
                                    <w:right w:val="single" w:sz="4" w:space="0" w:color="auto"/>
                                  </w:tcBorders>
                                </w:tcPr>
                                <w:p w14:paraId="34473B72" w14:textId="77777777" w:rsidR="008B0834" w:rsidRPr="008809A4" w:rsidRDefault="008B0834" w:rsidP="00EF4DF0">
                                  <w:pPr>
                                    <w:spacing w:line="360" w:lineRule="auto"/>
                                    <w:rPr>
                                      <w:rFonts w:cstheme="minorHAnsi"/>
                                      <w:sz w:val="13"/>
                                      <w:szCs w:val="13"/>
                                    </w:rPr>
                                  </w:pPr>
                                  <w:r w:rsidRPr="008809A4">
                                    <w:rPr>
                                      <w:rFonts w:cstheme="minorHAnsi"/>
                                      <w:sz w:val="13"/>
                                      <w:szCs w:val="13"/>
                                    </w:rPr>
                                    <w:t>Gross regional product: 2021-22</w:t>
                                  </w:r>
                                </w:p>
                              </w:tc>
                              <w:tc>
                                <w:tcPr>
                                  <w:tcW w:w="814" w:type="dxa"/>
                                  <w:tcBorders>
                                    <w:left w:val="single" w:sz="4" w:space="0" w:color="auto"/>
                                    <w:right w:val="single" w:sz="4" w:space="0" w:color="auto"/>
                                  </w:tcBorders>
                                </w:tcPr>
                                <w:p w14:paraId="2BC0489A"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$74.6b</w:t>
                                  </w:r>
                                </w:p>
                              </w:tc>
                              <w:tc>
                                <w:tcPr>
                                  <w:tcW w:w="1128" w:type="dxa"/>
                                  <w:tcBorders>
                                    <w:left w:val="single" w:sz="4" w:space="0" w:color="auto"/>
                                    <w:right w:val="single" w:sz="4" w:space="0" w:color="auto"/>
                                  </w:tcBorders>
                                </w:tcPr>
                                <w:p w14:paraId="0AADFAAA" w14:textId="77777777" w:rsidR="008B0834" w:rsidRPr="008809A4" w:rsidRDefault="008B0834" w:rsidP="00FB5C9F">
                                  <w:pPr>
                                    <w:spacing w:line="360" w:lineRule="auto"/>
                                    <w:jc w:val="right"/>
                                    <w:rPr>
                                      <w:rFonts w:cstheme="minorHAnsi"/>
                                      <w:sz w:val="13"/>
                                      <w:szCs w:val="13"/>
                                    </w:rPr>
                                  </w:pPr>
                                  <w:r w:rsidRPr="008809A4">
                                    <w:rPr>
                                      <w:rFonts w:cstheme="minorHAnsi"/>
                                      <w:sz w:val="13"/>
                                      <w:szCs w:val="13"/>
                                    </w:rPr>
                                    <w:t>-0.3%</w:t>
                                  </w:r>
                                </w:p>
                              </w:tc>
                              <w:tc>
                                <w:tcPr>
                                  <w:tcW w:w="787" w:type="dxa"/>
                                  <w:tcBorders>
                                    <w:left w:val="single" w:sz="4" w:space="0" w:color="auto"/>
                                    <w:right w:val="single" w:sz="4" w:space="0" w:color="auto"/>
                                  </w:tcBorders>
                                </w:tcPr>
                                <w:p w14:paraId="4F760082"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18.4%</w:t>
                                  </w:r>
                                </w:p>
                              </w:tc>
                              <w:tc>
                                <w:tcPr>
                                  <w:tcW w:w="236" w:type="dxa"/>
                                  <w:tcBorders>
                                    <w:right w:val="single" w:sz="4" w:space="0" w:color="auto"/>
                                  </w:tcBorders>
                                </w:tcPr>
                                <w:p w14:paraId="7CFE5044" w14:textId="77777777" w:rsidR="008B0834" w:rsidRPr="00A5645B" w:rsidRDefault="008B0834" w:rsidP="00F62810">
                                  <w:pPr>
                                    <w:rPr>
                                      <w:rFonts w:cstheme="minorHAnsi"/>
                                      <w:sz w:val="13"/>
                                      <w:szCs w:val="13"/>
                                    </w:rPr>
                                  </w:pPr>
                                </w:p>
                              </w:tc>
                              <w:tc>
                                <w:tcPr>
                                  <w:tcW w:w="2290" w:type="dxa"/>
                                  <w:gridSpan w:val="2"/>
                                  <w:tcBorders>
                                    <w:left w:val="single" w:sz="4" w:space="0" w:color="auto"/>
                                    <w:right w:val="single" w:sz="4" w:space="0" w:color="auto"/>
                                  </w:tcBorders>
                                </w:tcPr>
                                <w:p w14:paraId="435A4720" w14:textId="77777777" w:rsidR="008B0834" w:rsidRPr="008809A4" w:rsidRDefault="008B0834" w:rsidP="00F62810">
                                  <w:pPr>
                                    <w:spacing w:line="360" w:lineRule="auto"/>
                                    <w:rPr>
                                      <w:rFonts w:cstheme="minorHAnsi"/>
                                      <w:sz w:val="13"/>
                                      <w:szCs w:val="13"/>
                                    </w:rPr>
                                  </w:pPr>
                                  <w:r w:rsidRPr="008809A4">
                                    <w:rPr>
                                      <w:rFonts w:cstheme="minorHAnsi"/>
                                      <w:sz w:val="13"/>
                                      <w:szCs w:val="13"/>
                                    </w:rPr>
                                    <w:t>Gross regional product: 2021-22</w:t>
                                  </w:r>
                                </w:p>
                              </w:tc>
                              <w:tc>
                                <w:tcPr>
                                  <w:tcW w:w="722" w:type="dxa"/>
                                  <w:tcBorders>
                                    <w:left w:val="single" w:sz="4" w:space="0" w:color="auto"/>
                                    <w:right w:val="single" w:sz="4" w:space="0" w:color="auto"/>
                                  </w:tcBorders>
                                </w:tcPr>
                                <w:p w14:paraId="79676B5E"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$4.1b</w:t>
                                  </w:r>
                                </w:p>
                              </w:tc>
                              <w:tc>
                                <w:tcPr>
                                  <w:tcW w:w="1128" w:type="dxa"/>
                                  <w:tcBorders>
                                    <w:left w:val="single" w:sz="4" w:space="0" w:color="auto"/>
                                    <w:right w:val="single" w:sz="4" w:space="0" w:color="auto"/>
                                  </w:tcBorders>
                                </w:tcPr>
                                <w:p w14:paraId="0F8EDFB3" w14:textId="77777777" w:rsidR="008B0834" w:rsidRPr="008809A4" w:rsidRDefault="008B0834" w:rsidP="00740055">
                                  <w:pPr>
                                    <w:spacing w:line="360" w:lineRule="auto"/>
                                    <w:jc w:val="right"/>
                                    <w:rPr>
                                      <w:rFonts w:cstheme="minorHAnsi"/>
                                      <w:sz w:val="13"/>
                                      <w:szCs w:val="13"/>
                                    </w:rPr>
                                  </w:pPr>
                                  <w:r w:rsidRPr="008809A4">
                                    <w:rPr>
                                      <w:rFonts w:cstheme="minorHAnsi"/>
                                      <w:sz w:val="13"/>
                                      <w:szCs w:val="13"/>
                                    </w:rPr>
                                    <w:t>+19.8%</w:t>
                                  </w:r>
                                </w:p>
                              </w:tc>
                              <w:tc>
                                <w:tcPr>
                                  <w:tcW w:w="787" w:type="dxa"/>
                                  <w:tcBorders>
                                    <w:left w:val="single" w:sz="4" w:space="0" w:color="auto"/>
                                    <w:right w:val="single" w:sz="4" w:space="0" w:color="auto"/>
                                  </w:tcBorders>
                                </w:tcPr>
                                <w:p w14:paraId="772894E4"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1.0%</w:t>
                                  </w:r>
                                </w:p>
                              </w:tc>
                            </w:tr>
                            <w:tr w:rsidR="008B0834" w:rsidRPr="00EE46E2" w14:paraId="3747FCF8" w14:textId="77777777" w:rsidTr="00E930AA">
                              <w:tc>
                                <w:tcPr>
                                  <w:tcW w:w="2235" w:type="dxa"/>
                                  <w:tcBorders>
                                    <w:left w:val="single" w:sz="4" w:space="0" w:color="auto"/>
                                    <w:right w:val="single" w:sz="4" w:space="0" w:color="auto"/>
                                  </w:tcBorders>
                                </w:tcPr>
                                <w:p w14:paraId="683A9FB0" w14:textId="77777777" w:rsidR="008B0834" w:rsidRPr="008809A4" w:rsidRDefault="008B0834" w:rsidP="000E714D">
                                  <w:pPr>
                                    <w:spacing w:line="360" w:lineRule="auto"/>
                                    <w:rPr>
                                      <w:rFonts w:cstheme="minorHAnsi"/>
                                      <w:sz w:val="13"/>
                                      <w:szCs w:val="13"/>
                                    </w:rPr>
                                  </w:pPr>
                                  <w:r w:rsidRPr="008809A4">
                                    <w:rPr>
                                      <w:rFonts w:cstheme="minorHAnsi"/>
                                      <w:sz w:val="13"/>
                                      <w:szCs w:val="13"/>
                                    </w:rPr>
                                    <w:t>Population: 2021-22</w:t>
                                  </w:r>
                                </w:p>
                              </w:tc>
                              <w:tc>
                                <w:tcPr>
                                  <w:tcW w:w="814" w:type="dxa"/>
                                  <w:tcBorders>
                                    <w:left w:val="single" w:sz="4" w:space="0" w:color="auto"/>
                                    <w:right w:val="single" w:sz="4" w:space="0" w:color="auto"/>
                                  </w:tcBorders>
                                </w:tcPr>
                                <w:p w14:paraId="2C0D11C2"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58,904</w:t>
                                  </w:r>
                                </w:p>
                              </w:tc>
                              <w:tc>
                                <w:tcPr>
                                  <w:tcW w:w="1128" w:type="dxa"/>
                                  <w:tcBorders>
                                    <w:left w:val="single" w:sz="4" w:space="0" w:color="auto"/>
                                    <w:right w:val="single" w:sz="4" w:space="0" w:color="auto"/>
                                  </w:tcBorders>
                                </w:tcPr>
                                <w:p w14:paraId="0C6F0BC2"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+1.1%</w:t>
                                  </w:r>
                                </w:p>
                              </w:tc>
                              <w:tc>
                                <w:tcPr>
                                  <w:tcW w:w="787" w:type="dxa"/>
                                  <w:tcBorders>
                                    <w:left w:val="single" w:sz="4" w:space="0" w:color="auto"/>
                                    <w:right w:val="single" w:sz="4" w:space="0" w:color="auto"/>
                                  </w:tcBorders>
                                </w:tcPr>
                                <w:p w14:paraId="1B22C182"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2.1%</w:t>
                                  </w:r>
                                </w:p>
                              </w:tc>
                              <w:tc>
                                <w:tcPr>
                                  <w:tcW w:w="236" w:type="dxa"/>
                                  <w:tcBorders>
                                    <w:right w:val="single" w:sz="4" w:space="0" w:color="auto"/>
                                  </w:tcBorders>
                                </w:tcPr>
                                <w:p w14:paraId="1F665C44" w14:textId="77777777" w:rsidR="008B0834" w:rsidRPr="00116A46" w:rsidRDefault="008B0834" w:rsidP="00F62810">
                                  <w:pPr>
                                    <w:rPr>
                                      <w:rFonts w:cstheme="minorHAnsi"/>
                                      <w:sz w:val="13"/>
                                      <w:szCs w:val="13"/>
                                    </w:rPr>
                                  </w:pPr>
                                </w:p>
                              </w:tc>
                              <w:tc>
                                <w:tcPr>
                                  <w:tcW w:w="2290" w:type="dxa"/>
                                  <w:gridSpan w:val="2"/>
                                  <w:tcBorders>
                                    <w:left w:val="single" w:sz="4" w:space="0" w:color="auto"/>
                                    <w:right w:val="single" w:sz="4" w:space="0" w:color="auto"/>
                                  </w:tcBorders>
                                </w:tcPr>
                                <w:p w14:paraId="34EE4D7C" w14:textId="77777777" w:rsidR="008B0834" w:rsidRPr="008809A4" w:rsidRDefault="008B0834" w:rsidP="00F62810">
                                  <w:pPr>
                                    <w:spacing w:line="360" w:lineRule="auto"/>
                                    <w:rPr>
                                      <w:rFonts w:cstheme="minorHAnsi"/>
                                      <w:sz w:val="13"/>
                                      <w:szCs w:val="13"/>
                                    </w:rPr>
                                  </w:pPr>
                                  <w:r w:rsidRPr="008809A4">
                                    <w:rPr>
                                      <w:rFonts w:cstheme="minorHAnsi"/>
                                      <w:sz w:val="13"/>
                                      <w:szCs w:val="13"/>
                                    </w:rPr>
                                    <w:t>Population: 2021-22</w:t>
                                  </w:r>
                                </w:p>
                              </w:tc>
                              <w:tc>
                                <w:tcPr>
                                  <w:tcW w:w="722" w:type="dxa"/>
                                  <w:tcBorders>
                                    <w:left w:val="single" w:sz="4" w:space="0" w:color="auto"/>
                                    <w:right w:val="single" w:sz="4" w:space="0" w:color="auto"/>
                                  </w:tcBorders>
                                </w:tcPr>
                                <w:p w14:paraId="351F4B0A" w14:textId="77777777" w:rsidR="008B0834" w:rsidRPr="008809A4" w:rsidRDefault="008B0834" w:rsidP="005840E1">
                                  <w:pPr>
                                    <w:spacing w:line="360" w:lineRule="auto"/>
                                    <w:jc w:val="right"/>
                                    <w:rPr>
                                      <w:rFonts w:cstheme="minorHAnsi"/>
                                      <w:sz w:val="13"/>
                                      <w:szCs w:val="13"/>
                                    </w:rPr>
                                  </w:pPr>
                                  <w:r w:rsidRPr="008809A4">
                                    <w:rPr>
                                      <w:rFonts w:cstheme="minorHAnsi"/>
                                      <w:sz w:val="13"/>
                                      <w:szCs w:val="13"/>
                                    </w:rPr>
                                    <w:t>38,932</w:t>
                                  </w:r>
                                </w:p>
                              </w:tc>
                              <w:tc>
                                <w:tcPr>
                                  <w:tcW w:w="1128" w:type="dxa"/>
                                  <w:tcBorders>
                                    <w:left w:val="single" w:sz="4" w:space="0" w:color="auto"/>
                                    <w:right w:val="single" w:sz="4" w:space="0" w:color="auto"/>
                                  </w:tcBorders>
                                </w:tcPr>
                                <w:p w14:paraId="0C8E92EE"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+0.6%</w:t>
                                  </w:r>
                                </w:p>
                              </w:tc>
                              <w:tc>
                                <w:tcPr>
                                  <w:tcW w:w="787" w:type="dxa"/>
                                  <w:tcBorders>
                                    <w:left w:val="single" w:sz="4" w:space="0" w:color="auto"/>
                                    <w:right w:val="single" w:sz="4" w:space="0" w:color="auto"/>
                                  </w:tcBorders>
                                </w:tcPr>
                                <w:p w14:paraId="54A77533"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1.4%</w:t>
                                  </w:r>
                                </w:p>
                              </w:tc>
                            </w:tr>
                            <w:tr w:rsidR="008B0834" w:rsidRPr="00EE46E2" w14:paraId="4BF90211" w14:textId="77777777" w:rsidTr="00E930AA">
                              <w:tc>
                                <w:tcPr>
                                  <w:tcW w:w="2235" w:type="dxa"/>
                                  <w:tcBorders>
                                    <w:left w:val="single" w:sz="4" w:space="0" w:color="auto"/>
                                    <w:right w:val="single" w:sz="4" w:space="0" w:color="auto"/>
                                  </w:tcBorders>
                                </w:tcPr>
                                <w:p w14:paraId="5FC08EF5" w14:textId="77777777" w:rsidR="008B0834" w:rsidRPr="00351552" w:rsidRDefault="008B0834" w:rsidP="00B2091C">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814" w:type="dxa"/>
                                  <w:tcBorders>
                                    <w:left w:val="single" w:sz="4" w:space="0" w:color="auto"/>
                                    <w:right w:val="single" w:sz="4" w:space="0" w:color="auto"/>
                                  </w:tcBorders>
                                </w:tcPr>
                                <w:p w14:paraId="7939372D"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37,209</w:t>
                                  </w:r>
                                </w:p>
                              </w:tc>
                              <w:tc>
                                <w:tcPr>
                                  <w:tcW w:w="1128" w:type="dxa"/>
                                  <w:tcBorders>
                                    <w:left w:val="single" w:sz="4" w:space="0" w:color="auto"/>
                                    <w:right w:val="single" w:sz="4" w:space="0" w:color="auto"/>
                                  </w:tcBorders>
                                </w:tcPr>
                                <w:p w14:paraId="2306A1F3"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-2.2%</w:t>
                                  </w:r>
                                </w:p>
                              </w:tc>
                              <w:tc>
                                <w:tcPr>
                                  <w:tcW w:w="787" w:type="dxa"/>
                                  <w:tcBorders>
                                    <w:left w:val="single" w:sz="4" w:space="0" w:color="auto"/>
                                    <w:right w:val="single" w:sz="4" w:space="0" w:color="auto"/>
                                  </w:tcBorders>
                                </w:tcPr>
                                <w:p w14:paraId="507FB0A2"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2.4%</w:t>
                                  </w:r>
                                </w:p>
                              </w:tc>
                              <w:tc>
                                <w:tcPr>
                                  <w:tcW w:w="236" w:type="dxa"/>
                                  <w:tcBorders>
                                    <w:right w:val="single" w:sz="4" w:space="0" w:color="auto"/>
                                  </w:tcBorders>
                                </w:tcPr>
                                <w:p w14:paraId="4DA80A05" w14:textId="77777777" w:rsidR="008B0834" w:rsidRPr="00EE46E2" w:rsidRDefault="008B0834" w:rsidP="00147B8C">
                                  <w:pPr>
                                    <w:rPr>
                                      <w:rFonts w:cstheme="minorHAnsi"/>
                                      <w:sz w:val="13"/>
                                      <w:szCs w:val="13"/>
                                    </w:rPr>
                                  </w:pPr>
                                </w:p>
                              </w:tc>
                              <w:tc>
                                <w:tcPr>
                                  <w:tcW w:w="2290" w:type="dxa"/>
                                  <w:gridSpan w:val="2"/>
                                  <w:tcBorders>
                                    <w:left w:val="single" w:sz="4" w:space="0" w:color="auto"/>
                                    <w:right w:val="single" w:sz="4" w:space="0" w:color="auto"/>
                                  </w:tcBorders>
                                </w:tcPr>
                                <w:p w14:paraId="4295537C" w14:textId="77777777" w:rsidR="008B0834" w:rsidRPr="00351552" w:rsidRDefault="008B0834" w:rsidP="00701188">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722" w:type="dxa"/>
                                  <w:tcBorders>
                                    <w:left w:val="single" w:sz="4" w:space="0" w:color="auto"/>
                                    <w:right w:val="single" w:sz="4" w:space="0" w:color="auto"/>
                                  </w:tcBorders>
                                </w:tcPr>
                                <w:p w14:paraId="75B08493" w14:textId="77777777" w:rsidR="008B0834" w:rsidRPr="00351552" w:rsidRDefault="008B0834" w:rsidP="003C2249">
                                  <w:pPr>
                                    <w:spacing w:line="360" w:lineRule="auto"/>
                                    <w:jc w:val="right"/>
                                    <w:rPr>
                                      <w:rFonts w:cstheme="minorHAnsi"/>
                                      <w:color w:val="000000" w:themeColor="text1"/>
                                      <w:sz w:val="13"/>
                                      <w:szCs w:val="13"/>
                                    </w:rPr>
                                  </w:pPr>
                                  <w:r w:rsidRPr="00351552">
                                    <w:rPr>
                                      <w:rFonts w:cstheme="minorHAnsi"/>
                                      <w:color w:val="000000" w:themeColor="text1"/>
                                      <w:sz w:val="13"/>
                                      <w:szCs w:val="13"/>
                                    </w:rPr>
                                    <w:t>18,420</w:t>
                                  </w:r>
                                </w:p>
                              </w:tc>
                              <w:tc>
                                <w:tcPr>
                                  <w:tcW w:w="1128" w:type="dxa"/>
                                  <w:tcBorders>
                                    <w:left w:val="single" w:sz="4" w:space="0" w:color="auto"/>
                                    <w:right w:val="single" w:sz="4" w:space="0" w:color="auto"/>
                                  </w:tcBorders>
                                </w:tcPr>
                                <w:p w14:paraId="0FDAF504"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-3.5%</w:t>
                                  </w:r>
                                </w:p>
                              </w:tc>
                              <w:tc>
                                <w:tcPr>
                                  <w:tcW w:w="787" w:type="dxa"/>
                                  <w:tcBorders>
                                    <w:left w:val="single" w:sz="4" w:space="0" w:color="auto"/>
                                    <w:right w:val="single" w:sz="4" w:space="0" w:color="auto"/>
                                  </w:tcBorders>
                                </w:tcPr>
                                <w:p w14:paraId="5DF6466F"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1.2%</w:t>
                                  </w:r>
                                </w:p>
                              </w:tc>
                            </w:tr>
                            <w:tr w:rsidR="008B0834" w:rsidRPr="00EE46E2" w14:paraId="33ED1D06" w14:textId="77777777" w:rsidTr="00E930AA">
                              <w:tc>
                                <w:tcPr>
                                  <w:tcW w:w="2235" w:type="dxa"/>
                                  <w:tcBorders>
                                    <w:left w:val="single" w:sz="4" w:space="0" w:color="auto"/>
                                    <w:right w:val="single" w:sz="4" w:space="0" w:color="auto"/>
                                  </w:tcBorders>
                                </w:tcPr>
                                <w:p w14:paraId="2AD115AD" w14:textId="77777777" w:rsidR="008B0834" w:rsidRPr="00351552" w:rsidRDefault="008B0834" w:rsidP="00147B8C">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814" w:type="dxa"/>
                                  <w:tcBorders>
                                    <w:left w:val="single" w:sz="4" w:space="0" w:color="auto"/>
                                    <w:right w:val="single" w:sz="4" w:space="0" w:color="auto"/>
                                  </w:tcBorders>
                                </w:tcPr>
                                <w:p w14:paraId="32395CF9"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1.8%</w:t>
                                  </w:r>
                                </w:p>
                              </w:tc>
                              <w:tc>
                                <w:tcPr>
                                  <w:tcW w:w="1128" w:type="dxa"/>
                                  <w:tcBorders>
                                    <w:left w:val="single" w:sz="4" w:space="0" w:color="auto"/>
                                    <w:right w:val="single" w:sz="4" w:space="0" w:color="auto"/>
                                  </w:tcBorders>
                                </w:tcPr>
                                <w:p w14:paraId="5DB08F1A"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+0.2pp</w:t>
                                  </w:r>
                                </w:p>
                              </w:tc>
                              <w:tc>
                                <w:tcPr>
                                  <w:tcW w:w="787" w:type="dxa"/>
                                  <w:tcBorders>
                                    <w:left w:val="single" w:sz="4" w:space="0" w:color="auto"/>
                                    <w:right w:val="single" w:sz="4" w:space="0" w:color="auto"/>
                                  </w:tcBorders>
                                </w:tcPr>
                                <w:p w14:paraId="596EBFB2" w14:textId="77777777" w:rsidR="008B0834" w:rsidRPr="00351552" w:rsidRDefault="008B0834" w:rsidP="00147B8C">
                                  <w:pPr>
                                    <w:spacing w:line="360" w:lineRule="auto"/>
                                    <w:jc w:val="right"/>
                                    <w:rPr>
                                      <w:rFonts w:cstheme="minorHAnsi"/>
                                      <w:color w:val="000000" w:themeColor="text1"/>
                                      <w:sz w:val="13"/>
                                      <w:szCs w:val="13"/>
                                    </w:rPr>
                                  </w:pPr>
                                </w:p>
                              </w:tc>
                              <w:tc>
                                <w:tcPr>
                                  <w:tcW w:w="236" w:type="dxa"/>
                                  <w:tcBorders>
                                    <w:right w:val="single" w:sz="4" w:space="0" w:color="auto"/>
                                  </w:tcBorders>
                                </w:tcPr>
                                <w:p w14:paraId="08BCF50C" w14:textId="77777777" w:rsidR="008B0834" w:rsidRPr="00EE46E2" w:rsidRDefault="008B0834" w:rsidP="00147B8C">
                                  <w:pPr>
                                    <w:rPr>
                                      <w:rFonts w:cstheme="minorHAnsi"/>
                                      <w:sz w:val="13"/>
                                      <w:szCs w:val="13"/>
                                    </w:rPr>
                                  </w:pPr>
                                </w:p>
                              </w:tc>
                              <w:tc>
                                <w:tcPr>
                                  <w:tcW w:w="2290" w:type="dxa"/>
                                  <w:gridSpan w:val="2"/>
                                  <w:tcBorders>
                                    <w:left w:val="single" w:sz="4" w:space="0" w:color="auto"/>
                                    <w:right w:val="single" w:sz="4" w:space="0" w:color="auto"/>
                                  </w:tcBorders>
                                </w:tcPr>
                                <w:p w14:paraId="5411779E" w14:textId="77777777" w:rsidR="008B0834" w:rsidRPr="00351552" w:rsidRDefault="008B0834" w:rsidP="00147B8C">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722" w:type="dxa"/>
                                  <w:tcBorders>
                                    <w:left w:val="single" w:sz="4" w:space="0" w:color="auto"/>
                                    <w:right w:val="single" w:sz="4" w:space="0" w:color="auto"/>
                                  </w:tcBorders>
                                </w:tcPr>
                                <w:p w14:paraId="3D26D352" w14:textId="77777777" w:rsidR="008B0834" w:rsidRPr="00351552" w:rsidRDefault="008B0834" w:rsidP="007E59E9">
                                  <w:pPr>
                                    <w:spacing w:line="360" w:lineRule="auto"/>
                                    <w:jc w:val="right"/>
                                    <w:rPr>
                                      <w:rFonts w:cstheme="minorHAnsi"/>
                                      <w:color w:val="000000" w:themeColor="text1"/>
                                      <w:sz w:val="13"/>
                                      <w:szCs w:val="13"/>
                                    </w:rPr>
                                  </w:pPr>
                                  <w:r w:rsidRPr="00351552">
                                    <w:rPr>
                                      <w:rFonts w:cstheme="minorHAnsi"/>
                                      <w:color w:val="000000" w:themeColor="text1"/>
                                      <w:sz w:val="13"/>
                                      <w:szCs w:val="13"/>
                                    </w:rPr>
                                    <w:t>7.4%</w:t>
                                  </w:r>
                                </w:p>
                              </w:tc>
                              <w:tc>
                                <w:tcPr>
                                  <w:tcW w:w="1128" w:type="dxa"/>
                                  <w:tcBorders>
                                    <w:left w:val="single" w:sz="4" w:space="0" w:color="auto"/>
                                    <w:right w:val="single" w:sz="4" w:space="0" w:color="auto"/>
                                  </w:tcBorders>
                                </w:tcPr>
                                <w:p w14:paraId="1585D259"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+0.9pp</w:t>
                                  </w:r>
                                </w:p>
                              </w:tc>
                              <w:tc>
                                <w:tcPr>
                                  <w:tcW w:w="787" w:type="dxa"/>
                                  <w:tcBorders>
                                    <w:left w:val="single" w:sz="4" w:space="0" w:color="auto"/>
                                    <w:right w:val="single" w:sz="4" w:space="0" w:color="auto"/>
                                  </w:tcBorders>
                                </w:tcPr>
                                <w:p w14:paraId="49E366D7" w14:textId="77777777" w:rsidR="008B0834" w:rsidRPr="00351552" w:rsidRDefault="008B0834" w:rsidP="00147B8C">
                                  <w:pPr>
                                    <w:spacing w:line="360" w:lineRule="auto"/>
                                    <w:jc w:val="right"/>
                                    <w:rPr>
                                      <w:rFonts w:cstheme="minorHAnsi"/>
                                      <w:color w:val="000000" w:themeColor="text1"/>
                                      <w:sz w:val="13"/>
                                      <w:szCs w:val="13"/>
                                    </w:rPr>
                                  </w:pPr>
                                </w:p>
                              </w:tc>
                            </w:tr>
                            <w:tr w:rsidR="008B0834" w:rsidRPr="00EE46E2" w14:paraId="362A4C03" w14:textId="77777777" w:rsidTr="00E930AA">
                              <w:tc>
                                <w:tcPr>
                                  <w:tcW w:w="2235" w:type="dxa"/>
                                  <w:tcBorders>
                                    <w:left w:val="single" w:sz="4" w:space="0" w:color="auto"/>
                                    <w:right w:val="single" w:sz="4" w:space="0" w:color="auto"/>
                                  </w:tcBorders>
                                </w:tcPr>
                                <w:p w14:paraId="2A7F3DA2" w14:textId="77777777" w:rsidR="008B0834" w:rsidRPr="00351552" w:rsidRDefault="008B0834" w:rsidP="005B5207">
                                  <w:pPr>
                                    <w:spacing w:line="360" w:lineRule="auto"/>
                                    <w:rPr>
                                      <w:rFonts w:cstheme="minorHAnsi"/>
                                      <w:color w:val="000000" w:themeColor="text1"/>
                                      <w:sz w:val="12"/>
                                      <w:szCs w:val="12"/>
                                    </w:rPr>
                                  </w:pPr>
                                  <w:r w:rsidRPr="00351552">
                                    <w:rPr>
                                      <w:rFonts w:cstheme="minorHAnsi"/>
                                      <w:color w:val="000000" w:themeColor="text1"/>
                                      <w:sz w:val="12"/>
                                      <w:szCs w:val="12"/>
                                    </w:rPr>
                                    <w:t>Minerals &amp; petroleum sales: 2022-23</w:t>
                                  </w:r>
                                </w:p>
                              </w:tc>
                              <w:tc>
                                <w:tcPr>
                                  <w:tcW w:w="814" w:type="dxa"/>
                                  <w:tcBorders>
                                    <w:left w:val="single" w:sz="4" w:space="0" w:color="auto"/>
                                    <w:right w:val="single" w:sz="4" w:space="0" w:color="auto"/>
                                  </w:tcBorders>
                                </w:tcPr>
                                <w:p w14:paraId="6E6C2A25" w14:textId="77777777" w:rsidR="008B0834" w:rsidRPr="00351552" w:rsidRDefault="008B0834" w:rsidP="00E82A74">
                                  <w:pPr>
                                    <w:spacing w:line="360" w:lineRule="auto"/>
                                    <w:jc w:val="right"/>
                                    <w:rPr>
                                      <w:rFonts w:cstheme="minorHAnsi"/>
                                      <w:color w:val="000000" w:themeColor="text1"/>
                                      <w:sz w:val="13"/>
                                      <w:szCs w:val="13"/>
                                    </w:rPr>
                                  </w:pPr>
                                  <w:r w:rsidRPr="00351552">
                                    <w:rPr>
                                      <w:rFonts w:cstheme="minorHAnsi"/>
                                      <w:color w:val="000000" w:themeColor="text1"/>
                                      <w:sz w:val="13"/>
                                      <w:szCs w:val="13"/>
                                    </w:rPr>
                                    <w:t>$200.9b</w:t>
                                  </w:r>
                                </w:p>
                              </w:tc>
                              <w:tc>
                                <w:tcPr>
                                  <w:tcW w:w="1128" w:type="dxa"/>
                                  <w:tcBorders>
                                    <w:left w:val="single" w:sz="4" w:space="0" w:color="auto"/>
                                    <w:right w:val="single" w:sz="4" w:space="0" w:color="auto"/>
                                  </w:tcBorders>
                                </w:tcPr>
                                <w:p w14:paraId="4699B36B" w14:textId="77777777" w:rsidR="008B0834" w:rsidRPr="00351552" w:rsidRDefault="008B0834" w:rsidP="00E82A74">
                                  <w:pPr>
                                    <w:spacing w:line="360" w:lineRule="auto"/>
                                    <w:jc w:val="right"/>
                                    <w:rPr>
                                      <w:rFonts w:cstheme="minorHAnsi"/>
                                      <w:color w:val="000000" w:themeColor="text1"/>
                                      <w:sz w:val="13"/>
                                      <w:szCs w:val="13"/>
                                    </w:rPr>
                                  </w:pPr>
                                  <w:r w:rsidRPr="00351552">
                                    <w:rPr>
                                      <w:rFonts w:cstheme="minorHAnsi"/>
                                      <w:color w:val="000000" w:themeColor="text1"/>
                                      <w:sz w:val="13"/>
                                      <w:szCs w:val="13"/>
                                    </w:rPr>
                                    <w:t>+6.1%</w:t>
                                  </w:r>
                                </w:p>
                              </w:tc>
                              <w:tc>
                                <w:tcPr>
                                  <w:tcW w:w="787" w:type="dxa"/>
                                  <w:tcBorders>
                                    <w:left w:val="single" w:sz="4" w:space="0" w:color="auto"/>
                                    <w:right w:val="single" w:sz="4" w:space="0" w:color="auto"/>
                                  </w:tcBorders>
                                </w:tcPr>
                                <w:p w14:paraId="1184F1F5" w14:textId="77777777" w:rsidR="008B0834" w:rsidRPr="00351552" w:rsidRDefault="008B0834" w:rsidP="00E82A74">
                                  <w:pPr>
                                    <w:spacing w:line="360" w:lineRule="auto"/>
                                    <w:jc w:val="right"/>
                                    <w:rPr>
                                      <w:rFonts w:cstheme="minorHAnsi"/>
                                      <w:color w:val="000000" w:themeColor="text1"/>
                                      <w:sz w:val="13"/>
                                      <w:szCs w:val="13"/>
                                    </w:rPr>
                                  </w:pPr>
                                  <w:r w:rsidRPr="00351552">
                                    <w:rPr>
                                      <w:rFonts w:cstheme="minorHAnsi"/>
                                      <w:color w:val="000000" w:themeColor="text1"/>
                                      <w:sz w:val="13"/>
                                      <w:szCs w:val="13"/>
                                    </w:rPr>
                                    <w:t>79.1%</w:t>
                                  </w:r>
                                </w:p>
                              </w:tc>
                              <w:tc>
                                <w:tcPr>
                                  <w:tcW w:w="236" w:type="dxa"/>
                                  <w:tcBorders>
                                    <w:right w:val="single" w:sz="4" w:space="0" w:color="auto"/>
                                  </w:tcBorders>
                                </w:tcPr>
                                <w:p w14:paraId="3442EE90" w14:textId="77777777" w:rsidR="008B0834" w:rsidRPr="00DE6518" w:rsidRDefault="008B0834" w:rsidP="00F62810">
                                  <w:pPr>
                                    <w:rPr>
                                      <w:rFonts w:cstheme="minorHAnsi"/>
                                      <w:sz w:val="13"/>
                                      <w:szCs w:val="13"/>
                                    </w:rPr>
                                  </w:pPr>
                                </w:p>
                              </w:tc>
                              <w:tc>
                                <w:tcPr>
                                  <w:tcW w:w="2290" w:type="dxa"/>
                                  <w:gridSpan w:val="2"/>
                                  <w:tcBorders>
                                    <w:left w:val="single" w:sz="4" w:space="0" w:color="auto"/>
                                    <w:right w:val="single" w:sz="4" w:space="0" w:color="auto"/>
                                  </w:tcBorders>
                                </w:tcPr>
                                <w:p w14:paraId="06C6EAC0" w14:textId="77777777" w:rsidR="008B0834" w:rsidRPr="00351552" w:rsidRDefault="008B0834" w:rsidP="00F62810">
                                  <w:pPr>
                                    <w:spacing w:line="360" w:lineRule="auto"/>
                                    <w:rPr>
                                      <w:rFonts w:cstheme="minorHAnsi"/>
                                      <w:color w:val="000000" w:themeColor="text1"/>
                                      <w:sz w:val="13"/>
                                      <w:szCs w:val="13"/>
                                    </w:rPr>
                                  </w:pPr>
                                  <w:r w:rsidRPr="00351552">
                                    <w:rPr>
                                      <w:rFonts w:cstheme="minorHAnsi"/>
                                      <w:color w:val="000000" w:themeColor="text1"/>
                                      <w:sz w:val="12"/>
                                      <w:szCs w:val="12"/>
                                    </w:rPr>
                                    <w:t>Minerals &amp; petroleum sales: 2022-23</w:t>
                                  </w:r>
                                </w:p>
                              </w:tc>
                              <w:tc>
                                <w:tcPr>
                                  <w:tcW w:w="722" w:type="dxa"/>
                                  <w:tcBorders>
                                    <w:left w:val="single" w:sz="4" w:space="0" w:color="auto"/>
                                    <w:right w:val="single" w:sz="4" w:space="0" w:color="auto"/>
                                  </w:tcBorders>
                                </w:tcPr>
                                <w:p w14:paraId="18287276" w14:textId="77777777" w:rsidR="008B0834" w:rsidRPr="00351552" w:rsidRDefault="008B0834" w:rsidP="003C60CF">
                                  <w:pPr>
                                    <w:spacing w:line="360" w:lineRule="auto"/>
                                    <w:jc w:val="right"/>
                                    <w:rPr>
                                      <w:rFonts w:cstheme="minorHAnsi"/>
                                      <w:color w:val="000000" w:themeColor="text1"/>
                                      <w:sz w:val="13"/>
                                      <w:szCs w:val="13"/>
                                    </w:rPr>
                                  </w:pPr>
                                  <w:r w:rsidRPr="00351552">
                                    <w:rPr>
                                      <w:rFonts w:cstheme="minorHAnsi"/>
                                      <w:color w:val="000000" w:themeColor="text1"/>
                                      <w:sz w:val="13"/>
                                      <w:szCs w:val="13"/>
                                    </w:rPr>
                                    <w:t>$828.4m</w:t>
                                  </w:r>
                                </w:p>
                              </w:tc>
                              <w:tc>
                                <w:tcPr>
                                  <w:tcW w:w="1128" w:type="dxa"/>
                                  <w:tcBorders>
                                    <w:left w:val="single" w:sz="4" w:space="0" w:color="auto"/>
                                    <w:right w:val="single" w:sz="4" w:space="0" w:color="auto"/>
                                  </w:tcBorders>
                                </w:tcPr>
                                <w:p w14:paraId="62BBE0DF" w14:textId="77777777" w:rsidR="008B0834" w:rsidRPr="00351552" w:rsidRDefault="008B0834" w:rsidP="00E82A74">
                                  <w:pPr>
                                    <w:spacing w:line="360" w:lineRule="auto"/>
                                    <w:jc w:val="right"/>
                                    <w:rPr>
                                      <w:rFonts w:cstheme="minorHAnsi"/>
                                      <w:color w:val="000000" w:themeColor="text1"/>
                                      <w:sz w:val="13"/>
                                      <w:szCs w:val="13"/>
                                    </w:rPr>
                                  </w:pPr>
                                  <w:r w:rsidRPr="00351552">
                                    <w:rPr>
                                      <w:rFonts w:cstheme="minorHAnsi"/>
                                      <w:color w:val="000000" w:themeColor="text1"/>
                                      <w:sz w:val="13"/>
                                      <w:szCs w:val="13"/>
                                    </w:rPr>
                                    <w:t>+76.5%</w:t>
                                  </w:r>
                                </w:p>
                              </w:tc>
                              <w:tc>
                                <w:tcPr>
                                  <w:tcW w:w="787" w:type="dxa"/>
                                  <w:tcBorders>
                                    <w:left w:val="single" w:sz="4" w:space="0" w:color="auto"/>
                                    <w:right w:val="single" w:sz="4" w:space="0" w:color="auto"/>
                                  </w:tcBorders>
                                </w:tcPr>
                                <w:p w14:paraId="5CAEBA34" w14:textId="77777777" w:rsidR="008B0834" w:rsidRPr="00351552" w:rsidRDefault="008B0834" w:rsidP="00F62810">
                                  <w:pPr>
                                    <w:spacing w:line="360" w:lineRule="auto"/>
                                    <w:jc w:val="right"/>
                                    <w:rPr>
                                      <w:rFonts w:cstheme="minorHAnsi"/>
                                      <w:color w:val="000000" w:themeColor="text1"/>
                                      <w:sz w:val="13"/>
                                      <w:szCs w:val="13"/>
                                    </w:rPr>
                                  </w:pPr>
                                  <w:r w:rsidRPr="00351552">
                                    <w:rPr>
                                      <w:rFonts w:cstheme="minorHAnsi"/>
                                      <w:color w:val="000000" w:themeColor="text1"/>
                                      <w:sz w:val="13"/>
                                      <w:szCs w:val="13"/>
                                    </w:rPr>
                                    <w:t>0.3%</w:t>
                                  </w:r>
                                </w:p>
                              </w:tc>
                            </w:tr>
                            <w:tr w:rsidR="008B0834" w:rsidRPr="00EE46E2" w14:paraId="1A98A774" w14:textId="77777777" w:rsidTr="00E930AA">
                              <w:tc>
                                <w:tcPr>
                                  <w:tcW w:w="2235" w:type="dxa"/>
                                  <w:tcBorders>
                                    <w:left w:val="single" w:sz="4" w:space="0" w:color="auto"/>
                                    <w:right w:val="single" w:sz="4" w:space="0" w:color="auto"/>
                                  </w:tcBorders>
                                </w:tcPr>
                                <w:p w14:paraId="0FB2D0E1" w14:textId="77777777" w:rsidR="008B0834" w:rsidRPr="001B3607" w:rsidRDefault="008B0834" w:rsidP="000260DE">
                                  <w:pPr>
                                    <w:spacing w:line="360" w:lineRule="auto"/>
                                    <w:rPr>
                                      <w:rFonts w:cstheme="minorHAnsi"/>
                                      <w:sz w:val="13"/>
                                      <w:szCs w:val="13"/>
                                    </w:rPr>
                                  </w:pPr>
                                  <w:r w:rsidRPr="001B3607">
                                    <w:rPr>
                                      <w:rFonts w:cstheme="minorHAnsi"/>
                                      <w:sz w:val="13"/>
                                      <w:szCs w:val="13"/>
                                    </w:rPr>
                                    <w:t xml:space="preserve">Building approvals: </w:t>
                                  </w:r>
                                  <w:r w:rsidRPr="00EA3F30">
                                    <w:rPr>
                                      <w:rFonts w:cstheme="minorHAnsi"/>
                                      <w:sz w:val="13"/>
                                      <w:szCs w:val="13"/>
                                    </w:rPr>
                                    <w:t>2022-23</w:t>
                                  </w:r>
                                </w:p>
                              </w:tc>
                              <w:tc>
                                <w:tcPr>
                                  <w:tcW w:w="814" w:type="dxa"/>
                                  <w:tcBorders>
                                    <w:left w:val="single" w:sz="4" w:space="0" w:color="auto"/>
                                    <w:right w:val="single" w:sz="4" w:space="0" w:color="auto"/>
                                  </w:tcBorders>
                                </w:tcPr>
                                <w:p w14:paraId="5A040DA5" w14:textId="77777777" w:rsidR="008B0834" w:rsidRPr="001B3607" w:rsidRDefault="008B0834" w:rsidP="00F62810">
                                  <w:pPr>
                                    <w:spacing w:line="360" w:lineRule="auto"/>
                                    <w:jc w:val="right"/>
                                    <w:rPr>
                                      <w:rFonts w:cstheme="minorHAnsi"/>
                                      <w:sz w:val="13"/>
                                      <w:szCs w:val="13"/>
                                    </w:rPr>
                                  </w:pPr>
                                  <w:r w:rsidRPr="001B3607">
                                    <w:rPr>
                                      <w:rFonts w:cstheme="minorHAnsi"/>
                                      <w:sz w:val="13"/>
                                      <w:szCs w:val="13"/>
                                    </w:rPr>
                                    <w:t>$</w:t>
                                  </w:r>
                                  <w:r w:rsidRPr="00EA3F30">
                                    <w:rPr>
                                      <w:rFonts w:cstheme="minorHAnsi"/>
                                      <w:sz w:val="13"/>
                                      <w:szCs w:val="13"/>
                                    </w:rPr>
                                    <w:t>234</w:t>
                                  </w:r>
                                  <w:r w:rsidRPr="001B3607">
                                    <w:rPr>
                                      <w:rFonts w:cstheme="minorHAnsi"/>
                                      <w:sz w:val="13"/>
                                      <w:szCs w:val="13"/>
                                    </w:rPr>
                                    <w:t>m</w:t>
                                  </w:r>
                                </w:p>
                              </w:tc>
                              <w:tc>
                                <w:tcPr>
                                  <w:tcW w:w="1128" w:type="dxa"/>
                                  <w:tcBorders>
                                    <w:left w:val="single" w:sz="4" w:space="0" w:color="auto"/>
                                    <w:right w:val="single" w:sz="4" w:space="0" w:color="auto"/>
                                  </w:tcBorders>
                                </w:tcPr>
                                <w:p w14:paraId="688C5ED6" w14:textId="77777777" w:rsidR="008B0834" w:rsidRPr="001B3607" w:rsidRDefault="008B0834" w:rsidP="00F62810">
                                  <w:pPr>
                                    <w:spacing w:line="360" w:lineRule="auto"/>
                                    <w:jc w:val="right"/>
                                    <w:rPr>
                                      <w:rFonts w:cstheme="minorHAnsi"/>
                                      <w:sz w:val="13"/>
                                      <w:szCs w:val="13"/>
                                    </w:rPr>
                                  </w:pPr>
                                  <w:r w:rsidRPr="00EA3F30">
                                    <w:rPr>
                                      <w:rFonts w:cstheme="minorHAnsi"/>
                                      <w:sz w:val="13"/>
                                      <w:szCs w:val="13"/>
                                    </w:rPr>
                                    <w:t>-49.0</w:t>
                                  </w:r>
                                  <w:r w:rsidRPr="001B3607">
                                    <w:rPr>
                                      <w:rFonts w:cstheme="minorHAnsi"/>
                                      <w:sz w:val="13"/>
                                      <w:szCs w:val="13"/>
                                    </w:rPr>
                                    <w:t>%</w:t>
                                  </w:r>
                                </w:p>
                              </w:tc>
                              <w:tc>
                                <w:tcPr>
                                  <w:tcW w:w="787" w:type="dxa"/>
                                  <w:tcBorders>
                                    <w:left w:val="single" w:sz="4" w:space="0" w:color="auto"/>
                                    <w:right w:val="single" w:sz="4" w:space="0" w:color="auto"/>
                                  </w:tcBorders>
                                </w:tcPr>
                                <w:p w14:paraId="6C1F2728" w14:textId="77777777" w:rsidR="008B0834" w:rsidRPr="001B3607" w:rsidRDefault="008B0834" w:rsidP="00F62810">
                                  <w:pPr>
                                    <w:spacing w:line="360" w:lineRule="auto"/>
                                    <w:jc w:val="right"/>
                                    <w:rPr>
                                      <w:rFonts w:cstheme="minorHAnsi"/>
                                      <w:sz w:val="13"/>
                                      <w:szCs w:val="13"/>
                                    </w:rPr>
                                  </w:pPr>
                                  <w:r w:rsidRPr="00EA3F30">
                                    <w:rPr>
                                      <w:rFonts w:cstheme="minorHAnsi"/>
                                      <w:sz w:val="13"/>
                                      <w:szCs w:val="13"/>
                                    </w:rPr>
                                    <w:t>2.1</w:t>
                                  </w:r>
                                  <w:r w:rsidRPr="001B3607">
                                    <w:rPr>
                                      <w:rFonts w:cstheme="minorHAnsi"/>
                                      <w:sz w:val="13"/>
                                      <w:szCs w:val="13"/>
                                    </w:rPr>
                                    <w:t>%</w:t>
                                  </w:r>
                                </w:p>
                              </w:tc>
                              <w:tc>
                                <w:tcPr>
                                  <w:tcW w:w="236" w:type="dxa"/>
                                  <w:tcBorders>
                                    <w:right w:val="single" w:sz="4" w:space="0" w:color="auto"/>
                                  </w:tcBorders>
                                </w:tcPr>
                                <w:p w14:paraId="022E2D8F" w14:textId="77777777" w:rsidR="008B0834" w:rsidRPr="004D6F1E" w:rsidRDefault="008B0834" w:rsidP="00F62810">
                                  <w:pPr>
                                    <w:rPr>
                                      <w:rFonts w:cstheme="minorHAnsi"/>
                                      <w:sz w:val="13"/>
                                      <w:szCs w:val="13"/>
                                    </w:rPr>
                                  </w:pPr>
                                </w:p>
                              </w:tc>
                              <w:tc>
                                <w:tcPr>
                                  <w:tcW w:w="2290" w:type="dxa"/>
                                  <w:gridSpan w:val="2"/>
                                  <w:tcBorders>
                                    <w:left w:val="single" w:sz="4" w:space="0" w:color="auto"/>
                                    <w:right w:val="single" w:sz="4" w:space="0" w:color="auto"/>
                                  </w:tcBorders>
                                </w:tcPr>
                                <w:p w14:paraId="40967C86" w14:textId="77777777" w:rsidR="008B0834" w:rsidRPr="001B3607" w:rsidRDefault="008B0834" w:rsidP="005A6E7F">
                                  <w:pPr>
                                    <w:spacing w:line="360" w:lineRule="auto"/>
                                    <w:rPr>
                                      <w:rFonts w:cstheme="minorHAnsi"/>
                                      <w:sz w:val="13"/>
                                      <w:szCs w:val="13"/>
                                    </w:rPr>
                                  </w:pPr>
                                  <w:r w:rsidRPr="001B3607">
                                    <w:rPr>
                                      <w:rFonts w:cstheme="minorHAnsi"/>
                                      <w:sz w:val="13"/>
                                      <w:szCs w:val="13"/>
                                    </w:rPr>
                                    <w:t xml:space="preserve">Building approvals: </w:t>
                                  </w:r>
                                  <w:r w:rsidRPr="00EA3F30">
                                    <w:rPr>
                                      <w:rFonts w:cstheme="minorHAnsi"/>
                                      <w:sz w:val="13"/>
                                      <w:szCs w:val="13"/>
                                    </w:rPr>
                                    <w:t>2022-23</w:t>
                                  </w:r>
                                </w:p>
                              </w:tc>
                              <w:tc>
                                <w:tcPr>
                                  <w:tcW w:w="722" w:type="dxa"/>
                                  <w:tcBorders>
                                    <w:left w:val="single" w:sz="4" w:space="0" w:color="auto"/>
                                    <w:right w:val="single" w:sz="4" w:space="0" w:color="auto"/>
                                  </w:tcBorders>
                                </w:tcPr>
                                <w:p w14:paraId="6833F5A6" w14:textId="77777777" w:rsidR="008B0834" w:rsidRPr="001B3607" w:rsidRDefault="008B0834" w:rsidP="00F62810">
                                  <w:pPr>
                                    <w:spacing w:line="360" w:lineRule="auto"/>
                                    <w:jc w:val="right"/>
                                    <w:rPr>
                                      <w:rFonts w:cstheme="minorHAnsi"/>
                                      <w:sz w:val="13"/>
                                      <w:szCs w:val="13"/>
                                    </w:rPr>
                                  </w:pPr>
                                  <w:r w:rsidRPr="001B3607">
                                    <w:rPr>
                                      <w:rFonts w:cstheme="minorHAnsi"/>
                                      <w:sz w:val="13"/>
                                      <w:szCs w:val="13"/>
                                    </w:rPr>
                                    <w:t>$</w:t>
                                  </w:r>
                                  <w:r w:rsidRPr="00EA3F30">
                                    <w:rPr>
                                      <w:rFonts w:cstheme="minorHAnsi"/>
                                      <w:sz w:val="13"/>
                                      <w:szCs w:val="13"/>
                                    </w:rPr>
                                    <w:t>361</w:t>
                                  </w:r>
                                  <w:r w:rsidRPr="001B3607">
                                    <w:rPr>
                                      <w:rFonts w:cstheme="minorHAnsi"/>
                                      <w:sz w:val="13"/>
                                      <w:szCs w:val="13"/>
                                    </w:rPr>
                                    <w:t>m</w:t>
                                  </w:r>
                                </w:p>
                              </w:tc>
                              <w:tc>
                                <w:tcPr>
                                  <w:tcW w:w="1128" w:type="dxa"/>
                                  <w:tcBorders>
                                    <w:left w:val="single" w:sz="4" w:space="0" w:color="auto"/>
                                    <w:right w:val="single" w:sz="4" w:space="0" w:color="auto"/>
                                  </w:tcBorders>
                                </w:tcPr>
                                <w:p w14:paraId="2C63D166" w14:textId="77777777" w:rsidR="008B0834" w:rsidRPr="001B3607" w:rsidRDefault="008B0834" w:rsidP="005A6E7F">
                                  <w:pPr>
                                    <w:spacing w:line="360" w:lineRule="auto"/>
                                    <w:jc w:val="right"/>
                                    <w:rPr>
                                      <w:rFonts w:cstheme="minorHAnsi"/>
                                      <w:sz w:val="13"/>
                                      <w:szCs w:val="13"/>
                                    </w:rPr>
                                  </w:pPr>
                                  <w:r w:rsidRPr="00EA3F30">
                                    <w:rPr>
                                      <w:rFonts w:cstheme="minorHAnsi"/>
                                      <w:sz w:val="13"/>
                                      <w:szCs w:val="13"/>
                                    </w:rPr>
                                    <w:t>+227.3</w:t>
                                  </w:r>
                                  <w:r w:rsidRPr="001B3607">
                                    <w:rPr>
                                      <w:rFonts w:cstheme="minorHAnsi"/>
                                      <w:sz w:val="13"/>
                                      <w:szCs w:val="13"/>
                                    </w:rPr>
                                    <w:t>%</w:t>
                                  </w:r>
                                </w:p>
                              </w:tc>
                              <w:tc>
                                <w:tcPr>
                                  <w:tcW w:w="787" w:type="dxa"/>
                                  <w:tcBorders>
                                    <w:left w:val="single" w:sz="4" w:space="0" w:color="auto"/>
                                    <w:right w:val="single" w:sz="4" w:space="0" w:color="auto"/>
                                  </w:tcBorders>
                                </w:tcPr>
                                <w:p w14:paraId="0C6505B5" w14:textId="77777777" w:rsidR="008B0834" w:rsidRPr="001B3607" w:rsidRDefault="008B0834" w:rsidP="00F62810">
                                  <w:pPr>
                                    <w:spacing w:line="360" w:lineRule="auto"/>
                                    <w:jc w:val="right"/>
                                    <w:rPr>
                                      <w:rFonts w:cstheme="minorHAnsi"/>
                                      <w:sz w:val="13"/>
                                      <w:szCs w:val="13"/>
                                    </w:rPr>
                                  </w:pPr>
                                  <w:r w:rsidRPr="00EA3F30">
                                    <w:rPr>
                                      <w:rFonts w:cstheme="minorHAnsi"/>
                                      <w:sz w:val="13"/>
                                      <w:szCs w:val="13"/>
                                    </w:rPr>
                                    <w:t>3.2</w:t>
                                  </w:r>
                                  <w:r w:rsidRPr="001B3607">
                                    <w:rPr>
                                      <w:rFonts w:cstheme="minorHAnsi"/>
                                      <w:sz w:val="13"/>
                                      <w:szCs w:val="13"/>
                                    </w:rPr>
                                    <w:t>%</w:t>
                                  </w:r>
                                </w:p>
                              </w:tc>
                            </w:tr>
                            <w:tr w:rsidR="008B0834" w:rsidRPr="00EE46E2" w14:paraId="6ECA9B4C" w14:textId="77777777" w:rsidTr="00E930AA">
                              <w:tc>
                                <w:tcPr>
                                  <w:tcW w:w="2235" w:type="dxa"/>
                                  <w:tcBorders>
                                    <w:left w:val="single" w:sz="4" w:space="0" w:color="auto"/>
                                    <w:bottom w:val="single" w:sz="4" w:space="0" w:color="auto"/>
                                    <w:right w:val="single" w:sz="4" w:space="0" w:color="auto"/>
                                  </w:tcBorders>
                                </w:tcPr>
                                <w:p w14:paraId="6D5CD78B" w14:textId="77777777" w:rsidR="008B0834" w:rsidRPr="008809A4" w:rsidRDefault="008B0834" w:rsidP="003A7D0E">
                                  <w:pPr>
                                    <w:spacing w:line="360" w:lineRule="auto"/>
                                    <w:rPr>
                                      <w:rFonts w:cstheme="minorHAnsi"/>
                                      <w:sz w:val="13"/>
                                      <w:szCs w:val="13"/>
                                    </w:rPr>
                                  </w:pPr>
                                  <w:r w:rsidRPr="008809A4">
                                    <w:rPr>
                                      <w:rFonts w:cstheme="minorHAnsi"/>
                                      <w:sz w:val="13"/>
                                      <w:szCs w:val="13"/>
                                    </w:rPr>
                                    <w:t>Overnight visitors a year: 2020-22</w:t>
                                  </w:r>
                                </w:p>
                              </w:tc>
                              <w:tc>
                                <w:tcPr>
                                  <w:tcW w:w="814" w:type="dxa"/>
                                  <w:tcBorders>
                                    <w:left w:val="single" w:sz="4" w:space="0" w:color="auto"/>
                                    <w:bottom w:val="single" w:sz="4" w:space="0" w:color="auto"/>
                                    <w:right w:val="single" w:sz="4" w:space="0" w:color="auto"/>
                                  </w:tcBorders>
                                </w:tcPr>
                                <w:p w14:paraId="1DC5D780" w14:textId="77777777" w:rsidR="008B0834" w:rsidRPr="008809A4" w:rsidRDefault="008B0834" w:rsidP="00B46A90">
                                  <w:pPr>
                                    <w:spacing w:line="360" w:lineRule="auto"/>
                                    <w:jc w:val="center"/>
                                    <w:rPr>
                                      <w:rFonts w:cstheme="minorHAnsi"/>
                                      <w:sz w:val="13"/>
                                      <w:szCs w:val="13"/>
                                    </w:rPr>
                                  </w:pPr>
                                  <w:r w:rsidRPr="008809A4">
                                    <w:rPr>
                                      <w:rFonts w:cstheme="minorHAnsi"/>
                                      <w:sz w:val="13"/>
                                      <w:szCs w:val="13"/>
                                    </w:rPr>
                                    <w:t>1,002,000</w:t>
                                  </w:r>
                                </w:p>
                              </w:tc>
                              <w:tc>
                                <w:tcPr>
                                  <w:tcW w:w="1128" w:type="dxa"/>
                                  <w:tcBorders>
                                    <w:left w:val="single" w:sz="4" w:space="0" w:color="auto"/>
                                    <w:bottom w:val="single" w:sz="4" w:space="0" w:color="auto"/>
                                    <w:right w:val="single" w:sz="4" w:space="0" w:color="auto"/>
                                  </w:tcBorders>
                                </w:tcPr>
                                <w:p w14:paraId="49E90179" w14:textId="77777777" w:rsidR="008B0834" w:rsidRPr="008809A4" w:rsidRDefault="008B0834" w:rsidP="00F62810">
                                  <w:pPr>
                                    <w:spacing w:line="360" w:lineRule="auto"/>
                                    <w:jc w:val="right"/>
                                    <w:rPr>
                                      <w:rFonts w:cstheme="minorHAnsi"/>
                                      <w:sz w:val="13"/>
                                      <w:szCs w:val="13"/>
                                    </w:rPr>
                                  </w:pPr>
                                </w:p>
                              </w:tc>
                              <w:tc>
                                <w:tcPr>
                                  <w:tcW w:w="787" w:type="dxa"/>
                                  <w:tcBorders>
                                    <w:left w:val="single" w:sz="4" w:space="0" w:color="auto"/>
                                    <w:bottom w:val="single" w:sz="4" w:space="0" w:color="auto"/>
                                    <w:right w:val="single" w:sz="4" w:space="0" w:color="auto"/>
                                  </w:tcBorders>
                                </w:tcPr>
                                <w:p w14:paraId="0AEA4CBC"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9.2%</w:t>
                                  </w:r>
                                </w:p>
                              </w:tc>
                              <w:tc>
                                <w:tcPr>
                                  <w:tcW w:w="236" w:type="dxa"/>
                                  <w:tcBorders>
                                    <w:right w:val="single" w:sz="4" w:space="0" w:color="auto"/>
                                  </w:tcBorders>
                                </w:tcPr>
                                <w:p w14:paraId="598E909A" w14:textId="77777777" w:rsidR="008B0834" w:rsidRPr="00EE46E2" w:rsidRDefault="008B0834" w:rsidP="00F62810">
                                  <w:pPr>
                                    <w:rPr>
                                      <w:rFonts w:cstheme="minorHAnsi"/>
                                      <w:sz w:val="13"/>
                                      <w:szCs w:val="13"/>
                                    </w:rPr>
                                  </w:pPr>
                                </w:p>
                              </w:tc>
                              <w:tc>
                                <w:tcPr>
                                  <w:tcW w:w="2290" w:type="dxa"/>
                                  <w:gridSpan w:val="2"/>
                                  <w:tcBorders>
                                    <w:left w:val="single" w:sz="4" w:space="0" w:color="auto"/>
                                    <w:bottom w:val="single" w:sz="4" w:space="0" w:color="auto"/>
                                    <w:right w:val="single" w:sz="4" w:space="0" w:color="auto"/>
                                  </w:tcBorders>
                                </w:tcPr>
                                <w:p w14:paraId="4D4E48A6" w14:textId="77777777" w:rsidR="008B0834" w:rsidRPr="008809A4" w:rsidRDefault="008B0834" w:rsidP="00F62810">
                                  <w:pPr>
                                    <w:spacing w:line="360" w:lineRule="auto"/>
                                    <w:rPr>
                                      <w:rFonts w:cstheme="minorHAnsi"/>
                                      <w:sz w:val="13"/>
                                      <w:szCs w:val="13"/>
                                    </w:rPr>
                                  </w:pPr>
                                  <w:r w:rsidRPr="008809A4">
                                    <w:rPr>
                                      <w:rFonts w:cstheme="minorHAnsi"/>
                                      <w:sz w:val="13"/>
                                      <w:szCs w:val="13"/>
                                    </w:rPr>
                                    <w:t>Overnight visitors a year: 2020-22</w:t>
                                  </w:r>
                                </w:p>
                              </w:tc>
                              <w:tc>
                                <w:tcPr>
                                  <w:tcW w:w="722" w:type="dxa"/>
                                  <w:tcBorders>
                                    <w:left w:val="single" w:sz="4" w:space="0" w:color="auto"/>
                                    <w:bottom w:val="single" w:sz="4" w:space="0" w:color="auto"/>
                                    <w:right w:val="single" w:sz="4" w:space="0" w:color="auto"/>
                                  </w:tcBorders>
                                </w:tcPr>
                                <w:p w14:paraId="4F45E6F0" w14:textId="77777777" w:rsidR="008B0834" w:rsidRPr="008809A4" w:rsidRDefault="008B0834" w:rsidP="00D06AC2">
                                  <w:pPr>
                                    <w:spacing w:line="360" w:lineRule="auto"/>
                                    <w:jc w:val="right"/>
                                    <w:rPr>
                                      <w:rFonts w:cstheme="minorHAnsi"/>
                                      <w:sz w:val="13"/>
                                      <w:szCs w:val="13"/>
                                    </w:rPr>
                                  </w:pPr>
                                  <w:r w:rsidRPr="008809A4">
                                    <w:rPr>
                                      <w:rFonts w:cstheme="minorHAnsi"/>
                                      <w:sz w:val="13"/>
                                      <w:szCs w:val="13"/>
                                    </w:rPr>
                                    <w:t>369,000</w:t>
                                  </w:r>
                                </w:p>
                              </w:tc>
                              <w:tc>
                                <w:tcPr>
                                  <w:tcW w:w="1128" w:type="dxa"/>
                                  <w:tcBorders>
                                    <w:left w:val="single" w:sz="4" w:space="0" w:color="auto"/>
                                    <w:bottom w:val="single" w:sz="4" w:space="0" w:color="auto"/>
                                    <w:right w:val="single" w:sz="4" w:space="0" w:color="auto"/>
                                  </w:tcBorders>
                                </w:tcPr>
                                <w:p w14:paraId="47B96ED6" w14:textId="77777777" w:rsidR="008B0834" w:rsidRPr="008809A4" w:rsidRDefault="008B0834" w:rsidP="00F62810">
                                  <w:pPr>
                                    <w:spacing w:line="360" w:lineRule="auto"/>
                                    <w:jc w:val="right"/>
                                    <w:rPr>
                                      <w:rFonts w:cstheme="minorHAnsi"/>
                                      <w:sz w:val="13"/>
                                      <w:szCs w:val="13"/>
                                    </w:rPr>
                                  </w:pPr>
                                </w:p>
                              </w:tc>
                              <w:tc>
                                <w:tcPr>
                                  <w:tcW w:w="787" w:type="dxa"/>
                                  <w:tcBorders>
                                    <w:left w:val="single" w:sz="4" w:space="0" w:color="auto"/>
                                    <w:bottom w:val="single" w:sz="4" w:space="0" w:color="auto"/>
                                    <w:right w:val="single" w:sz="4" w:space="0" w:color="auto"/>
                                  </w:tcBorders>
                                </w:tcPr>
                                <w:p w14:paraId="2FDDE5EE"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3.4%</w:t>
                                  </w:r>
                                </w:p>
                              </w:tc>
                            </w:tr>
                          </w:tbl>
                          <w:p w14:paraId="6DB4A985" w14:textId="77777777" w:rsidR="008B0834" w:rsidRPr="00502167" w:rsidRDefault="008B0834" w:rsidP="008B0834">
                            <w:pPr>
                              <w:rPr>
                                <w:sz w:val="9"/>
                                <w:szCs w:val="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795"/>
                              <w:gridCol w:w="1128"/>
                              <w:gridCol w:w="787"/>
                              <w:gridCol w:w="222"/>
                              <w:gridCol w:w="2171"/>
                              <w:gridCol w:w="795"/>
                              <w:gridCol w:w="1128"/>
                              <w:gridCol w:w="787"/>
                            </w:tblGrid>
                            <w:tr w:rsidR="008B0834" w:rsidRPr="00EE46E2" w14:paraId="627662FF" w14:textId="77777777" w:rsidTr="00DA5BE3">
                              <w:tc>
                                <w:tcPr>
                                  <w:tcW w:w="0" w:type="auto"/>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83758" w14:textId="77777777" w:rsidR="008B0834" w:rsidRPr="00EE46E2" w:rsidRDefault="008B0834" w:rsidP="00993C31">
                                  <w:pPr>
                                    <w:spacing w:line="360" w:lineRule="auto"/>
                                    <w:rPr>
                                      <w:rFonts w:cstheme="minorHAnsi"/>
                                      <w:b/>
                                      <w:sz w:val="13"/>
                                      <w:szCs w:val="13"/>
                                    </w:rPr>
                                  </w:pPr>
                                  <w:r w:rsidRPr="00904A09">
                                    <w:rPr>
                                      <w:rFonts w:cstheme="minorHAnsi"/>
                                      <w:b/>
                                      <w:color w:val="002060"/>
                                      <w:sz w:val="14"/>
                                      <w:szCs w:val="14"/>
                                    </w:rPr>
                                    <w:t>GASCOYNE</w:t>
                                  </w:r>
                                </w:p>
                              </w:tc>
                              <w:tc>
                                <w:tcPr>
                                  <w:tcW w:w="0" w:type="auto"/>
                                  <w:tcBorders>
                                    <w:right w:val="single" w:sz="4" w:space="0" w:color="auto"/>
                                  </w:tcBorders>
                                </w:tcPr>
                                <w:p w14:paraId="6FD017B0" w14:textId="77777777" w:rsidR="008B0834" w:rsidRPr="00EE46E2" w:rsidRDefault="008B0834" w:rsidP="00993C31">
                                  <w:pPr>
                                    <w:rPr>
                                      <w:rFonts w:cstheme="minorHAnsi"/>
                                      <w:sz w:val="13"/>
                                      <w:szCs w:val="13"/>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FF99CC"/>
                                </w:tcPr>
                                <w:p w14:paraId="1D29AA49" w14:textId="77777777" w:rsidR="008B0834" w:rsidRPr="00EE46E2" w:rsidRDefault="008B0834" w:rsidP="00993C31">
                                  <w:pPr>
                                    <w:spacing w:line="360" w:lineRule="auto"/>
                                    <w:rPr>
                                      <w:rFonts w:cstheme="minorHAnsi"/>
                                      <w:b/>
                                      <w:sz w:val="13"/>
                                      <w:szCs w:val="13"/>
                                    </w:rPr>
                                  </w:pPr>
                                  <w:r w:rsidRPr="00904A09">
                                    <w:rPr>
                                      <w:rFonts w:cstheme="minorHAnsi"/>
                                      <w:b/>
                                      <w:color w:val="002060"/>
                                      <w:sz w:val="14"/>
                                      <w:szCs w:val="14"/>
                                    </w:rPr>
                                    <w:t>MID WEST</w:t>
                                  </w:r>
                                </w:p>
                              </w:tc>
                            </w:tr>
                            <w:tr w:rsidR="008B0834" w:rsidRPr="00EE46E2" w14:paraId="13BC5BFF" w14:textId="77777777" w:rsidTr="00DA5BE3">
                              <w:tc>
                                <w:tcPr>
                                  <w:tcW w:w="0" w:type="auto"/>
                                  <w:tcBorders>
                                    <w:top w:val="single" w:sz="4" w:space="0" w:color="auto"/>
                                    <w:left w:val="single" w:sz="4" w:space="0" w:color="auto"/>
                                    <w:right w:val="single" w:sz="4" w:space="0" w:color="auto"/>
                                  </w:tcBorders>
                                </w:tcPr>
                                <w:p w14:paraId="72C0BE7B" w14:textId="77777777" w:rsidR="008B0834" w:rsidRPr="00EE46E2" w:rsidRDefault="008B0834" w:rsidP="00A545D6">
                                  <w:pPr>
                                    <w:spacing w:line="360" w:lineRule="auto"/>
                                    <w:rPr>
                                      <w:rFonts w:cstheme="minorHAnsi"/>
                                      <w:sz w:val="13"/>
                                      <w:szCs w:val="13"/>
                                    </w:rPr>
                                  </w:pPr>
                                </w:p>
                              </w:tc>
                              <w:tc>
                                <w:tcPr>
                                  <w:tcW w:w="795" w:type="dxa"/>
                                  <w:tcBorders>
                                    <w:top w:val="single" w:sz="4" w:space="0" w:color="auto"/>
                                    <w:left w:val="single" w:sz="4" w:space="0" w:color="auto"/>
                                    <w:right w:val="single" w:sz="4" w:space="0" w:color="auto"/>
                                  </w:tcBorders>
                                </w:tcPr>
                                <w:p w14:paraId="67585976"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Figure</w:t>
                                  </w:r>
                                </w:p>
                              </w:tc>
                              <w:tc>
                                <w:tcPr>
                                  <w:tcW w:w="1128" w:type="dxa"/>
                                  <w:tcBorders>
                                    <w:top w:val="single" w:sz="4" w:space="0" w:color="auto"/>
                                    <w:left w:val="single" w:sz="4" w:space="0" w:color="auto"/>
                                    <w:right w:val="single" w:sz="4" w:space="0" w:color="auto"/>
                                  </w:tcBorders>
                                </w:tcPr>
                                <w:p w14:paraId="436CE98C"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444865FE"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WA share</w:t>
                                  </w:r>
                                </w:p>
                              </w:tc>
                              <w:tc>
                                <w:tcPr>
                                  <w:tcW w:w="0" w:type="auto"/>
                                  <w:tcBorders>
                                    <w:right w:val="single" w:sz="4" w:space="0" w:color="auto"/>
                                  </w:tcBorders>
                                </w:tcPr>
                                <w:p w14:paraId="287D9BB7" w14:textId="77777777" w:rsidR="008B0834" w:rsidRPr="00EE46E2" w:rsidRDefault="008B0834" w:rsidP="00A545D6">
                                  <w:pPr>
                                    <w:rPr>
                                      <w:rFonts w:cstheme="minorHAnsi"/>
                                      <w:sz w:val="13"/>
                                      <w:szCs w:val="13"/>
                                    </w:rPr>
                                  </w:pPr>
                                </w:p>
                              </w:tc>
                              <w:tc>
                                <w:tcPr>
                                  <w:tcW w:w="0" w:type="auto"/>
                                  <w:tcBorders>
                                    <w:top w:val="single" w:sz="4" w:space="0" w:color="auto"/>
                                    <w:left w:val="single" w:sz="4" w:space="0" w:color="auto"/>
                                    <w:right w:val="single" w:sz="4" w:space="0" w:color="auto"/>
                                  </w:tcBorders>
                                </w:tcPr>
                                <w:p w14:paraId="75CB782B" w14:textId="77777777" w:rsidR="008B0834" w:rsidRPr="00A5645B" w:rsidRDefault="008B0834" w:rsidP="00A545D6">
                                  <w:pPr>
                                    <w:spacing w:line="360" w:lineRule="auto"/>
                                    <w:rPr>
                                      <w:rFonts w:cstheme="minorHAnsi"/>
                                      <w:sz w:val="13"/>
                                      <w:szCs w:val="13"/>
                                    </w:rPr>
                                  </w:pPr>
                                </w:p>
                              </w:tc>
                              <w:tc>
                                <w:tcPr>
                                  <w:tcW w:w="0" w:type="auto"/>
                                  <w:tcBorders>
                                    <w:top w:val="single" w:sz="4" w:space="0" w:color="auto"/>
                                    <w:left w:val="single" w:sz="4" w:space="0" w:color="auto"/>
                                    <w:right w:val="single" w:sz="4" w:space="0" w:color="auto"/>
                                  </w:tcBorders>
                                </w:tcPr>
                                <w:p w14:paraId="19CE0EC5" w14:textId="77777777" w:rsidR="008B0834" w:rsidRPr="00A5645B" w:rsidRDefault="008B0834" w:rsidP="00A545D6">
                                  <w:pPr>
                                    <w:spacing w:line="360" w:lineRule="auto"/>
                                    <w:jc w:val="right"/>
                                    <w:rPr>
                                      <w:rFonts w:cstheme="minorHAnsi"/>
                                      <w:sz w:val="13"/>
                                      <w:szCs w:val="13"/>
                                    </w:rPr>
                                  </w:pPr>
                                  <w:r w:rsidRPr="00A5645B">
                                    <w:rPr>
                                      <w:rFonts w:cstheme="minorHAnsi"/>
                                      <w:sz w:val="13"/>
                                      <w:szCs w:val="13"/>
                                    </w:rPr>
                                    <w:t>Figure</w:t>
                                  </w:r>
                                </w:p>
                              </w:tc>
                              <w:tc>
                                <w:tcPr>
                                  <w:tcW w:w="0" w:type="auto"/>
                                  <w:tcBorders>
                                    <w:top w:val="single" w:sz="4" w:space="0" w:color="auto"/>
                                    <w:left w:val="single" w:sz="4" w:space="0" w:color="auto"/>
                                    <w:right w:val="single" w:sz="4" w:space="0" w:color="auto"/>
                                  </w:tcBorders>
                                </w:tcPr>
                                <w:p w14:paraId="11196CDE" w14:textId="77777777" w:rsidR="008B0834" w:rsidRPr="00A5645B" w:rsidRDefault="008B0834" w:rsidP="00A545D6">
                                  <w:pPr>
                                    <w:spacing w:line="360" w:lineRule="auto"/>
                                    <w:jc w:val="right"/>
                                    <w:rPr>
                                      <w:rFonts w:cstheme="minorHAnsi"/>
                                      <w:sz w:val="13"/>
                                      <w:szCs w:val="13"/>
                                    </w:rPr>
                                  </w:pPr>
                                  <w:r w:rsidRPr="00A5645B">
                                    <w:rPr>
                                      <w:rFonts w:cstheme="minorHAnsi"/>
                                      <w:sz w:val="13"/>
                                      <w:szCs w:val="13"/>
                                    </w:rPr>
                                    <w:t>Annual change</w:t>
                                  </w:r>
                                  <w:r w:rsidRPr="00A5645B">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17723733"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WA share</w:t>
                                  </w:r>
                                </w:p>
                              </w:tc>
                            </w:tr>
                            <w:tr w:rsidR="008B0834" w:rsidRPr="00EE46E2" w14:paraId="69F73E42" w14:textId="77777777" w:rsidTr="00DA5BE3">
                              <w:tc>
                                <w:tcPr>
                                  <w:tcW w:w="0" w:type="auto"/>
                                  <w:tcBorders>
                                    <w:left w:val="single" w:sz="4" w:space="0" w:color="auto"/>
                                    <w:right w:val="single" w:sz="4" w:space="0" w:color="auto"/>
                                  </w:tcBorders>
                                </w:tcPr>
                                <w:p w14:paraId="3C220F84" w14:textId="77777777" w:rsidR="008B0834" w:rsidRPr="008809A4" w:rsidRDefault="008B0834" w:rsidP="00F62810">
                                  <w:pPr>
                                    <w:spacing w:line="360" w:lineRule="auto"/>
                                    <w:rPr>
                                      <w:rFonts w:cstheme="minorHAnsi"/>
                                      <w:sz w:val="13"/>
                                      <w:szCs w:val="13"/>
                                    </w:rPr>
                                  </w:pPr>
                                  <w:r w:rsidRPr="008809A4">
                                    <w:rPr>
                                      <w:rFonts w:cstheme="minorHAnsi"/>
                                      <w:sz w:val="13"/>
                                      <w:szCs w:val="13"/>
                                    </w:rPr>
                                    <w:t>Gross regional product: 2021-22</w:t>
                                  </w:r>
                                </w:p>
                              </w:tc>
                              <w:tc>
                                <w:tcPr>
                                  <w:tcW w:w="795" w:type="dxa"/>
                                  <w:tcBorders>
                                    <w:left w:val="single" w:sz="4" w:space="0" w:color="auto"/>
                                    <w:right w:val="single" w:sz="4" w:space="0" w:color="auto"/>
                                  </w:tcBorders>
                                </w:tcPr>
                                <w:p w14:paraId="01BA188B" w14:textId="77777777" w:rsidR="008B0834" w:rsidRPr="008809A4" w:rsidRDefault="008B0834" w:rsidP="00056E99">
                                  <w:pPr>
                                    <w:spacing w:line="360" w:lineRule="auto"/>
                                    <w:jc w:val="right"/>
                                    <w:rPr>
                                      <w:rFonts w:cstheme="minorHAnsi"/>
                                      <w:sz w:val="13"/>
                                      <w:szCs w:val="13"/>
                                    </w:rPr>
                                  </w:pPr>
                                  <w:r w:rsidRPr="008809A4">
                                    <w:rPr>
                                      <w:rFonts w:cstheme="minorHAnsi"/>
                                      <w:sz w:val="13"/>
                                      <w:szCs w:val="13"/>
                                    </w:rPr>
                                    <w:t>$1.2b</w:t>
                                  </w:r>
                                </w:p>
                              </w:tc>
                              <w:tc>
                                <w:tcPr>
                                  <w:tcW w:w="1128" w:type="dxa"/>
                                  <w:tcBorders>
                                    <w:left w:val="single" w:sz="4" w:space="0" w:color="auto"/>
                                    <w:right w:val="single" w:sz="4" w:space="0" w:color="auto"/>
                                  </w:tcBorders>
                                </w:tcPr>
                                <w:p w14:paraId="5B4C3AF3" w14:textId="77777777" w:rsidR="008B0834" w:rsidRPr="008809A4" w:rsidRDefault="008B0834" w:rsidP="00E14718">
                                  <w:pPr>
                                    <w:spacing w:line="360" w:lineRule="auto"/>
                                    <w:jc w:val="right"/>
                                    <w:rPr>
                                      <w:rFonts w:cstheme="minorHAnsi"/>
                                      <w:sz w:val="13"/>
                                      <w:szCs w:val="13"/>
                                    </w:rPr>
                                  </w:pPr>
                                  <w:r w:rsidRPr="008809A4">
                                    <w:rPr>
                                      <w:rFonts w:cstheme="minorHAnsi"/>
                                      <w:sz w:val="13"/>
                                      <w:szCs w:val="13"/>
                                    </w:rPr>
                                    <w:t>-18.5%</w:t>
                                  </w:r>
                                </w:p>
                              </w:tc>
                              <w:tc>
                                <w:tcPr>
                                  <w:tcW w:w="0" w:type="auto"/>
                                  <w:tcBorders>
                                    <w:left w:val="single" w:sz="4" w:space="0" w:color="auto"/>
                                    <w:right w:val="single" w:sz="4" w:space="0" w:color="auto"/>
                                  </w:tcBorders>
                                </w:tcPr>
                                <w:p w14:paraId="167E6DCD"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0.3%</w:t>
                                  </w:r>
                                </w:p>
                              </w:tc>
                              <w:tc>
                                <w:tcPr>
                                  <w:tcW w:w="0" w:type="auto"/>
                                  <w:tcBorders>
                                    <w:right w:val="single" w:sz="4" w:space="0" w:color="auto"/>
                                  </w:tcBorders>
                                </w:tcPr>
                                <w:p w14:paraId="0B46FCB6" w14:textId="77777777" w:rsidR="008B0834" w:rsidRPr="00056E99" w:rsidRDefault="008B0834" w:rsidP="00F62810">
                                  <w:pPr>
                                    <w:rPr>
                                      <w:rFonts w:cstheme="minorHAnsi"/>
                                      <w:color w:val="0070C0"/>
                                      <w:sz w:val="13"/>
                                      <w:szCs w:val="13"/>
                                    </w:rPr>
                                  </w:pPr>
                                </w:p>
                              </w:tc>
                              <w:tc>
                                <w:tcPr>
                                  <w:tcW w:w="0" w:type="auto"/>
                                  <w:tcBorders>
                                    <w:left w:val="single" w:sz="4" w:space="0" w:color="auto"/>
                                    <w:right w:val="single" w:sz="4" w:space="0" w:color="auto"/>
                                  </w:tcBorders>
                                </w:tcPr>
                                <w:p w14:paraId="3D597E2D" w14:textId="77777777" w:rsidR="008B0834" w:rsidRPr="008809A4" w:rsidRDefault="008B0834" w:rsidP="00F62810">
                                  <w:pPr>
                                    <w:spacing w:line="360" w:lineRule="auto"/>
                                    <w:rPr>
                                      <w:rFonts w:cstheme="minorHAnsi"/>
                                      <w:sz w:val="13"/>
                                      <w:szCs w:val="13"/>
                                    </w:rPr>
                                  </w:pPr>
                                  <w:r w:rsidRPr="008809A4">
                                    <w:rPr>
                                      <w:rFonts w:cstheme="minorHAnsi"/>
                                      <w:sz w:val="13"/>
                                      <w:szCs w:val="13"/>
                                    </w:rPr>
                                    <w:t>Gross regional product: 2021-22</w:t>
                                  </w:r>
                                </w:p>
                              </w:tc>
                              <w:tc>
                                <w:tcPr>
                                  <w:tcW w:w="0" w:type="auto"/>
                                  <w:tcBorders>
                                    <w:left w:val="single" w:sz="4" w:space="0" w:color="auto"/>
                                    <w:right w:val="single" w:sz="4" w:space="0" w:color="auto"/>
                                  </w:tcBorders>
                                </w:tcPr>
                                <w:p w14:paraId="2D4A56B2"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$7.9b</w:t>
                                  </w:r>
                                </w:p>
                              </w:tc>
                              <w:tc>
                                <w:tcPr>
                                  <w:tcW w:w="0" w:type="auto"/>
                                  <w:tcBorders>
                                    <w:left w:val="single" w:sz="4" w:space="0" w:color="auto"/>
                                    <w:right w:val="single" w:sz="4" w:space="0" w:color="auto"/>
                                  </w:tcBorders>
                                </w:tcPr>
                                <w:p w14:paraId="17ECB60B" w14:textId="77777777" w:rsidR="008B0834" w:rsidRPr="008809A4" w:rsidRDefault="008B0834" w:rsidP="00160468">
                                  <w:pPr>
                                    <w:spacing w:line="360" w:lineRule="auto"/>
                                    <w:jc w:val="right"/>
                                    <w:rPr>
                                      <w:rFonts w:cstheme="minorHAnsi"/>
                                      <w:sz w:val="13"/>
                                      <w:szCs w:val="13"/>
                                    </w:rPr>
                                  </w:pPr>
                                  <w:r w:rsidRPr="008809A4">
                                    <w:rPr>
                                      <w:rFonts w:cstheme="minorHAnsi"/>
                                      <w:sz w:val="13"/>
                                      <w:szCs w:val="13"/>
                                    </w:rPr>
                                    <w:t>+12.3%</w:t>
                                  </w:r>
                                </w:p>
                              </w:tc>
                              <w:tc>
                                <w:tcPr>
                                  <w:tcW w:w="0" w:type="auto"/>
                                  <w:tcBorders>
                                    <w:left w:val="single" w:sz="4" w:space="0" w:color="auto"/>
                                    <w:right w:val="single" w:sz="4" w:space="0" w:color="auto"/>
                                  </w:tcBorders>
                                </w:tcPr>
                                <w:p w14:paraId="6F10937E"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2.0%</w:t>
                                  </w:r>
                                </w:p>
                              </w:tc>
                            </w:tr>
                            <w:tr w:rsidR="008B0834" w:rsidRPr="008536A7" w14:paraId="38BA86BD" w14:textId="77777777" w:rsidTr="00DA5BE3">
                              <w:tc>
                                <w:tcPr>
                                  <w:tcW w:w="0" w:type="auto"/>
                                  <w:tcBorders>
                                    <w:left w:val="single" w:sz="4" w:space="0" w:color="auto"/>
                                    <w:right w:val="single" w:sz="4" w:space="0" w:color="auto"/>
                                  </w:tcBorders>
                                </w:tcPr>
                                <w:p w14:paraId="4D1C62FC" w14:textId="77777777" w:rsidR="008B0834" w:rsidRPr="008809A4" w:rsidRDefault="008B0834" w:rsidP="00F62810">
                                  <w:pPr>
                                    <w:spacing w:line="360" w:lineRule="auto"/>
                                    <w:rPr>
                                      <w:rFonts w:cstheme="minorHAnsi"/>
                                      <w:sz w:val="13"/>
                                      <w:szCs w:val="13"/>
                                    </w:rPr>
                                  </w:pPr>
                                  <w:r w:rsidRPr="008809A4">
                                    <w:rPr>
                                      <w:rFonts w:cstheme="minorHAnsi"/>
                                      <w:sz w:val="13"/>
                                      <w:szCs w:val="13"/>
                                    </w:rPr>
                                    <w:t>Population: 2021-22</w:t>
                                  </w:r>
                                </w:p>
                              </w:tc>
                              <w:tc>
                                <w:tcPr>
                                  <w:tcW w:w="795" w:type="dxa"/>
                                  <w:tcBorders>
                                    <w:left w:val="single" w:sz="4" w:space="0" w:color="auto"/>
                                    <w:right w:val="single" w:sz="4" w:space="0" w:color="auto"/>
                                  </w:tcBorders>
                                </w:tcPr>
                                <w:p w14:paraId="550E44CC"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10,107</w:t>
                                  </w:r>
                                </w:p>
                              </w:tc>
                              <w:tc>
                                <w:tcPr>
                                  <w:tcW w:w="1128" w:type="dxa"/>
                                  <w:tcBorders>
                                    <w:left w:val="single" w:sz="4" w:space="0" w:color="auto"/>
                                    <w:right w:val="single" w:sz="4" w:space="0" w:color="auto"/>
                                  </w:tcBorders>
                                </w:tcPr>
                                <w:p w14:paraId="1F722B7D"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+1.3%</w:t>
                                  </w:r>
                                </w:p>
                              </w:tc>
                              <w:tc>
                                <w:tcPr>
                                  <w:tcW w:w="0" w:type="auto"/>
                                  <w:tcBorders>
                                    <w:left w:val="single" w:sz="4" w:space="0" w:color="auto"/>
                                    <w:right w:val="single" w:sz="4" w:space="0" w:color="auto"/>
                                  </w:tcBorders>
                                </w:tcPr>
                                <w:p w14:paraId="79FB2B08"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0.4%</w:t>
                                  </w:r>
                                </w:p>
                              </w:tc>
                              <w:tc>
                                <w:tcPr>
                                  <w:tcW w:w="0" w:type="auto"/>
                                  <w:tcBorders>
                                    <w:right w:val="single" w:sz="4" w:space="0" w:color="auto"/>
                                  </w:tcBorders>
                                </w:tcPr>
                                <w:p w14:paraId="33AEBCD4" w14:textId="77777777" w:rsidR="008B0834" w:rsidRPr="00116A46" w:rsidRDefault="008B0834" w:rsidP="00F62810">
                                  <w:pPr>
                                    <w:rPr>
                                      <w:rFonts w:cstheme="minorHAnsi"/>
                                      <w:sz w:val="13"/>
                                      <w:szCs w:val="13"/>
                                    </w:rPr>
                                  </w:pPr>
                                </w:p>
                              </w:tc>
                              <w:tc>
                                <w:tcPr>
                                  <w:tcW w:w="0" w:type="auto"/>
                                  <w:tcBorders>
                                    <w:left w:val="single" w:sz="4" w:space="0" w:color="auto"/>
                                    <w:right w:val="single" w:sz="4" w:space="0" w:color="auto"/>
                                  </w:tcBorders>
                                </w:tcPr>
                                <w:p w14:paraId="518EF2A5" w14:textId="77777777" w:rsidR="008B0834" w:rsidRPr="008809A4" w:rsidRDefault="008B0834" w:rsidP="004E6BAE">
                                  <w:pPr>
                                    <w:spacing w:line="360" w:lineRule="auto"/>
                                    <w:rPr>
                                      <w:rFonts w:cstheme="minorHAnsi"/>
                                      <w:sz w:val="13"/>
                                      <w:szCs w:val="13"/>
                                    </w:rPr>
                                  </w:pPr>
                                  <w:r w:rsidRPr="008809A4">
                                    <w:rPr>
                                      <w:rFonts w:cstheme="minorHAnsi"/>
                                      <w:sz w:val="13"/>
                                      <w:szCs w:val="13"/>
                                    </w:rPr>
                                    <w:t>Population: 2021-22</w:t>
                                  </w:r>
                                </w:p>
                              </w:tc>
                              <w:tc>
                                <w:tcPr>
                                  <w:tcW w:w="0" w:type="auto"/>
                                  <w:tcBorders>
                                    <w:left w:val="single" w:sz="4" w:space="0" w:color="auto"/>
                                    <w:right w:val="single" w:sz="4" w:space="0" w:color="auto"/>
                                  </w:tcBorders>
                                </w:tcPr>
                                <w:p w14:paraId="73FF97C7" w14:textId="77777777" w:rsidR="008B0834" w:rsidRPr="008809A4" w:rsidRDefault="008B0834" w:rsidP="00493C45">
                                  <w:pPr>
                                    <w:spacing w:line="360" w:lineRule="auto"/>
                                    <w:jc w:val="right"/>
                                    <w:rPr>
                                      <w:rFonts w:cstheme="minorHAnsi"/>
                                      <w:sz w:val="13"/>
                                      <w:szCs w:val="13"/>
                                    </w:rPr>
                                  </w:pPr>
                                  <w:r w:rsidRPr="008809A4">
                                    <w:rPr>
                                      <w:rFonts w:cstheme="minorHAnsi"/>
                                      <w:sz w:val="13"/>
                                      <w:szCs w:val="13"/>
                                    </w:rPr>
                                    <w:t>57,096</w:t>
                                  </w:r>
                                </w:p>
                              </w:tc>
                              <w:tc>
                                <w:tcPr>
                                  <w:tcW w:w="0" w:type="auto"/>
                                  <w:tcBorders>
                                    <w:left w:val="single" w:sz="4" w:space="0" w:color="auto"/>
                                    <w:right w:val="single" w:sz="4" w:space="0" w:color="auto"/>
                                  </w:tcBorders>
                                </w:tcPr>
                                <w:p w14:paraId="2F6EA674" w14:textId="77777777" w:rsidR="008B0834" w:rsidRPr="008809A4" w:rsidRDefault="008B0834" w:rsidP="00E879CF">
                                  <w:pPr>
                                    <w:spacing w:line="360" w:lineRule="auto"/>
                                    <w:jc w:val="right"/>
                                    <w:rPr>
                                      <w:rFonts w:cstheme="minorHAnsi"/>
                                      <w:sz w:val="13"/>
                                      <w:szCs w:val="13"/>
                                    </w:rPr>
                                  </w:pPr>
                                  <w:r w:rsidRPr="008809A4">
                                    <w:rPr>
                                      <w:rFonts w:cstheme="minorHAnsi"/>
                                      <w:sz w:val="13"/>
                                      <w:szCs w:val="13"/>
                                    </w:rPr>
                                    <w:t>+0.7%</w:t>
                                  </w:r>
                                </w:p>
                              </w:tc>
                              <w:tc>
                                <w:tcPr>
                                  <w:tcW w:w="0" w:type="auto"/>
                                  <w:tcBorders>
                                    <w:left w:val="single" w:sz="4" w:space="0" w:color="auto"/>
                                    <w:right w:val="single" w:sz="4" w:space="0" w:color="auto"/>
                                  </w:tcBorders>
                                </w:tcPr>
                                <w:p w14:paraId="42F47F0A"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2.0%</w:t>
                                  </w:r>
                                </w:p>
                              </w:tc>
                            </w:tr>
                            <w:tr w:rsidR="008B0834" w:rsidRPr="008536A7" w14:paraId="0699D563" w14:textId="77777777" w:rsidTr="00DA5BE3">
                              <w:tc>
                                <w:tcPr>
                                  <w:tcW w:w="0" w:type="auto"/>
                                  <w:tcBorders>
                                    <w:left w:val="single" w:sz="4" w:space="0" w:color="auto"/>
                                    <w:right w:val="single" w:sz="4" w:space="0" w:color="auto"/>
                                  </w:tcBorders>
                                </w:tcPr>
                                <w:p w14:paraId="66CFCDE9" w14:textId="77777777" w:rsidR="008B0834" w:rsidRPr="00351552" w:rsidRDefault="008B0834" w:rsidP="00F638FF">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795" w:type="dxa"/>
                                  <w:tcBorders>
                                    <w:left w:val="single" w:sz="4" w:space="0" w:color="auto"/>
                                    <w:right w:val="single" w:sz="4" w:space="0" w:color="auto"/>
                                  </w:tcBorders>
                                </w:tcPr>
                                <w:p w14:paraId="4D1B47E6"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5,542</w:t>
                                  </w:r>
                                </w:p>
                              </w:tc>
                              <w:tc>
                                <w:tcPr>
                                  <w:tcW w:w="1128" w:type="dxa"/>
                                  <w:tcBorders>
                                    <w:left w:val="single" w:sz="4" w:space="0" w:color="auto"/>
                                    <w:right w:val="single" w:sz="4" w:space="0" w:color="auto"/>
                                  </w:tcBorders>
                                </w:tcPr>
                                <w:p w14:paraId="2AA21DBE"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-2.5%</w:t>
                                  </w:r>
                                </w:p>
                              </w:tc>
                              <w:tc>
                                <w:tcPr>
                                  <w:tcW w:w="0" w:type="auto"/>
                                  <w:tcBorders>
                                    <w:left w:val="single" w:sz="4" w:space="0" w:color="auto"/>
                                    <w:right w:val="single" w:sz="4" w:space="0" w:color="auto"/>
                                  </w:tcBorders>
                                </w:tcPr>
                                <w:p w14:paraId="285BDE0A"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0.4%</w:t>
                                  </w:r>
                                </w:p>
                              </w:tc>
                              <w:tc>
                                <w:tcPr>
                                  <w:tcW w:w="0" w:type="auto"/>
                                  <w:tcBorders>
                                    <w:right w:val="single" w:sz="4" w:space="0" w:color="auto"/>
                                  </w:tcBorders>
                                </w:tcPr>
                                <w:p w14:paraId="6761DB34" w14:textId="77777777" w:rsidR="008B0834" w:rsidRPr="00EE46E2" w:rsidRDefault="008B0834" w:rsidP="00147B8C">
                                  <w:pPr>
                                    <w:rPr>
                                      <w:rFonts w:cstheme="minorHAnsi"/>
                                      <w:sz w:val="13"/>
                                      <w:szCs w:val="13"/>
                                    </w:rPr>
                                  </w:pPr>
                                </w:p>
                              </w:tc>
                              <w:tc>
                                <w:tcPr>
                                  <w:tcW w:w="0" w:type="auto"/>
                                  <w:tcBorders>
                                    <w:left w:val="single" w:sz="4" w:space="0" w:color="auto"/>
                                    <w:right w:val="single" w:sz="4" w:space="0" w:color="auto"/>
                                  </w:tcBorders>
                                </w:tcPr>
                                <w:p w14:paraId="30235539" w14:textId="77777777" w:rsidR="008B0834" w:rsidRPr="00351552" w:rsidRDefault="008B0834" w:rsidP="00627F35">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0" w:type="auto"/>
                                  <w:tcBorders>
                                    <w:left w:val="single" w:sz="4" w:space="0" w:color="auto"/>
                                    <w:right w:val="single" w:sz="4" w:space="0" w:color="auto"/>
                                  </w:tcBorders>
                                </w:tcPr>
                                <w:p w14:paraId="568944CC"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29,551</w:t>
                                  </w:r>
                                </w:p>
                              </w:tc>
                              <w:tc>
                                <w:tcPr>
                                  <w:tcW w:w="0" w:type="auto"/>
                                  <w:tcBorders>
                                    <w:left w:val="single" w:sz="4" w:space="0" w:color="auto"/>
                                    <w:right w:val="single" w:sz="4" w:space="0" w:color="auto"/>
                                  </w:tcBorders>
                                </w:tcPr>
                                <w:p w14:paraId="6B211ED2"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-2.5%</w:t>
                                  </w:r>
                                </w:p>
                              </w:tc>
                              <w:tc>
                                <w:tcPr>
                                  <w:tcW w:w="0" w:type="auto"/>
                                  <w:tcBorders>
                                    <w:left w:val="single" w:sz="4" w:space="0" w:color="auto"/>
                                    <w:right w:val="single" w:sz="4" w:space="0" w:color="auto"/>
                                  </w:tcBorders>
                                </w:tcPr>
                                <w:p w14:paraId="70A860E3"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1.9%</w:t>
                                  </w:r>
                                </w:p>
                              </w:tc>
                            </w:tr>
                            <w:tr w:rsidR="008B0834" w:rsidRPr="008536A7" w14:paraId="0F494534" w14:textId="77777777" w:rsidTr="00DA5BE3">
                              <w:tc>
                                <w:tcPr>
                                  <w:tcW w:w="0" w:type="auto"/>
                                  <w:tcBorders>
                                    <w:left w:val="single" w:sz="4" w:space="0" w:color="auto"/>
                                    <w:right w:val="single" w:sz="4" w:space="0" w:color="auto"/>
                                  </w:tcBorders>
                                </w:tcPr>
                                <w:p w14:paraId="569BE040" w14:textId="77777777" w:rsidR="008B0834" w:rsidRPr="00351552" w:rsidRDefault="008B0834" w:rsidP="00147B8C">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795" w:type="dxa"/>
                                  <w:tcBorders>
                                    <w:left w:val="single" w:sz="4" w:space="0" w:color="auto"/>
                                    <w:right w:val="single" w:sz="4" w:space="0" w:color="auto"/>
                                  </w:tcBorders>
                                </w:tcPr>
                                <w:p w14:paraId="34F6D450"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3.5%</w:t>
                                  </w:r>
                                </w:p>
                              </w:tc>
                              <w:tc>
                                <w:tcPr>
                                  <w:tcW w:w="1128" w:type="dxa"/>
                                  <w:tcBorders>
                                    <w:left w:val="single" w:sz="4" w:space="0" w:color="auto"/>
                                    <w:right w:val="single" w:sz="4" w:space="0" w:color="auto"/>
                                  </w:tcBorders>
                                </w:tcPr>
                                <w:p w14:paraId="7C3BCB77"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-0.1pp</w:t>
                                  </w:r>
                                </w:p>
                              </w:tc>
                              <w:tc>
                                <w:tcPr>
                                  <w:tcW w:w="0" w:type="auto"/>
                                  <w:tcBorders>
                                    <w:left w:val="single" w:sz="4" w:space="0" w:color="auto"/>
                                    <w:right w:val="single" w:sz="4" w:space="0" w:color="auto"/>
                                  </w:tcBorders>
                                </w:tcPr>
                                <w:p w14:paraId="1CF97C3C" w14:textId="77777777" w:rsidR="008B0834" w:rsidRPr="00351552" w:rsidRDefault="008B0834" w:rsidP="00147B8C">
                                  <w:pPr>
                                    <w:spacing w:line="360" w:lineRule="auto"/>
                                    <w:jc w:val="right"/>
                                    <w:rPr>
                                      <w:rFonts w:cstheme="minorHAnsi"/>
                                      <w:color w:val="000000" w:themeColor="text1"/>
                                      <w:sz w:val="13"/>
                                      <w:szCs w:val="13"/>
                                    </w:rPr>
                                  </w:pPr>
                                </w:p>
                              </w:tc>
                              <w:tc>
                                <w:tcPr>
                                  <w:tcW w:w="0" w:type="auto"/>
                                  <w:tcBorders>
                                    <w:right w:val="single" w:sz="4" w:space="0" w:color="auto"/>
                                  </w:tcBorders>
                                </w:tcPr>
                                <w:p w14:paraId="2A1FC1C5" w14:textId="77777777" w:rsidR="008B0834" w:rsidRPr="00EE46E2" w:rsidRDefault="008B0834" w:rsidP="00147B8C">
                                  <w:pPr>
                                    <w:rPr>
                                      <w:rFonts w:cstheme="minorHAnsi"/>
                                      <w:sz w:val="13"/>
                                      <w:szCs w:val="13"/>
                                    </w:rPr>
                                  </w:pPr>
                                </w:p>
                              </w:tc>
                              <w:tc>
                                <w:tcPr>
                                  <w:tcW w:w="0" w:type="auto"/>
                                  <w:tcBorders>
                                    <w:left w:val="single" w:sz="4" w:space="0" w:color="auto"/>
                                    <w:right w:val="single" w:sz="4" w:space="0" w:color="auto"/>
                                  </w:tcBorders>
                                </w:tcPr>
                                <w:p w14:paraId="1F597058" w14:textId="77777777" w:rsidR="008B0834" w:rsidRPr="00351552" w:rsidRDefault="008B0834" w:rsidP="00627F35">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0" w:type="auto"/>
                                  <w:tcBorders>
                                    <w:left w:val="single" w:sz="4" w:space="0" w:color="auto"/>
                                    <w:right w:val="single" w:sz="4" w:space="0" w:color="auto"/>
                                  </w:tcBorders>
                                </w:tcPr>
                                <w:p w14:paraId="4537A846"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2.8%</w:t>
                                  </w:r>
                                </w:p>
                              </w:tc>
                              <w:tc>
                                <w:tcPr>
                                  <w:tcW w:w="0" w:type="auto"/>
                                  <w:tcBorders>
                                    <w:left w:val="single" w:sz="4" w:space="0" w:color="auto"/>
                                    <w:right w:val="single" w:sz="4" w:space="0" w:color="auto"/>
                                  </w:tcBorders>
                                </w:tcPr>
                                <w:p w14:paraId="033F6A23"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-0.0pp</w:t>
                                  </w:r>
                                </w:p>
                              </w:tc>
                              <w:tc>
                                <w:tcPr>
                                  <w:tcW w:w="0" w:type="auto"/>
                                  <w:tcBorders>
                                    <w:left w:val="single" w:sz="4" w:space="0" w:color="auto"/>
                                    <w:right w:val="single" w:sz="4" w:space="0" w:color="auto"/>
                                  </w:tcBorders>
                                </w:tcPr>
                                <w:p w14:paraId="32D778FD" w14:textId="77777777" w:rsidR="008B0834" w:rsidRPr="00351552" w:rsidRDefault="008B0834" w:rsidP="00147B8C">
                                  <w:pPr>
                                    <w:spacing w:line="360" w:lineRule="auto"/>
                                    <w:jc w:val="right"/>
                                    <w:rPr>
                                      <w:rFonts w:cstheme="minorHAnsi"/>
                                      <w:color w:val="000000" w:themeColor="text1"/>
                                      <w:sz w:val="13"/>
                                      <w:szCs w:val="13"/>
                                    </w:rPr>
                                  </w:pPr>
                                </w:p>
                              </w:tc>
                            </w:tr>
                            <w:tr w:rsidR="008B0834" w:rsidRPr="008536A7" w14:paraId="2F6DFEAC" w14:textId="77777777" w:rsidTr="00DA5BE3">
                              <w:tc>
                                <w:tcPr>
                                  <w:tcW w:w="0" w:type="auto"/>
                                  <w:tcBorders>
                                    <w:left w:val="single" w:sz="4" w:space="0" w:color="auto"/>
                                    <w:right w:val="single" w:sz="4" w:space="0" w:color="auto"/>
                                  </w:tcBorders>
                                </w:tcPr>
                                <w:p w14:paraId="08F0845B" w14:textId="77777777" w:rsidR="008B0834" w:rsidRPr="00351552" w:rsidRDefault="008B0834" w:rsidP="00F62810">
                                  <w:pPr>
                                    <w:spacing w:line="360" w:lineRule="auto"/>
                                    <w:rPr>
                                      <w:rFonts w:cstheme="minorHAnsi"/>
                                      <w:color w:val="000000" w:themeColor="text1"/>
                                      <w:sz w:val="13"/>
                                      <w:szCs w:val="13"/>
                                    </w:rPr>
                                  </w:pPr>
                                  <w:r w:rsidRPr="00351552">
                                    <w:rPr>
                                      <w:rFonts w:cstheme="minorHAnsi"/>
                                      <w:color w:val="000000" w:themeColor="text1"/>
                                      <w:sz w:val="12"/>
                                      <w:szCs w:val="12"/>
                                    </w:rPr>
                                    <w:t>Minerals &amp; petroleum sales: 2022-23</w:t>
                                  </w:r>
                                </w:p>
                              </w:tc>
                              <w:tc>
                                <w:tcPr>
                                  <w:tcW w:w="795" w:type="dxa"/>
                                  <w:tcBorders>
                                    <w:left w:val="single" w:sz="4" w:space="0" w:color="auto"/>
                                    <w:right w:val="single" w:sz="4" w:space="0" w:color="auto"/>
                                  </w:tcBorders>
                                </w:tcPr>
                                <w:p w14:paraId="0E124DD6" w14:textId="77777777" w:rsidR="008B0834" w:rsidRPr="00351552" w:rsidRDefault="008B0834" w:rsidP="00E82A74">
                                  <w:pPr>
                                    <w:spacing w:line="360" w:lineRule="auto"/>
                                    <w:jc w:val="right"/>
                                    <w:rPr>
                                      <w:rFonts w:cstheme="minorHAnsi"/>
                                      <w:color w:val="000000" w:themeColor="text1"/>
                                      <w:sz w:val="13"/>
                                      <w:szCs w:val="13"/>
                                    </w:rPr>
                                  </w:pPr>
                                  <w:r w:rsidRPr="00351552">
                                    <w:rPr>
                                      <w:rFonts w:cstheme="minorHAnsi"/>
                                      <w:color w:val="000000" w:themeColor="text1"/>
                                      <w:sz w:val="13"/>
                                      <w:szCs w:val="13"/>
                                    </w:rPr>
                                    <w:t>$215.5m</w:t>
                                  </w:r>
                                </w:p>
                              </w:tc>
                              <w:tc>
                                <w:tcPr>
                                  <w:tcW w:w="1128" w:type="dxa"/>
                                  <w:tcBorders>
                                    <w:left w:val="single" w:sz="4" w:space="0" w:color="auto"/>
                                    <w:right w:val="single" w:sz="4" w:space="0" w:color="auto"/>
                                  </w:tcBorders>
                                </w:tcPr>
                                <w:p w14:paraId="6F40B5C0" w14:textId="77777777" w:rsidR="008B0834" w:rsidRPr="00351552" w:rsidRDefault="008B0834" w:rsidP="00360356">
                                  <w:pPr>
                                    <w:spacing w:line="360" w:lineRule="auto"/>
                                    <w:jc w:val="right"/>
                                    <w:rPr>
                                      <w:rFonts w:cstheme="minorHAnsi"/>
                                      <w:color w:val="000000" w:themeColor="text1"/>
                                      <w:sz w:val="13"/>
                                      <w:szCs w:val="13"/>
                                    </w:rPr>
                                  </w:pPr>
                                  <w:r w:rsidRPr="00351552">
                                    <w:rPr>
                                      <w:rFonts w:cstheme="minorHAnsi"/>
                                      <w:color w:val="000000" w:themeColor="text1"/>
                                      <w:sz w:val="13"/>
                                      <w:szCs w:val="13"/>
                                    </w:rPr>
                                    <w:t>+71.3%</w:t>
                                  </w:r>
                                </w:p>
                              </w:tc>
                              <w:tc>
                                <w:tcPr>
                                  <w:tcW w:w="0" w:type="auto"/>
                                  <w:tcBorders>
                                    <w:left w:val="single" w:sz="4" w:space="0" w:color="auto"/>
                                    <w:right w:val="single" w:sz="4" w:space="0" w:color="auto"/>
                                  </w:tcBorders>
                                </w:tcPr>
                                <w:p w14:paraId="20896AA2" w14:textId="77777777" w:rsidR="008B0834" w:rsidRPr="00351552" w:rsidRDefault="008B0834" w:rsidP="00F62810">
                                  <w:pPr>
                                    <w:spacing w:line="360" w:lineRule="auto"/>
                                    <w:jc w:val="right"/>
                                    <w:rPr>
                                      <w:rFonts w:cstheme="minorHAnsi"/>
                                      <w:color w:val="000000" w:themeColor="text1"/>
                                      <w:sz w:val="13"/>
                                      <w:szCs w:val="13"/>
                                    </w:rPr>
                                  </w:pPr>
                                  <w:r w:rsidRPr="00351552">
                                    <w:rPr>
                                      <w:rFonts w:cstheme="minorHAnsi"/>
                                      <w:color w:val="000000" w:themeColor="text1"/>
                                      <w:sz w:val="13"/>
                                      <w:szCs w:val="13"/>
                                    </w:rPr>
                                    <w:t>0.1%</w:t>
                                  </w:r>
                                </w:p>
                              </w:tc>
                              <w:tc>
                                <w:tcPr>
                                  <w:tcW w:w="0" w:type="auto"/>
                                  <w:tcBorders>
                                    <w:right w:val="single" w:sz="4" w:space="0" w:color="auto"/>
                                  </w:tcBorders>
                                </w:tcPr>
                                <w:p w14:paraId="52CC8146" w14:textId="77777777" w:rsidR="008B0834" w:rsidRPr="00DE6518" w:rsidRDefault="008B0834" w:rsidP="00F62810">
                                  <w:pPr>
                                    <w:rPr>
                                      <w:rFonts w:cstheme="minorHAnsi"/>
                                      <w:sz w:val="13"/>
                                      <w:szCs w:val="13"/>
                                    </w:rPr>
                                  </w:pPr>
                                </w:p>
                              </w:tc>
                              <w:tc>
                                <w:tcPr>
                                  <w:tcW w:w="0" w:type="auto"/>
                                  <w:tcBorders>
                                    <w:left w:val="single" w:sz="4" w:space="0" w:color="auto"/>
                                    <w:right w:val="single" w:sz="4" w:space="0" w:color="auto"/>
                                  </w:tcBorders>
                                </w:tcPr>
                                <w:p w14:paraId="0A882BA8" w14:textId="77777777" w:rsidR="008B0834" w:rsidRPr="00351552" w:rsidRDefault="008B0834" w:rsidP="005B5207">
                                  <w:pPr>
                                    <w:spacing w:line="360" w:lineRule="auto"/>
                                    <w:rPr>
                                      <w:rFonts w:cstheme="minorHAnsi"/>
                                      <w:color w:val="000000" w:themeColor="text1"/>
                                      <w:sz w:val="13"/>
                                      <w:szCs w:val="13"/>
                                    </w:rPr>
                                  </w:pPr>
                                  <w:r w:rsidRPr="00351552">
                                    <w:rPr>
                                      <w:rFonts w:cstheme="minorHAnsi"/>
                                      <w:color w:val="000000" w:themeColor="text1"/>
                                      <w:sz w:val="12"/>
                                      <w:szCs w:val="12"/>
                                    </w:rPr>
                                    <w:t>Minerals &amp; petroleum sales: 2022-23</w:t>
                                  </w:r>
                                </w:p>
                              </w:tc>
                              <w:tc>
                                <w:tcPr>
                                  <w:tcW w:w="0" w:type="auto"/>
                                  <w:tcBorders>
                                    <w:left w:val="single" w:sz="4" w:space="0" w:color="auto"/>
                                    <w:right w:val="single" w:sz="4" w:space="0" w:color="auto"/>
                                  </w:tcBorders>
                                </w:tcPr>
                                <w:p w14:paraId="24FF7B9D" w14:textId="77777777" w:rsidR="008B0834" w:rsidRPr="00351552" w:rsidRDefault="008B0834" w:rsidP="00E82A74">
                                  <w:pPr>
                                    <w:spacing w:line="360" w:lineRule="auto"/>
                                    <w:jc w:val="right"/>
                                    <w:rPr>
                                      <w:rFonts w:cstheme="minorHAnsi"/>
                                      <w:color w:val="000000" w:themeColor="text1"/>
                                      <w:sz w:val="13"/>
                                      <w:szCs w:val="13"/>
                                    </w:rPr>
                                  </w:pPr>
                                  <w:r w:rsidRPr="00351552">
                                    <w:rPr>
                                      <w:rFonts w:cstheme="minorHAnsi"/>
                                      <w:color w:val="000000" w:themeColor="text1"/>
                                      <w:sz w:val="13"/>
                                      <w:szCs w:val="13"/>
                                    </w:rPr>
                                    <w:t>$4.4b</w:t>
                                  </w:r>
                                </w:p>
                              </w:tc>
                              <w:tc>
                                <w:tcPr>
                                  <w:tcW w:w="0" w:type="auto"/>
                                  <w:tcBorders>
                                    <w:left w:val="single" w:sz="4" w:space="0" w:color="auto"/>
                                    <w:right w:val="single" w:sz="4" w:space="0" w:color="auto"/>
                                  </w:tcBorders>
                                </w:tcPr>
                                <w:p w14:paraId="7835F69F" w14:textId="77777777" w:rsidR="008B0834" w:rsidRPr="00351552" w:rsidRDefault="008B0834" w:rsidP="00AD12B1">
                                  <w:pPr>
                                    <w:spacing w:line="360" w:lineRule="auto"/>
                                    <w:jc w:val="right"/>
                                    <w:rPr>
                                      <w:rFonts w:cstheme="minorHAnsi"/>
                                      <w:color w:val="000000" w:themeColor="text1"/>
                                      <w:sz w:val="13"/>
                                      <w:szCs w:val="13"/>
                                    </w:rPr>
                                  </w:pPr>
                                  <w:r w:rsidRPr="00351552">
                                    <w:rPr>
                                      <w:rFonts w:cstheme="minorHAnsi"/>
                                      <w:color w:val="000000" w:themeColor="text1"/>
                                      <w:sz w:val="13"/>
                                      <w:szCs w:val="13"/>
                                    </w:rPr>
                                    <w:t>-12.7%</w:t>
                                  </w:r>
                                </w:p>
                              </w:tc>
                              <w:tc>
                                <w:tcPr>
                                  <w:tcW w:w="0" w:type="auto"/>
                                  <w:tcBorders>
                                    <w:left w:val="single" w:sz="4" w:space="0" w:color="auto"/>
                                    <w:right w:val="single" w:sz="4" w:space="0" w:color="auto"/>
                                  </w:tcBorders>
                                </w:tcPr>
                                <w:p w14:paraId="494321A1" w14:textId="77777777" w:rsidR="008B0834" w:rsidRPr="00351552" w:rsidRDefault="008B0834" w:rsidP="00E82A74">
                                  <w:pPr>
                                    <w:spacing w:line="360" w:lineRule="auto"/>
                                    <w:jc w:val="right"/>
                                    <w:rPr>
                                      <w:rFonts w:cstheme="minorHAnsi"/>
                                      <w:color w:val="000000" w:themeColor="text1"/>
                                      <w:sz w:val="13"/>
                                      <w:szCs w:val="13"/>
                                    </w:rPr>
                                  </w:pPr>
                                  <w:r w:rsidRPr="00351552">
                                    <w:rPr>
                                      <w:rFonts w:cstheme="minorHAnsi"/>
                                      <w:color w:val="000000" w:themeColor="text1"/>
                                      <w:sz w:val="13"/>
                                      <w:szCs w:val="13"/>
                                    </w:rPr>
                                    <w:t>1.7%</w:t>
                                  </w:r>
                                </w:p>
                              </w:tc>
                            </w:tr>
                            <w:tr w:rsidR="008B0834" w:rsidRPr="008536A7" w14:paraId="1A0A8AE5" w14:textId="77777777" w:rsidTr="00DA5BE3">
                              <w:tc>
                                <w:tcPr>
                                  <w:tcW w:w="0" w:type="auto"/>
                                  <w:tcBorders>
                                    <w:left w:val="single" w:sz="4" w:space="0" w:color="auto"/>
                                    <w:right w:val="single" w:sz="4" w:space="0" w:color="auto"/>
                                  </w:tcBorders>
                                </w:tcPr>
                                <w:p w14:paraId="29CFD684" w14:textId="77777777" w:rsidR="008B0834" w:rsidRPr="001B3607" w:rsidRDefault="008B0834" w:rsidP="005A6E7F">
                                  <w:pPr>
                                    <w:spacing w:line="360" w:lineRule="auto"/>
                                    <w:rPr>
                                      <w:rFonts w:cstheme="minorHAnsi"/>
                                      <w:sz w:val="13"/>
                                      <w:szCs w:val="13"/>
                                    </w:rPr>
                                  </w:pPr>
                                  <w:r w:rsidRPr="001B3607">
                                    <w:rPr>
                                      <w:rFonts w:cstheme="minorHAnsi"/>
                                      <w:sz w:val="13"/>
                                      <w:szCs w:val="13"/>
                                    </w:rPr>
                                    <w:t xml:space="preserve">Building approvals: </w:t>
                                  </w:r>
                                  <w:r w:rsidRPr="00EA3F30">
                                    <w:rPr>
                                      <w:rFonts w:cstheme="minorHAnsi"/>
                                      <w:sz w:val="13"/>
                                      <w:szCs w:val="13"/>
                                    </w:rPr>
                                    <w:t>2022-23</w:t>
                                  </w:r>
                                </w:p>
                              </w:tc>
                              <w:tc>
                                <w:tcPr>
                                  <w:tcW w:w="795" w:type="dxa"/>
                                  <w:tcBorders>
                                    <w:left w:val="single" w:sz="4" w:space="0" w:color="auto"/>
                                    <w:right w:val="single" w:sz="4" w:space="0" w:color="auto"/>
                                  </w:tcBorders>
                                </w:tcPr>
                                <w:p w14:paraId="25654B1D" w14:textId="77777777" w:rsidR="008B0834" w:rsidRPr="001B3607" w:rsidRDefault="008B0834" w:rsidP="00F62810">
                                  <w:pPr>
                                    <w:spacing w:line="360" w:lineRule="auto"/>
                                    <w:jc w:val="right"/>
                                    <w:rPr>
                                      <w:rFonts w:cstheme="minorHAnsi"/>
                                      <w:sz w:val="13"/>
                                      <w:szCs w:val="13"/>
                                    </w:rPr>
                                  </w:pPr>
                                  <w:r w:rsidRPr="001B3607">
                                    <w:rPr>
                                      <w:rFonts w:cstheme="minorHAnsi"/>
                                      <w:sz w:val="13"/>
                                      <w:szCs w:val="13"/>
                                    </w:rPr>
                                    <w:t>$</w:t>
                                  </w:r>
                                  <w:r w:rsidRPr="00EA3F30">
                                    <w:rPr>
                                      <w:rFonts w:cstheme="minorHAnsi"/>
                                      <w:sz w:val="13"/>
                                      <w:szCs w:val="13"/>
                                    </w:rPr>
                                    <w:t>72</w:t>
                                  </w:r>
                                  <w:r w:rsidRPr="001B3607">
                                    <w:rPr>
                                      <w:rFonts w:cstheme="minorHAnsi"/>
                                      <w:sz w:val="13"/>
                                      <w:szCs w:val="13"/>
                                    </w:rPr>
                                    <w:t>m</w:t>
                                  </w:r>
                                </w:p>
                              </w:tc>
                              <w:tc>
                                <w:tcPr>
                                  <w:tcW w:w="1128" w:type="dxa"/>
                                  <w:tcBorders>
                                    <w:left w:val="single" w:sz="4" w:space="0" w:color="auto"/>
                                    <w:right w:val="single" w:sz="4" w:space="0" w:color="auto"/>
                                  </w:tcBorders>
                                </w:tcPr>
                                <w:p w14:paraId="39FF641D" w14:textId="77777777" w:rsidR="008B0834" w:rsidRPr="001B3607" w:rsidRDefault="008B0834" w:rsidP="00F62810">
                                  <w:pPr>
                                    <w:spacing w:line="360" w:lineRule="auto"/>
                                    <w:jc w:val="right"/>
                                    <w:rPr>
                                      <w:rFonts w:cstheme="minorHAnsi"/>
                                      <w:sz w:val="13"/>
                                      <w:szCs w:val="13"/>
                                    </w:rPr>
                                  </w:pPr>
                                  <w:r w:rsidRPr="00EA3F30">
                                    <w:rPr>
                                      <w:rFonts w:cstheme="minorHAnsi"/>
                                      <w:sz w:val="13"/>
                                      <w:szCs w:val="13"/>
                                    </w:rPr>
                                    <w:t>-30.9</w:t>
                                  </w:r>
                                  <w:r w:rsidRPr="001B3607">
                                    <w:rPr>
                                      <w:rFonts w:cstheme="minorHAnsi"/>
                                      <w:sz w:val="13"/>
                                      <w:szCs w:val="13"/>
                                    </w:rPr>
                                    <w:t>%</w:t>
                                  </w:r>
                                </w:p>
                              </w:tc>
                              <w:tc>
                                <w:tcPr>
                                  <w:tcW w:w="0" w:type="auto"/>
                                  <w:tcBorders>
                                    <w:left w:val="single" w:sz="4" w:space="0" w:color="auto"/>
                                    <w:right w:val="single" w:sz="4" w:space="0" w:color="auto"/>
                                  </w:tcBorders>
                                </w:tcPr>
                                <w:p w14:paraId="15B07871" w14:textId="77777777" w:rsidR="008B0834" w:rsidRPr="001B3607" w:rsidRDefault="008B0834" w:rsidP="00F62810">
                                  <w:pPr>
                                    <w:spacing w:line="360" w:lineRule="auto"/>
                                    <w:jc w:val="right"/>
                                    <w:rPr>
                                      <w:rFonts w:cstheme="minorHAnsi"/>
                                      <w:sz w:val="13"/>
                                      <w:szCs w:val="13"/>
                                    </w:rPr>
                                  </w:pPr>
                                  <w:r w:rsidRPr="001B3607">
                                    <w:rPr>
                                      <w:rFonts w:cstheme="minorHAnsi"/>
                                      <w:sz w:val="13"/>
                                      <w:szCs w:val="13"/>
                                    </w:rPr>
                                    <w:t>0.</w:t>
                                  </w:r>
                                  <w:r w:rsidRPr="00EA3F30">
                                    <w:rPr>
                                      <w:rFonts w:cstheme="minorHAnsi"/>
                                      <w:sz w:val="13"/>
                                      <w:szCs w:val="13"/>
                                    </w:rPr>
                                    <w:t>6</w:t>
                                  </w:r>
                                  <w:r w:rsidRPr="001B3607">
                                    <w:rPr>
                                      <w:rFonts w:cstheme="minorHAnsi"/>
                                      <w:sz w:val="13"/>
                                      <w:szCs w:val="13"/>
                                    </w:rPr>
                                    <w:t>%</w:t>
                                  </w:r>
                                </w:p>
                              </w:tc>
                              <w:tc>
                                <w:tcPr>
                                  <w:tcW w:w="0" w:type="auto"/>
                                  <w:tcBorders>
                                    <w:right w:val="single" w:sz="4" w:space="0" w:color="auto"/>
                                  </w:tcBorders>
                                </w:tcPr>
                                <w:p w14:paraId="2E093A9A" w14:textId="77777777" w:rsidR="008B0834" w:rsidRPr="00BD3DB6" w:rsidRDefault="008B0834" w:rsidP="00F62810">
                                  <w:pPr>
                                    <w:rPr>
                                      <w:rFonts w:cstheme="minorHAnsi"/>
                                      <w:sz w:val="13"/>
                                      <w:szCs w:val="13"/>
                                    </w:rPr>
                                  </w:pPr>
                                </w:p>
                              </w:tc>
                              <w:tc>
                                <w:tcPr>
                                  <w:tcW w:w="0" w:type="auto"/>
                                  <w:tcBorders>
                                    <w:left w:val="single" w:sz="4" w:space="0" w:color="auto"/>
                                    <w:right w:val="single" w:sz="4" w:space="0" w:color="auto"/>
                                  </w:tcBorders>
                                </w:tcPr>
                                <w:p w14:paraId="3319FE96" w14:textId="77777777" w:rsidR="008B0834" w:rsidRPr="001B3607" w:rsidRDefault="008B0834" w:rsidP="005A6E7F">
                                  <w:pPr>
                                    <w:spacing w:line="360" w:lineRule="auto"/>
                                    <w:rPr>
                                      <w:rFonts w:cstheme="minorHAnsi"/>
                                      <w:sz w:val="13"/>
                                      <w:szCs w:val="13"/>
                                    </w:rPr>
                                  </w:pPr>
                                  <w:r w:rsidRPr="001B3607">
                                    <w:rPr>
                                      <w:rFonts w:cstheme="minorHAnsi"/>
                                      <w:sz w:val="13"/>
                                      <w:szCs w:val="13"/>
                                    </w:rPr>
                                    <w:t xml:space="preserve">Building approvals: </w:t>
                                  </w:r>
                                  <w:r w:rsidRPr="00EA3F30">
                                    <w:rPr>
                                      <w:rFonts w:cstheme="minorHAnsi"/>
                                      <w:sz w:val="13"/>
                                      <w:szCs w:val="13"/>
                                    </w:rPr>
                                    <w:t>2022-23</w:t>
                                  </w:r>
                                </w:p>
                              </w:tc>
                              <w:tc>
                                <w:tcPr>
                                  <w:tcW w:w="0" w:type="auto"/>
                                  <w:tcBorders>
                                    <w:left w:val="single" w:sz="4" w:space="0" w:color="auto"/>
                                    <w:right w:val="single" w:sz="4" w:space="0" w:color="auto"/>
                                  </w:tcBorders>
                                </w:tcPr>
                                <w:p w14:paraId="074895C4" w14:textId="77777777" w:rsidR="008B0834" w:rsidRPr="001B3607" w:rsidRDefault="008B0834" w:rsidP="00F62810">
                                  <w:pPr>
                                    <w:spacing w:line="360" w:lineRule="auto"/>
                                    <w:jc w:val="right"/>
                                    <w:rPr>
                                      <w:rFonts w:cstheme="minorHAnsi"/>
                                      <w:sz w:val="13"/>
                                      <w:szCs w:val="13"/>
                                    </w:rPr>
                                  </w:pPr>
                                  <w:r w:rsidRPr="001B3607">
                                    <w:rPr>
                                      <w:rFonts w:cstheme="minorHAnsi"/>
                                      <w:sz w:val="13"/>
                                      <w:szCs w:val="13"/>
                                    </w:rPr>
                                    <w:t>$</w:t>
                                  </w:r>
                                  <w:r w:rsidRPr="00EA3F30">
                                    <w:rPr>
                                      <w:rFonts w:cstheme="minorHAnsi"/>
                                      <w:sz w:val="13"/>
                                      <w:szCs w:val="13"/>
                                    </w:rPr>
                                    <w:t>191</w:t>
                                  </w:r>
                                  <w:r w:rsidRPr="001B3607">
                                    <w:rPr>
                                      <w:rFonts w:cstheme="minorHAnsi"/>
                                      <w:sz w:val="13"/>
                                      <w:szCs w:val="13"/>
                                    </w:rPr>
                                    <w:t>m</w:t>
                                  </w:r>
                                </w:p>
                              </w:tc>
                              <w:tc>
                                <w:tcPr>
                                  <w:tcW w:w="0" w:type="auto"/>
                                  <w:tcBorders>
                                    <w:left w:val="single" w:sz="4" w:space="0" w:color="auto"/>
                                    <w:right w:val="single" w:sz="4" w:space="0" w:color="auto"/>
                                  </w:tcBorders>
                                </w:tcPr>
                                <w:p w14:paraId="06A62872" w14:textId="77777777" w:rsidR="008B0834" w:rsidRPr="001B3607" w:rsidRDefault="008B0834" w:rsidP="009D2650">
                                  <w:pPr>
                                    <w:spacing w:line="360" w:lineRule="auto"/>
                                    <w:jc w:val="right"/>
                                    <w:rPr>
                                      <w:rFonts w:cstheme="minorHAnsi"/>
                                      <w:sz w:val="13"/>
                                      <w:szCs w:val="13"/>
                                    </w:rPr>
                                  </w:pPr>
                                  <w:r w:rsidRPr="00EA3F30">
                                    <w:rPr>
                                      <w:rFonts w:cstheme="minorHAnsi"/>
                                      <w:sz w:val="13"/>
                                      <w:szCs w:val="13"/>
                                    </w:rPr>
                                    <w:t>-18.5</w:t>
                                  </w:r>
                                  <w:r w:rsidRPr="001B3607">
                                    <w:rPr>
                                      <w:rFonts w:cstheme="minorHAnsi"/>
                                      <w:sz w:val="13"/>
                                      <w:szCs w:val="13"/>
                                    </w:rPr>
                                    <w:t>%</w:t>
                                  </w:r>
                                </w:p>
                              </w:tc>
                              <w:tc>
                                <w:tcPr>
                                  <w:tcW w:w="0" w:type="auto"/>
                                  <w:tcBorders>
                                    <w:left w:val="single" w:sz="4" w:space="0" w:color="auto"/>
                                    <w:right w:val="single" w:sz="4" w:space="0" w:color="auto"/>
                                  </w:tcBorders>
                                </w:tcPr>
                                <w:p w14:paraId="2F6A3F48" w14:textId="77777777" w:rsidR="008B0834" w:rsidRPr="001B3607" w:rsidRDefault="008B0834" w:rsidP="00D4356E">
                                  <w:pPr>
                                    <w:spacing w:line="360" w:lineRule="auto"/>
                                    <w:jc w:val="right"/>
                                    <w:rPr>
                                      <w:rFonts w:cstheme="minorHAnsi"/>
                                      <w:sz w:val="13"/>
                                      <w:szCs w:val="13"/>
                                    </w:rPr>
                                  </w:pPr>
                                  <w:r w:rsidRPr="001B3607">
                                    <w:rPr>
                                      <w:rFonts w:cstheme="minorHAnsi"/>
                                      <w:sz w:val="13"/>
                                      <w:szCs w:val="13"/>
                                    </w:rPr>
                                    <w:t>1.</w:t>
                                  </w:r>
                                  <w:r w:rsidRPr="00EA3F30">
                                    <w:rPr>
                                      <w:rFonts w:cstheme="minorHAnsi"/>
                                      <w:sz w:val="13"/>
                                      <w:szCs w:val="13"/>
                                    </w:rPr>
                                    <w:t>7</w:t>
                                  </w:r>
                                  <w:r w:rsidRPr="001B3607">
                                    <w:rPr>
                                      <w:rFonts w:cstheme="minorHAnsi"/>
                                      <w:sz w:val="13"/>
                                      <w:szCs w:val="13"/>
                                    </w:rPr>
                                    <w:t>%</w:t>
                                  </w:r>
                                </w:p>
                              </w:tc>
                            </w:tr>
                            <w:tr w:rsidR="008B0834" w:rsidRPr="008536A7" w14:paraId="38550DBA" w14:textId="77777777" w:rsidTr="00DA5BE3">
                              <w:tc>
                                <w:tcPr>
                                  <w:tcW w:w="0" w:type="auto"/>
                                  <w:tcBorders>
                                    <w:left w:val="single" w:sz="4" w:space="0" w:color="auto"/>
                                    <w:bottom w:val="single" w:sz="4" w:space="0" w:color="auto"/>
                                    <w:right w:val="single" w:sz="4" w:space="0" w:color="auto"/>
                                  </w:tcBorders>
                                </w:tcPr>
                                <w:p w14:paraId="217F2F96" w14:textId="77777777" w:rsidR="008B0834" w:rsidRPr="008809A4" w:rsidRDefault="008B0834" w:rsidP="00F62810">
                                  <w:pPr>
                                    <w:spacing w:line="360" w:lineRule="auto"/>
                                    <w:rPr>
                                      <w:rFonts w:cstheme="minorHAnsi"/>
                                      <w:sz w:val="13"/>
                                      <w:szCs w:val="13"/>
                                    </w:rPr>
                                  </w:pPr>
                                  <w:r w:rsidRPr="008809A4">
                                    <w:rPr>
                                      <w:rFonts w:cstheme="minorHAnsi"/>
                                      <w:sz w:val="13"/>
                                      <w:szCs w:val="13"/>
                                    </w:rPr>
                                    <w:t>Overnight visitors a year: 2020-22</w:t>
                                  </w:r>
                                </w:p>
                              </w:tc>
                              <w:tc>
                                <w:tcPr>
                                  <w:tcW w:w="795" w:type="dxa"/>
                                  <w:tcBorders>
                                    <w:left w:val="single" w:sz="4" w:space="0" w:color="auto"/>
                                    <w:bottom w:val="single" w:sz="4" w:space="0" w:color="auto"/>
                                    <w:right w:val="single" w:sz="4" w:space="0" w:color="auto"/>
                                  </w:tcBorders>
                                </w:tcPr>
                                <w:p w14:paraId="27515068" w14:textId="77777777" w:rsidR="008B0834" w:rsidRPr="008809A4" w:rsidRDefault="008B0834" w:rsidP="00821D16">
                                  <w:pPr>
                                    <w:spacing w:line="360" w:lineRule="auto"/>
                                    <w:jc w:val="right"/>
                                    <w:rPr>
                                      <w:rFonts w:cstheme="minorHAnsi"/>
                                      <w:sz w:val="13"/>
                                      <w:szCs w:val="13"/>
                                    </w:rPr>
                                  </w:pPr>
                                  <w:r w:rsidRPr="008809A4">
                                    <w:rPr>
                                      <w:rFonts w:cstheme="minorHAnsi"/>
                                      <w:sz w:val="13"/>
                                      <w:szCs w:val="13"/>
                                    </w:rPr>
                                    <w:t>311,000</w:t>
                                  </w:r>
                                </w:p>
                              </w:tc>
                              <w:tc>
                                <w:tcPr>
                                  <w:tcW w:w="1128" w:type="dxa"/>
                                  <w:tcBorders>
                                    <w:left w:val="single" w:sz="4" w:space="0" w:color="auto"/>
                                    <w:bottom w:val="single" w:sz="4" w:space="0" w:color="auto"/>
                                    <w:right w:val="single" w:sz="4" w:space="0" w:color="auto"/>
                                  </w:tcBorders>
                                </w:tcPr>
                                <w:p w14:paraId="7586611F" w14:textId="77777777" w:rsidR="008B0834" w:rsidRPr="008809A4" w:rsidRDefault="008B0834" w:rsidP="00F62810">
                                  <w:pPr>
                                    <w:spacing w:line="360" w:lineRule="auto"/>
                                    <w:jc w:val="right"/>
                                    <w:rPr>
                                      <w:rFonts w:cstheme="minorHAnsi"/>
                                      <w:sz w:val="13"/>
                                      <w:szCs w:val="13"/>
                                    </w:rPr>
                                  </w:pPr>
                                </w:p>
                              </w:tc>
                              <w:tc>
                                <w:tcPr>
                                  <w:tcW w:w="0" w:type="auto"/>
                                  <w:tcBorders>
                                    <w:left w:val="single" w:sz="4" w:space="0" w:color="auto"/>
                                    <w:bottom w:val="single" w:sz="4" w:space="0" w:color="auto"/>
                                    <w:right w:val="single" w:sz="4" w:space="0" w:color="auto"/>
                                  </w:tcBorders>
                                </w:tcPr>
                                <w:p w14:paraId="3F48DD12"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2.9%</w:t>
                                  </w:r>
                                </w:p>
                              </w:tc>
                              <w:tc>
                                <w:tcPr>
                                  <w:tcW w:w="0" w:type="auto"/>
                                  <w:tcBorders>
                                    <w:right w:val="single" w:sz="4" w:space="0" w:color="auto"/>
                                  </w:tcBorders>
                                </w:tcPr>
                                <w:p w14:paraId="6955CA49" w14:textId="77777777" w:rsidR="008B0834" w:rsidRPr="00EE46E2" w:rsidRDefault="008B0834" w:rsidP="00F62810">
                                  <w:pPr>
                                    <w:rPr>
                                      <w:rFonts w:cstheme="minorHAnsi"/>
                                      <w:sz w:val="13"/>
                                      <w:szCs w:val="13"/>
                                    </w:rPr>
                                  </w:pPr>
                                </w:p>
                              </w:tc>
                              <w:tc>
                                <w:tcPr>
                                  <w:tcW w:w="0" w:type="auto"/>
                                  <w:tcBorders>
                                    <w:left w:val="single" w:sz="4" w:space="0" w:color="auto"/>
                                    <w:bottom w:val="single" w:sz="4" w:space="0" w:color="auto"/>
                                    <w:right w:val="single" w:sz="4" w:space="0" w:color="auto"/>
                                  </w:tcBorders>
                                </w:tcPr>
                                <w:p w14:paraId="1B3E4F0E" w14:textId="77777777" w:rsidR="008B0834" w:rsidRPr="008809A4" w:rsidRDefault="008B0834" w:rsidP="00F62810">
                                  <w:pPr>
                                    <w:spacing w:line="360" w:lineRule="auto"/>
                                    <w:rPr>
                                      <w:rFonts w:cstheme="minorHAnsi"/>
                                      <w:sz w:val="13"/>
                                      <w:szCs w:val="13"/>
                                    </w:rPr>
                                  </w:pPr>
                                  <w:r w:rsidRPr="008809A4">
                                    <w:rPr>
                                      <w:rFonts w:cstheme="minorHAnsi"/>
                                      <w:sz w:val="13"/>
                                      <w:szCs w:val="13"/>
                                    </w:rPr>
                                    <w:t>Overnight visitors a year: 2020-22</w:t>
                                  </w:r>
                                </w:p>
                              </w:tc>
                              <w:tc>
                                <w:tcPr>
                                  <w:tcW w:w="0" w:type="auto"/>
                                  <w:tcBorders>
                                    <w:left w:val="single" w:sz="4" w:space="0" w:color="auto"/>
                                    <w:bottom w:val="single" w:sz="4" w:space="0" w:color="auto"/>
                                    <w:right w:val="single" w:sz="4" w:space="0" w:color="auto"/>
                                  </w:tcBorders>
                                </w:tcPr>
                                <w:p w14:paraId="406B7B37"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652,000</w:t>
                                  </w:r>
                                </w:p>
                              </w:tc>
                              <w:tc>
                                <w:tcPr>
                                  <w:tcW w:w="0" w:type="auto"/>
                                  <w:tcBorders>
                                    <w:left w:val="single" w:sz="4" w:space="0" w:color="auto"/>
                                    <w:bottom w:val="single" w:sz="4" w:space="0" w:color="auto"/>
                                    <w:right w:val="single" w:sz="4" w:space="0" w:color="auto"/>
                                  </w:tcBorders>
                                </w:tcPr>
                                <w:p w14:paraId="7662D07B" w14:textId="77777777" w:rsidR="008B0834" w:rsidRPr="008809A4" w:rsidRDefault="008B0834" w:rsidP="00F62810">
                                  <w:pPr>
                                    <w:spacing w:line="360" w:lineRule="auto"/>
                                    <w:jc w:val="right"/>
                                    <w:rPr>
                                      <w:rFonts w:cstheme="minorHAnsi"/>
                                      <w:sz w:val="13"/>
                                      <w:szCs w:val="13"/>
                                    </w:rPr>
                                  </w:pPr>
                                </w:p>
                              </w:tc>
                              <w:tc>
                                <w:tcPr>
                                  <w:tcW w:w="0" w:type="auto"/>
                                  <w:tcBorders>
                                    <w:left w:val="single" w:sz="4" w:space="0" w:color="auto"/>
                                    <w:bottom w:val="single" w:sz="4" w:space="0" w:color="auto"/>
                                    <w:right w:val="single" w:sz="4" w:space="0" w:color="auto"/>
                                  </w:tcBorders>
                                </w:tcPr>
                                <w:p w14:paraId="47E50747"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6.0%</w:t>
                                  </w:r>
                                </w:p>
                              </w:tc>
                            </w:tr>
                            <w:tr w:rsidR="008B0834" w:rsidRPr="00EE46E2" w14:paraId="5572527E" w14:textId="77777777" w:rsidTr="00DA5BE3">
                              <w:tc>
                                <w:tcPr>
                                  <w:tcW w:w="0" w:type="auto"/>
                                  <w:tcBorders>
                                    <w:top w:val="single" w:sz="4" w:space="0" w:color="auto"/>
                                  </w:tcBorders>
                                </w:tcPr>
                                <w:p w14:paraId="31FC77BB" w14:textId="77777777" w:rsidR="008B0834" w:rsidRPr="00502167" w:rsidRDefault="008B0834" w:rsidP="00A545D6">
                                  <w:pPr>
                                    <w:rPr>
                                      <w:rFonts w:cstheme="minorHAnsi"/>
                                      <w:sz w:val="9"/>
                                      <w:szCs w:val="13"/>
                                    </w:rPr>
                                  </w:pPr>
                                </w:p>
                              </w:tc>
                              <w:tc>
                                <w:tcPr>
                                  <w:tcW w:w="795" w:type="dxa"/>
                                  <w:tcBorders>
                                    <w:top w:val="single" w:sz="4" w:space="0" w:color="auto"/>
                                  </w:tcBorders>
                                </w:tcPr>
                                <w:p w14:paraId="3D8A0EA2" w14:textId="77777777" w:rsidR="008B0834" w:rsidRPr="00EE46E2" w:rsidRDefault="008B0834" w:rsidP="00A545D6">
                                  <w:pPr>
                                    <w:rPr>
                                      <w:rFonts w:cstheme="minorHAnsi"/>
                                      <w:sz w:val="13"/>
                                      <w:szCs w:val="13"/>
                                    </w:rPr>
                                  </w:pPr>
                                </w:p>
                              </w:tc>
                              <w:tc>
                                <w:tcPr>
                                  <w:tcW w:w="1128" w:type="dxa"/>
                                  <w:tcBorders>
                                    <w:top w:val="single" w:sz="4" w:space="0" w:color="auto"/>
                                  </w:tcBorders>
                                </w:tcPr>
                                <w:p w14:paraId="7460448D" w14:textId="77777777" w:rsidR="008B0834" w:rsidRDefault="008B0834" w:rsidP="00A545D6">
                                  <w:pPr>
                                    <w:rPr>
                                      <w:rFonts w:cstheme="minorHAnsi"/>
                                      <w:sz w:val="13"/>
                                      <w:szCs w:val="13"/>
                                    </w:rPr>
                                  </w:pPr>
                                </w:p>
                                <w:p w14:paraId="2C32BE0D" w14:textId="77777777" w:rsidR="008B0834" w:rsidRPr="00EE46E2" w:rsidRDefault="008B0834" w:rsidP="00A545D6">
                                  <w:pPr>
                                    <w:rPr>
                                      <w:rFonts w:cstheme="minorHAnsi"/>
                                      <w:sz w:val="13"/>
                                      <w:szCs w:val="13"/>
                                    </w:rPr>
                                  </w:pPr>
                                </w:p>
                              </w:tc>
                              <w:tc>
                                <w:tcPr>
                                  <w:tcW w:w="0" w:type="auto"/>
                                  <w:tcBorders>
                                    <w:top w:val="single" w:sz="4" w:space="0" w:color="auto"/>
                                  </w:tcBorders>
                                </w:tcPr>
                                <w:p w14:paraId="31B1B0B2" w14:textId="77777777" w:rsidR="008B0834" w:rsidRPr="00EE46E2" w:rsidRDefault="008B0834" w:rsidP="00A545D6">
                                  <w:pPr>
                                    <w:rPr>
                                      <w:rFonts w:cstheme="minorHAnsi"/>
                                      <w:sz w:val="13"/>
                                      <w:szCs w:val="13"/>
                                    </w:rPr>
                                  </w:pPr>
                                </w:p>
                              </w:tc>
                              <w:tc>
                                <w:tcPr>
                                  <w:tcW w:w="0" w:type="auto"/>
                                </w:tcPr>
                                <w:p w14:paraId="08D46A71" w14:textId="77777777" w:rsidR="008B0834" w:rsidRPr="00EE46E2" w:rsidRDefault="008B0834" w:rsidP="00A545D6">
                                  <w:pPr>
                                    <w:rPr>
                                      <w:rFonts w:cstheme="minorHAnsi"/>
                                      <w:sz w:val="13"/>
                                      <w:szCs w:val="13"/>
                                    </w:rPr>
                                  </w:pPr>
                                </w:p>
                              </w:tc>
                              <w:tc>
                                <w:tcPr>
                                  <w:tcW w:w="0" w:type="auto"/>
                                  <w:tcBorders>
                                    <w:top w:val="single" w:sz="4" w:space="0" w:color="auto"/>
                                  </w:tcBorders>
                                </w:tcPr>
                                <w:p w14:paraId="5804395B" w14:textId="77777777" w:rsidR="008B0834" w:rsidRPr="00EE46E2" w:rsidRDefault="008B0834" w:rsidP="00A545D6">
                                  <w:pPr>
                                    <w:rPr>
                                      <w:rFonts w:cstheme="minorHAnsi"/>
                                      <w:sz w:val="13"/>
                                      <w:szCs w:val="13"/>
                                    </w:rPr>
                                  </w:pPr>
                                </w:p>
                              </w:tc>
                              <w:tc>
                                <w:tcPr>
                                  <w:tcW w:w="0" w:type="auto"/>
                                  <w:tcBorders>
                                    <w:top w:val="single" w:sz="4" w:space="0" w:color="auto"/>
                                  </w:tcBorders>
                                </w:tcPr>
                                <w:p w14:paraId="35193CC3" w14:textId="77777777" w:rsidR="008B0834" w:rsidRPr="00EE46E2" w:rsidRDefault="008B0834" w:rsidP="00A545D6">
                                  <w:pPr>
                                    <w:rPr>
                                      <w:rFonts w:cstheme="minorHAnsi"/>
                                      <w:sz w:val="13"/>
                                      <w:szCs w:val="13"/>
                                    </w:rPr>
                                  </w:pPr>
                                </w:p>
                              </w:tc>
                              <w:tc>
                                <w:tcPr>
                                  <w:tcW w:w="0" w:type="auto"/>
                                  <w:tcBorders>
                                    <w:top w:val="single" w:sz="4" w:space="0" w:color="auto"/>
                                  </w:tcBorders>
                                </w:tcPr>
                                <w:p w14:paraId="243CE37A" w14:textId="77777777" w:rsidR="008B0834" w:rsidRPr="00EE46E2" w:rsidRDefault="008B0834" w:rsidP="00A545D6">
                                  <w:pPr>
                                    <w:rPr>
                                      <w:rFonts w:cstheme="minorHAnsi"/>
                                      <w:sz w:val="13"/>
                                      <w:szCs w:val="13"/>
                                    </w:rPr>
                                  </w:pPr>
                                </w:p>
                              </w:tc>
                              <w:tc>
                                <w:tcPr>
                                  <w:tcW w:w="0" w:type="auto"/>
                                  <w:tcBorders>
                                    <w:top w:val="single" w:sz="4" w:space="0" w:color="auto"/>
                                  </w:tcBorders>
                                </w:tcPr>
                                <w:p w14:paraId="4EEF829B" w14:textId="77777777" w:rsidR="008B0834" w:rsidRPr="00EE46E2" w:rsidRDefault="008B0834" w:rsidP="00A545D6">
                                  <w:pPr>
                                    <w:rPr>
                                      <w:rFonts w:cstheme="minorHAnsi"/>
                                      <w:sz w:val="13"/>
                                      <w:szCs w:val="13"/>
                                    </w:rPr>
                                  </w:pPr>
                                </w:p>
                              </w:tc>
                            </w:tr>
                            <w:tr w:rsidR="008B0834" w:rsidRPr="00EE46E2" w14:paraId="4848311F" w14:textId="77777777" w:rsidTr="00DA5BE3">
                              <w:tc>
                                <w:tcPr>
                                  <w:tcW w:w="0" w:type="auto"/>
                                  <w:gridSpan w:val="4"/>
                                  <w:tcBorders>
                                    <w:top w:val="single" w:sz="4" w:space="0" w:color="auto"/>
                                    <w:left w:val="single" w:sz="4" w:space="0" w:color="auto"/>
                                    <w:bottom w:val="single" w:sz="4" w:space="0" w:color="auto"/>
                                    <w:right w:val="single" w:sz="4" w:space="0" w:color="auto"/>
                                  </w:tcBorders>
                                  <w:shd w:val="clear" w:color="auto" w:fill="FFCB97"/>
                                </w:tcPr>
                                <w:p w14:paraId="1DD391FA" w14:textId="77777777" w:rsidR="008B0834" w:rsidRPr="00EE46E2" w:rsidRDefault="008B0834" w:rsidP="00A545D6">
                                  <w:pPr>
                                    <w:spacing w:line="360" w:lineRule="auto"/>
                                    <w:rPr>
                                      <w:rFonts w:cstheme="minorHAnsi"/>
                                      <w:b/>
                                      <w:sz w:val="13"/>
                                      <w:szCs w:val="13"/>
                                    </w:rPr>
                                  </w:pPr>
                                  <w:r w:rsidRPr="00904A09">
                                    <w:rPr>
                                      <w:rFonts w:cstheme="minorHAnsi"/>
                                      <w:b/>
                                      <w:color w:val="002060"/>
                                      <w:sz w:val="14"/>
                                      <w:szCs w:val="14"/>
                                    </w:rPr>
                                    <w:t>PERTH METROPOLITAN AREA</w:t>
                                  </w:r>
                                </w:p>
                              </w:tc>
                              <w:tc>
                                <w:tcPr>
                                  <w:tcW w:w="0" w:type="auto"/>
                                  <w:tcBorders>
                                    <w:right w:val="single" w:sz="4" w:space="0" w:color="auto"/>
                                  </w:tcBorders>
                                </w:tcPr>
                                <w:p w14:paraId="5893F45E" w14:textId="77777777" w:rsidR="008B0834" w:rsidRPr="00EE46E2" w:rsidRDefault="008B0834" w:rsidP="00A545D6">
                                  <w:pPr>
                                    <w:rPr>
                                      <w:rFonts w:cstheme="minorHAnsi"/>
                                      <w:sz w:val="13"/>
                                      <w:szCs w:val="13"/>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B4DAF7" w:themeFill="accent5" w:themeFillTint="66"/>
                                </w:tcPr>
                                <w:p w14:paraId="3F129E1A" w14:textId="77777777" w:rsidR="008B0834" w:rsidRPr="00EE46E2" w:rsidRDefault="008B0834" w:rsidP="00A545D6">
                                  <w:pPr>
                                    <w:spacing w:line="360" w:lineRule="auto"/>
                                    <w:rPr>
                                      <w:rFonts w:cstheme="minorHAnsi"/>
                                      <w:b/>
                                      <w:sz w:val="13"/>
                                      <w:szCs w:val="13"/>
                                    </w:rPr>
                                  </w:pPr>
                                  <w:r w:rsidRPr="00904A09">
                                    <w:rPr>
                                      <w:rFonts w:cstheme="minorHAnsi"/>
                                      <w:b/>
                                      <w:color w:val="002060"/>
                                      <w:sz w:val="14"/>
                                      <w:szCs w:val="14"/>
                                    </w:rPr>
                                    <w:t>WHEATBELT</w:t>
                                  </w:r>
                                </w:p>
                              </w:tc>
                            </w:tr>
                            <w:tr w:rsidR="008B0834" w:rsidRPr="00EE46E2" w14:paraId="01A7CFC1" w14:textId="77777777" w:rsidTr="00DA5BE3">
                              <w:tc>
                                <w:tcPr>
                                  <w:tcW w:w="0" w:type="auto"/>
                                  <w:tcBorders>
                                    <w:top w:val="single" w:sz="4" w:space="0" w:color="auto"/>
                                    <w:left w:val="single" w:sz="4" w:space="0" w:color="auto"/>
                                    <w:right w:val="single" w:sz="4" w:space="0" w:color="auto"/>
                                  </w:tcBorders>
                                </w:tcPr>
                                <w:p w14:paraId="14915EC3" w14:textId="77777777" w:rsidR="008B0834" w:rsidRPr="0028659E" w:rsidRDefault="008B0834" w:rsidP="00A545D6">
                                  <w:pPr>
                                    <w:spacing w:line="360" w:lineRule="auto"/>
                                    <w:rPr>
                                      <w:rFonts w:cstheme="minorHAnsi"/>
                                      <w:color w:val="0070C0"/>
                                      <w:sz w:val="13"/>
                                      <w:szCs w:val="13"/>
                                    </w:rPr>
                                  </w:pPr>
                                </w:p>
                              </w:tc>
                              <w:tc>
                                <w:tcPr>
                                  <w:tcW w:w="795" w:type="dxa"/>
                                  <w:tcBorders>
                                    <w:top w:val="single" w:sz="4" w:space="0" w:color="auto"/>
                                    <w:left w:val="single" w:sz="4" w:space="0" w:color="auto"/>
                                    <w:right w:val="single" w:sz="4" w:space="0" w:color="auto"/>
                                  </w:tcBorders>
                                </w:tcPr>
                                <w:p w14:paraId="27ED12EB"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Figure</w:t>
                                  </w:r>
                                </w:p>
                              </w:tc>
                              <w:tc>
                                <w:tcPr>
                                  <w:tcW w:w="1128" w:type="dxa"/>
                                  <w:tcBorders>
                                    <w:top w:val="single" w:sz="4" w:space="0" w:color="auto"/>
                                    <w:left w:val="single" w:sz="4" w:space="0" w:color="auto"/>
                                    <w:right w:val="single" w:sz="4" w:space="0" w:color="auto"/>
                                  </w:tcBorders>
                                </w:tcPr>
                                <w:p w14:paraId="4CFB7E10"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67200A98"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WA share</w:t>
                                  </w:r>
                                </w:p>
                              </w:tc>
                              <w:tc>
                                <w:tcPr>
                                  <w:tcW w:w="0" w:type="auto"/>
                                  <w:tcBorders>
                                    <w:right w:val="single" w:sz="4" w:space="0" w:color="auto"/>
                                  </w:tcBorders>
                                </w:tcPr>
                                <w:p w14:paraId="534360CE" w14:textId="77777777" w:rsidR="008B0834" w:rsidRPr="00EE46E2" w:rsidRDefault="008B0834" w:rsidP="00A545D6">
                                  <w:pPr>
                                    <w:rPr>
                                      <w:rFonts w:cstheme="minorHAnsi"/>
                                      <w:sz w:val="13"/>
                                      <w:szCs w:val="13"/>
                                    </w:rPr>
                                  </w:pPr>
                                </w:p>
                              </w:tc>
                              <w:tc>
                                <w:tcPr>
                                  <w:tcW w:w="0" w:type="auto"/>
                                  <w:tcBorders>
                                    <w:top w:val="single" w:sz="4" w:space="0" w:color="auto"/>
                                    <w:left w:val="single" w:sz="4" w:space="0" w:color="auto"/>
                                    <w:right w:val="single" w:sz="4" w:space="0" w:color="auto"/>
                                  </w:tcBorders>
                                </w:tcPr>
                                <w:p w14:paraId="5AE594C7" w14:textId="77777777" w:rsidR="008B0834" w:rsidRPr="00EE46E2" w:rsidRDefault="008B0834" w:rsidP="00A545D6">
                                  <w:pPr>
                                    <w:spacing w:line="360" w:lineRule="auto"/>
                                    <w:rPr>
                                      <w:rFonts w:cstheme="minorHAnsi"/>
                                      <w:sz w:val="13"/>
                                      <w:szCs w:val="13"/>
                                    </w:rPr>
                                  </w:pPr>
                                </w:p>
                              </w:tc>
                              <w:tc>
                                <w:tcPr>
                                  <w:tcW w:w="0" w:type="auto"/>
                                  <w:tcBorders>
                                    <w:top w:val="single" w:sz="4" w:space="0" w:color="auto"/>
                                    <w:left w:val="single" w:sz="4" w:space="0" w:color="auto"/>
                                    <w:right w:val="single" w:sz="4" w:space="0" w:color="auto"/>
                                  </w:tcBorders>
                                </w:tcPr>
                                <w:p w14:paraId="34897D3F"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Figure</w:t>
                                  </w:r>
                                </w:p>
                              </w:tc>
                              <w:tc>
                                <w:tcPr>
                                  <w:tcW w:w="0" w:type="auto"/>
                                  <w:tcBorders>
                                    <w:top w:val="single" w:sz="4" w:space="0" w:color="auto"/>
                                    <w:left w:val="single" w:sz="4" w:space="0" w:color="auto"/>
                                    <w:right w:val="single" w:sz="4" w:space="0" w:color="auto"/>
                                  </w:tcBorders>
                                </w:tcPr>
                                <w:p w14:paraId="1996A365"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4307146F"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WA share</w:t>
                                  </w:r>
                                </w:p>
                              </w:tc>
                            </w:tr>
                            <w:tr w:rsidR="008B0834" w:rsidRPr="00EE46E2" w14:paraId="41F00AAA" w14:textId="77777777" w:rsidTr="00DA5BE3">
                              <w:tc>
                                <w:tcPr>
                                  <w:tcW w:w="0" w:type="auto"/>
                                  <w:tcBorders>
                                    <w:left w:val="single" w:sz="4" w:space="0" w:color="auto"/>
                                    <w:right w:val="single" w:sz="4" w:space="0" w:color="auto"/>
                                  </w:tcBorders>
                                </w:tcPr>
                                <w:p w14:paraId="1DD9C208" w14:textId="77777777" w:rsidR="008B0834" w:rsidRPr="008809A4" w:rsidRDefault="008B0834" w:rsidP="00F62810">
                                  <w:pPr>
                                    <w:spacing w:line="360" w:lineRule="auto"/>
                                    <w:rPr>
                                      <w:rFonts w:cstheme="minorHAnsi"/>
                                      <w:sz w:val="13"/>
                                      <w:szCs w:val="13"/>
                                    </w:rPr>
                                  </w:pPr>
                                  <w:r w:rsidRPr="008809A4">
                                    <w:rPr>
                                      <w:rFonts w:cstheme="minorHAnsi"/>
                                      <w:sz w:val="13"/>
                                      <w:szCs w:val="13"/>
                                    </w:rPr>
                                    <w:t>Gross regional product: 2021-22</w:t>
                                  </w:r>
                                </w:p>
                              </w:tc>
                              <w:tc>
                                <w:tcPr>
                                  <w:tcW w:w="795" w:type="dxa"/>
                                  <w:tcBorders>
                                    <w:left w:val="single" w:sz="4" w:space="0" w:color="auto"/>
                                    <w:right w:val="single" w:sz="4" w:space="0" w:color="auto"/>
                                  </w:tcBorders>
                                </w:tcPr>
                                <w:p w14:paraId="45F5791C"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$263.5b</w:t>
                                  </w:r>
                                </w:p>
                              </w:tc>
                              <w:tc>
                                <w:tcPr>
                                  <w:tcW w:w="1128" w:type="dxa"/>
                                  <w:tcBorders>
                                    <w:left w:val="single" w:sz="4" w:space="0" w:color="auto"/>
                                    <w:right w:val="single" w:sz="4" w:space="0" w:color="auto"/>
                                  </w:tcBorders>
                                </w:tcPr>
                                <w:p w14:paraId="75340218"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+14.3%</w:t>
                                  </w:r>
                                </w:p>
                              </w:tc>
                              <w:tc>
                                <w:tcPr>
                                  <w:tcW w:w="0" w:type="auto"/>
                                  <w:tcBorders>
                                    <w:left w:val="single" w:sz="4" w:space="0" w:color="auto"/>
                                    <w:right w:val="single" w:sz="4" w:space="0" w:color="auto"/>
                                  </w:tcBorders>
                                </w:tcPr>
                                <w:p w14:paraId="67414FD9"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65.2%</w:t>
                                  </w:r>
                                </w:p>
                              </w:tc>
                              <w:tc>
                                <w:tcPr>
                                  <w:tcW w:w="0" w:type="auto"/>
                                  <w:tcBorders>
                                    <w:right w:val="single" w:sz="4" w:space="0" w:color="auto"/>
                                  </w:tcBorders>
                                </w:tcPr>
                                <w:p w14:paraId="4FA11EDC" w14:textId="77777777" w:rsidR="008B0834" w:rsidRPr="00056E99" w:rsidRDefault="008B0834" w:rsidP="00F62810">
                                  <w:pPr>
                                    <w:rPr>
                                      <w:rFonts w:cstheme="minorHAnsi"/>
                                      <w:color w:val="0070C0"/>
                                      <w:sz w:val="13"/>
                                      <w:szCs w:val="13"/>
                                    </w:rPr>
                                  </w:pPr>
                                </w:p>
                              </w:tc>
                              <w:tc>
                                <w:tcPr>
                                  <w:tcW w:w="0" w:type="auto"/>
                                  <w:tcBorders>
                                    <w:left w:val="single" w:sz="4" w:space="0" w:color="auto"/>
                                    <w:right w:val="single" w:sz="4" w:space="0" w:color="auto"/>
                                  </w:tcBorders>
                                </w:tcPr>
                                <w:p w14:paraId="7329AE64" w14:textId="77777777" w:rsidR="008B0834" w:rsidRPr="008809A4" w:rsidRDefault="008B0834" w:rsidP="00F62810">
                                  <w:pPr>
                                    <w:spacing w:line="360" w:lineRule="auto"/>
                                    <w:rPr>
                                      <w:rFonts w:cstheme="minorHAnsi"/>
                                      <w:sz w:val="13"/>
                                      <w:szCs w:val="13"/>
                                    </w:rPr>
                                  </w:pPr>
                                  <w:r w:rsidRPr="008809A4">
                                    <w:rPr>
                                      <w:rFonts w:cstheme="minorHAnsi"/>
                                      <w:sz w:val="13"/>
                                      <w:szCs w:val="13"/>
                                    </w:rPr>
                                    <w:t>Gross regional product: 2021-22</w:t>
                                  </w:r>
                                </w:p>
                              </w:tc>
                              <w:tc>
                                <w:tcPr>
                                  <w:tcW w:w="0" w:type="auto"/>
                                  <w:tcBorders>
                                    <w:left w:val="single" w:sz="4" w:space="0" w:color="auto"/>
                                    <w:right w:val="single" w:sz="4" w:space="0" w:color="auto"/>
                                  </w:tcBorders>
                                </w:tcPr>
                                <w:p w14:paraId="211435AE"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$7.7b</w:t>
                                  </w:r>
                                </w:p>
                              </w:tc>
                              <w:tc>
                                <w:tcPr>
                                  <w:tcW w:w="0" w:type="auto"/>
                                  <w:tcBorders>
                                    <w:left w:val="single" w:sz="4" w:space="0" w:color="auto"/>
                                    <w:right w:val="single" w:sz="4" w:space="0" w:color="auto"/>
                                  </w:tcBorders>
                                </w:tcPr>
                                <w:p w14:paraId="1F5C17B9"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+0.1%</w:t>
                                  </w:r>
                                </w:p>
                              </w:tc>
                              <w:tc>
                                <w:tcPr>
                                  <w:tcW w:w="0" w:type="auto"/>
                                  <w:tcBorders>
                                    <w:left w:val="single" w:sz="4" w:space="0" w:color="auto"/>
                                    <w:right w:val="single" w:sz="4" w:space="0" w:color="auto"/>
                                  </w:tcBorders>
                                </w:tcPr>
                                <w:p w14:paraId="2B06E0EF"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1.9%</w:t>
                                  </w:r>
                                </w:p>
                              </w:tc>
                            </w:tr>
                            <w:tr w:rsidR="008B0834" w:rsidRPr="00EE46E2" w14:paraId="1D270891" w14:textId="77777777" w:rsidTr="00DA5BE3">
                              <w:tc>
                                <w:tcPr>
                                  <w:tcW w:w="0" w:type="auto"/>
                                  <w:tcBorders>
                                    <w:left w:val="single" w:sz="4" w:space="0" w:color="auto"/>
                                    <w:right w:val="single" w:sz="4" w:space="0" w:color="auto"/>
                                  </w:tcBorders>
                                </w:tcPr>
                                <w:p w14:paraId="30D5ED6E" w14:textId="77777777" w:rsidR="008B0834" w:rsidRPr="008809A4" w:rsidRDefault="008B0834" w:rsidP="004E6BAE">
                                  <w:pPr>
                                    <w:spacing w:line="360" w:lineRule="auto"/>
                                    <w:rPr>
                                      <w:rFonts w:cstheme="minorHAnsi"/>
                                      <w:sz w:val="13"/>
                                      <w:szCs w:val="13"/>
                                    </w:rPr>
                                  </w:pPr>
                                  <w:r w:rsidRPr="008809A4">
                                    <w:rPr>
                                      <w:rFonts w:cstheme="minorHAnsi"/>
                                      <w:sz w:val="13"/>
                                      <w:szCs w:val="13"/>
                                    </w:rPr>
                                    <w:t>Population: 2021-22</w:t>
                                  </w:r>
                                </w:p>
                              </w:tc>
                              <w:tc>
                                <w:tcPr>
                                  <w:tcW w:w="795" w:type="dxa"/>
                                  <w:tcBorders>
                                    <w:left w:val="single" w:sz="4" w:space="0" w:color="auto"/>
                                    <w:right w:val="single" w:sz="4" w:space="0" w:color="auto"/>
                                  </w:tcBorders>
                                </w:tcPr>
                                <w:p w14:paraId="1A026E5A"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2,075,784</w:t>
                                  </w:r>
                                </w:p>
                              </w:tc>
                              <w:tc>
                                <w:tcPr>
                                  <w:tcW w:w="1128" w:type="dxa"/>
                                  <w:tcBorders>
                                    <w:left w:val="single" w:sz="4" w:space="0" w:color="auto"/>
                                    <w:right w:val="single" w:sz="4" w:space="0" w:color="auto"/>
                                  </w:tcBorders>
                                </w:tcPr>
                                <w:p w14:paraId="6A5040EB"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+1.4%</w:t>
                                  </w:r>
                                </w:p>
                              </w:tc>
                              <w:tc>
                                <w:tcPr>
                                  <w:tcW w:w="0" w:type="auto"/>
                                  <w:tcBorders>
                                    <w:left w:val="single" w:sz="4" w:space="0" w:color="auto"/>
                                    <w:right w:val="single" w:sz="4" w:space="0" w:color="auto"/>
                                  </w:tcBorders>
                                </w:tcPr>
                                <w:p w14:paraId="23D7697D"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74.5%</w:t>
                                  </w:r>
                                </w:p>
                              </w:tc>
                              <w:tc>
                                <w:tcPr>
                                  <w:tcW w:w="0" w:type="auto"/>
                                  <w:tcBorders>
                                    <w:right w:val="single" w:sz="4" w:space="0" w:color="auto"/>
                                  </w:tcBorders>
                                </w:tcPr>
                                <w:p w14:paraId="19F6AC64" w14:textId="77777777" w:rsidR="008B0834" w:rsidRPr="00EE46E2" w:rsidRDefault="008B0834" w:rsidP="00F62810">
                                  <w:pPr>
                                    <w:rPr>
                                      <w:rFonts w:cstheme="minorHAnsi"/>
                                      <w:sz w:val="13"/>
                                      <w:szCs w:val="13"/>
                                    </w:rPr>
                                  </w:pPr>
                                </w:p>
                              </w:tc>
                              <w:tc>
                                <w:tcPr>
                                  <w:tcW w:w="0" w:type="auto"/>
                                  <w:tcBorders>
                                    <w:left w:val="single" w:sz="4" w:space="0" w:color="auto"/>
                                    <w:right w:val="single" w:sz="4" w:space="0" w:color="auto"/>
                                  </w:tcBorders>
                                </w:tcPr>
                                <w:p w14:paraId="274032D9" w14:textId="77777777" w:rsidR="008B0834" w:rsidRPr="008809A4" w:rsidRDefault="008B0834" w:rsidP="00F62810">
                                  <w:pPr>
                                    <w:spacing w:line="360" w:lineRule="auto"/>
                                    <w:rPr>
                                      <w:rFonts w:cstheme="minorHAnsi"/>
                                      <w:sz w:val="13"/>
                                      <w:szCs w:val="13"/>
                                    </w:rPr>
                                  </w:pPr>
                                  <w:r w:rsidRPr="008809A4">
                                    <w:rPr>
                                      <w:rFonts w:cstheme="minorHAnsi"/>
                                      <w:sz w:val="13"/>
                                      <w:szCs w:val="13"/>
                                    </w:rPr>
                                    <w:t>Population: 2021-22</w:t>
                                  </w:r>
                                </w:p>
                              </w:tc>
                              <w:tc>
                                <w:tcPr>
                                  <w:tcW w:w="0" w:type="auto"/>
                                  <w:tcBorders>
                                    <w:left w:val="single" w:sz="4" w:space="0" w:color="auto"/>
                                    <w:right w:val="single" w:sz="4" w:space="0" w:color="auto"/>
                                  </w:tcBorders>
                                </w:tcPr>
                                <w:p w14:paraId="64EB8359"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75,863</w:t>
                                  </w:r>
                                </w:p>
                              </w:tc>
                              <w:tc>
                                <w:tcPr>
                                  <w:tcW w:w="0" w:type="auto"/>
                                  <w:tcBorders>
                                    <w:left w:val="single" w:sz="4" w:space="0" w:color="auto"/>
                                    <w:right w:val="single" w:sz="4" w:space="0" w:color="auto"/>
                                  </w:tcBorders>
                                </w:tcPr>
                                <w:p w14:paraId="3A1AE957"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+0.8%</w:t>
                                  </w:r>
                                </w:p>
                              </w:tc>
                              <w:tc>
                                <w:tcPr>
                                  <w:tcW w:w="0" w:type="auto"/>
                                  <w:tcBorders>
                                    <w:left w:val="single" w:sz="4" w:space="0" w:color="auto"/>
                                    <w:right w:val="single" w:sz="4" w:space="0" w:color="auto"/>
                                  </w:tcBorders>
                                </w:tcPr>
                                <w:p w14:paraId="357679AF"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2.7%</w:t>
                                  </w:r>
                                </w:p>
                              </w:tc>
                            </w:tr>
                            <w:tr w:rsidR="008B0834" w:rsidRPr="00EE46E2" w14:paraId="3D08BB53" w14:textId="77777777" w:rsidTr="00DA5BE3">
                              <w:tc>
                                <w:tcPr>
                                  <w:tcW w:w="0" w:type="auto"/>
                                  <w:tcBorders>
                                    <w:left w:val="single" w:sz="4" w:space="0" w:color="auto"/>
                                    <w:right w:val="single" w:sz="4" w:space="0" w:color="auto"/>
                                  </w:tcBorders>
                                </w:tcPr>
                                <w:p w14:paraId="7D805BEB" w14:textId="77777777" w:rsidR="008B0834" w:rsidRPr="00351552" w:rsidRDefault="008B0834" w:rsidP="000A2E4E">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795" w:type="dxa"/>
                                  <w:tcBorders>
                                    <w:left w:val="single" w:sz="4" w:space="0" w:color="auto"/>
                                    <w:right w:val="single" w:sz="4" w:space="0" w:color="auto"/>
                                  </w:tcBorders>
                                </w:tcPr>
                                <w:p w14:paraId="40533DE2"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1,155,264</w:t>
                                  </w:r>
                                </w:p>
                              </w:tc>
                              <w:tc>
                                <w:tcPr>
                                  <w:tcW w:w="1128" w:type="dxa"/>
                                  <w:tcBorders>
                                    <w:left w:val="single" w:sz="4" w:space="0" w:color="auto"/>
                                    <w:right w:val="single" w:sz="4" w:space="0" w:color="auto"/>
                                  </w:tcBorders>
                                </w:tcPr>
                                <w:p w14:paraId="5479D626" w14:textId="77777777" w:rsidR="008B0834" w:rsidRPr="00351552" w:rsidRDefault="008B0834" w:rsidP="003C2249">
                                  <w:pPr>
                                    <w:spacing w:line="360" w:lineRule="auto"/>
                                    <w:jc w:val="right"/>
                                    <w:rPr>
                                      <w:rFonts w:cstheme="minorHAnsi"/>
                                      <w:color w:val="000000" w:themeColor="text1"/>
                                      <w:sz w:val="13"/>
                                      <w:szCs w:val="13"/>
                                    </w:rPr>
                                  </w:pPr>
                                  <w:r w:rsidRPr="00351552">
                                    <w:rPr>
                                      <w:rFonts w:cstheme="minorHAnsi"/>
                                      <w:color w:val="000000" w:themeColor="text1"/>
                                      <w:sz w:val="13"/>
                                      <w:szCs w:val="13"/>
                                    </w:rPr>
                                    <w:t>+2.4%</w:t>
                                  </w:r>
                                </w:p>
                              </w:tc>
                              <w:tc>
                                <w:tcPr>
                                  <w:tcW w:w="0" w:type="auto"/>
                                  <w:tcBorders>
                                    <w:left w:val="single" w:sz="4" w:space="0" w:color="auto"/>
                                    <w:right w:val="single" w:sz="4" w:space="0" w:color="auto"/>
                                  </w:tcBorders>
                                </w:tcPr>
                                <w:p w14:paraId="611961D8"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75.6%</w:t>
                                  </w:r>
                                </w:p>
                              </w:tc>
                              <w:tc>
                                <w:tcPr>
                                  <w:tcW w:w="0" w:type="auto"/>
                                  <w:tcBorders>
                                    <w:right w:val="single" w:sz="4" w:space="0" w:color="auto"/>
                                  </w:tcBorders>
                                </w:tcPr>
                                <w:p w14:paraId="25CB86D8" w14:textId="77777777" w:rsidR="008B0834" w:rsidRPr="00EE46E2" w:rsidRDefault="008B0834" w:rsidP="00147B8C">
                                  <w:pPr>
                                    <w:rPr>
                                      <w:rFonts w:cstheme="minorHAnsi"/>
                                      <w:sz w:val="13"/>
                                      <w:szCs w:val="13"/>
                                    </w:rPr>
                                  </w:pPr>
                                </w:p>
                              </w:tc>
                              <w:tc>
                                <w:tcPr>
                                  <w:tcW w:w="0" w:type="auto"/>
                                  <w:tcBorders>
                                    <w:left w:val="single" w:sz="4" w:space="0" w:color="auto"/>
                                    <w:right w:val="single" w:sz="4" w:space="0" w:color="auto"/>
                                  </w:tcBorders>
                                </w:tcPr>
                                <w:p w14:paraId="0C00CB1D" w14:textId="77777777" w:rsidR="008B0834" w:rsidRPr="00351552" w:rsidRDefault="008B0834" w:rsidP="00365964">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0" w:type="auto"/>
                                  <w:tcBorders>
                                    <w:left w:val="single" w:sz="4" w:space="0" w:color="auto"/>
                                    <w:right w:val="single" w:sz="4" w:space="0" w:color="auto"/>
                                  </w:tcBorders>
                                </w:tcPr>
                                <w:p w14:paraId="157CC552"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40,885</w:t>
                                  </w:r>
                                </w:p>
                              </w:tc>
                              <w:tc>
                                <w:tcPr>
                                  <w:tcW w:w="0" w:type="auto"/>
                                  <w:tcBorders>
                                    <w:left w:val="single" w:sz="4" w:space="0" w:color="auto"/>
                                    <w:right w:val="single" w:sz="4" w:space="0" w:color="auto"/>
                                  </w:tcBorders>
                                </w:tcPr>
                                <w:p w14:paraId="6EAA8D97"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+5.8%</w:t>
                                  </w:r>
                                </w:p>
                              </w:tc>
                              <w:tc>
                                <w:tcPr>
                                  <w:tcW w:w="0" w:type="auto"/>
                                  <w:tcBorders>
                                    <w:left w:val="single" w:sz="4" w:space="0" w:color="auto"/>
                                    <w:right w:val="single" w:sz="4" w:space="0" w:color="auto"/>
                                  </w:tcBorders>
                                </w:tcPr>
                                <w:p w14:paraId="2006B98B"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2.7%</w:t>
                                  </w:r>
                                </w:p>
                              </w:tc>
                            </w:tr>
                            <w:tr w:rsidR="008B0834" w:rsidRPr="00EE46E2" w14:paraId="4D6DC4D0" w14:textId="77777777" w:rsidTr="00DA5BE3">
                              <w:tc>
                                <w:tcPr>
                                  <w:tcW w:w="0" w:type="auto"/>
                                  <w:tcBorders>
                                    <w:left w:val="single" w:sz="4" w:space="0" w:color="auto"/>
                                    <w:right w:val="single" w:sz="4" w:space="0" w:color="auto"/>
                                  </w:tcBorders>
                                </w:tcPr>
                                <w:p w14:paraId="130730FA" w14:textId="77777777" w:rsidR="008B0834" w:rsidRPr="00351552" w:rsidRDefault="008B0834" w:rsidP="000A2E4E">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795" w:type="dxa"/>
                                  <w:tcBorders>
                                    <w:left w:val="single" w:sz="4" w:space="0" w:color="auto"/>
                                    <w:right w:val="single" w:sz="4" w:space="0" w:color="auto"/>
                                  </w:tcBorders>
                                </w:tcPr>
                                <w:p w14:paraId="15EEA7C9"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3.6%</w:t>
                                  </w:r>
                                </w:p>
                              </w:tc>
                              <w:tc>
                                <w:tcPr>
                                  <w:tcW w:w="1128" w:type="dxa"/>
                                  <w:tcBorders>
                                    <w:left w:val="single" w:sz="4" w:space="0" w:color="auto"/>
                                    <w:right w:val="single" w:sz="4" w:space="0" w:color="auto"/>
                                  </w:tcBorders>
                                </w:tcPr>
                                <w:p w14:paraId="7FA79000"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-0.2pp</w:t>
                                  </w:r>
                                </w:p>
                              </w:tc>
                              <w:tc>
                                <w:tcPr>
                                  <w:tcW w:w="0" w:type="auto"/>
                                  <w:tcBorders>
                                    <w:left w:val="single" w:sz="4" w:space="0" w:color="auto"/>
                                    <w:right w:val="single" w:sz="4" w:space="0" w:color="auto"/>
                                  </w:tcBorders>
                                </w:tcPr>
                                <w:p w14:paraId="5A4C42DD" w14:textId="77777777" w:rsidR="008B0834" w:rsidRPr="00351552" w:rsidRDefault="008B0834" w:rsidP="00147B8C">
                                  <w:pPr>
                                    <w:spacing w:line="360" w:lineRule="auto"/>
                                    <w:jc w:val="right"/>
                                    <w:rPr>
                                      <w:rFonts w:cstheme="minorHAnsi"/>
                                      <w:color w:val="000000" w:themeColor="text1"/>
                                      <w:sz w:val="13"/>
                                      <w:szCs w:val="13"/>
                                    </w:rPr>
                                  </w:pPr>
                                </w:p>
                              </w:tc>
                              <w:tc>
                                <w:tcPr>
                                  <w:tcW w:w="0" w:type="auto"/>
                                  <w:tcBorders>
                                    <w:right w:val="single" w:sz="4" w:space="0" w:color="auto"/>
                                  </w:tcBorders>
                                </w:tcPr>
                                <w:p w14:paraId="3AAE03A8" w14:textId="77777777" w:rsidR="008B0834" w:rsidRPr="00EE46E2" w:rsidRDefault="008B0834" w:rsidP="00147B8C">
                                  <w:pPr>
                                    <w:rPr>
                                      <w:rFonts w:cstheme="minorHAnsi"/>
                                      <w:sz w:val="13"/>
                                      <w:szCs w:val="13"/>
                                    </w:rPr>
                                  </w:pPr>
                                </w:p>
                              </w:tc>
                              <w:tc>
                                <w:tcPr>
                                  <w:tcW w:w="0" w:type="auto"/>
                                  <w:tcBorders>
                                    <w:left w:val="single" w:sz="4" w:space="0" w:color="auto"/>
                                    <w:right w:val="single" w:sz="4" w:space="0" w:color="auto"/>
                                  </w:tcBorders>
                                </w:tcPr>
                                <w:p w14:paraId="40CF2909" w14:textId="77777777" w:rsidR="008B0834" w:rsidRPr="00351552" w:rsidRDefault="008B0834" w:rsidP="00365964">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0" w:type="auto"/>
                                  <w:tcBorders>
                                    <w:left w:val="single" w:sz="4" w:space="0" w:color="auto"/>
                                    <w:right w:val="single" w:sz="4" w:space="0" w:color="auto"/>
                                  </w:tcBorders>
                                </w:tcPr>
                                <w:p w14:paraId="66661269" w14:textId="77777777" w:rsidR="008B0834" w:rsidRPr="00351552" w:rsidRDefault="008B0834" w:rsidP="003C2249">
                                  <w:pPr>
                                    <w:spacing w:line="360" w:lineRule="auto"/>
                                    <w:jc w:val="right"/>
                                    <w:rPr>
                                      <w:rFonts w:cstheme="minorHAnsi"/>
                                      <w:color w:val="000000" w:themeColor="text1"/>
                                      <w:sz w:val="13"/>
                                      <w:szCs w:val="13"/>
                                    </w:rPr>
                                  </w:pPr>
                                  <w:r w:rsidRPr="00351552">
                                    <w:rPr>
                                      <w:rFonts w:cstheme="minorHAnsi"/>
                                      <w:color w:val="000000" w:themeColor="text1"/>
                                      <w:sz w:val="13"/>
                                      <w:szCs w:val="13"/>
                                    </w:rPr>
                                    <w:t>2.5%</w:t>
                                  </w:r>
                                </w:p>
                              </w:tc>
                              <w:tc>
                                <w:tcPr>
                                  <w:tcW w:w="0" w:type="auto"/>
                                  <w:tcBorders>
                                    <w:left w:val="single" w:sz="4" w:space="0" w:color="auto"/>
                                    <w:right w:val="single" w:sz="4" w:space="0" w:color="auto"/>
                                  </w:tcBorders>
                                </w:tcPr>
                                <w:p w14:paraId="74DD45AB" w14:textId="77777777" w:rsidR="008B0834" w:rsidRPr="00351552" w:rsidRDefault="008B0834" w:rsidP="005237CF">
                                  <w:pPr>
                                    <w:spacing w:line="360" w:lineRule="auto"/>
                                    <w:jc w:val="right"/>
                                    <w:rPr>
                                      <w:rFonts w:cstheme="minorHAnsi"/>
                                      <w:color w:val="000000" w:themeColor="text1"/>
                                      <w:sz w:val="13"/>
                                      <w:szCs w:val="13"/>
                                    </w:rPr>
                                  </w:pPr>
                                  <w:r w:rsidRPr="00351552">
                                    <w:rPr>
                                      <w:rFonts w:cstheme="minorHAnsi"/>
                                      <w:color w:val="000000" w:themeColor="text1"/>
                                      <w:sz w:val="13"/>
                                      <w:szCs w:val="13"/>
                                    </w:rPr>
                                    <w:t>-1.1 pp</w:t>
                                  </w:r>
                                </w:p>
                              </w:tc>
                              <w:tc>
                                <w:tcPr>
                                  <w:tcW w:w="0" w:type="auto"/>
                                  <w:tcBorders>
                                    <w:left w:val="single" w:sz="4" w:space="0" w:color="auto"/>
                                    <w:right w:val="single" w:sz="4" w:space="0" w:color="auto"/>
                                  </w:tcBorders>
                                </w:tcPr>
                                <w:p w14:paraId="67C6B72A" w14:textId="77777777" w:rsidR="008B0834" w:rsidRPr="00351552" w:rsidRDefault="008B0834" w:rsidP="00147B8C">
                                  <w:pPr>
                                    <w:spacing w:line="360" w:lineRule="auto"/>
                                    <w:jc w:val="right"/>
                                    <w:rPr>
                                      <w:rFonts w:cstheme="minorHAnsi"/>
                                      <w:color w:val="000000" w:themeColor="text1"/>
                                      <w:sz w:val="13"/>
                                      <w:szCs w:val="13"/>
                                    </w:rPr>
                                  </w:pPr>
                                </w:p>
                              </w:tc>
                            </w:tr>
                            <w:tr w:rsidR="008B0834" w:rsidRPr="00DE6518" w14:paraId="5A5EBA0C" w14:textId="77777777" w:rsidTr="00DA5BE3">
                              <w:tc>
                                <w:tcPr>
                                  <w:tcW w:w="0" w:type="auto"/>
                                  <w:tcBorders>
                                    <w:left w:val="single" w:sz="4" w:space="0" w:color="auto"/>
                                    <w:right w:val="single" w:sz="4" w:space="0" w:color="auto"/>
                                  </w:tcBorders>
                                </w:tcPr>
                                <w:p w14:paraId="07243163"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2"/>
                                      <w:szCs w:val="12"/>
                                    </w:rPr>
                                    <w:t>Minerals &amp; petroleum sales: 2022-23</w:t>
                                  </w:r>
                                </w:p>
                              </w:tc>
                              <w:tc>
                                <w:tcPr>
                                  <w:tcW w:w="795" w:type="dxa"/>
                                  <w:tcBorders>
                                    <w:left w:val="single" w:sz="4" w:space="0" w:color="auto"/>
                                    <w:right w:val="single" w:sz="4" w:space="0" w:color="auto"/>
                                  </w:tcBorders>
                                </w:tcPr>
                                <w:p w14:paraId="128763EE"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$57.0m</w:t>
                                  </w:r>
                                </w:p>
                              </w:tc>
                              <w:tc>
                                <w:tcPr>
                                  <w:tcW w:w="1128" w:type="dxa"/>
                                  <w:tcBorders>
                                    <w:left w:val="single" w:sz="4" w:space="0" w:color="auto"/>
                                    <w:right w:val="single" w:sz="4" w:space="0" w:color="auto"/>
                                  </w:tcBorders>
                                </w:tcPr>
                                <w:p w14:paraId="6F116771"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+18.4%</w:t>
                                  </w:r>
                                </w:p>
                              </w:tc>
                              <w:tc>
                                <w:tcPr>
                                  <w:tcW w:w="0" w:type="auto"/>
                                  <w:tcBorders>
                                    <w:left w:val="single" w:sz="4" w:space="0" w:color="auto"/>
                                    <w:right w:val="single" w:sz="4" w:space="0" w:color="auto"/>
                                  </w:tcBorders>
                                </w:tcPr>
                                <w:p w14:paraId="09BA4CEB"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0.02%</w:t>
                                  </w:r>
                                </w:p>
                              </w:tc>
                              <w:tc>
                                <w:tcPr>
                                  <w:tcW w:w="0" w:type="auto"/>
                                  <w:tcBorders>
                                    <w:right w:val="single" w:sz="4" w:space="0" w:color="auto"/>
                                  </w:tcBorders>
                                </w:tcPr>
                                <w:p w14:paraId="4B259861" w14:textId="77777777" w:rsidR="008B0834" w:rsidRPr="00DE6518" w:rsidRDefault="008B0834" w:rsidP="00ED6EA6">
                                  <w:pPr>
                                    <w:rPr>
                                      <w:rFonts w:cstheme="minorHAnsi"/>
                                      <w:sz w:val="13"/>
                                      <w:szCs w:val="13"/>
                                    </w:rPr>
                                  </w:pPr>
                                </w:p>
                              </w:tc>
                              <w:tc>
                                <w:tcPr>
                                  <w:tcW w:w="0" w:type="auto"/>
                                  <w:tcBorders>
                                    <w:left w:val="single" w:sz="4" w:space="0" w:color="auto"/>
                                    <w:right w:val="single" w:sz="4" w:space="0" w:color="auto"/>
                                  </w:tcBorders>
                                </w:tcPr>
                                <w:p w14:paraId="7C53A63D"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2"/>
                                      <w:szCs w:val="12"/>
                                    </w:rPr>
                                    <w:t>Minerals &amp; petroleum sales: 2022-23</w:t>
                                  </w:r>
                                </w:p>
                              </w:tc>
                              <w:tc>
                                <w:tcPr>
                                  <w:tcW w:w="0" w:type="auto"/>
                                  <w:tcBorders>
                                    <w:left w:val="single" w:sz="4" w:space="0" w:color="auto"/>
                                    <w:right w:val="single" w:sz="4" w:space="0" w:color="auto"/>
                                  </w:tcBorders>
                                </w:tcPr>
                                <w:p w14:paraId="301D6CAB"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$2.9b</w:t>
                                  </w:r>
                                </w:p>
                              </w:tc>
                              <w:tc>
                                <w:tcPr>
                                  <w:tcW w:w="0" w:type="auto"/>
                                  <w:tcBorders>
                                    <w:left w:val="single" w:sz="4" w:space="0" w:color="auto"/>
                                    <w:right w:val="single" w:sz="4" w:space="0" w:color="auto"/>
                                  </w:tcBorders>
                                </w:tcPr>
                                <w:p w14:paraId="73DEB55C"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-3.5%</w:t>
                                  </w:r>
                                </w:p>
                              </w:tc>
                              <w:tc>
                                <w:tcPr>
                                  <w:tcW w:w="0" w:type="auto"/>
                                  <w:tcBorders>
                                    <w:left w:val="single" w:sz="4" w:space="0" w:color="auto"/>
                                    <w:right w:val="single" w:sz="4" w:space="0" w:color="auto"/>
                                  </w:tcBorders>
                                </w:tcPr>
                                <w:p w14:paraId="41E07113"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1.1%</w:t>
                                  </w:r>
                                </w:p>
                              </w:tc>
                            </w:tr>
                            <w:tr w:rsidR="008B0834" w:rsidRPr="00DE6518" w14:paraId="1E68F41E" w14:textId="77777777" w:rsidTr="00DA5BE3">
                              <w:tc>
                                <w:tcPr>
                                  <w:tcW w:w="0" w:type="auto"/>
                                  <w:tcBorders>
                                    <w:left w:val="single" w:sz="4" w:space="0" w:color="auto"/>
                                    <w:right w:val="single" w:sz="4" w:space="0" w:color="auto"/>
                                  </w:tcBorders>
                                </w:tcPr>
                                <w:p w14:paraId="7F143785" w14:textId="77777777" w:rsidR="008B0834" w:rsidRPr="001B3607" w:rsidRDefault="008B0834" w:rsidP="00ED6EA6">
                                  <w:pPr>
                                    <w:spacing w:line="360" w:lineRule="auto"/>
                                    <w:rPr>
                                      <w:rFonts w:cstheme="minorHAnsi"/>
                                      <w:sz w:val="13"/>
                                      <w:szCs w:val="13"/>
                                    </w:rPr>
                                  </w:pPr>
                                  <w:r w:rsidRPr="001B3607">
                                    <w:rPr>
                                      <w:rFonts w:cstheme="minorHAnsi"/>
                                      <w:sz w:val="13"/>
                                      <w:szCs w:val="13"/>
                                    </w:rPr>
                                    <w:t xml:space="preserve">Building approvals: </w:t>
                                  </w:r>
                                  <w:r w:rsidRPr="00023AE2">
                                    <w:rPr>
                                      <w:rFonts w:cstheme="minorHAnsi"/>
                                      <w:sz w:val="13"/>
                                      <w:szCs w:val="13"/>
                                    </w:rPr>
                                    <w:t>2022-23</w:t>
                                  </w:r>
                                </w:p>
                              </w:tc>
                              <w:tc>
                                <w:tcPr>
                                  <w:tcW w:w="795" w:type="dxa"/>
                                  <w:tcBorders>
                                    <w:left w:val="single" w:sz="4" w:space="0" w:color="auto"/>
                                    <w:right w:val="single" w:sz="4" w:space="0" w:color="auto"/>
                                  </w:tcBorders>
                                </w:tcPr>
                                <w:p w14:paraId="45A2EF5D"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w:t>
                                  </w:r>
                                  <w:r w:rsidRPr="00023AE2">
                                    <w:rPr>
                                      <w:rFonts w:cstheme="minorHAnsi"/>
                                      <w:sz w:val="13"/>
                                      <w:szCs w:val="13"/>
                                    </w:rPr>
                                    <w:t>8.1</w:t>
                                  </w:r>
                                  <w:r w:rsidRPr="001B3607">
                                    <w:rPr>
                                      <w:rFonts w:cstheme="minorHAnsi"/>
                                      <w:sz w:val="13"/>
                                      <w:szCs w:val="13"/>
                                    </w:rPr>
                                    <w:t>b</w:t>
                                  </w:r>
                                </w:p>
                              </w:tc>
                              <w:tc>
                                <w:tcPr>
                                  <w:tcW w:w="1128" w:type="dxa"/>
                                  <w:tcBorders>
                                    <w:left w:val="single" w:sz="4" w:space="0" w:color="auto"/>
                                    <w:right w:val="single" w:sz="4" w:space="0" w:color="auto"/>
                                  </w:tcBorders>
                                </w:tcPr>
                                <w:p w14:paraId="16C59AFB" w14:textId="77777777" w:rsidR="008B0834" w:rsidRPr="001B3607" w:rsidRDefault="008B0834" w:rsidP="00ED6EA6">
                                  <w:pPr>
                                    <w:spacing w:line="360" w:lineRule="auto"/>
                                    <w:jc w:val="right"/>
                                    <w:rPr>
                                      <w:rFonts w:cstheme="minorHAnsi"/>
                                      <w:sz w:val="13"/>
                                      <w:szCs w:val="13"/>
                                    </w:rPr>
                                  </w:pPr>
                                  <w:r w:rsidRPr="00023AE2">
                                    <w:rPr>
                                      <w:rFonts w:cstheme="minorHAnsi"/>
                                      <w:sz w:val="13"/>
                                      <w:szCs w:val="13"/>
                                    </w:rPr>
                                    <w:t>-19.9</w:t>
                                  </w:r>
                                  <w:r w:rsidRPr="001B3607">
                                    <w:rPr>
                                      <w:rFonts w:cstheme="minorHAnsi"/>
                                      <w:sz w:val="13"/>
                                      <w:szCs w:val="13"/>
                                    </w:rPr>
                                    <w:t>%</w:t>
                                  </w:r>
                                </w:p>
                              </w:tc>
                              <w:tc>
                                <w:tcPr>
                                  <w:tcW w:w="0" w:type="auto"/>
                                  <w:tcBorders>
                                    <w:left w:val="single" w:sz="4" w:space="0" w:color="auto"/>
                                    <w:right w:val="single" w:sz="4" w:space="0" w:color="auto"/>
                                  </w:tcBorders>
                                </w:tcPr>
                                <w:p w14:paraId="35D73AA5"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7</w:t>
                                  </w:r>
                                  <w:r w:rsidRPr="00023AE2">
                                    <w:rPr>
                                      <w:rFonts w:cstheme="minorHAnsi"/>
                                      <w:sz w:val="13"/>
                                      <w:szCs w:val="13"/>
                                    </w:rPr>
                                    <w:t>1.2</w:t>
                                  </w:r>
                                  <w:r w:rsidRPr="001B3607">
                                    <w:rPr>
                                      <w:rFonts w:cstheme="minorHAnsi"/>
                                      <w:sz w:val="13"/>
                                      <w:szCs w:val="13"/>
                                    </w:rPr>
                                    <w:t>%</w:t>
                                  </w:r>
                                </w:p>
                              </w:tc>
                              <w:tc>
                                <w:tcPr>
                                  <w:tcW w:w="0" w:type="auto"/>
                                  <w:tcBorders>
                                    <w:right w:val="single" w:sz="4" w:space="0" w:color="auto"/>
                                  </w:tcBorders>
                                </w:tcPr>
                                <w:p w14:paraId="1CF18CE8" w14:textId="77777777" w:rsidR="008B0834" w:rsidRPr="00DE6518" w:rsidRDefault="008B0834" w:rsidP="00ED6EA6">
                                  <w:pPr>
                                    <w:rPr>
                                      <w:rFonts w:cstheme="minorHAnsi"/>
                                      <w:sz w:val="13"/>
                                      <w:szCs w:val="13"/>
                                    </w:rPr>
                                  </w:pPr>
                                </w:p>
                              </w:tc>
                              <w:tc>
                                <w:tcPr>
                                  <w:tcW w:w="0" w:type="auto"/>
                                  <w:tcBorders>
                                    <w:left w:val="single" w:sz="4" w:space="0" w:color="auto"/>
                                    <w:right w:val="single" w:sz="4" w:space="0" w:color="auto"/>
                                  </w:tcBorders>
                                </w:tcPr>
                                <w:p w14:paraId="79B76643" w14:textId="77777777" w:rsidR="008B0834" w:rsidRPr="001B3607" w:rsidRDefault="008B0834" w:rsidP="00ED6EA6">
                                  <w:pPr>
                                    <w:spacing w:line="360" w:lineRule="auto"/>
                                    <w:rPr>
                                      <w:rFonts w:cstheme="minorHAnsi"/>
                                      <w:sz w:val="13"/>
                                      <w:szCs w:val="13"/>
                                    </w:rPr>
                                  </w:pPr>
                                  <w:r w:rsidRPr="001B3607">
                                    <w:rPr>
                                      <w:rFonts w:cstheme="minorHAnsi"/>
                                      <w:sz w:val="13"/>
                                      <w:szCs w:val="13"/>
                                    </w:rPr>
                                    <w:t xml:space="preserve">Building approvals: </w:t>
                                  </w:r>
                                  <w:r w:rsidRPr="00023AE2">
                                    <w:rPr>
                                      <w:rFonts w:cstheme="minorHAnsi"/>
                                      <w:sz w:val="13"/>
                                      <w:szCs w:val="13"/>
                                    </w:rPr>
                                    <w:t>2022-23</w:t>
                                  </w:r>
                                </w:p>
                              </w:tc>
                              <w:tc>
                                <w:tcPr>
                                  <w:tcW w:w="0" w:type="auto"/>
                                  <w:tcBorders>
                                    <w:left w:val="single" w:sz="4" w:space="0" w:color="auto"/>
                                    <w:right w:val="single" w:sz="4" w:space="0" w:color="auto"/>
                                  </w:tcBorders>
                                </w:tcPr>
                                <w:p w14:paraId="0BDB0B35"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$2</w:t>
                                  </w:r>
                                  <w:r w:rsidRPr="00023AE2">
                                    <w:rPr>
                                      <w:rFonts w:cstheme="minorHAnsi"/>
                                      <w:sz w:val="13"/>
                                      <w:szCs w:val="13"/>
                                    </w:rPr>
                                    <w:t>27</w:t>
                                  </w:r>
                                  <w:r w:rsidRPr="001B3607">
                                    <w:rPr>
                                      <w:rFonts w:cstheme="minorHAnsi"/>
                                      <w:sz w:val="13"/>
                                      <w:szCs w:val="13"/>
                                    </w:rPr>
                                    <w:t>m</w:t>
                                  </w:r>
                                </w:p>
                              </w:tc>
                              <w:tc>
                                <w:tcPr>
                                  <w:tcW w:w="0" w:type="auto"/>
                                  <w:tcBorders>
                                    <w:left w:val="single" w:sz="4" w:space="0" w:color="auto"/>
                                    <w:right w:val="single" w:sz="4" w:space="0" w:color="auto"/>
                                  </w:tcBorders>
                                </w:tcPr>
                                <w:p w14:paraId="6D49B543"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w:t>
                                  </w:r>
                                  <w:r w:rsidRPr="00023AE2">
                                    <w:rPr>
                                      <w:rFonts w:cstheme="minorHAnsi"/>
                                      <w:sz w:val="13"/>
                                      <w:szCs w:val="13"/>
                                    </w:rPr>
                                    <w:t>3.0</w:t>
                                  </w:r>
                                  <w:r w:rsidRPr="001B3607">
                                    <w:rPr>
                                      <w:rFonts w:cstheme="minorHAnsi"/>
                                      <w:sz w:val="13"/>
                                      <w:szCs w:val="13"/>
                                    </w:rPr>
                                    <w:t>%</w:t>
                                  </w:r>
                                </w:p>
                              </w:tc>
                              <w:tc>
                                <w:tcPr>
                                  <w:tcW w:w="0" w:type="auto"/>
                                  <w:tcBorders>
                                    <w:left w:val="single" w:sz="4" w:space="0" w:color="auto"/>
                                    <w:right w:val="single" w:sz="4" w:space="0" w:color="auto"/>
                                  </w:tcBorders>
                                </w:tcPr>
                                <w:p w14:paraId="3FBBB058" w14:textId="77777777" w:rsidR="008B0834" w:rsidRPr="001B3607" w:rsidRDefault="008B0834" w:rsidP="00ED6EA6">
                                  <w:pPr>
                                    <w:spacing w:line="360" w:lineRule="auto"/>
                                    <w:jc w:val="right"/>
                                    <w:rPr>
                                      <w:rFonts w:cstheme="minorHAnsi"/>
                                      <w:sz w:val="13"/>
                                      <w:szCs w:val="13"/>
                                    </w:rPr>
                                  </w:pPr>
                                  <w:r w:rsidRPr="00023AE2">
                                    <w:rPr>
                                      <w:rFonts w:cstheme="minorHAnsi"/>
                                      <w:sz w:val="13"/>
                                      <w:szCs w:val="13"/>
                                    </w:rPr>
                                    <w:t>2.0</w:t>
                                  </w:r>
                                  <w:r w:rsidRPr="001B3607">
                                    <w:rPr>
                                      <w:rFonts w:cstheme="minorHAnsi"/>
                                      <w:sz w:val="13"/>
                                      <w:szCs w:val="13"/>
                                    </w:rPr>
                                    <w:t>%</w:t>
                                  </w:r>
                                </w:p>
                              </w:tc>
                            </w:tr>
                            <w:tr w:rsidR="008B0834" w:rsidRPr="00EE46E2" w14:paraId="26C7217A" w14:textId="77777777" w:rsidTr="00DA5BE3">
                              <w:tc>
                                <w:tcPr>
                                  <w:tcW w:w="0" w:type="auto"/>
                                  <w:tcBorders>
                                    <w:left w:val="single" w:sz="4" w:space="0" w:color="auto"/>
                                    <w:bottom w:val="single" w:sz="4" w:space="0" w:color="auto"/>
                                    <w:right w:val="single" w:sz="4" w:space="0" w:color="auto"/>
                                  </w:tcBorders>
                                </w:tcPr>
                                <w:p w14:paraId="3B69D5B3" w14:textId="77777777" w:rsidR="008B0834" w:rsidRPr="008809A4" w:rsidRDefault="008B0834" w:rsidP="00ED6EA6">
                                  <w:pPr>
                                    <w:spacing w:line="360" w:lineRule="auto"/>
                                    <w:rPr>
                                      <w:rFonts w:cstheme="minorHAnsi"/>
                                      <w:sz w:val="13"/>
                                      <w:szCs w:val="13"/>
                                    </w:rPr>
                                  </w:pPr>
                                  <w:r w:rsidRPr="008809A4">
                                    <w:rPr>
                                      <w:rFonts w:cstheme="minorHAnsi"/>
                                      <w:sz w:val="13"/>
                                      <w:szCs w:val="13"/>
                                    </w:rPr>
                                    <w:t>Overnight visitors a year: 2020-22</w:t>
                                  </w:r>
                                </w:p>
                              </w:tc>
                              <w:tc>
                                <w:tcPr>
                                  <w:tcW w:w="795" w:type="dxa"/>
                                  <w:tcBorders>
                                    <w:left w:val="single" w:sz="4" w:space="0" w:color="auto"/>
                                    <w:bottom w:val="single" w:sz="4" w:space="0" w:color="auto"/>
                                    <w:right w:val="single" w:sz="4" w:space="0" w:color="auto"/>
                                  </w:tcBorders>
                                </w:tcPr>
                                <w:p w14:paraId="663813B5"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2,923,000</w:t>
                                  </w:r>
                                </w:p>
                              </w:tc>
                              <w:tc>
                                <w:tcPr>
                                  <w:tcW w:w="1128" w:type="dxa"/>
                                  <w:tcBorders>
                                    <w:left w:val="single" w:sz="4" w:space="0" w:color="auto"/>
                                    <w:bottom w:val="single" w:sz="4" w:space="0" w:color="auto"/>
                                    <w:right w:val="single" w:sz="4" w:space="0" w:color="auto"/>
                                  </w:tcBorders>
                                </w:tcPr>
                                <w:p w14:paraId="1059053C" w14:textId="77777777" w:rsidR="008B0834" w:rsidRPr="008809A4" w:rsidRDefault="008B0834" w:rsidP="00ED6EA6">
                                  <w:pPr>
                                    <w:spacing w:line="360" w:lineRule="auto"/>
                                    <w:jc w:val="right"/>
                                    <w:rPr>
                                      <w:rFonts w:cstheme="minorHAnsi"/>
                                      <w:sz w:val="13"/>
                                      <w:szCs w:val="13"/>
                                    </w:rPr>
                                  </w:pPr>
                                </w:p>
                              </w:tc>
                              <w:tc>
                                <w:tcPr>
                                  <w:tcW w:w="0" w:type="auto"/>
                                  <w:tcBorders>
                                    <w:left w:val="single" w:sz="4" w:space="0" w:color="auto"/>
                                    <w:bottom w:val="single" w:sz="4" w:space="0" w:color="auto"/>
                                    <w:right w:val="single" w:sz="4" w:space="0" w:color="auto"/>
                                  </w:tcBorders>
                                </w:tcPr>
                                <w:p w14:paraId="422A99A7"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26.9%</w:t>
                                  </w:r>
                                </w:p>
                              </w:tc>
                              <w:tc>
                                <w:tcPr>
                                  <w:tcW w:w="0" w:type="auto"/>
                                  <w:tcBorders>
                                    <w:right w:val="single" w:sz="4" w:space="0" w:color="auto"/>
                                  </w:tcBorders>
                                </w:tcPr>
                                <w:p w14:paraId="775560C0" w14:textId="77777777" w:rsidR="008B0834" w:rsidRPr="00EE46E2" w:rsidRDefault="008B0834" w:rsidP="00ED6EA6">
                                  <w:pPr>
                                    <w:rPr>
                                      <w:rFonts w:cstheme="minorHAnsi"/>
                                      <w:sz w:val="13"/>
                                      <w:szCs w:val="13"/>
                                    </w:rPr>
                                  </w:pPr>
                                </w:p>
                              </w:tc>
                              <w:tc>
                                <w:tcPr>
                                  <w:tcW w:w="0" w:type="auto"/>
                                  <w:tcBorders>
                                    <w:left w:val="single" w:sz="4" w:space="0" w:color="auto"/>
                                    <w:bottom w:val="single" w:sz="4" w:space="0" w:color="auto"/>
                                    <w:right w:val="single" w:sz="4" w:space="0" w:color="auto"/>
                                  </w:tcBorders>
                                </w:tcPr>
                                <w:p w14:paraId="216D91B9" w14:textId="77777777" w:rsidR="008B0834" w:rsidRPr="008809A4" w:rsidRDefault="008B0834" w:rsidP="00ED6EA6">
                                  <w:pPr>
                                    <w:spacing w:line="360" w:lineRule="auto"/>
                                    <w:rPr>
                                      <w:rFonts w:cstheme="minorHAnsi"/>
                                      <w:sz w:val="13"/>
                                      <w:szCs w:val="13"/>
                                    </w:rPr>
                                  </w:pPr>
                                  <w:r w:rsidRPr="008809A4">
                                    <w:rPr>
                                      <w:rFonts w:cstheme="minorHAnsi"/>
                                      <w:sz w:val="13"/>
                                      <w:szCs w:val="13"/>
                                    </w:rPr>
                                    <w:t>Overnight visitors a year: 2020-22</w:t>
                                  </w:r>
                                </w:p>
                              </w:tc>
                              <w:tc>
                                <w:tcPr>
                                  <w:tcW w:w="0" w:type="auto"/>
                                  <w:tcBorders>
                                    <w:left w:val="single" w:sz="4" w:space="0" w:color="auto"/>
                                    <w:bottom w:val="single" w:sz="4" w:space="0" w:color="auto"/>
                                    <w:right w:val="single" w:sz="4" w:space="0" w:color="auto"/>
                                  </w:tcBorders>
                                </w:tcPr>
                                <w:p w14:paraId="037C364F"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1,071,000</w:t>
                                  </w:r>
                                </w:p>
                              </w:tc>
                              <w:tc>
                                <w:tcPr>
                                  <w:tcW w:w="0" w:type="auto"/>
                                  <w:tcBorders>
                                    <w:left w:val="single" w:sz="4" w:space="0" w:color="auto"/>
                                    <w:bottom w:val="single" w:sz="4" w:space="0" w:color="auto"/>
                                    <w:right w:val="single" w:sz="4" w:space="0" w:color="auto"/>
                                  </w:tcBorders>
                                </w:tcPr>
                                <w:p w14:paraId="4F3C2ED8" w14:textId="77777777" w:rsidR="008B0834" w:rsidRPr="008809A4" w:rsidRDefault="008B0834" w:rsidP="00ED6EA6">
                                  <w:pPr>
                                    <w:spacing w:line="360" w:lineRule="auto"/>
                                    <w:jc w:val="right"/>
                                    <w:rPr>
                                      <w:rFonts w:cstheme="minorHAnsi"/>
                                      <w:sz w:val="13"/>
                                      <w:szCs w:val="13"/>
                                    </w:rPr>
                                  </w:pPr>
                                </w:p>
                              </w:tc>
                              <w:tc>
                                <w:tcPr>
                                  <w:tcW w:w="0" w:type="auto"/>
                                  <w:tcBorders>
                                    <w:left w:val="single" w:sz="4" w:space="0" w:color="auto"/>
                                    <w:bottom w:val="single" w:sz="4" w:space="0" w:color="auto"/>
                                    <w:right w:val="single" w:sz="4" w:space="0" w:color="auto"/>
                                  </w:tcBorders>
                                </w:tcPr>
                                <w:p w14:paraId="52DDEC82"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9.9%</w:t>
                                  </w:r>
                                </w:p>
                              </w:tc>
                            </w:tr>
                            <w:tr w:rsidR="008B0834" w:rsidRPr="00EE46E2" w14:paraId="615DA212" w14:textId="77777777" w:rsidTr="00DA5BE3">
                              <w:tc>
                                <w:tcPr>
                                  <w:tcW w:w="0" w:type="auto"/>
                                  <w:tcBorders>
                                    <w:top w:val="single" w:sz="4" w:space="0" w:color="auto"/>
                                  </w:tcBorders>
                                </w:tcPr>
                                <w:p w14:paraId="405C0E87" w14:textId="77777777" w:rsidR="008B0834" w:rsidRPr="00502167" w:rsidRDefault="008B0834" w:rsidP="00ED6EA6">
                                  <w:pPr>
                                    <w:rPr>
                                      <w:rFonts w:cstheme="minorHAnsi"/>
                                      <w:sz w:val="9"/>
                                      <w:szCs w:val="13"/>
                                    </w:rPr>
                                  </w:pPr>
                                </w:p>
                              </w:tc>
                              <w:tc>
                                <w:tcPr>
                                  <w:tcW w:w="795" w:type="dxa"/>
                                  <w:tcBorders>
                                    <w:top w:val="single" w:sz="4" w:space="0" w:color="auto"/>
                                  </w:tcBorders>
                                </w:tcPr>
                                <w:p w14:paraId="26A61647" w14:textId="77777777" w:rsidR="008B0834" w:rsidRPr="00EE46E2" w:rsidRDefault="008B0834" w:rsidP="00ED6EA6">
                                  <w:pPr>
                                    <w:rPr>
                                      <w:rFonts w:cstheme="minorHAnsi"/>
                                      <w:sz w:val="13"/>
                                      <w:szCs w:val="13"/>
                                    </w:rPr>
                                  </w:pPr>
                                </w:p>
                              </w:tc>
                              <w:tc>
                                <w:tcPr>
                                  <w:tcW w:w="1128" w:type="dxa"/>
                                  <w:tcBorders>
                                    <w:top w:val="single" w:sz="4" w:space="0" w:color="auto"/>
                                  </w:tcBorders>
                                </w:tcPr>
                                <w:p w14:paraId="4CB17556" w14:textId="77777777" w:rsidR="008B0834" w:rsidRDefault="008B0834" w:rsidP="00ED6EA6">
                                  <w:pPr>
                                    <w:rPr>
                                      <w:rFonts w:cstheme="minorHAnsi"/>
                                      <w:sz w:val="13"/>
                                      <w:szCs w:val="13"/>
                                    </w:rPr>
                                  </w:pPr>
                                </w:p>
                                <w:p w14:paraId="4EEF5263" w14:textId="77777777" w:rsidR="008B0834" w:rsidRPr="00EE46E2" w:rsidRDefault="008B0834" w:rsidP="00ED6EA6">
                                  <w:pPr>
                                    <w:rPr>
                                      <w:rFonts w:cstheme="minorHAnsi"/>
                                      <w:sz w:val="13"/>
                                      <w:szCs w:val="13"/>
                                    </w:rPr>
                                  </w:pPr>
                                </w:p>
                              </w:tc>
                              <w:tc>
                                <w:tcPr>
                                  <w:tcW w:w="0" w:type="auto"/>
                                  <w:tcBorders>
                                    <w:top w:val="single" w:sz="4" w:space="0" w:color="auto"/>
                                  </w:tcBorders>
                                </w:tcPr>
                                <w:p w14:paraId="4E387A41" w14:textId="77777777" w:rsidR="008B0834" w:rsidRPr="00EE46E2" w:rsidRDefault="008B0834" w:rsidP="00ED6EA6">
                                  <w:pPr>
                                    <w:rPr>
                                      <w:rFonts w:cstheme="minorHAnsi"/>
                                      <w:sz w:val="13"/>
                                      <w:szCs w:val="13"/>
                                    </w:rPr>
                                  </w:pPr>
                                </w:p>
                              </w:tc>
                              <w:tc>
                                <w:tcPr>
                                  <w:tcW w:w="0" w:type="auto"/>
                                </w:tcPr>
                                <w:p w14:paraId="67B6E4BB" w14:textId="77777777" w:rsidR="008B0834" w:rsidRPr="00EE46E2" w:rsidRDefault="008B0834" w:rsidP="00ED6EA6">
                                  <w:pPr>
                                    <w:rPr>
                                      <w:rFonts w:cstheme="minorHAnsi"/>
                                      <w:sz w:val="13"/>
                                      <w:szCs w:val="13"/>
                                    </w:rPr>
                                  </w:pPr>
                                </w:p>
                              </w:tc>
                              <w:tc>
                                <w:tcPr>
                                  <w:tcW w:w="0" w:type="auto"/>
                                  <w:tcBorders>
                                    <w:top w:val="single" w:sz="4" w:space="0" w:color="auto"/>
                                  </w:tcBorders>
                                </w:tcPr>
                                <w:p w14:paraId="6E71C0F5" w14:textId="77777777" w:rsidR="008B0834" w:rsidRPr="00EE46E2" w:rsidRDefault="008B0834" w:rsidP="00ED6EA6">
                                  <w:pPr>
                                    <w:rPr>
                                      <w:rFonts w:cstheme="minorHAnsi"/>
                                      <w:sz w:val="13"/>
                                      <w:szCs w:val="13"/>
                                    </w:rPr>
                                  </w:pPr>
                                </w:p>
                              </w:tc>
                              <w:tc>
                                <w:tcPr>
                                  <w:tcW w:w="0" w:type="auto"/>
                                  <w:tcBorders>
                                    <w:top w:val="single" w:sz="4" w:space="0" w:color="auto"/>
                                  </w:tcBorders>
                                </w:tcPr>
                                <w:p w14:paraId="1D046DD8" w14:textId="77777777" w:rsidR="008B0834" w:rsidRPr="00EE46E2" w:rsidRDefault="008B0834" w:rsidP="00ED6EA6">
                                  <w:pPr>
                                    <w:rPr>
                                      <w:rFonts w:cstheme="minorHAnsi"/>
                                      <w:sz w:val="13"/>
                                      <w:szCs w:val="13"/>
                                    </w:rPr>
                                  </w:pPr>
                                </w:p>
                              </w:tc>
                              <w:tc>
                                <w:tcPr>
                                  <w:tcW w:w="0" w:type="auto"/>
                                  <w:tcBorders>
                                    <w:top w:val="single" w:sz="4" w:space="0" w:color="auto"/>
                                  </w:tcBorders>
                                </w:tcPr>
                                <w:p w14:paraId="4DF6AE3E" w14:textId="77777777" w:rsidR="008B0834" w:rsidRPr="00EE46E2" w:rsidRDefault="008B0834" w:rsidP="00ED6EA6">
                                  <w:pPr>
                                    <w:rPr>
                                      <w:rFonts w:cstheme="minorHAnsi"/>
                                      <w:sz w:val="13"/>
                                      <w:szCs w:val="13"/>
                                    </w:rPr>
                                  </w:pPr>
                                </w:p>
                              </w:tc>
                              <w:tc>
                                <w:tcPr>
                                  <w:tcW w:w="0" w:type="auto"/>
                                  <w:tcBorders>
                                    <w:top w:val="single" w:sz="4" w:space="0" w:color="auto"/>
                                  </w:tcBorders>
                                </w:tcPr>
                                <w:p w14:paraId="0B8751E6" w14:textId="77777777" w:rsidR="008B0834" w:rsidRPr="00EE46E2" w:rsidRDefault="008B0834" w:rsidP="00ED6EA6">
                                  <w:pPr>
                                    <w:rPr>
                                      <w:rFonts w:cstheme="minorHAnsi"/>
                                      <w:sz w:val="13"/>
                                      <w:szCs w:val="13"/>
                                    </w:rPr>
                                  </w:pPr>
                                </w:p>
                              </w:tc>
                            </w:tr>
                            <w:tr w:rsidR="008B0834" w:rsidRPr="00EE46E2" w14:paraId="031960AE" w14:textId="77777777" w:rsidTr="00DA5BE3">
                              <w:tc>
                                <w:tcPr>
                                  <w:tcW w:w="0" w:type="auto"/>
                                  <w:gridSpan w:val="4"/>
                                  <w:tcBorders>
                                    <w:top w:val="single" w:sz="4" w:space="0" w:color="auto"/>
                                    <w:left w:val="single" w:sz="4" w:space="0" w:color="auto"/>
                                    <w:bottom w:val="single" w:sz="4" w:space="0" w:color="auto"/>
                                    <w:right w:val="single" w:sz="4" w:space="0" w:color="auto"/>
                                  </w:tcBorders>
                                  <w:shd w:val="clear" w:color="auto" w:fill="D09BCF" w:themeFill="text2" w:themeFillTint="66"/>
                                </w:tcPr>
                                <w:p w14:paraId="601F6B3F" w14:textId="77777777" w:rsidR="008B0834" w:rsidRPr="00EE46E2" w:rsidRDefault="008B0834" w:rsidP="00ED6EA6">
                                  <w:pPr>
                                    <w:spacing w:line="360" w:lineRule="auto"/>
                                    <w:rPr>
                                      <w:rFonts w:cstheme="minorHAnsi"/>
                                      <w:b/>
                                      <w:sz w:val="13"/>
                                      <w:szCs w:val="13"/>
                                    </w:rPr>
                                  </w:pPr>
                                  <w:r w:rsidRPr="00904A09">
                                    <w:rPr>
                                      <w:rFonts w:cstheme="minorHAnsi"/>
                                      <w:b/>
                                      <w:color w:val="002060"/>
                                      <w:sz w:val="14"/>
                                      <w:szCs w:val="14"/>
                                    </w:rPr>
                                    <w:t>PEEL</w:t>
                                  </w:r>
                                </w:p>
                              </w:tc>
                              <w:tc>
                                <w:tcPr>
                                  <w:tcW w:w="0" w:type="auto"/>
                                  <w:tcBorders>
                                    <w:right w:val="single" w:sz="4" w:space="0" w:color="auto"/>
                                  </w:tcBorders>
                                </w:tcPr>
                                <w:p w14:paraId="30624081" w14:textId="77777777" w:rsidR="008B0834" w:rsidRPr="00EE46E2" w:rsidRDefault="008B0834" w:rsidP="00ED6EA6">
                                  <w:pPr>
                                    <w:rPr>
                                      <w:rFonts w:cstheme="minorHAnsi"/>
                                      <w:sz w:val="13"/>
                                      <w:szCs w:val="13"/>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FFDA8F"/>
                                </w:tcPr>
                                <w:p w14:paraId="44516EED" w14:textId="77777777" w:rsidR="008B0834" w:rsidRPr="00EE46E2" w:rsidRDefault="008B0834" w:rsidP="00ED6EA6">
                                  <w:pPr>
                                    <w:spacing w:line="360" w:lineRule="auto"/>
                                    <w:rPr>
                                      <w:rFonts w:cstheme="minorHAnsi"/>
                                      <w:b/>
                                      <w:sz w:val="13"/>
                                      <w:szCs w:val="13"/>
                                    </w:rPr>
                                  </w:pPr>
                                  <w:r w:rsidRPr="00904A09">
                                    <w:rPr>
                                      <w:rFonts w:cstheme="minorHAnsi"/>
                                      <w:b/>
                                      <w:color w:val="002060"/>
                                      <w:sz w:val="14"/>
                                      <w:szCs w:val="14"/>
                                    </w:rPr>
                                    <w:t>GOLDFIELDS-ESPERANCE</w:t>
                                  </w:r>
                                </w:p>
                              </w:tc>
                            </w:tr>
                            <w:tr w:rsidR="008B0834" w:rsidRPr="00EE46E2" w14:paraId="71BB3F23" w14:textId="77777777" w:rsidTr="00DA5BE3">
                              <w:tc>
                                <w:tcPr>
                                  <w:tcW w:w="0" w:type="auto"/>
                                  <w:tcBorders>
                                    <w:top w:val="single" w:sz="4" w:space="0" w:color="auto"/>
                                    <w:left w:val="single" w:sz="4" w:space="0" w:color="auto"/>
                                    <w:right w:val="single" w:sz="4" w:space="0" w:color="auto"/>
                                  </w:tcBorders>
                                </w:tcPr>
                                <w:p w14:paraId="7F9E99DF" w14:textId="77777777" w:rsidR="008B0834" w:rsidRPr="00A1002D" w:rsidRDefault="008B0834" w:rsidP="00ED6EA6">
                                  <w:pPr>
                                    <w:spacing w:line="360" w:lineRule="auto"/>
                                    <w:rPr>
                                      <w:rFonts w:cstheme="minorHAnsi"/>
                                      <w:sz w:val="13"/>
                                      <w:szCs w:val="13"/>
                                    </w:rPr>
                                  </w:pPr>
                                </w:p>
                              </w:tc>
                              <w:tc>
                                <w:tcPr>
                                  <w:tcW w:w="795" w:type="dxa"/>
                                  <w:tcBorders>
                                    <w:top w:val="single" w:sz="4" w:space="0" w:color="auto"/>
                                    <w:left w:val="single" w:sz="4" w:space="0" w:color="auto"/>
                                    <w:right w:val="single" w:sz="4" w:space="0" w:color="auto"/>
                                  </w:tcBorders>
                                </w:tcPr>
                                <w:p w14:paraId="0281F5BB" w14:textId="77777777" w:rsidR="008B0834" w:rsidRPr="00EE46E2" w:rsidRDefault="008B0834" w:rsidP="00ED6EA6">
                                  <w:pPr>
                                    <w:spacing w:line="360" w:lineRule="auto"/>
                                    <w:jc w:val="right"/>
                                    <w:rPr>
                                      <w:rFonts w:cstheme="minorHAnsi"/>
                                      <w:sz w:val="13"/>
                                      <w:szCs w:val="13"/>
                                    </w:rPr>
                                  </w:pPr>
                                  <w:r w:rsidRPr="00EE46E2">
                                    <w:rPr>
                                      <w:rFonts w:cstheme="minorHAnsi"/>
                                      <w:sz w:val="13"/>
                                      <w:szCs w:val="13"/>
                                    </w:rPr>
                                    <w:t>Figure</w:t>
                                  </w:r>
                                </w:p>
                              </w:tc>
                              <w:tc>
                                <w:tcPr>
                                  <w:tcW w:w="1128" w:type="dxa"/>
                                  <w:tcBorders>
                                    <w:top w:val="single" w:sz="4" w:space="0" w:color="auto"/>
                                    <w:left w:val="single" w:sz="4" w:space="0" w:color="auto"/>
                                    <w:right w:val="single" w:sz="4" w:space="0" w:color="auto"/>
                                  </w:tcBorders>
                                </w:tcPr>
                                <w:p w14:paraId="4EBCB8C3" w14:textId="77777777" w:rsidR="008B0834" w:rsidRPr="00EE46E2" w:rsidRDefault="008B0834" w:rsidP="00ED6EA6">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3908E2AA" w14:textId="77777777" w:rsidR="008B0834" w:rsidRPr="00EE46E2" w:rsidRDefault="008B0834" w:rsidP="00ED6EA6">
                                  <w:pPr>
                                    <w:spacing w:line="360" w:lineRule="auto"/>
                                    <w:jc w:val="right"/>
                                    <w:rPr>
                                      <w:rFonts w:cstheme="minorHAnsi"/>
                                      <w:sz w:val="13"/>
                                      <w:szCs w:val="13"/>
                                    </w:rPr>
                                  </w:pPr>
                                  <w:r w:rsidRPr="00EE46E2">
                                    <w:rPr>
                                      <w:rFonts w:cstheme="minorHAnsi"/>
                                      <w:sz w:val="13"/>
                                      <w:szCs w:val="13"/>
                                    </w:rPr>
                                    <w:t>WA share</w:t>
                                  </w:r>
                                </w:p>
                              </w:tc>
                              <w:tc>
                                <w:tcPr>
                                  <w:tcW w:w="0" w:type="auto"/>
                                  <w:tcBorders>
                                    <w:right w:val="single" w:sz="4" w:space="0" w:color="auto"/>
                                  </w:tcBorders>
                                </w:tcPr>
                                <w:p w14:paraId="24EC6BBA" w14:textId="77777777" w:rsidR="008B0834" w:rsidRPr="00EE46E2" w:rsidRDefault="008B0834" w:rsidP="00ED6EA6">
                                  <w:pPr>
                                    <w:rPr>
                                      <w:rFonts w:cstheme="minorHAnsi"/>
                                      <w:sz w:val="13"/>
                                      <w:szCs w:val="13"/>
                                    </w:rPr>
                                  </w:pPr>
                                </w:p>
                              </w:tc>
                              <w:tc>
                                <w:tcPr>
                                  <w:tcW w:w="0" w:type="auto"/>
                                  <w:tcBorders>
                                    <w:top w:val="single" w:sz="4" w:space="0" w:color="auto"/>
                                    <w:left w:val="single" w:sz="4" w:space="0" w:color="auto"/>
                                    <w:right w:val="single" w:sz="4" w:space="0" w:color="auto"/>
                                  </w:tcBorders>
                                </w:tcPr>
                                <w:p w14:paraId="1CED7B7D" w14:textId="77777777" w:rsidR="008B0834" w:rsidRPr="00A1002D" w:rsidRDefault="008B0834" w:rsidP="00ED6EA6">
                                  <w:pPr>
                                    <w:spacing w:line="360" w:lineRule="auto"/>
                                    <w:rPr>
                                      <w:rFonts w:cstheme="minorHAnsi"/>
                                      <w:sz w:val="13"/>
                                      <w:szCs w:val="13"/>
                                    </w:rPr>
                                  </w:pPr>
                                </w:p>
                              </w:tc>
                              <w:tc>
                                <w:tcPr>
                                  <w:tcW w:w="0" w:type="auto"/>
                                  <w:tcBorders>
                                    <w:top w:val="single" w:sz="4" w:space="0" w:color="auto"/>
                                    <w:left w:val="single" w:sz="4" w:space="0" w:color="auto"/>
                                    <w:right w:val="single" w:sz="4" w:space="0" w:color="auto"/>
                                  </w:tcBorders>
                                </w:tcPr>
                                <w:p w14:paraId="5DA737BC" w14:textId="77777777" w:rsidR="008B0834" w:rsidRPr="00EE46E2" w:rsidRDefault="008B0834" w:rsidP="00ED6EA6">
                                  <w:pPr>
                                    <w:spacing w:line="360" w:lineRule="auto"/>
                                    <w:jc w:val="right"/>
                                    <w:rPr>
                                      <w:rFonts w:cstheme="minorHAnsi"/>
                                      <w:sz w:val="13"/>
                                      <w:szCs w:val="13"/>
                                    </w:rPr>
                                  </w:pPr>
                                  <w:r w:rsidRPr="00EE46E2">
                                    <w:rPr>
                                      <w:rFonts w:cstheme="minorHAnsi"/>
                                      <w:sz w:val="13"/>
                                      <w:szCs w:val="13"/>
                                    </w:rPr>
                                    <w:t>Figure</w:t>
                                  </w:r>
                                </w:p>
                              </w:tc>
                              <w:tc>
                                <w:tcPr>
                                  <w:tcW w:w="0" w:type="auto"/>
                                  <w:tcBorders>
                                    <w:top w:val="single" w:sz="4" w:space="0" w:color="auto"/>
                                    <w:left w:val="single" w:sz="4" w:space="0" w:color="auto"/>
                                    <w:right w:val="single" w:sz="4" w:space="0" w:color="auto"/>
                                  </w:tcBorders>
                                </w:tcPr>
                                <w:p w14:paraId="73121284" w14:textId="77777777" w:rsidR="008B0834" w:rsidRPr="00EE46E2" w:rsidRDefault="008B0834" w:rsidP="00ED6EA6">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175D4F63" w14:textId="77777777" w:rsidR="008B0834" w:rsidRPr="00EE46E2" w:rsidRDefault="008B0834" w:rsidP="00ED6EA6">
                                  <w:pPr>
                                    <w:spacing w:line="360" w:lineRule="auto"/>
                                    <w:jc w:val="right"/>
                                    <w:rPr>
                                      <w:rFonts w:cstheme="minorHAnsi"/>
                                      <w:sz w:val="13"/>
                                      <w:szCs w:val="13"/>
                                    </w:rPr>
                                  </w:pPr>
                                  <w:r w:rsidRPr="00EE46E2">
                                    <w:rPr>
                                      <w:rFonts w:cstheme="minorHAnsi"/>
                                      <w:sz w:val="13"/>
                                      <w:szCs w:val="13"/>
                                    </w:rPr>
                                    <w:t>WA share</w:t>
                                  </w:r>
                                </w:p>
                              </w:tc>
                            </w:tr>
                            <w:tr w:rsidR="008B0834" w:rsidRPr="00EE46E2" w14:paraId="1AD8A801" w14:textId="77777777" w:rsidTr="00DA5BE3">
                              <w:tc>
                                <w:tcPr>
                                  <w:tcW w:w="0" w:type="auto"/>
                                  <w:tcBorders>
                                    <w:left w:val="single" w:sz="4" w:space="0" w:color="auto"/>
                                    <w:right w:val="single" w:sz="4" w:space="0" w:color="auto"/>
                                  </w:tcBorders>
                                </w:tcPr>
                                <w:p w14:paraId="37720811" w14:textId="77777777" w:rsidR="008B0834" w:rsidRPr="008809A4" w:rsidRDefault="008B0834" w:rsidP="00ED6EA6">
                                  <w:pPr>
                                    <w:spacing w:line="360" w:lineRule="auto"/>
                                    <w:rPr>
                                      <w:rFonts w:cstheme="minorHAnsi"/>
                                      <w:sz w:val="13"/>
                                      <w:szCs w:val="13"/>
                                    </w:rPr>
                                  </w:pPr>
                                  <w:r w:rsidRPr="008809A4">
                                    <w:rPr>
                                      <w:rFonts w:cstheme="minorHAnsi"/>
                                      <w:sz w:val="13"/>
                                      <w:szCs w:val="13"/>
                                    </w:rPr>
                                    <w:t>Gross regional product: 2021-22</w:t>
                                  </w:r>
                                </w:p>
                              </w:tc>
                              <w:tc>
                                <w:tcPr>
                                  <w:tcW w:w="795" w:type="dxa"/>
                                  <w:tcBorders>
                                    <w:left w:val="single" w:sz="4" w:space="0" w:color="auto"/>
                                    <w:right w:val="single" w:sz="4" w:space="0" w:color="auto"/>
                                  </w:tcBorders>
                                </w:tcPr>
                                <w:p w14:paraId="2CAC52D0"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$9.9b</w:t>
                                  </w:r>
                                </w:p>
                              </w:tc>
                              <w:tc>
                                <w:tcPr>
                                  <w:tcW w:w="1128" w:type="dxa"/>
                                  <w:tcBorders>
                                    <w:left w:val="single" w:sz="4" w:space="0" w:color="auto"/>
                                    <w:right w:val="single" w:sz="4" w:space="0" w:color="auto"/>
                                  </w:tcBorders>
                                </w:tcPr>
                                <w:p w14:paraId="69F1B8D9"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+9.0%</w:t>
                                  </w:r>
                                </w:p>
                              </w:tc>
                              <w:tc>
                                <w:tcPr>
                                  <w:tcW w:w="0" w:type="auto"/>
                                  <w:tcBorders>
                                    <w:left w:val="single" w:sz="4" w:space="0" w:color="auto"/>
                                    <w:right w:val="single" w:sz="4" w:space="0" w:color="auto"/>
                                  </w:tcBorders>
                                </w:tcPr>
                                <w:p w14:paraId="794D3B04"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2.5%</w:t>
                                  </w:r>
                                </w:p>
                              </w:tc>
                              <w:tc>
                                <w:tcPr>
                                  <w:tcW w:w="0" w:type="auto"/>
                                  <w:tcBorders>
                                    <w:right w:val="single" w:sz="4" w:space="0" w:color="auto"/>
                                  </w:tcBorders>
                                </w:tcPr>
                                <w:p w14:paraId="22DDEEA8" w14:textId="77777777" w:rsidR="008B0834" w:rsidRPr="00EE46E2" w:rsidRDefault="008B0834" w:rsidP="00ED6EA6">
                                  <w:pPr>
                                    <w:rPr>
                                      <w:rFonts w:cstheme="minorHAnsi"/>
                                      <w:sz w:val="13"/>
                                      <w:szCs w:val="13"/>
                                    </w:rPr>
                                  </w:pPr>
                                </w:p>
                              </w:tc>
                              <w:tc>
                                <w:tcPr>
                                  <w:tcW w:w="0" w:type="auto"/>
                                  <w:tcBorders>
                                    <w:left w:val="single" w:sz="4" w:space="0" w:color="auto"/>
                                    <w:right w:val="single" w:sz="4" w:space="0" w:color="auto"/>
                                  </w:tcBorders>
                                </w:tcPr>
                                <w:p w14:paraId="37197394" w14:textId="77777777" w:rsidR="008B0834" w:rsidRPr="008809A4" w:rsidRDefault="008B0834" w:rsidP="00ED6EA6">
                                  <w:pPr>
                                    <w:spacing w:line="360" w:lineRule="auto"/>
                                    <w:rPr>
                                      <w:rFonts w:cstheme="minorHAnsi"/>
                                      <w:sz w:val="13"/>
                                      <w:szCs w:val="13"/>
                                    </w:rPr>
                                  </w:pPr>
                                  <w:r w:rsidRPr="008809A4">
                                    <w:rPr>
                                      <w:rFonts w:cstheme="minorHAnsi"/>
                                      <w:sz w:val="13"/>
                                      <w:szCs w:val="13"/>
                                    </w:rPr>
                                    <w:t>Gross regional product: 2021-22</w:t>
                                  </w:r>
                                </w:p>
                              </w:tc>
                              <w:tc>
                                <w:tcPr>
                                  <w:tcW w:w="0" w:type="auto"/>
                                  <w:tcBorders>
                                    <w:left w:val="single" w:sz="4" w:space="0" w:color="auto"/>
                                    <w:right w:val="single" w:sz="4" w:space="0" w:color="auto"/>
                                  </w:tcBorders>
                                </w:tcPr>
                                <w:p w14:paraId="6673D8B8"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$13.1b</w:t>
                                  </w:r>
                                </w:p>
                              </w:tc>
                              <w:tc>
                                <w:tcPr>
                                  <w:tcW w:w="0" w:type="auto"/>
                                  <w:tcBorders>
                                    <w:left w:val="single" w:sz="4" w:space="0" w:color="auto"/>
                                    <w:right w:val="single" w:sz="4" w:space="0" w:color="auto"/>
                                  </w:tcBorders>
                                </w:tcPr>
                                <w:p w14:paraId="054DF086"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+22.4%</w:t>
                                  </w:r>
                                </w:p>
                              </w:tc>
                              <w:tc>
                                <w:tcPr>
                                  <w:tcW w:w="0" w:type="auto"/>
                                  <w:tcBorders>
                                    <w:left w:val="single" w:sz="4" w:space="0" w:color="auto"/>
                                    <w:right w:val="single" w:sz="4" w:space="0" w:color="auto"/>
                                  </w:tcBorders>
                                </w:tcPr>
                                <w:p w14:paraId="1A110AD1"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3.2%</w:t>
                                  </w:r>
                                </w:p>
                              </w:tc>
                            </w:tr>
                            <w:tr w:rsidR="008B0834" w:rsidRPr="00EE46E2" w14:paraId="462C6101" w14:textId="77777777" w:rsidTr="00DA5BE3">
                              <w:tc>
                                <w:tcPr>
                                  <w:tcW w:w="0" w:type="auto"/>
                                  <w:tcBorders>
                                    <w:left w:val="single" w:sz="4" w:space="0" w:color="auto"/>
                                    <w:right w:val="single" w:sz="4" w:space="0" w:color="auto"/>
                                  </w:tcBorders>
                                </w:tcPr>
                                <w:p w14:paraId="04B1EB0F" w14:textId="77777777" w:rsidR="008B0834" w:rsidRPr="008809A4" w:rsidRDefault="008B0834" w:rsidP="00ED6EA6">
                                  <w:pPr>
                                    <w:spacing w:line="360" w:lineRule="auto"/>
                                    <w:rPr>
                                      <w:rFonts w:cstheme="minorHAnsi"/>
                                      <w:sz w:val="13"/>
                                      <w:szCs w:val="13"/>
                                    </w:rPr>
                                  </w:pPr>
                                  <w:r w:rsidRPr="008809A4">
                                    <w:rPr>
                                      <w:rFonts w:cstheme="minorHAnsi"/>
                                      <w:sz w:val="13"/>
                                      <w:szCs w:val="13"/>
                                    </w:rPr>
                                    <w:t>Population: 2021-22</w:t>
                                  </w:r>
                                </w:p>
                              </w:tc>
                              <w:tc>
                                <w:tcPr>
                                  <w:tcW w:w="795" w:type="dxa"/>
                                  <w:tcBorders>
                                    <w:left w:val="single" w:sz="4" w:space="0" w:color="auto"/>
                                    <w:right w:val="single" w:sz="4" w:space="0" w:color="auto"/>
                                  </w:tcBorders>
                                </w:tcPr>
                                <w:p w14:paraId="389356DF"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155,546</w:t>
                                  </w:r>
                                </w:p>
                              </w:tc>
                              <w:tc>
                                <w:tcPr>
                                  <w:tcW w:w="1128" w:type="dxa"/>
                                  <w:tcBorders>
                                    <w:left w:val="single" w:sz="4" w:space="0" w:color="auto"/>
                                    <w:right w:val="single" w:sz="4" w:space="0" w:color="auto"/>
                                  </w:tcBorders>
                                </w:tcPr>
                                <w:p w14:paraId="07787A3D"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+2.7%</w:t>
                                  </w:r>
                                </w:p>
                              </w:tc>
                              <w:tc>
                                <w:tcPr>
                                  <w:tcW w:w="0" w:type="auto"/>
                                  <w:tcBorders>
                                    <w:left w:val="single" w:sz="4" w:space="0" w:color="auto"/>
                                    <w:right w:val="single" w:sz="4" w:space="0" w:color="auto"/>
                                  </w:tcBorders>
                                </w:tcPr>
                                <w:p w14:paraId="33F625BE"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5.6%</w:t>
                                  </w:r>
                                </w:p>
                              </w:tc>
                              <w:tc>
                                <w:tcPr>
                                  <w:tcW w:w="0" w:type="auto"/>
                                  <w:tcBorders>
                                    <w:right w:val="single" w:sz="4" w:space="0" w:color="auto"/>
                                  </w:tcBorders>
                                </w:tcPr>
                                <w:p w14:paraId="0512AA9E" w14:textId="77777777" w:rsidR="008B0834" w:rsidRPr="008536A7" w:rsidRDefault="008B0834" w:rsidP="00ED6EA6">
                                  <w:pPr>
                                    <w:rPr>
                                      <w:rFonts w:cstheme="minorHAnsi"/>
                                      <w:sz w:val="13"/>
                                      <w:szCs w:val="13"/>
                                    </w:rPr>
                                  </w:pPr>
                                </w:p>
                              </w:tc>
                              <w:tc>
                                <w:tcPr>
                                  <w:tcW w:w="0" w:type="auto"/>
                                  <w:tcBorders>
                                    <w:left w:val="single" w:sz="4" w:space="0" w:color="auto"/>
                                    <w:right w:val="single" w:sz="4" w:space="0" w:color="auto"/>
                                  </w:tcBorders>
                                </w:tcPr>
                                <w:p w14:paraId="3828128A" w14:textId="77777777" w:rsidR="008B0834" w:rsidRPr="008809A4" w:rsidRDefault="008B0834" w:rsidP="00ED6EA6">
                                  <w:pPr>
                                    <w:spacing w:line="360" w:lineRule="auto"/>
                                    <w:rPr>
                                      <w:rFonts w:cstheme="minorHAnsi"/>
                                      <w:sz w:val="13"/>
                                      <w:szCs w:val="13"/>
                                    </w:rPr>
                                  </w:pPr>
                                  <w:r w:rsidRPr="008809A4">
                                    <w:rPr>
                                      <w:rFonts w:cstheme="minorHAnsi"/>
                                      <w:sz w:val="13"/>
                                      <w:szCs w:val="13"/>
                                    </w:rPr>
                                    <w:t>Population: 2021-22</w:t>
                                  </w:r>
                                </w:p>
                              </w:tc>
                              <w:tc>
                                <w:tcPr>
                                  <w:tcW w:w="0" w:type="auto"/>
                                  <w:tcBorders>
                                    <w:left w:val="single" w:sz="4" w:space="0" w:color="auto"/>
                                    <w:right w:val="single" w:sz="4" w:space="0" w:color="auto"/>
                                  </w:tcBorders>
                                </w:tcPr>
                                <w:p w14:paraId="745C193D"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57,499</w:t>
                                  </w:r>
                                </w:p>
                              </w:tc>
                              <w:tc>
                                <w:tcPr>
                                  <w:tcW w:w="0" w:type="auto"/>
                                  <w:tcBorders>
                                    <w:left w:val="single" w:sz="4" w:space="0" w:color="auto"/>
                                    <w:right w:val="single" w:sz="4" w:space="0" w:color="auto"/>
                                  </w:tcBorders>
                                </w:tcPr>
                                <w:p w14:paraId="0C412296"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+0.3%</w:t>
                                  </w:r>
                                </w:p>
                              </w:tc>
                              <w:tc>
                                <w:tcPr>
                                  <w:tcW w:w="0" w:type="auto"/>
                                  <w:tcBorders>
                                    <w:left w:val="single" w:sz="4" w:space="0" w:color="auto"/>
                                    <w:right w:val="single" w:sz="4" w:space="0" w:color="auto"/>
                                  </w:tcBorders>
                                </w:tcPr>
                                <w:p w14:paraId="39D89DD9"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2.1%</w:t>
                                  </w:r>
                                </w:p>
                              </w:tc>
                            </w:tr>
                            <w:tr w:rsidR="008B0834" w:rsidRPr="00EE46E2" w14:paraId="2C8822EA" w14:textId="77777777" w:rsidTr="00DA5BE3">
                              <w:tc>
                                <w:tcPr>
                                  <w:tcW w:w="0" w:type="auto"/>
                                  <w:tcBorders>
                                    <w:left w:val="single" w:sz="4" w:space="0" w:color="auto"/>
                                    <w:right w:val="single" w:sz="4" w:space="0" w:color="auto"/>
                                  </w:tcBorders>
                                </w:tcPr>
                                <w:p w14:paraId="2F922EAB"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795" w:type="dxa"/>
                                  <w:tcBorders>
                                    <w:left w:val="single" w:sz="4" w:space="0" w:color="auto"/>
                                    <w:right w:val="single" w:sz="4" w:space="0" w:color="auto"/>
                                  </w:tcBorders>
                                </w:tcPr>
                                <w:p w14:paraId="16151EA8"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65,977</w:t>
                                  </w:r>
                                </w:p>
                              </w:tc>
                              <w:tc>
                                <w:tcPr>
                                  <w:tcW w:w="1128" w:type="dxa"/>
                                  <w:tcBorders>
                                    <w:left w:val="single" w:sz="4" w:space="0" w:color="auto"/>
                                    <w:right w:val="single" w:sz="4" w:space="0" w:color="auto"/>
                                  </w:tcBorders>
                                </w:tcPr>
                                <w:p w14:paraId="4345BFEA"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-1.7%</w:t>
                                  </w:r>
                                </w:p>
                              </w:tc>
                              <w:tc>
                                <w:tcPr>
                                  <w:tcW w:w="0" w:type="auto"/>
                                  <w:tcBorders>
                                    <w:left w:val="single" w:sz="4" w:space="0" w:color="auto"/>
                                    <w:right w:val="single" w:sz="4" w:space="0" w:color="auto"/>
                                  </w:tcBorders>
                                </w:tcPr>
                                <w:p w14:paraId="65E04647"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4.3%</w:t>
                                  </w:r>
                                </w:p>
                              </w:tc>
                              <w:tc>
                                <w:tcPr>
                                  <w:tcW w:w="0" w:type="auto"/>
                                  <w:tcBorders>
                                    <w:right w:val="single" w:sz="4" w:space="0" w:color="auto"/>
                                  </w:tcBorders>
                                </w:tcPr>
                                <w:p w14:paraId="67F4FC90" w14:textId="77777777" w:rsidR="008B0834" w:rsidRPr="008536A7" w:rsidRDefault="008B0834" w:rsidP="00ED6EA6">
                                  <w:pPr>
                                    <w:rPr>
                                      <w:rFonts w:cstheme="minorHAnsi"/>
                                      <w:sz w:val="13"/>
                                      <w:szCs w:val="13"/>
                                    </w:rPr>
                                  </w:pPr>
                                </w:p>
                              </w:tc>
                              <w:tc>
                                <w:tcPr>
                                  <w:tcW w:w="0" w:type="auto"/>
                                  <w:tcBorders>
                                    <w:left w:val="single" w:sz="4" w:space="0" w:color="auto"/>
                                    <w:right w:val="single" w:sz="4" w:space="0" w:color="auto"/>
                                  </w:tcBorders>
                                </w:tcPr>
                                <w:p w14:paraId="3C8A1A4C"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0" w:type="auto"/>
                                  <w:tcBorders>
                                    <w:left w:val="single" w:sz="4" w:space="0" w:color="auto"/>
                                    <w:right w:val="single" w:sz="4" w:space="0" w:color="auto"/>
                                  </w:tcBorders>
                                </w:tcPr>
                                <w:p w14:paraId="191FA45D"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32,850</w:t>
                                  </w:r>
                                </w:p>
                              </w:tc>
                              <w:tc>
                                <w:tcPr>
                                  <w:tcW w:w="0" w:type="auto"/>
                                  <w:tcBorders>
                                    <w:left w:val="single" w:sz="4" w:space="0" w:color="auto"/>
                                    <w:right w:val="single" w:sz="4" w:space="0" w:color="auto"/>
                                  </w:tcBorders>
                                </w:tcPr>
                                <w:p w14:paraId="6DF13396"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-2.9%</w:t>
                                  </w:r>
                                </w:p>
                              </w:tc>
                              <w:tc>
                                <w:tcPr>
                                  <w:tcW w:w="0" w:type="auto"/>
                                  <w:tcBorders>
                                    <w:left w:val="single" w:sz="4" w:space="0" w:color="auto"/>
                                    <w:right w:val="single" w:sz="4" w:space="0" w:color="auto"/>
                                  </w:tcBorders>
                                </w:tcPr>
                                <w:p w14:paraId="5954FD59"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2.2%</w:t>
                                  </w:r>
                                </w:p>
                              </w:tc>
                            </w:tr>
                            <w:tr w:rsidR="008B0834" w:rsidRPr="00EE46E2" w14:paraId="71F3B07F" w14:textId="77777777" w:rsidTr="00DA5BE3">
                              <w:tc>
                                <w:tcPr>
                                  <w:tcW w:w="0" w:type="auto"/>
                                  <w:tcBorders>
                                    <w:left w:val="single" w:sz="4" w:space="0" w:color="auto"/>
                                    <w:right w:val="single" w:sz="4" w:space="0" w:color="auto"/>
                                  </w:tcBorders>
                                </w:tcPr>
                                <w:p w14:paraId="7DB02DD7"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795" w:type="dxa"/>
                                  <w:tcBorders>
                                    <w:left w:val="single" w:sz="4" w:space="0" w:color="auto"/>
                                    <w:right w:val="single" w:sz="4" w:space="0" w:color="auto"/>
                                  </w:tcBorders>
                                </w:tcPr>
                                <w:p w14:paraId="6ADB9234"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3.8%</w:t>
                                  </w:r>
                                </w:p>
                              </w:tc>
                              <w:tc>
                                <w:tcPr>
                                  <w:tcW w:w="1128" w:type="dxa"/>
                                  <w:tcBorders>
                                    <w:left w:val="single" w:sz="4" w:space="0" w:color="auto"/>
                                    <w:right w:val="single" w:sz="4" w:space="0" w:color="auto"/>
                                  </w:tcBorders>
                                </w:tcPr>
                                <w:p w14:paraId="0484D3E6"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-0.8pp</w:t>
                                  </w:r>
                                </w:p>
                              </w:tc>
                              <w:tc>
                                <w:tcPr>
                                  <w:tcW w:w="0" w:type="auto"/>
                                  <w:tcBorders>
                                    <w:left w:val="single" w:sz="4" w:space="0" w:color="auto"/>
                                    <w:right w:val="single" w:sz="4" w:space="0" w:color="auto"/>
                                  </w:tcBorders>
                                </w:tcPr>
                                <w:p w14:paraId="76C1CD88" w14:textId="77777777" w:rsidR="008B0834" w:rsidRPr="00351552" w:rsidRDefault="008B0834" w:rsidP="00ED6EA6">
                                  <w:pPr>
                                    <w:spacing w:line="360" w:lineRule="auto"/>
                                    <w:jc w:val="right"/>
                                    <w:rPr>
                                      <w:rFonts w:cstheme="minorHAnsi"/>
                                      <w:color w:val="000000" w:themeColor="text1"/>
                                      <w:sz w:val="13"/>
                                      <w:szCs w:val="13"/>
                                    </w:rPr>
                                  </w:pPr>
                                </w:p>
                              </w:tc>
                              <w:tc>
                                <w:tcPr>
                                  <w:tcW w:w="0" w:type="auto"/>
                                  <w:tcBorders>
                                    <w:right w:val="single" w:sz="4" w:space="0" w:color="auto"/>
                                  </w:tcBorders>
                                </w:tcPr>
                                <w:p w14:paraId="03F6D657" w14:textId="77777777" w:rsidR="008B0834" w:rsidRPr="008536A7" w:rsidRDefault="008B0834" w:rsidP="00ED6EA6">
                                  <w:pPr>
                                    <w:rPr>
                                      <w:rFonts w:cstheme="minorHAnsi"/>
                                      <w:sz w:val="13"/>
                                      <w:szCs w:val="13"/>
                                    </w:rPr>
                                  </w:pPr>
                                </w:p>
                              </w:tc>
                              <w:tc>
                                <w:tcPr>
                                  <w:tcW w:w="0" w:type="auto"/>
                                  <w:tcBorders>
                                    <w:left w:val="single" w:sz="4" w:space="0" w:color="auto"/>
                                    <w:right w:val="single" w:sz="4" w:space="0" w:color="auto"/>
                                  </w:tcBorders>
                                </w:tcPr>
                                <w:p w14:paraId="2F898BDE"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0" w:type="auto"/>
                                  <w:tcBorders>
                                    <w:left w:val="single" w:sz="4" w:space="0" w:color="auto"/>
                                    <w:right w:val="single" w:sz="4" w:space="0" w:color="auto"/>
                                  </w:tcBorders>
                                </w:tcPr>
                                <w:p w14:paraId="4AC78955"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2.7%</w:t>
                                  </w:r>
                                </w:p>
                              </w:tc>
                              <w:tc>
                                <w:tcPr>
                                  <w:tcW w:w="0" w:type="auto"/>
                                  <w:tcBorders>
                                    <w:left w:val="single" w:sz="4" w:space="0" w:color="auto"/>
                                    <w:right w:val="single" w:sz="4" w:space="0" w:color="auto"/>
                                  </w:tcBorders>
                                </w:tcPr>
                                <w:p w14:paraId="63EC58DE"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+0.7pp</w:t>
                                  </w:r>
                                </w:p>
                              </w:tc>
                              <w:tc>
                                <w:tcPr>
                                  <w:tcW w:w="0" w:type="auto"/>
                                  <w:tcBorders>
                                    <w:left w:val="single" w:sz="4" w:space="0" w:color="auto"/>
                                    <w:right w:val="single" w:sz="4" w:space="0" w:color="auto"/>
                                  </w:tcBorders>
                                </w:tcPr>
                                <w:p w14:paraId="7D1A386D" w14:textId="77777777" w:rsidR="008B0834" w:rsidRPr="00351552" w:rsidRDefault="008B0834" w:rsidP="00ED6EA6">
                                  <w:pPr>
                                    <w:spacing w:line="360" w:lineRule="auto"/>
                                    <w:jc w:val="right"/>
                                    <w:rPr>
                                      <w:rFonts w:cstheme="minorHAnsi"/>
                                      <w:color w:val="000000" w:themeColor="text1"/>
                                      <w:sz w:val="13"/>
                                      <w:szCs w:val="13"/>
                                    </w:rPr>
                                  </w:pPr>
                                </w:p>
                              </w:tc>
                            </w:tr>
                            <w:tr w:rsidR="008B0834" w:rsidRPr="00EE46E2" w14:paraId="63BB4148" w14:textId="77777777" w:rsidTr="00DA5BE3">
                              <w:tc>
                                <w:tcPr>
                                  <w:tcW w:w="0" w:type="auto"/>
                                  <w:tcBorders>
                                    <w:left w:val="single" w:sz="4" w:space="0" w:color="auto"/>
                                    <w:right w:val="single" w:sz="4" w:space="0" w:color="auto"/>
                                  </w:tcBorders>
                                </w:tcPr>
                                <w:p w14:paraId="2CC6DE91"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2"/>
                                      <w:szCs w:val="12"/>
                                    </w:rPr>
                                    <w:t>Minerals &amp; petroleum sales: 2022-23</w:t>
                                  </w:r>
                                </w:p>
                              </w:tc>
                              <w:tc>
                                <w:tcPr>
                                  <w:tcW w:w="795" w:type="dxa"/>
                                  <w:tcBorders>
                                    <w:left w:val="single" w:sz="4" w:space="0" w:color="auto"/>
                                    <w:right w:val="single" w:sz="4" w:space="0" w:color="auto"/>
                                  </w:tcBorders>
                                </w:tcPr>
                                <w:p w14:paraId="64551FD7"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$9.5b</w:t>
                                  </w:r>
                                </w:p>
                              </w:tc>
                              <w:tc>
                                <w:tcPr>
                                  <w:tcW w:w="1128" w:type="dxa"/>
                                  <w:tcBorders>
                                    <w:left w:val="single" w:sz="4" w:space="0" w:color="auto"/>
                                    <w:right w:val="single" w:sz="4" w:space="0" w:color="auto"/>
                                  </w:tcBorders>
                                </w:tcPr>
                                <w:p w14:paraId="30B359AB"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+5.1%</w:t>
                                  </w:r>
                                </w:p>
                              </w:tc>
                              <w:tc>
                                <w:tcPr>
                                  <w:tcW w:w="0" w:type="auto"/>
                                  <w:tcBorders>
                                    <w:left w:val="single" w:sz="4" w:space="0" w:color="auto"/>
                                    <w:right w:val="single" w:sz="4" w:space="0" w:color="auto"/>
                                  </w:tcBorders>
                                </w:tcPr>
                                <w:p w14:paraId="6B83B170"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3.7%</w:t>
                                  </w:r>
                                </w:p>
                              </w:tc>
                              <w:tc>
                                <w:tcPr>
                                  <w:tcW w:w="0" w:type="auto"/>
                                  <w:tcBorders>
                                    <w:right w:val="single" w:sz="4" w:space="0" w:color="auto"/>
                                  </w:tcBorders>
                                </w:tcPr>
                                <w:p w14:paraId="363AF7FF" w14:textId="77777777" w:rsidR="008B0834" w:rsidRPr="00DE6518" w:rsidRDefault="008B0834" w:rsidP="00ED6EA6">
                                  <w:pPr>
                                    <w:rPr>
                                      <w:rFonts w:cstheme="minorHAnsi"/>
                                      <w:sz w:val="13"/>
                                      <w:szCs w:val="13"/>
                                    </w:rPr>
                                  </w:pPr>
                                </w:p>
                              </w:tc>
                              <w:tc>
                                <w:tcPr>
                                  <w:tcW w:w="0" w:type="auto"/>
                                  <w:tcBorders>
                                    <w:left w:val="single" w:sz="4" w:space="0" w:color="auto"/>
                                    <w:right w:val="single" w:sz="4" w:space="0" w:color="auto"/>
                                  </w:tcBorders>
                                </w:tcPr>
                                <w:p w14:paraId="0F48B11B"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2"/>
                                      <w:szCs w:val="12"/>
                                    </w:rPr>
                                    <w:t>Minerals &amp; petroleum sales: 2022-23</w:t>
                                  </w:r>
                                </w:p>
                              </w:tc>
                              <w:tc>
                                <w:tcPr>
                                  <w:tcW w:w="0" w:type="auto"/>
                                  <w:tcBorders>
                                    <w:left w:val="single" w:sz="4" w:space="0" w:color="auto"/>
                                    <w:right w:val="single" w:sz="4" w:space="0" w:color="auto"/>
                                  </w:tcBorders>
                                </w:tcPr>
                                <w:p w14:paraId="72BF0683"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$22.8b</w:t>
                                  </w:r>
                                </w:p>
                              </w:tc>
                              <w:tc>
                                <w:tcPr>
                                  <w:tcW w:w="0" w:type="auto"/>
                                  <w:tcBorders>
                                    <w:left w:val="single" w:sz="4" w:space="0" w:color="auto"/>
                                    <w:right w:val="single" w:sz="4" w:space="0" w:color="auto"/>
                                  </w:tcBorders>
                                </w:tcPr>
                                <w:p w14:paraId="2569C827"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+16.4%</w:t>
                                  </w:r>
                                </w:p>
                              </w:tc>
                              <w:tc>
                                <w:tcPr>
                                  <w:tcW w:w="0" w:type="auto"/>
                                  <w:tcBorders>
                                    <w:left w:val="single" w:sz="4" w:space="0" w:color="auto"/>
                                    <w:right w:val="single" w:sz="4" w:space="0" w:color="auto"/>
                                  </w:tcBorders>
                                </w:tcPr>
                                <w:p w14:paraId="66303DAF"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9.0%</w:t>
                                  </w:r>
                                </w:p>
                              </w:tc>
                            </w:tr>
                            <w:tr w:rsidR="008B0834" w:rsidRPr="00EE46E2" w14:paraId="17C149B7" w14:textId="77777777" w:rsidTr="00DA5BE3">
                              <w:tc>
                                <w:tcPr>
                                  <w:tcW w:w="0" w:type="auto"/>
                                  <w:tcBorders>
                                    <w:left w:val="single" w:sz="4" w:space="0" w:color="auto"/>
                                    <w:right w:val="single" w:sz="4" w:space="0" w:color="auto"/>
                                  </w:tcBorders>
                                </w:tcPr>
                                <w:p w14:paraId="21C457C7" w14:textId="77777777" w:rsidR="008B0834" w:rsidRPr="001B3607" w:rsidRDefault="008B0834" w:rsidP="00ED6EA6">
                                  <w:pPr>
                                    <w:spacing w:line="360" w:lineRule="auto"/>
                                    <w:rPr>
                                      <w:rFonts w:cstheme="minorHAnsi"/>
                                      <w:sz w:val="13"/>
                                      <w:szCs w:val="13"/>
                                    </w:rPr>
                                  </w:pPr>
                                  <w:r w:rsidRPr="001B3607">
                                    <w:rPr>
                                      <w:rFonts w:cstheme="minorHAnsi"/>
                                      <w:sz w:val="13"/>
                                      <w:szCs w:val="13"/>
                                    </w:rPr>
                                    <w:t xml:space="preserve">Building approvals: </w:t>
                                  </w:r>
                                  <w:r w:rsidRPr="00023AE2">
                                    <w:rPr>
                                      <w:rFonts w:cstheme="minorHAnsi"/>
                                      <w:sz w:val="13"/>
                                      <w:szCs w:val="13"/>
                                    </w:rPr>
                                    <w:t>2022-23</w:t>
                                  </w:r>
                                </w:p>
                              </w:tc>
                              <w:tc>
                                <w:tcPr>
                                  <w:tcW w:w="795" w:type="dxa"/>
                                  <w:tcBorders>
                                    <w:left w:val="single" w:sz="4" w:space="0" w:color="auto"/>
                                    <w:right w:val="single" w:sz="4" w:space="0" w:color="auto"/>
                                  </w:tcBorders>
                                </w:tcPr>
                                <w:p w14:paraId="046820FF"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$65</w:t>
                                  </w:r>
                                  <w:r w:rsidRPr="00EC3F24">
                                    <w:rPr>
                                      <w:rFonts w:cstheme="minorHAnsi"/>
                                      <w:sz w:val="13"/>
                                      <w:szCs w:val="13"/>
                                    </w:rPr>
                                    <w:t>5</w:t>
                                  </w:r>
                                  <w:r w:rsidRPr="001B3607">
                                    <w:rPr>
                                      <w:rFonts w:cstheme="minorHAnsi"/>
                                      <w:sz w:val="13"/>
                                      <w:szCs w:val="13"/>
                                    </w:rPr>
                                    <w:t>m</w:t>
                                  </w:r>
                                </w:p>
                              </w:tc>
                              <w:tc>
                                <w:tcPr>
                                  <w:tcW w:w="1128" w:type="dxa"/>
                                  <w:tcBorders>
                                    <w:left w:val="single" w:sz="4" w:space="0" w:color="auto"/>
                                    <w:right w:val="single" w:sz="4" w:space="0" w:color="auto"/>
                                  </w:tcBorders>
                                </w:tcPr>
                                <w:p w14:paraId="29C696DA"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w:t>
                                  </w:r>
                                  <w:r w:rsidRPr="00EC3F24">
                                    <w:rPr>
                                      <w:rFonts w:cstheme="minorHAnsi"/>
                                      <w:sz w:val="13"/>
                                      <w:szCs w:val="13"/>
                                    </w:rPr>
                                    <w:t>0.6</w:t>
                                  </w:r>
                                  <w:r w:rsidRPr="001B3607">
                                    <w:rPr>
                                      <w:rFonts w:cstheme="minorHAnsi"/>
                                      <w:sz w:val="13"/>
                                      <w:szCs w:val="13"/>
                                    </w:rPr>
                                    <w:t>%</w:t>
                                  </w:r>
                                </w:p>
                              </w:tc>
                              <w:tc>
                                <w:tcPr>
                                  <w:tcW w:w="0" w:type="auto"/>
                                  <w:tcBorders>
                                    <w:left w:val="single" w:sz="4" w:space="0" w:color="auto"/>
                                    <w:right w:val="single" w:sz="4" w:space="0" w:color="auto"/>
                                  </w:tcBorders>
                                </w:tcPr>
                                <w:p w14:paraId="4295F639"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5.</w:t>
                                  </w:r>
                                  <w:r w:rsidRPr="00EC3F24">
                                    <w:rPr>
                                      <w:rFonts w:cstheme="minorHAnsi"/>
                                      <w:sz w:val="13"/>
                                      <w:szCs w:val="13"/>
                                    </w:rPr>
                                    <w:t>8</w:t>
                                  </w:r>
                                  <w:r w:rsidRPr="001B3607">
                                    <w:rPr>
                                      <w:rFonts w:cstheme="minorHAnsi"/>
                                      <w:sz w:val="13"/>
                                      <w:szCs w:val="13"/>
                                    </w:rPr>
                                    <w:t>%</w:t>
                                  </w:r>
                                </w:p>
                              </w:tc>
                              <w:tc>
                                <w:tcPr>
                                  <w:tcW w:w="0" w:type="auto"/>
                                  <w:tcBorders>
                                    <w:right w:val="single" w:sz="4" w:space="0" w:color="auto"/>
                                  </w:tcBorders>
                                </w:tcPr>
                                <w:p w14:paraId="0E13B80F" w14:textId="77777777" w:rsidR="008B0834" w:rsidRPr="00DA0886" w:rsidRDefault="008B0834" w:rsidP="00ED6EA6">
                                  <w:pPr>
                                    <w:rPr>
                                      <w:rFonts w:cstheme="minorHAnsi"/>
                                      <w:sz w:val="13"/>
                                      <w:szCs w:val="13"/>
                                    </w:rPr>
                                  </w:pPr>
                                </w:p>
                              </w:tc>
                              <w:tc>
                                <w:tcPr>
                                  <w:tcW w:w="0" w:type="auto"/>
                                  <w:tcBorders>
                                    <w:left w:val="single" w:sz="4" w:space="0" w:color="auto"/>
                                    <w:right w:val="single" w:sz="4" w:space="0" w:color="auto"/>
                                  </w:tcBorders>
                                </w:tcPr>
                                <w:p w14:paraId="2588D8A4" w14:textId="77777777" w:rsidR="008B0834" w:rsidRPr="001B3607" w:rsidRDefault="008B0834" w:rsidP="00ED6EA6">
                                  <w:pPr>
                                    <w:spacing w:line="360" w:lineRule="auto"/>
                                    <w:rPr>
                                      <w:rFonts w:cstheme="minorHAnsi"/>
                                      <w:sz w:val="13"/>
                                      <w:szCs w:val="13"/>
                                    </w:rPr>
                                  </w:pPr>
                                  <w:r w:rsidRPr="001B3607">
                                    <w:rPr>
                                      <w:rFonts w:cstheme="minorHAnsi"/>
                                      <w:sz w:val="13"/>
                                      <w:szCs w:val="13"/>
                                    </w:rPr>
                                    <w:t xml:space="preserve">Building approvals: </w:t>
                                  </w:r>
                                  <w:r w:rsidRPr="00EC3F24">
                                    <w:rPr>
                                      <w:rFonts w:cstheme="minorHAnsi"/>
                                      <w:sz w:val="13"/>
                                      <w:szCs w:val="13"/>
                                    </w:rPr>
                                    <w:t>2022-23</w:t>
                                  </w:r>
                                </w:p>
                              </w:tc>
                              <w:tc>
                                <w:tcPr>
                                  <w:tcW w:w="0" w:type="auto"/>
                                  <w:tcBorders>
                                    <w:left w:val="single" w:sz="4" w:space="0" w:color="auto"/>
                                    <w:right w:val="single" w:sz="4" w:space="0" w:color="auto"/>
                                  </w:tcBorders>
                                </w:tcPr>
                                <w:p w14:paraId="0DEBC01B"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w:t>
                                  </w:r>
                                  <w:r w:rsidRPr="00EC3F24">
                                    <w:rPr>
                                      <w:rFonts w:cstheme="minorHAnsi"/>
                                      <w:sz w:val="13"/>
                                      <w:szCs w:val="13"/>
                                    </w:rPr>
                                    <w:t>270</w:t>
                                  </w:r>
                                  <w:r w:rsidRPr="001B3607">
                                    <w:rPr>
                                      <w:rFonts w:cstheme="minorHAnsi"/>
                                      <w:sz w:val="13"/>
                                      <w:szCs w:val="13"/>
                                    </w:rPr>
                                    <w:t>m</w:t>
                                  </w:r>
                                </w:p>
                              </w:tc>
                              <w:tc>
                                <w:tcPr>
                                  <w:tcW w:w="0" w:type="auto"/>
                                  <w:tcBorders>
                                    <w:left w:val="single" w:sz="4" w:space="0" w:color="auto"/>
                                    <w:right w:val="single" w:sz="4" w:space="0" w:color="auto"/>
                                  </w:tcBorders>
                                </w:tcPr>
                                <w:p w14:paraId="28358BF3"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w:t>
                                  </w:r>
                                  <w:r w:rsidRPr="00EC3F24">
                                    <w:rPr>
                                      <w:rFonts w:cstheme="minorHAnsi"/>
                                      <w:sz w:val="13"/>
                                      <w:szCs w:val="13"/>
                                    </w:rPr>
                                    <w:t>71.5</w:t>
                                  </w:r>
                                  <w:r w:rsidRPr="001B3607">
                                    <w:rPr>
                                      <w:rFonts w:cstheme="minorHAnsi"/>
                                      <w:sz w:val="13"/>
                                      <w:szCs w:val="13"/>
                                    </w:rPr>
                                    <w:t>%</w:t>
                                  </w:r>
                                </w:p>
                              </w:tc>
                              <w:tc>
                                <w:tcPr>
                                  <w:tcW w:w="0" w:type="auto"/>
                                  <w:tcBorders>
                                    <w:left w:val="single" w:sz="4" w:space="0" w:color="auto"/>
                                    <w:right w:val="single" w:sz="4" w:space="0" w:color="auto"/>
                                  </w:tcBorders>
                                </w:tcPr>
                                <w:p w14:paraId="2946AF56" w14:textId="77777777" w:rsidR="008B0834" w:rsidRPr="001B3607" w:rsidRDefault="008B0834" w:rsidP="00ED6EA6">
                                  <w:pPr>
                                    <w:spacing w:line="360" w:lineRule="auto"/>
                                    <w:jc w:val="right"/>
                                    <w:rPr>
                                      <w:rFonts w:cstheme="minorHAnsi"/>
                                      <w:sz w:val="13"/>
                                      <w:szCs w:val="13"/>
                                    </w:rPr>
                                  </w:pPr>
                                  <w:r w:rsidRPr="00EC3F24">
                                    <w:rPr>
                                      <w:rFonts w:cstheme="minorHAnsi"/>
                                      <w:sz w:val="13"/>
                                      <w:szCs w:val="13"/>
                                    </w:rPr>
                                    <w:t>2.4</w:t>
                                  </w:r>
                                  <w:r w:rsidRPr="001B3607">
                                    <w:rPr>
                                      <w:rFonts w:cstheme="minorHAnsi"/>
                                      <w:sz w:val="13"/>
                                      <w:szCs w:val="13"/>
                                    </w:rPr>
                                    <w:t>%</w:t>
                                  </w:r>
                                </w:p>
                              </w:tc>
                            </w:tr>
                            <w:tr w:rsidR="008B0834" w:rsidRPr="00EE46E2" w14:paraId="256244AC" w14:textId="77777777" w:rsidTr="00DA5BE3">
                              <w:tc>
                                <w:tcPr>
                                  <w:tcW w:w="0" w:type="auto"/>
                                  <w:tcBorders>
                                    <w:left w:val="single" w:sz="4" w:space="0" w:color="auto"/>
                                    <w:bottom w:val="single" w:sz="4" w:space="0" w:color="auto"/>
                                    <w:right w:val="single" w:sz="4" w:space="0" w:color="auto"/>
                                  </w:tcBorders>
                                </w:tcPr>
                                <w:p w14:paraId="6D35B24A" w14:textId="77777777" w:rsidR="008B0834" w:rsidRPr="008809A4" w:rsidRDefault="008B0834" w:rsidP="00ED6EA6">
                                  <w:pPr>
                                    <w:spacing w:line="360" w:lineRule="auto"/>
                                    <w:rPr>
                                      <w:rFonts w:cstheme="minorHAnsi"/>
                                      <w:sz w:val="13"/>
                                      <w:szCs w:val="13"/>
                                    </w:rPr>
                                  </w:pPr>
                                  <w:r w:rsidRPr="008809A4">
                                    <w:rPr>
                                      <w:rFonts w:cstheme="minorHAnsi"/>
                                      <w:sz w:val="13"/>
                                      <w:szCs w:val="13"/>
                                    </w:rPr>
                                    <w:t>Overnight visitors a year: 2020-22</w:t>
                                  </w:r>
                                </w:p>
                              </w:tc>
                              <w:tc>
                                <w:tcPr>
                                  <w:tcW w:w="795" w:type="dxa"/>
                                  <w:tcBorders>
                                    <w:left w:val="single" w:sz="4" w:space="0" w:color="auto"/>
                                    <w:bottom w:val="single" w:sz="4" w:space="0" w:color="auto"/>
                                    <w:right w:val="single" w:sz="4" w:space="0" w:color="auto"/>
                                  </w:tcBorders>
                                </w:tcPr>
                                <w:p w14:paraId="4005C5A8"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675,000</w:t>
                                  </w:r>
                                </w:p>
                              </w:tc>
                              <w:tc>
                                <w:tcPr>
                                  <w:tcW w:w="1128" w:type="dxa"/>
                                  <w:tcBorders>
                                    <w:left w:val="single" w:sz="4" w:space="0" w:color="auto"/>
                                    <w:bottom w:val="single" w:sz="4" w:space="0" w:color="auto"/>
                                    <w:right w:val="single" w:sz="4" w:space="0" w:color="auto"/>
                                  </w:tcBorders>
                                </w:tcPr>
                                <w:p w14:paraId="387C92C7" w14:textId="77777777" w:rsidR="008B0834" w:rsidRPr="008809A4" w:rsidRDefault="008B0834" w:rsidP="00ED6EA6">
                                  <w:pPr>
                                    <w:spacing w:line="360" w:lineRule="auto"/>
                                    <w:jc w:val="right"/>
                                    <w:rPr>
                                      <w:rFonts w:cstheme="minorHAnsi"/>
                                      <w:sz w:val="13"/>
                                      <w:szCs w:val="13"/>
                                    </w:rPr>
                                  </w:pPr>
                                </w:p>
                              </w:tc>
                              <w:tc>
                                <w:tcPr>
                                  <w:tcW w:w="0" w:type="auto"/>
                                  <w:tcBorders>
                                    <w:left w:val="single" w:sz="4" w:space="0" w:color="auto"/>
                                    <w:bottom w:val="single" w:sz="4" w:space="0" w:color="auto"/>
                                    <w:right w:val="single" w:sz="4" w:space="0" w:color="auto"/>
                                  </w:tcBorders>
                                </w:tcPr>
                                <w:p w14:paraId="1E17A07B"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6.2%</w:t>
                                  </w:r>
                                </w:p>
                              </w:tc>
                              <w:tc>
                                <w:tcPr>
                                  <w:tcW w:w="0" w:type="auto"/>
                                  <w:tcBorders>
                                    <w:right w:val="single" w:sz="4" w:space="0" w:color="auto"/>
                                  </w:tcBorders>
                                </w:tcPr>
                                <w:p w14:paraId="0B744D67" w14:textId="77777777" w:rsidR="008B0834" w:rsidRPr="008536A7" w:rsidRDefault="008B0834" w:rsidP="00ED6EA6">
                                  <w:pPr>
                                    <w:rPr>
                                      <w:rFonts w:cstheme="minorHAnsi"/>
                                      <w:sz w:val="13"/>
                                      <w:szCs w:val="13"/>
                                    </w:rPr>
                                  </w:pPr>
                                </w:p>
                              </w:tc>
                              <w:tc>
                                <w:tcPr>
                                  <w:tcW w:w="0" w:type="auto"/>
                                  <w:tcBorders>
                                    <w:left w:val="single" w:sz="4" w:space="0" w:color="auto"/>
                                    <w:bottom w:val="single" w:sz="4" w:space="0" w:color="auto"/>
                                    <w:right w:val="single" w:sz="4" w:space="0" w:color="auto"/>
                                  </w:tcBorders>
                                </w:tcPr>
                                <w:p w14:paraId="07CA1D2C" w14:textId="77777777" w:rsidR="008B0834" w:rsidRPr="008809A4" w:rsidRDefault="008B0834" w:rsidP="00ED6EA6">
                                  <w:pPr>
                                    <w:spacing w:line="360" w:lineRule="auto"/>
                                    <w:rPr>
                                      <w:rFonts w:cstheme="minorHAnsi"/>
                                      <w:sz w:val="13"/>
                                      <w:szCs w:val="13"/>
                                    </w:rPr>
                                  </w:pPr>
                                  <w:r w:rsidRPr="008809A4">
                                    <w:rPr>
                                      <w:rFonts w:cstheme="minorHAnsi"/>
                                      <w:sz w:val="13"/>
                                      <w:szCs w:val="13"/>
                                    </w:rPr>
                                    <w:t>Overnight visitors a year: 2020-22</w:t>
                                  </w:r>
                                </w:p>
                              </w:tc>
                              <w:tc>
                                <w:tcPr>
                                  <w:tcW w:w="0" w:type="auto"/>
                                  <w:tcBorders>
                                    <w:left w:val="single" w:sz="4" w:space="0" w:color="auto"/>
                                    <w:bottom w:val="single" w:sz="4" w:space="0" w:color="auto"/>
                                    <w:right w:val="single" w:sz="4" w:space="0" w:color="auto"/>
                                  </w:tcBorders>
                                </w:tcPr>
                                <w:p w14:paraId="6FCDCFAA"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713,000</w:t>
                                  </w:r>
                                </w:p>
                              </w:tc>
                              <w:tc>
                                <w:tcPr>
                                  <w:tcW w:w="0" w:type="auto"/>
                                  <w:tcBorders>
                                    <w:left w:val="single" w:sz="4" w:space="0" w:color="auto"/>
                                    <w:bottom w:val="single" w:sz="4" w:space="0" w:color="auto"/>
                                    <w:right w:val="single" w:sz="4" w:space="0" w:color="auto"/>
                                  </w:tcBorders>
                                </w:tcPr>
                                <w:p w14:paraId="45A48CD1" w14:textId="77777777" w:rsidR="008B0834" w:rsidRPr="008809A4" w:rsidRDefault="008B0834" w:rsidP="00ED6EA6">
                                  <w:pPr>
                                    <w:spacing w:line="360" w:lineRule="auto"/>
                                    <w:jc w:val="right"/>
                                    <w:rPr>
                                      <w:rFonts w:cstheme="minorHAnsi"/>
                                      <w:sz w:val="13"/>
                                      <w:szCs w:val="13"/>
                                    </w:rPr>
                                  </w:pPr>
                                </w:p>
                              </w:tc>
                              <w:tc>
                                <w:tcPr>
                                  <w:tcW w:w="0" w:type="auto"/>
                                  <w:tcBorders>
                                    <w:left w:val="single" w:sz="4" w:space="0" w:color="auto"/>
                                    <w:bottom w:val="single" w:sz="4" w:space="0" w:color="auto"/>
                                    <w:right w:val="single" w:sz="4" w:space="0" w:color="auto"/>
                                  </w:tcBorders>
                                </w:tcPr>
                                <w:p w14:paraId="54BB02AB"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6.6%</w:t>
                                  </w:r>
                                </w:p>
                              </w:tc>
                            </w:tr>
                            <w:tr w:rsidR="008B0834" w:rsidRPr="00EE46E2" w14:paraId="153A828F" w14:textId="77777777" w:rsidTr="00DA5BE3">
                              <w:tc>
                                <w:tcPr>
                                  <w:tcW w:w="0" w:type="auto"/>
                                  <w:tcBorders>
                                    <w:top w:val="single" w:sz="4" w:space="0" w:color="auto"/>
                                  </w:tcBorders>
                                </w:tcPr>
                                <w:p w14:paraId="45F13933" w14:textId="77777777" w:rsidR="008B0834" w:rsidRPr="008536A7" w:rsidRDefault="008B0834" w:rsidP="00ED6EA6">
                                  <w:pPr>
                                    <w:rPr>
                                      <w:rFonts w:cstheme="minorHAnsi"/>
                                      <w:sz w:val="9"/>
                                      <w:szCs w:val="13"/>
                                    </w:rPr>
                                  </w:pPr>
                                </w:p>
                              </w:tc>
                              <w:tc>
                                <w:tcPr>
                                  <w:tcW w:w="795" w:type="dxa"/>
                                  <w:tcBorders>
                                    <w:top w:val="single" w:sz="4" w:space="0" w:color="auto"/>
                                  </w:tcBorders>
                                </w:tcPr>
                                <w:p w14:paraId="522C34A4" w14:textId="77777777" w:rsidR="008B0834" w:rsidRPr="008536A7" w:rsidRDefault="008B0834" w:rsidP="00ED6EA6">
                                  <w:pPr>
                                    <w:rPr>
                                      <w:rFonts w:cstheme="minorHAnsi"/>
                                      <w:sz w:val="13"/>
                                      <w:szCs w:val="13"/>
                                    </w:rPr>
                                  </w:pPr>
                                </w:p>
                                <w:p w14:paraId="04EC4CA0" w14:textId="77777777" w:rsidR="008B0834" w:rsidRPr="008536A7" w:rsidRDefault="008B0834" w:rsidP="00ED6EA6">
                                  <w:pPr>
                                    <w:rPr>
                                      <w:rFonts w:cstheme="minorHAnsi"/>
                                      <w:sz w:val="13"/>
                                      <w:szCs w:val="13"/>
                                    </w:rPr>
                                  </w:pPr>
                                </w:p>
                              </w:tc>
                              <w:tc>
                                <w:tcPr>
                                  <w:tcW w:w="1128" w:type="dxa"/>
                                  <w:tcBorders>
                                    <w:top w:val="single" w:sz="4" w:space="0" w:color="auto"/>
                                  </w:tcBorders>
                                </w:tcPr>
                                <w:p w14:paraId="78444FD1" w14:textId="77777777" w:rsidR="008B0834" w:rsidRPr="008536A7" w:rsidRDefault="008B0834" w:rsidP="00ED6EA6">
                                  <w:pPr>
                                    <w:rPr>
                                      <w:rFonts w:cstheme="minorHAnsi"/>
                                      <w:sz w:val="13"/>
                                      <w:szCs w:val="13"/>
                                    </w:rPr>
                                  </w:pPr>
                                </w:p>
                                <w:p w14:paraId="6FB6FFE1" w14:textId="77777777" w:rsidR="008B0834" w:rsidRPr="008536A7" w:rsidRDefault="008B0834" w:rsidP="00ED6EA6">
                                  <w:pPr>
                                    <w:rPr>
                                      <w:rFonts w:cstheme="minorHAnsi"/>
                                      <w:sz w:val="13"/>
                                      <w:szCs w:val="13"/>
                                    </w:rPr>
                                  </w:pPr>
                                </w:p>
                              </w:tc>
                              <w:tc>
                                <w:tcPr>
                                  <w:tcW w:w="0" w:type="auto"/>
                                  <w:tcBorders>
                                    <w:top w:val="single" w:sz="4" w:space="0" w:color="auto"/>
                                  </w:tcBorders>
                                </w:tcPr>
                                <w:p w14:paraId="5A835DC9" w14:textId="77777777" w:rsidR="008B0834" w:rsidRPr="008536A7" w:rsidRDefault="008B0834" w:rsidP="00ED6EA6">
                                  <w:pPr>
                                    <w:rPr>
                                      <w:rFonts w:cstheme="minorHAnsi"/>
                                      <w:sz w:val="13"/>
                                      <w:szCs w:val="13"/>
                                    </w:rPr>
                                  </w:pPr>
                                </w:p>
                              </w:tc>
                              <w:tc>
                                <w:tcPr>
                                  <w:tcW w:w="0" w:type="auto"/>
                                </w:tcPr>
                                <w:p w14:paraId="7CB1DC61" w14:textId="77777777" w:rsidR="008B0834" w:rsidRPr="008536A7" w:rsidRDefault="008B0834" w:rsidP="00ED6EA6">
                                  <w:pPr>
                                    <w:rPr>
                                      <w:rFonts w:cstheme="minorHAnsi"/>
                                      <w:sz w:val="13"/>
                                      <w:szCs w:val="13"/>
                                    </w:rPr>
                                  </w:pPr>
                                </w:p>
                              </w:tc>
                              <w:tc>
                                <w:tcPr>
                                  <w:tcW w:w="0" w:type="auto"/>
                                  <w:tcBorders>
                                    <w:top w:val="single" w:sz="4" w:space="0" w:color="auto"/>
                                  </w:tcBorders>
                                </w:tcPr>
                                <w:p w14:paraId="4E6078D0" w14:textId="77777777" w:rsidR="008B0834" w:rsidRPr="008536A7" w:rsidRDefault="008B0834" w:rsidP="00ED6EA6">
                                  <w:pPr>
                                    <w:rPr>
                                      <w:rFonts w:cstheme="minorHAnsi"/>
                                      <w:sz w:val="13"/>
                                      <w:szCs w:val="13"/>
                                    </w:rPr>
                                  </w:pPr>
                                </w:p>
                              </w:tc>
                              <w:tc>
                                <w:tcPr>
                                  <w:tcW w:w="0" w:type="auto"/>
                                  <w:tcBorders>
                                    <w:top w:val="single" w:sz="4" w:space="0" w:color="auto"/>
                                  </w:tcBorders>
                                </w:tcPr>
                                <w:p w14:paraId="66079BE7" w14:textId="77777777" w:rsidR="008B0834" w:rsidRPr="008536A7" w:rsidRDefault="008B0834" w:rsidP="00ED6EA6">
                                  <w:pPr>
                                    <w:rPr>
                                      <w:rFonts w:cstheme="minorHAnsi"/>
                                      <w:sz w:val="13"/>
                                      <w:szCs w:val="13"/>
                                    </w:rPr>
                                  </w:pPr>
                                </w:p>
                              </w:tc>
                              <w:tc>
                                <w:tcPr>
                                  <w:tcW w:w="0" w:type="auto"/>
                                  <w:tcBorders>
                                    <w:top w:val="single" w:sz="4" w:space="0" w:color="auto"/>
                                  </w:tcBorders>
                                </w:tcPr>
                                <w:p w14:paraId="4CF4CCAD" w14:textId="77777777" w:rsidR="008B0834" w:rsidRPr="008536A7" w:rsidRDefault="008B0834" w:rsidP="00ED6EA6">
                                  <w:pPr>
                                    <w:rPr>
                                      <w:rFonts w:cstheme="minorHAnsi"/>
                                      <w:sz w:val="13"/>
                                      <w:szCs w:val="13"/>
                                    </w:rPr>
                                  </w:pPr>
                                </w:p>
                              </w:tc>
                              <w:tc>
                                <w:tcPr>
                                  <w:tcW w:w="0" w:type="auto"/>
                                  <w:tcBorders>
                                    <w:top w:val="single" w:sz="4" w:space="0" w:color="auto"/>
                                  </w:tcBorders>
                                </w:tcPr>
                                <w:p w14:paraId="665CE7EE" w14:textId="77777777" w:rsidR="008B0834" w:rsidRPr="008536A7" w:rsidRDefault="008B0834" w:rsidP="00ED6EA6">
                                  <w:pPr>
                                    <w:rPr>
                                      <w:rFonts w:cstheme="minorHAnsi"/>
                                      <w:sz w:val="13"/>
                                      <w:szCs w:val="13"/>
                                    </w:rPr>
                                  </w:pPr>
                                </w:p>
                              </w:tc>
                            </w:tr>
                            <w:tr w:rsidR="008B0834" w:rsidRPr="00EE46E2" w14:paraId="676968DB" w14:textId="77777777" w:rsidTr="00DA5BE3">
                              <w:tc>
                                <w:tcPr>
                                  <w:tcW w:w="0" w:type="auto"/>
                                  <w:gridSpan w:val="4"/>
                                  <w:tcBorders>
                                    <w:top w:val="single" w:sz="4" w:space="0" w:color="auto"/>
                                    <w:left w:val="single" w:sz="4" w:space="0" w:color="auto"/>
                                    <w:bottom w:val="single" w:sz="4" w:space="0" w:color="auto"/>
                                    <w:right w:val="single" w:sz="4" w:space="0" w:color="auto"/>
                                  </w:tcBorders>
                                  <w:shd w:val="clear" w:color="auto" w:fill="99FFCC"/>
                                </w:tcPr>
                                <w:p w14:paraId="00AF6D69" w14:textId="77777777" w:rsidR="008B0834" w:rsidRPr="008536A7" w:rsidRDefault="008B0834" w:rsidP="00ED6EA6">
                                  <w:pPr>
                                    <w:spacing w:line="360" w:lineRule="auto"/>
                                    <w:rPr>
                                      <w:rFonts w:cstheme="minorHAnsi"/>
                                      <w:b/>
                                      <w:sz w:val="13"/>
                                      <w:szCs w:val="13"/>
                                    </w:rPr>
                                  </w:pPr>
                                  <w:r w:rsidRPr="008536A7">
                                    <w:rPr>
                                      <w:rFonts w:cstheme="minorHAnsi"/>
                                      <w:b/>
                                      <w:sz w:val="14"/>
                                      <w:szCs w:val="14"/>
                                    </w:rPr>
                                    <w:t>SOUTH WEST</w:t>
                                  </w:r>
                                </w:p>
                              </w:tc>
                              <w:tc>
                                <w:tcPr>
                                  <w:tcW w:w="0" w:type="auto"/>
                                  <w:tcBorders>
                                    <w:right w:val="single" w:sz="4" w:space="0" w:color="auto"/>
                                  </w:tcBorders>
                                </w:tcPr>
                                <w:p w14:paraId="6505173B" w14:textId="77777777" w:rsidR="008B0834" w:rsidRPr="008536A7" w:rsidRDefault="008B0834" w:rsidP="00ED6EA6">
                                  <w:pPr>
                                    <w:rPr>
                                      <w:rFonts w:cstheme="minorHAnsi"/>
                                      <w:sz w:val="13"/>
                                      <w:szCs w:val="13"/>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A1BDD7"/>
                                </w:tcPr>
                                <w:p w14:paraId="0F591438" w14:textId="77777777" w:rsidR="008B0834" w:rsidRPr="008536A7" w:rsidRDefault="008B0834" w:rsidP="00ED6EA6">
                                  <w:pPr>
                                    <w:spacing w:line="360" w:lineRule="auto"/>
                                    <w:rPr>
                                      <w:rFonts w:cstheme="minorHAnsi"/>
                                      <w:b/>
                                      <w:sz w:val="13"/>
                                      <w:szCs w:val="13"/>
                                    </w:rPr>
                                  </w:pPr>
                                  <w:r w:rsidRPr="008536A7">
                                    <w:rPr>
                                      <w:rFonts w:cstheme="minorHAnsi"/>
                                      <w:b/>
                                      <w:sz w:val="14"/>
                                      <w:szCs w:val="14"/>
                                    </w:rPr>
                                    <w:t>GREAT SOUTHERN</w:t>
                                  </w:r>
                                </w:p>
                              </w:tc>
                            </w:tr>
                            <w:tr w:rsidR="008B0834" w:rsidRPr="00EE46E2" w14:paraId="58FF0BF1" w14:textId="77777777" w:rsidTr="00DA5BE3">
                              <w:tc>
                                <w:tcPr>
                                  <w:tcW w:w="0" w:type="auto"/>
                                  <w:tcBorders>
                                    <w:top w:val="single" w:sz="4" w:space="0" w:color="auto"/>
                                    <w:left w:val="single" w:sz="4" w:space="0" w:color="auto"/>
                                    <w:right w:val="single" w:sz="4" w:space="0" w:color="auto"/>
                                  </w:tcBorders>
                                </w:tcPr>
                                <w:p w14:paraId="51E88275" w14:textId="77777777" w:rsidR="008B0834" w:rsidRPr="008536A7" w:rsidRDefault="008B0834" w:rsidP="00ED6EA6">
                                  <w:pPr>
                                    <w:spacing w:line="360" w:lineRule="auto"/>
                                    <w:rPr>
                                      <w:rFonts w:cstheme="minorHAnsi"/>
                                      <w:sz w:val="13"/>
                                      <w:szCs w:val="13"/>
                                    </w:rPr>
                                  </w:pPr>
                                </w:p>
                              </w:tc>
                              <w:tc>
                                <w:tcPr>
                                  <w:tcW w:w="795" w:type="dxa"/>
                                  <w:tcBorders>
                                    <w:top w:val="single" w:sz="4" w:space="0" w:color="auto"/>
                                    <w:left w:val="single" w:sz="4" w:space="0" w:color="auto"/>
                                    <w:right w:val="single" w:sz="4" w:space="0" w:color="auto"/>
                                  </w:tcBorders>
                                </w:tcPr>
                                <w:p w14:paraId="5FE1A7BB" w14:textId="77777777" w:rsidR="008B0834" w:rsidRPr="008536A7" w:rsidRDefault="008B0834" w:rsidP="00ED6EA6">
                                  <w:pPr>
                                    <w:spacing w:line="360" w:lineRule="auto"/>
                                    <w:jc w:val="right"/>
                                    <w:rPr>
                                      <w:rFonts w:cstheme="minorHAnsi"/>
                                      <w:sz w:val="13"/>
                                      <w:szCs w:val="13"/>
                                    </w:rPr>
                                  </w:pPr>
                                  <w:r w:rsidRPr="008536A7">
                                    <w:rPr>
                                      <w:rFonts w:cstheme="minorHAnsi"/>
                                      <w:sz w:val="13"/>
                                      <w:szCs w:val="13"/>
                                    </w:rPr>
                                    <w:t>Figure</w:t>
                                  </w:r>
                                </w:p>
                              </w:tc>
                              <w:tc>
                                <w:tcPr>
                                  <w:tcW w:w="1128" w:type="dxa"/>
                                  <w:tcBorders>
                                    <w:top w:val="single" w:sz="4" w:space="0" w:color="auto"/>
                                    <w:left w:val="single" w:sz="4" w:space="0" w:color="auto"/>
                                    <w:right w:val="single" w:sz="4" w:space="0" w:color="auto"/>
                                  </w:tcBorders>
                                </w:tcPr>
                                <w:p w14:paraId="6EEC99FB" w14:textId="77777777" w:rsidR="008B0834" w:rsidRPr="008536A7" w:rsidRDefault="008B0834" w:rsidP="00ED6EA6">
                                  <w:pPr>
                                    <w:spacing w:line="360" w:lineRule="auto"/>
                                    <w:jc w:val="right"/>
                                    <w:rPr>
                                      <w:rFonts w:cstheme="minorHAnsi"/>
                                      <w:sz w:val="13"/>
                                      <w:szCs w:val="13"/>
                                    </w:rPr>
                                  </w:pPr>
                                  <w:r w:rsidRPr="008536A7">
                                    <w:rPr>
                                      <w:rFonts w:cstheme="minorHAnsi"/>
                                      <w:sz w:val="13"/>
                                      <w:szCs w:val="13"/>
                                    </w:rPr>
                                    <w:t>Annual change</w:t>
                                  </w:r>
                                  <w:r w:rsidRPr="008536A7">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05DC255A" w14:textId="77777777" w:rsidR="008B0834" w:rsidRPr="008536A7" w:rsidRDefault="008B0834" w:rsidP="00ED6EA6">
                                  <w:pPr>
                                    <w:spacing w:line="360" w:lineRule="auto"/>
                                    <w:jc w:val="right"/>
                                    <w:rPr>
                                      <w:rFonts w:cstheme="minorHAnsi"/>
                                      <w:sz w:val="13"/>
                                      <w:szCs w:val="13"/>
                                    </w:rPr>
                                  </w:pPr>
                                  <w:r w:rsidRPr="008536A7">
                                    <w:rPr>
                                      <w:rFonts w:cstheme="minorHAnsi"/>
                                      <w:sz w:val="13"/>
                                      <w:szCs w:val="13"/>
                                    </w:rPr>
                                    <w:t>WA share</w:t>
                                  </w:r>
                                </w:p>
                              </w:tc>
                              <w:tc>
                                <w:tcPr>
                                  <w:tcW w:w="0" w:type="auto"/>
                                  <w:tcBorders>
                                    <w:right w:val="single" w:sz="4" w:space="0" w:color="auto"/>
                                  </w:tcBorders>
                                </w:tcPr>
                                <w:p w14:paraId="6991A836" w14:textId="77777777" w:rsidR="008B0834" w:rsidRPr="008536A7" w:rsidRDefault="008B0834" w:rsidP="00ED6EA6">
                                  <w:pPr>
                                    <w:rPr>
                                      <w:rFonts w:cstheme="minorHAnsi"/>
                                      <w:sz w:val="13"/>
                                      <w:szCs w:val="13"/>
                                    </w:rPr>
                                  </w:pPr>
                                </w:p>
                              </w:tc>
                              <w:tc>
                                <w:tcPr>
                                  <w:tcW w:w="0" w:type="auto"/>
                                  <w:tcBorders>
                                    <w:top w:val="single" w:sz="4" w:space="0" w:color="auto"/>
                                    <w:left w:val="single" w:sz="4" w:space="0" w:color="auto"/>
                                    <w:right w:val="single" w:sz="4" w:space="0" w:color="auto"/>
                                  </w:tcBorders>
                                </w:tcPr>
                                <w:p w14:paraId="13EF1A81" w14:textId="77777777" w:rsidR="008B0834" w:rsidRPr="008536A7" w:rsidRDefault="008B0834" w:rsidP="00ED6EA6">
                                  <w:pPr>
                                    <w:spacing w:line="360" w:lineRule="auto"/>
                                    <w:rPr>
                                      <w:rFonts w:cstheme="minorHAnsi"/>
                                      <w:sz w:val="13"/>
                                      <w:szCs w:val="13"/>
                                    </w:rPr>
                                  </w:pPr>
                                </w:p>
                              </w:tc>
                              <w:tc>
                                <w:tcPr>
                                  <w:tcW w:w="0" w:type="auto"/>
                                  <w:tcBorders>
                                    <w:top w:val="single" w:sz="4" w:space="0" w:color="auto"/>
                                    <w:left w:val="single" w:sz="4" w:space="0" w:color="auto"/>
                                    <w:right w:val="single" w:sz="4" w:space="0" w:color="auto"/>
                                  </w:tcBorders>
                                </w:tcPr>
                                <w:p w14:paraId="56D87624" w14:textId="77777777" w:rsidR="008B0834" w:rsidRPr="008536A7" w:rsidRDefault="008B0834" w:rsidP="00ED6EA6">
                                  <w:pPr>
                                    <w:spacing w:line="360" w:lineRule="auto"/>
                                    <w:jc w:val="right"/>
                                    <w:rPr>
                                      <w:rFonts w:cstheme="minorHAnsi"/>
                                      <w:sz w:val="13"/>
                                      <w:szCs w:val="13"/>
                                    </w:rPr>
                                  </w:pPr>
                                  <w:r w:rsidRPr="008536A7">
                                    <w:rPr>
                                      <w:rFonts w:cstheme="minorHAnsi"/>
                                      <w:sz w:val="13"/>
                                      <w:szCs w:val="13"/>
                                    </w:rPr>
                                    <w:t>Figure</w:t>
                                  </w:r>
                                </w:p>
                              </w:tc>
                              <w:tc>
                                <w:tcPr>
                                  <w:tcW w:w="0" w:type="auto"/>
                                  <w:tcBorders>
                                    <w:top w:val="single" w:sz="4" w:space="0" w:color="auto"/>
                                    <w:left w:val="single" w:sz="4" w:space="0" w:color="auto"/>
                                    <w:right w:val="single" w:sz="4" w:space="0" w:color="auto"/>
                                  </w:tcBorders>
                                </w:tcPr>
                                <w:p w14:paraId="49393485" w14:textId="77777777" w:rsidR="008B0834" w:rsidRPr="008536A7" w:rsidRDefault="008B0834" w:rsidP="00ED6EA6">
                                  <w:pPr>
                                    <w:spacing w:line="360" w:lineRule="auto"/>
                                    <w:jc w:val="right"/>
                                    <w:rPr>
                                      <w:rFonts w:cstheme="minorHAnsi"/>
                                      <w:sz w:val="13"/>
                                      <w:szCs w:val="13"/>
                                    </w:rPr>
                                  </w:pPr>
                                  <w:r w:rsidRPr="008536A7">
                                    <w:rPr>
                                      <w:rFonts w:cstheme="minorHAnsi"/>
                                      <w:sz w:val="13"/>
                                      <w:szCs w:val="13"/>
                                    </w:rPr>
                                    <w:t>Annual change</w:t>
                                  </w:r>
                                  <w:r w:rsidRPr="008536A7">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32A0AC4E" w14:textId="77777777" w:rsidR="008B0834" w:rsidRPr="008536A7" w:rsidRDefault="008B0834" w:rsidP="00ED6EA6">
                                  <w:pPr>
                                    <w:spacing w:line="360" w:lineRule="auto"/>
                                    <w:jc w:val="right"/>
                                    <w:rPr>
                                      <w:rFonts w:cstheme="minorHAnsi"/>
                                      <w:sz w:val="13"/>
                                      <w:szCs w:val="13"/>
                                    </w:rPr>
                                  </w:pPr>
                                  <w:r w:rsidRPr="008536A7">
                                    <w:rPr>
                                      <w:rFonts w:cstheme="minorHAnsi"/>
                                      <w:sz w:val="13"/>
                                      <w:szCs w:val="13"/>
                                    </w:rPr>
                                    <w:t>WA share</w:t>
                                  </w:r>
                                </w:p>
                              </w:tc>
                            </w:tr>
                            <w:tr w:rsidR="008B0834" w:rsidRPr="00EE46E2" w14:paraId="16F2062B" w14:textId="77777777" w:rsidTr="00DA5BE3">
                              <w:tc>
                                <w:tcPr>
                                  <w:tcW w:w="0" w:type="auto"/>
                                  <w:tcBorders>
                                    <w:left w:val="single" w:sz="4" w:space="0" w:color="auto"/>
                                    <w:right w:val="single" w:sz="4" w:space="0" w:color="auto"/>
                                  </w:tcBorders>
                                </w:tcPr>
                                <w:p w14:paraId="4B7A1410" w14:textId="77777777" w:rsidR="008B0834" w:rsidRPr="008809A4" w:rsidRDefault="008B0834" w:rsidP="00ED6EA6">
                                  <w:pPr>
                                    <w:spacing w:line="360" w:lineRule="auto"/>
                                    <w:rPr>
                                      <w:rFonts w:cstheme="minorHAnsi"/>
                                      <w:sz w:val="13"/>
                                      <w:szCs w:val="13"/>
                                    </w:rPr>
                                  </w:pPr>
                                  <w:r w:rsidRPr="008809A4">
                                    <w:rPr>
                                      <w:rFonts w:cstheme="minorHAnsi"/>
                                      <w:sz w:val="13"/>
                                      <w:szCs w:val="13"/>
                                    </w:rPr>
                                    <w:t>Gross regional product: 2021-22</w:t>
                                  </w:r>
                                </w:p>
                              </w:tc>
                              <w:tc>
                                <w:tcPr>
                                  <w:tcW w:w="795" w:type="dxa"/>
                                  <w:tcBorders>
                                    <w:left w:val="single" w:sz="4" w:space="0" w:color="auto"/>
                                    <w:right w:val="single" w:sz="4" w:space="0" w:color="auto"/>
                                  </w:tcBorders>
                                </w:tcPr>
                                <w:p w14:paraId="256078CA"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$17.3b</w:t>
                                  </w:r>
                                </w:p>
                              </w:tc>
                              <w:tc>
                                <w:tcPr>
                                  <w:tcW w:w="1128" w:type="dxa"/>
                                  <w:tcBorders>
                                    <w:left w:val="single" w:sz="4" w:space="0" w:color="auto"/>
                                    <w:right w:val="single" w:sz="4" w:space="0" w:color="auto"/>
                                  </w:tcBorders>
                                </w:tcPr>
                                <w:p w14:paraId="0106A219"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+8.0%</w:t>
                                  </w:r>
                                </w:p>
                              </w:tc>
                              <w:tc>
                                <w:tcPr>
                                  <w:tcW w:w="0" w:type="auto"/>
                                  <w:tcBorders>
                                    <w:left w:val="single" w:sz="4" w:space="0" w:color="auto"/>
                                    <w:right w:val="single" w:sz="4" w:space="0" w:color="auto"/>
                                  </w:tcBorders>
                                </w:tcPr>
                                <w:p w14:paraId="76853BD9"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4.3%</w:t>
                                  </w:r>
                                </w:p>
                              </w:tc>
                              <w:tc>
                                <w:tcPr>
                                  <w:tcW w:w="0" w:type="auto"/>
                                  <w:tcBorders>
                                    <w:right w:val="single" w:sz="4" w:space="0" w:color="auto"/>
                                  </w:tcBorders>
                                </w:tcPr>
                                <w:p w14:paraId="7055D876" w14:textId="77777777" w:rsidR="008B0834" w:rsidRPr="00A5645B" w:rsidRDefault="008B0834" w:rsidP="00ED6EA6">
                                  <w:pPr>
                                    <w:rPr>
                                      <w:rFonts w:cstheme="minorHAnsi"/>
                                      <w:sz w:val="13"/>
                                      <w:szCs w:val="13"/>
                                    </w:rPr>
                                  </w:pPr>
                                </w:p>
                              </w:tc>
                              <w:tc>
                                <w:tcPr>
                                  <w:tcW w:w="0" w:type="auto"/>
                                  <w:tcBorders>
                                    <w:left w:val="single" w:sz="4" w:space="0" w:color="auto"/>
                                    <w:right w:val="single" w:sz="4" w:space="0" w:color="auto"/>
                                  </w:tcBorders>
                                </w:tcPr>
                                <w:p w14:paraId="285E0A26" w14:textId="77777777" w:rsidR="008B0834" w:rsidRPr="008809A4" w:rsidRDefault="008B0834" w:rsidP="00ED6EA6">
                                  <w:pPr>
                                    <w:spacing w:line="360" w:lineRule="auto"/>
                                    <w:rPr>
                                      <w:rFonts w:cstheme="minorHAnsi"/>
                                      <w:sz w:val="13"/>
                                      <w:szCs w:val="13"/>
                                    </w:rPr>
                                  </w:pPr>
                                  <w:r w:rsidRPr="008809A4">
                                    <w:rPr>
                                      <w:rFonts w:cstheme="minorHAnsi"/>
                                      <w:sz w:val="13"/>
                                      <w:szCs w:val="13"/>
                                    </w:rPr>
                                    <w:t>Gross regional product: 2021-22</w:t>
                                  </w:r>
                                </w:p>
                              </w:tc>
                              <w:tc>
                                <w:tcPr>
                                  <w:tcW w:w="0" w:type="auto"/>
                                  <w:tcBorders>
                                    <w:left w:val="single" w:sz="4" w:space="0" w:color="auto"/>
                                    <w:right w:val="single" w:sz="4" w:space="0" w:color="auto"/>
                                  </w:tcBorders>
                                </w:tcPr>
                                <w:p w14:paraId="3AB82135"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$5.1b</w:t>
                                  </w:r>
                                </w:p>
                              </w:tc>
                              <w:tc>
                                <w:tcPr>
                                  <w:tcW w:w="0" w:type="auto"/>
                                  <w:tcBorders>
                                    <w:left w:val="single" w:sz="4" w:space="0" w:color="auto"/>
                                    <w:right w:val="single" w:sz="4" w:space="0" w:color="auto"/>
                                  </w:tcBorders>
                                </w:tcPr>
                                <w:p w14:paraId="44DEBA15"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+0.4%</w:t>
                                  </w:r>
                                </w:p>
                              </w:tc>
                              <w:tc>
                                <w:tcPr>
                                  <w:tcW w:w="0" w:type="auto"/>
                                  <w:tcBorders>
                                    <w:left w:val="single" w:sz="4" w:space="0" w:color="auto"/>
                                    <w:right w:val="single" w:sz="4" w:space="0" w:color="auto"/>
                                  </w:tcBorders>
                                </w:tcPr>
                                <w:p w14:paraId="2F958A93"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1.3%</w:t>
                                  </w:r>
                                </w:p>
                              </w:tc>
                            </w:tr>
                            <w:tr w:rsidR="008B0834" w:rsidRPr="00EE46E2" w14:paraId="7A180BA3" w14:textId="77777777" w:rsidTr="00DA5BE3">
                              <w:tc>
                                <w:tcPr>
                                  <w:tcW w:w="0" w:type="auto"/>
                                  <w:tcBorders>
                                    <w:left w:val="single" w:sz="4" w:space="0" w:color="auto"/>
                                    <w:right w:val="single" w:sz="4" w:space="0" w:color="auto"/>
                                  </w:tcBorders>
                                </w:tcPr>
                                <w:p w14:paraId="5DE34E26" w14:textId="77777777" w:rsidR="008B0834" w:rsidRPr="008809A4" w:rsidRDefault="008B0834" w:rsidP="00ED6EA6">
                                  <w:pPr>
                                    <w:spacing w:line="360" w:lineRule="auto"/>
                                    <w:rPr>
                                      <w:rFonts w:cstheme="minorHAnsi"/>
                                      <w:sz w:val="13"/>
                                      <w:szCs w:val="13"/>
                                    </w:rPr>
                                  </w:pPr>
                                  <w:r w:rsidRPr="008809A4">
                                    <w:rPr>
                                      <w:rFonts w:cstheme="minorHAnsi"/>
                                      <w:sz w:val="13"/>
                                      <w:szCs w:val="13"/>
                                    </w:rPr>
                                    <w:t>Population: 2021-22</w:t>
                                  </w:r>
                                </w:p>
                              </w:tc>
                              <w:tc>
                                <w:tcPr>
                                  <w:tcW w:w="795" w:type="dxa"/>
                                  <w:tcBorders>
                                    <w:left w:val="single" w:sz="4" w:space="0" w:color="auto"/>
                                    <w:right w:val="single" w:sz="4" w:space="0" w:color="auto"/>
                                  </w:tcBorders>
                                </w:tcPr>
                                <w:p w14:paraId="743A0049"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193,722</w:t>
                                  </w:r>
                                </w:p>
                              </w:tc>
                              <w:tc>
                                <w:tcPr>
                                  <w:tcW w:w="1128" w:type="dxa"/>
                                  <w:tcBorders>
                                    <w:left w:val="single" w:sz="4" w:space="0" w:color="auto"/>
                                    <w:right w:val="single" w:sz="4" w:space="0" w:color="auto"/>
                                  </w:tcBorders>
                                </w:tcPr>
                                <w:p w14:paraId="7029F3B7"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+1.6%</w:t>
                                  </w:r>
                                </w:p>
                              </w:tc>
                              <w:tc>
                                <w:tcPr>
                                  <w:tcW w:w="0" w:type="auto"/>
                                  <w:tcBorders>
                                    <w:left w:val="single" w:sz="4" w:space="0" w:color="auto"/>
                                    <w:right w:val="single" w:sz="4" w:space="0" w:color="auto"/>
                                  </w:tcBorders>
                                </w:tcPr>
                                <w:p w14:paraId="1477B5C9"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6.9%</w:t>
                                  </w:r>
                                </w:p>
                              </w:tc>
                              <w:tc>
                                <w:tcPr>
                                  <w:tcW w:w="0" w:type="auto"/>
                                  <w:tcBorders>
                                    <w:right w:val="single" w:sz="4" w:space="0" w:color="auto"/>
                                  </w:tcBorders>
                                </w:tcPr>
                                <w:p w14:paraId="4F858EB3" w14:textId="77777777" w:rsidR="008B0834" w:rsidRPr="00116A46" w:rsidRDefault="008B0834" w:rsidP="00ED6EA6">
                                  <w:pPr>
                                    <w:rPr>
                                      <w:rFonts w:cstheme="minorHAnsi"/>
                                      <w:sz w:val="13"/>
                                      <w:szCs w:val="13"/>
                                    </w:rPr>
                                  </w:pPr>
                                </w:p>
                              </w:tc>
                              <w:tc>
                                <w:tcPr>
                                  <w:tcW w:w="0" w:type="auto"/>
                                  <w:tcBorders>
                                    <w:left w:val="single" w:sz="4" w:space="0" w:color="auto"/>
                                    <w:right w:val="single" w:sz="4" w:space="0" w:color="auto"/>
                                  </w:tcBorders>
                                </w:tcPr>
                                <w:p w14:paraId="51C04916" w14:textId="77777777" w:rsidR="008B0834" w:rsidRPr="008809A4" w:rsidRDefault="008B0834" w:rsidP="00ED6EA6">
                                  <w:pPr>
                                    <w:spacing w:line="360" w:lineRule="auto"/>
                                    <w:rPr>
                                      <w:rFonts w:cstheme="minorHAnsi"/>
                                      <w:sz w:val="13"/>
                                      <w:szCs w:val="13"/>
                                    </w:rPr>
                                  </w:pPr>
                                  <w:r w:rsidRPr="008809A4">
                                    <w:rPr>
                                      <w:rFonts w:cstheme="minorHAnsi"/>
                                      <w:sz w:val="13"/>
                                      <w:szCs w:val="13"/>
                                    </w:rPr>
                                    <w:t>Population: 2021-22</w:t>
                                  </w:r>
                                </w:p>
                              </w:tc>
                              <w:tc>
                                <w:tcPr>
                                  <w:tcW w:w="0" w:type="auto"/>
                                  <w:tcBorders>
                                    <w:left w:val="single" w:sz="4" w:space="0" w:color="auto"/>
                                    <w:right w:val="single" w:sz="4" w:space="0" w:color="auto"/>
                                  </w:tcBorders>
                                </w:tcPr>
                                <w:p w14:paraId="58C0A596"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64,430</w:t>
                                  </w:r>
                                </w:p>
                              </w:tc>
                              <w:tc>
                                <w:tcPr>
                                  <w:tcW w:w="0" w:type="auto"/>
                                  <w:tcBorders>
                                    <w:left w:val="single" w:sz="4" w:space="0" w:color="auto"/>
                                    <w:right w:val="single" w:sz="4" w:space="0" w:color="auto"/>
                                  </w:tcBorders>
                                </w:tcPr>
                                <w:p w14:paraId="719D481A"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+0.7%</w:t>
                                  </w:r>
                                </w:p>
                              </w:tc>
                              <w:tc>
                                <w:tcPr>
                                  <w:tcW w:w="0" w:type="auto"/>
                                  <w:tcBorders>
                                    <w:left w:val="single" w:sz="4" w:space="0" w:color="auto"/>
                                    <w:right w:val="single" w:sz="4" w:space="0" w:color="auto"/>
                                  </w:tcBorders>
                                </w:tcPr>
                                <w:p w14:paraId="39E3FAC4"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2.3%</w:t>
                                  </w:r>
                                </w:p>
                              </w:tc>
                            </w:tr>
                            <w:tr w:rsidR="008B0834" w:rsidRPr="00EE46E2" w14:paraId="18DAB6DE" w14:textId="77777777" w:rsidTr="00DA5BE3">
                              <w:tc>
                                <w:tcPr>
                                  <w:tcW w:w="0" w:type="auto"/>
                                  <w:tcBorders>
                                    <w:left w:val="single" w:sz="4" w:space="0" w:color="auto"/>
                                    <w:right w:val="single" w:sz="4" w:space="0" w:color="auto"/>
                                  </w:tcBorders>
                                </w:tcPr>
                                <w:p w14:paraId="078375A3"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795" w:type="dxa"/>
                                  <w:tcBorders>
                                    <w:left w:val="single" w:sz="4" w:space="0" w:color="auto"/>
                                    <w:right w:val="single" w:sz="4" w:space="0" w:color="auto"/>
                                  </w:tcBorders>
                                </w:tcPr>
                                <w:p w14:paraId="5944A6C9"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108,287</w:t>
                                  </w:r>
                                </w:p>
                              </w:tc>
                              <w:tc>
                                <w:tcPr>
                                  <w:tcW w:w="1128" w:type="dxa"/>
                                  <w:tcBorders>
                                    <w:left w:val="single" w:sz="4" w:space="0" w:color="auto"/>
                                    <w:right w:val="single" w:sz="4" w:space="0" w:color="auto"/>
                                  </w:tcBorders>
                                </w:tcPr>
                                <w:p w14:paraId="39BF4C2E"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+8.8%</w:t>
                                  </w:r>
                                </w:p>
                              </w:tc>
                              <w:tc>
                                <w:tcPr>
                                  <w:tcW w:w="0" w:type="auto"/>
                                  <w:tcBorders>
                                    <w:left w:val="single" w:sz="4" w:space="0" w:color="auto"/>
                                    <w:right w:val="single" w:sz="4" w:space="0" w:color="auto"/>
                                  </w:tcBorders>
                                </w:tcPr>
                                <w:p w14:paraId="7ADA4E69"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7.1%</w:t>
                                  </w:r>
                                </w:p>
                              </w:tc>
                              <w:tc>
                                <w:tcPr>
                                  <w:tcW w:w="0" w:type="auto"/>
                                  <w:tcBorders>
                                    <w:right w:val="single" w:sz="4" w:space="0" w:color="auto"/>
                                  </w:tcBorders>
                                </w:tcPr>
                                <w:p w14:paraId="23FEF9D9" w14:textId="77777777" w:rsidR="008B0834" w:rsidRPr="008536A7" w:rsidRDefault="008B0834" w:rsidP="00ED6EA6">
                                  <w:pPr>
                                    <w:rPr>
                                      <w:rFonts w:cstheme="minorHAnsi"/>
                                      <w:sz w:val="13"/>
                                      <w:szCs w:val="13"/>
                                    </w:rPr>
                                  </w:pPr>
                                </w:p>
                              </w:tc>
                              <w:tc>
                                <w:tcPr>
                                  <w:tcW w:w="0" w:type="auto"/>
                                  <w:tcBorders>
                                    <w:left w:val="single" w:sz="4" w:space="0" w:color="auto"/>
                                    <w:right w:val="single" w:sz="4" w:space="0" w:color="auto"/>
                                  </w:tcBorders>
                                </w:tcPr>
                                <w:p w14:paraId="07C3BC4C"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0" w:type="auto"/>
                                  <w:tcBorders>
                                    <w:left w:val="single" w:sz="4" w:space="0" w:color="auto"/>
                                    <w:right w:val="single" w:sz="4" w:space="0" w:color="auto"/>
                                  </w:tcBorders>
                                </w:tcPr>
                                <w:p w14:paraId="7B1B6781"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33,848</w:t>
                                  </w:r>
                                </w:p>
                              </w:tc>
                              <w:tc>
                                <w:tcPr>
                                  <w:tcW w:w="0" w:type="auto"/>
                                  <w:tcBorders>
                                    <w:left w:val="single" w:sz="4" w:space="0" w:color="auto"/>
                                    <w:right w:val="single" w:sz="4" w:space="0" w:color="auto"/>
                                  </w:tcBorders>
                                </w:tcPr>
                                <w:p w14:paraId="655EAD08"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+5.7%</w:t>
                                  </w:r>
                                </w:p>
                              </w:tc>
                              <w:tc>
                                <w:tcPr>
                                  <w:tcW w:w="0" w:type="auto"/>
                                  <w:tcBorders>
                                    <w:left w:val="single" w:sz="4" w:space="0" w:color="auto"/>
                                    <w:right w:val="single" w:sz="4" w:space="0" w:color="auto"/>
                                  </w:tcBorders>
                                </w:tcPr>
                                <w:p w14:paraId="7C20FEC5"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2.2%</w:t>
                                  </w:r>
                                </w:p>
                              </w:tc>
                            </w:tr>
                            <w:tr w:rsidR="008B0834" w:rsidRPr="00EE46E2" w14:paraId="54CEDCEC" w14:textId="77777777" w:rsidTr="00DA5BE3">
                              <w:tc>
                                <w:tcPr>
                                  <w:tcW w:w="0" w:type="auto"/>
                                  <w:tcBorders>
                                    <w:left w:val="single" w:sz="4" w:space="0" w:color="auto"/>
                                    <w:right w:val="single" w:sz="4" w:space="0" w:color="auto"/>
                                  </w:tcBorders>
                                </w:tcPr>
                                <w:p w14:paraId="19A61A53"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795" w:type="dxa"/>
                                  <w:tcBorders>
                                    <w:left w:val="single" w:sz="4" w:space="0" w:color="auto"/>
                                    <w:right w:val="single" w:sz="4" w:space="0" w:color="auto"/>
                                  </w:tcBorders>
                                </w:tcPr>
                                <w:p w14:paraId="144C940F"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3.3%</w:t>
                                  </w:r>
                                </w:p>
                              </w:tc>
                              <w:tc>
                                <w:tcPr>
                                  <w:tcW w:w="1128" w:type="dxa"/>
                                  <w:tcBorders>
                                    <w:left w:val="single" w:sz="4" w:space="0" w:color="auto"/>
                                    <w:right w:val="single" w:sz="4" w:space="0" w:color="auto"/>
                                  </w:tcBorders>
                                </w:tcPr>
                                <w:p w14:paraId="58D8B5E0"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-1.1pp</w:t>
                                  </w:r>
                                </w:p>
                              </w:tc>
                              <w:tc>
                                <w:tcPr>
                                  <w:tcW w:w="0" w:type="auto"/>
                                  <w:tcBorders>
                                    <w:left w:val="single" w:sz="4" w:space="0" w:color="auto"/>
                                    <w:right w:val="single" w:sz="4" w:space="0" w:color="auto"/>
                                  </w:tcBorders>
                                </w:tcPr>
                                <w:p w14:paraId="0CC63595" w14:textId="77777777" w:rsidR="008B0834" w:rsidRPr="00351552" w:rsidRDefault="008B0834" w:rsidP="00ED6EA6">
                                  <w:pPr>
                                    <w:spacing w:line="360" w:lineRule="auto"/>
                                    <w:jc w:val="right"/>
                                    <w:rPr>
                                      <w:rFonts w:cstheme="minorHAnsi"/>
                                      <w:color w:val="000000" w:themeColor="text1"/>
                                      <w:sz w:val="13"/>
                                      <w:szCs w:val="13"/>
                                    </w:rPr>
                                  </w:pPr>
                                </w:p>
                              </w:tc>
                              <w:tc>
                                <w:tcPr>
                                  <w:tcW w:w="0" w:type="auto"/>
                                  <w:tcBorders>
                                    <w:right w:val="single" w:sz="4" w:space="0" w:color="auto"/>
                                  </w:tcBorders>
                                </w:tcPr>
                                <w:p w14:paraId="2B025B7D" w14:textId="77777777" w:rsidR="008B0834" w:rsidRPr="008536A7" w:rsidRDefault="008B0834" w:rsidP="00ED6EA6">
                                  <w:pPr>
                                    <w:rPr>
                                      <w:rFonts w:cstheme="minorHAnsi"/>
                                      <w:sz w:val="13"/>
                                      <w:szCs w:val="13"/>
                                    </w:rPr>
                                  </w:pPr>
                                </w:p>
                              </w:tc>
                              <w:tc>
                                <w:tcPr>
                                  <w:tcW w:w="0" w:type="auto"/>
                                  <w:tcBorders>
                                    <w:left w:val="single" w:sz="4" w:space="0" w:color="auto"/>
                                    <w:right w:val="single" w:sz="4" w:space="0" w:color="auto"/>
                                  </w:tcBorders>
                                </w:tcPr>
                                <w:p w14:paraId="147C9365"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0" w:type="auto"/>
                                  <w:tcBorders>
                                    <w:left w:val="single" w:sz="4" w:space="0" w:color="auto"/>
                                    <w:right w:val="single" w:sz="4" w:space="0" w:color="auto"/>
                                  </w:tcBorders>
                                </w:tcPr>
                                <w:p w14:paraId="0A2F3A06"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2.2%</w:t>
                                  </w:r>
                                </w:p>
                              </w:tc>
                              <w:tc>
                                <w:tcPr>
                                  <w:tcW w:w="0" w:type="auto"/>
                                  <w:tcBorders>
                                    <w:left w:val="single" w:sz="4" w:space="0" w:color="auto"/>
                                    <w:right w:val="single" w:sz="4" w:space="0" w:color="auto"/>
                                  </w:tcBorders>
                                </w:tcPr>
                                <w:p w14:paraId="50D1B1B9"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-1.1pp</w:t>
                                  </w:r>
                                </w:p>
                              </w:tc>
                              <w:tc>
                                <w:tcPr>
                                  <w:tcW w:w="0" w:type="auto"/>
                                  <w:tcBorders>
                                    <w:left w:val="single" w:sz="4" w:space="0" w:color="auto"/>
                                    <w:right w:val="single" w:sz="4" w:space="0" w:color="auto"/>
                                  </w:tcBorders>
                                </w:tcPr>
                                <w:p w14:paraId="179BF33B" w14:textId="77777777" w:rsidR="008B0834" w:rsidRPr="008809A4" w:rsidRDefault="008B0834" w:rsidP="00ED6EA6">
                                  <w:pPr>
                                    <w:spacing w:line="360" w:lineRule="auto"/>
                                    <w:jc w:val="right"/>
                                    <w:rPr>
                                      <w:rFonts w:cstheme="minorHAnsi"/>
                                      <w:sz w:val="13"/>
                                      <w:szCs w:val="13"/>
                                    </w:rPr>
                                  </w:pPr>
                                </w:p>
                              </w:tc>
                            </w:tr>
                            <w:tr w:rsidR="008B0834" w:rsidRPr="00EE46E2" w14:paraId="312C8D24" w14:textId="77777777" w:rsidTr="00DA5BE3">
                              <w:tc>
                                <w:tcPr>
                                  <w:tcW w:w="0" w:type="auto"/>
                                  <w:tcBorders>
                                    <w:left w:val="single" w:sz="4" w:space="0" w:color="auto"/>
                                    <w:right w:val="single" w:sz="4" w:space="0" w:color="auto"/>
                                  </w:tcBorders>
                                </w:tcPr>
                                <w:p w14:paraId="1EFE364F"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2"/>
                                      <w:szCs w:val="12"/>
                                    </w:rPr>
                                    <w:t>Minerals &amp; petroleum sales: 2022-23</w:t>
                                  </w:r>
                                </w:p>
                              </w:tc>
                              <w:tc>
                                <w:tcPr>
                                  <w:tcW w:w="795" w:type="dxa"/>
                                  <w:tcBorders>
                                    <w:left w:val="single" w:sz="4" w:space="0" w:color="auto"/>
                                    <w:right w:val="single" w:sz="4" w:space="0" w:color="auto"/>
                                  </w:tcBorders>
                                </w:tcPr>
                                <w:p w14:paraId="19762FBF"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$12.5b</w:t>
                                  </w:r>
                                </w:p>
                              </w:tc>
                              <w:tc>
                                <w:tcPr>
                                  <w:tcW w:w="1128" w:type="dxa"/>
                                  <w:tcBorders>
                                    <w:left w:val="single" w:sz="4" w:space="0" w:color="auto"/>
                                    <w:right w:val="single" w:sz="4" w:space="0" w:color="auto"/>
                                  </w:tcBorders>
                                </w:tcPr>
                                <w:p w14:paraId="66126AF5"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+163.9%</w:t>
                                  </w:r>
                                </w:p>
                              </w:tc>
                              <w:tc>
                                <w:tcPr>
                                  <w:tcW w:w="0" w:type="auto"/>
                                  <w:tcBorders>
                                    <w:left w:val="single" w:sz="4" w:space="0" w:color="auto"/>
                                    <w:right w:val="single" w:sz="4" w:space="0" w:color="auto"/>
                                  </w:tcBorders>
                                </w:tcPr>
                                <w:p w14:paraId="6B9E1829"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4.9%</w:t>
                                  </w:r>
                                </w:p>
                              </w:tc>
                              <w:tc>
                                <w:tcPr>
                                  <w:tcW w:w="0" w:type="auto"/>
                                  <w:tcBorders>
                                    <w:right w:val="single" w:sz="4" w:space="0" w:color="auto"/>
                                  </w:tcBorders>
                                </w:tcPr>
                                <w:p w14:paraId="2B11D0F6" w14:textId="77777777" w:rsidR="008B0834" w:rsidRPr="00DE6518" w:rsidRDefault="008B0834" w:rsidP="00ED6EA6">
                                  <w:pPr>
                                    <w:rPr>
                                      <w:rFonts w:cstheme="minorHAnsi"/>
                                      <w:sz w:val="13"/>
                                      <w:szCs w:val="13"/>
                                    </w:rPr>
                                  </w:pPr>
                                </w:p>
                              </w:tc>
                              <w:tc>
                                <w:tcPr>
                                  <w:tcW w:w="0" w:type="auto"/>
                                  <w:tcBorders>
                                    <w:left w:val="single" w:sz="4" w:space="0" w:color="auto"/>
                                    <w:right w:val="single" w:sz="4" w:space="0" w:color="auto"/>
                                  </w:tcBorders>
                                </w:tcPr>
                                <w:p w14:paraId="658A2EC7" w14:textId="77777777" w:rsidR="008B0834" w:rsidRPr="00351552" w:rsidRDefault="008B0834" w:rsidP="00ED6EA6">
                                  <w:pPr>
                                    <w:spacing w:line="360" w:lineRule="auto"/>
                                    <w:rPr>
                                      <w:rFonts w:cstheme="minorHAnsi"/>
                                      <w:b/>
                                      <w:color w:val="000000" w:themeColor="text1"/>
                                      <w:sz w:val="13"/>
                                      <w:szCs w:val="13"/>
                                    </w:rPr>
                                  </w:pPr>
                                  <w:r w:rsidRPr="00351552">
                                    <w:rPr>
                                      <w:rFonts w:cstheme="minorHAnsi"/>
                                      <w:color w:val="000000" w:themeColor="text1"/>
                                      <w:sz w:val="12"/>
                                      <w:szCs w:val="12"/>
                                    </w:rPr>
                                    <w:t>Minerals &amp; petroleum sales: 2022-23</w:t>
                                  </w:r>
                                </w:p>
                              </w:tc>
                              <w:tc>
                                <w:tcPr>
                                  <w:tcW w:w="0" w:type="auto"/>
                                  <w:tcBorders>
                                    <w:left w:val="single" w:sz="4" w:space="0" w:color="auto"/>
                                    <w:right w:val="single" w:sz="4" w:space="0" w:color="auto"/>
                                  </w:tcBorders>
                                </w:tcPr>
                                <w:p w14:paraId="01317817"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$9.7m</w:t>
                                  </w:r>
                                </w:p>
                              </w:tc>
                              <w:tc>
                                <w:tcPr>
                                  <w:tcW w:w="0" w:type="auto"/>
                                  <w:tcBorders>
                                    <w:left w:val="single" w:sz="4" w:space="0" w:color="auto"/>
                                    <w:right w:val="single" w:sz="4" w:space="0" w:color="auto"/>
                                  </w:tcBorders>
                                </w:tcPr>
                                <w:p w14:paraId="61D8BE21"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+31.0%</w:t>
                                  </w:r>
                                </w:p>
                              </w:tc>
                              <w:tc>
                                <w:tcPr>
                                  <w:tcW w:w="0" w:type="auto"/>
                                  <w:tcBorders>
                                    <w:left w:val="single" w:sz="4" w:space="0" w:color="auto"/>
                                    <w:right w:val="single" w:sz="4" w:space="0" w:color="auto"/>
                                  </w:tcBorders>
                                </w:tcPr>
                                <w:p w14:paraId="5302E589"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0.00%</w:t>
                                  </w:r>
                                </w:p>
                              </w:tc>
                            </w:tr>
                            <w:tr w:rsidR="008B0834" w:rsidRPr="00EE46E2" w14:paraId="3A111F60" w14:textId="77777777" w:rsidTr="00DA5BE3">
                              <w:tc>
                                <w:tcPr>
                                  <w:tcW w:w="0" w:type="auto"/>
                                  <w:tcBorders>
                                    <w:left w:val="single" w:sz="4" w:space="0" w:color="auto"/>
                                    <w:right w:val="single" w:sz="4" w:space="0" w:color="auto"/>
                                  </w:tcBorders>
                                </w:tcPr>
                                <w:p w14:paraId="152F65CA"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3"/>
                                      <w:szCs w:val="13"/>
                                    </w:rPr>
                                    <w:t>Building approvals: 2022-23</w:t>
                                  </w:r>
                                </w:p>
                              </w:tc>
                              <w:tc>
                                <w:tcPr>
                                  <w:tcW w:w="795" w:type="dxa"/>
                                  <w:tcBorders>
                                    <w:left w:val="single" w:sz="4" w:space="0" w:color="auto"/>
                                    <w:right w:val="single" w:sz="4" w:space="0" w:color="auto"/>
                                  </w:tcBorders>
                                </w:tcPr>
                                <w:p w14:paraId="5660A357"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$1.0 b</w:t>
                                  </w:r>
                                </w:p>
                              </w:tc>
                              <w:tc>
                                <w:tcPr>
                                  <w:tcW w:w="1128" w:type="dxa"/>
                                  <w:tcBorders>
                                    <w:left w:val="single" w:sz="4" w:space="0" w:color="auto"/>
                                    <w:right w:val="single" w:sz="4" w:space="0" w:color="auto"/>
                                  </w:tcBorders>
                                </w:tcPr>
                                <w:p w14:paraId="546719D8"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 xml:space="preserve">  +27.0%</w:t>
                                  </w:r>
                                </w:p>
                              </w:tc>
                              <w:tc>
                                <w:tcPr>
                                  <w:tcW w:w="0" w:type="auto"/>
                                  <w:tcBorders>
                                    <w:left w:val="single" w:sz="4" w:space="0" w:color="auto"/>
                                    <w:right w:val="single" w:sz="4" w:space="0" w:color="auto"/>
                                  </w:tcBorders>
                                </w:tcPr>
                                <w:p w14:paraId="12575A20"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9.1%</w:t>
                                  </w:r>
                                </w:p>
                              </w:tc>
                              <w:tc>
                                <w:tcPr>
                                  <w:tcW w:w="0" w:type="auto"/>
                                  <w:tcBorders>
                                    <w:right w:val="single" w:sz="4" w:space="0" w:color="auto"/>
                                  </w:tcBorders>
                                </w:tcPr>
                                <w:p w14:paraId="3C292B42" w14:textId="77777777" w:rsidR="008B0834" w:rsidRPr="00DA0886" w:rsidRDefault="008B0834" w:rsidP="00ED6EA6">
                                  <w:pPr>
                                    <w:rPr>
                                      <w:rFonts w:cstheme="minorHAnsi"/>
                                      <w:sz w:val="13"/>
                                      <w:szCs w:val="13"/>
                                    </w:rPr>
                                  </w:pPr>
                                </w:p>
                              </w:tc>
                              <w:tc>
                                <w:tcPr>
                                  <w:tcW w:w="0" w:type="auto"/>
                                  <w:tcBorders>
                                    <w:left w:val="single" w:sz="4" w:space="0" w:color="auto"/>
                                    <w:right w:val="single" w:sz="4" w:space="0" w:color="auto"/>
                                  </w:tcBorders>
                                </w:tcPr>
                                <w:p w14:paraId="126D4E35" w14:textId="77777777" w:rsidR="008B0834" w:rsidRPr="001B3607" w:rsidRDefault="008B0834" w:rsidP="00ED6EA6">
                                  <w:pPr>
                                    <w:spacing w:line="360" w:lineRule="auto"/>
                                    <w:rPr>
                                      <w:rFonts w:cstheme="minorHAnsi"/>
                                      <w:sz w:val="13"/>
                                      <w:szCs w:val="13"/>
                                    </w:rPr>
                                  </w:pPr>
                                  <w:r w:rsidRPr="001B3607">
                                    <w:rPr>
                                      <w:rFonts w:cstheme="minorHAnsi"/>
                                      <w:sz w:val="13"/>
                                      <w:szCs w:val="13"/>
                                    </w:rPr>
                                    <w:t xml:space="preserve">Building approvals: </w:t>
                                  </w:r>
                                  <w:r w:rsidRPr="00EC3F24">
                                    <w:rPr>
                                      <w:rFonts w:cstheme="minorHAnsi"/>
                                      <w:sz w:val="13"/>
                                      <w:szCs w:val="13"/>
                                    </w:rPr>
                                    <w:t>2022-23</w:t>
                                  </w:r>
                                </w:p>
                              </w:tc>
                              <w:tc>
                                <w:tcPr>
                                  <w:tcW w:w="0" w:type="auto"/>
                                  <w:tcBorders>
                                    <w:left w:val="single" w:sz="4" w:space="0" w:color="auto"/>
                                    <w:right w:val="single" w:sz="4" w:space="0" w:color="auto"/>
                                  </w:tcBorders>
                                </w:tcPr>
                                <w:p w14:paraId="065E08D2"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w:t>
                                  </w:r>
                                  <w:r w:rsidRPr="00EC3F24">
                                    <w:rPr>
                                      <w:rFonts w:cstheme="minorHAnsi"/>
                                      <w:sz w:val="13"/>
                                      <w:szCs w:val="13"/>
                                    </w:rPr>
                                    <w:t>213</w:t>
                                  </w:r>
                                  <w:r w:rsidRPr="001B3607">
                                    <w:rPr>
                                      <w:rFonts w:cstheme="minorHAnsi"/>
                                      <w:sz w:val="13"/>
                                      <w:szCs w:val="13"/>
                                    </w:rPr>
                                    <w:t>m</w:t>
                                  </w:r>
                                </w:p>
                              </w:tc>
                              <w:tc>
                                <w:tcPr>
                                  <w:tcW w:w="0" w:type="auto"/>
                                  <w:tcBorders>
                                    <w:left w:val="single" w:sz="4" w:space="0" w:color="auto"/>
                                    <w:right w:val="single" w:sz="4" w:space="0" w:color="auto"/>
                                  </w:tcBorders>
                                </w:tcPr>
                                <w:p w14:paraId="6085114A" w14:textId="77777777" w:rsidR="008B0834" w:rsidRPr="001B3607" w:rsidRDefault="008B0834" w:rsidP="00ED6EA6">
                                  <w:pPr>
                                    <w:spacing w:line="360" w:lineRule="auto"/>
                                    <w:jc w:val="right"/>
                                    <w:rPr>
                                      <w:rFonts w:cstheme="minorHAnsi"/>
                                      <w:sz w:val="13"/>
                                      <w:szCs w:val="13"/>
                                    </w:rPr>
                                  </w:pPr>
                                  <w:r w:rsidRPr="00EC3F24">
                                    <w:rPr>
                                      <w:rFonts w:cstheme="minorHAnsi"/>
                                      <w:sz w:val="13"/>
                                      <w:szCs w:val="13"/>
                                    </w:rPr>
                                    <w:t>+23.7</w:t>
                                  </w:r>
                                  <w:r w:rsidRPr="001B3607">
                                    <w:rPr>
                                      <w:rFonts w:cstheme="minorHAnsi"/>
                                      <w:sz w:val="13"/>
                                      <w:szCs w:val="13"/>
                                    </w:rPr>
                                    <w:t>%</w:t>
                                  </w:r>
                                </w:p>
                              </w:tc>
                              <w:tc>
                                <w:tcPr>
                                  <w:tcW w:w="0" w:type="auto"/>
                                  <w:tcBorders>
                                    <w:left w:val="single" w:sz="4" w:space="0" w:color="auto"/>
                                    <w:right w:val="single" w:sz="4" w:space="0" w:color="auto"/>
                                  </w:tcBorders>
                                </w:tcPr>
                                <w:p w14:paraId="6BF53C24" w14:textId="77777777" w:rsidR="008B0834" w:rsidRPr="001B3607" w:rsidRDefault="008B0834" w:rsidP="00ED6EA6">
                                  <w:pPr>
                                    <w:spacing w:line="360" w:lineRule="auto"/>
                                    <w:jc w:val="right"/>
                                    <w:rPr>
                                      <w:rFonts w:cstheme="minorHAnsi"/>
                                      <w:sz w:val="13"/>
                                      <w:szCs w:val="13"/>
                                    </w:rPr>
                                  </w:pPr>
                                  <w:r w:rsidRPr="00EC3F24">
                                    <w:rPr>
                                      <w:rFonts w:cstheme="minorHAnsi"/>
                                      <w:sz w:val="13"/>
                                      <w:szCs w:val="13"/>
                                    </w:rPr>
                                    <w:t>1.9</w:t>
                                  </w:r>
                                  <w:r w:rsidRPr="001B3607">
                                    <w:rPr>
                                      <w:rFonts w:cstheme="minorHAnsi"/>
                                      <w:sz w:val="13"/>
                                      <w:szCs w:val="13"/>
                                    </w:rPr>
                                    <w:t>%</w:t>
                                  </w:r>
                                </w:p>
                              </w:tc>
                            </w:tr>
                            <w:tr w:rsidR="008B0834" w:rsidRPr="00EE46E2" w14:paraId="27E0614F" w14:textId="77777777" w:rsidTr="00DA5BE3">
                              <w:tc>
                                <w:tcPr>
                                  <w:tcW w:w="0" w:type="auto"/>
                                  <w:tcBorders>
                                    <w:left w:val="single" w:sz="4" w:space="0" w:color="auto"/>
                                    <w:bottom w:val="single" w:sz="4" w:space="0" w:color="auto"/>
                                    <w:right w:val="single" w:sz="4" w:space="0" w:color="auto"/>
                                  </w:tcBorders>
                                </w:tcPr>
                                <w:p w14:paraId="3DED67BD" w14:textId="77777777" w:rsidR="008B0834" w:rsidRPr="008809A4" w:rsidRDefault="008B0834" w:rsidP="00ED6EA6">
                                  <w:pPr>
                                    <w:spacing w:line="360" w:lineRule="auto"/>
                                    <w:rPr>
                                      <w:rFonts w:cstheme="minorHAnsi"/>
                                      <w:sz w:val="13"/>
                                      <w:szCs w:val="13"/>
                                    </w:rPr>
                                  </w:pPr>
                                  <w:r w:rsidRPr="008809A4">
                                    <w:rPr>
                                      <w:rFonts w:cstheme="minorHAnsi"/>
                                      <w:sz w:val="13"/>
                                      <w:szCs w:val="13"/>
                                    </w:rPr>
                                    <w:t>Overnight visitors a year: 2020-22</w:t>
                                  </w:r>
                                </w:p>
                              </w:tc>
                              <w:tc>
                                <w:tcPr>
                                  <w:tcW w:w="795" w:type="dxa"/>
                                  <w:tcBorders>
                                    <w:left w:val="single" w:sz="4" w:space="0" w:color="auto"/>
                                    <w:bottom w:val="single" w:sz="4" w:space="0" w:color="auto"/>
                                    <w:right w:val="single" w:sz="4" w:space="0" w:color="auto"/>
                                  </w:tcBorders>
                                </w:tcPr>
                                <w:p w14:paraId="57B18A89"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2,464,000</w:t>
                                  </w:r>
                                </w:p>
                              </w:tc>
                              <w:tc>
                                <w:tcPr>
                                  <w:tcW w:w="1128" w:type="dxa"/>
                                  <w:tcBorders>
                                    <w:left w:val="single" w:sz="4" w:space="0" w:color="auto"/>
                                    <w:bottom w:val="single" w:sz="4" w:space="0" w:color="auto"/>
                                    <w:right w:val="single" w:sz="4" w:space="0" w:color="auto"/>
                                  </w:tcBorders>
                                </w:tcPr>
                                <w:p w14:paraId="511C918B" w14:textId="77777777" w:rsidR="008B0834" w:rsidRPr="008809A4" w:rsidRDefault="008B0834" w:rsidP="00ED6EA6">
                                  <w:pPr>
                                    <w:spacing w:line="360" w:lineRule="auto"/>
                                    <w:jc w:val="right"/>
                                    <w:rPr>
                                      <w:rFonts w:cstheme="minorHAnsi"/>
                                      <w:sz w:val="13"/>
                                      <w:szCs w:val="13"/>
                                    </w:rPr>
                                  </w:pPr>
                                </w:p>
                              </w:tc>
                              <w:tc>
                                <w:tcPr>
                                  <w:tcW w:w="0" w:type="auto"/>
                                  <w:tcBorders>
                                    <w:left w:val="single" w:sz="4" w:space="0" w:color="auto"/>
                                    <w:bottom w:val="single" w:sz="4" w:space="0" w:color="auto"/>
                                    <w:right w:val="single" w:sz="4" w:space="0" w:color="auto"/>
                                  </w:tcBorders>
                                </w:tcPr>
                                <w:p w14:paraId="5008714A"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22.7%</w:t>
                                  </w:r>
                                </w:p>
                              </w:tc>
                              <w:tc>
                                <w:tcPr>
                                  <w:tcW w:w="0" w:type="auto"/>
                                  <w:tcBorders>
                                    <w:right w:val="single" w:sz="4" w:space="0" w:color="auto"/>
                                  </w:tcBorders>
                                </w:tcPr>
                                <w:p w14:paraId="6EEEFE05" w14:textId="77777777" w:rsidR="008B0834" w:rsidRPr="00EE46E2" w:rsidRDefault="008B0834" w:rsidP="00ED6EA6">
                                  <w:pPr>
                                    <w:rPr>
                                      <w:rFonts w:cstheme="minorHAnsi"/>
                                      <w:sz w:val="13"/>
                                      <w:szCs w:val="13"/>
                                    </w:rPr>
                                  </w:pPr>
                                </w:p>
                              </w:tc>
                              <w:tc>
                                <w:tcPr>
                                  <w:tcW w:w="0" w:type="auto"/>
                                  <w:tcBorders>
                                    <w:left w:val="single" w:sz="4" w:space="0" w:color="auto"/>
                                    <w:bottom w:val="single" w:sz="4" w:space="0" w:color="auto"/>
                                    <w:right w:val="single" w:sz="4" w:space="0" w:color="auto"/>
                                  </w:tcBorders>
                                </w:tcPr>
                                <w:p w14:paraId="6193F35C" w14:textId="77777777" w:rsidR="008B0834" w:rsidRPr="008809A4" w:rsidRDefault="008B0834" w:rsidP="00ED6EA6">
                                  <w:pPr>
                                    <w:spacing w:line="360" w:lineRule="auto"/>
                                    <w:rPr>
                                      <w:rFonts w:cstheme="minorHAnsi"/>
                                      <w:sz w:val="13"/>
                                      <w:szCs w:val="13"/>
                                    </w:rPr>
                                  </w:pPr>
                                  <w:r w:rsidRPr="008809A4">
                                    <w:rPr>
                                      <w:rFonts w:cstheme="minorHAnsi"/>
                                      <w:sz w:val="13"/>
                                      <w:szCs w:val="13"/>
                                    </w:rPr>
                                    <w:t>Overnight visitors a year: 2020-22</w:t>
                                  </w:r>
                                </w:p>
                              </w:tc>
                              <w:tc>
                                <w:tcPr>
                                  <w:tcW w:w="0" w:type="auto"/>
                                  <w:tcBorders>
                                    <w:left w:val="single" w:sz="4" w:space="0" w:color="auto"/>
                                    <w:bottom w:val="single" w:sz="4" w:space="0" w:color="auto"/>
                                    <w:right w:val="single" w:sz="4" w:space="0" w:color="auto"/>
                                  </w:tcBorders>
                                </w:tcPr>
                                <w:p w14:paraId="03EBFFD8"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689,000</w:t>
                                  </w:r>
                                </w:p>
                              </w:tc>
                              <w:tc>
                                <w:tcPr>
                                  <w:tcW w:w="0" w:type="auto"/>
                                  <w:tcBorders>
                                    <w:left w:val="single" w:sz="4" w:space="0" w:color="auto"/>
                                    <w:bottom w:val="single" w:sz="4" w:space="0" w:color="auto"/>
                                    <w:right w:val="single" w:sz="4" w:space="0" w:color="auto"/>
                                  </w:tcBorders>
                                </w:tcPr>
                                <w:p w14:paraId="0FC2B8C5" w14:textId="77777777" w:rsidR="008B0834" w:rsidRPr="008809A4" w:rsidRDefault="008B0834" w:rsidP="00ED6EA6">
                                  <w:pPr>
                                    <w:spacing w:line="360" w:lineRule="auto"/>
                                    <w:jc w:val="right"/>
                                    <w:rPr>
                                      <w:rFonts w:cstheme="minorHAnsi"/>
                                      <w:sz w:val="13"/>
                                      <w:szCs w:val="13"/>
                                    </w:rPr>
                                  </w:pPr>
                                </w:p>
                              </w:tc>
                              <w:tc>
                                <w:tcPr>
                                  <w:tcW w:w="0" w:type="auto"/>
                                  <w:tcBorders>
                                    <w:left w:val="single" w:sz="4" w:space="0" w:color="auto"/>
                                    <w:bottom w:val="single" w:sz="4" w:space="0" w:color="auto"/>
                                    <w:right w:val="single" w:sz="4" w:space="0" w:color="auto"/>
                                  </w:tcBorders>
                                </w:tcPr>
                                <w:p w14:paraId="3C3712FE"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6.3%</w:t>
                                  </w:r>
                                </w:p>
                              </w:tc>
                            </w:tr>
                            <w:tr w:rsidR="008B0834" w:rsidRPr="00EE46E2" w14:paraId="7DDEF8CE" w14:textId="77777777" w:rsidTr="00DA5BE3">
                              <w:tc>
                                <w:tcPr>
                                  <w:tcW w:w="0" w:type="auto"/>
                                  <w:tcBorders>
                                    <w:top w:val="single" w:sz="4" w:space="0" w:color="auto"/>
                                  </w:tcBorders>
                                </w:tcPr>
                                <w:p w14:paraId="6601CEAA" w14:textId="77777777" w:rsidR="008B0834" w:rsidRPr="00EE46E2" w:rsidRDefault="008B0834" w:rsidP="00ED6EA6">
                                  <w:pPr>
                                    <w:rPr>
                                      <w:rFonts w:cstheme="minorHAnsi"/>
                                      <w:sz w:val="13"/>
                                      <w:szCs w:val="13"/>
                                    </w:rPr>
                                  </w:pPr>
                                </w:p>
                              </w:tc>
                              <w:tc>
                                <w:tcPr>
                                  <w:tcW w:w="795" w:type="dxa"/>
                                  <w:tcBorders>
                                    <w:top w:val="single" w:sz="4" w:space="0" w:color="auto"/>
                                  </w:tcBorders>
                                </w:tcPr>
                                <w:p w14:paraId="6E624E16" w14:textId="77777777" w:rsidR="008B0834" w:rsidRPr="00EE46E2" w:rsidRDefault="008B0834" w:rsidP="00ED6EA6">
                                  <w:pPr>
                                    <w:jc w:val="right"/>
                                    <w:rPr>
                                      <w:rFonts w:cstheme="minorHAnsi"/>
                                      <w:sz w:val="13"/>
                                      <w:szCs w:val="13"/>
                                    </w:rPr>
                                  </w:pPr>
                                </w:p>
                              </w:tc>
                              <w:tc>
                                <w:tcPr>
                                  <w:tcW w:w="1128" w:type="dxa"/>
                                  <w:tcBorders>
                                    <w:top w:val="single" w:sz="4" w:space="0" w:color="auto"/>
                                  </w:tcBorders>
                                </w:tcPr>
                                <w:p w14:paraId="4C5A8546" w14:textId="77777777" w:rsidR="008B0834" w:rsidRPr="00EE46E2" w:rsidRDefault="008B0834" w:rsidP="00ED6EA6">
                                  <w:pPr>
                                    <w:jc w:val="right"/>
                                    <w:rPr>
                                      <w:rFonts w:cstheme="minorHAnsi"/>
                                      <w:sz w:val="13"/>
                                      <w:szCs w:val="13"/>
                                    </w:rPr>
                                  </w:pPr>
                                </w:p>
                              </w:tc>
                              <w:tc>
                                <w:tcPr>
                                  <w:tcW w:w="0" w:type="auto"/>
                                  <w:tcBorders>
                                    <w:top w:val="single" w:sz="4" w:space="0" w:color="auto"/>
                                  </w:tcBorders>
                                </w:tcPr>
                                <w:p w14:paraId="47B79BD5" w14:textId="77777777" w:rsidR="008B0834" w:rsidRPr="00EE46E2" w:rsidRDefault="008B0834" w:rsidP="00ED6EA6">
                                  <w:pPr>
                                    <w:jc w:val="right"/>
                                    <w:rPr>
                                      <w:rFonts w:cstheme="minorHAnsi"/>
                                      <w:sz w:val="13"/>
                                      <w:szCs w:val="13"/>
                                    </w:rPr>
                                  </w:pPr>
                                </w:p>
                              </w:tc>
                              <w:tc>
                                <w:tcPr>
                                  <w:tcW w:w="0" w:type="auto"/>
                                </w:tcPr>
                                <w:p w14:paraId="69E20634" w14:textId="77777777" w:rsidR="008B0834" w:rsidRPr="00EE46E2" w:rsidRDefault="008B0834" w:rsidP="00ED6EA6">
                                  <w:pPr>
                                    <w:rPr>
                                      <w:rFonts w:cstheme="minorHAnsi"/>
                                      <w:sz w:val="13"/>
                                      <w:szCs w:val="13"/>
                                    </w:rPr>
                                  </w:pPr>
                                </w:p>
                              </w:tc>
                              <w:tc>
                                <w:tcPr>
                                  <w:tcW w:w="0" w:type="auto"/>
                                  <w:tcBorders>
                                    <w:top w:val="single" w:sz="4" w:space="0" w:color="auto"/>
                                  </w:tcBorders>
                                </w:tcPr>
                                <w:p w14:paraId="1F14F234" w14:textId="77777777" w:rsidR="008B0834" w:rsidRPr="00EE46E2" w:rsidRDefault="008B0834" w:rsidP="00ED6EA6">
                                  <w:pPr>
                                    <w:rPr>
                                      <w:rFonts w:cstheme="minorHAnsi"/>
                                      <w:sz w:val="13"/>
                                      <w:szCs w:val="13"/>
                                    </w:rPr>
                                  </w:pPr>
                                </w:p>
                              </w:tc>
                              <w:tc>
                                <w:tcPr>
                                  <w:tcW w:w="0" w:type="auto"/>
                                  <w:tcBorders>
                                    <w:top w:val="single" w:sz="4" w:space="0" w:color="auto"/>
                                  </w:tcBorders>
                                </w:tcPr>
                                <w:p w14:paraId="019C6B4B" w14:textId="77777777" w:rsidR="008B0834" w:rsidRPr="00EE46E2" w:rsidRDefault="008B0834" w:rsidP="00ED6EA6">
                                  <w:pPr>
                                    <w:jc w:val="right"/>
                                    <w:rPr>
                                      <w:rFonts w:cstheme="minorHAnsi"/>
                                      <w:sz w:val="13"/>
                                      <w:szCs w:val="13"/>
                                    </w:rPr>
                                  </w:pPr>
                                </w:p>
                              </w:tc>
                              <w:tc>
                                <w:tcPr>
                                  <w:tcW w:w="0" w:type="auto"/>
                                  <w:tcBorders>
                                    <w:top w:val="single" w:sz="4" w:space="0" w:color="auto"/>
                                  </w:tcBorders>
                                </w:tcPr>
                                <w:p w14:paraId="68CCCAC6" w14:textId="77777777" w:rsidR="008B0834" w:rsidRPr="00EE46E2" w:rsidRDefault="008B0834" w:rsidP="00ED6EA6">
                                  <w:pPr>
                                    <w:jc w:val="right"/>
                                    <w:rPr>
                                      <w:rFonts w:cstheme="minorHAnsi"/>
                                      <w:sz w:val="13"/>
                                      <w:szCs w:val="13"/>
                                    </w:rPr>
                                  </w:pPr>
                                </w:p>
                              </w:tc>
                              <w:tc>
                                <w:tcPr>
                                  <w:tcW w:w="0" w:type="auto"/>
                                  <w:tcBorders>
                                    <w:top w:val="single" w:sz="4" w:space="0" w:color="auto"/>
                                  </w:tcBorders>
                                </w:tcPr>
                                <w:p w14:paraId="138C066B" w14:textId="77777777" w:rsidR="008B0834" w:rsidRPr="00EE46E2" w:rsidRDefault="008B0834" w:rsidP="00ED6EA6">
                                  <w:pPr>
                                    <w:jc w:val="right"/>
                                    <w:rPr>
                                      <w:rFonts w:cstheme="minorHAnsi"/>
                                      <w:sz w:val="13"/>
                                      <w:szCs w:val="13"/>
                                    </w:rPr>
                                  </w:pPr>
                                </w:p>
                              </w:tc>
                            </w:tr>
                            <w:tr w:rsidR="008B0834" w:rsidRPr="00EE46E2" w14:paraId="5DE84EF5" w14:textId="77777777" w:rsidTr="00DA5BE3">
                              <w:tc>
                                <w:tcPr>
                                  <w:tcW w:w="0" w:type="auto"/>
                                </w:tcPr>
                                <w:p w14:paraId="6DFBF10B" w14:textId="77777777" w:rsidR="008B0834" w:rsidRPr="00EE46E2" w:rsidRDefault="008B0834" w:rsidP="00ED6EA6">
                                  <w:pPr>
                                    <w:rPr>
                                      <w:rFonts w:cstheme="minorHAnsi"/>
                                      <w:sz w:val="13"/>
                                      <w:szCs w:val="13"/>
                                    </w:rPr>
                                  </w:pPr>
                                </w:p>
                              </w:tc>
                              <w:tc>
                                <w:tcPr>
                                  <w:tcW w:w="795" w:type="dxa"/>
                                </w:tcPr>
                                <w:p w14:paraId="755B16B9" w14:textId="77777777" w:rsidR="008B0834" w:rsidRPr="00EE46E2" w:rsidRDefault="008B0834" w:rsidP="00ED6EA6">
                                  <w:pPr>
                                    <w:jc w:val="right"/>
                                    <w:rPr>
                                      <w:rFonts w:cstheme="minorHAnsi"/>
                                      <w:sz w:val="13"/>
                                      <w:szCs w:val="13"/>
                                    </w:rPr>
                                  </w:pPr>
                                </w:p>
                              </w:tc>
                              <w:tc>
                                <w:tcPr>
                                  <w:tcW w:w="1128" w:type="dxa"/>
                                </w:tcPr>
                                <w:p w14:paraId="4283AE6B" w14:textId="77777777" w:rsidR="008B0834" w:rsidRPr="00EE46E2" w:rsidRDefault="008B0834" w:rsidP="00ED6EA6">
                                  <w:pPr>
                                    <w:jc w:val="right"/>
                                    <w:rPr>
                                      <w:rFonts w:cstheme="minorHAnsi"/>
                                      <w:sz w:val="13"/>
                                      <w:szCs w:val="13"/>
                                    </w:rPr>
                                  </w:pPr>
                                </w:p>
                              </w:tc>
                              <w:tc>
                                <w:tcPr>
                                  <w:tcW w:w="0" w:type="auto"/>
                                </w:tcPr>
                                <w:p w14:paraId="50C71869" w14:textId="77777777" w:rsidR="008B0834" w:rsidRPr="00EE46E2" w:rsidRDefault="008B0834" w:rsidP="00ED6EA6">
                                  <w:pPr>
                                    <w:jc w:val="right"/>
                                    <w:rPr>
                                      <w:rFonts w:cstheme="minorHAnsi"/>
                                      <w:sz w:val="13"/>
                                      <w:szCs w:val="13"/>
                                    </w:rPr>
                                  </w:pPr>
                                </w:p>
                              </w:tc>
                              <w:tc>
                                <w:tcPr>
                                  <w:tcW w:w="0" w:type="auto"/>
                                </w:tcPr>
                                <w:p w14:paraId="0100504F" w14:textId="77777777" w:rsidR="008B0834" w:rsidRPr="00EE46E2" w:rsidRDefault="008B0834" w:rsidP="00ED6EA6">
                                  <w:pPr>
                                    <w:rPr>
                                      <w:rFonts w:cstheme="minorHAnsi"/>
                                      <w:sz w:val="13"/>
                                      <w:szCs w:val="13"/>
                                    </w:rPr>
                                  </w:pPr>
                                </w:p>
                              </w:tc>
                              <w:tc>
                                <w:tcPr>
                                  <w:tcW w:w="0" w:type="auto"/>
                                </w:tcPr>
                                <w:p w14:paraId="0415AA37" w14:textId="77777777" w:rsidR="008B0834" w:rsidRPr="00EE46E2" w:rsidRDefault="008B0834" w:rsidP="00ED6EA6">
                                  <w:pPr>
                                    <w:rPr>
                                      <w:rFonts w:cstheme="minorHAnsi"/>
                                      <w:sz w:val="13"/>
                                      <w:szCs w:val="13"/>
                                    </w:rPr>
                                  </w:pPr>
                                </w:p>
                              </w:tc>
                              <w:tc>
                                <w:tcPr>
                                  <w:tcW w:w="0" w:type="auto"/>
                                </w:tcPr>
                                <w:p w14:paraId="4E2FA658" w14:textId="77777777" w:rsidR="008B0834" w:rsidRPr="00EE46E2" w:rsidRDefault="008B0834" w:rsidP="00ED6EA6">
                                  <w:pPr>
                                    <w:jc w:val="right"/>
                                    <w:rPr>
                                      <w:rFonts w:cstheme="minorHAnsi"/>
                                      <w:sz w:val="13"/>
                                      <w:szCs w:val="13"/>
                                    </w:rPr>
                                  </w:pPr>
                                </w:p>
                              </w:tc>
                              <w:tc>
                                <w:tcPr>
                                  <w:tcW w:w="0" w:type="auto"/>
                                </w:tcPr>
                                <w:p w14:paraId="150D634F" w14:textId="77777777" w:rsidR="008B0834" w:rsidRPr="00EE46E2" w:rsidRDefault="008B0834" w:rsidP="00ED6EA6">
                                  <w:pPr>
                                    <w:jc w:val="right"/>
                                    <w:rPr>
                                      <w:rFonts w:cstheme="minorHAnsi"/>
                                      <w:sz w:val="13"/>
                                      <w:szCs w:val="13"/>
                                    </w:rPr>
                                  </w:pPr>
                                </w:p>
                              </w:tc>
                              <w:tc>
                                <w:tcPr>
                                  <w:tcW w:w="0" w:type="auto"/>
                                </w:tcPr>
                                <w:p w14:paraId="3DA7800D" w14:textId="77777777" w:rsidR="008B0834" w:rsidRPr="00EE46E2" w:rsidRDefault="008B0834" w:rsidP="00ED6EA6">
                                  <w:pPr>
                                    <w:jc w:val="right"/>
                                    <w:rPr>
                                      <w:rFonts w:cstheme="minorHAnsi"/>
                                      <w:sz w:val="13"/>
                                      <w:szCs w:val="13"/>
                                    </w:rPr>
                                  </w:pPr>
                                </w:p>
                              </w:tc>
                            </w:tr>
                          </w:tbl>
                          <w:p w14:paraId="3429FDD9" w14:textId="77777777" w:rsidR="008B0834" w:rsidRDefault="008B0834" w:rsidP="008B08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8813A" id="_x0000_t202" coordsize="21600,21600" o:spt="202" path="m,l,21600r21600,l21600,xe">
                <v:stroke joinstyle="miter"/>
                <v:path gradientshapeok="t" o:connecttype="rect"/>
              </v:shapetype>
              <v:shape id="Text Box 8" o:spid="_x0000_s1026" type="#_x0000_t202" style="position:absolute;left:0;text-align:left;margin-left:2.5pt;margin-top:4.2pt;width:535pt;height:6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" filled="f" stroked="f" strokeweight=".5pt">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814"/>
                        <w:gridCol w:w="1128"/>
                        <w:gridCol w:w="787"/>
                        <w:gridCol w:w="236"/>
                        <w:gridCol w:w="1145"/>
                        <w:gridCol w:w="1145"/>
                        <w:gridCol w:w="722"/>
                        <w:gridCol w:w="1128"/>
                        <w:gridCol w:w="787"/>
                      </w:tblGrid>
                      <w:tr w:rsidR="008B0834" w:rsidRPr="00EE46E2" w14:paraId="19C0E3F4" w14:textId="77777777" w:rsidTr="00E930AA">
                        <w:trPr>
                          <w:gridAfter w:val="4"/>
                          <w:wAfter w:w="3782" w:type="dxa"/>
                        </w:trPr>
                        <w:tc>
                          <w:tcPr>
                            <w:tcW w:w="2235" w:type="dxa"/>
                          </w:tcPr>
                          <w:p w14:paraId="13C794B3" w14:textId="77777777" w:rsidR="008B0834" w:rsidRPr="00502167" w:rsidRDefault="008B0834" w:rsidP="00FD646A">
                            <w:pPr>
                              <w:rPr>
                                <w:rFonts w:cstheme="minorHAnsi"/>
                                <w:sz w:val="9"/>
                                <w:szCs w:val="13"/>
                              </w:rPr>
                            </w:pPr>
                          </w:p>
                        </w:tc>
                        <w:tc>
                          <w:tcPr>
                            <w:tcW w:w="2729" w:type="dxa"/>
                            <w:gridSpan w:val="3"/>
                          </w:tcPr>
                          <w:p w14:paraId="6AA041BC" w14:textId="77777777" w:rsidR="008B0834" w:rsidRPr="00EE46E2" w:rsidRDefault="008B0834" w:rsidP="00FD646A">
                            <w:pPr>
                              <w:rPr>
                                <w:rFonts w:cstheme="minorHAnsi"/>
                                <w:sz w:val="13"/>
                                <w:szCs w:val="13"/>
                              </w:rPr>
                            </w:pPr>
                          </w:p>
                        </w:tc>
                        <w:tc>
                          <w:tcPr>
                            <w:tcW w:w="1381" w:type="dxa"/>
                            <w:gridSpan w:val="2"/>
                          </w:tcPr>
                          <w:p w14:paraId="2106B7AB" w14:textId="77777777" w:rsidR="008B0834" w:rsidRPr="00EE46E2" w:rsidRDefault="008B0834" w:rsidP="00FD646A">
                            <w:pPr>
                              <w:rPr>
                                <w:rFonts w:cstheme="minorHAnsi"/>
                                <w:sz w:val="13"/>
                                <w:szCs w:val="13"/>
                              </w:rPr>
                            </w:pPr>
                          </w:p>
                        </w:tc>
                      </w:tr>
                      <w:tr w:rsidR="008B0834" w:rsidRPr="00EE46E2" w14:paraId="128C4CC6" w14:textId="77777777" w:rsidTr="00E930AA">
                        <w:trPr>
                          <w:gridAfter w:val="4"/>
                          <w:wAfter w:w="3782" w:type="dxa"/>
                        </w:trPr>
                        <w:tc>
                          <w:tcPr>
                            <w:tcW w:w="2235" w:type="dxa"/>
                          </w:tcPr>
                          <w:p w14:paraId="17F5D066" w14:textId="77777777" w:rsidR="008B0834" w:rsidRPr="00502167" w:rsidRDefault="008B0834" w:rsidP="00FD646A">
                            <w:pPr>
                              <w:rPr>
                                <w:rFonts w:cstheme="minorHAnsi"/>
                                <w:sz w:val="9"/>
                                <w:szCs w:val="13"/>
                              </w:rPr>
                            </w:pPr>
                          </w:p>
                        </w:tc>
                        <w:tc>
                          <w:tcPr>
                            <w:tcW w:w="2729" w:type="dxa"/>
                            <w:gridSpan w:val="3"/>
                          </w:tcPr>
                          <w:p w14:paraId="4C489AD7" w14:textId="77777777" w:rsidR="008B0834" w:rsidRPr="00EE46E2" w:rsidRDefault="008B0834" w:rsidP="00FD646A">
                            <w:pPr>
                              <w:rPr>
                                <w:rFonts w:cstheme="minorHAnsi"/>
                                <w:sz w:val="13"/>
                                <w:szCs w:val="13"/>
                              </w:rPr>
                            </w:pPr>
                          </w:p>
                        </w:tc>
                        <w:tc>
                          <w:tcPr>
                            <w:tcW w:w="1381" w:type="dxa"/>
                            <w:gridSpan w:val="2"/>
                          </w:tcPr>
                          <w:p w14:paraId="18691661" w14:textId="77777777" w:rsidR="008B0834" w:rsidRPr="00EE46E2" w:rsidRDefault="008B0834" w:rsidP="00FD646A">
                            <w:pPr>
                              <w:rPr>
                                <w:rFonts w:cstheme="minorHAnsi"/>
                                <w:sz w:val="13"/>
                                <w:szCs w:val="13"/>
                              </w:rPr>
                            </w:pPr>
                          </w:p>
                        </w:tc>
                      </w:tr>
                      <w:tr w:rsidR="008B0834" w:rsidRPr="00EE46E2" w14:paraId="483A9F07" w14:textId="77777777" w:rsidTr="00E930AA">
                        <w:tc>
                          <w:tcPr>
                            <w:tcW w:w="4964" w:type="dxa"/>
                            <w:gridSpan w:val="4"/>
                            <w:tcBorders>
                              <w:top w:val="single" w:sz="4" w:space="0" w:color="auto"/>
                              <w:left w:val="single" w:sz="4" w:space="0" w:color="auto"/>
                              <w:bottom w:val="single" w:sz="4" w:space="0" w:color="auto"/>
                              <w:right w:val="single" w:sz="4" w:space="0" w:color="auto"/>
                            </w:tcBorders>
                            <w:shd w:val="clear" w:color="auto" w:fill="DFBE9D"/>
                          </w:tcPr>
                          <w:p w14:paraId="2B6A10FD" w14:textId="77777777" w:rsidR="008B0834" w:rsidRPr="00EE46E2" w:rsidRDefault="008B0834" w:rsidP="008C34A6">
                            <w:pPr>
                              <w:spacing w:line="360" w:lineRule="auto"/>
                              <w:rPr>
                                <w:rFonts w:cstheme="minorHAnsi"/>
                                <w:b/>
                                <w:color w:val="FFFFFF" w:themeColor="background1"/>
                                <w:sz w:val="13"/>
                                <w:szCs w:val="13"/>
                              </w:rPr>
                            </w:pPr>
                            <w:r w:rsidRPr="00904A09">
                              <w:rPr>
                                <w:rFonts w:cstheme="minorHAnsi"/>
                                <w:b/>
                                <w:color w:val="002060"/>
                                <w:sz w:val="14"/>
                                <w:szCs w:val="14"/>
                              </w:rPr>
                              <w:t>PILBARA &amp; OFFSHORE</w:t>
                            </w:r>
                          </w:p>
                        </w:tc>
                        <w:tc>
                          <w:tcPr>
                            <w:tcW w:w="236" w:type="dxa"/>
                            <w:tcBorders>
                              <w:right w:val="single" w:sz="4" w:space="0" w:color="auto"/>
                            </w:tcBorders>
                          </w:tcPr>
                          <w:p w14:paraId="1F1A7136" w14:textId="77777777" w:rsidR="008B0834" w:rsidRPr="00EE46E2" w:rsidRDefault="008B0834" w:rsidP="008C34A6">
                            <w:pPr>
                              <w:rPr>
                                <w:rFonts w:cstheme="minorHAnsi"/>
                                <w:sz w:val="13"/>
                                <w:szCs w:val="13"/>
                              </w:rPr>
                            </w:pPr>
                          </w:p>
                        </w:tc>
                        <w:tc>
                          <w:tcPr>
                            <w:tcW w:w="4927" w:type="dxa"/>
                            <w:gridSpan w:val="5"/>
                            <w:tcBorders>
                              <w:top w:val="single" w:sz="4" w:space="0" w:color="auto"/>
                              <w:left w:val="single" w:sz="4" w:space="0" w:color="auto"/>
                              <w:bottom w:val="single" w:sz="4" w:space="0" w:color="auto"/>
                              <w:right w:val="single" w:sz="4" w:space="0" w:color="auto"/>
                            </w:tcBorders>
                            <w:shd w:val="clear" w:color="auto" w:fill="F1ECB1"/>
                          </w:tcPr>
                          <w:p w14:paraId="5475DA0A" w14:textId="77777777" w:rsidR="008B0834" w:rsidRPr="00EE46E2" w:rsidRDefault="008B0834" w:rsidP="008C34A6">
                            <w:pPr>
                              <w:spacing w:line="360" w:lineRule="auto"/>
                              <w:rPr>
                                <w:rFonts w:cstheme="minorHAnsi"/>
                                <w:b/>
                                <w:sz w:val="13"/>
                                <w:szCs w:val="13"/>
                              </w:rPr>
                            </w:pPr>
                            <w:r w:rsidRPr="00904A09">
                              <w:rPr>
                                <w:rFonts w:cstheme="minorHAnsi"/>
                                <w:b/>
                                <w:color w:val="002060"/>
                                <w:sz w:val="14"/>
                                <w:szCs w:val="14"/>
                              </w:rPr>
                              <w:t>KIMBERLEY</w:t>
                            </w:r>
                          </w:p>
                        </w:tc>
                      </w:tr>
                      <w:tr w:rsidR="008B0834" w:rsidRPr="00EE46E2" w14:paraId="5BDFD04F" w14:textId="77777777" w:rsidTr="00E930AA">
                        <w:tc>
                          <w:tcPr>
                            <w:tcW w:w="2235" w:type="dxa"/>
                            <w:tcBorders>
                              <w:top w:val="single" w:sz="4" w:space="0" w:color="auto"/>
                              <w:left w:val="single" w:sz="4" w:space="0" w:color="auto"/>
                              <w:right w:val="single" w:sz="4" w:space="0" w:color="auto"/>
                            </w:tcBorders>
                          </w:tcPr>
                          <w:p w14:paraId="0BF3B0E1" w14:textId="77777777" w:rsidR="008B0834" w:rsidRPr="00A1002D" w:rsidRDefault="008B0834" w:rsidP="00993C31">
                            <w:pPr>
                              <w:spacing w:line="360" w:lineRule="auto"/>
                              <w:rPr>
                                <w:rFonts w:cstheme="minorHAnsi"/>
                                <w:sz w:val="13"/>
                                <w:szCs w:val="13"/>
                              </w:rPr>
                            </w:pPr>
                          </w:p>
                        </w:tc>
                        <w:tc>
                          <w:tcPr>
                            <w:tcW w:w="814" w:type="dxa"/>
                            <w:tcBorders>
                              <w:top w:val="single" w:sz="4" w:space="0" w:color="auto"/>
                              <w:left w:val="single" w:sz="4" w:space="0" w:color="auto"/>
                              <w:right w:val="single" w:sz="4" w:space="0" w:color="auto"/>
                            </w:tcBorders>
                          </w:tcPr>
                          <w:p w14:paraId="1ED55958" w14:textId="77777777" w:rsidR="008B0834" w:rsidRPr="00EE46E2" w:rsidRDefault="008B0834" w:rsidP="00993C31">
                            <w:pPr>
                              <w:spacing w:line="360" w:lineRule="auto"/>
                              <w:jc w:val="right"/>
                              <w:rPr>
                                <w:rFonts w:cstheme="minorHAnsi"/>
                                <w:sz w:val="13"/>
                                <w:szCs w:val="13"/>
                              </w:rPr>
                            </w:pPr>
                            <w:r w:rsidRPr="00EE46E2">
                              <w:rPr>
                                <w:rFonts w:cstheme="minorHAnsi"/>
                                <w:sz w:val="13"/>
                                <w:szCs w:val="13"/>
                              </w:rPr>
                              <w:t>Figure</w:t>
                            </w:r>
                          </w:p>
                        </w:tc>
                        <w:tc>
                          <w:tcPr>
                            <w:tcW w:w="1128" w:type="dxa"/>
                            <w:tcBorders>
                              <w:top w:val="single" w:sz="4" w:space="0" w:color="auto"/>
                              <w:left w:val="single" w:sz="4" w:space="0" w:color="auto"/>
                              <w:right w:val="single" w:sz="4" w:space="0" w:color="auto"/>
                            </w:tcBorders>
                          </w:tcPr>
                          <w:p w14:paraId="79D141E2" w14:textId="77777777" w:rsidR="008B0834" w:rsidRPr="00EE46E2" w:rsidRDefault="008B0834" w:rsidP="00993C31">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787" w:type="dxa"/>
                            <w:tcBorders>
                              <w:top w:val="single" w:sz="4" w:space="0" w:color="auto"/>
                              <w:left w:val="single" w:sz="4" w:space="0" w:color="auto"/>
                              <w:right w:val="single" w:sz="4" w:space="0" w:color="auto"/>
                            </w:tcBorders>
                          </w:tcPr>
                          <w:p w14:paraId="6BD96ECA" w14:textId="77777777" w:rsidR="008B0834" w:rsidRPr="00EE46E2" w:rsidRDefault="008B0834" w:rsidP="00993C31">
                            <w:pPr>
                              <w:spacing w:line="360" w:lineRule="auto"/>
                              <w:jc w:val="right"/>
                              <w:rPr>
                                <w:rFonts w:cstheme="minorHAnsi"/>
                                <w:sz w:val="13"/>
                                <w:szCs w:val="13"/>
                              </w:rPr>
                            </w:pPr>
                            <w:r w:rsidRPr="00EE46E2">
                              <w:rPr>
                                <w:rFonts w:cstheme="minorHAnsi"/>
                                <w:sz w:val="13"/>
                                <w:szCs w:val="13"/>
                              </w:rPr>
                              <w:t>WA share</w:t>
                            </w:r>
                          </w:p>
                        </w:tc>
                        <w:tc>
                          <w:tcPr>
                            <w:tcW w:w="236" w:type="dxa"/>
                            <w:tcBorders>
                              <w:right w:val="single" w:sz="4" w:space="0" w:color="auto"/>
                            </w:tcBorders>
                          </w:tcPr>
                          <w:p w14:paraId="0F7C269C" w14:textId="77777777" w:rsidR="008B0834" w:rsidRPr="00EE46E2" w:rsidRDefault="008B0834" w:rsidP="00993C31">
                            <w:pPr>
                              <w:rPr>
                                <w:rFonts w:cstheme="minorHAnsi"/>
                                <w:sz w:val="13"/>
                                <w:szCs w:val="13"/>
                              </w:rPr>
                            </w:pPr>
                          </w:p>
                        </w:tc>
                        <w:tc>
                          <w:tcPr>
                            <w:tcW w:w="2290" w:type="dxa"/>
                            <w:gridSpan w:val="2"/>
                            <w:tcBorders>
                              <w:top w:val="single" w:sz="4" w:space="0" w:color="auto"/>
                              <w:left w:val="single" w:sz="4" w:space="0" w:color="auto"/>
                              <w:right w:val="single" w:sz="4" w:space="0" w:color="auto"/>
                            </w:tcBorders>
                          </w:tcPr>
                          <w:p w14:paraId="28E1DF74" w14:textId="77777777" w:rsidR="008B0834" w:rsidRPr="00EE46E2" w:rsidRDefault="008B0834" w:rsidP="00993C31">
                            <w:pPr>
                              <w:spacing w:line="360" w:lineRule="auto"/>
                              <w:rPr>
                                <w:rFonts w:cstheme="minorHAnsi"/>
                                <w:sz w:val="13"/>
                                <w:szCs w:val="13"/>
                              </w:rPr>
                            </w:pPr>
                          </w:p>
                        </w:tc>
                        <w:tc>
                          <w:tcPr>
                            <w:tcW w:w="722" w:type="dxa"/>
                            <w:tcBorders>
                              <w:top w:val="single" w:sz="4" w:space="0" w:color="auto"/>
                              <w:left w:val="single" w:sz="4" w:space="0" w:color="auto"/>
                              <w:right w:val="single" w:sz="4" w:space="0" w:color="auto"/>
                            </w:tcBorders>
                          </w:tcPr>
                          <w:p w14:paraId="7C462221" w14:textId="77777777" w:rsidR="008B0834" w:rsidRPr="00EE46E2" w:rsidRDefault="008B0834" w:rsidP="00993C31">
                            <w:pPr>
                              <w:spacing w:line="360" w:lineRule="auto"/>
                              <w:jc w:val="right"/>
                              <w:rPr>
                                <w:rFonts w:cstheme="minorHAnsi"/>
                                <w:sz w:val="13"/>
                                <w:szCs w:val="13"/>
                              </w:rPr>
                            </w:pPr>
                            <w:r w:rsidRPr="00EE46E2">
                              <w:rPr>
                                <w:rFonts w:cstheme="minorHAnsi"/>
                                <w:sz w:val="13"/>
                                <w:szCs w:val="13"/>
                              </w:rPr>
                              <w:t>Figure</w:t>
                            </w:r>
                          </w:p>
                        </w:tc>
                        <w:tc>
                          <w:tcPr>
                            <w:tcW w:w="1128" w:type="dxa"/>
                            <w:tcBorders>
                              <w:top w:val="single" w:sz="4" w:space="0" w:color="auto"/>
                              <w:left w:val="single" w:sz="4" w:space="0" w:color="auto"/>
                              <w:right w:val="single" w:sz="4" w:space="0" w:color="auto"/>
                            </w:tcBorders>
                          </w:tcPr>
                          <w:p w14:paraId="299846A6" w14:textId="77777777" w:rsidR="008B0834" w:rsidRPr="00EE46E2" w:rsidRDefault="008B0834" w:rsidP="00993C31">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787" w:type="dxa"/>
                            <w:tcBorders>
                              <w:top w:val="single" w:sz="4" w:space="0" w:color="auto"/>
                              <w:left w:val="single" w:sz="4" w:space="0" w:color="auto"/>
                              <w:right w:val="single" w:sz="4" w:space="0" w:color="auto"/>
                            </w:tcBorders>
                          </w:tcPr>
                          <w:p w14:paraId="51DB0F1E" w14:textId="77777777" w:rsidR="008B0834" w:rsidRPr="00EE46E2" w:rsidRDefault="008B0834" w:rsidP="00993C31">
                            <w:pPr>
                              <w:spacing w:line="360" w:lineRule="auto"/>
                              <w:jc w:val="right"/>
                              <w:rPr>
                                <w:rFonts w:cstheme="minorHAnsi"/>
                                <w:sz w:val="13"/>
                                <w:szCs w:val="13"/>
                              </w:rPr>
                            </w:pPr>
                            <w:r w:rsidRPr="00EE46E2">
                              <w:rPr>
                                <w:rFonts w:cstheme="minorHAnsi"/>
                                <w:sz w:val="13"/>
                                <w:szCs w:val="13"/>
                              </w:rPr>
                              <w:t>WA share</w:t>
                            </w:r>
                          </w:p>
                        </w:tc>
                      </w:tr>
                      <w:tr w:rsidR="008B0834" w:rsidRPr="00EE46E2" w14:paraId="6AE4D7E0" w14:textId="77777777" w:rsidTr="00E930AA">
                        <w:tc>
                          <w:tcPr>
                            <w:tcW w:w="2235" w:type="dxa"/>
                            <w:tcBorders>
                              <w:left w:val="single" w:sz="4" w:space="0" w:color="auto"/>
                              <w:right w:val="single" w:sz="4" w:space="0" w:color="auto"/>
                            </w:tcBorders>
                          </w:tcPr>
                          <w:p w14:paraId="34473B72" w14:textId="77777777" w:rsidR="008B0834" w:rsidRPr="008809A4" w:rsidRDefault="008B0834" w:rsidP="00EF4DF0">
                            <w:pPr>
                              <w:spacing w:line="360" w:lineRule="auto"/>
                              <w:rPr>
                                <w:rFonts w:cstheme="minorHAnsi"/>
                                <w:sz w:val="13"/>
                                <w:szCs w:val="13"/>
                              </w:rPr>
                            </w:pPr>
                            <w:r w:rsidRPr="008809A4">
                              <w:rPr>
                                <w:rFonts w:cstheme="minorHAnsi"/>
                                <w:sz w:val="13"/>
                                <w:szCs w:val="13"/>
                              </w:rPr>
                              <w:t>Gross regional product: 2021-22</w:t>
                            </w:r>
                          </w:p>
                        </w:tc>
                        <w:tc>
                          <w:tcPr>
                            <w:tcW w:w="814" w:type="dxa"/>
                            <w:tcBorders>
                              <w:left w:val="single" w:sz="4" w:space="0" w:color="auto"/>
                              <w:right w:val="single" w:sz="4" w:space="0" w:color="auto"/>
                            </w:tcBorders>
                          </w:tcPr>
                          <w:p w14:paraId="2BC0489A"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$74.6b</w:t>
                            </w:r>
                          </w:p>
                        </w:tc>
                        <w:tc>
                          <w:tcPr>
                            <w:tcW w:w="1128" w:type="dxa"/>
                            <w:tcBorders>
                              <w:left w:val="single" w:sz="4" w:space="0" w:color="auto"/>
                              <w:right w:val="single" w:sz="4" w:space="0" w:color="auto"/>
                            </w:tcBorders>
                          </w:tcPr>
                          <w:p w14:paraId="0AADFAAA" w14:textId="77777777" w:rsidR="008B0834" w:rsidRPr="008809A4" w:rsidRDefault="008B0834" w:rsidP="00FB5C9F">
                            <w:pPr>
                              <w:spacing w:line="360" w:lineRule="auto"/>
                              <w:jc w:val="right"/>
                              <w:rPr>
                                <w:rFonts w:cstheme="minorHAnsi"/>
                                <w:sz w:val="13"/>
                                <w:szCs w:val="13"/>
                              </w:rPr>
                            </w:pPr>
                            <w:r w:rsidRPr="008809A4">
                              <w:rPr>
                                <w:rFonts w:cstheme="minorHAnsi"/>
                                <w:sz w:val="13"/>
                                <w:szCs w:val="13"/>
                              </w:rPr>
                              <w:t>-0.3%</w:t>
                            </w:r>
                          </w:p>
                        </w:tc>
                        <w:tc>
                          <w:tcPr>
                            <w:tcW w:w="787" w:type="dxa"/>
                            <w:tcBorders>
                              <w:left w:val="single" w:sz="4" w:space="0" w:color="auto"/>
                              <w:right w:val="single" w:sz="4" w:space="0" w:color="auto"/>
                            </w:tcBorders>
                          </w:tcPr>
                          <w:p w14:paraId="4F760082"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18.4%</w:t>
                            </w:r>
                          </w:p>
                        </w:tc>
                        <w:tc>
                          <w:tcPr>
                            <w:tcW w:w="236" w:type="dxa"/>
                            <w:tcBorders>
                              <w:right w:val="single" w:sz="4" w:space="0" w:color="auto"/>
                            </w:tcBorders>
                          </w:tcPr>
                          <w:p w14:paraId="7CFE5044" w14:textId="77777777" w:rsidR="008B0834" w:rsidRPr="00A5645B" w:rsidRDefault="008B0834" w:rsidP="00F62810">
                            <w:pPr>
                              <w:rPr>
                                <w:rFonts w:cstheme="minorHAnsi"/>
                                <w:sz w:val="13"/>
                                <w:szCs w:val="13"/>
                              </w:rPr>
                            </w:pPr>
                          </w:p>
                        </w:tc>
                        <w:tc>
                          <w:tcPr>
                            <w:tcW w:w="2290" w:type="dxa"/>
                            <w:gridSpan w:val="2"/>
                            <w:tcBorders>
                              <w:left w:val="single" w:sz="4" w:space="0" w:color="auto"/>
                              <w:right w:val="single" w:sz="4" w:space="0" w:color="auto"/>
                            </w:tcBorders>
                          </w:tcPr>
                          <w:p w14:paraId="435A4720" w14:textId="77777777" w:rsidR="008B0834" w:rsidRPr="008809A4" w:rsidRDefault="008B0834" w:rsidP="00F62810">
                            <w:pPr>
                              <w:spacing w:line="360" w:lineRule="auto"/>
                              <w:rPr>
                                <w:rFonts w:cstheme="minorHAnsi"/>
                                <w:sz w:val="13"/>
                                <w:szCs w:val="13"/>
                              </w:rPr>
                            </w:pPr>
                            <w:r w:rsidRPr="008809A4">
                              <w:rPr>
                                <w:rFonts w:cstheme="minorHAnsi"/>
                                <w:sz w:val="13"/>
                                <w:szCs w:val="13"/>
                              </w:rPr>
                              <w:t>Gross regional product: 2021-22</w:t>
                            </w:r>
                          </w:p>
                        </w:tc>
                        <w:tc>
                          <w:tcPr>
                            <w:tcW w:w="722" w:type="dxa"/>
                            <w:tcBorders>
                              <w:left w:val="single" w:sz="4" w:space="0" w:color="auto"/>
                              <w:right w:val="single" w:sz="4" w:space="0" w:color="auto"/>
                            </w:tcBorders>
                          </w:tcPr>
                          <w:p w14:paraId="79676B5E"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$4.1b</w:t>
                            </w:r>
                          </w:p>
                        </w:tc>
                        <w:tc>
                          <w:tcPr>
                            <w:tcW w:w="1128" w:type="dxa"/>
                            <w:tcBorders>
                              <w:left w:val="single" w:sz="4" w:space="0" w:color="auto"/>
                              <w:right w:val="single" w:sz="4" w:space="0" w:color="auto"/>
                            </w:tcBorders>
                          </w:tcPr>
                          <w:p w14:paraId="0F8EDFB3" w14:textId="77777777" w:rsidR="008B0834" w:rsidRPr="008809A4" w:rsidRDefault="008B0834" w:rsidP="00740055">
                            <w:pPr>
                              <w:spacing w:line="360" w:lineRule="auto"/>
                              <w:jc w:val="right"/>
                              <w:rPr>
                                <w:rFonts w:cstheme="minorHAnsi"/>
                                <w:sz w:val="13"/>
                                <w:szCs w:val="13"/>
                              </w:rPr>
                            </w:pPr>
                            <w:r w:rsidRPr="008809A4">
                              <w:rPr>
                                <w:rFonts w:cstheme="minorHAnsi"/>
                                <w:sz w:val="13"/>
                                <w:szCs w:val="13"/>
                              </w:rPr>
                              <w:t>+19.8%</w:t>
                            </w:r>
                          </w:p>
                        </w:tc>
                        <w:tc>
                          <w:tcPr>
                            <w:tcW w:w="787" w:type="dxa"/>
                            <w:tcBorders>
                              <w:left w:val="single" w:sz="4" w:space="0" w:color="auto"/>
                              <w:right w:val="single" w:sz="4" w:space="0" w:color="auto"/>
                            </w:tcBorders>
                          </w:tcPr>
                          <w:p w14:paraId="772894E4"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1.0%</w:t>
                            </w:r>
                          </w:p>
                        </w:tc>
                      </w:tr>
                      <w:tr w:rsidR="008B0834" w:rsidRPr="00EE46E2" w14:paraId="3747FCF8" w14:textId="77777777" w:rsidTr="00E930AA">
                        <w:tc>
                          <w:tcPr>
                            <w:tcW w:w="2235" w:type="dxa"/>
                            <w:tcBorders>
                              <w:left w:val="single" w:sz="4" w:space="0" w:color="auto"/>
                              <w:right w:val="single" w:sz="4" w:space="0" w:color="auto"/>
                            </w:tcBorders>
                          </w:tcPr>
                          <w:p w14:paraId="683A9FB0" w14:textId="77777777" w:rsidR="008B0834" w:rsidRPr="008809A4" w:rsidRDefault="008B0834" w:rsidP="000E714D">
                            <w:pPr>
                              <w:spacing w:line="360" w:lineRule="auto"/>
                              <w:rPr>
                                <w:rFonts w:cstheme="minorHAnsi"/>
                                <w:sz w:val="13"/>
                                <w:szCs w:val="13"/>
                              </w:rPr>
                            </w:pPr>
                            <w:r w:rsidRPr="008809A4">
                              <w:rPr>
                                <w:rFonts w:cstheme="minorHAnsi"/>
                                <w:sz w:val="13"/>
                                <w:szCs w:val="13"/>
                              </w:rPr>
                              <w:t>Population: 2021-22</w:t>
                            </w:r>
                          </w:p>
                        </w:tc>
                        <w:tc>
                          <w:tcPr>
                            <w:tcW w:w="814" w:type="dxa"/>
                            <w:tcBorders>
                              <w:left w:val="single" w:sz="4" w:space="0" w:color="auto"/>
                              <w:right w:val="single" w:sz="4" w:space="0" w:color="auto"/>
                            </w:tcBorders>
                          </w:tcPr>
                          <w:p w14:paraId="2C0D11C2"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58,904</w:t>
                            </w:r>
                          </w:p>
                        </w:tc>
                        <w:tc>
                          <w:tcPr>
                            <w:tcW w:w="1128" w:type="dxa"/>
                            <w:tcBorders>
                              <w:left w:val="single" w:sz="4" w:space="0" w:color="auto"/>
                              <w:right w:val="single" w:sz="4" w:space="0" w:color="auto"/>
                            </w:tcBorders>
                          </w:tcPr>
                          <w:p w14:paraId="0C6F0BC2"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+1.1%</w:t>
                            </w:r>
                          </w:p>
                        </w:tc>
                        <w:tc>
                          <w:tcPr>
                            <w:tcW w:w="787" w:type="dxa"/>
                            <w:tcBorders>
                              <w:left w:val="single" w:sz="4" w:space="0" w:color="auto"/>
                              <w:right w:val="single" w:sz="4" w:space="0" w:color="auto"/>
                            </w:tcBorders>
                          </w:tcPr>
                          <w:p w14:paraId="1B22C182"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2.1%</w:t>
                            </w:r>
                          </w:p>
                        </w:tc>
                        <w:tc>
                          <w:tcPr>
                            <w:tcW w:w="236" w:type="dxa"/>
                            <w:tcBorders>
                              <w:right w:val="single" w:sz="4" w:space="0" w:color="auto"/>
                            </w:tcBorders>
                          </w:tcPr>
                          <w:p w14:paraId="1F665C44" w14:textId="77777777" w:rsidR="008B0834" w:rsidRPr="00116A46" w:rsidRDefault="008B0834" w:rsidP="00F62810">
                            <w:pPr>
                              <w:rPr>
                                <w:rFonts w:cstheme="minorHAnsi"/>
                                <w:sz w:val="13"/>
                                <w:szCs w:val="13"/>
                              </w:rPr>
                            </w:pPr>
                          </w:p>
                        </w:tc>
                        <w:tc>
                          <w:tcPr>
                            <w:tcW w:w="2290" w:type="dxa"/>
                            <w:gridSpan w:val="2"/>
                            <w:tcBorders>
                              <w:left w:val="single" w:sz="4" w:space="0" w:color="auto"/>
                              <w:right w:val="single" w:sz="4" w:space="0" w:color="auto"/>
                            </w:tcBorders>
                          </w:tcPr>
                          <w:p w14:paraId="34EE4D7C" w14:textId="77777777" w:rsidR="008B0834" w:rsidRPr="008809A4" w:rsidRDefault="008B0834" w:rsidP="00F62810">
                            <w:pPr>
                              <w:spacing w:line="360" w:lineRule="auto"/>
                              <w:rPr>
                                <w:rFonts w:cstheme="minorHAnsi"/>
                                <w:sz w:val="13"/>
                                <w:szCs w:val="13"/>
                              </w:rPr>
                            </w:pPr>
                            <w:r w:rsidRPr="008809A4">
                              <w:rPr>
                                <w:rFonts w:cstheme="minorHAnsi"/>
                                <w:sz w:val="13"/>
                                <w:szCs w:val="13"/>
                              </w:rPr>
                              <w:t>Population: 2021-22</w:t>
                            </w:r>
                          </w:p>
                        </w:tc>
                        <w:tc>
                          <w:tcPr>
                            <w:tcW w:w="722" w:type="dxa"/>
                            <w:tcBorders>
                              <w:left w:val="single" w:sz="4" w:space="0" w:color="auto"/>
                              <w:right w:val="single" w:sz="4" w:space="0" w:color="auto"/>
                            </w:tcBorders>
                          </w:tcPr>
                          <w:p w14:paraId="351F4B0A" w14:textId="77777777" w:rsidR="008B0834" w:rsidRPr="008809A4" w:rsidRDefault="008B0834" w:rsidP="005840E1">
                            <w:pPr>
                              <w:spacing w:line="360" w:lineRule="auto"/>
                              <w:jc w:val="right"/>
                              <w:rPr>
                                <w:rFonts w:cstheme="minorHAnsi"/>
                                <w:sz w:val="13"/>
                                <w:szCs w:val="13"/>
                              </w:rPr>
                            </w:pPr>
                            <w:r w:rsidRPr="008809A4">
                              <w:rPr>
                                <w:rFonts w:cstheme="minorHAnsi"/>
                                <w:sz w:val="13"/>
                                <w:szCs w:val="13"/>
                              </w:rPr>
                              <w:t>38,932</w:t>
                            </w:r>
                          </w:p>
                        </w:tc>
                        <w:tc>
                          <w:tcPr>
                            <w:tcW w:w="1128" w:type="dxa"/>
                            <w:tcBorders>
                              <w:left w:val="single" w:sz="4" w:space="0" w:color="auto"/>
                              <w:right w:val="single" w:sz="4" w:space="0" w:color="auto"/>
                            </w:tcBorders>
                          </w:tcPr>
                          <w:p w14:paraId="0C8E92EE"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+0.6%</w:t>
                            </w:r>
                          </w:p>
                        </w:tc>
                        <w:tc>
                          <w:tcPr>
                            <w:tcW w:w="787" w:type="dxa"/>
                            <w:tcBorders>
                              <w:left w:val="single" w:sz="4" w:space="0" w:color="auto"/>
                              <w:right w:val="single" w:sz="4" w:space="0" w:color="auto"/>
                            </w:tcBorders>
                          </w:tcPr>
                          <w:p w14:paraId="54A77533"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1.4%</w:t>
                            </w:r>
                          </w:p>
                        </w:tc>
                      </w:tr>
                      <w:tr w:rsidR="008B0834" w:rsidRPr="00EE46E2" w14:paraId="4BF90211" w14:textId="77777777" w:rsidTr="00E930AA">
                        <w:tc>
                          <w:tcPr>
                            <w:tcW w:w="2235" w:type="dxa"/>
                            <w:tcBorders>
                              <w:left w:val="single" w:sz="4" w:space="0" w:color="auto"/>
                              <w:right w:val="single" w:sz="4" w:space="0" w:color="auto"/>
                            </w:tcBorders>
                          </w:tcPr>
                          <w:p w14:paraId="5FC08EF5" w14:textId="77777777" w:rsidR="008B0834" w:rsidRPr="00351552" w:rsidRDefault="008B0834" w:rsidP="00B2091C">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814" w:type="dxa"/>
                            <w:tcBorders>
                              <w:left w:val="single" w:sz="4" w:space="0" w:color="auto"/>
                              <w:right w:val="single" w:sz="4" w:space="0" w:color="auto"/>
                            </w:tcBorders>
                          </w:tcPr>
                          <w:p w14:paraId="7939372D"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37,209</w:t>
                            </w:r>
                          </w:p>
                        </w:tc>
                        <w:tc>
                          <w:tcPr>
                            <w:tcW w:w="1128" w:type="dxa"/>
                            <w:tcBorders>
                              <w:left w:val="single" w:sz="4" w:space="0" w:color="auto"/>
                              <w:right w:val="single" w:sz="4" w:space="0" w:color="auto"/>
                            </w:tcBorders>
                          </w:tcPr>
                          <w:p w14:paraId="2306A1F3"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-2.2%</w:t>
                            </w:r>
                          </w:p>
                        </w:tc>
                        <w:tc>
                          <w:tcPr>
                            <w:tcW w:w="787" w:type="dxa"/>
                            <w:tcBorders>
                              <w:left w:val="single" w:sz="4" w:space="0" w:color="auto"/>
                              <w:right w:val="single" w:sz="4" w:space="0" w:color="auto"/>
                            </w:tcBorders>
                          </w:tcPr>
                          <w:p w14:paraId="507FB0A2"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2.4%</w:t>
                            </w:r>
                          </w:p>
                        </w:tc>
                        <w:tc>
                          <w:tcPr>
                            <w:tcW w:w="236" w:type="dxa"/>
                            <w:tcBorders>
                              <w:right w:val="single" w:sz="4" w:space="0" w:color="auto"/>
                            </w:tcBorders>
                          </w:tcPr>
                          <w:p w14:paraId="4DA80A05" w14:textId="77777777" w:rsidR="008B0834" w:rsidRPr="00EE46E2" w:rsidRDefault="008B0834" w:rsidP="00147B8C">
                            <w:pPr>
                              <w:rPr>
                                <w:rFonts w:cstheme="minorHAnsi"/>
                                <w:sz w:val="13"/>
                                <w:szCs w:val="13"/>
                              </w:rPr>
                            </w:pPr>
                          </w:p>
                        </w:tc>
                        <w:tc>
                          <w:tcPr>
                            <w:tcW w:w="2290" w:type="dxa"/>
                            <w:gridSpan w:val="2"/>
                            <w:tcBorders>
                              <w:left w:val="single" w:sz="4" w:space="0" w:color="auto"/>
                              <w:right w:val="single" w:sz="4" w:space="0" w:color="auto"/>
                            </w:tcBorders>
                          </w:tcPr>
                          <w:p w14:paraId="4295537C" w14:textId="77777777" w:rsidR="008B0834" w:rsidRPr="00351552" w:rsidRDefault="008B0834" w:rsidP="00701188">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722" w:type="dxa"/>
                            <w:tcBorders>
                              <w:left w:val="single" w:sz="4" w:space="0" w:color="auto"/>
                              <w:right w:val="single" w:sz="4" w:space="0" w:color="auto"/>
                            </w:tcBorders>
                          </w:tcPr>
                          <w:p w14:paraId="75B08493" w14:textId="77777777" w:rsidR="008B0834" w:rsidRPr="00351552" w:rsidRDefault="008B0834" w:rsidP="003C2249">
                            <w:pPr>
                              <w:spacing w:line="360" w:lineRule="auto"/>
                              <w:jc w:val="right"/>
                              <w:rPr>
                                <w:rFonts w:cstheme="minorHAnsi"/>
                                <w:color w:val="000000" w:themeColor="text1"/>
                                <w:sz w:val="13"/>
                                <w:szCs w:val="13"/>
                              </w:rPr>
                            </w:pPr>
                            <w:r w:rsidRPr="00351552">
                              <w:rPr>
                                <w:rFonts w:cstheme="minorHAnsi"/>
                                <w:color w:val="000000" w:themeColor="text1"/>
                                <w:sz w:val="13"/>
                                <w:szCs w:val="13"/>
                              </w:rPr>
                              <w:t>18,420</w:t>
                            </w:r>
                          </w:p>
                        </w:tc>
                        <w:tc>
                          <w:tcPr>
                            <w:tcW w:w="1128" w:type="dxa"/>
                            <w:tcBorders>
                              <w:left w:val="single" w:sz="4" w:space="0" w:color="auto"/>
                              <w:right w:val="single" w:sz="4" w:space="0" w:color="auto"/>
                            </w:tcBorders>
                          </w:tcPr>
                          <w:p w14:paraId="0FDAF504"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-3.5%</w:t>
                            </w:r>
                          </w:p>
                        </w:tc>
                        <w:tc>
                          <w:tcPr>
                            <w:tcW w:w="787" w:type="dxa"/>
                            <w:tcBorders>
                              <w:left w:val="single" w:sz="4" w:space="0" w:color="auto"/>
                              <w:right w:val="single" w:sz="4" w:space="0" w:color="auto"/>
                            </w:tcBorders>
                          </w:tcPr>
                          <w:p w14:paraId="5DF6466F"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1.2%</w:t>
                            </w:r>
                          </w:p>
                        </w:tc>
                      </w:tr>
                      <w:tr w:rsidR="008B0834" w:rsidRPr="00EE46E2" w14:paraId="33ED1D06" w14:textId="77777777" w:rsidTr="00E930AA">
                        <w:tc>
                          <w:tcPr>
                            <w:tcW w:w="2235" w:type="dxa"/>
                            <w:tcBorders>
                              <w:left w:val="single" w:sz="4" w:space="0" w:color="auto"/>
                              <w:right w:val="single" w:sz="4" w:space="0" w:color="auto"/>
                            </w:tcBorders>
                          </w:tcPr>
                          <w:p w14:paraId="2AD115AD" w14:textId="77777777" w:rsidR="008B0834" w:rsidRPr="00351552" w:rsidRDefault="008B0834" w:rsidP="00147B8C">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814" w:type="dxa"/>
                            <w:tcBorders>
                              <w:left w:val="single" w:sz="4" w:space="0" w:color="auto"/>
                              <w:right w:val="single" w:sz="4" w:space="0" w:color="auto"/>
                            </w:tcBorders>
                          </w:tcPr>
                          <w:p w14:paraId="32395CF9"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1.8%</w:t>
                            </w:r>
                          </w:p>
                        </w:tc>
                        <w:tc>
                          <w:tcPr>
                            <w:tcW w:w="1128" w:type="dxa"/>
                            <w:tcBorders>
                              <w:left w:val="single" w:sz="4" w:space="0" w:color="auto"/>
                              <w:right w:val="single" w:sz="4" w:space="0" w:color="auto"/>
                            </w:tcBorders>
                          </w:tcPr>
                          <w:p w14:paraId="5DB08F1A"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+0.2pp</w:t>
                            </w:r>
                          </w:p>
                        </w:tc>
                        <w:tc>
                          <w:tcPr>
                            <w:tcW w:w="787" w:type="dxa"/>
                            <w:tcBorders>
                              <w:left w:val="single" w:sz="4" w:space="0" w:color="auto"/>
                              <w:right w:val="single" w:sz="4" w:space="0" w:color="auto"/>
                            </w:tcBorders>
                          </w:tcPr>
                          <w:p w14:paraId="596EBFB2" w14:textId="77777777" w:rsidR="008B0834" w:rsidRPr="00351552" w:rsidRDefault="008B0834" w:rsidP="00147B8C">
                            <w:pPr>
                              <w:spacing w:line="360" w:lineRule="auto"/>
                              <w:jc w:val="right"/>
                              <w:rPr>
                                <w:rFonts w:cstheme="minorHAnsi"/>
                                <w:color w:val="000000" w:themeColor="text1"/>
                                <w:sz w:val="13"/>
                                <w:szCs w:val="13"/>
                              </w:rPr>
                            </w:pPr>
                          </w:p>
                        </w:tc>
                        <w:tc>
                          <w:tcPr>
                            <w:tcW w:w="236" w:type="dxa"/>
                            <w:tcBorders>
                              <w:right w:val="single" w:sz="4" w:space="0" w:color="auto"/>
                            </w:tcBorders>
                          </w:tcPr>
                          <w:p w14:paraId="08BCF50C" w14:textId="77777777" w:rsidR="008B0834" w:rsidRPr="00EE46E2" w:rsidRDefault="008B0834" w:rsidP="00147B8C">
                            <w:pPr>
                              <w:rPr>
                                <w:rFonts w:cstheme="minorHAnsi"/>
                                <w:sz w:val="13"/>
                                <w:szCs w:val="13"/>
                              </w:rPr>
                            </w:pPr>
                          </w:p>
                        </w:tc>
                        <w:tc>
                          <w:tcPr>
                            <w:tcW w:w="2290" w:type="dxa"/>
                            <w:gridSpan w:val="2"/>
                            <w:tcBorders>
                              <w:left w:val="single" w:sz="4" w:space="0" w:color="auto"/>
                              <w:right w:val="single" w:sz="4" w:space="0" w:color="auto"/>
                            </w:tcBorders>
                          </w:tcPr>
                          <w:p w14:paraId="5411779E" w14:textId="77777777" w:rsidR="008B0834" w:rsidRPr="00351552" w:rsidRDefault="008B0834" w:rsidP="00147B8C">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722" w:type="dxa"/>
                            <w:tcBorders>
                              <w:left w:val="single" w:sz="4" w:space="0" w:color="auto"/>
                              <w:right w:val="single" w:sz="4" w:space="0" w:color="auto"/>
                            </w:tcBorders>
                          </w:tcPr>
                          <w:p w14:paraId="3D26D352" w14:textId="77777777" w:rsidR="008B0834" w:rsidRPr="00351552" w:rsidRDefault="008B0834" w:rsidP="007E59E9">
                            <w:pPr>
                              <w:spacing w:line="360" w:lineRule="auto"/>
                              <w:jc w:val="right"/>
                              <w:rPr>
                                <w:rFonts w:cstheme="minorHAnsi"/>
                                <w:color w:val="000000" w:themeColor="text1"/>
                                <w:sz w:val="13"/>
                                <w:szCs w:val="13"/>
                              </w:rPr>
                            </w:pPr>
                            <w:r w:rsidRPr="00351552">
                              <w:rPr>
                                <w:rFonts w:cstheme="minorHAnsi"/>
                                <w:color w:val="000000" w:themeColor="text1"/>
                                <w:sz w:val="13"/>
                                <w:szCs w:val="13"/>
                              </w:rPr>
                              <w:t>7.4%</w:t>
                            </w:r>
                          </w:p>
                        </w:tc>
                        <w:tc>
                          <w:tcPr>
                            <w:tcW w:w="1128" w:type="dxa"/>
                            <w:tcBorders>
                              <w:left w:val="single" w:sz="4" w:space="0" w:color="auto"/>
                              <w:right w:val="single" w:sz="4" w:space="0" w:color="auto"/>
                            </w:tcBorders>
                          </w:tcPr>
                          <w:p w14:paraId="1585D259"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+0.9pp</w:t>
                            </w:r>
                          </w:p>
                        </w:tc>
                        <w:tc>
                          <w:tcPr>
                            <w:tcW w:w="787" w:type="dxa"/>
                            <w:tcBorders>
                              <w:left w:val="single" w:sz="4" w:space="0" w:color="auto"/>
                              <w:right w:val="single" w:sz="4" w:space="0" w:color="auto"/>
                            </w:tcBorders>
                          </w:tcPr>
                          <w:p w14:paraId="49E366D7" w14:textId="77777777" w:rsidR="008B0834" w:rsidRPr="00351552" w:rsidRDefault="008B0834" w:rsidP="00147B8C">
                            <w:pPr>
                              <w:spacing w:line="360" w:lineRule="auto"/>
                              <w:jc w:val="right"/>
                              <w:rPr>
                                <w:rFonts w:cstheme="minorHAnsi"/>
                                <w:color w:val="000000" w:themeColor="text1"/>
                                <w:sz w:val="13"/>
                                <w:szCs w:val="13"/>
                              </w:rPr>
                            </w:pPr>
                          </w:p>
                        </w:tc>
                      </w:tr>
                      <w:tr w:rsidR="008B0834" w:rsidRPr="00EE46E2" w14:paraId="362A4C03" w14:textId="77777777" w:rsidTr="00E930AA">
                        <w:tc>
                          <w:tcPr>
                            <w:tcW w:w="2235" w:type="dxa"/>
                            <w:tcBorders>
                              <w:left w:val="single" w:sz="4" w:space="0" w:color="auto"/>
                              <w:right w:val="single" w:sz="4" w:space="0" w:color="auto"/>
                            </w:tcBorders>
                          </w:tcPr>
                          <w:p w14:paraId="2A7F3DA2" w14:textId="77777777" w:rsidR="008B0834" w:rsidRPr="00351552" w:rsidRDefault="008B0834" w:rsidP="005B5207">
                            <w:pPr>
                              <w:spacing w:line="360" w:lineRule="auto"/>
                              <w:rPr>
                                <w:rFonts w:cstheme="minorHAnsi"/>
                                <w:color w:val="000000" w:themeColor="text1"/>
                                <w:sz w:val="12"/>
                                <w:szCs w:val="12"/>
                              </w:rPr>
                            </w:pPr>
                            <w:r w:rsidRPr="00351552">
                              <w:rPr>
                                <w:rFonts w:cstheme="minorHAnsi"/>
                                <w:color w:val="000000" w:themeColor="text1"/>
                                <w:sz w:val="12"/>
                                <w:szCs w:val="12"/>
                              </w:rPr>
                              <w:t>Minerals &amp; petroleum sales: 2022-23</w:t>
                            </w:r>
                          </w:p>
                        </w:tc>
                        <w:tc>
                          <w:tcPr>
                            <w:tcW w:w="814" w:type="dxa"/>
                            <w:tcBorders>
                              <w:left w:val="single" w:sz="4" w:space="0" w:color="auto"/>
                              <w:right w:val="single" w:sz="4" w:space="0" w:color="auto"/>
                            </w:tcBorders>
                          </w:tcPr>
                          <w:p w14:paraId="6E6C2A25" w14:textId="77777777" w:rsidR="008B0834" w:rsidRPr="00351552" w:rsidRDefault="008B0834" w:rsidP="00E82A74">
                            <w:pPr>
                              <w:spacing w:line="360" w:lineRule="auto"/>
                              <w:jc w:val="right"/>
                              <w:rPr>
                                <w:rFonts w:cstheme="minorHAnsi"/>
                                <w:color w:val="000000" w:themeColor="text1"/>
                                <w:sz w:val="13"/>
                                <w:szCs w:val="13"/>
                              </w:rPr>
                            </w:pPr>
                            <w:r w:rsidRPr="00351552">
                              <w:rPr>
                                <w:rFonts w:cstheme="minorHAnsi"/>
                                <w:color w:val="000000" w:themeColor="text1"/>
                                <w:sz w:val="13"/>
                                <w:szCs w:val="13"/>
                              </w:rPr>
                              <w:t>$200.9b</w:t>
                            </w:r>
                          </w:p>
                        </w:tc>
                        <w:tc>
                          <w:tcPr>
                            <w:tcW w:w="1128" w:type="dxa"/>
                            <w:tcBorders>
                              <w:left w:val="single" w:sz="4" w:space="0" w:color="auto"/>
                              <w:right w:val="single" w:sz="4" w:space="0" w:color="auto"/>
                            </w:tcBorders>
                          </w:tcPr>
                          <w:p w14:paraId="4699B36B" w14:textId="77777777" w:rsidR="008B0834" w:rsidRPr="00351552" w:rsidRDefault="008B0834" w:rsidP="00E82A74">
                            <w:pPr>
                              <w:spacing w:line="360" w:lineRule="auto"/>
                              <w:jc w:val="right"/>
                              <w:rPr>
                                <w:rFonts w:cstheme="minorHAnsi"/>
                                <w:color w:val="000000" w:themeColor="text1"/>
                                <w:sz w:val="13"/>
                                <w:szCs w:val="13"/>
                              </w:rPr>
                            </w:pPr>
                            <w:r w:rsidRPr="00351552">
                              <w:rPr>
                                <w:rFonts w:cstheme="minorHAnsi"/>
                                <w:color w:val="000000" w:themeColor="text1"/>
                                <w:sz w:val="13"/>
                                <w:szCs w:val="13"/>
                              </w:rPr>
                              <w:t>+6.1%</w:t>
                            </w:r>
                          </w:p>
                        </w:tc>
                        <w:tc>
                          <w:tcPr>
                            <w:tcW w:w="787" w:type="dxa"/>
                            <w:tcBorders>
                              <w:left w:val="single" w:sz="4" w:space="0" w:color="auto"/>
                              <w:right w:val="single" w:sz="4" w:space="0" w:color="auto"/>
                            </w:tcBorders>
                          </w:tcPr>
                          <w:p w14:paraId="1184F1F5" w14:textId="77777777" w:rsidR="008B0834" w:rsidRPr="00351552" w:rsidRDefault="008B0834" w:rsidP="00E82A74">
                            <w:pPr>
                              <w:spacing w:line="360" w:lineRule="auto"/>
                              <w:jc w:val="right"/>
                              <w:rPr>
                                <w:rFonts w:cstheme="minorHAnsi"/>
                                <w:color w:val="000000" w:themeColor="text1"/>
                                <w:sz w:val="13"/>
                                <w:szCs w:val="13"/>
                              </w:rPr>
                            </w:pPr>
                            <w:r w:rsidRPr="00351552">
                              <w:rPr>
                                <w:rFonts w:cstheme="minorHAnsi"/>
                                <w:color w:val="000000" w:themeColor="text1"/>
                                <w:sz w:val="13"/>
                                <w:szCs w:val="13"/>
                              </w:rPr>
                              <w:t>79.1%</w:t>
                            </w:r>
                          </w:p>
                        </w:tc>
                        <w:tc>
                          <w:tcPr>
                            <w:tcW w:w="236" w:type="dxa"/>
                            <w:tcBorders>
                              <w:right w:val="single" w:sz="4" w:space="0" w:color="auto"/>
                            </w:tcBorders>
                          </w:tcPr>
                          <w:p w14:paraId="3442EE90" w14:textId="77777777" w:rsidR="008B0834" w:rsidRPr="00DE6518" w:rsidRDefault="008B0834" w:rsidP="00F62810">
                            <w:pPr>
                              <w:rPr>
                                <w:rFonts w:cstheme="minorHAnsi"/>
                                <w:sz w:val="13"/>
                                <w:szCs w:val="13"/>
                              </w:rPr>
                            </w:pPr>
                          </w:p>
                        </w:tc>
                        <w:tc>
                          <w:tcPr>
                            <w:tcW w:w="2290" w:type="dxa"/>
                            <w:gridSpan w:val="2"/>
                            <w:tcBorders>
                              <w:left w:val="single" w:sz="4" w:space="0" w:color="auto"/>
                              <w:right w:val="single" w:sz="4" w:space="0" w:color="auto"/>
                            </w:tcBorders>
                          </w:tcPr>
                          <w:p w14:paraId="06C6EAC0" w14:textId="77777777" w:rsidR="008B0834" w:rsidRPr="00351552" w:rsidRDefault="008B0834" w:rsidP="00F62810">
                            <w:pPr>
                              <w:spacing w:line="360" w:lineRule="auto"/>
                              <w:rPr>
                                <w:rFonts w:cstheme="minorHAnsi"/>
                                <w:color w:val="000000" w:themeColor="text1"/>
                                <w:sz w:val="13"/>
                                <w:szCs w:val="13"/>
                              </w:rPr>
                            </w:pPr>
                            <w:r w:rsidRPr="00351552">
                              <w:rPr>
                                <w:rFonts w:cstheme="minorHAnsi"/>
                                <w:color w:val="000000" w:themeColor="text1"/>
                                <w:sz w:val="12"/>
                                <w:szCs w:val="12"/>
                              </w:rPr>
                              <w:t>Minerals &amp; petroleum sales: 2022-23</w:t>
                            </w:r>
                          </w:p>
                        </w:tc>
                        <w:tc>
                          <w:tcPr>
                            <w:tcW w:w="722" w:type="dxa"/>
                            <w:tcBorders>
                              <w:left w:val="single" w:sz="4" w:space="0" w:color="auto"/>
                              <w:right w:val="single" w:sz="4" w:space="0" w:color="auto"/>
                            </w:tcBorders>
                          </w:tcPr>
                          <w:p w14:paraId="18287276" w14:textId="77777777" w:rsidR="008B0834" w:rsidRPr="00351552" w:rsidRDefault="008B0834" w:rsidP="003C60CF">
                            <w:pPr>
                              <w:spacing w:line="360" w:lineRule="auto"/>
                              <w:jc w:val="right"/>
                              <w:rPr>
                                <w:rFonts w:cstheme="minorHAnsi"/>
                                <w:color w:val="000000" w:themeColor="text1"/>
                                <w:sz w:val="13"/>
                                <w:szCs w:val="13"/>
                              </w:rPr>
                            </w:pPr>
                            <w:r w:rsidRPr="00351552">
                              <w:rPr>
                                <w:rFonts w:cstheme="minorHAnsi"/>
                                <w:color w:val="000000" w:themeColor="text1"/>
                                <w:sz w:val="13"/>
                                <w:szCs w:val="13"/>
                              </w:rPr>
                              <w:t>$828.4m</w:t>
                            </w:r>
                          </w:p>
                        </w:tc>
                        <w:tc>
                          <w:tcPr>
                            <w:tcW w:w="1128" w:type="dxa"/>
                            <w:tcBorders>
                              <w:left w:val="single" w:sz="4" w:space="0" w:color="auto"/>
                              <w:right w:val="single" w:sz="4" w:space="0" w:color="auto"/>
                            </w:tcBorders>
                          </w:tcPr>
                          <w:p w14:paraId="62BBE0DF" w14:textId="77777777" w:rsidR="008B0834" w:rsidRPr="00351552" w:rsidRDefault="008B0834" w:rsidP="00E82A74">
                            <w:pPr>
                              <w:spacing w:line="360" w:lineRule="auto"/>
                              <w:jc w:val="right"/>
                              <w:rPr>
                                <w:rFonts w:cstheme="minorHAnsi"/>
                                <w:color w:val="000000" w:themeColor="text1"/>
                                <w:sz w:val="13"/>
                                <w:szCs w:val="13"/>
                              </w:rPr>
                            </w:pPr>
                            <w:r w:rsidRPr="00351552">
                              <w:rPr>
                                <w:rFonts w:cstheme="minorHAnsi"/>
                                <w:color w:val="000000" w:themeColor="text1"/>
                                <w:sz w:val="13"/>
                                <w:szCs w:val="13"/>
                              </w:rPr>
                              <w:t>+76.5%</w:t>
                            </w:r>
                          </w:p>
                        </w:tc>
                        <w:tc>
                          <w:tcPr>
                            <w:tcW w:w="787" w:type="dxa"/>
                            <w:tcBorders>
                              <w:left w:val="single" w:sz="4" w:space="0" w:color="auto"/>
                              <w:right w:val="single" w:sz="4" w:space="0" w:color="auto"/>
                            </w:tcBorders>
                          </w:tcPr>
                          <w:p w14:paraId="5CAEBA34" w14:textId="77777777" w:rsidR="008B0834" w:rsidRPr="00351552" w:rsidRDefault="008B0834" w:rsidP="00F62810">
                            <w:pPr>
                              <w:spacing w:line="360" w:lineRule="auto"/>
                              <w:jc w:val="right"/>
                              <w:rPr>
                                <w:rFonts w:cstheme="minorHAnsi"/>
                                <w:color w:val="000000" w:themeColor="text1"/>
                                <w:sz w:val="13"/>
                                <w:szCs w:val="13"/>
                              </w:rPr>
                            </w:pPr>
                            <w:r w:rsidRPr="00351552">
                              <w:rPr>
                                <w:rFonts w:cstheme="minorHAnsi"/>
                                <w:color w:val="000000" w:themeColor="text1"/>
                                <w:sz w:val="13"/>
                                <w:szCs w:val="13"/>
                              </w:rPr>
                              <w:t>0.3%</w:t>
                            </w:r>
                          </w:p>
                        </w:tc>
                      </w:tr>
                      <w:tr w:rsidR="008B0834" w:rsidRPr="00EE46E2" w14:paraId="1A98A774" w14:textId="77777777" w:rsidTr="00E930AA">
                        <w:tc>
                          <w:tcPr>
                            <w:tcW w:w="2235" w:type="dxa"/>
                            <w:tcBorders>
                              <w:left w:val="single" w:sz="4" w:space="0" w:color="auto"/>
                              <w:right w:val="single" w:sz="4" w:space="0" w:color="auto"/>
                            </w:tcBorders>
                          </w:tcPr>
                          <w:p w14:paraId="0FB2D0E1" w14:textId="77777777" w:rsidR="008B0834" w:rsidRPr="001B3607" w:rsidRDefault="008B0834" w:rsidP="000260DE">
                            <w:pPr>
                              <w:spacing w:line="360" w:lineRule="auto"/>
                              <w:rPr>
                                <w:rFonts w:cstheme="minorHAnsi"/>
                                <w:sz w:val="13"/>
                                <w:szCs w:val="13"/>
                              </w:rPr>
                            </w:pPr>
                            <w:r w:rsidRPr="001B3607">
                              <w:rPr>
                                <w:rFonts w:cstheme="minorHAnsi"/>
                                <w:sz w:val="13"/>
                                <w:szCs w:val="13"/>
                              </w:rPr>
                              <w:t xml:space="preserve">Building approvals: </w:t>
                            </w:r>
                            <w:r w:rsidRPr="00EA3F30">
                              <w:rPr>
                                <w:rFonts w:cstheme="minorHAnsi"/>
                                <w:sz w:val="13"/>
                                <w:szCs w:val="13"/>
                              </w:rPr>
                              <w:t>2022-23</w:t>
                            </w:r>
                          </w:p>
                        </w:tc>
                        <w:tc>
                          <w:tcPr>
                            <w:tcW w:w="814" w:type="dxa"/>
                            <w:tcBorders>
                              <w:left w:val="single" w:sz="4" w:space="0" w:color="auto"/>
                              <w:right w:val="single" w:sz="4" w:space="0" w:color="auto"/>
                            </w:tcBorders>
                          </w:tcPr>
                          <w:p w14:paraId="5A040DA5" w14:textId="77777777" w:rsidR="008B0834" w:rsidRPr="001B3607" w:rsidRDefault="008B0834" w:rsidP="00F62810">
                            <w:pPr>
                              <w:spacing w:line="360" w:lineRule="auto"/>
                              <w:jc w:val="right"/>
                              <w:rPr>
                                <w:rFonts w:cstheme="minorHAnsi"/>
                                <w:sz w:val="13"/>
                                <w:szCs w:val="13"/>
                              </w:rPr>
                            </w:pPr>
                            <w:r w:rsidRPr="001B3607">
                              <w:rPr>
                                <w:rFonts w:cstheme="minorHAnsi"/>
                                <w:sz w:val="13"/>
                                <w:szCs w:val="13"/>
                              </w:rPr>
                              <w:t>$</w:t>
                            </w:r>
                            <w:r w:rsidRPr="00EA3F30">
                              <w:rPr>
                                <w:rFonts w:cstheme="minorHAnsi"/>
                                <w:sz w:val="13"/>
                                <w:szCs w:val="13"/>
                              </w:rPr>
                              <w:t>234</w:t>
                            </w:r>
                            <w:r w:rsidRPr="001B3607">
                              <w:rPr>
                                <w:rFonts w:cstheme="minorHAnsi"/>
                                <w:sz w:val="13"/>
                                <w:szCs w:val="13"/>
                              </w:rPr>
                              <w:t>m</w:t>
                            </w:r>
                          </w:p>
                        </w:tc>
                        <w:tc>
                          <w:tcPr>
                            <w:tcW w:w="1128" w:type="dxa"/>
                            <w:tcBorders>
                              <w:left w:val="single" w:sz="4" w:space="0" w:color="auto"/>
                              <w:right w:val="single" w:sz="4" w:space="0" w:color="auto"/>
                            </w:tcBorders>
                          </w:tcPr>
                          <w:p w14:paraId="688C5ED6" w14:textId="77777777" w:rsidR="008B0834" w:rsidRPr="001B3607" w:rsidRDefault="008B0834" w:rsidP="00F62810">
                            <w:pPr>
                              <w:spacing w:line="360" w:lineRule="auto"/>
                              <w:jc w:val="right"/>
                              <w:rPr>
                                <w:rFonts w:cstheme="minorHAnsi"/>
                                <w:sz w:val="13"/>
                                <w:szCs w:val="13"/>
                              </w:rPr>
                            </w:pPr>
                            <w:r w:rsidRPr="00EA3F30">
                              <w:rPr>
                                <w:rFonts w:cstheme="minorHAnsi"/>
                                <w:sz w:val="13"/>
                                <w:szCs w:val="13"/>
                              </w:rPr>
                              <w:t>-49.0</w:t>
                            </w:r>
                            <w:r w:rsidRPr="001B3607">
                              <w:rPr>
                                <w:rFonts w:cstheme="minorHAnsi"/>
                                <w:sz w:val="13"/>
                                <w:szCs w:val="13"/>
                              </w:rPr>
                              <w:t>%</w:t>
                            </w:r>
                          </w:p>
                        </w:tc>
                        <w:tc>
                          <w:tcPr>
                            <w:tcW w:w="787" w:type="dxa"/>
                            <w:tcBorders>
                              <w:left w:val="single" w:sz="4" w:space="0" w:color="auto"/>
                              <w:right w:val="single" w:sz="4" w:space="0" w:color="auto"/>
                            </w:tcBorders>
                          </w:tcPr>
                          <w:p w14:paraId="6C1F2728" w14:textId="77777777" w:rsidR="008B0834" w:rsidRPr="001B3607" w:rsidRDefault="008B0834" w:rsidP="00F62810">
                            <w:pPr>
                              <w:spacing w:line="360" w:lineRule="auto"/>
                              <w:jc w:val="right"/>
                              <w:rPr>
                                <w:rFonts w:cstheme="minorHAnsi"/>
                                <w:sz w:val="13"/>
                                <w:szCs w:val="13"/>
                              </w:rPr>
                            </w:pPr>
                            <w:r w:rsidRPr="00EA3F30">
                              <w:rPr>
                                <w:rFonts w:cstheme="minorHAnsi"/>
                                <w:sz w:val="13"/>
                                <w:szCs w:val="13"/>
                              </w:rPr>
                              <w:t>2.1</w:t>
                            </w:r>
                            <w:r w:rsidRPr="001B3607">
                              <w:rPr>
                                <w:rFonts w:cstheme="minorHAnsi"/>
                                <w:sz w:val="13"/>
                                <w:szCs w:val="13"/>
                              </w:rPr>
                              <w:t>%</w:t>
                            </w:r>
                          </w:p>
                        </w:tc>
                        <w:tc>
                          <w:tcPr>
                            <w:tcW w:w="236" w:type="dxa"/>
                            <w:tcBorders>
                              <w:right w:val="single" w:sz="4" w:space="0" w:color="auto"/>
                            </w:tcBorders>
                          </w:tcPr>
                          <w:p w14:paraId="022E2D8F" w14:textId="77777777" w:rsidR="008B0834" w:rsidRPr="004D6F1E" w:rsidRDefault="008B0834" w:rsidP="00F62810">
                            <w:pPr>
                              <w:rPr>
                                <w:rFonts w:cstheme="minorHAnsi"/>
                                <w:sz w:val="13"/>
                                <w:szCs w:val="13"/>
                              </w:rPr>
                            </w:pPr>
                          </w:p>
                        </w:tc>
                        <w:tc>
                          <w:tcPr>
                            <w:tcW w:w="2290" w:type="dxa"/>
                            <w:gridSpan w:val="2"/>
                            <w:tcBorders>
                              <w:left w:val="single" w:sz="4" w:space="0" w:color="auto"/>
                              <w:right w:val="single" w:sz="4" w:space="0" w:color="auto"/>
                            </w:tcBorders>
                          </w:tcPr>
                          <w:p w14:paraId="40967C86" w14:textId="77777777" w:rsidR="008B0834" w:rsidRPr="001B3607" w:rsidRDefault="008B0834" w:rsidP="005A6E7F">
                            <w:pPr>
                              <w:spacing w:line="360" w:lineRule="auto"/>
                              <w:rPr>
                                <w:rFonts w:cstheme="minorHAnsi"/>
                                <w:sz w:val="13"/>
                                <w:szCs w:val="13"/>
                              </w:rPr>
                            </w:pPr>
                            <w:r w:rsidRPr="001B3607">
                              <w:rPr>
                                <w:rFonts w:cstheme="minorHAnsi"/>
                                <w:sz w:val="13"/>
                                <w:szCs w:val="13"/>
                              </w:rPr>
                              <w:t xml:space="preserve">Building approvals: </w:t>
                            </w:r>
                            <w:r w:rsidRPr="00EA3F30">
                              <w:rPr>
                                <w:rFonts w:cstheme="minorHAnsi"/>
                                <w:sz w:val="13"/>
                                <w:szCs w:val="13"/>
                              </w:rPr>
                              <w:t>2022-23</w:t>
                            </w:r>
                          </w:p>
                        </w:tc>
                        <w:tc>
                          <w:tcPr>
                            <w:tcW w:w="722" w:type="dxa"/>
                            <w:tcBorders>
                              <w:left w:val="single" w:sz="4" w:space="0" w:color="auto"/>
                              <w:right w:val="single" w:sz="4" w:space="0" w:color="auto"/>
                            </w:tcBorders>
                          </w:tcPr>
                          <w:p w14:paraId="6833F5A6" w14:textId="77777777" w:rsidR="008B0834" w:rsidRPr="001B3607" w:rsidRDefault="008B0834" w:rsidP="00F62810">
                            <w:pPr>
                              <w:spacing w:line="360" w:lineRule="auto"/>
                              <w:jc w:val="right"/>
                              <w:rPr>
                                <w:rFonts w:cstheme="minorHAnsi"/>
                                <w:sz w:val="13"/>
                                <w:szCs w:val="13"/>
                              </w:rPr>
                            </w:pPr>
                            <w:r w:rsidRPr="001B3607">
                              <w:rPr>
                                <w:rFonts w:cstheme="minorHAnsi"/>
                                <w:sz w:val="13"/>
                                <w:szCs w:val="13"/>
                              </w:rPr>
                              <w:t>$</w:t>
                            </w:r>
                            <w:r w:rsidRPr="00EA3F30">
                              <w:rPr>
                                <w:rFonts w:cstheme="minorHAnsi"/>
                                <w:sz w:val="13"/>
                                <w:szCs w:val="13"/>
                              </w:rPr>
                              <w:t>361</w:t>
                            </w:r>
                            <w:r w:rsidRPr="001B3607">
                              <w:rPr>
                                <w:rFonts w:cstheme="minorHAnsi"/>
                                <w:sz w:val="13"/>
                                <w:szCs w:val="13"/>
                              </w:rPr>
                              <w:t>m</w:t>
                            </w:r>
                          </w:p>
                        </w:tc>
                        <w:tc>
                          <w:tcPr>
                            <w:tcW w:w="1128" w:type="dxa"/>
                            <w:tcBorders>
                              <w:left w:val="single" w:sz="4" w:space="0" w:color="auto"/>
                              <w:right w:val="single" w:sz="4" w:space="0" w:color="auto"/>
                            </w:tcBorders>
                          </w:tcPr>
                          <w:p w14:paraId="2C63D166" w14:textId="77777777" w:rsidR="008B0834" w:rsidRPr="001B3607" w:rsidRDefault="008B0834" w:rsidP="005A6E7F">
                            <w:pPr>
                              <w:spacing w:line="360" w:lineRule="auto"/>
                              <w:jc w:val="right"/>
                              <w:rPr>
                                <w:rFonts w:cstheme="minorHAnsi"/>
                                <w:sz w:val="13"/>
                                <w:szCs w:val="13"/>
                              </w:rPr>
                            </w:pPr>
                            <w:r w:rsidRPr="00EA3F30">
                              <w:rPr>
                                <w:rFonts w:cstheme="minorHAnsi"/>
                                <w:sz w:val="13"/>
                                <w:szCs w:val="13"/>
                              </w:rPr>
                              <w:t>+227.3</w:t>
                            </w:r>
                            <w:r w:rsidRPr="001B3607">
                              <w:rPr>
                                <w:rFonts w:cstheme="minorHAnsi"/>
                                <w:sz w:val="13"/>
                                <w:szCs w:val="13"/>
                              </w:rPr>
                              <w:t>%</w:t>
                            </w:r>
                          </w:p>
                        </w:tc>
                        <w:tc>
                          <w:tcPr>
                            <w:tcW w:w="787" w:type="dxa"/>
                            <w:tcBorders>
                              <w:left w:val="single" w:sz="4" w:space="0" w:color="auto"/>
                              <w:right w:val="single" w:sz="4" w:space="0" w:color="auto"/>
                            </w:tcBorders>
                          </w:tcPr>
                          <w:p w14:paraId="0C6505B5" w14:textId="77777777" w:rsidR="008B0834" w:rsidRPr="001B3607" w:rsidRDefault="008B0834" w:rsidP="00F62810">
                            <w:pPr>
                              <w:spacing w:line="360" w:lineRule="auto"/>
                              <w:jc w:val="right"/>
                              <w:rPr>
                                <w:rFonts w:cstheme="minorHAnsi"/>
                                <w:sz w:val="13"/>
                                <w:szCs w:val="13"/>
                              </w:rPr>
                            </w:pPr>
                            <w:r w:rsidRPr="00EA3F30">
                              <w:rPr>
                                <w:rFonts w:cstheme="minorHAnsi"/>
                                <w:sz w:val="13"/>
                                <w:szCs w:val="13"/>
                              </w:rPr>
                              <w:t>3.2</w:t>
                            </w:r>
                            <w:r w:rsidRPr="001B3607">
                              <w:rPr>
                                <w:rFonts w:cstheme="minorHAnsi"/>
                                <w:sz w:val="13"/>
                                <w:szCs w:val="13"/>
                              </w:rPr>
                              <w:t>%</w:t>
                            </w:r>
                          </w:p>
                        </w:tc>
                      </w:tr>
                      <w:tr w:rsidR="008B0834" w:rsidRPr="00EE46E2" w14:paraId="6ECA9B4C" w14:textId="77777777" w:rsidTr="00E930AA">
                        <w:tc>
                          <w:tcPr>
                            <w:tcW w:w="2235" w:type="dxa"/>
                            <w:tcBorders>
                              <w:left w:val="single" w:sz="4" w:space="0" w:color="auto"/>
                              <w:bottom w:val="single" w:sz="4" w:space="0" w:color="auto"/>
                              <w:right w:val="single" w:sz="4" w:space="0" w:color="auto"/>
                            </w:tcBorders>
                          </w:tcPr>
                          <w:p w14:paraId="6D5CD78B" w14:textId="77777777" w:rsidR="008B0834" w:rsidRPr="008809A4" w:rsidRDefault="008B0834" w:rsidP="003A7D0E">
                            <w:pPr>
                              <w:spacing w:line="360" w:lineRule="auto"/>
                              <w:rPr>
                                <w:rFonts w:cstheme="minorHAnsi"/>
                                <w:sz w:val="13"/>
                                <w:szCs w:val="13"/>
                              </w:rPr>
                            </w:pPr>
                            <w:r w:rsidRPr="008809A4">
                              <w:rPr>
                                <w:rFonts w:cstheme="minorHAnsi"/>
                                <w:sz w:val="13"/>
                                <w:szCs w:val="13"/>
                              </w:rPr>
                              <w:t>Overnight visitors a year: 2020-22</w:t>
                            </w:r>
                          </w:p>
                        </w:tc>
                        <w:tc>
                          <w:tcPr>
                            <w:tcW w:w="814" w:type="dxa"/>
                            <w:tcBorders>
                              <w:left w:val="single" w:sz="4" w:space="0" w:color="auto"/>
                              <w:bottom w:val="single" w:sz="4" w:space="0" w:color="auto"/>
                              <w:right w:val="single" w:sz="4" w:space="0" w:color="auto"/>
                            </w:tcBorders>
                          </w:tcPr>
                          <w:p w14:paraId="1DC5D780" w14:textId="77777777" w:rsidR="008B0834" w:rsidRPr="008809A4" w:rsidRDefault="008B0834" w:rsidP="00B46A90">
                            <w:pPr>
                              <w:spacing w:line="360" w:lineRule="auto"/>
                              <w:jc w:val="center"/>
                              <w:rPr>
                                <w:rFonts w:cstheme="minorHAnsi"/>
                                <w:sz w:val="13"/>
                                <w:szCs w:val="13"/>
                              </w:rPr>
                            </w:pPr>
                            <w:r w:rsidRPr="008809A4">
                              <w:rPr>
                                <w:rFonts w:cstheme="minorHAnsi"/>
                                <w:sz w:val="13"/>
                                <w:szCs w:val="13"/>
                              </w:rPr>
                              <w:t>1,002,000</w:t>
                            </w:r>
                          </w:p>
                        </w:tc>
                        <w:tc>
                          <w:tcPr>
                            <w:tcW w:w="1128" w:type="dxa"/>
                            <w:tcBorders>
                              <w:left w:val="single" w:sz="4" w:space="0" w:color="auto"/>
                              <w:bottom w:val="single" w:sz="4" w:space="0" w:color="auto"/>
                              <w:right w:val="single" w:sz="4" w:space="0" w:color="auto"/>
                            </w:tcBorders>
                          </w:tcPr>
                          <w:p w14:paraId="49E90179" w14:textId="77777777" w:rsidR="008B0834" w:rsidRPr="008809A4" w:rsidRDefault="008B0834" w:rsidP="00F62810">
                            <w:pPr>
                              <w:spacing w:line="360" w:lineRule="auto"/>
                              <w:jc w:val="right"/>
                              <w:rPr>
                                <w:rFonts w:cstheme="minorHAnsi"/>
                                <w:sz w:val="13"/>
                                <w:szCs w:val="13"/>
                              </w:rPr>
                            </w:pPr>
                          </w:p>
                        </w:tc>
                        <w:tc>
                          <w:tcPr>
                            <w:tcW w:w="787" w:type="dxa"/>
                            <w:tcBorders>
                              <w:left w:val="single" w:sz="4" w:space="0" w:color="auto"/>
                              <w:bottom w:val="single" w:sz="4" w:space="0" w:color="auto"/>
                              <w:right w:val="single" w:sz="4" w:space="0" w:color="auto"/>
                            </w:tcBorders>
                          </w:tcPr>
                          <w:p w14:paraId="0AEA4CBC"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9.2%</w:t>
                            </w:r>
                          </w:p>
                        </w:tc>
                        <w:tc>
                          <w:tcPr>
                            <w:tcW w:w="236" w:type="dxa"/>
                            <w:tcBorders>
                              <w:right w:val="single" w:sz="4" w:space="0" w:color="auto"/>
                            </w:tcBorders>
                          </w:tcPr>
                          <w:p w14:paraId="598E909A" w14:textId="77777777" w:rsidR="008B0834" w:rsidRPr="00EE46E2" w:rsidRDefault="008B0834" w:rsidP="00F62810">
                            <w:pPr>
                              <w:rPr>
                                <w:rFonts w:cstheme="minorHAnsi"/>
                                <w:sz w:val="13"/>
                                <w:szCs w:val="13"/>
                              </w:rPr>
                            </w:pPr>
                          </w:p>
                        </w:tc>
                        <w:tc>
                          <w:tcPr>
                            <w:tcW w:w="2290" w:type="dxa"/>
                            <w:gridSpan w:val="2"/>
                            <w:tcBorders>
                              <w:left w:val="single" w:sz="4" w:space="0" w:color="auto"/>
                              <w:bottom w:val="single" w:sz="4" w:space="0" w:color="auto"/>
                              <w:right w:val="single" w:sz="4" w:space="0" w:color="auto"/>
                            </w:tcBorders>
                          </w:tcPr>
                          <w:p w14:paraId="4D4E48A6" w14:textId="77777777" w:rsidR="008B0834" w:rsidRPr="008809A4" w:rsidRDefault="008B0834" w:rsidP="00F62810">
                            <w:pPr>
                              <w:spacing w:line="360" w:lineRule="auto"/>
                              <w:rPr>
                                <w:rFonts w:cstheme="minorHAnsi"/>
                                <w:sz w:val="13"/>
                                <w:szCs w:val="13"/>
                              </w:rPr>
                            </w:pPr>
                            <w:r w:rsidRPr="008809A4">
                              <w:rPr>
                                <w:rFonts w:cstheme="minorHAnsi"/>
                                <w:sz w:val="13"/>
                                <w:szCs w:val="13"/>
                              </w:rPr>
                              <w:t>Overnight visitors a year: 2020-22</w:t>
                            </w:r>
                          </w:p>
                        </w:tc>
                        <w:tc>
                          <w:tcPr>
                            <w:tcW w:w="722" w:type="dxa"/>
                            <w:tcBorders>
                              <w:left w:val="single" w:sz="4" w:space="0" w:color="auto"/>
                              <w:bottom w:val="single" w:sz="4" w:space="0" w:color="auto"/>
                              <w:right w:val="single" w:sz="4" w:space="0" w:color="auto"/>
                            </w:tcBorders>
                          </w:tcPr>
                          <w:p w14:paraId="4F45E6F0" w14:textId="77777777" w:rsidR="008B0834" w:rsidRPr="008809A4" w:rsidRDefault="008B0834" w:rsidP="00D06AC2">
                            <w:pPr>
                              <w:spacing w:line="360" w:lineRule="auto"/>
                              <w:jc w:val="right"/>
                              <w:rPr>
                                <w:rFonts w:cstheme="minorHAnsi"/>
                                <w:sz w:val="13"/>
                                <w:szCs w:val="13"/>
                              </w:rPr>
                            </w:pPr>
                            <w:r w:rsidRPr="008809A4">
                              <w:rPr>
                                <w:rFonts w:cstheme="minorHAnsi"/>
                                <w:sz w:val="13"/>
                                <w:szCs w:val="13"/>
                              </w:rPr>
                              <w:t>369,000</w:t>
                            </w:r>
                          </w:p>
                        </w:tc>
                        <w:tc>
                          <w:tcPr>
                            <w:tcW w:w="1128" w:type="dxa"/>
                            <w:tcBorders>
                              <w:left w:val="single" w:sz="4" w:space="0" w:color="auto"/>
                              <w:bottom w:val="single" w:sz="4" w:space="0" w:color="auto"/>
                              <w:right w:val="single" w:sz="4" w:space="0" w:color="auto"/>
                            </w:tcBorders>
                          </w:tcPr>
                          <w:p w14:paraId="47B96ED6" w14:textId="77777777" w:rsidR="008B0834" w:rsidRPr="008809A4" w:rsidRDefault="008B0834" w:rsidP="00F62810">
                            <w:pPr>
                              <w:spacing w:line="360" w:lineRule="auto"/>
                              <w:jc w:val="right"/>
                              <w:rPr>
                                <w:rFonts w:cstheme="minorHAnsi"/>
                                <w:sz w:val="13"/>
                                <w:szCs w:val="13"/>
                              </w:rPr>
                            </w:pPr>
                          </w:p>
                        </w:tc>
                        <w:tc>
                          <w:tcPr>
                            <w:tcW w:w="787" w:type="dxa"/>
                            <w:tcBorders>
                              <w:left w:val="single" w:sz="4" w:space="0" w:color="auto"/>
                              <w:bottom w:val="single" w:sz="4" w:space="0" w:color="auto"/>
                              <w:right w:val="single" w:sz="4" w:space="0" w:color="auto"/>
                            </w:tcBorders>
                          </w:tcPr>
                          <w:p w14:paraId="2FDDE5EE"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3.4%</w:t>
                            </w:r>
                          </w:p>
                        </w:tc>
                      </w:tr>
                    </w:tbl>
                    <w:p w14:paraId="6DB4A985" w14:textId="77777777" w:rsidR="008B0834" w:rsidRPr="00502167" w:rsidRDefault="008B0834" w:rsidP="008B0834">
                      <w:pPr>
                        <w:rPr>
                          <w:sz w:val="9"/>
                          <w:szCs w:val="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795"/>
                        <w:gridCol w:w="1128"/>
                        <w:gridCol w:w="787"/>
                        <w:gridCol w:w="222"/>
                        <w:gridCol w:w="2171"/>
                        <w:gridCol w:w="795"/>
                        <w:gridCol w:w="1128"/>
                        <w:gridCol w:w="787"/>
                      </w:tblGrid>
                      <w:tr w:rsidR="008B0834" w:rsidRPr="00EE46E2" w14:paraId="627662FF" w14:textId="77777777" w:rsidTr="00DA5BE3">
                        <w:tc>
                          <w:tcPr>
                            <w:tcW w:w="0" w:type="auto"/>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83758" w14:textId="77777777" w:rsidR="008B0834" w:rsidRPr="00EE46E2" w:rsidRDefault="008B0834" w:rsidP="00993C31">
                            <w:pPr>
                              <w:spacing w:line="360" w:lineRule="auto"/>
                              <w:rPr>
                                <w:rFonts w:cstheme="minorHAnsi"/>
                                <w:b/>
                                <w:sz w:val="13"/>
                                <w:szCs w:val="13"/>
                              </w:rPr>
                            </w:pPr>
                            <w:r w:rsidRPr="00904A09">
                              <w:rPr>
                                <w:rFonts w:cstheme="minorHAnsi"/>
                                <w:b/>
                                <w:color w:val="002060"/>
                                <w:sz w:val="14"/>
                                <w:szCs w:val="14"/>
                              </w:rPr>
                              <w:t>GASCOYNE</w:t>
                            </w:r>
                          </w:p>
                        </w:tc>
                        <w:tc>
                          <w:tcPr>
                            <w:tcW w:w="0" w:type="auto"/>
                            <w:tcBorders>
                              <w:right w:val="single" w:sz="4" w:space="0" w:color="auto"/>
                            </w:tcBorders>
                          </w:tcPr>
                          <w:p w14:paraId="6FD017B0" w14:textId="77777777" w:rsidR="008B0834" w:rsidRPr="00EE46E2" w:rsidRDefault="008B0834" w:rsidP="00993C31">
                            <w:pPr>
                              <w:rPr>
                                <w:rFonts w:cstheme="minorHAnsi"/>
                                <w:sz w:val="13"/>
                                <w:szCs w:val="13"/>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FF99CC"/>
                          </w:tcPr>
                          <w:p w14:paraId="1D29AA49" w14:textId="77777777" w:rsidR="008B0834" w:rsidRPr="00EE46E2" w:rsidRDefault="008B0834" w:rsidP="00993C31">
                            <w:pPr>
                              <w:spacing w:line="360" w:lineRule="auto"/>
                              <w:rPr>
                                <w:rFonts w:cstheme="minorHAnsi"/>
                                <w:b/>
                                <w:sz w:val="13"/>
                                <w:szCs w:val="13"/>
                              </w:rPr>
                            </w:pPr>
                            <w:r w:rsidRPr="00904A09">
                              <w:rPr>
                                <w:rFonts w:cstheme="minorHAnsi"/>
                                <w:b/>
                                <w:color w:val="002060"/>
                                <w:sz w:val="14"/>
                                <w:szCs w:val="14"/>
                              </w:rPr>
                              <w:t>MID WEST</w:t>
                            </w:r>
                          </w:p>
                        </w:tc>
                      </w:tr>
                      <w:tr w:rsidR="008B0834" w:rsidRPr="00EE46E2" w14:paraId="13BC5BFF" w14:textId="77777777" w:rsidTr="00DA5BE3">
                        <w:tc>
                          <w:tcPr>
                            <w:tcW w:w="0" w:type="auto"/>
                            <w:tcBorders>
                              <w:top w:val="single" w:sz="4" w:space="0" w:color="auto"/>
                              <w:left w:val="single" w:sz="4" w:space="0" w:color="auto"/>
                              <w:right w:val="single" w:sz="4" w:space="0" w:color="auto"/>
                            </w:tcBorders>
                          </w:tcPr>
                          <w:p w14:paraId="72C0BE7B" w14:textId="77777777" w:rsidR="008B0834" w:rsidRPr="00EE46E2" w:rsidRDefault="008B0834" w:rsidP="00A545D6">
                            <w:pPr>
                              <w:spacing w:line="360" w:lineRule="auto"/>
                              <w:rPr>
                                <w:rFonts w:cstheme="minorHAnsi"/>
                                <w:sz w:val="13"/>
                                <w:szCs w:val="13"/>
                              </w:rPr>
                            </w:pPr>
                          </w:p>
                        </w:tc>
                        <w:tc>
                          <w:tcPr>
                            <w:tcW w:w="795" w:type="dxa"/>
                            <w:tcBorders>
                              <w:top w:val="single" w:sz="4" w:space="0" w:color="auto"/>
                              <w:left w:val="single" w:sz="4" w:space="0" w:color="auto"/>
                              <w:right w:val="single" w:sz="4" w:space="0" w:color="auto"/>
                            </w:tcBorders>
                          </w:tcPr>
                          <w:p w14:paraId="67585976"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Figure</w:t>
                            </w:r>
                          </w:p>
                        </w:tc>
                        <w:tc>
                          <w:tcPr>
                            <w:tcW w:w="1128" w:type="dxa"/>
                            <w:tcBorders>
                              <w:top w:val="single" w:sz="4" w:space="0" w:color="auto"/>
                              <w:left w:val="single" w:sz="4" w:space="0" w:color="auto"/>
                              <w:right w:val="single" w:sz="4" w:space="0" w:color="auto"/>
                            </w:tcBorders>
                          </w:tcPr>
                          <w:p w14:paraId="436CE98C"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444865FE"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WA share</w:t>
                            </w:r>
                          </w:p>
                        </w:tc>
                        <w:tc>
                          <w:tcPr>
                            <w:tcW w:w="0" w:type="auto"/>
                            <w:tcBorders>
                              <w:right w:val="single" w:sz="4" w:space="0" w:color="auto"/>
                            </w:tcBorders>
                          </w:tcPr>
                          <w:p w14:paraId="287D9BB7" w14:textId="77777777" w:rsidR="008B0834" w:rsidRPr="00EE46E2" w:rsidRDefault="008B0834" w:rsidP="00A545D6">
                            <w:pPr>
                              <w:rPr>
                                <w:rFonts w:cstheme="minorHAnsi"/>
                                <w:sz w:val="13"/>
                                <w:szCs w:val="13"/>
                              </w:rPr>
                            </w:pPr>
                          </w:p>
                        </w:tc>
                        <w:tc>
                          <w:tcPr>
                            <w:tcW w:w="0" w:type="auto"/>
                            <w:tcBorders>
                              <w:top w:val="single" w:sz="4" w:space="0" w:color="auto"/>
                              <w:left w:val="single" w:sz="4" w:space="0" w:color="auto"/>
                              <w:right w:val="single" w:sz="4" w:space="0" w:color="auto"/>
                            </w:tcBorders>
                          </w:tcPr>
                          <w:p w14:paraId="75CB782B" w14:textId="77777777" w:rsidR="008B0834" w:rsidRPr="00A5645B" w:rsidRDefault="008B0834" w:rsidP="00A545D6">
                            <w:pPr>
                              <w:spacing w:line="360" w:lineRule="auto"/>
                              <w:rPr>
                                <w:rFonts w:cstheme="minorHAnsi"/>
                                <w:sz w:val="13"/>
                                <w:szCs w:val="13"/>
                              </w:rPr>
                            </w:pPr>
                          </w:p>
                        </w:tc>
                        <w:tc>
                          <w:tcPr>
                            <w:tcW w:w="0" w:type="auto"/>
                            <w:tcBorders>
                              <w:top w:val="single" w:sz="4" w:space="0" w:color="auto"/>
                              <w:left w:val="single" w:sz="4" w:space="0" w:color="auto"/>
                              <w:right w:val="single" w:sz="4" w:space="0" w:color="auto"/>
                            </w:tcBorders>
                          </w:tcPr>
                          <w:p w14:paraId="19CE0EC5" w14:textId="77777777" w:rsidR="008B0834" w:rsidRPr="00A5645B" w:rsidRDefault="008B0834" w:rsidP="00A545D6">
                            <w:pPr>
                              <w:spacing w:line="360" w:lineRule="auto"/>
                              <w:jc w:val="right"/>
                              <w:rPr>
                                <w:rFonts w:cstheme="minorHAnsi"/>
                                <w:sz w:val="13"/>
                                <w:szCs w:val="13"/>
                              </w:rPr>
                            </w:pPr>
                            <w:r w:rsidRPr="00A5645B">
                              <w:rPr>
                                <w:rFonts w:cstheme="minorHAnsi"/>
                                <w:sz w:val="13"/>
                                <w:szCs w:val="13"/>
                              </w:rPr>
                              <w:t>Figure</w:t>
                            </w:r>
                          </w:p>
                        </w:tc>
                        <w:tc>
                          <w:tcPr>
                            <w:tcW w:w="0" w:type="auto"/>
                            <w:tcBorders>
                              <w:top w:val="single" w:sz="4" w:space="0" w:color="auto"/>
                              <w:left w:val="single" w:sz="4" w:space="0" w:color="auto"/>
                              <w:right w:val="single" w:sz="4" w:space="0" w:color="auto"/>
                            </w:tcBorders>
                          </w:tcPr>
                          <w:p w14:paraId="11196CDE" w14:textId="77777777" w:rsidR="008B0834" w:rsidRPr="00A5645B" w:rsidRDefault="008B0834" w:rsidP="00A545D6">
                            <w:pPr>
                              <w:spacing w:line="360" w:lineRule="auto"/>
                              <w:jc w:val="right"/>
                              <w:rPr>
                                <w:rFonts w:cstheme="minorHAnsi"/>
                                <w:sz w:val="13"/>
                                <w:szCs w:val="13"/>
                              </w:rPr>
                            </w:pPr>
                            <w:r w:rsidRPr="00A5645B">
                              <w:rPr>
                                <w:rFonts w:cstheme="minorHAnsi"/>
                                <w:sz w:val="13"/>
                                <w:szCs w:val="13"/>
                              </w:rPr>
                              <w:t>Annual change</w:t>
                            </w:r>
                            <w:r w:rsidRPr="00A5645B">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17723733"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WA share</w:t>
                            </w:r>
                          </w:p>
                        </w:tc>
                      </w:tr>
                      <w:tr w:rsidR="008B0834" w:rsidRPr="00EE46E2" w14:paraId="69F73E42" w14:textId="77777777" w:rsidTr="00DA5BE3">
                        <w:tc>
                          <w:tcPr>
                            <w:tcW w:w="0" w:type="auto"/>
                            <w:tcBorders>
                              <w:left w:val="single" w:sz="4" w:space="0" w:color="auto"/>
                              <w:right w:val="single" w:sz="4" w:space="0" w:color="auto"/>
                            </w:tcBorders>
                          </w:tcPr>
                          <w:p w14:paraId="3C220F84" w14:textId="77777777" w:rsidR="008B0834" w:rsidRPr="008809A4" w:rsidRDefault="008B0834" w:rsidP="00F62810">
                            <w:pPr>
                              <w:spacing w:line="360" w:lineRule="auto"/>
                              <w:rPr>
                                <w:rFonts w:cstheme="minorHAnsi"/>
                                <w:sz w:val="13"/>
                                <w:szCs w:val="13"/>
                              </w:rPr>
                            </w:pPr>
                            <w:r w:rsidRPr="008809A4">
                              <w:rPr>
                                <w:rFonts w:cstheme="minorHAnsi"/>
                                <w:sz w:val="13"/>
                                <w:szCs w:val="13"/>
                              </w:rPr>
                              <w:t>Gross regional product: 2021-22</w:t>
                            </w:r>
                          </w:p>
                        </w:tc>
                        <w:tc>
                          <w:tcPr>
                            <w:tcW w:w="795" w:type="dxa"/>
                            <w:tcBorders>
                              <w:left w:val="single" w:sz="4" w:space="0" w:color="auto"/>
                              <w:right w:val="single" w:sz="4" w:space="0" w:color="auto"/>
                            </w:tcBorders>
                          </w:tcPr>
                          <w:p w14:paraId="01BA188B" w14:textId="77777777" w:rsidR="008B0834" w:rsidRPr="008809A4" w:rsidRDefault="008B0834" w:rsidP="00056E99">
                            <w:pPr>
                              <w:spacing w:line="360" w:lineRule="auto"/>
                              <w:jc w:val="right"/>
                              <w:rPr>
                                <w:rFonts w:cstheme="minorHAnsi"/>
                                <w:sz w:val="13"/>
                                <w:szCs w:val="13"/>
                              </w:rPr>
                            </w:pPr>
                            <w:r w:rsidRPr="008809A4">
                              <w:rPr>
                                <w:rFonts w:cstheme="minorHAnsi"/>
                                <w:sz w:val="13"/>
                                <w:szCs w:val="13"/>
                              </w:rPr>
                              <w:t>$1.2b</w:t>
                            </w:r>
                          </w:p>
                        </w:tc>
                        <w:tc>
                          <w:tcPr>
                            <w:tcW w:w="1128" w:type="dxa"/>
                            <w:tcBorders>
                              <w:left w:val="single" w:sz="4" w:space="0" w:color="auto"/>
                              <w:right w:val="single" w:sz="4" w:space="0" w:color="auto"/>
                            </w:tcBorders>
                          </w:tcPr>
                          <w:p w14:paraId="5B4C3AF3" w14:textId="77777777" w:rsidR="008B0834" w:rsidRPr="008809A4" w:rsidRDefault="008B0834" w:rsidP="00E14718">
                            <w:pPr>
                              <w:spacing w:line="360" w:lineRule="auto"/>
                              <w:jc w:val="right"/>
                              <w:rPr>
                                <w:rFonts w:cstheme="minorHAnsi"/>
                                <w:sz w:val="13"/>
                                <w:szCs w:val="13"/>
                              </w:rPr>
                            </w:pPr>
                            <w:r w:rsidRPr="008809A4">
                              <w:rPr>
                                <w:rFonts w:cstheme="minorHAnsi"/>
                                <w:sz w:val="13"/>
                                <w:szCs w:val="13"/>
                              </w:rPr>
                              <w:t>-18.5%</w:t>
                            </w:r>
                          </w:p>
                        </w:tc>
                        <w:tc>
                          <w:tcPr>
                            <w:tcW w:w="0" w:type="auto"/>
                            <w:tcBorders>
                              <w:left w:val="single" w:sz="4" w:space="0" w:color="auto"/>
                              <w:right w:val="single" w:sz="4" w:space="0" w:color="auto"/>
                            </w:tcBorders>
                          </w:tcPr>
                          <w:p w14:paraId="167E6DCD"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0.3%</w:t>
                            </w:r>
                          </w:p>
                        </w:tc>
                        <w:tc>
                          <w:tcPr>
                            <w:tcW w:w="0" w:type="auto"/>
                            <w:tcBorders>
                              <w:right w:val="single" w:sz="4" w:space="0" w:color="auto"/>
                            </w:tcBorders>
                          </w:tcPr>
                          <w:p w14:paraId="0B46FCB6" w14:textId="77777777" w:rsidR="008B0834" w:rsidRPr="00056E99" w:rsidRDefault="008B0834" w:rsidP="00F62810">
                            <w:pPr>
                              <w:rPr>
                                <w:rFonts w:cstheme="minorHAnsi"/>
                                <w:color w:val="0070C0"/>
                                <w:sz w:val="13"/>
                                <w:szCs w:val="13"/>
                              </w:rPr>
                            </w:pPr>
                          </w:p>
                        </w:tc>
                        <w:tc>
                          <w:tcPr>
                            <w:tcW w:w="0" w:type="auto"/>
                            <w:tcBorders>
                              <w:left w:val="single" w:sz="4" w:space="0" w:color="auto"/>
                              <w:right w:val="single" w:sz="4" w:space="0" w:color="auto"/>
                            </w:tcBorders>
                          </w:tcPr>
                          <w:p w14:paraId="3D597E2D" w14:textId="77777777" w:rsidR="008B0834" w:rsidRPr="008809A4" w:rsidRDefault="008B0834" w:rsidP="00F62810">
                            <w:pPr>
                              <w:spacing w:line="360" w:lineRule="auto"/>
                              <w:rPr>
                                <w:rFonts w:cstheme="minorHAnsi"/>
                                <w:sz w:val="13"/>
                                <w:szCs w:val="13"/>
                              </w:rPr>
                            </w:pPr>
                            <w:r w:rsidRPr="008809A4">
                              <w:rPr>
                                <w:rFonts w:cstheme="minorHAnsi"/>
                                <w:sz w:val="13"/>
                                <w:szCs w:val="13"/>
                              </w:rPr>
                              <w:t>Gross regional product: 2021-22</w:t>
                            </w:r>
                          </w:p>
                        </w:tc>
                        <w:tc>
                          <w:tcPr>
                            <w:tcW w:w="0" w:type="auto"/>
                            <w:tcBorders>
                              <w:left w:val="single" w:sz="4" w:space="0" w:color="auto"/>
                              <w:right w:val="single" w:sz="4" w:space="0" w:color="auto"/>
                            </w:tcBorders>
                          </w:tcPr>
                          <w:p w14:paraId="2D4A56B2"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$7.9b</w:t>
                            </w:r>
                          </w:p>
                        </w:tc>
                        <w:tc>
                          <w:tcPr>
                            <w:tcW w:w="0" w:type="auto"/>
                            <w:tcBorders>
                              <w:left w:val="single" w:sz="4" w:space="0" w:color="auto"/>
                              <w:right w:val="single" w:sz="4" w:space="0" w:color="auto"/>
                            </w:tcBorders>
                          </w:tcPr>
                          <w:p w14:paraId="17ECB60B" w14:textId="77777777" w:rsidR="008B0834" w:rsidRPr="008809A4" w:rsidRDefault="008B0834" w:rsidP="00160468">
                            <w:pPr>
                              <w:spacing w:line="360" w:lineRule="auto"/>
                              <w:jc w:val="right"/>
                              <w:rPr>
                                <w:rFonts w:cstheme="minorHAnsi"/>
                                <w:sz w:val="13"/>
                                <w:szCs w:val="13"/>
                              </w:rPr>
                            </w:pPr>
                            <w:r w:rsidRPr="008809A4">
                              <w:rPr>
                                <w:rFonts w:cstheme="minorHAnsi"/>
                                <w:sz w:val="13"/>
                                <w:szCs w:val="13"/>
                              </w:rPr>
                              <w:t>+12.3%</w:t>
                            </w:r>
                          </w:p>
                        </w:tc>
                        <w:tc>
                          <w:tcPr>
                            <w:tcW w:w="0" w:type="auto"/>
                            <w:tcBorders>
                              <w:left w:val="single" w:sz="4" w:space="0" w:color="auto"/>
                              <w:right w:val="single" w:sz="4" w:space="0" w:color="auto"/>
                            </w:tcBorders>
                          </w:tcPr>
                          <w:p w14:paraId="6F10937E"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2.0%</w:t>
                            </w:r>
                          </w:p>
                        </w:tc>
                      </w:tr>
                      <w:tr w:rsidR="008B0834" w:rsidRPr="008536A7" w14:paraId="38BA86BD" w14:textId="77777777" w:rsidTr="00DA5BE3">
                        <w:tc>
                          <w:tcPr>
                            <w:tcW w:w="0" w:type="auto"/>
                            <w:tcBorders>
                              <w:left w:val="single" w:sz="4" w:space="0" w:color="auto"/>
                              <w:right w:val="single" w:sz="4" w:space="0" w:color="auto"/>
                            </w:tcBorders>
                          </w:tcPr>
                          <w:p w14:paraId="4D1C62FC" w14:textId="77777777" w:rsidR="008B0834" w:rsidRPr="008809A4" w:rsidRDefault="008B0834" w:rsidP="00F62810">
                            <w:pPr>
                              <w:spacing w:line="360" w:lineRule="auto"/>
                              <w:rPr>
                                <w:rFonts w:cstheme="minorHAnsi"/>
                                <w:sz w:val="13"/>
                                <w:szCs w:val="13"/>
                              </w:rPr>
                            </w:pPr>
                            <w:r w:rsidRPr="008809A4">
                              <w:rPr>
                                <w:rFonts w:cstheme="minorHAnsi"/>
                                <w:sz w:val="13"/>
                                <w:szCs w:val="13"/>
                              </w:rPr>
                              <w:t>Population: 2021-22</w:t>
                            </w:r>
                          </w:p>
                        </w:tc>
                        <w:tc>
                          <w:tcPr>
                            <w:tcW w:w="795" w:type="dxa"/>
                            <w:tcBorders>
                              <w:left w:val="single" w:sz="4" w:space="0" w:color="auto"/>
                              <w:right w:val="single" w:sz="4" w:space="0" w:color="auto"/>
                            </w:tcBorders>
                          </w:tcPr>
                          <w:p w14:paraId="550E44CC"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10,107</w:t>
                            </w:r>
                          </w:p>
                        </w:tc>
                        <w:tc>
                          <w:tcPr>
                            <w:tcW w:w="1128" w:type="dxa"/>
                            <w:tcBorders>
                              <w:left w:val="single" w:sz="4" w:space="0" w:color="auto"/>
                              <w:right w:val="single" w:sz="4" w:space="0" w:color="auto"/>
                            </w:tcBorders>
                          </w:tcPr>
                          <w:p w14:paraId="1F722B7D"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+1.3%</w:t>
                            </w:r>
                          </w:p>
                        </w:tc>
                        <w:tc>
                          <w:tcPr>
                            <w:tcW w:w="0" w:type="auto"/>
                            <w:tcBorders>
                              <w:left w:val="single" w:sz="4" w:space="0" w:color="auto"/>
                              <w:right w:val="single" w:sz="4" w:space="0" w:color="auto"/>
                            </w:tcBorders>
                          </w:tcPr>
                          <w:p w14:paraId="79FB2B08"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0.4%</w:t>
                            </w:r>
                          </w:p>
                        </w:tc>
                        <w:tc>
                          <w:tcPr>
                            <w:tcW w:w="0" w:type="auto"/>
                            <w:tcBorders>
                              <w:right w:val="single" w:sz="4" w:space="0" w:color="auto"/>
                            </w:tcBorders>
                          </w:tcPr>
                          <w:p w14:paraId="33AEBCD4" w14:textId="77777777" w:rsidR="008B0834" w:rsidRPr="00116A46" w:rsidRDefault="008B0834" w:rsidP="00F62810">
                            <w:pPr>
                              <w:rPr>
                                <w:rFonts w:cstheme="minorHAnsi"/>
                                <w:sz w:val="13"/>
                                <w:szCs w:val="13"/>
                              </w:rPr>
                            </w:pPr>
                          </w:p>
                        </w:tc>
                        <w:tc>
                          <w:tcPr>
                            <w:tcW w:w="0" w:type="auto"/>
                            <w:tcBorders>
                              <w:left w:val="single" w:sz="4" w:space="0" w:color="auto"/>
                              <w:right w:val="single" w:sz="4" w:space="0" w:color="auto"/>
                            </w:tcBorders>
                          </w:tcPr>
                          <w:p w14:paraId="518EF2A5" w14:textId="77777777" w:rsidR="008B0834" w:rsidRPr="008809A4" w:rsidRDefault="008B0834" w:rsidP="004E6BAE">
                            <w:pPr>
                              <w:spacing w:line="360" w:lineRule="auto"/>
                              <w:rPr>
                                <w:rFonts w:cstheme="minorHAnsi"/>
                                <w:sz w:val="13"/>
                                <w:szCs w:val="13"/>
                              </w:rPr>
                            </w:pPr>
                            <w:r w:rsidRPr="008809A4">
                              <w:rPr>
                                <w:rFonts w:cstheme="minorHAnsi"/>
                                <w:sz w:val="13"/>
                                <w:szCs w:val="13"/>
                              </w:rPr>
                              <w:t>Population: 2021-22</w:t>
                            </w:r>
                          </w:p>
                        </w:tc>
                        <w:tc>
                          <w:tcPr>
                            <w:tcW w:w="0" w:type="auto"/>
                            <w:tcBorders>
                              <w:left w:val="single" w:sz="4" w:space="0" w:color="auto"/>
                              <w:right w:val="single" w:sz="4" w:space="0" w:color="auto"/>
                            </w:tcBorders>
                          </w:tcPr>
                          <w:p w14:paraId="73FF97C7" w14:textId="77777777" w:rsidR="008B0834" w:rsidRPr="008809A4" w:rsidRDefault="008B0834" w:rsidP="00493C45">
                            <w:pPr>
                              <w:spacing w:line="360" w:lineRule="auto"/>
                              <w:jc w:val="right"/>
                              <w:rPr>
                                <w:rFonts w:cstheme="minorHAnsi"/>
                                <w:sz w:val="13"/>
                                <w:szCs w:val="13"/>
                              </w:rPr>
                            </w:pPr>
                            <w:r w:rsidRPr="008809A4">
                              <w:rPr>
                                <w:rFonts w:cstheme="minorHAnsi"/>
                                <w:sz w:val="13"/>
                                <w:szCs w:val="13"/>
                              </w:rPr>
                              <w:t>57,096</w:t>
                            </w:r>
                          </w:p>
                        </w:tc>
                        <w:tc>
                          <w:tcPr>
                            <w:tcW w:w="0" w:type="auto"/>
                            <w:tcBorders>
                              <w:left w:val="single" w:sz="4" w:space="0" w:color="auto"/>
                              <w:right w:val="single" w:sz="4" w:space="0" w:color="auto"/>
                            </w:tcBorders>
                          </w:tcPr>
                          <w:p w14:paraId="2F6EA674" w14:textId="77777777" w:rsidR="008B0834" w:rsidRPr="008809A4" w:rsidRDefault="008B0834" w:rsidP="00E879CF">
                            <w:pPr>
                              <w:spacing w:line="360" w:lineRule="auto"/>
                              <w:jc w:val="right"/>
                              <w:rPr>
                                <w:rFonts w:cstheme="minorHAnsi"/>
                                <w:sz w:val="13"/>
                                <w:szCs w:val="13"/>
                              </w:rPr>
                            </w:pPr>
                            <w:r w:rsidRPr="008809A4">
                              <w:rPr>
                                <w:rFonts w:cstheme="minorHAnsi"/>
                                <w:sz w:val="13"/>
                                <w:szCs w:val="13"/>
                              </w:rPr>
                              <w:t>+0.7%</w:t>
                            </w:r>
                          </w:p>
                        </w:tc>
                        <w:tc>
                          <w:tcPr>
                            <w:tcW w:w="0" w:type="auto"/>
                            <w:tcBorders>
                              <w:left w:val="single" w:sz="4" w:space="0" w:color="auto"/>
                              <w:right w:val="single" w:sz="4" w:space="0" w:color="auto"/>
                            </w:tcBorders>
                          </w:tcPr>
                          <w:p w14:paraId="42F47F0A"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2.0%</w:t>
                            </w:r>
                          </w:p>
                        </w:tc>
                      </w:tr>
                      <w:tr w:rsidR="008B0834" w:rsidRPr="008536A7" w14:paraId="0699D563" w14:textId="77777777" w:rsidTr="00DA5BE3">
                        <w:tc>
                          <w:tcPr>
                            <w:tcW w:w="0" w:type="auto"/>
                            <w:tcBorders>
                              <w:left w:val="single" w:sz="4" w:space="0" w:color="auto"/>
                              <w:right w:val="single" w:sz="4" w:space="0" w:color="auto"/>
                            </w:tcBorders>
                          </w:tcPr>
                          <w:p w14:paraId="66CFCDE9" w14:textId="77777777" w:rsidR="008B0834" w:rsidRPr="00351552" w:rsidRDefault="008B0834" w:rsidP="00F638FF">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795" w:type="dxa"/>
                            <w:tcBorders>
                              <w:left w:val="single" w:sz="4" w:space="0" w:color="auto"/>
                              <w:right w:val="single" w:sz="4" w:space="0" w:color="auto"/>
                            </w:tcBorders>
                          </w:tcPr>
                          <w:p w14:paraId="4D1B47E6"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5,542</w:t>
                            </w:r>
                          </w:p>
                        </w:tc>
                        <w:tc>
                          <w:tcPr>
                            <w:tcW w:w="1128" w:type="dxa"/>
                            <w:tcBorders>
                              <w:left w:val="single" w:sz="4" w:space="0" w:color="auto"/>
                              <w:right w:val="single" w:sz="4" w:space="0" w:color="auto"/>
                            </w:tcBorders>
                          </w:tcPr>
                          <w:p w14:paraId="2AA21DBE"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-2.5%</w:t>
                            </w:r>
                          </w:p>
                        </w:tc>
                        <w:tc>
                          <w:tcPr>
                            <w:tcW w:w="0" w:type="auto"/>
                            <w:tcBorders>
                              <w:left w:val="single" w:sz="4" w:space="0" w:color="auto"/>
                              <w:right w:val="single" w:sz="4" w:space="0" w:color="auto"/>
                            </w:tcBorders>
                          </w:tcPr>
                          <w:p w14:paraId="285BDE0A"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0.4%</w:t>
                            </w:r>
                          </w:p>
                        </w:tc>
                        <w:tc>
                          <w:tcPr>
                            <w:tcW w:w="0" w:type="auto"/>
                            <w:tcBorders>
                              <w:right w:val="single" w:sz="4" w:space="0" w:color="auto"/>
                            </w:tcBorders>
                          </w:tcPr>
                          <w:p w14:paraId="6761DB34" w14:textId="77777777" w:rsidR="008B0834" w:rsidRPr="00EE46E2" w:rsidRDefault="008B0834" w:rsidP="00147B8C">
                            <w:pPr>
                              <w:rPr>
                                <w:rFonts w:cstheme="minorHAnsi"/>
                                <w:sz w:val="13"/>
                                <w:szCs w:val="13"/>
                              </w:rPr>
                            </w:pPr>
                          </w:p>
                        </w:tc>
                        <w:tc>
                          <w:tcPr>
                            <w:tcW w:w="0" w:type="auto"/>
                            <w:tcBorders>
                              <w:left w:val="single" w:sz="4" w:space="0" w:color="auto"/>
                              <w:right w:val="single" w:sz="4" w:space="0" w:color="auto"/>
                            </w:tcBorders>
                          </w:tcPr>
                          <w:p w14:paraId="30235539" w14:textId="77777777" w:rsidR="008B0834" w:rsidRPr="00351552" w:rsidRDefault="008B0834" w:rsidP="00627F35">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0" w:type="auto"/>
                            <w:tcBorders>
                              <w:left w:val="single" w:sz="4" w:space="0" w:color="auto"/>
                              <w:right w:val="single" w:sz="4" w:space="0" w:color="auto"/>
                            </w:tcBorders>
                          </w:tcPr>
                          <w:p w14:paraId="568944CC"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29,551</w:t>
                            </w:r>
                          </w:p>
                        </w:tc>
                        <w:tc>
                          <w:tcPr>
                            <w:tcW w:w="0" w:type="auto"/>
                            <w:tcBorders>
                              <w:left w:val="single" w:sz="4" w:space="0" w:color="auto"/>
                              <w:right w:val="single" w:sz="4" w:space="0" w:color="auto"/>
                            </w:tcBorders>
                          </w:tcPr>
                          <w:p w14:paraId="6B211ED2"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-2.5%</w:t>
                            </w:r>
                          </w:p>
                        </w:tc>
                        <w:tc>
                          <w:tcPr>
                            <w:tcW w:w="0" w:type="auto"/>
                            <w:tcBorders>
                              <w:left w:val="single" w:sz="4" w:space="0" w:color="auto"/>
                              <w:right w:val="single" w:sz="4" w:space="0" w:color="auto"/>
                            </w:tcBorders>
                          </w:tcPr>
                          <w:p w14:paraId="70A860E3"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1.9%</w:t>
                            </w:r>
                          </w:p>
                        </w:tc>
                      </w:tr>
                      <w:tr w:rsidR="008B0834" w:rsidRPr="008536A7" w14:paraId="0F494534" w14:textId="77777777" w:rsidTr="00DA5BE3">
                        <w:tc>
                          <w:tcPr>
                            <w:tcW w:w="0" w:type="auto"/>
                            <w:tcBorders>
                              <w:left w:val="single" w:sz="4" w:space="0" w:color="auto"/>
                              <w:right w:val="single" w:sz="4" w:space="0" w:color="auto"/>
                            </w:tcBorders>
                          </w:tcPr>
                          <w:p w14:paraId="569BE040" w14:textId="77777777" w:rsidR="008B0834" w:rsidRPr="00351552" w:rsidRDefault="008B0834" w:rsidP="00147B8C">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795" w:type="dxa"/>
                            <w:tcBorders>
                              <w:left w:val="single" w:sz="4" w:space="0" w:color="auto"/>
                              <w:right w:val="single" w:sz="4" w:space="0" w:color="auto"/>
                            </w:tcBorders>
                          </w:tcPr>
                          <w:p w14:paraId="34F6D450"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3.5%</w:t>
                            </w:r>
                          </w:p>
                        </w:tc>
                        <w:tc>
                          <w:tcPr>
                            <w:tcW w:w="1128" w:type="dxa"/>
                            <w:tcBorders>
                              <w:left w:val="single" w:sz="4" w:space="0" w:color="auto"/>
                              <w:right w:val="single" w:sz="4" w:space="0" w:color="auto"/>
                            </w:tcBorders>
                          </w:tcPr>
                          <w:p w14:paraId="7C3BCB77"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-0.1pp</w:t>
                            </w:r>
                          </w:p>
                        </w:tc>
                        <w:tc>
                          <w:tcPr>
                            <w:tcW w:w="0" w:type="auto"/>
                            <w:tcBorders>
                              <w:left w:val="single" w:sz="4" w:space="0" w:color="auto"/>
                              <w:right w:val="single" w:sz="4" w:space="0" w:color="auto"/>
                            </w:tcBorders>
                          </w:tcPr>
                          <w:p w14:paraId="1CF97C3C" w14:textId="77777777" w:rsidR="008B0834" w:rsidRPr="00351552" w:rsidRDefault="008B0834" w:rsidP="00147B8C">
                            <w:pPr>
                              <w:spacing w:line="360" w:lineRule="auto"/>
                              <w:jc w:val="right"/>
                              <w:rPr>
                                <w:rFonts w:cstheme="minorHAnsi"/>
                                <w:color w:val="000000" w:themeColor="text1"/>
                                <w:sz w:val="13"/>
                                <w:szCs w:val="13"/>
                              </w:rPr>
                            </w:pPr>
                          </w:p>
                        </w:tc>
                        <w:tc>
                          <w:tcPr>
                            <w:tcW w:w="0" w:type="auto"/>
                            <w:tcBorders>
                              <w:right w:val="single" w:sz="4" w:space="0" w:color="auto"/>
                            </w:tcBorders>
                          </w:tcPr>
                          <w:p w14:paraId="2A1FC1C5" w14:textId="77777777" w:rsidR="008B0834" w:rsidRPr="00EE46E2" w:rsidRDefault="008B0834" w:rsidP="00147B8C">
                            <w:pPr>
                              <w:rPr>
                                <w:rFonts w:cstheme="minorHAnsi"/>
                                <w:sz w:val="13"/>
                                <w:szCs w:val="13"/>
                              </w:rPr>
                            </w:pPr>
                          </w:p>
                        </w:tc>
                        <w:tc>
                          <w:tcPr>
                            <w:tcW w:w="0" w:type="auto"/>
                            <w:tcBorders>
                              <w:left w:val="single" w:sz="4" w:space="0" w:color="auto"/>
                              <w:right w:val="single" w:sz="4" w:space="0" w:color="auto"/>
                            </w:tcBorders>
                          </w:tcPr>
                          <w:p w14:paraId="1F597058" w14:textId="77777777" w:rsidR="008B0834" w:rsidRPr="00351552" w:rsidRDefault="008B0834" w:rsidP="00627F35">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0" w:type="auto"/>
                            <w:tcBorders>
                              <w:left w:val="single" w:sz="4" w:space="0" w:color="auto"/>
                              <w:right w:val="single" w:sz="4" w:space="0" w:color="auto"/>
                            </w:tcBorders>
                          </w:tcPr>
                          <w:p w14:paraId="4537A846"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2.8%</w:t>
                            </w:r>
                          </w:p>
                        </w:tc>
                        <w:tc>
                          <w:tcPr>
                            <w:tcW w:w="0" w:type="auto"/>
                            <w:tcBorders>
                              <w:left w:val="single" w:sz="4" w:space="0" w:color="auto"/>
                              <w:right w:val="single" w:sz="4" w:space="0" w:color="auto"/>
                            </w:tcBorders>
                          </w:tcPr>
                          <w:p w14:paraId="033F6A23"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-0.0pp</w:t>
                            </w:r>
                          </w:p>
                        </w:tc>
                        <w:tc>
                          <w:tcPr>
                            <w:tcW w:w="0" w:type="auto"/>
                            <w:tcBorders>
                              <w:left w:val="single" w:sz="4" w:space="0" w:color="auto"/>
                              <w:right w:val="single" w:sz="4" w:space="0" w:color="auto"/>
                            </w:tcBorders>
                          </w:tcPr>
                          <w:p w14:paraId="32D778FD" w14:textId="77777777" w:rsidR="008B0834" w:rsidRPr="00351552" w:rsidRDefault="008B0834" w:rsidP="00147B8C">
                            <w:pPr>
                              <w:spacing w:line="360" w:lineRule="auto"/>
                              <w:jc w:val="right"/>
                              <w:rPr>
                                <w:rFonts w:cstheme="minorHAnsi"/>
                                <w:color w:val="000000" w:themeColor="text1"/>
                                <w:sz w:val="13"/>
                                <w:szCs w:val="13"/>
                              </w:rPr>
                            </w:pPr>
                          </w:p>
                        </w:tc>
                      </w:tr>
                      <w:tr w:rsidR="008B0834" w:rsidRPr="008536A7" w14:paraId="2F6DFEAC" w14:textId="77777777" w:rsidTr="00DA5BE3">
                        <w:tc>
                          <w:tcPr>
                            <w:tcW w:w="0" w:type="auto"/>
                            <w:tcBorders>
                              <w:left w:val="single" w:sz="4" w:space="0" w:color="auto"/>
                              <w:right w:val="single" w:sz="4" w:space="0" w:color="auto"/>
                            </w:tcBorders>
                          </w:tcPr>
                          <w:p w14:paraId="08F0845B" w14:textId="77777777" w:rsidR="008B0834" w:rsidRPr="00351552" w:rsidRDefault="008B0834" w:rsidP="00F62810">
                            <w:pPr>
                              <w:spacing w:line="360" w:lineRule="auto"/>
                              <w:rPr>
                                <w:rFonts w:cstheme="minorHAnsi"/>
                                <w:color w:val="000000" w:themeColor="text1"/>
                                <w:sz w:val="13"/>
                                <w:szCs w:val="13"/>
                              </w:rPr>
                            </w:pPr>
                            <w:r w:rsidRPr="00351552">
                              <w:rPr>
                                <w:rFonts w:cstheme="minorHAnsi"/>
                                <w:color w:val="000000" w:themeColor="text1"/>
                                <w:sz w:val="12"/>
                                <w:szCs w:val="12"/>
                              </w:rPr>
                              <w:t>Minerals &amp; petroleum sales: 2022-23</w:t>
                            </w:r>
                          </w:p>
                        </w:tc>
                        <w:tc>
                          <w:tcPr>
                            <w:tcW w:w="795" w:type="dxa"/>
                            <w:tcBorders>
                              <w:left w:val="single" w:sz="4" w:space="0" w:color="auto"/>
                              <w:right w:val="single" w:sz="4" w:space="0" w:color="auto"/>
                            </w:tcBorders>
                          </w:tcPr>
                          <w:p w14:paraId="0E124DD6" w14:textId="77777777" w:rsidR="008B0834" w:rsidRPr="00351552" w:rsidRDefault="008B0834" w:rsidP="00E82A74">
                            <w:pPr>
                              <w:spacing w:line="360" w:lineRule="auto"/>
                              <w:jc w:val="right"/>
                              <w:rPr>
                                <w:rFonts w:cstheme="minorHAnsi"/>
                                <w:color w:val="000000" w:themeColor="text1"/>
                                <w:sz w:val="13"/>
                                <w:szCs w:val="13"/>
                              </w:rPr>
                            </w:pPr>
                            <w:r w:rsidRPr="00351552">
                              <w:rPr>
                                <w:rFonts w:cstheme="minorHAnsi"/>
                                <w:color w:val="000000" w:themeColor="text1"/>
                                <w:sz w:val="13"/>
                                <w:szCs w:val="13"/>
                              </w:rPr>
                              <w:t>$215.5m</w:t>
                            </w:r>
                          </w:p>
                        </w:tc>
                        <w:tc>
                          <w:tcPr>
                            <w:tcW w:w="1128" w:type="dxa"/>
                            <w:tcBorders>
                              <w:left w:val="single" w:sz="4" w:space="0" w:color="auto"/>
                              <w:right w:val="single" w:sz="4" w:space="0" w:color="auto"/>
                            </w:tcBorders>
                          </w:tcPr>
                          <w:p w14:paraId="6F40B5C0" w14:textId="77777777" w:rsidR="008B0834" w:rsidRPr="00351552" w:rsidRDefault="008B0834" w:rsidP="00360356">
                            <w:pPr>
                              <w:spacing w:line="360" w:lineRule="auto"/>
                              <w:jc w:val="right"/>
                              <w:rPr>
                                <w:rFonts w:cstheme="minorHAnsi"/>
                                <w:color w:val="000000" w:themeColor="text1"/>
                                <w:sz w:val="13"/>
                                <w:szCs w:val="13"/>
                              </w:rPr>
                            </w:pPr>
                            <w:r w:rsidRPr="00351552">
                              <w:rPr>
                                <w:rFonts w:cstheme="minorHAnsi"/>
                                <w:color w:val="000000" w:themeColor="text1"/>
                                <w:sz w:val="13"/>
                                <w:szCs w:val="13"/>
                              </w:rPr>
                              <w:t>+71.3%</w:t>
                            </w:r>
                          </w:p>
                        </w:tc>
                        <w:tc>
                          <w:tcPr>
                            <w:tcW w:w="0" w:type="auto"/>
                            <w:tcBorders>
                              <w:left w:val="single" w:sz="4" w:space="0" w:color="auto"/>
                              <w:right w:val="single" w:sz="4" w:space="0" w:color="auto"/>
                            </w:tcBorders>
                          </w:tcPr>
                          <w:p w14:paraId="20896AA2" w14:textId="77777777" w:rsidR="008B0834" w:rsidRPr="00351552" w:rsidRDefault="008B0834" w:rsidP="00F62810">
                            <w:pPr>
                              <w:spacing w:line="360" w:lineRule="auto"/>
                              <w:jc w:val="right"/>
                              <w:rPr>
                                <w:rFonts w:cstheme="minorHAnsi"/>
                                <w:color w:val="000000" w:themeColor="text1"/>
                                <w:sz w:val="13"/>
                                <w:szCs w:val="13"/>
                              </w:rPr>
                            </w:pPr>
                            <w:r w:rsidRPr="00351552">
                              <w:rPr>
                                <w:rFonts w:cstheme="minorHAnsi"/>
                                <w:color w:val="000000" w:themeColor="text1"/>
                                <w:sz w:val="13"/>
                                <w:szCs w:val="13"/>
                              </w:rPr>
                              <w:t>0.1%</w:t>
                            </w:r>
                          </w:p>
                        </w:tc>
                        <w:tc>
                          <w:tcPr>
                            <w:tcW w:w="0" w:type="auto"/>
                            <w:tcBorders>
                              <w:right w:val="single" w:sz="4" w:space="0" w:color="auto"/>
                            </w:tcBorders>
                          </w:tcPr>
                          <w:p w14:paraId="52CC8146" w14:textId="77777777" w:rsidR="008B0834" w:rsidRPr="00DE6518" w:rsidRDefault="008B0834" w:rsidP="00F62810">
                            <w:pPr>
                              <w:rPr>
                                <w:rFonts w:cstheme="minorHAnsi"/>
                                <w:sz w:val="13"/>
                                <w:szCs w:val="13"/>
                              </w:rPr>
                            </w:pPr>
                          </w:p>
                        </w:tc>
                        <w:tc>
                          <w:tcPr>
                            <w:tcW w:w="0" w:type="auto"/>
                            <w:tcBorders>
                              <w:left w:val="single" w:sz="4" w:space="0" w:color="auto"/>
                              <w:right w:val="single" w:sz="4" w:space="0" w:color="auto"/>
                            </w:tcBorders>
                          </w:tcPr>
                          <w:p w14:paraId="0A882BA8" w14:textId="77777777" w:rsidR="008B0834" w:rsidRPr="00351552" w:rsidRDefault="008B0834" w:rsidP="005B5207">
                            <w:pPr>
                              <w:spacing w:line="360" w:lineRule="auto"/>
                              <w:rPr>
                                <w:rFonts w:cstheme="minorHAnsi"/>
                                <w:color w:val="000000" w:themeColor="text1"/>
                                <w:sz w:val="13"/>
                                <w:szCs w:val="13"/>
                              </w:rPr>
                            </w:pPr>
                            <w:r w:rsidRPr="00351552">
                              <w:rPr>
                                <w:rFonts w:cstheme="minorHAnsi"/>
                                <w:color w:val="000000" w:themeColor="text1"/>
                                <w:sz w:val="12"/>
                                <w:szCs w:val="12"/>
                              </w:rPr>
                              <w:t>Minerals &amp; petroleum sales: 2022-23</w:t>
                            </w:r>
                          </w:p>
                        </w:tc>
                        <w:tc>
                          <w:tcPr>
                            <w:tcW w:w="0" w:type="auto"/>
                            <w:tcBorders>
                              <w:left w:val="single" w:sz="4" w:space="0" w:color="auto"/>
                              <w:right w:val="single" w:sz="4" w:space="0" w:color="auto"/>
                            </w:tcBorders>
                          </w:tcPr>
                          <w:p w14:paraId="24FF7B9D" w14:textId="77777777" w:rsidR="008B0834" w:rsidRPr="00351552" w:rsidRDefault="008B0834" w:rsidP="00E82A74">
                            <w:pPr>
                              <w:spacing w:line="360" w:lineRule="auto"/>
                              <w:jc w:val="right"/>
                              <w:rPr>
                                <w:rFonts w:cstheme="minorHAnsi"/>
                                <w:color w:val="000000" w:themeColor="text1"/>
                                <w:sz w:val="13"/>
                                <w:szCs w:val="13"/>
                              </w:rPr>
                            </w:pPr>
                            <w:r w:rsidRPr="00351552">
                              <w:rPr>
                                <w:rFonts w:cstheme="minorHAnsi"/>
                                <w:color w:val="000000" w:themeColor="text1"/>
                                <w:sz w:val="13"/>
                                <w:szCs w:val="13"/>
                              </w:rPr>
                              <w:t>$4.4b</w:t>
                            </w:r>
                          </w:p>
                        </w:tc>
                        <w:tc>
                          <w:tcPr>
                            <w:tcW w:w="0" w:type="auto"/>
                            <w:tcBorders>
                              <w:left w:val="single" w:sz="4" w:space="0" w:color="auto"/>
                              <w:right w:val="single" w:sz="4" w:space="0" w:color="auto"/>
                            </w:tcBorders>
                          </w:tcPr>
                          <w:p w14:paraId="7835F69F" w14:textId="77777777" w:rsidR="008B0834" w:rsidRPr="00351552" w:rsidRDefault="008B0834" w:rsidP="00AD12B1">
                            <w:pPr>
                              <w:spacing w:line="360" w:lineRule="auto"/>
                              <w:jc w:val="right"/>
                              <w:rPr>
                                <w:rFonts w:cstheme="minorHAnsi"/>
                                <w:color w:val="000000" w:themeColor="text1"/>
                                <w:sz w:val="13"/>
                                <w:szCs w:val="13"/>
                              </w:rPr>
                            </w:pPr>
                            <w:r w:rsidRPr="00351552">
                              <w:rPr>
                                <w:rFonts w:cstheme="minorHAnsi"/>
                                <w:color w:val="000000" w:themeColor="text1"/>
                                <w:sz w:val="13"/>
                                <w:szCs w:val="13"/>
                              </w:rPr>
                              <w:t>-12.7%</w:t>
                            </w:r>
                          </w:p>
                        </w:tc>
                        <w:tc>
                          <w:tcPr>
                            <w:tcW w:w="0" w:type="auto"/>
                            <w:tcBorders>
                              <w:left w:val="single" w:sz="4" w:space="0" w:color="auto"/>
                              <w:right w:val="single" w:sz="4" w:space="0" w:color="auto"/>
                            </w:tcBorders>
                          </w:tcPr>
                          <w:p w14:paraId="494321A1" w14:textId="77777777" w:rsidR="008B0834" w:rsidRPr="00351552" w:rsidRDefault="008B0834" w:rsidP="00E82A74">
                            <w:pPr>
                              <w:spacing w:line="360" w:lineRule="auto"/>
                              <w:jc w:val="right"/>
                              <w:rPr>
                                <w:rFonts w:cstheme="minorHAnsi"/>
                                <w:color w:val="000000" w:themeColor="text1"/>
                                <w:sz w:val="13"/>
                                <w:szCs w:val="13"/>
                              </w:rPr>
                            </w:pPr>
                            <w:r w:rsidRPr="00351552">
                              <w:rPr>
                                <w:rFonts w:cstheme="minorHAnsi"/>
                                <w:color w:val="000000" w:themeColor="text1"/>
                                <w:sz w:val="13"/>
                                <w:szCs w:val="13"/>
                              </w:rPr>
                              <w:t>1.7%</w:t>
                            </w:r>
                          </w:p>
                        </w:tc>
                      </w:tr>
                      <w:tr w:rsidR="008B0834" w:rsidRPr="008536A7" w14:paraId="1A0A8AE5" w14:textId="77777777" w:rsidTr="00DA5BE3">
                        <w:tc>
                          <w:tcPr>
                            <w:tcW w:w="0" w:type="auto"/>
                            <w:tcBorders>
                              <w:left w:val="single" w:sz="4" w:space="0" w:color="auto"/>
                              <w:right w:val="single" w:sz="4" w:space="0" w:color="auto"/>
                            </w:tcBorders>
                          </w:tcPr>
                          <w:p w14:paraId="29CFD684" w14:textId="77777777" w:rsidR="008B0834" w:rsidRPr="001B3607" w:rsidRDefault="008B0834" w:rsidP="005A6E7F">
                            <w:pPr>
                              <w:spacing w:line="360" w:lineRule="auto"/>
                              <w:rPr>
                                <w:rFonts w:cstheme="minorHAnsi"/>
                                <w:sz w:val="13"/>
                                <w:szCs w:val="13"/>
                              </w:rPr>
                            </w:pPr>
                            <w:r w:rsidRPr="001B3607">
                              <w:rPr>
                                <w:rFonts w:cstheme="minorHAnsi"/>
                                <w:sz w:val="13"/>
                                <w:szCs w:val="13"/>
                              </w:rPr>
                              <w:t xml:space="preserve">Building approvals: </w:t>
                            </w:r>
                            <w:r w:rsidRPr="00EA3F30">
                              <w:rPr>
                                <w:rFonts w:cstheme="minorHAnsi"/>
                                <w:sz w:val="13"/>
                                <w:szCs w:val="13"/>
                              </w:rPr>
                              <w:t>2022-23</w:t>
                            </w:r>
                          </w:p>
                        </w:tc>
                        <w:tc>
                          <w:tcPr>
                            <w:tcW w:w="795" w:type="dxa"/>
                            <w:tcBorders>
                              <w:left w:val="single" w:sz="4" w:space="0" w:color="auto"/>
                              <w:right w:val="single" w:sz="4" w:space="0" w:color="auto"/>
                            </w:tcBorders>
                          </w:tcPr>
                          <w:p w14:paraId="25654B1D" w14:textId="77777777" w:rsidR="008B0834" w:rsidRPr="001B3607" w:rsidRDefault="008B0834" w:rsidP="00F62810">
                            <w:pPr>
                              <w:spacing w:line="360" w:lineRule="auto"/>
                              <w:jc w:val="right"/>
                              <w:rPr>
                                <w:rFonts w:cstheme="minorHAnsi"/>
                                <w:sz w:val="13"/>
                                <w:szCs w:val="13"/>
                              </w:rPr>
                            </w:pPr>
                            <w:r w:rsidRPr="001B3607">
                              <w:rPr>
                                <w:rFonts w:cstheme="minorHAnsi"/>
                                <w:sz w:val="13"/>
                                <w:szCs w:val="13"/>
                              </w:rPr>
                              <w:t>$</w:t>
                            </w:r>
                            <w:r w:rsidRPr="00EA3F30">
                              <w:rPr>
                                <w:rFonts w:cstheme="minorHAnsi"/>
                                <w:sz w:val="13"/>
                                <w:szCs w:val="13"/>
                              </w:rPr>
                              <w:t>72</w:t>
                            </w:r>
                            <w:r w:rsidRPr="001B3607">
                              <w:rPr>
                                <w:rFonts w:cstheme="minorHAnsi"/>
                                <w:sz w:val="13"/>
                                <w:szCs w:val="13"/>
                              </w:rPr>
                              <w:t>m</w:t>
                            </w:r>
                          </w:p>
                        </w:tc>
                        <w:tc>
                          <w:tcPr>
                            <w:tcW w:w="1128" w:type="dxa"/>
                            <w:tcBorders>
                              <w:left w:val="single" w:sz="4" w:space="0" w:color="auto"/>
                              <w:right w:val="single" w:sz="4" w:space="0" w:color="auto"/>
                            </w:tcBorders>
                          </w:tcPr>
                          <w:p w14:paraId="39FF641D" w14:textId="77777777" w:rsidR="008B0834" w:rsidRPr="001B3607" w:rsidRDefault="008B0834" w:rsidP="00F62810">
                            <w:pPr>
                              <w:spacing w:line="360" w:lineRule="auto"/>
                              <w:jc w:val="right"/>
                              <w:rPr>
                                <w:rFonts w:cstheme="minorHAnsi"/>
                                <w:sz w:val="13"/>
                                <w:szCs w:val="13"/>
                              </w:rPr>
                            </w:pPr>
                            <w:r w:rsidRPr="00EA3F30">
                              <w:rPr>
                                <w:rFonts w:cstheme="minorHAnsi"/>
                                <w:sz w:val="13"/>
                                <w:szCs w:val="13"/>
                              </w:rPr>
                              <w:t>-30.9</w:t>
                            </w:r>
                            <w:r w:rsidRPr="001B3607">
                              <w:rPr>
                                <w:rFonts w:cstheme="minorHAnsi"/>
                                <w:sz w:val="13"/>
                                <w:szCs w:val="13"/>
                              </w:rPr>
                              <w:t>%</w:t>
                            </w:r>
                          </w:p>
                        </w:tc>
                        <w:tc>
                          <w:tcPr>
                            <w:tcW w:w="0" w:type="auto"/>
                            <w:tcBorders>
                              <w:left w:val="single" w:sz="4" w:space="0" w:color="auto"/>
                              <w:right w:val="single" w:sz="4" w:space="0" w:color="auto"/>
                            </w:tcBorders>
                          </w:tcPr>
                          <w:p w14:paraId="15B07871" w14:textId="77777777" w:rsidR="008B0834" w:rsidRPr="001B3607" w:rsidRDefault="008B0834" w:rsidP="00F62810">
                            <w:pPr>
                              <w:spacing w:line="360" w:lineRule="auto"/>
                              <w:jc w:val="right"/>
                              <w:rPr>
                                <w:rFonts w:cstheme="minorHAnsi"/>
                                <w:sz w:val="13"/>
                                <w:szCs w:val="13"/>
                              </w:rPr>
                            </w:pPr>
                            <w:r w:rsidRPr="001B3607">
                              <w:rPr>
                                <w:rFonts w:cstheme="minorHAnsi"/>
                                <w:sz w:val="13"/>
                                <w:szCs w:val="13"/>
                              </w:rPr>
                              <w:t>0.</w:t>
                            </w:r>
                            <w:r w:rsidRPr="00EA3F30">
                              <w:rPr>
                                <w:rFonts w:cstheme="minorHAnsi"/>
                                <w:sz w:val="13"/>
                                <w:szCs w:val="13"/>
                              </w:rPr>
                              <w:t>6</w:t>
                            </w:r>
                            <w:r w:rsidRPr="001B3607">
                              <w:rPr>
                                <w:rFonts w:cstheme="minorHAnsi"/>
                                <w:sz w:val="13"/>
                                <w:szCs w:val="13"/>
                              </w:rPr>
                              <w:t>%</w:t>
                            </w:r>
                          </w:p>
                        </w:tc>
                        <w:tc>
                          <w:tcPr>
                            <w:tcW w:w="0" w:type="auto"/>
                            <w:tcBorders>
                              <w:right w:val="single" w:sz="4" w:space="0" w:color="auto"/>
                            </w:tcBorders>
                          </w:tcPr>
                          <w:p w14:paraId="2E093A9A" w14:textId="77777777" w:rsidR="008B0834" w:rsidRPr="00BD3DB6" w:rsidRDefault="008B0834" w:rsidP="00F62810">
                            <w:pPr>
                              <w:rPr>
                                <w:rFonts w:cstheme="minorHAnsi"/>
                                <w:sz w:val="13"/>
                                <w:szCs w:val="13"/>
                              </w:rPr>
                            </w:pPr>
                          </w:p>
                        </w:tc>
                        <w:tc>
                          <w:tcPr>
                            <w:tcW w:w="0" w:type="auto"/>
                            <w:tcBorders>
                              <w:left w:val="single" w:sz="4" w:space="0" w:color="auto"/>
                              <w:right w:val="single" w:sz="4" w:space="0" w:color="auto"/>
                            </w:tcBorders>
                          </w:tcPr>
                          <w:p w14:paraId="3319FE96" w14:textId="77777777" w:rsidR="008B0834" w:rsidRPr="001B3607" w:rsidRDefault="008B0834" w:rsidP="005A6E7F">
                            <w:pPr>
                              <w:spacing w:line="360" w:lineRule="auto"/>
                              <w:rPr>
                                <w:rFonts w:cstheme="minorHAnsi"/>
                                <w:sz w:val="13"/>
                                <w:szCs w:val="13"/>
                              </w:rPr>
                            </w:pPr>
                            <w:r w:rsidRPr="001B3607">
                              <w:rPr>
                                <w:rFonts w:cstheme="minorHAnsi"/>
                                <w:sz w:val="13"/>
                                <w:szCs w:val="13"/>
                              </w:rPr>
                              <w:t xml:space="preserve">Building approvals: </w:t>
                            </w:r>
                            <w:r w:rsidRPr="00EA3F30">
                              <w:rPr>
                                <w:rFonts w:cstheme="minorHAnsi"/>
                                <w:sz w:val="13"/>
                                <w:szCs w:val="13"/>
                              </w:rPr>
                              <w:t>2022-23</w:t>
                            </w:r>
                          </w:p>
                        </w:tc>
                        <w:tc>
                          <w:tcPr>
                            <w:tcW w:w="0" w:type="auto"/>
                            <w:tcBorders>
                              <w:left w:val="single" w:sz="4" w:space="0" w:color="auto"/>
                              <w:right w:val="single" w:sz="4" w:space="0" w:color="auto"/>
                            </w:tcBorders>
                          </w:tcPr>
                          <w:p w14:paraId="074895C4" w14:textId="77777777" w:rsidR="008B0834" w:rsidRPr="001B3607" w:rsidRDefault="008B0834" w:rsidP="00F62810">
                            <w:pPr>
                              <w:spacing w:line="360" w:lineRule="auto"/>
                              <w:jc w:val="right"/>
                              <w:rPr>
                                <w:rFonts w:cstheme="minorHAnsi"/>
                                <w:sz w:val="13"/>
                                <w:szCs w:val="13"/>
                              </w:rPr>
                            </w:pPr>
                            <w:r w:rsidRPr="001B3607">
                              <w:rPr>
                                <w:rFonts w:cstheme="minorHAnsi"/>
                                <w:sz w:val="13"/>
                                <w:szCs w:val="13"/>
                              </w:rPr>
                              <w:t>$</w:t>
                            </w:r>
                            <w:r w:rsidRPr="00EA3F30">
                              <w:rPr>
                                <w:rFonts w:cstheme="minorHAnsi"/>
                                <w:sz w:val="13"/>
                                <w:szCs w:val="13"/>
                              </w:rPr>
                              <w:t>191</w:t>
                            </w:r>
                            <w:r w:rsidRPr="001B3607">
                              <w:rPr>
                                <w:rFonts w:cstheme="minorHAnsi"/>
                                <w:sz w:val="13"/>
                                <w:szCs w:val="13"/>
                              </w:rPr>
                              <w:t>m</w:t>
                            </w:r>
                          </w:p>
                        </w:tc>
                        <w:tc>
                          <w:tcPr>
                            <w:tcW w:w="0" w:type="auto"/>
                            <w:tcBorders>
                              <w:left w:val="single" w:sz="4" w:space="0" w:color="auto"/>
                              <w:right w:val="single" w:sz="4" w:space="0" w:color="auto"/>
                            </w:tcBorders>
                          </w:tcPr>
                          <w:p w14:paraId="06A62872" w14:textId="77777777" w:rsidR="008B0834" w:rsidRPr="001B3607" w:rsidRDefault="008B0834" w:rsidP="009D2650">
                            <w:pPr>
                              <w:spacing w:line="360" w:lineRule="auto"/>
                              <w:jc w:val="right"/>
                              <w:rPr>
                                <w:rFonts w:cstheme="minorHAnsi"/>
                                <w:sz w:val="13"/>
                                <w:szCs w:val="13"/>
                              </w:rPr>
                            </w:pPr>
                            <w:r w:rsidRPr="00EA3F30">
                              <w:rPr>
                                <w:rFonts w:cstheme="minorHAnsi"/>
                                <w:sz w:val="13"/>
                                <w:szCs w:val="13"/>
                              </w:rPr>
                              <w:t>-18.5</w:t>
                            </w:r>
                            <w:r w:rsidRPr="001B3607">
                              <w:rPr>
                                <w:rFonts w:cstheme="minorHAnsi"/>
                                <w:sz w:val="13"/>
                                <w:szCs w:val="13"/>
                              </w:rPr>
                              <w:t>%</w:t>
                            </w:r>
                          </w:p>
                        </w:tc>
                        <w:tc>
                          <w:tcPr>
                            <w:tcW w:w="0" w:type="auto"/>
                            <w:tcBorders>
                              <w:left w:val="single" w:sz="4" w:space="0" w:color="auto"/>
                              <w:right w:val="single" w:sz="4" w:space="0" w:color="auto"/>
                            </w:tcBorders>
                          </w:tcPr>
                          <w:p w14:paraId="2F6A3F48" w14:textId="77777777" w:rsidR="008B0834" w:rsidRPr="001B3607" w:rsidRDefault="008B0834" w:rsidP="00D4356E">
                            <w:pPr>
                              <w:spacing w:line="360" w:lineRule="auto"/>
                              <w:jc w:val="right"/>
                              <w:rPr>
                                <w:rFonts w:cstheme="minorHAnsi"/>
                                <w:sz w:val="13"/>
                                <w:szCs w:val="13"/>
                              </w:rPr>
                            </w:pPr>
                            <w:r w:rsidRPr="001B3607">
                              <w:rPr>
                                <w:rFonts w:cstheme="minorHAnsi"/>
                                <w:sz w:val="13"/>
                                <w:szCs w:val="13"/>
                              </w:rPr>
                              <w:t>1.</w:t>
                            </w:r>
                            <w:r w:rsidRPr="00EA3F30">
                              <w:rPr>
                                <w:rFonts w:cstheme="minorHAnsi"/>
                                <w:sz w:val="13"/>
                                <w:szCs w:val="13"/>
                              </w:rPr>
                              <w:t>7</w:t>
                            </w:r>
                            <w:r w:rsidRPr="001B3607">
                              <w:rPr>
                                <w:rFonts w:cstheme="minorHAnsi"/>
                                <w:sz w:val="13"/>
                                <w:szCs w:val="13"/>
                              </w:rPr>
                              <w:t>%</w:t>
                            </w:r>
                          </w:p>
                        </w:tc>
                      </w:tr>
                      <w:tr w:rsidR="008B0834" w:rsidRPr="008536A7" w14:paraId="38550DBA" w14:textId="77777777" w:rsidTr="00DA5BE3">
                        <w:tc>
                          <w:tcPr>
                            <w:tcW w:w="0" w:type="auto"/>
                            <w:tcBorders>
                              <w:left w:val="single" w:sz="4" w:space="0" w:color="auto"/>
                              <w:bottom w:val="single" w:sz="4" w:space="0" w:color="auto"/>
                              <w:right w:val="single" w:sz="4" w:space="0" w:color="auto"/>
                            </w:tcBorders>
                          </w:tcPr>
                          <w:p w14:paraId="217F2F96" w14:textId="77777777" w:rsidR="008B0834" w:rsidRPr="008809A4" w:rsidRDefault="008B0834" w:rsidP="00F62810">
                            <w:pPr>
                              <w:spacing w:line="360" w:lineRule="auto"/>
                              <w:rPr>
                                <w:rFonts w:cstheme="minorHAnsi"/>
                                <w:sz w:val="13"/>
                                <w:szCs w:val="13"/>
                              </w:rPr>
                            </w:pPr>
                            <w:r w:rsidRPr="008809A4">
                              <w:rPr>
                                <w:rFonts w:cstheme="minorHAnsi"/>
                                <w:sz w:val="13"/>
                                <w:szCs w:val="13"/>
                              </w:rPr>
                              <w:t>Overnight visitors a year: 2020-22</w:t>
                            </w:r>
                          </w:p>
                        </w:tc>
                        <w:tc>
                          <w:tcPr>
                            <w:tcW w:w="795" w:type="dxa"/>
                            <w:tcBorders>
                              <w:left w:val="single" w:sz="4" w:space="0" w:color="auto"/>
                              <w:bottom w:val="single" w:sz="4" w:space="0" w:color="auto"/>
                              <w:right w:val="single" w:sz="4" w:space="0" w:color="auto"/>
                            </w:tcBorders>
                          </w:tcPr>
                          <w:p w14:paraId="27515068" w14:textId="77777777" w:rsidR="008B0834" w:rsidRPr="008809A4" w:rsidRDefault="008B0834" w:rsidP="00821D16">
                            <w:pPr>
                              <w:spacing w:line="360" w:lineRule="auto"/>
                              <w:jc w:val="right"/>
                              <w:rPr>
                                <w:rFonts w:cstheme="minorHAnsi"/>
                                <w:sz w:val="13"/>
                                <w:szCs w:val="13"/>
                              </w:rPr>
                            </w:pPr>
                            <w:r w:rsidRPr="008809A4">
                              <w:rPr>
                                <w:rFonts w:cstheme="minorHAnsi"/>
                                <w:sz w:val="13"/>
                                <w:szCs w:val="13"/>
                              </w:rPr>
                              <w:t>311,000</w:t>
                            </w:r>
                          </w:p>
                        </w:tc>
                        <w:tc>
                          <w:tcPr>
                            <w:tcW w:w="1128" w:type="dxa"/>
                            <w:tcBorders>
                              <w:left w:val="single" w:sz="4" w:space="0" w:color="auto"/>
                              <w:bottom w:val="single" w:sz="4" w:space="0" w:color="auto"/>
                              <w:right w:val="single" w:sz="4" w:space="0" w:color="auto"/>
                            </w:tcBorders>
                          </w:tcPr>
                          <w:p w14:paraId="7586611F" w14:textId="77777777" w:rsidR="008B0834" w:rsidRPr="008809A4" w:rsidRDefault="008B0834" w:rsidP="00F62810">
                            <w:pPr>
                              <w:spacing w:line="360" w:lineRule="auto"/>
                              <w:jc w:val="right"/>
                              <w:rPr>
                                <w:rFonts w:cstheme="minorHAnsi"/>
                                <w:sz w:val="13"/>
                                <w:szCs w:val="13"/>
                              </w:rPr>
                            </w:pPr>
                          </w:p>
                        </w:tc>
                        <w:tc>
                          <w:tcPr>
                            <w:tcW w:w="0" w:type="auto"/>
                            <w:tcBorders>
                              <w:left w:val="single" w:sz="4" w:space="0" w:color="auto"/>
                              <w:bottom w:val="single" w:sz="4" w:space="0" w:color="auto"/>
                              <w:right w:val="single" w:sz="4" w:space="0" w:color="auto"/>
                            </w:tcBorders>
                          </w:tcPr>
                          <w:p w14:paraId="3F48DD12"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2.9%</w:t>
                            </w:r>
                          </w:p>
                        </w:tc>
                        <w:tc>
                          <w:tcPr>
                            <w:tcW w:w="0" w:type="auto"/>
                            <w:tcBorders>
                              <w:right w:val="single" w:sz="4" w:space="0" w:color="auto"/>
                            </w:tcBorders>
                          </w:tcPr>
                          <w:p w14:paraId="6955CA49" w14:textId="77777777" w:rsidR="008B0834" w:rsidRPr="00EE46E2" w:rsidRDefault="008B0834" w:rsidP="00F62810">
                            <w:pPr>
                              <w:rPr>
                                <w:rFonts w:cstheme="minorHAnsi"/>
                                <w:sz w:val="13"/>
                                <w:szCs w:val="13"/>
                              </w:rPr>
                            </w:pPr>
                          </w:p>
                        </w:tc>
                        <w:tc>
                          <w:tcPr>
                            <w:tcW w:w="0" w:type="auto"/>
                            <w:tcBorders>
                              <w:left w:val="single" w:sz="4" w:space="0" w:color="auto"/>
                              <w:bottom w:val="single" w:sz="4" w:space="0" w:color="auto"/>
                              <w:right w:val="single" w:sz="4" w:space="0" w:color="auto"/>
                            </w:tcBorders>
                          </w:tcPr>
                          <w:p w14:paraId="1B3E4F0E" w14:textId="77777777" w:rsidR="008B0834" w:rsidRPr="008809A4" w:rsidRDefault="008B0834" w:rsidP="00F62810">
                            <w:pPr>
                              <w:spacing w:line="360" w:lineRule="auto"/>
                              <w:rPr>
                                <w:rFonts w:cstheme="minorHAnsi"/>
                                <w:sz w:val="13"/>
                                <w:szCs w:val="13"/>
                              </w:rPr>
                            </w:pPr>
                            <w:r w:rsidRPr="008809A4">
                              <w:rPr>
                                <w:rFonts w:cstheme="minorHAnsi"/>
                                <w:sz w:val="13"/>
                                <w:szCs w:val="13"/>
                              </w:rPr>
                              <w:t>Overnight visitors a year: 2020-22</w:t>
                            </w:r>
                          </w:p>
                        </w:tc>
                        <w:tc>
                          <w:tcPr>
                            <w:tcW w:w="0" w:type="auto"/>
                            <w:tcBorders>
                              <w:left w:val="single" w:sz="4" w:space="0" w:color="auto"/>
                              <w:bottom w:val="single" w:sz="4" w:space="0" w:color="auto"/>
                              <w:right w:val="single" w:sz="4" w:space="0" w:color="auto"/>
                            </w:tcBorders>
                          </w:tcPr>
                          <w:p w14:paraId="406B7B37"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652,000</w:t>
                            </w:r>
                          </w:p>
                        </w:tc>
                        <w:tc>
                          <w:tcPr>
                            <w:tcW w:w="0" w:type="auto"/>
                            <w:tcBorders>
                              <w:left w:val="single" w:sz="4" w:space="0" w:color="auto"/>
                              <w:bottom w:val="single" w:sz="4" w:space="0" w:color="auto"/>
                              <w:right w:val="single" w:sz="4" w:space="0" w:color="auto"/>
                            </w:tcBorders>
                          </w:tcPr>
                          <w:p w14:paraId="7662D07B" w14:textId="77777777" w:rsidR="008B0834" w:rsidRPr="008809A4" w:rsidRDefault="008B0834" w:rsidP="00F62810">
                            <w:pPr>
                              <w:spacing w:line="360" w:lineRule="auto"/>
                              <w:jc w:val="right"/>
                              <w:rPr>
                                <w:rFonts w:cstheme="minorHAnsi"/>
                                <w:sz w:val="13"/>
                                <w:szCs w:val="13"/>
                              </w:rPr>
                            </w:pPr>
                          </w:p>
                        </w:tc>
                        <w:tc>
                          <w:tcPr>
                            <w:tcW w:w="0" w:type="auto"/>
                            <w:tcBorders>
                              <w:left w:val="single" w:sz="4" w:space="0" w:color="auto"/>
                              <w:bottom w:val="single" w:sz="4" w:space="0" w:color="auto"/>
                              <w:right w:val="single" w:sz="4" w:space="0" w:color="auto"/>
                            </w:tcBorders>
                          </w:tcPr>
                          <w:p w14:paraId="47E50747"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6.0%</w:t>
                            </w:r>
                          </w:p>
                        </w:tc>
                      </w:tr>
                      <w:tr w:rsidR="008B0834" w:rsidRPr="00EE46E2" w14:paraId="5572527E" w14:textId="77777777" w:rsidTr="00DA5BE3">
                        <w:tc>
                          <w:tcPr>
                            <w:tcW w:w="0" w:type="auto"/>
                            <w:tcBorders>
                              <w:top w:val="single" w:sz="4" w:space="0" w:color="auto"/>
                            </w:tcBorders>
                          </w:tcPr>
                          <w:p w14:paraId="31FC77BB" w14:textId="77777777" w:rsidR="008B0834" w:rsidRPr="00502167" w:rsidRDefault="008B0834" w:rsidP="00A545D6">
                            <w:pPr>
                              <w:rPr>
                                <w:rFonts w:cstheme="minorHAnsi"/>
                                <w:sz w:val="9"/>
                                <w:szCs w:val="13"/>
                              </w:rPr>
                            </w:pPr>
                          </w:p>
                        </w:tc>
                        <w:tc>
                          <w:tcPr>
                            <w:tcW w:w="795" w:type="dxa"/>
                            <w:tcBorders>
                              <w:top w:val="single" w:sz="4" w:space="0" w:color="auto"/>
                            </w:tcBorders>
                          </w:tcPr>
                          <w:p w14:paraId="3D8A0EA2" w14:textId="77777777" w:rsidR="008B0834" w:rsidRPr="00EE46E2" w:rsidRDefault="008B0834" w:rsidP="00A545D6">
                            <w:pPr>
                              <w:rPr>
                                <w:rFonts w:cstheme="minorHAnsi"/>
                                <w:sz w:val="13"/>
                                <w:szCs w:val="13"/>
                              </w:rPr>
                            </w:pPr>
                          </w:p>
                        </w:tc>
                        <w:tc>
                          <w:tcPr>
                            <w:tcW w:w="1128" w:type="dxa"/>
                            <w:tcBorders>
                              <w:top w:val="single" w:sz="4" w:space="0" w:color="auto"/>
                            </w:tcBorders>
                          </w:tcPr>
                          <w:p w14:paraId="7460448D" w14:textId="77777777" w:rsidR="008B0834" w:rsidRDefault="008B0834" w:rsidP="00A545D6">
                            <w:pPr>
                              <w:rPr>
                                <w:rFonts w:cstheme="minorHAnsi"/>
                                <w:sz w:val="13"/>
                                <w:szCs w:val="13"/>
                              </w:rPr>
                            </w:pPr>
                          </w:p>
                          <w:p w14:paraId="2C32BE0D" w14:textId="77777777" w:rsidR="008B0834" w:rsidRPr="00EE46E2" w:rsidRDefault="008B0834" w:rsidP="00A545D6">
                            <w:pPr>
                              <w:rPr>
                                <w:rFonts w:cstheme="minorHAnsi"/>
                                <w:sz w:val="13"/>
                                <w:szCs w:val="13"/>
                              </w:rPr>
                            </w:pPr>
                          </w:p>
                        </w:tc>
                        <w:tc>
                          <w:tcPr>
                            <w:tcW w:w="0" w:type="auto"/>
                            <w:tcBorders>
                              <w:top w:val="single" w:sz="4" w:space="0" w:color="auto"/>
                            </w:tcBorders>
                          </w:tcPr>
                          <w:p w14:paraId="31B1B0B2" w14:textId="77777777" w:rsidR="008B0834" w:rsidRPr="00EE46E2" w:rsidRDefault="008B0834" w:rsidP="00A545D6">
                            <w:pPr>
                              <w:rPr>
                                <w:rFonts w:cstheme="minorHAnsi"/>
                                <w:sz w:val="13"/>
                                <w:szCs w:val="13"/>
                              </w:rPr>
                            </w:pPr>
                          </w:p>
                        </w:tc>
                        <w:tc>
                          <w:tcPr>
                            <w:tcW w:w="0" w:type="auto"/>
                          </w:tcPr>
                          <w:p w14:paraId="08D46A71" w14:textId="77777777" w:rsidR="008B0834" w:rsidRPr="00EE46E2" w:rsidRDefault="008B0834" w:rsidP="00A545D6">
                            <w:pPr>
                              <w:rPr>
                                <w:rFonts w:cstheme="minorHAnsi"/>
                                <w:sz w:val="13"/>
                                <w:szCs w:val="13"/>
                              </w:rPr>
                            </w:pPr>
                          </w:p>
                        </w:tc>
                        <w:tc>
                          <w:tcPr>
                            <w:tcW w:w="0" w:type="auto"/>
                            <w:tcBorders>
                              <w:top w:val="single" w:sz="4" w:space="0" w:color="auto"/>
                            </w:tcBorders>
                          </w:tcPr>
                          <w:p w14:paraId="5804395B" w14:textId="77777777" w:rsidR="008B0834" w:rsidRPr="00EE46E2" w:rsidRDefault="008B0834" w:rsidP="00A545D6">
                            <w:pPr>
                              <w:rPr>
                                <w:rFonts w:cstheme="minorHAnsi"/>
                                <w:sz w:val="13"/>
                                <w:szCs w:val="13"/>
                              </w:rPr>
                            </w:pPr>
                          </w:p>
                        </w:tc>
                        <w:tc>
                          <w:tcPr>
                            <w:tcW w:w="0" w:type="auto"/>
                            <w:tcBorders>
                              <w:top w:val="single" w:sz="4" w:space="0" w:color="auto"/>
                            </w:tcBorders>
                          </w:tcPr>
                          <w:p w14:paraId="35193CC3" w14:textId="77777777" w:rsidR="008B0834" w:rsidRPr="00EE46E2" w:rsidRDefault="008B0834" w:rsidP="00A545D6">
                            <w:pPr>
                              <w:rPr>
                                <w:rFonts w:cstheme="minorHAnsi"/>
                                <w:sz w:val="13"/>
                                <w:szCs w:val="13"/>
                              </w:rPr>
                            </w:pPr>
                          </w:p>
                        </w:tc>
                        <w:tc>
                          <w:tcPr>
                            <w:tcW w:w="0" w:type="auto"/>
                            <w:tcBorders>
                              <w:top w:val="single" w:sz="4" w:space="0" w:color="auto"/>
                            </w:tcBorders>
                          </w:tcPr>
                          <w:p w14:paraId="243CE37A" w14:textId="77777777" w:rsidR="008B0834" w:rsidRPr="00EE46E2" w:rsidRDefault="008B0834" w:rsidP="00A545D6">
                            <w:pPr>
                              <w:rPr>
                                <w:rFonts w:cstheme="minorHAnsi"/>
                                <w:sz w:val="13"/>
                                <w:szCs w:val="13"/>
                              </w:rPr>
                            </w:pPr>
                          </w:p>
                        </w:tc>
                        <w:tc>
                          <w:tcPr>
                            <w:tcW w:w="0" w:type="auto"/>
                            <w:tcBorders>
                              <w:top w:val="single" w:sz="4" w:space="0" w:color="auto"/>
                            </w:tcBorders>
                          </w:tcPr>
                          <w:p w14:paraId="4EEF829B" w14:textId="77777777" w:rsidR="008B0834" w:rsidRPr="00EE46E2" w:rsidRDefault="008B0834" w:rsidP="00A545D6">
                            <w:pPr>
                              <w:rPr>
                                <w:rFonts w:cstheme="minorHAnsi"/>
                                <w:sz w:val="13"/>
                                <w:szCs w:val="13"/>
                              </w:rPr>
                            </w:pPr>
                          </w:p>
                        </w:tc>
                      </w:tr>
                      <w:tr w:rsidR="008B0834" w:rsidRPr="00EE46E2" w14:paraId="4848311F" w14:textId="77777777" w:rsidTr="00DA5BE3">
                        <w:tc>
                          <w:tcPr>
                            <w:tcW w:w="0" w:type="auto"/>
                            <w:gridSpan w:val="4"/>
                            <w:tcBorders>
                              <w:top w:val="single" w:sz="4" w:space="0" w:color="auto"/>
                              <w:left w:val="single" w:sz="4" w:space="0" w:color="auto"/>
                              <w:bottom w:val="single" w:sz="4" w:space="0" w:color="auto"/>
                              <w:right w:val="single" w:sz="4" w:space="0" w:color="auto"/>
                            </w:tcBorders>
                            <w:shd w:val="clear" w:color="auto" w:fill="FFCB97"/>
                          </w:tcPr>
                          <w:p w14:paraId="1DD391FA" w14:textId="77777777" w:rsidR="008B0834" w:rsidRPr="00EE46E2" w:rsidRDefault="008B0834" w:rsidP="00A545D6">
                            <w:pPr>
                              <w:spacing w:line="360" w:lineRule="auto"/>
                              <w:rPr>
                                <w:rFonts w:cstheme="minorHAnsi"/>
                                <w:b/>
                                <w:sz w:val="13"/>
                                <w:szCs w:val="13"/>
                              </w:rPr>
                            </w:pPr>
                            <w:r w:rsidRPr="00904A09">
                              <w:rPr>
                                <w:rFonts w:cstheme="minorHAnsi"/>
                                <w:b/>
                                <w:color w:val="002060"/>
                                <w:sz w:val="14"/>
                                <w:szCs w:val="14"/>
                              </w:rPr>
                              <w:t>PERTH METROPOLITAN AREA</w:t>
                            </w:r>
                          </w:p>
                        </w:tc>
                        <w:tc>
                          <w:tcPr>
                            <w:tcW w:w="0" w:type="auto"/>
                            <w:tcBorders>
                              <w:right w:val="single" w:sz="4" w:space="0" w:color="auto"/>
                            </w:tcBorders>
                          </w:tcPr>
                          <w:p w14:paraId="5893F45E" w14:textId="77777777" w:rsidR="008B0834" w:rsidRPr="00EE46E2" w:rsidRDefault="008B0834" w:rsidP="00A545D6">
                            <w:pPr>
                              <w:rPr>
                                <w:rFonts w:cstheme="minorHAnsi"/>
                                <w:sz w:val="13"/>
                                <w:szCs w:val="13"/>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B4DAF7" w:themeFill="accent5" w:themeFillTint="66"/>
                          </w:tcPr>
                          <w:p w14:paraId="3F129E1A" w14:textId="77777777" w:rsidR="008B0834" w:rsidRPr="00EE46E2" w:rsidRDefault="008B0834" w:rsidP="00A545D6">
                            <w:pPr>
                              <w:spacing w:line="360" w:lineRule="auto"/>
                              <w:rPr>
                                <w:rFonts w:cstheme="minorHAnsi"/>
                                <w:b/>
                                <w:sz w:val="13"/>
                                <w:szCs w:val="13"/>
                              </w:rPr>
                            </w:pPr>
                            <w:r w:rsidRPr="00904A09">
                              <w:rPr>
                                <w:rFonts w:cstheme="minorHAnsi"/>
                                <w:b/>
                                <w:color w:val="002060"/>
                                <w:sz w:val="14"/>
                                <w:szCs w:val="14"/>
                              </w:rPr>
                              <w:t>WHEATBELT</w:t>
                            </w:r>
                          </w:p>
                        </w:tc>
                      </w:tr>
                      <w:tr w:rsidR="008B0834" w:rsidRPr="00EE46E2" w14:paraId="01A7CFC1" w14:textId="77777777" w:rsidTr="00DA5BE3">
                        <w:tc>
                          <w:tcPr>
                            <w:tcW w:w="0" w:type="auto"/>
                            <w:tcBorders>
                              <w:top w:val="single" w:sz="4" w:space="0" w:color="auto"/>
                              <w:left w:val="single" w:sz="4" w:space="0" w:color="auto"/>
                              <w:right w:val="single" w:sz="4" w:space="0" w:color="auto"/>
                            </w:tcBorders>
                          </w:tcPr>
                          <w:p w14:paraId="14915EC3" w14:textId="77777777" w:rsidR="008B0834" w:rsidRPr="0028659E" w:rsidRDefault="008B0834" w:rsidP="00A545D6">
                            <w:pPr>
                              <w:spacing w:line="360" w:lineRule="auto"/>
                              <w:rPr>
                                <w:rFonts w:cstheme="minorHAnsi"/>
                                <w:color w:val="0070C0"/>
                                <w:sz w:val="13"/>
                                <w:szCs w:val="13"/>
                              </w:rPr>
                            </w:pPr>
                          </w:p>
                        </w:tc>
                        <w:tc>
                          <w:tcPr>
                            <w:tcW w:w="795" w:type="dxa"/>
                            <w:tcBorders>
                              <w:top w:val="single" w:sz="4" w:space="0" w:color="auto"/>
                              <w:left w:val="single" w:sz="4" w:space="0" w:color="auto"/>
                              <w:right w:val="single" w:sz="4" w:space="0" w:color="auto"/>
                            </w:tcBorders>
                          </w:tcPr>
                          <w:p w14:paraId="27ED12EB"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Figure</w:t>
                            </w:r>
                          </w:p>
                        </w:tc>
                        <w:tc>
                          <w:tcPr>
                            <w:tcW w:w="1128" w:type="dxa"/>
                            <w:tcBorders>
                              <w:top w:val="single" w:sz="4" w:space="0" w:color="auto"/>
                              <w:left w:val="single" w:sz="4" w:space="0" w:color="auto"/>
                              <w:right w:val="single" w:sz="4" w:space="0" w:color="auto"/>
                            </w:tcBorders>
                          </w:tcPr>
                          <w:p w14:paraId="4CFB7E10"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67200A98"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WA share</w:t>
                            </w:r>
                          </w:p>
                        </w:tc>
                        <w:tc>
                          <w:tcPr>
                            <w:tcW w:w="0" w:type="auto"/>
                            <w:tcBorders>
                              <w:right w:val="single" w:sz="4" w:space="0" w:color="auto"/>
                            </w:tcBorders>
                          </w:tcPr>
                          <w:p w14:paraId="534360CE" w14:textId="77777777" w:rsidR="008B0834" w:rsidRPr="00EE46E2" w:rsidRDefault="008B0834" w:rsidP="00A545D6">
                            <w:pPr>
                              <w:rPr>
                                <w:rFonts w:cstheme="minorHAnsi"/>
                                <w:sz w:val="13"/>
                                <w:szCs w:val="13"/>
                              </w:rPr>
                            </w:pPr>
                          </w:p>
                        </w:tc>
                        <w:tc>
                          <w:tcPr>
                            <w:tcW w:w="0" w:type="auto"/>
                            <w:tcBorders>
                              <w:top w:val="single" w:sz="4" w:space="0" w:color="auto"/>
                              <w:left w:val="single" w:sz="4" w:space="0" w:color="auto"/>
                              <w:right w:val="single" w:sz="4" w:space="0" w:color="auto"/>
                            </w:tcBorders>
                          </w:tcPr>
                          <w:p w14:paraId="5AE594C7" w14:textId="77777777" w:rsidR="008B0834" w:rsidRPr="00EE46E2" w:rsidRDefault="008B0834" w:rsidP="00A545D6">
                            <w:pPr>
                              <w:spacing w:line="360" w:lineRule="auto"/>
                              <w:rPr>
                                <w:rFonts w:cstheme="minorHAnsi"/>
                                <w:sz w:val="13"/>
                                <w:szCs w:val="13"/>
                              </w:rPr>
                            </w:pPr>
                          </w:p>
                        </w:tc>
                        <w:tc>
                          <w:tcPr>
                            <w:tcW w:w="0" w:type="auto"/>
                            <w:tcBorders>
                              <w:top w:val="single" w:sz="4" w:space="0" w:color="auto"/>
                              <w:left w:val="single" w:sz="4" w:space="0" w:color="auto"/>
                              <w:right w:val="single" w:sz="4" w:space="0" w:color="auto"/>
                            </w:tcBorders>
                          </w:tcPr>
                          <w:p w14:paraId="34897D3F"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Figure</w:t>
                            </w:r>
                          </w:p>
                        </w:tc>
                        <w:tc>
                          <w:tcPr>
                            <w:tcW w:w="0" w:type="auto"/>
                            <w:tcBorders>
                              <w:top w:val="single" w:sz="4" w:space="0" w:color="auto"/>
                              <w:left w:val="single" w:sz="4" w:space="0" w:color="auto"/>
                              <w:right w:val="single" w:sz="4" w:space="0" w:color="auto"/>
                            </w:tcBorders>
                          </w:tcPr>
                          <w:p w14:paraId="1996A365"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4307146F" w14:textId="77777777" w:rsidR="008B0834" w:rsidRPr="00EE46E2" w:rsidRDefault="008B0834" w:rsidP="00A545D6">
                            <w:pPr>
                              <w:spacing w:line="360" w:lineRule="auto"/>
                              <w:jc w:val="right"/>
                              <w:rPr>
                                <w:rFonts w:cstheme="minorHAnsi"/>
                                <w:sz w:val="13"/>
                                <w:szCs w:val="13"/>
                              </w:rPr>
                            </w:pPr>
                            <w:r w:rsidRPr="00EE46E2">
                              <w:rPr>
                                <w:rFonts w:cstheme="minorHAnsi"/>
                                <w:sz w:val="13"/>
                                <w:szCs w:val="13"/>
                              </w:rPr>
                              <w:t>WA share</w:t>
                            </w:r>
                          </w:p>
                        </w:tc>
                      </w:tr>
                      <w:tr w:rsidR="008B0834" w:rsidRPr="00EE46E2" w14:paraId="41F00AAA" w14:textId="77777777" w:rsidTr="00DA5BE3">
                        <w:tc>
                          <w:tcPr>
                            <w:tcW w:w="0" w:type="auto"/>
                            <w:tcBorders>
                              <w:left w:val="single" w:sz="4" w:space="0" w:color="auto"/>
                              <w:right w:val="single" w:sz="4" w:space="0" w:color="auto"/>
                            </w:tcBorders>
                          </w:tcPr>
                          <w:p w14:paraId="1DD9C208" w14:textId="77777777" w:rsidR="008B0834" w:rsidRPr="008809A4" w:rsidRDefault="008B0834" w:rsidP="00F62810">
                            <w:pPr>
                              <w:spacing w:line="360" w:lineRule="auto"/>
                              <w:rPr>
                                <w:rFonts w:cstheme="minorHAnsi"/>
                                <w:sz w:val="13"/>
                                <w:szCs w:val="13"/>
                              </w:rPr>
                            </w:pPr>
                            <w:r w:rsidRPr="008809A4">
                              <w:rPr>
                                <w:rFonts w:cstheme="minorHAnsi"/>
                                <w:sz w:val="13"/>
                                <w:szCs w:val="13"/>
                              </w:rPr>
                              <w:t>Gross regional product: 2021-22</w:t>
                            </w:r>
                          </w:p>
                        </w:tc>
                        <w:tc>
                          <w:tcPr>
                            <w:tcW w:w="795" w:type="dxa"/>
                            <w:tcBorders>
                              <w:left w:val="single" w:sz="4" w:space="0" w:color="auto"/>
                              <w:right w:val="single" w:sz="4" w:space="0" w:color="auto"/>
                            </w:tcBorders>
                          </w:tcPr>
                          <w:p w14:paraId="45F5791C"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$263.5b</w:t>
                            </w:r>
                          </w:p>
                        </w:tc>
                        <w:tc>
                          <w:tcPr>
                            <w:tcW w:w="1128" w:type="dxa"/>
                            <w:tcBorders>
                              <w:left w:val="single" w:sz="4" w:space="0" w:color="auto"/>
                              <w:right w:val="single" w:sz="4" w:space="0" w:color="auto"/>
                            </w:tcBorders>
                          </w:tcPr>
                          <w:p w14:paraId="75340218"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+14.3%</w:t>
                            </w:r>
                          </w:p>
                        </w:tc>
                        <w:tc>
                          <w:tcPr>
                            <w:tcW w:w="0" w:type="auto"/>
                            <w:tcBorders>
                              <w:left w:val="single" w:sz="4" w:space="0" w:color="auto"/>
                              <w:right w:val="single" w:sz="4" w:space="0" w:color="auto"/>
                            </w:tcBorders>
                          </w:tcPr>
                          <w:p w14:paraId="67414FD9"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65.2%</w:t>
                            </w:r>
                          </w:p>
                        </w:tc>
                        <w:tc>
                          <w:tcPr>
                            <w:tcW w:w="0" w:type="auto"/>
                            <w:tcBorders>
                              <w:right w:val="single" w:sz="4" w:space="0" w:color="auto"/>
                            </w:tcBorders>
                          </w:tcPr>
                          <w:p w14:paraId="4FA11EDC" w14:textId="77777777" w:rsidR="008B0834" w:rsidRPr="00056E99" w:rsidRDefault="008B0834" w:rsidP="00F62810">
                            <w:pPr>
                              <w:rPr>
                                <w:rFonts w:cstheme="minorHAnsi"/>
                                <w:color w:val="0070C0"/>
                                <w:sz w:val="13"/>
                                <w:szCs w:val="13"/>
                              </w:rPr>
                            </w:pPr>
                          </w:p>
                        </w:tc>
                        <w:tc>
                          <w:tcPr>
                            <w:tcW w:w="0" w:type="auto"/>
                            <w:tcBorders>
                              <w:left w:val="single" w:sz="4" w:space="0" w:color="auto"/>
                              <w:right w:val="single" w:sz="4" w:space="0" w:color="auto"/>
                            </w:tcBorders>
                          </w:tcPr>
                          <w:p w14:paraId="7329AE64" w14:textId="77777777" w:rsidR="008B0834" w:rsidRPr="008809A4" w:rsidRDefault="008B0834" w:rsidP="00F62810">
                            <w:pPr>
                              <w:spacing w:line="360" w:lineRule="auto"/>
                              <w:rPr>
                                <w:rFonts w:cstheme="minorHAnsi"/>
                                <w:sz w:val="13"/>
                                <w:szCs w:val="13"/>
                              </w:rPr>
                            </w:pPr>
                            <w:r w:rsidRPr="008809A4">
                              <w:rPr>
                                <w:rFonts w:cstheme="minorHAnsi"/>
                                <w:sz w:val="13"/>
                                <w:szCs w:val="13"/>
                              </w:rPr>
                              <w:t>Gross regional product: 2021-22</w:t>
                            </w:r>
                          </w:p>
                        </w:tc>
                        <w:tc>
                          <w:tcPr>
                            <w:tcW w:w="0" w:type="auto"/>
                            <w:tcBorders>
                              <w:left w:val="single" w:sz="4" w:space="0" w:color="auto"/>
                              <w:right w:val="single" w:sz="4" w:space="0" w:color="auto"/>
                            </w:tcBorders>
                          </w:tcPr>
                          <w:p w14:paraId="211435AE"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$7.7b</w:t>
                            </w:r>
                          </w:p>
                        </w:tc>
                        <w:tc>
                          <w:tcPr>
                            <w:tcW w:w="0" w:type="auto"/>
                            <w:tcBorders>
                              <w:left w:val="single" w:sz="4" w:space="0" w:color="auto"/>
                              <w:right w:val="single" w:sz="4" w:space="0" w:color="auto"/>
                            </w:tcBorders>
                          </w:tcPr>
                          <w:p w14:paraId="1F5C17B9"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+0.1%</w:t>
                            </w:r>
                          </w:p>
                        </w:tc>
                        <w:tc>
                          <w:tcPr>
                            <w:tcW w:w="0" w:type="auto"/>
                            <w:tcBorders>
                              <w:left w:val="single" w:sz="4" w:space="0" w:color="auto"/>
                              <w:right w:val="single" w:sz="4" w:space="0" w:color="auto"/>
                            </w:tcBorders>
                          </w:tcPr>
                          <w:p w14:paraId="2B06E0EF"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1.9%</w:t>
                            </w:r>
                          </w:p>
                        </w:tc>
                      </w:tr>
                      <w:tr w:rsidR="008B0834" w:rsidRPr="00EE46E2" w14:paraId="1D270891" w14:textId="77777777" w:rsidTr="00DA5BE3">
                        <w:tc>
                          <w:tcPr>
                            <w:tcW w:w="0" w:type="auto"/>
                            <w:tcBorders>
                              <w:left w:val="single" w:sz="4" w:space="0" w:color="auto"/>
                              <w:right w:val="single" w:sz="4" w:space="0" w:color="auto"/>
                            </w:tcBorders>
                          </w:tcPr>
                          <w:p w14:paraId="30D5ED6E" w14:textId="77777777" w:rsidR="008B0834" w:rsidRPr="008809A4" w:rsidRDefault="008B0834" w:rsidP="004E6BAE">
                            <w:pPr>
                              <w:spacing w:line="360" w:lineRule="auto"/>
                              <w:rPr>
                                <w:rFonts w:cstheme="minorHAnsi"/>
                                <w:sz w:val="13"/>
                                <w:szCs w:val="13"/>
                              </w:rPr>
                            </w:pPr>
                            <w:r w:rsidRPr="008809A4">
                              <w:rPr>
                                <w:rFonts w:cstheme="minorHAnsi"/>
                                <w:sz w:val="13"/>
                                <w:szCs w:val="13"/>
                              </w:rPr>
                              <w:t>Population: 2021-22</w:t>
                            </w:r>
                          </w:p>
                        </w:tc>
                        <w:tc>
                          <w:tcPr>
                            <w:tcW w:w="795" w:type="dxa"/>
                            <w:tcBorders>
                              <w:left w:val="single" w:sz="4" w:space="0" w:color="auto"/>
                              <w:right w:val="single" w:sz="4" w:space="0" w:color="auto"/>
                            </w:tcBorders>
                          </w:tcPr>
                          <w:p w14:paraId="1A026E5A"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2,075,784</w:t>
                            </w:r>
                          </w:p>
                        </w:tc>
                        <w:tc>
                          <w:tcPr>
                            <w:tcW w:w="1128" w:type="dxa"/>
                            <w:tcBorders>
                              <w:left w:val="single" w:sz="4" w:space="0" w:color="auto"/>
                              <w:right w:val="single" w:sz="4" w:space="0" w:color="auto"/>
                            </w:tcBorders>
                          </w:tcPr>
                          <w:p w14:paraId="6A5040EB"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+1.4%</w:t>
                            </w:r>
                          </w:p>
                        </w:tc>
                        <w:tc>
                          <w:tcPr>
                            <w:tcW w:w="0" w:type="auto"/>
                            <w:tcBorders>
                              <w:left w:val="single" w:sz="4" w:space="0" w:color="auto"/>
                              <w:right w:val="single" w:sz="4" w:space="0" w:color="auto"/>
                            </w:tcBorders>
                          </w:tcPr>
                          <w:p w14:paraId="23D7697D"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74.5%</w:t>
                            </w:r>
                          </w:p>
                        </w:tc>
                        <w:tc>
                          <w:tcPr>
                            <w:tcW w:w="0" w:type="auto"/>
                            <w:tcBorders>
                              <w:right w:val="single" w:sz="4" w:space="0" w:color="auto"/>
                            </w:tcBorders>
                          </w:tcPr>
                          <w:p w14:paraId="19F6AC64" w14:textId="77777777" w:rsidR="008B0834" w:rsidRPr="00EE46E2" w:rsidRDefault="008B0834" w:rsidP="00F62810">
                            <w:pPr>
                              <w:rPr>
                                <w:rFonts w:cstheme="minorHAnsi"/>
                                <w:sz w:val="13"/>
                                <w:szCs w:val="13"/>
                              </w:rPr>
                            </w:pPr>
                          </w:p>
                        </w:tc>
                        <w:tc>
                          <w:tcPr>
                            <w:tcW w:w="0" w:type="auto"/>
                            <w:tcBorders>
                              <w:left w:val="single" w:sz="4" w:space="0" w:color="auto"/>
                              <w:right w:val="single" w:sz="4" w:space="0" w:color="auto"/>
                            </w:tcBorders>
                          </w:tcPr>
                          <w:p w14:paraId="274032D9" w14:textId="77777777" w:rsidR="008B0834" w:rsidRPr="008809A4" w:rsidRDefault="008B0834" w:rsidP="00F62810">
                            <w:pPr>
                              <w:spacing w:line="360" w:lineRule="auto"/>
                              <w:rPr>
                                <w:rFonts w:cstheme="minorHAnsi"/>
                                <w:sz w:val="13"/>
                                <w:szCs w:val="13"/>
                              </w:rPr>
                            </w:pPr>
                            <w:r w:rsidRPr="008809A4">
                              <w:rPr>
                                <w:rFonts w:cstheme="minorHAnsi"/>
                                <w:sz w:val="13"/>
                                <w:szCs w:val="13"/>
                              </w:rPr>
                              <w:t>Population: 2021-22</w:t>
                            </w:r>
                          </w:p>
                        </w:tc>
                        <w:tc>
                          <w:tcPr>
                            <w:tcW w:w="0" w:type="auto"/>
                            <w:tcBorders>
                              <w:left w:val="single" w:sz="4" w:space="0" w:color="auto"/>
                              <w:right w:val="single" w:sz="4" w:space="0" w:color="auto"/>
                            </w:tcBorders>
                          </w:tcPr>
                          <w:p w14:paraId="64EB8359"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75,863</w:t>
                            </w:r>
                          </w:p>
                        </w:tc>
                        <w:tc>
                          <w:tcPr>
                            <w:tcW w:w="0" w:type="auto"/>
                            <w:tcBorders>
                              <w:left w:val="single" w:sz="4" w:space="0" w:color="auto"/>
                              <w:right w:val="single" w:sz="4" w:space="0" w:color="auto"/>
                            </w:tcBorders>
                          </w:tcPr>
                          <w:p w14:paraId="3A1AE957"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+0.8%</w:t>
                            </w:r>
                          </w:p>
                        </w:tc>
                        <w:tc>
                          <w:tcPr>
                            <w:tcW w:w="0" w:type="auto"/>
                            <w:tcBorders>
                              <w:left w:val="single" w:sz="4" w:space="0" w:color="auto"/>
                              <w:right w:val="single" w:sz="4" w:space="0" w:color="auto"/>
                            </w:tcBorders>
                          </w:tcPr>
                          <w:p w14:paraId="357679AF" w14:textId="77777777" w:rsidR="008B0834" w:rsidRPr="008809A4" w:rsidRDefault="008B0834" w:rsidP="00F62810">
                            <w:pPr>
                              <w:spacing w:line="360" w:lineRule="auto"/>
                              <w:jc w:val="right"/>
                              <w:rPr>
                                <w:rFonts w:cstheme="minorHAnsi"/>
                                <w:sz w:val="13"/>
                                <w:szCs w:val="13"/>
                              </w:rPr>
                            </w:pPr>
                            <w:r w:rsidRPr="008809A4">
                              <w:rPr>
                                <w:rFonts w:cstheme="minorHAnsi"/>
                                <w:sz w:val="13"/>
                                <w:szCs w:val="13"/>
                              </w:rPr>
                              <w:t>2.7%</w:t>
                            </w:r>
                          </w:p>
                        </w:tc>
                      </w:tr>
                      <w:tr w:rsidR="008B0834" w:rsidRPr="00EE46E2" w14:paraId="3D08BB53" w14:textId="77777777" w:rsidTr="00DA5BE3">
                        <w:tc>
                          <w:tcPr>
                            <w:tcW w:w="0" w:type="auto"/>
                            <w:tcBorders>
                              <w:left w:val="single" w:sz="4" w:space="0" w:color="auto"/>
                              <w:right w:val="single" w:sz="4" w:space="0" w:color="auto"/>
                            </w:tcBorders>
                          </w:tcPr>
                          <w:p w14:paraId="7D805BEB" w14:textId="77777777" w:rsidR="008B0834" w:rsidRPr="00351552" w:rsidRDefault="008B0834" w:rsidP="000A2E4E">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795" w:type="dxa"/>
                            <w:tcBorders>
                              <w:left w:val="single" w:sz="4" w:space="0" w:color="auto"/>
                              <w:right w:val="single" w:sz="4" w:space="0" w:color="auto"/>
                            </w:tcBorders>
                          </w:tcPr>
                          <w:p w14:paraId="40533DE2"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1,155,264</w:t>
                            </w:r>
                          </w:p>
                        </w:tc>
                        <w:tc>
                          <w:tcPr>
                            <w:tcW w:w="1128" w:type="dxa"/>
                            <w:tcBorders>
                              <w:left w:val="single" w:sz="4" w:space="0" w:color="auto"/>
                              <w:right w:val="single" w:sz="4" w:space="0" w:color="auto"/>
                            </w:tcBorders>
                          </w:tcPr>
                          <w:p w14:paraId="5479D626" w14:textId="77777777" w:rsidR="008B0834" w:rsidRPr="00351552" w:rsidRDefault="008B0834" w:rsidP="003C2249">
                            <w:pPr>
                              <w:spacing w:line="360" w:lineRule="auto"/>
                              <w:jc w:val="right"/>
                              <w:rPr>
                                <w:rFonts w:cstheme="minorHAnsi"/>
                                <w:color w:val="000000" w:themeColor="text1"/>
                                <w:sz w:val="13"/>
                                <w:szCs w:val="13"/>
                              </w:rPr>
                            </w:pPr>
                            <w:r w:rsidRPr="00351552">
                              <w:rPr>
                                <w:rFonts w:cstheme="minorHAnsi"/>
                                <w:color w:val="000000" w:themeColor="text1"/>
                                <w:sz w:val="13"/>
                                <w:szCs w:val="13"/>
                              </w:rPr>
                              <w:t>+2.4%</w:t>
                            </w:r>
                          </w:p>
                        </w:tc>
                        <w:tc>
                          <w:tcPr>
                            <w:tcW w:w="0" w:type="auto"/>
                            <w:tcBorders>
                              <w:left w:val="single" w:sz="4" w:space="0" w:color="auto"/>
                              <w:right w:val="single" w:sz="4" w:space="0" w:color="auto"/>
                            </w:tcBorders>
                          </w:tcPr>
                          <w:p w14:paraId="611961D8"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75.6%</w:t>
                            </w:r>
                          </w:p>
                        </w:tc>
                        <w:tc>
                          <w:tcPr>
                            <w:tcW w:w="0" w:type="auto"/>
                            <w:tcBorders>
                              <w:right w:val="single" w:sz="4" w:space="0" w:color="auto"/>
                            </w:tcBorders>
                          </w:tcPr>
                          <w:p w14:paraId="25CB86D8" w14:textId="77777777" w:rsidR="008B0834" w:rsidRPr="00EE46E2" w:rsidRDefault="008B0834" w:rsidP="00147B8C">
                            <w:pPr>
                              <w:rPr>
                                <w:rFonts w:cstheme="minorHAnsi"/>
                                <w:sz w:val="13"/>
                                <w:szCs w:val="13"/>
                              </w:rPr>
                            </w:pPr>
                          </w:p>
                        </w:tc>
                        <w:tc>
                          <w:tcPr>
                            <w:tcW w:w="0" w:type="auto"/>
                            <w:tcBorders>
                              <w:left w:val="single" w:sz="4" w:space="0" w:color="auto"/>
                              <w:right w:val="single" w:sz="4" w:space="0" w:color="auto"/>
                            </w:tcBorders>
                          </w:tcPr>
                          <w:p w14:paraId="0C00CB1D" w14:textId="77777777" w:rsidR="008B0834" w:rsidRPr="00351552" w:rsidRDefault="008B0834" w:rsidP="00365964">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0" w:type="auto"/>
                            <w:tcBorders>
                              <w:left w:val="single" w:sz="4" w:space="0" w:color="auto"/>
                              <w:right w:val="single" w:sz="4" w:space="0" w:color="auto"/>
                            </w:tcBorders>
                          </w:tcPr>
                          <w:p w14:paraId="157CC552"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40,885</w:t>
                            </w:r>
                          </w:p>
                        </w:tc>
                        <w:tc>
                          <w:tcPr>
                            <w:tcW w:w="0" w:type="auto"/>
                            <w:tcBorders>
                              <w:left w:val="single" w:sz="4" w:space="0" w:color="auto"/>
                              <w:right w:val="single" w:sz="4" w:space="0" w:color="auto"/>
                            </w:tcBorders>
                          </w:tcPr>
                          <w:p w14:paraId="6EAA8D97"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+5.8%</w:t>
                            </w:r>
                          </w:p>
                        </w:tc>
                        <w:tc>
                          <w:tcPr>
                            <w:tcW w:w="0" w:type="auto"/>
                            <w:tcBorders>
                              <w:left w:val="single" w:sz="4" w:space="0" w:color="auto"/>
                              <w:right w:val="single" w:sz="4" w:space="0" w:color="auto"/>
                            </w:tcBorders>
                          </w:tcPr>
                          <w:p w14:paraId="2006B98B"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2.7%</w:t>
                            </w:r>
                          </w:p>
                        </w:tc>
                      </w:tr>
                      <w:tr w:rsidR="008B0834" w:rsidRPr="00EE46E2" w14:paraId="4D6DC4D0" w14:textId="77777777" w:rsidTr="00DA5BE3">
                        <w:tc>
                          <w:tcPr>
                            <w:tcW w:w="0" w:type="auto"/>
                            <w:tcBorders>
                              <w:left w:val="single" w:sz="4" w:space="0" w:color="auto"/>
                              <w:right w:val="single" w:sz="4" w:space="0" w:color="auto"/>
                            </w:tcBorders>
                          </w:tcPr>
                          <w:p w14:paraId="130730FA" w14:textId="77777777" w:rsidR="008B0834" w:rsidRPr="00351552" w:rsidRDefault="008B0834" w:rsidP="000A2E4E">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795" w:type="dxa"/>
                            <w:tcBorders>
                              <w:left w:val="single" w:sz="4" w:space="0" w:color="auto"/>
                              <w:right w:val="single" w:sz="4" w:space="0" w:color="auto"/>
                            </w:tcBorders>
                          </w:tcPr>
                          <w:p w14:paraId="15EEA7C9"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3.6%</w:t>
                            </w:r>
                          </w:p>
                        </w:tc>
                        <w:tc>
                          <w:tcPr>
                            <w:tcW w:w="1128" w:type="dxa"/>
                            <w:tcBorders>
                              <w:left w:val="single" w:sz="4" w:space="0" w:color="auto"/>
                              <w:right w:val="single" w:sz="4" w:space="0" w:color="auto"/>
                            </w:tcBorders>
                          </w:tcPr>
                          <w:p w14:paraId="7FA79000" w14:textId="77777777" w:rsidR="008B0834" w:rsidRPr="00351552" w:rsidRDefault="008B0834" w:rsidP="00147B8C">
                            <w:pPr>
                              <w:spacing w:line="360" w:lineRule="auto"/>
                              <w:jc w:val="right"/>
                              <w:rPr>
                                <w:rFonts w:cstheme="minorHAnsi"/>
                                <w:color w:val="000000" w:themeColor="text1"/>
                                <w:sz w:val="13"/>
                                <w:szCs w:val="13"/>
                              </w:rPr>
                            </w:pPr>
                            <w:r w:rsidRPr="00351552">
                              <w:rPr>
                                <w:rFonts w:cstheme="minorHAnsi"/>
                                <w:color w:val="000000" w:themeColor="text1"/>
                                <w:sz w:val="13"/>
                                <w:szCs w:val="13"/>
                              </w:rPr>
                              <w:t>-0.2pp</w:t>
                            </w:r>
                          </w:p>
                        </w:tc>
                        <w:tc>
                          <w:tcPr>
                            <w:tcW w:w="0" w:type="auto"/>
                            <w:tcBorders>
                              <w:left w:val="single" w:sz="4" w:space="0" w:color="auto"/>
                              <w:right w:val="single" w:sz="4" w:space="0" w:color="auto"/>
                            </w:tcBorders>
                          </w:tcPr>
                          <w:p w14:paraId="5A4C42DD" w14:textId="77777777" w:rsidR="008B0834" w:rsidRPr="00351552" w:rsidRDefault="008B0834" w:rsidP="00147B8C">
                            <w:pPr>
                              <w:spacing w:line="360" w:lineRule="auto"/>
                              <w:jc w:val="right"/>
                              <w:rPr>
                                <w:rFonts w:cstheme="minorHAnsi"/>
                                <w:color w:val="000000" w:themeColor="text1"/>
                                <w:sz w:val="13"/>
                                <w:szCs w:val="13"/>
                              </w:rPr>
                            </w:pPr>
                          </w:p>
                        </w:tc>
                        <w:tc>
                          <w:tcPr>
                            <w:tcW w:w="0" w:type="auto"/>
                            <w:tcBorders>
                              <w:right w:val="single" w:sz="4" w:space="0" w:color="auto"/>
                            </w:tcBorders>
                          </w:tcPr>
                          <w:p w14:paraId="3AAE03A8" w14:textId="77777777" w:rsidR="008B0834" w:rsidRPr="00EE46E2" w:rsidRDefault="008B0834" w:rsidP="00147B8C">
                            <w:pPr>
                              <w:rPr>
                                <w:rFonts w:cstheme="minorHAnsi"/>
                                <w:sz w:val="13"/>
                                <w:szCs w:val="13"/>
                              </w:rPr>
                            </w:pPr>
                          </w:p>
                        </w:tc>
                        <w:tc>
                          <w:tcPr>
                            <w:tcW w:w="0" w:type="auto"/>
                            <w:tcBorders>
                              <w:left w:val="single" w:sz="4" w:space="0" w:color="auto"/>
                              <w:right w:val="single" w:sz="4" w:space="0" w:color="auto"/>
                            </w:tcBorders>
                          </w:tcPr>
                          <w:p w14:paraId="40CF2909" w14:textId="77777777" w:rsidR="008B0834" w:rsidRPr="00351552" w:rsidRDefault="008B0834" w:rsidP="00365964">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0" w:type="auto"/>
                            <w:tcBorders>
                              <w:left w:val="single" w:sz="4" w:space="0" w:color="auto"/>
                              <w:right w:val="single" w:sz="4" w:space="0" w:color="auto"/>
                            </w:tcBorders>
                          </w:tcPr>
                          <w:p w14:paraId="66661269" w14:textId="77777777" w:rsidR="008B0834" w:rsidRPr="00351552" w:rsidRDefault="008B0834" w:rsidP="003C2249">
                            <w:pPr>
                              <w:spacing w:line="360" w:lineRule="auto"/>
                              <w:jc w:val="right"/>
                              <w:rPr>
                                <w:rFonts w:cstheme="minorHAnsi"/>
                                <w:color w:val="000000" w:themeColor="text1"/>
                                <w:sz w:val="13"/>
                                <w:szCs w:val="13"/>
                              </w:rPr>
                            </w:pPr>
                            <w:r w:rsidRPr="00351552">
                              <w:rPr>
                                <w:rFonts w:cstheme="minorHAnsi"/>
                                <w:color w:val="000000" w:themeColor="text1"/>
                                <w:sz w:val="13"/>
                                <w:szCs w:val="13"/>
                              </w:rPr>
                              <w:t>2.5%</w:t>
                            </w:r>
                          </w:p>
                        </w:tc>
                        <w:tc>
                          <w:tcPr>
                            <w:tcW w:w="0" w:type="auto"/>
                            <w:tcBorders>
                              <w:left w:val="single" w:sz="4" w:space="0" w:color="auto"/>
                              <w:right w:val="single" w:sz="4" w:space="0" w:color="auto"/>
                            </w:tcBorders>
                          </w:tcPr>
                          <w:p w14:paraId="74DD45AB" w14:textId="77777777" w:rsidR="008B0834" w:rsidRPr="00351552" w:rsidRDefault="008B0834" w:rsidP="005237CF">
                            <w:pPr>
                              <w:spacing w:line="360" w:lineRule="auto"/>
                              <w:jc w:val="right"/>
                              <w:rPr>
                                <w:rFonts w:cstheme="minorHAnsi"/>
                                <w:color w:val="000000" w:themeColor="text1"/>
                                <w:sz w:val="13"/>
                                <w:szCs w:val="13"/>
                              </w:rPr>
                            </w:pPr>
                            <w:r w:rsidRPr="00351552">
                              <w:rPr>
                                <w:rFonts w:cstheme="minorHAnsi"/>
                                <w:color w:val="000000" w:themeColor="text1"/>
                                <w:sz w:val="13"/>
                                <w:szCs w:val="13"/>
                              </w:rPr>
                              <w:t>-1.1 pp</w:t>
                            </w:r>
                          </w:p>
                        </w:tc>
                        <w:tc>
                          <w:tcPr>
                            <w:tcW w:w="0" w:type="auto"/>
                            <w:tcBorders>
                              <w:left w:val="single" w:sz="4" w:space="0" w:color="auto"/>
                              <w:right w:val="single" w:sz="4" w:space="0" w:color="auto"/>
                            </w:tcBorders>
                          </w:tcPr>
                          <w:p w14:paraId="67C6B72A" w14:textId="77777777" w:rsidR="008B0834" w:rsidRPr="00351552" w:rsidRDefault="008B0834" w:rsidP="00147B8C">
                            <w:pPr>
                              <w:spacing w:line="360" w:lineRule="auto"/>
                              <w:jc w:val="right"/>
                              <w:rPr>
                                <w:rFonts w:cstheme="minorHAnsi"/>
                                <w:color w:val="000000" w:themeColor="text1"/>
                                <w:sz w:val="13"/>
                                <w:szCs w:val="13"/>
                              </w:rPr>
                            </w:pPr>
                          </w:p>
                        </w:tc>
                      </w:tr>
                      <w:tr w:rsidR="008B0834" w:rsidRPr="00DE6518" w14:paraId="5A5EBA0C" w14:textId="77777777" w:rsidTr="00DA5BE3">
                        <w:tc>
                          <w:tcPr>
                            <w:tcW w:w="0" w:type="auto"/>
                            <w:tcBorders>
                              <w:left w:val="single" w:sz="4" w:space="0" w:color="auto"/>
                              <w:right w:val="single" w:sz="4" w:space="0" w:color="auto"/>
                            </w:tcBorders>
                          </w:tcPr>
                          <w:p w14:paraId="07243163"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2"/>
                                <w:szCs w:val="12"/>
                              </w:rPr>
                              <w:t>Minerals &amp; petroleum sales: 2022-23</w:t>
                            </w:r>
                          </w:p>
                        </w:tc>
                        <w:tc>
                          <w:tcPr>
                            <w:tcW w:w="795" w:type="dxa"/>
                            <w:tcBorders>
                              <w:left w:val="single" w:sz="4" w:space="0" w:color="auto"/>
                              <w:right w:val="single" w:sz="4" w:space="0" w:color="auto"/>
                            </w:tcBorders>
                          </w:tcPr>
                          <w:p w14:paraId="128763EE"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$57.0m</w:t>
                            </w:r>
                          </w:p>
                        </w:tc>
                        <w:tc>
                          <w:tcPr>
                            <w:tcW w:w="1128" w:type="dxa"/>
                            <w:tcBorders>
                              <w:left w:val="single" w:sz="4" w:space="0" w:color="auto"/>
                              <w:right w:val="single" w:sz="4" w:space="0" w:color="auto"/>
                            </w:tcBorders>
                          </w:tcPr>
                          <w:p w14:paraId="6F116771"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+18.4%</w:t>
                            </w:r>
                          </w:p>
                        </w:tc>
                        <w:tc>
                          <w:tcPr>
                            <w:tcW w:w="0" w:type="auto"/>
                            <w:tcBorders>
                              <w:left w:val="single" w:sz="4" w:space="0" w:color="auto"/>
                              <w:right w:val="single" w:sz="4" w:space="0" w:color="auto"/>
                            </w:tcBorders>
                          </w:tcPr>
                          <w:p w14:paraId="09BA4CEB"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0.02%</w:t>
                            </w:r>
                          </w:p>
                        </w:tc>
                        <w:tc>
                          <w:tcPr>
                            <w:tcW w:w="0" w:type="auto"/>
                            <w:tcBorders>
                              <w:right w:val="single" w:sz="4" w:space="0" w:color="auto"/>
                            </w:tcBorders>
                          </w:tcPr>
                          <w:p w14:paraId="4B259861" w14:textId="77777777" w:rsidR="008B0834" w:rsidRPr="00DE6518" w:rsidRDefault="008B0834" w:rsidP="00ED6EA6">
                            <w:pPr>
                              <w:rPr>
                                <w:rFonts w:cstheme="minorHAnsi"/>
                                <w:sz w:val="13"/>
                                <w:szCs w:val="13"/>
                              </w:rPr>
                            </w:pPr>
                          </w:p>
                        </w:tc>
                        <w:tc>
                          <w:tcPr>
                            <w:tcW w:w="0" w:type="auto"/>
                            <w:tcBorders>
                              <w:left w:val="single" w:sz="4" w:space="0" w:color="auto"/>
                              <w:right w:val="single" w:sz="4" w:space="0" w:color="auto"/>
                            </w:tcBorders>
                          </w:tcPr>
                          <w:p w14:paraId="7C53A63D"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2"/>
                                <w:szCs w:val="12"/>
                              </w:rPr>
                              <w:t>Minerals &amp; petroleum sales: 2022-23</w:t>
                            </w:r>
                          </w:p>
                        </w:tc>
                        <w:tc>
                          <w:tcPr>
                            <w:tcW w:w="0" w:type="auto"/>
                            <w:tcBorders>
                              <w:left w:val="single" w:sz="4" w:space="0" w:color="auto"/>
                              <w:right w:val="single" w:sz="4" w:space="0" w:color="auto"/>
                            </w:tcBorders>
                          </w:tcPr>
                          <w:p w14:paraId="301D6CAB"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$2.9b</w:t>
                            </w:r>
                          </w:p>
                        </w:tc>
                        <w:tc>
                          <w:tcPr>
                            <w:tcW w:w="0" w:type="auto"/>
                            <w:tcBorders>
                              <w:left w:val="single" w:sz="4" w:space="0" w:color="auto"/>
                              <w:right w:val="single" w:sz="4" w:space="0" w:color="auto"/>
                            </w:tcBorders>
                          </w:tcPr>
                          <w:p w14:paraId="73DEB55C"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-3.5%</w:t>
                            </w:r>
                          </w:p>
                        </w:tc>
                        <w:tc>
                          <w:tcPr>
                            <w:tcW w:w="0" w:type="auto"/>
                            <w:tcBorders>
                              <w:left w:val="single" w:sz="4" w:space="0" w:color="auto"/>
                              <w:right w:val="single" w:sz="4" w:space="0" w:color="auto"/>
                            </w:tcBorders>
                          </w:tcPr>
                          <w:p w14:paraId="41E07113"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1.1%</w:t>
                            </w:r>
                          </w:p>
                        </w:tc>
                      </w:tr>
                      <w:tr w:rsidR="008B0834" w:rsidRPr="00DE6518" w14:paraId="1E68F41E" w14:textId="77777777" w:rsidTr="00DA5BE3">
                        <w:tc>
                          <w:tcPr>
                            <w:tcW w:w="0" w:type="auto"/>
                            <w:tcBorders>
                              <w:left w:val="single" w:sz="4" w:space="0" w:color="auto"/>
                              <w:right w:val="single" w:sz="4" w:space="0" w:color="auto"/>
                            </w:tcBorders>
                          </w:tcPr>
                          <w:p w14:paraId="7F143785" w14:textId="77777777" w:rsidR="008B0834" w:rsidRPr="001B3607" w:rsidRDefault="008B0834" w:rsidP="00ED6EA6">
                            <w:pPr>
                              <w:spacing w:line="360" w:lineRule="auto"/>
                              <w:rPr>
                                <w:rFonts w:cstheme="minorHAnsi"/>
                                <w:sz w:val="13"/>
                                <w:szCs w:val="13"/>
                              </w:rPr>
                            </w:pPr>
                            <w:r w:rsidRPr="001B3607">
                              <w:rPr>
                                <w:rFonts w:cstheme="minorHAnsi"/>
                                <w:sz w:val="13"/>
                                <w:szCs w:val="13"/>
                              </w:rPr>
                              <w:t xml:space="preserve">Building approvals: </w:t>
                            </w:r>
                            <w:r w:rsidRPr="00023AE2">
                              <w:rPr>
                                <w:rFonts w:cstheme="minorHAnsi"/>
                                <w:sz w:val="13"/>
                                <w:szCs w:val="13"/>
                              </w:rPr>
                              <w:t>2022-23</w:t>
                            </w:r>
                          </w:p>
                        </w:tc>
                        <w:tc>
                          <w:tcPr>
                            <w:tcW w:w="795" w:type="dxa"/>
                            <w:tcBorders>
                              <w:left w:val="single" w:sz="4" w:space="0" w:color="auto"/>
                              <w:right w:val="single" w:sz="4" w:space="0" w:color="auto"/>
                            </w:tcBorders>
                          </w:tcPr>
                          <w:p w14:paraId="45A2EF5D"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w:t>
                            </w:r>
                            <w:r w:rsidRPr="00023AE2">
                              <w:rPr>
                                <w:rFonts w:cstheme="minorHAnsi"/>
                                <w:sz w:val="13"/>
                                <w:szCs w:val="13"/>
                              </w:rPr>
                              <w:t>8.1</w:t>
                            </w:r>
                            <w:r w:rsidRPr="001B3607">
                              <w:rPr>
                                <w:rFonts w:cstheme="minorHAnsi"/>
                                <w:sz w:val="13"/>
                                <w:szCs w:val="13"/>
                              </w:rPr>
                              <w:t>b</w:t>
                            </w:r>
                          </w:p>
                        </w:tc>
                        <w:tc>
                          <w:tcPr>
                            <w:tcW w:w="1128" w:type="dxa"/>
                            <w:tcBorders>
                              <w:left w:val="single" w:sz="4" w:space="0" w:color="auto"/>
                              <w:right w:val="single" w:sz="4" w:space="0" w:color="auto"/>
                            </w:tcBorders>
                          </w:tcPr>
                          <w:p w14:paraId="16C59AFB" w14:textId="77777777" w:rsidR="008B0834" w:rsidRPr="001B3607" w:rsidRDefault="008B0834" w:rsidP="00ED6EA6">
                            <w:pPr>
                              <w:spacing w:line="360" w:lineRule="auto"/>
                              <w:jc w:val="right"/>
                              <w:rPr>
                                <w:rFonts w:cstheme="minorHAnsi"/>
                                <w:sz w:val="13"/>
                                <w:szCs w:val="13"/>
                              </w:rPr>
                            </w:pPr>
                            <w:r w:rsidRPr="00023AE2">
                              <w:rPr>
                                <w:rFonts w:cstheme="minorHAnsi"/>
                                <w:sz w:val="13"/>
                                <w:szCs w:val="13"/>
                              </w:rPr>
                              <w:t>-19.9</w:t>
                            </w:r>
                            <w:r w:rsidRPr="001B3607">
                              <w:rPr>
                                <w:rFonts w:cstheme="minorHAnsi"/>
                                <w:sz w:val="13"/>
                                <w:szCs w:val="13"/>
                              </w:rPr>
                              <w:t>%</w:t>
                            </w:r>
                          </w:p>
                        </w:tc>
                        <w:tc>
                          <w:tcPr>
                            <w:tcW w:w="0" w:type="auto"/>
                            <w:tcBorders>
                              <w:left w:val="single" w:sz="4" w:space="0" w:color="auto"/>
                              <w:right w:val="single" w:sz="4" w:space="0" w:color="auto"/>
                            </w:tcBorders>
                          </w:tcPr>
                          <w:p w14:paraId="35D73AA5"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7</w:t>
                            </w:r>
                            <w:r w:rsidRPr="00023AE2">
                              <w:rPr>
                                <w:rFonts w:cstheme="minorHAnsi"/>
                                <w:sz w:val="13"/>
                                <w:szCs w:val="13"/>
                              </w:rPr>
                              <w:t>1.2</w:t>
                            </w:r>
                            <w:r w:rsidRPr="001B3607">
                              <w:rPr>
                                <w:rFonts w:cstheme="minorHAnsi"/>
                                <w:sz w:val="13"/>
                                <w:szCs w:val="13"/>
                              </w:rPr>
                              <w:t>%</w:t>
                            </w:r>
                          </w:p>
                        </w:tc>
                        <w:tc>
                          <w:tcPr>
                            <w:tcW w:w="0" w:type="auto"/>
                            <w:tcBorders>
                              <w:right w:val="single" w:sz="4" w:space="0" w:color="auto"/>
                            </w:tcBorders>
                          </w:tcPr>
                          <w:p w14:paraId="1CF18CE8" w14:textId="77777777" w:rsidR="008B0834" w:rsidRPr="00DE6518" w:rsidRDefault="008B0834" w:rsidP="00ED6EA6">
                            <w:pPr>
                              <w:rPr>
                                <w:rFonts w:cstheme="minorHAnsi"/>
                                <w:sz w:val="13"/>
                                <w:szCs w:val="13"/>
                              </w:rPr>
                            </w:pPr>
                          </w:p>
                        </w:tc>
                        <w:tc>
                          <w:tcPr>
                            <w:tcW w:w="0" w:type="auto"/>
                            <w:tcBorders>
                              <w:left w:val="single" w:sz="4" w:space="0" w:color="auto"/>
                              <w:right w:val="single" w:sz="4" w:space="0" w:color="auto"/>
                            </w:tcBorders>
                          </w:tcPr>
                          <w:p w14:paraId="79B76643" w14:textId="77777777" w:rsidR="008B0834" w:rsidRPr="001B3607" w:rsidRDefault="008B0834" w:rsidP="00ED6EA6">
                            <w:pPr>
                              <w:spacing w:line="360" w:lineRule="auto"/>
                              <w:rPr>
                                <w:rFonts w:cstheme="minorHAnsi"/>
                                <w:sz w:val="13"/>
                                <w:szCs w:val="13"/>
                              </w:rPr>
                            </w:pPr>
                            <w:r w:rsidRPr="001B3607">
                              <w:rPr>
                                <w:rFonts w:cstheme="minorHAnsi"/>
                                <w:sz w:val="13"/>
                                <w:szCs w:val="13"/>
                              </w:rPr>
                              <w:t xml:space="preserve">Building approvals: </w:t>
                            </w:r>
                            <w:r w:rsidRPr="00023AE2">
                              <w:rPr>
                                <w:rFonts w:cstheme="minorHAnsi"/>
                                <w:sz w:val="13"/>
                                <w:szCs w:val="13"/>
                              </w:rPr>
                              <w:t>2022-23</w:t>
                            </w:r>
                          </w:p>
                        </w:tc>
                        <w:tc>
                          <w:tcPr>
                            <w:tcW w:w="0" w:type="auto"/>
                            <w:tcBorders>
                              <w:left w:val="single" w:sz="4" w:space="0" w:color="auto"/>
                              <w:right w:val="single" w:sz="4" w:space="0" w:color="auto"/>
                            </w:tcBorders>
                          </w:tcPr>
                          <w:p w14:paraId="0BDB0B35"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$2</w:t>
                            </w:r>
                            <w:r w:rsidRPr="00023AE2">
                              <w:rPr>
                                <w:rFonts w:cstheme="minorHAnsi"/>
                                <w:sz w:val="13"/>
                                <w:szCs w:val="13"/>
                              </w:rPr>
                              <w:t>27</w:t>
                            </w:r>
                            <w:r w:rsidRPr="001B3607">
                              <w:rPr>
                                <w:rFonts w:cstheme="minorHAnsi"/>
                                <w:sz w:val="13"/>
                                <w:szCs w:val="13"/>
                              </w:rPr>
                              <w:t>m</w:t>
                            </w:r>
                          </w:p>
                        </w:tc>
                        <w:tc>
                          <w:tcPr>
                            <w:tcW w:w="0" w:type="auto"/>
                            <w:tcBorders>
                              <w:left w:val="single" w:sz="4" w:space="0" w:color="auto"/>
                              <w:right w:val="single" w:sz="4" w:space="0" w:color="auto"/>
                            </w:tcBorders>
                          </w:tcPr>
                          <w:p w14:paraId="6D49B543"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w:t>
                            </w:r>
                            <w:r w:rsidRPr="00023AE2">
                              <w:rPr>
                                <w:rFonts w:cstheme="minorHAnsi"/>
                                <w:sz w:val="13"/>
                                <w:szCs w:val="13"/>
                              </w:rPr>
                              <w:t>3.0</w:t>
                            </w:r>
                            <w:r w:rsidRPr="001B3607">
                              <w:rPr>
                                <w:rFonts w:cstheme="minorHAnsi"/>
                                <w:sz w:val="13"/>
                                <w:szCs w:val="13"/>
                              </w:rPr>
                              <w:t>%</w:t>
                            </w:r>
                          </w:p>
                        </w:tc>
                        <w:tc>
                          <w:tcPr>
                            <w:tcW w:w="0" w:type="auto"/>
                            <w:tcBorders>
                              <w:left w:val="single" w:sz="4" w:space="0" w:color="auto"/>
                              <w:right w:val="single" w:sz="4" w:space="0" w:color="auto"/>
                            </w:tcBorders>
                          </w:tcPr>
                          <w:p w14:paraId="3FBBB058" w14:textId="77777777" w:rsidR="008B0834" w:rsidRPr="001B3607" w:rsidRDefault="008B0834" w:rsidP="00ED6EA6">
                            <w:pPr>
                              <w:spacing w:line="360" w:lineRule="auto"/>
                              <w:jc w:val="right"/>
                              <w:rPr>
                                <w:rFonts w:cstheme="minorHAnsi"/>
                                <w:sz w:val="13"/>
                                <w:szCs w:val="13"/>
                              </w:rPr>
                            </w:pPr>
                            <w:r w:rsidRPr="00023AE2">
                              <w:rPr>
                                <w:rFonts w:cstheme="minorHAnsi"/>
                                <w:sz w:val="13"/>
                                <w:szCs w:val="13"/>
                              </w:rPr>
                              <w:t>2.0</w:t>
                            </w:r>
                            <w:r w:rsidRPr="001B3607">
                              <w:rPr>
                                <w:rFonts w:cstheme="minorHAnsi"/>
                                <w:sz w:val="13"/>
                                <w:szCs w:val="13"/>
                              </w:rPr>
                              <w:t>%</w:t>
                            </w:r>
                          </w:p>
                        </w:tc>
                      </w:tr>
                      <w:tr w:rsidR="008B0834" w:rsidRPr="00EE46E2" w14:paraId="26C7217A" w14:textId="77777777" w:rsidTr="00DA5BE3">
                        <w:tc>
                          <w:tcPr>
                            <w:tcW w:w="0" w:type="auto"/>
                            <w:tcBorders>
                              <w:left w:val="single" w:sz="4" w:space="0" w:color="auto"/>
                              <w:bottom w:val="single" w:sz="4" w:space="0" w:color="auto"/>
                              <w:right w:val="single" w:sz="4" w:space="0" w:color="auto"/>
                            </w:tcBorders>
                          </w:tcPr>
                          <w:p w14:paraId="3B69D5B3" w14:textId="77777777" w:rsidR="008B0834" w:rsidRPr="008809A4" w:rsidRDefault="008B0834" w:rsidP="00ED6EA6">
                            <w:pPr>
                              <w:spacing w:line="360" w:lineRule="auto"/>
                              <w:rPr>
                                <w:rFonts w:cstheme="minorHAnsi"/>
                                <w:sz w:val="13"/>
                                <w:szCs w:val="13"/>
                              </w:rPr>
                            </w:pPr>
                            <w:r w:rsidRPr="008809A4">
                              <w:rPr>
                                <w:rFonts w:cstheme="minorHAnsi"/>
                                <w:sz w:val="13"/>
                                <w:szCs w:val="13"/>
                              </w:rPr>
                              <w:t>Overnight visitors a year: 2020-22</w:t>
                            </w:r>
                          </w:p>
                        </w:tc>
                        <w:tc>
                          <w:tcPr>
                            <w:tcW w:w="795" w:type="dxa"/>
                            <w:tcBorders>
                              <w:left w:val="single" w:sz="4" w:space="0" w:color="auto"/>
                              <w:bottom w:val="single" w:sz="4" w:space="0" w:color="auto"/>
                              <w:right w:val="single" w:sz="4" w:space="0" w:color="auto"/>
                            </w:tcBorders>
                          </w:tcPr>
                          <w:p w14:paraId="663813B5"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2,923,000</w:t>
                            </w:r>
                          </w:p>
                        </w:tc>
                        <w:tc>
                          <w:tcPr>
                            <w:tcW w:w="1128" w:type="dxa"/>
                            <w:tcBorders>
                              <w:left w:val="single" w:sz="4" w:space="0" w:color="auto"/>
                              <w:bottom w:val="single" w:sz="4" w:space="0" w:color="auto"/>
                              <w:right w:val="single" w:sz="4" w:space="0" w:color="auto"/>
                            </w:tcBorders>
                          </w:tcPr>
                          <w:p w14:paraId="1059053C" w14:textId="77777777" w:rsidR="008B0834" w:rsidRPr="008809A4" w:rsidRDefault="008B0834" w:rsidP="00ED6EA6">
                            <w:pPr>
                              <w:spacing w:line="360" w:lineRule="auto"/>
                              <w:jc w:val="right"/>
                              <w:rPr>
                                <w:rFonts w:cstheme="minorHAnsi"/>
                                <w:sz w:val="13"/>
                                <w:szCs w:val="13"/>
                              </w:rPr>
                            </w:pPr>
                          </w:p>
                        </w:tc>
                        <w:tc>
                          <w:tcPr>
                            <w:tcW w:w="0" w:type="auto"/>
                            <w:tcBorders>
                              <w:left w:val="single" w:sz="4" w:space="0" w:color="auto"/>
                              <w:bottom w:val="single" w:sz="4" w:space="0" w:color="auto"/>
                              <w:right w:val="single" w:sz="4" w:space="0" w:color="auto"/>
                            </w:tcBorders>
                          </w:tcPr>
                          <w:p w14:paraId="422A99A7"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26.9%</w:t>
                            </w:r>
                          </w:p>
                        </w:tc>
                        <w:tc>
                          <w:tcPr>
                            <w:tcW w:w="0" w:type="auto"/>
                            <w:tcBorders>
                              <w:right w:val="single" w:sz="4" w:space="0" w:color="auto"/>
                            </w:tcBorders>
                          </w:tcPr>
                          <w:p w14:paraId="775560C0" w14:textId="77777777" w:rsidR="008B0834" w:rsidRPr="00EE46E2" w:rsidRDefault="008B0834" w:rsidP="00ED6EA6">
                            <w:pPr>
                              <w:rPr>
                                <w:rFonts w:cstheme="minorHAnsi"/>
                                <w:sz w:val="13"/>
                                <w:szCs w:val="13"/>
                              </w:rPr>
                            </w:pPr>
                          </w:p>
                        </w:tc>
                        <w:tc>
                          <w:tcPr>
                            <w:tcW w:w="0" w:type="auto"/>
                            <w:tcBorders>
                              <w:left w:val="single" w:sz="4" w:space="0" w:color="auto"/>
                              <w:bottom w:val="single" w:sz="4" w:space="0" w:color="auto"/>
                              <w:right w:val="single" w:sz="4" w:space="0" w:color="auto"/>
                            </w:tcBorders>
                          </w:tcPr>
                          <w:p w14:paraId="216D91B9" w14:textId="77777777" w:rsidR="008B0834" w:rsidRPr="008809A4" w:rsidRDefault="008B0834" w:rsidP="00ED6EA6">
                            <w:pPr>
                              <w:spacing w:line="360" w:lineRule="auto"/>
                              <w:rPr>
                                <w:rFonts w:cstheme="minorHAnsi"/>
                                <w:sz w:val="13"/>
                                <w:szCs w:val="13"/>
                              </w:rPr>
                            </w:pPr>
                            <w:r w:rsidRPr="008809A4">
                              <w:rPr>
                                <w:rFonts w:cstheme="minorHAnsi"/>
                                <w:sz w:val="13"/>
                                <w:szCs w:val="13"/>
                              </w:rPr>
                              <w:t>Overnight visitors a year: 2020-22</w:t>
                            </w:r>
                          </w:p>
                        </w:tc>
                        <w:tc>
                          <w:tcPr>
                            <w:tcW w:w="0" w:type="auto"/>
                            <w:tcBorders>
                              <w:left w:val="single" w:sz="4" w:space="0" w:color="auto"/>
                              <w:bottom w:val="single" w:sz="4" w:space="0" w:color="auto"/>
                              <w:right w:val="single" w:sz="4" w:space="0" w:color="auto"/>
                            </w:tcBorders>
                          </w:tcPr>
                          <w:p w14:paraId="037C364F"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1,071,000</w:t>
                            </w:r>
                          </w:p>
                        </w:tc>
                        <w:tc>
                          <w:tcPr>
                            <w:tcW w:w="0" w:type="auto"/>
                            <w:tcBorders>
                              <w:left w:val="single" w:sz="4" w:space="0" w:color="auto"/>
                              <w:bottom w:val="single" w:sz="4" w:space="0" w:color="auto"/>
                              <w:right w:val="single" w:sz="4" w:space="0" w:color="auto"/>
                            </w:tcBorders>
                          </w:tcPr>
                          <w:p w14:paraId="4F3C2ED8" w14:textId="77777777" w:rsidR="008B0834" w:rsidRPr="008809A4" w:rsidRDefault="008B0834" w:rsidP="00ED6EA6">
                            <w:pPr>
                              <w:spacing w:line="360" w:lineRule="auto"/>
                              <w:jc w:val="right"/>
                              <w:rPr>
                                <w:rFonts w:cstheme="minorHAnsi"/>
                                <w:sz w:val="13"/>
                                <w:szCs w:val="13"/>
                              </w:rPr>
                            </w:pPr>
                          </w:p>
                        </w:tc>
                        <w:tc>
                          <w:tcPr>
                            <w:tcW w:w="0" w:type="auto"/>
                            <w:tcBorders>
                              <w:left w:val="single" w:sz="4" w:space="0" w:color="auto"/>
                              <w:bottom w:val="single" w:sz="4" w:space="0" w:color="auto"/>
                              <w:right w:val="single" w:sz="4" w:space="0" w:color="auto"/>
                            </w:tcBorders>
                          </w:tcPr>
                          <w:p w14:paraId="52DDEC82"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9.9%</w:t>
                            </w:r>
                          </w:p>
                        </w:tc>
                      </w:tr>
                      <w:tr w:rsidR="008B0834" w:rsidRPr="00EE46E2" w14:paraId="615DA212" w14:textId="77777777" w:rsidTr="00DA5BE3">
                        <w:tc>
                          <w:tcPr>
                            <w:tcW w:w="0" w:type="auto"/>
                            <w:tcBorders>
                              <w:top w:val="single" w:sz="4" w:space="0" w:color="auto"/>
                            </w:tcBorders>
                          </w:tcPr>
                          <w:p w14:paraId="405C0E87" w14:textId="77777777" w:rsidR="008B0834" w:rsidRPr="00502167" w:rsidRDefault="008B0834" w:rsidP="00ED6EA6">
                            <w:pPr>
                              <w:rPr>
                                <w:rFonts w:cstheme="minorHAnsi"/>
                                <w:sz w:val="9"/>
                                <w:szCs w:val="13"/>
                              </w:rPr>
                            </w:pPr>
                          </w:p>
                        </w:tc>
                        <w:tc>
                          <w:tcPr>
                            <w:tcW w:w="795" w:type="dxa"/>
                            <w:tcBorders>
                              <w:top w:val="single" w:sz="4" w:space="0" w:color="auto"/>
                            </w:tcBorders>
                          </w:tcPr>
                          <w:p w14:paraId="26A61647" w14:textId="77777777" w:rsidR="008B0834" w:rsidRPr="00EE46E2" w:rsidRDefault="008B0834" w:rsidP="00ED6EA6">
                            <w:pPr>
                              <w:rPr>
                                <w:rFonts w:cstheme="minorHAnsi"/>
                                <w:sz w:val="13"/>
                                <w:szCs w:val="13"/>
                              </w:rPr>
                            </w:pPr>
                          </w:p>
                        </w:tc>
                        <w:tc>
                          <w:tcPr>
                            <w:tcW w:w="1128" w:type="dxa"/>
                            <w:tcBorders>
                              <w:top w:val="single" w:sz="4" w:space="0" w:color="auto"/>
                            </w:tcBorders>
                          </w:tcPr>
                          <w:p w14:paraId="4CB17556" w14:textId="77777777" w:rsidR="008B0834" w:rsidRDefault="008B0834" w:rsidP="00ED6EA6">
                            <w:pPr>
                              <w:rPr>
                                <w:rFonts w:cstheme="minorHAnsi"/>
                                <w:sz w:val="13"/>
                                <w:szCs w:val="13"/>
                              </w:rPr>
                            </w:pPr>
                          </w:p>
                          <w:p w14:paraId="4EEF5263" w14:textId="77777777" w:rsidR="008B0834" w:rsidRPr="00EE46E2" w:rsidRDefault="008B0834" w:rsidP="00ED6EA6">
                            <w:pPr>
                              <w:rPr>
                                <w:rFonts w:cstheme="minorHAnsi"/>
                                <w:sz w:val="13"/>
                                <w:szCs w:val="13"/>
                              </w:rPr>
                            </w:pPr>
                          </w:p>
                        </w:tc>
                        <w:tc>
                          <w:tcPr>
                            <w:tcW w:w="0" w:type="auto"/>
                            <w:tcBorders>
                              <w:top w:val="single" w:sz="4" w:space="0" w:color="auto"/>
                            </w:tcBorders>
                          </w:tcPr>
                          <w:p w14:paraId="4E387A41" w14:textId="77777777" w:rsidR="008B0834" w:rsidRPr="00EE46E2" w:rsidRDefault="008B0834" w:rsidP="00ED6EA6">
                            <w:pPr>
                              <w:rPr>
                                <w:rFonts w:cstheme="minorHAnsi"/>
                                <w:sz w:val="13"/>
                                <w:szCs w:val="13"/>
                              </w:rPr>
                            </w:pPr>
                          </w:p>
                        </w:tc>
                        <w:tc>
                          <w:tcPr>
                            <w:tcW w:w="0" w:type="auto"/>
                          </w:tcPr>
                          <w:p w14:paraId="67B6E4BB" w14:textId="77777777" w:rsidR="008B0834" w:rsidRPr="00EE46E2" w:rsidRDefault="008B0834" w:rsidP="00ED6EA6">
                            <w:pPr>
                              <w:rPr>
                                <w:rFonts w:cstheme="minorHAnsi"/>
                                <w:sz w:val="13"/>
                                <w:szCs w:val="13"/>
                              </w:rPr>
                            </w:pPr>
                          </w:p>
                        </w:tc>
                        <w:tc>
                          <w:tcPr>
                            <w:tcW w:w="0" w:type="auto"/>
                            <w:tcBorders>
                              <w:top w:val="single" w:sz="4" w:space="0" w:color="auto"/>
                            </w:tcBorders>
                          </w:tcPr>
                          <w:p w14:paraId="6E71C0F5" w14:textId="77777777" w:rsidR="008B0834" w:rsidRPr="00EE46E2" w:rsidRDefault="008B0834" w:rsidP="00ED6EA6">
                            <w:pPr>
                              <w:rPr>
                                <w:rFonts w:cstheme="minorHAnsi"/>
                                <w:sz w:val="13"/>
                                <w:szCs w:val="13"/>
                              </w:rPr>
                            </w:pPr>
                          </w:p>
                        </w:tc>
                        <w:tc>
                          <w:tcPr>
                            <w:tcW w:w="0" w:type="auto"/>
                            <w:tcBorders>
                              <w:top w:val="single" w:sz="4" w:space="0" w:color="auto"/>
                            </w:tcBorders>
                          </w:tcPr>
                          <w:p w14:paraId="1D046DD8" w14:textId="77777777" w:rsidR="008B0834" w:rsidRPr="00EE46E2" w:rsidRDefault="008B0834" w:rsidP="00ED6EA6">
                            <w:pPr>
                              <w:rPr>
                                <w:rFonts w:cstheme="minorHAnsi"/>
                                <w:sz w:val="13"/>
                                <w:szCs w:val="13"/>
                              </w:rPr>
                            </w:pPr>
                          </w:p>
                        </w:tc>
                        <w:tc>
                          <w:tcPr>
                            <w:tcW w:w="0" w:type="auto"/>
                            <w:tcBorders>
                              <w:top w:val="single" w:sz="4" w:space="0" w:color="auto"/>
                            </w:tcBorders>
                          </w:tcPr>
                          <w:p w14:paraId="4DF6AE3E" w14:textId="77777777" w:rsidR="008B0834" w:rsidRPr="00EE46E2" w:rsidRDefault="008B0834" w:rsidP="00ED6EA6">
                            <w:pPr>
                              <w:rPr>
                                <w:rFonts w:cstheme="minorHAnsi"/>
                                <w:sz w:val="13"/>
                                <w:szCs w:val="13"/>
                              </w:rPr>
                            </w:pPr>
                          </w:p>
                        </w:tc>
                        <w:tc>
                          <w:tcPr>
                            <w:tcW w:w="0" w:type="auto"/>
                            <w:tcBorders>
                              <w:top w:val="single" w:sz="4" w:space="0" w:color="auto"/>
                            </w:tcBorders>
                          </w:tcPr>
                          <w:p w14:paraId="0B8751E6" w14:textId="77777777" w:rsidR="008B0834" w:rsidRPr="00EE46E2" w:rsidRDefault="008B0834" w:rsidP="00ED6EA6">
                            <w:pPr>
                              <w:rPr>
                                <w:rFonts w:cstheme="minorHAnsi"/>
                                <w:sz w:val="13"/>
                                <w:szCs w:val="13"/>
                              </w:rPr>
                            </w:pPr>
                          </w:p>
                        </w:tc>
                      </w:tr>
                      <w:tr w:rsidR="008B0834" w:rsidRPr="00EE46E2" w14:paraId="031960AE" w14:textId="77777777" w:rsidTr="00DA5BE3">
                        <w:tc>
                          <w:tcPr>
                            <w:tcW w:w="0" w:type="auto"/>
                            <w:gridSpan w:val="4"/>
                            <w:tcBorders>
                              <w:top w:val="single" w:sz="4" w:space="0" w:color="auto"/>
                              <w:left w:val="single" w:sz="4" w:space="0" w:color="auto"/>
                              <w:bottom w:val="single" w:sz="4" w:space="0" w:color="auto"/>
                              <w:right w:val="single" w:sz="4" w:space="0" w:color="auto"/>
                            </w:tcBorders>
                            <w:shd w:val="clear" w:color="auto" w:fill="D09BCF" w:themeFill="text2" w:themeFillTint="66"/>
                          </w:tcPr>
                          <w:p w14:paraId="601F6B3F" w14:textId="77777777" w:rsidR="008B0834" w:rsidRPr="00EE46E2" w:rsidRDefault="008B0834" w:rsidP="00ED6EA6">
                            <w:pPr>
                              <w:spacing w:line="360" w:lineRule="auto"/>
                              <w:rPr>
                                <w:rFonts w:cstheme="minorHAnsi"/>
                                <w:b/>
                                <w:sz w:val="13"/>
                                <w:szCs w:val="13"/>
                              </w:rPr>
                            </w:pPr>
                            <w:r w:rsidRPr="00904A09">
                              <w:rPr>
                                <w:rFonts w:cstheme="minorHAnsi"/>
                                <w:b/>
                                <w:color w:val="002060"/>
                                <w:sz w:val="14"/>
                                <w:szCs w:val="14"/>
                              </w:rPr>
                              <w:t>PEEL</w:t>
                            </w:r>
                          </w:p>
                        </w:tc>
                        <w:tc>
                          <w:tcPr>
                            <w:tcW w:w="0" w:type="auto"/>
                            <w:tcBorders>
                              <w:right w:val="single" w:sz="4" w:space="0" w:color="auto"/>
                            </w:tcBorders>
                          </w:tcPr>
                          <w:p w14:paraId="30624081" w14:textId="77777777" w:rsidR="008B0834" w:rsidRPr="00EE46E2" w:rsidRDefault="008B0834" w:rsidP="00ED6EA6">
                            <w:pPr>
                              <w:rPr>
                                <w:rFonts w:cstheme="minorHAnsi"/>
                                <w:sz w:val="13"/>
                                <w:szCs w:val="13"/>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FFDA8F"/>
                          </w:tcPr>
                          <w:p w14:paraId="44516EED" w14:textId="77777777" w:rsidR="008B0834" w:rsidRPr="00EE46E2" w:rsidRDefault="008B0834" w:rsidP="00ED6EA6">
                            <w:pPr>
                              <w:spacing w:line="360" w:lineRule="auto"/>
                              <w:rPr>
                                <w:rFonts w:cstheme="minorHAnsi"/>
                                <w:b/>
                                <w:sz w:val="13"/>
                                <w:szCs w:val="13"/>
                              </w:rPr>
                            </w:pPr>
                            <w:r w:rsidRPr="00904A09">
                              <w:rPr>
                                <w:rFonts w:cstheme="minorHAnsi"/>
                                <w:b/>
                                <w:color w:val="002060"/>
                                <w:sz w:val="14"/>
                                <w:szCs w:val="14"/>
                              </w:rPr>
                              <w:t>GOLDFIELDS-ESPERANCE</w:t>
                            </w:r>
                          </w:p>
                        </w:tc>
                      </w:tr>
                      <w:tr w:rsidR="008B0834" w:rsidRPr="00EE46E2" w14:paraId="71BB3F23" w14:textId="77777777" w:rsidTr="00DA5BE3">
                        <w:tc>
                          <w:tcPr>
                            <w:tcW w:w="0" w:type="auto"/>
                            <w:tcBorders>
                              <w:top w:val="single" w:sz="4" w:space="0" w:color="auto"/>
                              <w:left w:val="single" w:sz="4" w:space="0" w:color="auto"/>
                              <w:right w:val="single" w:sz="4" w:space="0" w:color="auto"/>
                            </w:tcBorders>
                          </w:tcPr>
                          <w:p w14:paraId="7F9E99DF" w14:textId="77777777" w:rsidR="008B0834" w:rsidRPr="00A1002D" w:rsidRDefault="008B0834" w:rsidP="00ED6EA6">
                            <w:pPr>
                              <w:spacing w:line="360" w:lineRule="auto"/>
                              <w:rPr>
                                <w:rFonts w:cstheme="minorHAnsi"/>
                                <w:sz w:val="13"/>
                                <w:szCs w:val="13"/>
                              </w:rPr>
                            </w:pPr>
                          </w:p>
                        </w:tc>
                        <w:tc>
                          <w:tcPr>
                            <w:tcW w:w="795" w:type="dxa"/>
                            <w:tcBorders>
                              <w:top w:val="single" w:sz="4" w:space="0" w:color="auto"/>
                              <w:left w:val="single" w:sz="4" w:space="0" w:color="auto"/>
                              <w:right w:val="single" w:sz="4" w:space="0" w:color="auto"/>
                            </w:tcBorders>
                          </w:tcPr>
                          <w:p w14:paraId="0281F5BB" w14:textId="77777777" w:rsidR="008B0834" w:rsidRPr="00EE46E2" w:rsidRDefault="008B0834" w:rsidP="00ED6EA6">
                            <w:pPr>
                              <w:spacing w:line="360" w:lineRule="auto"/>
                              <w:jc w:val="right"/>
                              <w:rPr>
                                <w:rFonts w:cstheme="minorHAnsi"/>
                                <w:sz w:val="13"/>
                                <w:szCs w:val="13"/>
                              </w:rPr>
                            </w:pPr>
                            <w:r w:rsidRPr="00EE46E2">
                              <w:rPr>
                                <w:rFonts w:cstheme="minorHAnsi"/>
                                <w:sz w:val="13"/>
                                <w:szCs w:val="13"/>
                              </w:rPr>
                              <w:t>Figure</w:t>
                            </w:r>
                          </w:p>
                        </w:tc>
                        <w:tc>
                          <w:tcPr>
                            <w:tcW w:w="1128" w:type="dxa"/>
                            <w:tcBorders>
                              <w:top w:val="single" w:sz="4" w:space="0" w:color="auto"/>
                              <w:left w:val="single" w:sz="4" w:space="0" w:color="auto"/>
                              <w:right w:val="single" w:sz="4" w:space="0" w:color="auto"/>
                            </w:tcBorders>
                          </w:tcPr>
                          <w:p w14:paraId="4EBCB8C3" w14:textId="77777777" w:rsidR="008B0834" w:rsidRPr="00EE46E2" w:rsidRDefault="008B0834" w:rsidP="00ED6EA6">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3908E2AA" w14:textId="77777777" w:rsidR="008B0834" w:rsidRPr="00EE46E2" w:rsidRDefault="008B0834" w:rsidP="00ED6EA6">
                            <w:pPr>
                              <w:spacing w:line="360" w:lineRule="auto"/>
                              <w:jc w:val="right"/>
                              <w:rPr>
                                <w:rFonts w:cstheme="minorHAnsi"/>
                                <w:sz w:val="13"/>
                                <w:szCs w:val="13"/>
                              </w:rPr>
                            </w:pPr>
                            <w:r w:rsidRPr="00EE46E2">
                              <w:rPr>
                                <w:rFonts w:cstheme="minorHAnsi"/>
                                <w:sz w:val="13"/>
                                <w:szCs w:val="13"/>
                              </w:rPr>
                              <w:t>WA share</w:t>
                            </w:r>
                          </w:p>
                        </w:tc>
                        <w:tc>
                          <w:tcPr>
                            <w:tcW w:w="0" w:type="auto"/>
                            <w:tcBorders>
                              <w:right w:val="single" w:sz="4" w:space="0" w:color="auto"/>
                            </w:tcBorders>
                          </w:tcPr>
                          <w:p w14:paraId="24EC6BBA" w14:textId="77777777" w:rsidR="008B0834" w:rsidRPr="00EE46E2" w:rsidRDefault="008B0834" w:rsidP="00ED6EA6">
                            <w:pPr>
                              <w:rPr>
                                <w:rFonts w:cstheme="minorHAnsi"/>
                                <w:sz w:val="13"/>
                                <w:szCs w:val="13"/>
                              </w:rPr>
                            </w:pPr>
                          </w:p>
                        </w:tc>
                        <w:tc>
                          <w:tcPr>
                            <w:tcW w:w="0" w:type="auto"/>
                            <w:tcBorders>
                              <w:top w:val="single" w:sz="4" w:space="0" w:color="auto"/>
                              <w:left w:val="single" w:sz="4" w:space="0" w:color="auto"/>
                              <w:right w:val="single" w:sz="4" w:space="0" w:color="auto"/>
                            </w:tcBorders>
                          </w:tcPr>
                          <w:p w14:paraId="1CED7B7D" w14:textId="77777777" w:rsidR="008B0834" w:rsidRPr="00A1002D" w:rsidRDefault="008B0834" w:rsidP="00ED6EA6">
                            <w:pPr>
                              <w:spacing w:line="360" w:lineRule="auto"/>
                              <w:rPr>
                                <w:rFonts w:cstheme="minorHAnsi"/>
                                <w:sz w:val="13"/>
                                <w:szCs w:val="13"/>
                              </w:rPr>
                            </w:pPr>
                          </w:p>
                        </w:tc>
                        <w:tc>
                          <w:tcPr>
                            <w:tcW w:w="0" w:type="auto"/>
                            <w:tcBorders>
                              <w:top w:val="single" w:sz="4" w:space="0" w:color="auto"/>
                              <w:left w:val="single" w:sz="4" w:space="0" w:color="auto"/>
                              <w:right w:val="single" w:sz="4" w:space="0" w:color="auto"/>
                            </w:tcBorders>
                          </w:tcPr>
                          <w:p w14:paraId="5DA737BC" w14:textId="77777777" w:rsidR="008B0834" w:rsidRPr="00EE46E2" w:rsidRDefault="008B0834" w:rsidP="00ED6EA6">
                            <w:pPr>
                              <w:spacing w:line="360" w:lineRule="auto"/>
                              <w:jc w:val="right"/>
                              <w:rPr>
                                <w:rFonts w:cstheme="minorHAnsi"/>
                                <w:sz w:val="13"/>
                                <w:szCs w:val="13"/>
                              </w:rPr>
                            </w:pPr>
                            <w:r w:rsidRPr="00EE46E2">
                              <w:rPr>
                                <w:rFonts w:cstheme="minorHAnsi"/>
                                <w:sz w:val="13"/>
                                <w:szCs w:val="13"/>
                              </w:rPr>
                              <w:t>Figure</w:t>
                            </w:r>
                          </w:p>
                        </w:tc>
                        <w:tc>
                          <w:tcPr>
                            <w:tcW w:w="0" w:type="auto"/>
                            <w:tcBorders>
                              <w:top w:val="single" w:sz="4" w:space="0" w:color="auto"/>
                              <w:left w:val="single" w:sz="4" w:space="0" w:color="auto"/>
                              <w:right w:val="single" w:sz="4" w:space="0" w:color="auto"/>
                            </w:tcBorders>
                          </w:tcPr>
                          <w:p w14:paraId="73121284" w14:textId="77777777" w:rsidR="008B0834" w:rsidRPr="00EE46E2" w:rsidRDefault="008B0834" w:rsidP="00ED6EA6">
                            <w:pPr>
                              <w:spacing w:line="360" w:lineRule="auto"/>
                              <w:jc w:val="right"/>
                              <w:rPr>
                                <w:rFonts w:cstheme="minorHAnsi"/>
                                <w:sz w:val="13"/>
                                <w:szCs w:val="13"/>
                              </w:rPr>
                            </w:pPr>
                            <w:r w:rsidRPr="00EE46E2">
                              <w:rPr>
                                <w:rFonts w:cstheme="minorHAnsi"/>
                                <w:sz w:val="13"/>
                                <w:szCs w:val="13"/>
                              </w:rPr>
                              <w:t>Annual change</w:t>
                            </w:r>
                            <w:r w:rsidRPr="00EE46E2">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175D4F63" w14:textId="77777777" w:rsidR="008B0834" w:rsidRPr="00EE46E2" w:rsidRDefault="008B0834" w:rsidP="00ED6EA6">
                            <w:pPr>
                              <w:spacing w:line="360" w:lineRule="auto"/>
                              <w:jc w:val="right"/>
                              <w:rPr>
                                <w:rFonts w:cstheme="minorHAnsi"/>
                                <w:sz w:val="13"/>
                                <w:szCs w:val="13"/>
                              </w:rPr>
                            </w:pPr>
                            <w:r w:rsidRPr="00EE46E2">
                              <w:rPr>
                                <w:rFonts w:cstheme="minorHAnsi"/>
                                <w:sz w:val="13"/>
                                <w:szCs w:val="13"/>
                              </w:rPr>
                              <w:t>WA share</w:t>
                            </w:r>
                          </w:p>
                        </w:tc>
                      </w:tr>
                      <w:tr w:rsidR="008B0834" w:rsidRPr="00EE46E2" w14:paraId="1AD8A801" w14:textId="77777777" w:rsidTr="00DA5BE3">
                        <w:tc>
                          <w:tcPr>
                            <w:tcW w:w="0" w:type="auto"/>
                            <w:tcBorders>
                              <w:left w:val="single" w:sz="4" w:space="0" w:color="auto"/>
                              <w:right w:val="single" w:sz="4" w:space="0" w:color="auto"/>
                            </w:tcBorders>
                          </w:tcPr>
                          <w:p w14:paraId="37720811" w14:textId="77777777" w:rsidR="008B0834" w:rsidRPr="008809A4" w:rsidRDefault="008B0834" w:rsidP="00ED6EA6">
                            <w:pPr>
                              <w:spacing w:line="360" w:lineRule="auto"/>
                              <w:rPr>
                                <w:rFonts w:cstheme="minorHAnsi"/>
                                <w:sz w:val="13"/>
                                <w:szCs w:val="13"/>
                              </w:rPr>
                            </w:pPr>
                            <w:r w:rsidRPr="008809A4">
                              <w:rPr>
                                <w:rFonts w:cstheme="minorHAnsi"/>
                                <w:sz w:val="13"/>
                                <w:szCs w:val="13"/>
                              </w:rPr>
                              <w:t>Gross regional product: 2021-22</w:t>
                            </w:r>
                          </w:p>
                        </w:tc>
                        <w:tc>
                          <w:tcPr>
                            <w:tcW w:w="795" w:type="dxa"/>
                            <w:tcBorders>
                              <w:left w:val="single" w:sz="4" w:space="0" w:color="auto"/>
                              <w:right w:val="single" w:sz="4" w:space="0" w:color="auto"/>
                            </w:tcBorders>
                          </w:tcPr>
                          <w:p w14:paraId="2CAC52D0"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$9.9b</w:t>
                            </w:r>
                          </w:p>
                        </w:tc>
                        <w:tc>
                          <w:tcPr>
                            <w:tcW w:w="1128" w:type="dxa"/>
                            <w:tcBorders>
                              <w:left w:val="single" w:sz="4" w:space="0" w:color="auto"/>
                              <w:right w:val="single" w:sz="4" w:space="0" w:color="auto"/>
                            </w:tcBorders>
                          </w:tcPr>
                          <w:p w14:paraId="69F1B8D9"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+9.0%</w:t>
                            </w:r>
                          </w:p>
                        </w:tc>
                        <w:tc>
                          <w:tcPr>
                            <w:tcW w:w="0" w:type="auto"/>
                            <w:tcBorders>
                              <w:left w:val="single" w:sz="4" w:space="0" w:color="auto"/>
                              <w:right w:val="single" w:sz="4" w:space="0" w:color="auto"/>
                            </w:tcBorders>
                          </w:tcPr>
                          <w:p w14:paraId="794D3B04"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2.5%</w:t>
                            </w:r>
                          </w:p>
                        </w:tc>
                        <w:tc>
                          <w:tcPr>
                            <w:tcW w:w="0" w:type="auto"/>
                            <w:tcBorders>
                              <w:right w:val="single" w:sz="4" w:space="0" w:color="auto"/>
                            </w:tcBorders>
                          </w:tcPr>
                          <w:p w14:paraId="22DDEEA8" w14:textId="77777777" w:rsidR="008B0834" w:rsidRPr="00EE46E2" w:rsidRDefault="008B0834" w:rsidP="00ED6EA6">
                            <w:pPr>
                              <w:rPr>
                                <w:rFonts w:cstheme="minorHAnsi"/>
                                <w:sz w:val="13"/>
                                <w:szCs w:val="13"/>
                              </w:rPr>
                            </w:pPr>
                          </w:p>
                        </w:tc>
                        <w:tc>
                          <w:tcPr>
                            <w:tcW w:w="0" w:type="auto"/>
                            <w:tcBorders>
                              <w:left w:val="single" w:sz="4" w:space="0" w:color="auto"/>
                              <w:right w:val="single" w:sz="4" w:space="0" w:color="auto"/>
                            </w:tcBorders>
                          </w:tcPr>
                          <w:p w14:paraId="37197394" w14:textId="77777777" w:rsidR="008B0834" w:rsidRPr="008809A4" w:rsidRDefault="008B0834" w:rsidP="00ED6EA6">
                            <w:pPr>
                              <w:spacing w:line="360" w:lineRule="auto"/>
                              <w:rPr>
                                <w:rFonts w:cstheme="minorHAnsi"/>
                                <w:sz w:val="13"/>
                                <w:szCs w:val="13"/>
                              </w:rPr>
                            </w:pPr>
                            <w:r w:rsidRPr="008809A4">
                              <w:rPr>
                                <w:rFonts w:cstheme="minorHAnsi"/>
                                <w:sz w:val="13"/>
                                <w:szCs w:val="13"/>
                              </w:rPr>
                              <w:t>Gross regional product: 2021-22</w:t>
                            </w:r>
                          </w:p>
                        </w:tc>
                        <w:tc>
                          <w:tcPr>
                            <w:tcW w:w="0" w:type="auto"/>
                            <w:tcBorders>
                              <w:left w:val="single" w:sz="4" w:space="0" w:color="auto"/>
                              <w:right w:val="single" w:sz="4" w:space="0" w:color="auto"/>
                            </w:tcBorders>
                          </w:tcPr>
                          <w:p w14:paraId="6673D8B8"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$13.1b</w:t>
                            </w:r>
                          </w:p>
                        </w:tc>
                        <w:tc>
                          <w:tcPr>
                            <w:tcW w:w="0" w:type="auto"/>
                            <w:tcBorders>
                              <w:left w:val="single" w:sz="4" w:space="0" w:color="auto"/>
                              <w:right w:val="single" w:sz="4" w:space="0" w:color="auto"/>
                            </w:tcBorders>
                          </w:tcPr>
                          <w:p w14:paraId="054DF086"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+22.4%</w:t>
                            </w:r>
                          </w:p>
                        </w:tc>
                        <w:tc>
                          <w:tcPr>
                            <w:tcW w:w="0" w:type="auto"/>
                            <w:tcBorders>
                              <w:left w:val="single" w:sz="4" w:space="0" w:color="auto"/>
                              <w:right w:val="single" w:sz="4" w:space="0" w:color="auto"/>
                            </w:tcBorders>
                          </w:tcPr>
                          <w:p w14:paraId="1A110AD1"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3.2%</w:t>
                            </w:r>
                          </w:p>
                        </w:tc>
                      </w:tr>
                      <w:tr w:rsidR="008B0834" w:rsidRPr="00EE46E2" w14:paraId="462C6101" w14:textId="77777777" w:rsidTr="00DA5BE3">
                        <w:tc>
                          <w:tcPr>
                            <w:tcW w:w="0" w:type="auto"/>
                            <w:tcBorders>
                              <w:left w:val="single" w:sz="4" w:space="0" w:color="auto"/>
                              <w:right w:val="single" w:sz="4" w:space="0" w:color="auto"/>
                            </w:tcBorders>
                          </w:tcPr>
                          <w:p w14:paraId="04B1EB0F" w14:textId="77777777" w:rsidR="008B0834" w:rsidRPr="008809A4" w:rsidRDefault="008B0834" w:rsidP="00ED6EA6">
                            <w:pPr>
                              <w:spacing w:line="360" w:lineRule="auto"/>
                              <w:rPr>
                                <w:rFonts w:cstheme="minorHAnsi"/>
                                <w:sz w:val="13"/>
                                <w:szCs w:val="13"/>
                              </w:rPr>
                            </w:pPr>
                            <w:r w:rsidRPr="008809A4">
                              <w:rPr>
                                <w:rFonts w:cstheme="minorHAnsi"/>
                                <w:sz w:val="13"/>
                                <w:szCs w:val="13"/>
                              </w:rPr>
                              <w:t>Population: 2021-22</w:t>
                            </w:r>
                          </w:p>
                        </w:tc>
                        <w:tc>
                          <w:tcPr>
                            <w:tcW w:w="795" w:type="dxa"/>
                            <w:tcBorders>
                              <w:left w:val="single" w:sz="4" w:space="0" w:color="auto"/>
                              <w:right w:val="single" w:sz="4" w:space="0" w:color="auto"/>
                            </w:tcBorders>
                          </w:tcPr>
                          <w:p w14:paraId="389356DF"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155,546</w:t>
                            </w:r>
                          </w:p>
                        </w:tc>
                        <w:tc>
                          <w:tcPr>
                            <w:tcW w:w="1128" w:type="dxa"/>
                            <w:tcBorders>
                              <w:left w:val="single" w:sz="4" w:space="0" w:color="auto"/>
                              <w:right w:val="single" w:sz="4" w:space="0" w:color="auto"/>
                            </w:tcBorders>
                          </w:tcPr>
                          <w:p w14:paraId="07787A3D"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+2.7%</w:t>
                            </w:r>
                          </w:p>
                        </w:tc>
                        <w:tc>
                          <w:tcPr>
                            <w:tcW w:w="0" w:type="auto"/>
                            <w:tcBorders>
                              <w:left w:val="single" w:sz="4" w:space="0" w:color="auto"/>
                              <w:right w:val="single" w:sz="4" w:space="0" w:color="auto"/>
                            </w:tcBorders>
                          </w:tcPr>
                          <w:p w14:paraId="33F625BE"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5.6%</w:t>
                            </w:r>
                          </w:p>
                        </w:tc>
                        <w:tc>
                          <w:tcPr>
                            <w:tcW w:w="0" w:type="auto"/>
                            <w:tcBorders>
                              <w:right w:val="single" w:sz="4" w:space="0" w:color="auto"/>
                            </w:tcBorders>
                          </w:tcPr>
                          <w:p w14:paraId="0512AA9E" w14:textId="77777777" w:rsidR="008B0834" w:rsidRPr="008536A7" w:rsidRDefault="008B0834" w:rsidP="00ED6EA6">
                            <w:pPr>
                              <w:rPr>
                                <w:rFonts w:cstheme="minorHAnsi"/>
                                <w:sz w:val="13"/>
                                <w:szCs w:val="13"/>
                              </w:rPr>
                            </w:pPr>
                          </w:p>
                        </w:tc>
                        <w:tc>
                          <w:tcPr>
                            <w:tcW w:w="0" w:type="auto"/>
                            <w:tcBorders>
                              <w:left w:val="single" w:sz="4" w:space="0" w:color="auto"/>
                              <w:right w:val="single" w:sz="4" w:space="0" w:color="auto"/>
                            </w:tcBorders>
                          </w:tcPr>
                          <w:p w14:paraId="3828128A" w14:textId="77777777" w:rsidR="008B0834" w:rsidRPr="008809A4" w:rsidRDefault="008B0834" w:rsidP="00ED6EA6">
                            <w:pPr>
                              <w:spacing w:line="360" w:lineRule="auto"/>
                              <w:rPr>
                                <w:rFonts w:cstheme="minorHAnsi"/>
                                <w:sz w:val="13"/>
                                <w:szCs w:val="13"/>
                              </w:rPr>
                            </w:pPr>
                            <w:r w:rsidRPr="008809A4">
                              <w:rPr>
                                <w:rFonts w:cstheme="minorHAnsi"/>
                                <w:sz w:val="13"/>
                                <w:szCs w:val="13"/>
                              </w:rPr>
                              <w:t>Population: 2021-22</w:t>
                            </w:r>
                          </w:p>
                        </w:tc>
                        <w:tc>
                          <w:tcPr>
                            <w:tcW w:w="0" w:type="auto"/>
                            <w:tcBorders>
                              <w:left w:val="single" w:sz="4" w:space="0" w:color="auto"/>
                              <w:right w:val="single" w:sz="4" w:space="0" w:color="auto"/>
                            </w:tcBorders>
                          </w:tcPr>
                          <w:p w14:paraId="745C193D"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57,499</w:t>
                            </w:r>
                          </w:p>
                        </w:tc>
                        <w:tc>
                          <w:tcPr>
                            <w:tcW w:w="0" w:type="auto"/>
                            <w:tcBorders>
                              <w:left w:val="single" w:sz="4" w:space="0" w:color="auto"/>
                              <w:right w:val="single" w:sz="4" w:space="0" w:color="auto"/>
                            </w:tcBorders>
                          </w:tcPr>
                          <w:p w14:paraId="0C412296"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+0.3%</w:t>
                            </w:r>
                          </w:p>
                        </w:tc>
                        <w:tc>
                          <w:tcPr>
                            <w:tcW w:w="0" w:type="auto"/>
                            <w:tcBorders>
                              <w:left w:val="single" w:sz="4" w:space="0" w:color="auto"/>
                              <w:right w:val="single" w:sz="4" w:space="0" w:color="auto"/>
                            </w:tcBorders>
                          </w:tcPr>
                          <w:p w14:paraId="39D89DD9"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2.1%</w:t>
                            </w:r>
                          </w:p>
                        </w:tc>
                      </w:tr>
                      <w:tr w:rsidR="008B0834" w:rsidRPr="00EE46E2" w14:paraId="2C8822EA" w14:textId="77777777" w:rsidTr="00DA5BE3">
                        <w:tc>
                          <w:tcPr>
                            <w:tcW w:w="0" w:type="auto"/>
                            <w:tcBorders>
                              <w:left w:val="single" w:sz="4" w:space="0" w:color="auto"/>
                              <w:right w:val="single" w:sz="4" w:space="0" w:color="auto"/>
                            </w:tcBorders>
                          </w:tcPr>
                          <w:p w14:paraId="2F922EAB"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795" w:type="dxa"/>
                            <w:tcBorders>
                              <w:left w:val="single" w:sz="4" w:space="0" w:color="auto"/>
                              <w:right w:val="single" w:sz="4" w:space="0" w:color="auto"/>
                            </w:tcBorders>
                          </w:tcPr>
                          <w:p w14:paraId="16151EA8"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65,977</w:t>
                            </w:r>
                          </w:p>
                        </w:tc>
                        <w:tc>
                          <w:tcPr>
                            <w:tcW w:w="1128" w:type="dxa"/>
                            <w:tcBorders>
                              <w:left w:val="single" w:sz="4" w:space="0" w:color="auto"/>
                              <w:right w:val="single" w:sz="4" w:space="0" w:color="auto"/>
                            </w:tcBorders>
                          </w:tcPr>
                          <w:p w14:paraId="4345BFEA"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-1.7%</w:t>
                            </w:r>
                          </w:p>
                        </w:tc>
                        <w:tc>
                          <w:tcPr>
                            <w:tcW w:w="0" w:type="auto"/>
                            <w:tcBorders>
                              <w:left w:val="single" w:sz="4" w:space="0" w:color="auto"/>
                              <w:right w:val="single" w:sz="4" w:space="0" w:color="auto"/>
                            </w:tcBorders>
                          </w:tcPr>
                          <w:p w14:paraId="65E04647"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4.3%</w:t>
                            </w:r>
                          </w:p>
                        </w:tc>
                        <w:tc>
                          <w:tcPr>
                            <w:tcW w:w="0" w:type="auto"/>
                            <w:tcBorders>
                              <w:right w:val="single" w:sz="4" w:space="0" w:color="auto"/>
                            </w:tcBorders>
                          </w:tcPr>
                          <w:p w14:paraId="67F4FC90" w14:textId="77777777" w:rsidR="008B0834" w:rsidRPr="008536A7" w:rsidRDefault="008B0834" w:rsidP="00ED6EA6">
                            <w:pPr>
                              <w:rPr>
                                <w:rFonts w:cstheme="minorHAnsi"/>
                                <w:sz w:val="13"/>
                                <w:szCs w:val="13"/>
                              </w:rPr>
                            </w:pPr>
                          </w:p>
                        </w:tc>
                        <w:tc>
                          <w:tcPr>
                            <w:tcW w:w="0" w:type="auto"/>
                            <w:tcBorders>
                              <w:left w:val="single" w:sz="4" w:space="0" w:color="auto"/>
                              <w:right w:val="single" w:sz="4" w:space="0" w:color="auto"/>
                            </w:tcBorders>
                          </w:tcPr>
                          <w:p w14:paraId="3C8A1A4C"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0" w:type="auto"/>
                            <w:tcBorders>
                              <w:left w:val="single" w:sz="4" w:space="0" w:color="auto"/>
                              <w:right w:val="single" w:sz="4" w:space="0" w:color="auto"/>
                            </w:tcBorders>
                          </w:tcPr>
                          <w:p w14:paraId="191FA45D"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32,850</w:t>
                            </w:r>
                          </w:p>
                        </w:tc>
                        <w:tc>
                          <w:tcPr>
                            <w:tcW w:w="0" w:type="auto"/>
                            <w:tcBorders>
                              <w:left w:val="single" w:sz="4" w:space="0" w:color="auto"/>
                              <w:right w:val="single" w:sz="4" w:space="0" w:color="auto"/>
                            </w:tcBorders>
                          </w:tcPr>
                          <w:p w14:paraId="6DF13396"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-2.9%</w:t>
                            </w:r>
                          </w:p>
                        </w:tc>
                        <w:tc>
                          <w:tcPr>
                            <w:tcW w:w="0" w:type="auto"/>
                            <w:tcBorders>
                              <w:left w:val="single" w:sz="4" w:space="0" w:color="auto"/>
                              <w:right w:val="single" w:sz="4" w:space="0" w:color="auto"/>
                            </w:tcBorders>
                          </w:tcPr>
                          <w:p w14:paraId="5954FD59"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2.2%</w:t>
                            </w:r>
                          </w:p>
                        </w:tc>
                      </w:tr>
                      <w:tr w:rsidR="008B0834" w:rsidRPr="00EE46E2" w14:paraId="71F3B07F" w14:textId="77777777" w:rsidTr="00DA5BE3">
                        <w:tc>
                          <w:tcPr>
                            <w:tcW w:w="0" w:type="auto"/>
                            <w:tcBorders>
                              <w:left w:val="single" w:sz="4" w:space="0" w:color="auto"/>
                              <w:right w:val="single" w:sz="4" w:space="0" w:color="auto"/>
                            </w:tcBorders>
                          </w:tcPr>
                          <w:p w14:paraId="7DB02DD7"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795" w:type="dxa"/>
                            <w:tcBorders>
                              <w:left w:val="single" w:sz="4" w:space="0" w:color="auto"/>
                              <w:right w:val="single" w:sz="4" w:space="0" w:color="auto"/>
                            </w:tcBorders>
                          </w:tcPr>
                          <w:p w14:paraId="6ADB9234"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3.8%</w:t>
                            </w:r>
                          </w:p>
                        </w:tc>
                        <w:tc>
                          <w:tcPr>
                            <w:tcW w:w="1128" w:type="dxa"/>
                            <w:tcBorders>
                              <w:left w:val="single" w:sz="4" w:space="0" w:color="auto"/>
                              <w:right w:val="single" w:sz="4" w:space="0" w:color="auto"/>
                            </w:tcBorders>
                          </w:tcPr>
                          <w:p w14:paraId="0484D3E6"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-0.8pp</w:t>
                            </w:r>
                          </w:p>
                        </w:tc>
                        <w:tc>
                          <w:tcPr>
                            <w:tcW w:w="0" w:type="auto"/>
                            <w:tcBorders>
                              <w:left w:val="single" w:sz="4" w:space="0" w:color="auto"/>
                              <w:right w:val="single" w:sz="4" w:space="0" w:color="auto"/>
                            </w:tcBorders>
                          </w:tcPr>
                          <w:p w14:paraId="76C1CD88" w14:textId="77777777" w:rsidR="008B0834" w:rsidRPr="00351552" w:rsidRDefault="008B0834" w:rsidP="00ED6EA6">
                            <w:pPr>
                              <w:spacing w:line="360" w:lineRule="auto"/>
                              <w:jc w:val="right"/>
                              <w:rPr>
                                <w:rFonts w:cstheme="minorHAnsi"/>
                                <w:color w:val="000000" w:themeColor="text1"/>
                                <w:sz w:val="13"/>
                                <w:szCs w:val="13"/>
                              </w:rPr>
                            </w:pPr>
                          </w:p>
                        </w:tc>
                        <w:tc>
                          <w:tcPr>
                            <w:tcW w:w="0" w:type="auto"/>
                            <w:tcBorders>
                              <w:right w:val="single" w:sz="4" w:space="0" w:color="auto"/>
                            </w:tcBorders>
                          </w:tcPr>
                          <w:p w14:paraId="03F6D657" w14:textId="77777777" w:rsidR="008B0834" w:rsidRPr="008536A7" w:rsidRDefault="008B0834" w:rsidP="00ED6EA6">
                            <w:pPr>
                              <w:rPr>
                                <w:rFonts w:cstheme="minorHAnsi"/>
                                <w:sz w:val="13"/>
                                <w:szCs w:val="13"/>
                              </w:rPr>
                            </w:pPr>
                          </w:p>
                        </w:tc>
                        <w:tc>
                          <w:tcPr>
                            <w:tcW w:w="0" w:type="auto"/>
                            <w:tcBorders>
                              <w:left w:val="single" w:sz="4" w:space="0" w:color="auto"/>
                              <w:right w:val="single" w:sz="4" w:space="0" w:color="auto"/>
                            </w:tcBorders>
                          </w:tcPr>
                          <w:p w14:paraId="2F898BDE"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0" w:type="auto"/>
                            <w:tcBorders>
                              <w:left w:val="single" w:sz="4" w:space="0" w:color="auto"/>
                              <w:right w:val="single" w:sz="4" w:space="0" w:color="auto"/>
                            </w:tcBorders>
                          </w:tcPr>
                          <w:p w14:paraId="4AC78955"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2.7%</w:t>
                            </w:r>
                          </w:p>
                        </w:tc>
                        <w:tc>
                          <w:tcPr>
                            <w:tcW w:w="0" w:type="auto"/>
                            <w:tcBorders>
                              <w:left w:val="single" w:sz="4" w:space="0" w:color="auto"/>
                              <w:right w:val="single" w:sz="4" w:space="0" w:color="auto"/>
                            </w:tcBorders>
                          </w:tcPr>
                          <w:p w14:paraId="63EC58DE"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+0.7pp</w:t>
                            </w:r>
                          </w:p>
                        </w:tc>
                        <w:tc>
                          <w:tcPr>
                            <w:tcW w:w="0" w:type="auto"/>
                            <w:tcBorders>
                              <w:left w:val="single" w:sz="4" w:space="0" w:color="auto"/>
                              <w:right w:val="single" w:sz="4" w:space="0" w:color="auto"/>
                            </w:tcBorders>
                          </w:tcPr>
                          <w:p w14:paraId="7D1A386D" w14:textId="77777777" w:rsidR="008B0834" w:rsidRPr="00351552" w:rsidRDefault="008B0834" w:rsidP="00ED6EA6">
                            <w:pPr>
                              <w:spacing w:line="360" w:lineRule="auto"/>
                              <w:jc w:val="right"/>
                              <w:rPr>
                                <w:rFonts w:cstheme="minorHAnsi"/>
                                <w:color w:val="000000" w:themeColor="text1"/>
                                <w:sz w:val="13"/>
                                <w:szCs w:val="13"/>
                              </w:rPr>
                            </w:pPr>
                          </w:p>
                        </w:tc>
                      </w:tr>
                      <w:tr w:rsidR="008B0834" w:rsidRPr="00EE46E2" w14:paraId="63BB4148" w14:textId="77777777" w:rsidTr="00DA5BE3">
                        <w:tc>
                          <w:tcPr>
                            <w:tcW w:w="0" w:type="auto"/>
                            <w:tcBorders>
                              <w:left w:val="single" w:sz="4" w:space="0" w:color="auto"/>
                              <w:right w:val="single" w:sz="4" w:space="0" w:color="auto"/>
                            </w:tcBorders>
                          </w:tcPr>
                          <w:p w14:paraId="2CC6DE91"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2"/>
                                <w:szCs w:val="12"/>
                              </w:rPr>
                              <w:t>Minerals &amp; petroleum sales: 2022-23</w:t>
                            </w:r>
                          </w:p>
                        </w:tc>
                        <w:tc>
                          <w:tcPr>
                            <w:tcW w:w="795" w:type="dxa"/>
                            <w:tcBorders>
                              <w:left w:val="single" w:sz="4" w:space="0" w:color="auto"/>
                              <w:right w:val="single" w:sz="4" w:space="0" w:color="auto"/>
                            </w:tcBorders>
                          </w:tcPr>
                          <w:p w14:paraId="64551FD7"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$9.5b</w:t>
                            </w:r>
                          </w:p>
                        </w:tc>
                        <w:tc>
                          <w:tcPr>
                            <w:tcW w:w="1128" w:type="dxa"/>
                            <w:tcBorders>
                              <w:left w:val="single" w:sz="4" w:space="0" w:color="auto"/>
                              <w:right w:val="single" w:sz="4" w:space="0" w:color="auto"/>
                            </w:tcBorders>
                          </w:tcPr>
                          <w:p w14:paraId="30B359AB"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+5.1%</w:t>
                            </w:r>
                          </w:p>
                        </w:tc>
                        <w:tc>
                          <w:tcPr>
                            <w:tcW w:w="0" w:type="auto"/>
                            <w:tcBorders>
                              <w:left w:val="single" w:sz="4" w:space="0" w:color="auto"/>
                              <w:right w:val="single" w:sz="4" w:space="0" w:color="auto"/>
                            </w:tcBorders>
                          </w:tcPr>
                          <w:p w14:paraId="6B83B170"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3.7%</w:t>
                            </w:r>
                          </w:p>
                        </w:tc>
                        <w:tc>
                          <w:tcPr>
                            <w:tcW w:w="0" w:type="auto"/>
                            <w:tcBorders>
                              <w:right w:val="single" w:sz="4" w:space="0" w:color="auto"/>
                            </w:tcBorders>
                          </w:tcPr>
                          <w:p w14:paraId="363AF7FF" w14:textId="77777777" w:rsidR="008B0834" w:rsidRPr="00DE6518" w:rsidRDefault="008B0834" w:rsidP="00ED6EA6">
                            <w:pPr>
                              <w:rPr>
                                <w:rFonts w:cstheme="minorHAnsi"/>
                                <w:sz w:val="13"/>
                                <w:szCs w:val="13"/>
                              </w:rPr>
                            </w:pPr>
                          </w:p>
                        </w:tc>
                        <w:tc>
                          <w:tcPr>
                            <w:tcW w:w="0" w:type="auto"/>
                            <w:tcBorders>
                              <w:left w:val="single" w:sz="4" w:space="0" w:color="auto"/>
                              <w:right w:val="single" w:sz="4" w:space="0" w:color="auto"/>
                            </w:tcBorders>
                          </w:tcPr>
                          <w:p w14:paraId="0F48B11B"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2"/>
                                <w:szCs w:val="12"/>
                              </w:rPr>
                              <w:t>Minerals &amp; petroleum sales: 2022-23</w:t>
                            </w:r>
                          </w:p>
                        </w:tc>
                        <w:tc>
                          <w:tcPr>
                            <w:tcW w:w="0" w:type="auto"/>
                            <w:tcBorders>
                              <w:left w:val="single" w:sz="4" w:space="0" w:color="auto"/>
                              <w:right w:val="single" w:sz="4" w:space="0" w:color="auto"/>
                            </w:tcBorders>
                          </w:tcPr>
                          <w:p w14:paraId="72BF0683"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$22.8b</w:t>
                            </w:r>
                          </w:p>
                        </w:tc>
                        <w:tc>
                          <w:tcPr>
                            <w:tcW w:w="0" w:type="auto"/>
                            <w:tcBorders>
                              <w:left w:val="single" w:sz="4" w:space="0" w:color="auto"/>
                              <w:right w:val="single" w:sz="4" w:space="0" w:color="auto"/>
                            </w:tcBorders>
                          </w:tcPr>
                          <w:p w14:paraId="2569C827"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+16.4%</w:t>
                            </w:r>
                          </w:p>
                        </w:tc>
                        <w:tc>
                          <w:tcPr>
                            <w:tcW w:w="0" w:type="auto"/>
                            <w:tcBorders>
                              <w:left w:val="single" w:sz="4" w:space="0" w:color="auto"/>
                              <w:right w:val="single" w:sz="4" w:space="0" w:color="auto"/>
                            </w:tcBorders>
                          </w:tcPr>
                          <w:p w14:paraId="66303DAF"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9.0%</w:t>
                            </w:r>
                          </w:p>
                        </w:tc>
                      </w:tr>
                      <w:tr w:rsidR="008B0834" w:rsidRPr="00EE46E2" w14:paraId="17C149B7" w14:textId="77777777" w:rsidTr="00DA5BE3">
                        <w:tc>
                          <w:tcPr>
                            <w:tcW w:w="0" w:type="auto"/>
                            <w:tcBorders>
                              <w:left w:val="single" w:sz="4" w:space="0" w:color="auto"/>
                              <w:right w:val="single" w:sz="4" w:space="0" w:color="auto"/>
                            </w:tcBorders>
                          </w:tcPr>
                          <w:p w14:paraId="21C457C7" w14:textId="77777777" w:rsidR="008B0834" w:rsidRPr="001B3607" w:rsidRDefault="008B0834" w:rsidP="00ED6EA6">
                            <w:pPr>
                              <w:spacing w:line="360" w:lineRule="auto"/>
                              <w:rPr>
                                <w:rFonts w:cstheme="minorHAnsi"/>
                                <w:sz w:val="13"/>
                                <w:szCs w:val="13"/>
                              </w:rPr>
                            </w:pPr>
                            <w:r w:rsidRPr="001B3607">
                              <w:rPr>
                                <w:rFonts w:cstheme="minorHAnsi"/>
                                <w:sz w:val="13"/>
                                <w:szCs w:val="13"/>
                              </w:rPr>
                              <w:t xml:space="preserve">Building approvals: </w:t>
                            </w:r>
                            <w:r w:rsidRPr="00023AE2">
                              <w:rPr>
                                <w:rFonts w:cstheme="minorHAnsi"/>
                                <w:sz w:val="13"/>
                                <w:szCs w:val="13"/>
                              </w:rPr>
                              <w:t>2022-23</w:t>
                            </w:r>
                          </w:p>
                        </w:tc>
                        <w:tc>
                          <w:tcPr>
                            <w:tcW w:w="795" w:type="dxa"/>
                            <w:tcBorders>
                              <w:left w:val="single" w:sz="4" w:space="0" w:color="auto"/>
                              <w:right w:val="single" w:sz="4" w:space="0" w:color="auto"/>
                            </w:tcBorders>
                          </w:tcPr>
                          <w:p w14:paraId="046820FF"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$65</w:t>
                            </w:r>
                            <w:r w:rsidRPr="00EC3F24">
                              <w:rPr>
                                <w:rFonts w:cstheme="minorHAnsi"/>
                                <w:sz w:val="13"/>
                                <w:szCs w:val="13"/>
                              </w:rPr>
                              <w:t>5</w:t>
                            </w:r>
                            <w:r w:rsidRPr="001B3607">
                              <w:rPr>
                                <w:rFonts w:cstheme="minorHAnsi"/>
                                <w:sz w:val="13"/>
                                <w:szCs w:val="13"/>
                              </w:rPr>
                              <w:t>m</w:t>
                            </w:r>
                          </w:p>
                        </w:tc>
                        <w:tc>
                          <w:tcPr>
                            <w:tcW w:w="1128" w:type="dxa"/>
                            <w:tcBorders>
                              <w:left w:val="single" w:sz="4" w:space="0" w:color="auto"/>
                              <w:right w:val="single" w:sz="4" w:space="0" w:color="auto"/>
                            </w:tcBorders>
                          </w:tcPr>
                          <w:p w14:paraId="29C696DA"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w:t>
                            </w:r>
                            <w:r w:rsidRPr="00EC3F24">
                              <w:rPr>
                                <w:rFonts w:cstheme="minorHAnsi"/>
                                <w:sz w:val="13"/>
                                <w:szCs w:val="13"/>
                              </w:rPr>
                              <w:t>0.6</w:t>
                            </w:r>
                            <w:r w:rsidRPr="001B3607">
                              <w:rPr>
                                <w:rFonts w:cstheme="minorHAnsi"/>
                                <w:sz w:val="13"/>
                                <w:szCs w:val="13"/>
                              </w:rPr>
                              <w:t>%</w:t>
                            </w:r>
                          </w:p>
                        </w:tc>
                        <w:tc>
                          <w:tcPr>
                            <w:tcW w:w="0" w:type="auto"/>
                            <w:tcBorders>
                              <w:left w:val="single" w:sz="4" w:space="0" w:color="auto"/>
                              <w:right w:val="single" w:sz="4" w:space="0" w:color="auto"/>
                            </w:tcBorders>
                          </w:tcPr>
                          <w:p w14:paraId="4295F639"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5.</w:t>
                            </w:r>
                            <w:r w:rsidRPr="00EC3F24">
                              <w:rPr>
                                <w:rFonts w:cstheme="minorHAnsi"/>
                                <w:sz w:val="13"/>
                                <w:szCs w:val="13"/>
                              </w:rPr>
                              <w:t>8</w:t>
                            </w:r>
                            <w:r w:rsidRPr="001B3607">
                              <w:rPr>
                                <w:rFonts w:cstheme="minorHAnsi"/>
                                <w:sz w:val="13"/>
                                <w:szCs w:val="13"/>
                              </w:rPr>
                              <w:t>%</w:t>
                            </w:r>
                          </w:p>
                        </w:tc>
                        <w:tc>
                          <w:tcPr>
                            <w:tcW w:w="0" w:type="auto"/>
                            <w:tcBorders>
                              <w:right w:val="single" w:sz="4" w:space="0" w:color="auto"/>
                            </w:tcBorders>
                          </w:tcPr>
                          <w:p w14:paraId="0E13B80F" w14:textId="77777777" w:rsidR="008B0834" w:rsidRPr="00DA0886" w:rsidRDefault="008B0834" w:rsidP="00ED6EA6">
                            <w:pPr>
                              <w:rPr>
                                <w:rFonts w:cstheme="minorHAnsi"/>
                                <w:sz w:val="13"/>
                                <w:szCs w:val="13"/>
                              </w:rPr>
                            </w:pPr>
                          </w:p>
                        </w:tc>
                        <w:tc>
                          <w:tcPr>
                            <w:tcW w:w="0" w:type="auto"/>
                            <w:tcBorders>
                              <w:left w:val="single" w:sz="4" w:space="0" w:color="auto"/>
                              <w:right w:val="single" w:sz="4" w:space="0" w:color="auto"/>
                            </w:tcBorders>
                          </w:tcPr>
                          <w:p w14:paraId="2588D8A4" w14:textId="77777777" w:rsidR="008B0834" w:rsidRPr="001B3607" w:rsidRDefault="008B0834" w:rsidP="00ED6EA6">
                            <w:pPr>
                              <w:spacing w:line="360" w:lineRule="auto"/>
                              <w:rPr>
                                <w:rFonts w:cstheme="minorHAnsi"/>
                                <w:sz w:val="13"/>
                                <w:szCs w:val="13"/>
                              </w:rPr>
                            </w:pPr>
                            <w:r w:rsidRPr="001B3607">
                              <w:rPr>
                                <w:rFonts w:cstheme="minorHAnsi"/>
                                <w:sz w:val="13"/>
                                <w:szCs w:val="13"/>
                              </w:rPr>
                              <w:t xml:space="preserve">Building approvals: </w:t>
                            </w:r>
                            <w:r w:rsidRPr="00EC3F24">
                              <w:rPr>
                                <w:rFonts w:cstheme="minorHAnsi"/>
                                <w:sz w:val="13"/>
                                <w:szCs w:val="13"/>
                              </w:rPr>
                              <w:t>2022-23</w:t>
                            </w:r>
                          </w:p>
                        </w:tc>
                        <w:tc>
                          <w:tcPr>
                            <w:tcW w:w="0" w:type="auto"/>
                            <w:tcBorders>
                              <w:left w:val="single" w:sz="4" w:space="0" w:color="auto"/>
                              <w:right w:val="single" w:sz="4" w:space="0" w:color="auto"/>
                            </w:tcBorders>
                          </w:tcPr>
                          <w:p w14:paraId="0DEBC01B"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w:t>
                            </w:r>
                            <w:r w:rsidRPr="00EC3F24">
                              <w:rPr>
                                <w:rFonts w:cstheme="minorHAnsi"/>
                                <w:sz w:val="13"/>
                                <w:szCs w:val="13"/>
                              </w:rPr>
                              <w:t>270</w:t>
                            </w:r>
                            <w:r w:rsidRPr="001B3607">
                              <w:rPr>
                                <w:rFonts w:cstheme="minorHAnsi"/>
                                <w:sz w:val="13"/>
                                <w:szCs w:val="13"/>
                              </w:rPr>
                              <w:t>m</w:t>
                            </w:r>
                          </w:p>
                        </w:tc>
                        <w:tc>
                          <w:tcPr>
                            <w:tcW w:w="0" w:type="auto"/>
                            <w:tcBorders>
                              <w:left w:val="single" w:sz="4" w:space="0" w:color="auto"/>
                              <w:right w:val="single" w:sz="4" w:space="0" w:color="auto"/>
                            </w:tcBorders>
                          </w:tcPr>
                          <w:p w14:paraId="28358BF3"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w:t>
                            </w:r>
                            <w:r w:rsidRPr="00EC3F24">
                              <w:rPr>
                                <w:rFonts w:cstheme="minorHAnsi"/>
                                <w:sz w:val="13"/>
                                <w:szCs w:val="13"/>
                              </w:rPr>
                              <w:t>71.5</w:t>
                            </w:r>
                            <w:r w:rsidRPr="001B3607">
                              <w:rPr>
                                <w:rFonts w:cstheme="minorHAnsi"/>
                                <w:sz w:val="13"/>
                                <w:szCs w:val="13"/>
                              </w:rPr>
                              <w:t>%</w:t>
                            </w:r>
                          </w:p>
                        </w:tc>
                        <w:tc>
                          <w:tcPr>
                            <w:tcW w:w="0" w:type="auto"/>
                            <w:tcBorders>
                              <w:left w:val="single" w:sz="4" w:space="0" w:color="auto"/>
                              <w:right w:val="single" w:sz="4" w:space="0" w:color="auto"/>
                            </w:tcBorders>
                          </w:tcPr>
                          <w:p w14:paraId="2946AF56" w14:textId="77777777" w:rsidR="008B0834" w:rsidRPr="001B3607" w:rsidRDefault="008B0834" w:rsidP="00ED6EA6">
                            <w:pPr>
                              <w:spacing w:line="360" w:lineRule="auto"/>
                              <w:jc w:val="right"/>
                              <w:rPr>
                                <w:rFonts w:cstheme="minorHAnsi"/>
                                <w:sz w:val="13"/>
                                <w:szCs w:val="13"/>
                              </w:rPr>
                            </w:pPr>
                            <w:r w:rsidRPr="00EC3F24">
                              <w:rPr>
                                <w:rFonts w:cstheme="minorHAnsi"/>
                                <w:sz w:val="13"/>
                                <w:szCs w:val="13"/>
                              </w:rPr>
                              <w:t>2.4</w:t>
                            </w:r>
                            <w:r w:rsidRPr="001B3607">
                              <w:rPr>
                                <w:rFonts w:cstheme="minorHAnsi"/>
                                <w:sz w:val="13"/>
                                <w:szCs w:val="13"/>
                              </w:rPr>
                              <w:t>%</w:t>
                            </w:r>
                          </w:p>
                        </w:tc>
                      </w:tr>
                      <w:tr w:rsidR="008B0834" w:rsidRPr="00EE46E2" w14:paraId="256244AC" w14:textId="77777777" w:rsidTr="00DA5BE3">
                        <w:tc>
                          <w:tcPr>
                            <w:tcW w:w="0" w:type="auto"/>
                            <w:tcBorders>
                              <w:left w:val="single" w:sz="4" w:space="0" w:color="auto"/>
                              <w:bottom w:val="single" w:sz="4" w:space="0" w:color="auto"/>
                              <w:right w:val="single" w:sz="4" w:space="0" w:color="auto"/>
                            </w:tcBorders>
                          </w:tcPr>
                          <w:p w14:paraId="6D35B24A" w14:textId="77777777" w:rsidR="008B0834" w:rsidRPr="008809A4" w:rsidRDefault="008B0834" w:rsidP="00ED6EA6">
                            <w:pPr>
                              <w:spacing w:line="360" w:lineRule="auto"/>
                              <w:rPr>
                                <w:rFonts w:cstheme="minorHAnsi"/>
                                <w:sz w:val="13"/>
                                <w:szCs w:val="13"/>
                              </w:rPr>
                            </w:pPr>
                            <w:r w:rsidRPr="008809A4">
                              <w:rPr>
                                <w:rFonts w:cstheme="minorHAnsi"/>
                                <w:sz w:val="13"/>
                                <w:szCs w:val="13"/>
                              </w:rPr>
                              <w:t>Overnight visitors a year: 2020-22</w:t>
                            </w:r>
                          </w:p>
                        </w:tc>
                        <w:tc>
                          <w:tcPr>
                            <w:tcW w:w="795" w:type="dxa"/>
                            <w:tcBorders>
                              <w:left w:val="single" w:sz="4" w:space="0" w:color="auto"/>
                              <w:bottom w:val="single" w:sz="4" w:space="0" w:color="auto"/>
                              <w:right w:val="single" w:sz="4" w:space="0" w:color="auto"/>
                            </w:tcBorders>
                          </w:tcPr>
                          <w:p w14:paraId="4005C5A8"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675,000</w:t>
                            </w:r>
                          </w:p>
                        </w:tc>
                        <w:tc>
                          <w:tcPr>
                            <w:tcW w:w="1128" w:type="dxa"/>
                            <w:tcBorders>
                              <w:left w:val="single" w:sz="4" w:space="0" w:color="auto"/>
                              <w:bottom w:val="single" w:sz="4" w:space="0" w:color="auto"/>
                              <w:right w:val="single" w:sz="4" w:space="0" w:color="auto"/>
                            </w:tcBorders>
                          </w:tcPr>
                          <w:p w14:paraId="387C92C7" w14:textId="77777777" w:rsidR="008B0834" w:rsidRPr="008809A4" w:rsidRDefault="008B0834" w:rsidP="00ED6EA6">
                            <w:pPr>
                              <w:spacing w:line="360" w:lineRule="auto"/>
                              <w:jc w:val="right"/>
                              <w:rPr>
                                <w:rFonts w:cstheme="minorHAnsi"/>
                                <w:sz w:val="13"/>
                                <w:szCs w:val="13"/>
                              </w:rPr>
                            </w:pPr>
                          </w:p>
                        </w:tc>
                        <w:tc>
                          <w:tcPr>
                            <w:tcW w:w="0" w:type="auto"/>
                            <w:tcBorders>
                              <w:left w:val="single" w:sz="4" w:space="0" w:color="auto"/>
                              <w:bottom w:val="single" w:sz="4" w:space="0" w:color="auto"/>
                              <w:right w:val="single" w:sz="4" w:space="0" w:color="auto"/>
                            </w:tcBorders>
                          </w:tcPr>
                          <w:p w14:paraId="1E17A07B"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6.2%</w:t>
                            </w:r>
                          </w:p>
                        </w:tc>
                        <w:tc>
                          <w:tcPr>
                            <w:tcW w:w="0" w:type="auto"/>
                            <w:tcBorders>
                              <w:right w:val="single" w:sz="4" w:space="0" w:color="auto"/>
                            </w:tcBorders>
                          </w:tcPr>
                          <w:p w14:paraId="0B744D67" w14:textId="77777777" w:rsidR="008B0834" w:rsidRPr="008536A7" w:rsidRDefault="008B0834" w:rsidP="00ED6EA6">
                            <w:pPr>
                              <w:rPr>
                                <w:rFonts w:cstheme="minorHAnsi"/>
                                <w:sz w:val="13"/>
                                <w:szCs w:val="13"/>
                              </w:rPr>
                            </w:pPr>
                          </w:p>
                        </w:tc>
                        <w:tc>
                          <w:tcPr>
                            <w:tcW w:w="0" w:type="auto"/>
                            <w:tcBorders>
                              <w:left w:val="single" w:sz="4" w:space="0" w:color="auto"/>
                              <w:bottom w:val="single" w:sz="4" w:space="0" w:color="auto"/>
                              <w:right w:val="single" w:sz="4" w:space="0" w:color="auto"/>
                            </w:tcBorders>
                          </w:tcPr>
                          <w:p w14:paraId="07CA1D2C" w14:textId="77777777" w:rsidR="008B0834" w:rsidRPr="008809A4" w:rsidRDefault="008B0834" w:rsidP="00ED6EA6">
                            <w:pPr>
                              <w:spacing w:line="360" w:lineRule="auto"/>
                              <w:rPr>
                                <w:rFonts w:cstheme="minorHAnsi"/>
                                <w:sz w:val="13"/>
                                <w:szCs w:val="13"/>
                              </w:rPr>
                            </w:pPr>
                            <w:r w:rsidRPr="008809A4">
                              <w:rPr>
                                <w:rFonts w:cstheme="minorHAnsi"/>
                                <w:sz w:val="13"/>
                                <w:szCs w:val="13"/>
                              </w:rPr>
                              <w:t>Overnight visitors a year: 2020-22</w:t>
                            </w:r>
                          </w:p>
                        </w:tc>
                        <w:tc>
                          <w:tcPr>
                            <w:tcW w:w="0" w:type="auto"/>
                            <w:tcBorders>
                              <w:left w:val="single" w:sz="4" w:space="0" w:color="auto"/>
                              <w:bottom w:val="single" w:sz="4" w:space="0" w:color="auto"/>
                              <w:right w:val="single" w:sz="4" w:space="0" w:color="auto"/>
                            </w:tcBorders>
                          </w:tcPr>
                          <w:p w14:paraId="6FCDCFAA"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713,000</w:t>
                            </w:r>
                          </w:p>
                        </w:tc>
                        <w:tc>
                          <w:tcPr>
                            <w:tcW w:w="0" w:type="auto"/>
                            <w:tcBorders>
                              <w:left w:val="single" w:sz="4" w:space="0" w:color="auto"/>
                              <w:bottom w:val="single" w:sz="4" w:space="0" w:color="auto"/>
                              <w:right w:val="single" w:sz="4" w:space="0" w:color="auto"/>
                            </w:tcBorders>
                          </w:tcPr>
                          <w:p w14:paraId="45A48CD1" w14:textId="77777777" w:rsidR="008B0834" w:rsidRPr="008809A4" w:rsidRDefault="008B0834" w:rsidP="00ED6EA6">
                            <w:pPr>
                              <w:spacing w:line="360" w:lineRule="auto"/>
                              <w:jc w:val="right"/>
                              <w:rPr>
                                <w:rFonts w:cstheme="minorHAnsi"/>
                                <w:sz w:val="13"/>
                                <w:szCs w:val="13"/>
                              </w:rPr>
                            </w:pPr>
                          </w:p>
                        </w:tc>
                        <w:tc>
                          <w:tcPr>
                            <w:tcW w:w="0" w:type="auto"/>
                            <w:tcBorders>
                              <w:left w:val="single" w:sz="4" w:space="0" w:color="auto"/>
                              <w:bottom w:val="single" w:sz="4" w:space="0" w:color="auto"/>
                              <w:right w:val="single" w:sz="4" w:space="0" w:color="auto"/>
                            </w:tcBorders>
                          </w:tcPr>
                          <w:p w14:paraId="54BB02AB"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6.6%</w:t>
                            </w:r>
                          </w:p>
                        </w:tc>
                      </w:tr>
                      <w:tr w:rsidR="008B0834" w:rsidRPr="00EE46E2" w14:paraId="153A828F" w14:textId="77777777" w:rsidTr="00DA5BE3">
                        <w:tc>
                          <w:tcPr>
                            <w:tcW w:w="0" w:type="auto"/>
                            <w:tcBorders>
                              <w:top w:val="single" w:sz="4" w:space="0" w:color="auto"/>
                            </w:tcBorders>
                          </w:tcPr>
                          <w:p w14:paraId="45F13933" w14:textId="77777777" w:rsidR="008B0834" w:rsidRPr="008536A7" w:rsidRDefault="008B0834" w:rsidP="00ED6EA6">
                            <w:pPr>
                              <w:rPr>
                                <w:rFonts w:cstheme="minorHAnsi"/>
                                <w:sz w:val="9"/>
                                <w:szCs w:val="13"/>
                              </w:rPr>
                            </w:pPr>
                          </w:p>
                        </w:tc>
                        <w:tc>
                          <w:tcPr>
                            <w:tcW w:w="795" w:type="dxa"/>
                            <w:tcBorders>
                              <w:top w:val="single" w:sz="4" w:space="0" w:color="auto"/>
                            </w:tcBorders>
                          </w:tcPr>
                          <w:p w14:paraId="522C34A4" w14:textId="77777777" w:rsidR="008B0834" w:rsidRPr="008536A7" w:rsidRDefault="008B0834" w:rsidP="00ED6EA6">
                            <w:pPr>
                              <w:rPr>
                                <w:rFonts w:cstheme="minorHAnsi"/>
                                <w:sz w:val="13"/>
                                <w:szCs w:val="13"/>
                              </w:rPr>
                            </w:pPr>
                          </w:p>
                          <w:p w14:paraId="04EC4CA0" w14:textId="77777777" w:rsidR="008B0834" w:rsidRPr="008536A7" w:rsidRDefault="008B0834" w:rsidP="00ED6EA6">
                            <w:pPr>
                              <w:rPr>
                                <w:rFonts w:cstheme="minorHAnsi"/>
                                <w:sz w:val="13"/>
                                <w:szCs w:val="13"/>
                              </w:rPr>
                            </w:pPr>
                          </w:p>
                        </w:tc>
                        <w:tc>
                          <w:tcPr>
                            <w:tcW w:w="1128" w:type="dxa"/>
                            <w:tcBorders>
                              <w:top w:val="single" w:sz="4" w:space="0" w:color="auto"/>
                            </w:tcBorders>
                          </w:tcPr>
                          <w:p w14:paraId="78444FD1" w14:textId="77777777" w:rsidR="008B0834" w:rsidRPr="008536A7" w:rsidRDefault="008B0834" w:rsidP="00ED6EA6">
                            <w:pPr>
                              <w:rPr>
                                <w:rFonts w:cstheme="minorHAnsi"/>
                                <w:sz w:val="13"/>
                                <w:szCs w:val="13"/>
                              </w:rPr>
                            </w:pPr>
                          </w:p>
                          <w:p w14:paraId="6FB6FFE1" w14:textId="77777777" w:rsidR="008B0834" w:rsidRPr="008536A7" w:rsidRDefault="008B0834" w:rsidP="00ED6EA6">
                            <w:pPr>
                              <w:rPr>
                                <w:rFonts w:cstheme="minorHAnsi"/>
                                <w:sz w:val="13"/>
                                <w:szCs w:val="13"/>
                              </w:rPr>
                            </w:pPr>
                          </w:p>
                        </w:tc>
                        <w:tc>
                          <w:tcPr>
                            <w:tcW w:w="0" w:type="auto"/>
                            <w:tcBorders>
                              <w:top w:val="single" w:sz="4" w:space="0" w:color="auto"/>
                            </w:tcBorders>
                          </w:tcPr>
                          <w:p w14:paraId="5A835DC9" w14:textId="77777777" w:rsidR="008B0834" w:rsidRPr="008536A7" w:rsidRDefault="008B0834" w:rsidP="00ED6EA6">
                            <w:pPr>
                              <w:rPr>
                                <w:rFonts w:cstheme="minorHAnsi"/>
                                <w:sz w:val="13"/>
                                <w:szCs w:val="13"/>
                              </w:rPr>
                            </w:pPr>
                          </w:p>
                        </w:tc>
                        <w:tc>
                          <w:tcPr>
                            <w:tcW w:w="0" w:type="auto"/>
                          </w:tcPr>
                          <w:p w14:paraId="7CB1DC61" w14:textId="77777777" w:rsidR="008B0834" w:rsidRPr="008536A7" w:rsidRDefault="008B0834" w:rsidP="00ED6EA6">
                            <w:pPr>
                              <w:rPr>
                                <w:rFonts w:cstheme="minorHAnsi"/>
                                <w:sz w:val="13"/>
                                <w:szCs w:val="13"/>
                              </w:rPr>
                            </w:pPr>
                          </w:p>
                        </w:tc>
                        <w:tc>
                          <w:tcPr>
                            <w:tcW w:w="0" w:type="auto"/>
                            <w:tcBorders>
                              <w:top w:val="single" w:sz="4" w:space="0" w:color="auto"/>
                            </w:tcBorders>
                          </w:tcPr>
                          <w:p w14:paraId="4E6078D0" w14:textId="77777777" w:rsidR="008B0834" w:rsidRPr="008536A7" w:rsidRDefault="008B0834" w:rsidP="00ED6EA6">
                            <w:pPr>
                              <w:rPr>
                                <w:rFonts w:cstheme="minorHAnsi"/>
                                <w:sz w:val="13"/>
                                <w:szCs w:val="13"/>
                              </w:rPr>
                            </w:pPr>
                          </w:p>
                        </w:tc>
                        <w:tc>
                          <w:tcPr>
                            <w:tcW w:w="0" w:type="auto"/>
                            <w:tcBorders>
                              <w:top w:val="single" w:sz="4" w:space="0" w:color="auto"/>
                            </w:tcBorders>
                          </w:tcPr>
                          <w:p w14:paraId="66079BE7" w14:textId="77777777" w:rsidR="008B0834" w:rsidRPr="008536A7" w:rsidRDefault="008B0834" w:rsidP="00ED6EA6">
                            <w:pPr>
                              <w:rPr>
                                <w:rFonts w:cstheme="minorHAnsi"/>
                                <w:sz w:val="13"/>
                                <w:szCs w:val="13"/>
                              </w:rPr>
                            </w:pPr>
                          </w:p>
                        </w:tc>
                        <w:tc>
                          <w:tcPr>
                            <w:tcW w:w="0" w:type="auto"/>
                            <w:tcBorders>
                              <w:top w:val="single" w:sz="4" w:space="0" w:color="auto"/>
                            </w:tcBorders>
                          </w:tcPr>
                          <w:p w14:paraId="4CF4CCAD" w14:textId="77777777" w:rsidR="008B0834" w:rsidRPr="008536A7" w:rsidRDefault="008B0834" w:rsidP="00ED6EA6">
                            <w:pPr>
                              <w:rPr>
                                <w:rFonts w:cstheme="minorHAnsi"/>
                                <w:sz w:val="13"/>
                                <w:szCs w:val="13"/>
                              </w:rPr>
                            </w:pPr>
                          </w:p>
                        </w:tc>
                        <w:tc>
                          <w:tcPr>
                            <w:tcW w:w="0" w:type="auto"/>
                            <w:tcBorders>
                              <w:top w:val="single" w:sz="4" w:space="0" w:color="auto"/>
                            </w:tcBorders>
                          </w:tcPr>
                          <w:p w14:paraId="665CE7EE" w14:textId="77777777" w:rsidR="008B0834" w:rsidRPr="008536A7" w:rsidRDefault="008B0834" w:rsidP="00ED6EA6">
                            <w:pPr>
                              <w:rPr>
                                <w:rFonts w:cstheme="minorHAnsi"/>
                                <w:sz w:val="13"/>
                                <w:szCs w:val="13"/>
                              </w:rPr>
                            </w:pPr>
                          </w:p>
                        </w:tc>
                      </w:tr>
                      <w:tr w:rsidR="008B0834" w:rsidRPr="00EE46E2" w14:paraId="676968DB" w14:textId="77777777" w:rsidTr="00DA5BE3">
                        <w:tc>
                          <w:tcPr>
                            <w:tcW w:w="0" w:type="auto"/>
                            <w:gridSpan w:val="4"/>
                            <w:tcBorders>
                              <w:top w:val="single" w:sz="4" w:space="0" w:color="auto"/>
                              <w:left w:val="single" w:sz="4" w:space="0" w:color="auto"/>
                              <w:bottom w:val="single" w:sz="4" w:space="0" w:color="auto"/>
                              <w:right w:val="single" w:sz="4" w:space="0" w:color="auto"/>
                            </w:tcBorders>
                            <w:shd w:val="clear" w:color="auto" w:fill="99FFCC"/>
                          </w:tcPr>
                          <w:p w14:paraId="00AF6D69" w14:textId="77777777" w:rsidR="008B0834" w:rsidRPr="008536A7" w:rsidRDefault="008B0834" w:rsidP="00ED6EA6">
                            <w:pPr>
                              <w:spacing w:line="360" w:lineRule="auto"/>
                              <w:rPr>
                                <w:rFonts w:cstheme="minorHAnsi"/>
                                <w:b/>
                                <w:sz w:val="13"/>
                                <w:szCs w:val="13"/>
                              </w:rPr>
                            </w:pPr>
                            <w:r w:rsidRPr="008536A7">
                              <w:rPr>
                                <w:rFonts w:cstheme="minorHAnsi"/>
                                <w:b/>
                                <w:sz w:val="14"/>
                                <w:szCs w:val="14"/>
                              </w:rPr>
                              <w:t>SOUTH WEST</w:t>
                            </w:r>
                          </w:p>
                        </w:tc>
                        <w:tc>
                          <w:tcPr>
                            <w:tcW w:w="0" w:type="auto"/>
                            <w:tcBorders>
                              <w:right w:val="single" w:sz="4" w:space="0" w:color="auto"/>
                            </w:tcBorders>
                          </w:tcPr>
                          <w:p w14:paraId="6505173B" w14:textId="77777777" w:rsidR="008B0834" w:rsidRPr="008536A7" w:rsidRDefault="008B0834" w:rsidP="00ED6EA6">
                            <w:pPr>
                              <w:rPr>
                                <w:rFonts w:cstheme="minorHAnsi"/>
                                <w:sz w:val="13"/>
                                <w:szCs w:val="13"/>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A1BDD7"/>
                          </w:tcPr>
                          <w:p w14:paraId="0F591438" w14:textId="77777777" w:rsidR="008B0834" w:rsidRPr="008536A7" w:rsidRDefault="008B0834" w:rsidP="00ED6EA6">
                            <w:pPr>
                              <w:spacing w:line="360" w:lineRule="auto"/>
                              <w:rPr>
                                <w:rFonts w:cstheme="minorHAnsi"/>
                                <w:b/>
                                <w:sz w:val="13"/>
                                <w:szCs w:val="13"/>
                              </w:rPr>
                            </w:pPr>
                            <w:r w:rsidRPr="008536A7">
                              <w:rPr>
                                <w:rFonts w:cstheme="minorHAnsi"/>
                                <w:b/>
                                <w:sz w:val="14"/>
                                <w:szCs w:val="14"/>
                              </w:rPr>
                              <w:t>GREAT SOUTHERN</w:t>
                            </w:r>
                          </w:p>
                        </w:tc>
                      </w:tr>
                      <w:tr w:rsidR="008B0834" w:rsidRPr="00EE46E2" w14:paraId="58FF0BF1" w14:textId="77777777" w:rsidTr="00DA5BE3">
                        <w:tc>
                          <w:tcPr>
                            <w:tcW w:w="0" w:type="auto"/>
                            <w:tcBorders>
                              <w:top w:val="single" w:sz="4" w:space="0" w:color="auto"/>
                              <w:left w:val="single" w:sz="4" w:space="0" w:color="auto"/>
                              <w:right w:val="single" w:sz="4" w:space="0" w:color="auto"/>
                            </w:tcBorders>
                          </w:tcPr>
                          <w:p w14:paraId="51E88275" w14:textId="77777777" w:rsidR="008B0834" w:rsidRPr="008536A7" w:rsidRDefault="008B0834" w:rsidP="00ED6EA6">
                            <w:pPr>
                              <w:spacing w:line="360" w:lineRule="auto"/>
                              <w:rPr>
                                <w:rFonts w:cstheme="minorHAnsi"/>
                                <w:sz w:val="13"/>
                                <w:szCs w:val="13"/>
                              </w:rPr>
                            </w:pPr>
                          </w:p>
                        </w:tc>
                        <w:tc>
                          <w:tcPr>
                            <w:tcW w:w="795" w:type="dxa"/>
                            <w:tcBorders>
                              <w:top w:val="single" w:sz="4" w:space="0" w:color="auto"/>
                              <w:left w:val="single" w:sz="4" w:space="0" w:color="auto"/>
                              <w:right w:val="single" w:sz="4" w:space="0" w:color="auto"/>
                            </w:tcBorders>
                          </w:tcPr>
                          <w:p w14:paraId="5FE1A7BB" w14:textId="77777777" w:rsidR="008B0834" w:rsidRPr="008536A7" w:rsidRDefault="008B0834" w:rsidP="00ED6EA6">
                            <w:pPr>
                              <w:spacing w:line="360" w:lineRule="auto"/>
                              <w:jc w:val="right"/>
                              <w:rPr>
                                <w:rFonts w:cstheme="minorHAnsi"/>
                                <w:sz w:val="13"/>
                                <w:szCs w:val="13"/>
                              </w:rPr>
                            </w:pPr>
                            <w:r w:rsidRPr="008536A7">
                              <w:rPr>
                                <w:rFonts w:cstheme="minorHAnsi"/>
                                <w:sz w:val="13"/>
                                <w:szCs w:val="13"/>
                              </w:rPr>
                              <w:t>Figure</w:t>
                            </w:r>
                          </w:p>
                        </w:tc>
                        <w:tc>
                          <w:tcPr>
                            <w:tcW w:w="1128" w:type="dxa"/>
                            <w:tcBorders>
                              <w:top w:val="single" w:sz="4" w:space="0" w:color="auto"/>
                              <w:left w:val="single" w:sz="4" w:space="0" w:color="auto"/>
                              <w:right w:val="single" w:sz="4" w:space="0" w:color="auto"/>
                            </w:tcBorders>
                          </w:tcPr>
                          <w:p w14:paraId="6EEC99FB" w14:textId="77777777" w:rsidR="008B0834" w:rsidRPr="008536A7" w:rsidRDefault="008B0834" w:rsidP="00ED6EA6">
                            <w:pPr>
                              <w:spacing w:line="360" w:lineRule="auto"/>
                              <w:jc w:val="right"/>
                              <w:rPr>
                                <w:rFonts w:cstheme="minorHAnsi"/>
                                <w:sz w:val="13"/>
                                <w:szCs w:val="13"/>
                              </w:rPr>
                            </w:pPr>
                            <w:r w:rsidRPr="008536A7">
                              <w:rPr>
                                <w:rFonts w:cstheme="minorHAnsi"/>
                                <w:sz w:val="13"/>
                                <w:szCs w:val="13"/>
                              </w:rPr>
                              <w:t>Annual change</w:t>
                            </w:r>
                            <w:r w:rsidRPr="008536A7">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05DC255A" w14:textId="77777777" w:rsidR="008B0834" w:rsidRPr="008536A7" w:rsidRDefault="008B0834" w:rsidP="00ED6EA6">
                            <w:pPr>
                              <w:spacing w:line="360" w:lineRule="auto"/>
                              <w:jc w:val="right"/>
                              <w:rPr>
                                <w:rFonts w:cstheme="minorHAnsi"/>
                                <w:sz w:val="13"/>
                                <w:szCs w:val="13"/>
                              </w:rPr>
                            </w:pPr>
                            <w:r w:rsidRPr="008536A7">
                              <w:rPr>
                                <w:rFonts w:cstheme="minorHAnsi"/>
                                <w:sz w:val="13"/>
                                <w:szCs w:val="13"/>
                              </w:rPr>
                              <w:t>WA share</w:t>
                            </w:r>
                          </w:p>
                        </w:tc>
                        <w:tc>
                          <w:tcPr>
                            <w:tcW w:w="0" w:type="auto"/>
                            <w:tcBorders>
                              <w:right w:val="single" w:sz="4" w:space="0" w:color="auto"/>
                            </w:tcBorders>
                          </w:tcPr>
                          <w:p w14:paraId="6991A836" w14:textId="77777777" w:rsidR="008B0834" w:rsidRPr="008536A7" w:rsidRDefault="008B0834" w:rsidP="00ED6EA6">
                            <w:pPr>
                              <w:rPr>
                                <w:rFonts w:cstheme="minorHAnsi"/>
                                <w:sz w:val="13"/>
                                <w:szCs w:val="13"/>
                              </w:rPr>
                            </w:pPr>
                          </w:p>
                        </w:tc>
                        <w:tc>
                          <w:tcPr>
                            <w:tcW w:w="0" w:type="auto"/>
                            <w:tcBorders>
                              <w:top w:val="single" w:sz="4" w:space="0" w:color="auto"/>
                              <w:left w:val="single" w:sz="4" w:space="0" w:color="auto"/>
                              <w:right w:val="single" w:sz="4" w:space="0" w:color="auto"/>
                            </w:tcBorders>
                          </w:tcPr>
                          <w:p w14:paraId="13EF1A81" w14:textId="77777777" w:rsidR="008B0834" w:rsidRPr="008536A7" w:rsidRDefault="008B0834" w:rsidP="00ED6EA6">
                            <w:pPr>
                              <w:spacing w:line="360" w:lineRule="auto"/>
                              <w:rPr>
                                <w:rFonts w:cstheme="minorHAnsi"/>
                                <w:sz w:val="13"/>
                                <w:szCs w:val="13"/>
                              </w:rPr>
                            </w:pPr>
                          </w:p>
                        </w:tc>
                        <w:tc>
                          <w:tcPr>
                            <w:tcW w:w="0" w:type="auto"/>
                            <w:tcBorders>
                              <w:top w:val="single" w:sz="4" w:space="0" w:color="auto"/>
                              <w:left w:val="single" w:sz="4" w:space="0" w:color="auto"/>
                              <w:right w:val="single" w:sz="4" w:space="0" w:color="auto"/>
                            </w:tcBorders>
                          </w:tcPr>
                          <w:p w14:paraId="56D87624" w14:textId="77777777" w:rsidR="008B0834" w:rsidRPr="008536A7" w:rsidRDefault="008B0834" w:rsidP="00ED6EA6">
                            <w:pPr>
                              <w:spacing w:line="360" w:lineRule="auto"/>
                              <w:jc w:val="right"/>
                              <w:rPr>
                                <w:rFonts w:cstheme="minorHAnsi"/>
                                <w:sz w:val="13"/>
                                <w:szCs w:val="13"/>
                              </w:rPr>
                            </w:pPr>
                            <w:r w:rsidRPr="008536A7">
                              <w:rPr>
                                <w:rFonts w:cstheme="minorHAnsi"/>
                                <w:sz w:val="13"/>
                                <w:szCs w:val="13"/>
                              </w:rPr>
                              <w:t>Figure</w:t>
                            </w:r>
                          </w:p>
                        </w:tc>
                        <w:tc>
                          <w:tcPr>
                            <w:tcW w:w="0" w:type="auto"/>
                            <w:tcBorders>
                              <w:top w:val="single" w:sz="4" w:space="0" w:color="auto"/>
                              <w:left w:val="single" w:sz="4" w:space="0" w:color="auto"/>
                              <w:right w:val="single" w:sz="4" w:space="0" w:color="auto"/>
                            </w:tcBorders>
                          </w:tcPr>
                          <w:p w14:paraId="49393485" w14:textId="77777777" w:rsidR="008B0834" w:rsidRPr="008536A7" w:rsidRDefault="008B0834" w:rsidP="00ED6EA6">
                            <w:pPr>
                              <w:spacing w:line="360" w:lineRule="auto"/>
                              <w:jc w:val="right"/>
                              <w:rPr>
                                <w:rFonts w:cstheme="minorHAnsi"/>
                                <w:sz w:val="13"/>
                                <w:szCs w:val="13"/>
                              </w:rPr>
                            </w:pPr>
                            <w:r w:rsidRPr="008536A7">
                              <w:rPr>
                                <w:rFonts w:cstheme="minorHAnsi"/>
                                <w:sz w:val="13"/>
                                <w:szCs w:val="13"/>
                              </w:rPr>
                              <w:t>Annual change</w:t>
                            </w:r>
                            <w:r w:rsidRPr="008536A7">
                              <w:rPr>
                                <w:rFonts w:cstheme="minorHAnsi"/>
                                <w:sz w:val="13"/>
                                <w:szCs w:val="13"/>
                                <w:vertAlign w:val="superscript"/>
                              </w:rPr>
                              <w:t>1</w:t>
                            </w:r>
                          </w:p>
                        </w:tc>
                        <w:tc>
                          <w:tcPr>
                            <w:tcW w:w="0" w:type="auto"/>
                            <w:tcBorders>
                              <w:top w:val="single" w:sz="4" w:space="0" w:color="auto"/>
                              <w:left w:val="single" w:sz="4" w:space="0" w:color="auto"/>
                              <w:right w:val="single" w:sz="4" w:space="0" w:color="auto"/>
                            </w:tcBorders>
                          </w:tcPr>
                          <w:p w14:paraId="32A0AC4E" w14:textId="77777777" w:rsidR="008B0834" w:rsidRPr="008536A7" w:rsidRDefault="008B0834" w:rsidP="00ED6EA6">
                            <w:pPr>
                              <w:spacing w:line="360" w:lineRule="auto"/>
                              <w:jc w:val="right"/>
                              <w:rPr>
                                <w:rFonts w:cstheme="minorHAnsi"/>
                                <w:sz w:val="13"/>
                                <w:szCs w:val="13"/>
                              </w:rPr>
                            </w:pPr>
                            <w:r w:rsidRPr="008536A7">
                              <w:rPr>
                                <w:rFonts w:cstheme="minorHAnsi"/>
                                <w:sz w:val="13"/>
                                <w:szCs w:val="13"/>
                              </w:rPr>
                              <w:t>WA share</w:t>
                            </w:r>
                          </w:p>
                        </w:tc>
                      </w:tr>
                      <w:tr w:rsidR="008B0834" w:rsidRPr="00EE46E2" w14:paraId="16F2062B" w14:textId="77777777" w:rsidTr="00DA5BE3">
                        <w:tc>
                          <w:tcPr>
                            <w:tcW w:w="0" w:type="auto"/>
                            <w:tcBorders>
                              <w:left w:val="single" w:sz="4" w:space="0" w:color="auto"/>
                              <w:right w:val="single" w:sz="4" w:space="0" w:color="auto"/>
                            </w:tcBorders>
                          </w:tcPr>
                          <w:p w14:paraId="4B7A1410" w14:textId="77777777" w:rsidR="008B0834" w:rsidRPr="008809A4" w:rsidRDefault="008B0834" w:rsidP="00ED6EA6">
                            <w:pPr>
                              <w:spacing w:line="360" w:lineRule="auto"/>
                              <w:rPr>
                                <w:rFonts w:cstheme="minorHAnsi"/>
                                <w:sz w:val="13"/>
                                <w:szCs w:val="13"/>
                              </w:rPr>
                            </w:pPr>
                            <w:r w:rsidRPr="008809A4">
                              <w:rPr>
                                <w:rFonts w:cstheme="minorHAnsi"/>
                                <w:sz w:val="13"/>
                                <w:szCs w:val="13"/>
                              </w:rPr>
                              <w:t>Gross regional product: 2021-22</w:t>
                            </w:r>
                          </w:p>
                        </w:tc>
                        <w:tc>
                          <w:tcPr>
                            <w:tcW w:w="795" w:type="dxa"/>
                            <w:tcBorders>
                              <w:left w:val="single" w:sz="4" w:space="0" w:color="auto"/>
                              <w:right w:val="single" w:sz="4" w:space="0" w:color="auto"/>
                            </w:tcBorders>
                          </w:tcPr>
                          <w:p w14:paraId="256078CA"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$17.3b</w:t>
                            </w:r>
                          </w:p>
                        </w:tc>
                        <w:tc>
                          <w:tcPr>
                            <w:tcW w:w="1128" w:type="dxa"/>
                            <w:tcBorders>
                              <w:left w:val="single" w:sz="4" w:space="0" w:color="auto"/>
                              <w:right w:val="single" w:sz="4" w:space="0" w:color="auto"/>
                            </w:tcBorders>
                          </w:tcPr>
                          <w:p w14:paraId="0106A219"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+8.0%</w:t>
                            </w:r>
                          </w:p>
                        </w:tc>
                        <w:tc>
                          <w:tcPr>
                            <w:tcW w:w="0" w:type="auto"/>
                            <w:tcBorders>
                              <w:left w:val="single" w:sz="4" w:space="0" w:color="auto"/>
                              <w:right w:val="single" w:sz="4" w:space="0" w:color="auto"/>
                            </w:tcBorders>
                          </w:tcPr>
                          <w:p w14:paraId="76853BD9"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4.3%</w:t>
                            </w:r>
                          </w:p>
                        </w:tc>
                        <w:tc>
                          <w:tcPr>
                            <w:tcW w:w="0" w:type="auto"/>
                            <w:tcBorders>
                              <w:right w:val="single" w:sz="4" w:space="0" w:color="auto"/>
                            </w:tcBorders>
                          </w:tcPr>
                          <w:p w14:paraId="7055D876" w14:textId="77777777" w:rsidR="008B0834" w:rsidRPr="00A5645B" w:rsidRDefault="008B0834" w:rsidP="00ED6EA6">
                            <w:pPr>
                              <w:rPr>
                                <w:rFonts w:cstheme="minorHAnsi"/>
                                <w:sz w:val="13"/>
                                <w:szCs w:val="13"/>
                              </w:rPr>
                            </w:pPr>
                          </w:p>
                        </w:tc>
                        <w:tc>
                          <w:tcPr>
                            <w:tcW w:w="0" w:type="auto"/>
                            <w:tcBorders>
                              <w:left w:val="single" w:sz="4" w:space="0" w:color="auto"/>
                              <w:right w:val="single" w:sz="4" w:space="0" w:color="auto"/>
                            </w:tcBorders>
                          </w:tcPr>
                          <w:p w14:paraId="285E0A26" w14:textId="77777777" w:rsidR="008B0834" w:rsidRPr="008809A4" w:rsidRDefault="008B0834" w:rsidP="00ED6EA6">
                            <w:pPr>
                              <w:spacing w:line="360" w:lineRule="auto"/>
                              <w:rPr>
                                <w:rFonts w:cstheme="minorHAnsi"/>
                                <w:sz w:val="13"/>
                                <w:szCs w:val="13"/>
                              </w:rPr>
                            </w:pPr>
                            <w:r w:rsidRPr="008809A4">
                              <w:rPr>
                                <w:rFonts w:cstheme="minorHAnsi"/>
                                <w:sz w:val="13"/>
                                <w:szCs w:val="13"/>
                              </w:rPr>
                              <w:t>Gross regional product: 2021-22</w:t>
                            </w:r>
                          </w:p>
                        </w:tc>
                        <w:tc>
                          <w:tcPr>
                            <w:tcW w:w="0" w:type="auto"/>
                            <w:tcBorders>
                              <w:left w:val="single" w:sz="4" w:space="0" w:color="auto"/>
                              <w:right w:val="single" w:sz="4" w:space="0" w:color="auto"/>
                            </w:tcBorders>
                          </w:tcPr>
                          <w:p w14:paraId="3AB82135"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$5.1b</w:t>
                            </w:r>
                          </w:p>
                        </w:tc>
                        <w:tc>
                          <w:tcPr>
                            <w:tcW w:w="0" w:type="auto"/>
                            <w:tcBorders>
                              <w:left w:val="single" w:sz="4" w:space="0" w:color="auto"/>
                              <w:right w:val="single" w:sz="4" w:space="0" w:color="auto"/>
                            </w:tcBorders>
                          </w:tcPr>
                          <w:p w14:paraId="44DEBA15"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+0.4%</w:t>
                            </w:r>
                          </w:p>
                        </w:tc>
                        <w:tc>
                          <w:tcPr>
                            <w:tcW w:w="0" w:type="auto"/>
                            <w:tcBorders>
                              <w:left w:val="single" w:sz="4" w:space="0" w:color="auto"/>
                              <w:right w:val="single" w:sz="4" w:space="0" w:color="auto"/>
                            </w:tcBorders>
                          </w:tcPr>
                          <w:p w14:paraId="2F958A93"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1.3%</w:t>
                            </w:r>
                          </w:p>
                        </w:tc>
                      </w:tr>
                      <w:tr w:rsidR="008B0834" w:rsidRPr="00EE46E2" w14:paraId="7A180BA3" w14:textId="77777777" w:rsidTr="00DA5BE3">
                        <w:tc>
                          <w:tcPr>
                            <w:tcW w:w="0" w:type="auto"/>
                            <w:tcBorders>
                              <w:left w:val="single" w:sz="4" w:space="0" w:color="auto"/>
                              <w:right w:val="single" w:sz="4" w:space="0" w:color="auto"/>
                            </w:tcBorders>
                          </w:tcPr>
                          <w:p w14:paraId="5DE34E26" w14:textId="77777777" w:rsidR="008B0834" w:rsidRPr="008809A4" w:rsidRDefault="008B0834" w:rsidP="00ED6EA6">
                            <w:pPr>
                              <w:spacing w:line="360" w:lineRule="auto"/>
                              <w:rPr>
                                <w:rFonts w:cstheme="minorHAnsi"/>
                                <w:sz w:val="13"/>
                                <w:szCs w:val="13"/>
                              </w:rPr>
                            </w:pPr>
                            <w:r w:rsidRPr="008809A4">
                              <w:rPr>
                                <w:rFonts w:cstheme="minorHAnsi"/>
                                <w:sz w:val="13"/>
                                <w:szCs w:val="13"/>
                              </w:rPr>
                              <w:t>Population: 2021-22</w:t>
                            </w:r>
                          </w:p>
                        </w:tc>
                        <w:tc>
                          <w:tcPr>
                            <w:tcW w:w="795" w:type="dxa"/>
                            <w:tcBorders>
                              <w:left w:val="single" w:sz="4" w:space="0" w:color="auto"/>
                              <w:right w:val="single" w:sz="4" w:space="0" w:color="auto"/>
                            </w:tcBorders>
                          </w:tcPr>
                          <w:p w14:paraId="743A0049"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193,722</w:t>
                            </w:r>
                          </w:p>
                        </w:tc>
                        <w:tc>
                          <w:tcPr>
                            <w:tcW w:w="1128" w:type="dxa"/>
                            <w:tcBorders>
                              <w:left w:val="single" w:sz="4" w:space="0" w:color="auto"/>
                              <w:right w:val="single" w:sz="4" w:space="0" w:color="auto"/>
                            </w:tcBorders>
                          </w:tcPr>
                          <w:p w14:paraId="7029F3B7"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+1.6%</w:t>
                            </w:r>
                          </w:p>
                        </w:tc>
                        <w:tc>
                          <w:tcPr>
                            <w:tcW w:w="0" w:type="auto"/>
                            <w:tcBorders>
                              <w:left w:val="single" w:sz="4" w:space="0" w:color="auto"/>
                              <w:right w:val="single" w:sz="4" w:space="0" w:color="auto"/>
                            </w:tcBorders>
                          </w:tcPr>
                          <w:p w14:paraId="1477B5C9"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6.9%</w:t>
                            </w:r>
                          </w:p>
                        </w:tc>
                        <w:tc>
                          <w:tcPr>
                            <w:tcW w:w="0" w:type="auto"/>
                            <w:tcBorders>
                              <w:right w:val="single" w:sz="4" w:space="0" w:color="auto"/>
                            </w:tcBorders>
                          </w:tcPr>
                          <w:p w14:paraId="4F858EB3" w14:textId="77777777" w:rsidR="008B0834" w:rsidRPr="00116A46" w:rsidRDefault="008B0834" w:rsidP="00ED6EA6">
                            <w:pPr>
                              <w:rPr>
                                <w:rFonts w:cstheme="minorHAnsi"/>
                                <w:sz w:val="13"/>
                                <w:szCs w:val="13"/>
                              </w:rPr>
                            </w:pPr>
                          </w:p>
                        </w:tc>
                        <w:tc>
                          <w:tcPr>
                            <w:tcW w:w="0" w:type="auto"/>
                            <w:tcBorders>
                              <w:left w:val="single" w:sz="4" w:space="0" w:color="auto"/>
                              <w:right w:val="single" w:sz="4" w:space="0" w:color="auto"/>
                            </w:tcBorders>
                          </w:tcPr>
                          <w:p w14:paraId="51C04916" w14:textId="77777777" w:rsidR="008B0834" w:rsidRPr="008809A4" w:rsidRDefault="008B0834" w:rsidP="00ED6EA6">
                            <w:pPr>
                              <w:spacing w:line="360" w:lineRule="auto"/>
                              <w:rPr>
                                <w:rFonts w:cstheme="minorHAnsi"/>
                                <w:sz w:val="13"/>
                                <w:szCs w:val="13"/>
                              </w:rPr>
                            </w:pPr>
                            <w:r w:rsidRPr="008809A4">
                              <w:rPr>
                                <w:rFonts w:cstheme="minorHAnsi"/>
                                <w:sz w:val="13"/>
                                <w:szCs w:val="13"/>
                              </w:rPr>
                              <w:t>Population: 2021-22</w:t>
                            </w:r>
                          </w:p>
                        </w:tc>
                        <w:tc>
                          <w:tcPr>
                            <w:tcW w:w="0" w:type="auto"/>
                            <w:tcBorders>
                              <w:left w:val="single" w:sz="4" w:space="0" w:color="auto"/>
                              <w:right w:val="single" w:sz="4" w:space="0" w:color="auto"/>
                            </w:tcBorders>
                          </w:tcPr>
                          <w:p w14:paraId="58C0A596"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64,430</w:t>
                            </w:r>
                          </w:p>
                        </w:tc>
                        <w:tc>
                          <w:tcPr>
                            <w:tcW w:w="0" w:type="auto"/>
                            <w:tcBorders>
                              <w:left w:val="single" w:sz="4" w:space="0" w:color="auto"/>
                              <w:right w:val="single" w:sz="4" w:space="0" w:color="auto"/>
                            </w:tcBorders>
                          </w:tcPr>
                          <w:p w14:paraId="719D481A"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+0.7%</w:t>
                            </w:r>
                          </w:p>
                        </w:tc>
                        <w:tc>
                          <w:tcPr>
                            <w:tcW w:w="0" w:type="auto"/>
                            <w:tcBorders>
                              <w:left w:val="single" w:sz="4" w:space="0" w:color="auto"/>
                              <w:right w:val="single" w:sz="4" w:space="0" w:color="auto"/>
                            </w:tcBorders>
                          </w:tcPr>
                          <w:p w14:paraId="39E3FAC4"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2.3%</w:t>
                            </w:r>
                          </w:p>
                        </w:tc>
                      </w:tr>
                      <w:tr w:rsidR="008B0834" w:rsidRPr="00EE46E2" w14:paraId="18DAB6DE" w14:textId="77777777" w:rsidTr="00DA5BE3">
                        <w:tc>
                          <w:tcPr>
                            <w:tcW w:w="0" w:type="auto"/>
                            <w:tcBorders>
                              <w:left w:val="single" w:sz="4" w:space="0" w:color="auto"/>
                              <w:right w:val="single" w:sz="4" w:space="0" w:color="auto"/>
                            </w:tcBorders>
                          </w:tcPr>
                          <w:p w14:paraId="078375A3"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795" w:type="dxa"/>
                            <w:tcBorders>
                              <w:left w:val="single" w:sz="4" w:space="0" w:color="auto"/>
                              <w:right w:val="single" w:sz="4" w:space="0" w:color="auto"/>
                            </w:tcBorders>
                          </w:tcPr>
                          <w:p w14:paraId="5944A6C9"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108,287</w:t>
                            </w:r>
                          </w:p>
                        </w:tc>
                        <w:tc>
                          <w:tcPr>
                            <w:tcW w:w="1128" w:type="dxa"/>
                            <w:tcBorders>
                              <w:left w:val="single" w:sz="4" w:space="0" w:color="auto"/>
                              <w:right w:val="single" w:sz="4" w:space="0" w:color="auto"/>
                            </w:tcBorders>
                          </w:tcPr>
                          <w:p w14:paraId="39BF4C2E"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+8.8%</w:t>
                            </w:r>
                          </w:p>
                        </w:tc>
                        <w:tc>
                          <w:tcPr>
                            <w:tcW w:w="0" w:type="auto"/>
                            <w:tcBorders>
                              <w:left w:val="single" w:sz="4" w:space="0" w:color="auto"/>
                              <w:right w:val="single" w:sz="4" w:space="0" w:color="auto"/>
                            </w:tcBorders>
                          </w:tcPr>
                          <w:p w14:paraId="7ADA4E69"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7.1%</w:t>
                            </w:r>
                          </w:p>
                        </w:tc>
                        <w:tc>
                          <w:tcPr>
                            <w:tcW w:w="0" w:type="auto"/>
                            <w:tcBorders>
                              <w:right w:val="single" w:sz="4" w:space="0" w:color="auto"/>
                            </w:tcBorders>
                          </w:tcPr>
                          <w:p w14:paraId="23FEF9D9" w14:textId="77777777" w:rsidR="008B0834" w:rsidRPr="008536A7" w:rsidRDefault="008B0834" w:rsidP="00ED6EA6">
                            <w:pPr>
                              <w:rPr>
                                <w:rFonts w:cstheme="minorHAnsi"/>
                                <w:sz w:val="13"/>
                                <w:szCs w:val="13"/>
                              </w:rPr>
                            </w:pPr>
                          </w:p>
                        </w:tc>
                        <w:tc>
                          <w:tcPr>
                            <w:tcW w:w="0" w:type="auto"/>
                            <w:tcBorders>
                              <w:left w:val="single" w:sz="4" w:space="0" w:color="auto"/>
                              <w:right w:val="single" w:sz="4" w:space="0" w:color="auto"/>
                            </w:tcBorders>
                          </w:tcPr>
                          <w:p w14:paraId="07C3BC4C"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3"/>
                                <w:szCs w:val="13"/>
                              </w:rPr>
                              <w:t>Employed persons: June. 2023</w:t>
                            </w:r>
                          </w:p>
                        </w:tc>
                        <w:tc>
                          <w:tcPr>
                            <w:tcW w:w="0" w:type="auto"/>
                            <w:tcBorders>
                              <w:left w:val="single" w:sz="4" w:space="0" w:color="auto"/>
                              <w:right w:val="single" w:sz="4" w:space="0" w:color="auto"/>
                            </w:tcBorders>
                          </w:tcPr>
                          <w:p w14:paraId="7B1B6781"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33,848</w:t>
                            </w:r>
                          </w:p>
                        </w:tc>
                        <w:tc>
                          <w:tcPr>
                            <w:tcW w:w="0" w:type="auto"/>
                            <w:tcBorders>
                              <w:left w:val="single" w:sz="4" w:space="0" w:color="auto"/>
                              <w:right w:val="single" w:sz="4" w:space="0" w:color="auto"/>
                            </w:tcBorders>
                          </w:tcPr>
                          <w:p w14:paraId="655EAD08"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+5.7%</w:t>
                            </w:r>
                          </w:p>
                        </w:tc>
                        <w:tc>
                          <w:tcPr>
                            <w:tcW w:w="0" w:type="auto"/>
                            <w:tcBorders>
                              <w:left w:val="single" w:sz="4" w:space="0" w:color="auto"/>
                              <w:right w:val="single" w:sz="4" w:space="0" w:color="auto"/>
                            </w:tcBorders>
                          </w:tcPr>
                          <w:p w14:paraId="7C20FEC5"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2.2%</w:t>
                            </w:r>
                          </w:p>
                        </w:tc>
                      </w:tr>
                      <w:tr w:rsidR="008B0834" w:rsidRPr="00EE46E2" w14:paraId="54CEDCEC" w14:textId="77777777" w:rsidTr="00DA5BE3">
                        <w:tc>
                          <w:tcPr>
                            <w:tcW w:w="0" w:type="auto"/>
                            <w:tcBorders>
                              <w:left w:val="single" w:sz="4" w:space="0" w:color="auto"/>
                              <w:right w:val="single" w:sz="4" w:space="0" w:color="auto"/>
                            </w:tcBorders>
                          </w:tcPr>
                          <w:p w14:paraId="19A61A53"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795" w:type="dxa"/>
                            <w:tcBorders>
                              <w:left w:val="single" w:sz="4" w:space="0" w:color="auto"/>
                              <w:right w:val="single" w:sz="4" w:space="0" w:color="auto"/>
                            </w:tcBorders>
                          </w:tcPr>
                          <w:p w14:paraId="144C940F"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3.3%</w:t>
                            </w:r>
                          </w:p>
                        </w:tc>
                        <w:tc>
                          <w:tcPr>
                            <w:tcW w:w="1128" w:type="dxa"/>
                            <w:tcBorders>
                              <w:left w:val="single" w:sz="4" w:space="0" w:color="auto"/>
                              <w:right w:val="single" w:sz="4" w:space="0" w:color="auto"/>
                            </w:tcBorders>
                          </w:tcPr>
                          <w:p w14:paraId="58D8B5E0"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-1.1pp</w:t>
                            </w:r>
                          </w:p>
                        </w:tc>
                        <w:tc>
                          <w:tcPr>
                            <w:tcW w:w="0" w:type="auto"/>
                            <w:tcBorders>
                              <w:left w:val="single" w:sz="4" w:space="0" w:color="auto"/>
                              <w:right w:val="single" w:sz="4" w:space="0" w:color="auto"/>
                            </w:tcBorders>
                          </w:tcPr>
                          <w:p w14:paraId="0CC63595" w14:textId="77777777" w:rsidR="008B0834" w:rsidRPr="00351552" w:rsidRDefault="008B0834" w:rsidP="00ED6EA6">
                            <w:pPr>
                              <w:spacing w:line="360" w:lineRule="auto"/>
                              <w:jc w:val="right"/>
                              <w:rPr>
                                <w:rFonts w:cstheme="minorHAnsi"/>
                                <w:color w:val="000000" w:themeColor="text1"/>
                                <w:sz w:val="13"/>
                                <w:szCs w:val="13"/>
                              </w:rPr>
                            </w:pPr>
                          </w:p>
                        </w:tc>
                        <w:tc>
                          <w:tcPr>
                            <w:tcW w:w="0" w:type="auto"/>
                            <w:tcBorders>
                              <w:right w:val="single" w:sz="4" w:space="0" w:color="auto"/>
                            </w:tcBorders>
                          </w:tcPr>
                          <w:p w14:paraId="2B025B7D" w14:textId="77777777" w:rsidR="008B0834" w:rsidRPr="008536A7" w:rsidRDefault="008B0834" w:rsidP="00ED6EA6">
                            <w:pPr>
                              <w:rPr>
                                <w:rFonts w:cstheme="minorHAnsi"/>
                                <w:sz w:val="13"/>
                                <w:szCs w:val="13"/>
                              </w:rPr>
                            </w:pPr>
                          </w:p>
                        </w:tc>
                        <w:tc>
                          <w:tcPr>
                            <w:tcW w:w="0" w:type="auto"/>
                            <w:tcBorders>
                              <w:left w:val="single" w:sz="4" w:space="0" w:color="auto"/>
                              <w:right w:val="single" w:sz="4" w:space="0" w:color="auto"/>
                            </w:tcBorders>
                          </w:tcPr>
                          <w:p w14:paraId="147C9365"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3"/>
                                <w:szCs w:val="13"/>
                              </w:rPr>
                              <w:t>Unemployment rate: June. 2023</w:t>
                            </w:r>
                          </w:p>
                        </w:tc>
                        <w:tc>
                          <w:tcPr>
                            <w:tcW w:w="0" w:type="auto"/>
                            <w:tcBorders>
                              <w:left w:val="single" w:sz="4" w:space="0" w:color="auto"/>
                              <w:right w:val="single" w:sz="4" w:space="0" w:color="auto"/>
                            </w:tcBorders>
                          </w:tcPr>
                          <w:p w14:paraId="0A2F3A06"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2.2%</w:t>
                            </w:r>
                          </w:p>
                        </w:tc>
                        <w:tc>
                          <w:tcPr>
                            <w:tcW w:w="0" w:type="auto"/>
                            <w:tcBorders>
                              <w:left w:val="single" w:sz="4" w:space="0" w:color="auto"/>
                              <w:right w:val="single" w:sz="4" w:space="0" w:color="auto"/>
                            </w:tcBorders>
                          </w:tcPr>
                          <w:p w14:paraId="50D1B1B9"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-1.1pp</w:t>
                            </w:r>
                          </w:p>
                        </w:tc>
                        <w:tc>
                          <w:tcPr>
                            <w:tcW w:w="0" w:type="auto"/>
                            <w:tcBorders>
                              <w:left w:val="single" w:sz="4" w:space="0" w:color="auto"/>
                              <w:right w:val="single" w:sz="4" w:space="0" w:color="auto"/>
                            </w:tcBorders>
                          </w:tcPr>
                          <w:p w14:paraId="179BF33B" w14:textId="77777777" w:rsidR="008B0834" w:rsidRPr="008809A4" w:rsidRDefault="008B0834" w:rsidP="00ED6EA6">
                            <w:pPr>
                              <w:spacing w:line="360" w:lineRule="auto"/>
                              <w:jc w:val="right"/>
                              <w:rPr>
                                <w:rFonts w:cstheme="minorHAnsi"/>
                                <w:sz w:val="13"/>
                                <w:szCs w:val="13"/>
                              </w:rPr>
                            </w:pPr>
                          </w:p>
                        </w:tc>
                      </w:tr>
                      <w:tr w:rsidR="008B0834" w:rsidRPr="00EE46E2" w14:paraId="312C8D24" w14:textId="77777777" w:rsidTr="00DA5BE3">
                        <w:tc>
                          <w:tcPr>
                            <w:tcW w:w="0" w:type="auto"/>
                            <w:tcBorders>
                              <w:left w:val="single" w:sz="4" w:space="0" w:color="auto"/>
                              <w:right w:val="single" w:sz="4" w:space="0" w:color="auto"/>
                            </w:tcBorders>
                          </w:tcPr>
                          <w:p w14:paraId="1EFE364F"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2"/>
                                <w:szCs w:val="12"/>
                              </w:rPr>
                              <w:t>Minerals &amp; petroleum sales: 2022-23</w:t>
                            </w:r>
                          </w:p>
                        </w:tc>
                        <w:tc>
                          <w:tcPr>
                            <w:tcW w:w="795" w:type="dxa"/>
                            <w:tcBorders>
                              <w:left w:val="single" w:sz="4" w:space="0" w:color="auto"/>
                              <w:right w:val="single" w:sz="4" w:space="0" w:color="auto"/>
                            </w:tcBorders>
                          </w:tcPr>
                          <w:p w14:paraId="19762FBF"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$12.5b</w:t>
                            </w:r>
                          </w:p>
                        </w:tc>
                        <w:tc>
                          <w:tcPr>
                            <w:tcW w:w="1128" w:type="dxa"/>
                            <w:tcBorders>
                              <w:left w:val="single" w:sz="4" w:space="0" w:color="auto"/>
                              <w:right w:val="single" w:sz="4" w:space="0" w:color="auto"/>
                            </w:tcBorders>
                          </w:tcPr>
                          <w:p w14:paraId="66126AF5"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+163.9%</w:t>
                            </w:r>
                          </w:p>
                        </w:tc>
                        <w:tc>
                          <w:tcPr>
                            <w:tcW w:w="0" w:type="auto"/>
                            <w:tcBorders>
                              <w:left w:val="single" w:sz="4" w:space="0" w:color="auto"/>
                              <w:right w:val="single" w:sz="4" w:space="0" w:color="auto"/>
                            </w:tcBorders>
                          </w:tcPr>
                          <w:p w14:paraId="6B9E1829"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4.9%</w:t>
                            </w:r>
                          </w:p>
                        </w:tc>
                        <w:tc>
                          <w:tcPr>
                            <w:tcW w:w="0" w:type="auto"/>
                            <w:tcBorders>
                              <w:right w:val="single" w:sz="4" w:space="0" w:color="auto"/>
                            </w:tcBorders>
                          </w:tcPr>
                          <w:p w14:paraId="2B11D0F6" w14:textId="77777777" w:rsidR="008B0834" w:rsidRPr="00DE6518" w:rsidRDefault="008B0834" w:rsidP="00ED6EA6">
                            <w:pPr>
                              <w:rPr>
                                <w:rFonts w:cstheme="minorHAnsi"/>
                                <w:sz w:val="13"/>
                                <w:szCs w:val="13"/>
                              </w:rPr>
                            </w:pPr>
                          </w:p>
                        </w:tc>
                        <w:tc>
                          <w:tcPr>
                            <w:tcW w:w="0" w:type="auto"/>
                            <w:tcBorders>
                              <w:left w:val="single" w:sz="4" w:space="0" w:color="auto"/>
                              <w:right w:val="single" w:sz="4" w:space="0" w:color="auto"/>
                            </w:tcBorders>
                          </w:tcPr>
                          <w:p w14:paraId="658A2EC7" w14:textId="77777777" w:rsidR="008B0834" w:rsidRPr="00351552" w:rsidRDefault="008B0834" w:rsidP="00ED6EA6">
                            <w:pPr>
                              <w:spacing w:line="360" w:lineRule="auto"/>
                              <w:rPr>
                                <w:rFonts w:cstheme="minorHAnsi"/>
                                <w:b/>
                                <w:color w:val="000000" w:themeColor="text1"/>
                                <w:sz w:val="13"/>
                                <w:szCs w:val="13"/>
                              </w:rPr>
                            </w:pPr>
                            <w:r w:rsidRPr="00351552">
                              <w:rPr>
                                <w:rFonts w:cstheme="minorHAnsi"/>
                                <w:color w:val="000000" w:themeColor="text1"/>
                                <w:sz w:val="12"/>
                                <w:szCs w:val="12"/>
                              </w:rPr>
                              <w:t>Minerals &amp; petroleum sales: 2022-23</w:t>
                            </w:r>
                          </w:p>
                        </w:tc>
                        <w:tc>
                          <w:tcPr>
                            <w:tcW w:w="0" w:type="auto"/>
                            <w:tcBorders>
                              <w:left w:val="single" w:sz="4" w:space="0" w:color="auto"/>
                              <w:right w:val="single" w:sz="4" w:space="0" w:color="auto"/>
                            </w:tcBorders>
                          </w:tcPr>
                          <w:p w14:paraId="01317817"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$9.7m</w:t>
                            </w:r>
                          </w:p>
                        </w:tc>
                        <w:tc>
                          <w:tcPr>
                            <w:tcW w:w="0" w:type="auto"/>
                            <w:tcBorders>
                              <w:left w:val="single" w:sz="4" w:space="0" w:color="auto"/>
                              <w:right w:val="single" w:sz="4" w:space="0" w:color="auto"/>
                            </w:tcBorders>
                          </w:tcPr>
                          <w:p w14:paraId="61D8BE21"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+31.0%</w:t>
                            </w:r>
                          </w:p>
                        </w:tc>
                        <w:tc>
                          <w:tcPr>
                            <w:tcW w:w="0" w:type="auto"/>
                            <w:tcBorders>
                              <w:left w:val="single" w:sz="4" w:space="0" w:color="auto"/>
                              <w:right w:val="single" w:sz="4" w:space="0" w:color="auto"/>
                            </w:tcBorders>
                          </w:tcPr>
                          <w:p w14:paraId="5302E589"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0.00%</w:t>
                            </w:r>
                          </w:p>
                        </w:tc>
                      </w:tr>
                      <w:tr w:rsidR="008B0834" w:rsidRPr="00EE46E2" w14:paraId="3A111F60" w14:textId="77777777" w:rsidTr="00DA5BE3">
                        <w:tc>
                          <w:tcPr>
                            <w:tcW w:w="0" w:type="auto"/>
                            <w:tcBorders>
                              <w:left w:val="single" w:sz="4" w:space="0" w:color="auto"/>
                              <w:right w:val="single" w:sz="4" w:space="0" w:color="auto"/>
                            </w:tcBorders>
                          </w:tcPr>
                          <w:p w14:paraId="152F65CA" w14:textId="77777777" w:rsidR="008B0834" w:rsidRPr="00351552" w:rsidRDefault="008B0834" w:rsidP="00ED6EA6">
                            <w:pPr>
                              <w:spacing w:line="360" w:lineRule="auto"/>
                              <w:rPr>
                                <w:rFonts w:cstheme="minorHAnsi"/>
                                <w:color w:val="000000" w:themeColor="text1"/>
                                <w:sz w:val="13"/>
                                <w:szCs w:val="13"/>
                              </w:rPr>
                            </w:pPr>
                            <w:r w:rsidRPr="00351552">
                              <w:rPr>
                                <w:rFonts w:cstheme="minorHAnsi"/>
                                <w:color w:val="000000" w:themeColor="text1"/>
                                <w:sz w:val="13"/>
                                <w:szCs w:val="13"/>
                              </w:rPr>
                              <w:t>Building approvals: 2022-23</w:t>
                            </w:r>
                          </w:p>
                        </w:tc>
                        <w:tc>
                          <w:tcPr>
                            <w:tcW w:w="795" w:type="dxa"/>
                            <w:tcBorders>
                              <w:left w:val="single" w:sz="4" w:space="0" w:color="auto"/>
                              <w:right w:val="single" w:sz="4" w:space="0" w:color="auto"/>
                            </w:tcBorders>
                          </w:tcPr>
                          <w:p w14:paraId="5660A357"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$1.0 b</w:t>
                            </w:r>
                          </w:p>
                        </w:tc>
                        <w:tc>
                          <w:tcPr>
                            <w:tcW w:w="1128" w:type="dxa"/>
                            <w:tcBorders>
                              <w:left w:val="single" w:sz="4" w:space="0" w:color="auto"/>
                              <w:right w:val="single" w:sz="4" w:space="0" w:color="auto"/>
                            </w:tcBorders>
                          </w:tcPr>
                          <w:p w14:paraId="546719D8"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 xml:space="preserve">  +27.0%</w:t>
                            </w:r>
                          </w:p>
                        </w:tc>
                        <w:tc>
                          <w:tcPr>
                            <w:tcW w:w="0" w:type="auto"/>
                            <w:tcBorders>
                              <w:left w:val="single" w:sz="4" w:space="0" w:color="auto"/>
                              <w:right w:val="single" w:sz="4" w:space="0" w:color="auto"/>
                            </w:tcBorders>
                          </w:tcPr>
                          <w:p w14:paraId="12575A20" w14:textId="77777777" w:rsidR="008B0834" w:rsidRPr="00351552" w:rsidRDefault="008B0834" w:rsidP="00ED6EA6">
                            <w:pPr>
                              <w:spacing w:line="360" w:lineRule="auto"/>
                              <w:jc w:val="right"/>
                              <w:rPr>
                                <w:rFonts w:cstheme="minorHAnsi"/>
                                <w:color w:val="000000" w:themeColor="text1"/>
                                <w:sz w:val="13"/>
                                <w:szCs w:val="13"/>
                              </w:rPr>
                            </w:pPr>
                            <w:r w:rsidRPr="00351552">
                              <w:rPr>
                                <w:rFonts w:cstheme="minorHAnsi"/>
                                <w:color w:val="000000" w:themeColor="text1"/>
                                <w:sz w:val="13"/>
                                <w:szCs w:val="13"/>
                              </w:rPr>
                              <w:t>9.1%</w:t>
                            </w:r>
                          </w:p>
                        </w:tc>
                        <w:tc>
                          <w:tcPr>
                            <w:tcW w:w="0" w:type="auto"/>
                            <w:tcBorders>
                              <w:right w:val="single" w:sz="4" w:space="0" w:color="auto"/>
                            </w:tcBorders>
                          </w:tcPr>
                          <w:p w14:paraId="3C292B42" w14:textId="77777777" w:rsidR="008B0834" w:rsidRPr="00DA0886" w:rsidRDefault="008B0834" w:rsidP="00ED6EA6">
                            <w:pPr>
                              <w:rPr>
                                <w:rFonts w:cstheme="minorHAnsi"/>
                                <w:sz w:val="13"/>
                                <w:szCs w:val="13"/>
                              </w:rPr>
                            </w:pPr>
                          </w:p>
                        </w:tc>
                        <w:tc>
                          <w:tcPr>
                            <w:tcW w:w="0" w:type="auto"/>
                            <w:tcBorders>
                              <w:left w:val="single" w:sz="4" w:space="0" w:color="auto"/>
                              <w:right w:val="single" w:sz="4" w:space="0" w:color="auto"/>
                            </w:tcBorders>
                          </w:tcPr>
                          <w:p w14:paraId="126D4E35" w14:textId="77777777" w:rsidR="008B0834" w:rsidRPr="001B3607" w:rsidRDefault="008B0834" w:rsidP="00ED6EA6">
                            <w:pPr>
                              <w:spacing w:line="360" w:lineRule="auto"/>
                              <w:rPr>
                                <w:rFonts w:cstheme="minorHAnsi"/>
                                <w:sz w:val="13"/>
                                <w:szCs w:val="13"/>
                              </w:rPr>
                            </w:pPr>
                            <w:r w:rsidRPr="001B3607">
                              <w:rPr>
                                <w:rFonts w:cstheme="minorHAnsi"/>
                                <w:sz w:val="13"/>
                                <w:szCs w:val="13"/>
                              </w:rPr>
                              <w:t xml:space="preserve">Building approvals: </w:t>
                            </w:r>
                            <w:r w:rsidRPr="00EC3F24">
                              <w:rPr>
                                <w:rFonts w:cstheme="minorHAnsi"/>
                                <w:sz w:val="13"/>
                                <w:szCs w:val="13"/>
                              </w:rPr>
                              <w:t>2022-23</w:t>
                            </w:r>
                          </w:p>
                        </w:tc>
                        <w:tc>
                          <w:tcPr>
                            <w:tcW w:w="0" w:type="auto"/>
                            <w:tcBorders>
                              <w:left w:val="single" w:sz="4" w:space="0" w:color="auto"/>
                              <w:right w:val="single" w:sz="4" w:space="0" w:color="auto"/>
                            </w:tcBorders>
                          </w:tcPr>
                          <w:p w14:paraId="065E08D2" w14:textId="77777777" w:rsidR="008B0834" w:rsidRPr="001B3607" w:rsidRDefault="008B0834" w:rsidP="00ED6EA6">
                            <w:pPr>
                              <w:spacing w:line="360" w:lineRule="auto"/>
                              <w:jc w:val="right"/>
                              <w:rPr>
                                <w:rFonts w:cstheme="minorHAnsi"/>
                                <w:sz w:val="13"/>
                                <w:szCs w:val="13"/>
                              </w:rPr>
                            </w:pPr>
                            <w:r w:rsidRPr="001B3607">
                              <w:rPr>
                                <w:rFonts w:cstheme="minorHAnsi"/>
                                <w:sz w:val="13"/>
                                <w:szCs w:val="13"/>
                              </w:rPr>
                              <w:t>$</w:t>
                            </w:r>
                            <w:r w:rsidRPr="00EC3F24">
                              <w:rPr>
                                <w:rFonts w:cstheme="minorHAnsi"/>
                                <w:sz w:val="13"/>
                                <w:szCs w:val="13"/>
                              </w:rPr>
                              <w:t>213</w:t>
                            </w:r>
                            <w:r w:rsidRPr="001B3607">
                              <w:rPr>
                                <w:rFonts w:cstheme="minorHAnsi"/>
                                <w:sz w:val="13"/>
                                <w:szCs w:val="13"/>
                              </w:rPr>
                              <w:t>m</w:t>
                            </w:r>
                          </w:p>
                        </w:tc>
                        <w:tc>
                          <w:tcPr>
                            <w:tcW w:w="0" w:type="auto"/>
                            <w:tcBorders>
                              <w:left w:val="single" w:sz="4" w:space="0" w:color="auto"/>
                              <w:right w:val="single" w:sz="4" w:space="0" w:color="auto"/>
                            </w:tcBorders>
                          </w:tcPr>
                          <w:p w14:paraId="6085114A" w14:textId="77777777" w:rsidR="008B0834" w:rsidRPr="001B3607" w:rsidRDefault="008B0834" w:rsidP="00ED6EA6">
                            <w:pPr>
                              <w:spacing w:line="360" w:lineRule="auto"/>
                              <w:jc w:val="right"/>
                              <w:rPr>
                                <w:rFonts w:cstheme="minorHAnsi"/>
                                <w:sz w:val="13"/>
                                <w:szCs w:val="13"/>
                              </w:rPr>
                            </w:pPr>
                            <w:r w:rsidRPr="00EC3F24">
                              <w:rPr>
                                <w:rFonts w:cstheme="minorHAnsi"/>
                                <w:sz w:val="13"/>
                                <w:szCs w:val="13"/>
                              </w:rPr>
                              <w:t>+23.7</w:t>
                            </w:r>
                            <w:r w:rsidRPr="001B3607">
                              <w:rPr>
                                <w:rFonts w:cstheme="minorHAnsi"/>
                                <w:sz w:val="13"/>
                                <w:szCs w:val="13"/>
                              </w:rPr>
                              <w:t>%</w:t>
                            </w:r>
                          </w:p>
                        </w:tc>
                        <w:tc>
                          <w:tcPr>
                            <w:tcW w:w="0" w:type="auto"/>
                            <w:tcBorders>
                              <w:left w:val="single" w:sz="4" w:space="0" w:color="auto"/>
                              <w:right w:val="single" w:sz="4" w:space="0" w:color="auto"/>
                            </w:tcBorders>
                          </w:tcPr>
                          <w:p w14:paraId="6BF53C24" w14:textId="77777777" w:rsidR="008B0834" w:rsidRPr="001B3607" w:rsidRDefault="008B0834" w:rsidP="00ED6EA6">
                            <w:pPr>
                              <w:spacing w:line="360" w:lineRule="auto"/>
                              <w:jc w:val="right"/>
                              <w:rPr>
                                <w:rFonts w:cstheme="minorHAnsi"/>
                                <w:sz w:val="13"/>
                                <w:szCs w:val="13"/>
                              </w:rPr>
                            </w:pPr>
                            <w:r w:rsidRPr="00EC3F24">
                              <w:rPr>
                                <w:rFonts w:cstheme="minorHAnsi"/>
                                <w:sz w:val="13"/>
                                <w:szCs w:val="13"/>
                              </w:rPr>
                              <w:t>1.9</w:t>
                            </w:r>
                            <w:r w:rsidRPr="001B3607">
                              <w:rPr>
                                <w:rFonts w:cstheme="minorHAnsi"/>
                                <w:sz w:val="13"/>
                                <w:szCs w:val="13"/>
                              </w:rPr>
                              <w:t>%</w:t>
                            </w:r>
                          </w:p>
                        </w:tc>
                      </w:tr>
                      <w:tr w:rsidR="008B0834" w:rsidRPr="00EE46E2" w14:paraId="27E0614F" w14:textId="77777777" w:rsidTr="00DA5BE3">
                        <w:tc>
                          <w:tcPr>
                            <w:tcW w:w="0" w:type="auto"/>
                            <w:tcBorders>
                              <w:left w:val="single" w:sz="4" w:space="0" w:color="auto"/>
                              <w:bottom w:val="single" w:sz="4" w:space="0" w:color="auto"/>
                              <w:right w:val="single" w:sz="4" w:space="0" w:color="auto"/>
                            </w:tcBorders>
                          </w:tcPr>
                          <w:p w14:paraId="3DED67BD" w14:textId="77777777" w:rsidR="008B0834" w:rsidRPr="008809A4" w:rsidRDefault="008B0834" w:rsidP="00ED6EA6">
                            <w:pPr>
                              <w:spacing w:line="360" w:lineRule="auto"/>
                              <w:rPr>
                                <w:rFonts w:cstheme="minorHAnsi"/>
                                <w:sz w:val="13"/>
                                <w:szCs w:val="13"/>
                              </w:rPr>
                            </w:pPr>
                            <w:r w:rsidRPr="008809A4">
                              <w:rPr>
                                <w:rFonts w:cstheme="minorHAnsi"/>
                                <w:sz w:val="13"/>
                                <w:szCs w:val="13"/>
                              </w:rPr>
                              <w:t>Overnight visitors a year: 2020-22</w:t>
                            </w:r>
                          </w:p>
                        </w:tc>
                        <w:tc>
                          <w:tcPr>
                            <w:tcW w:w="795" w:type="dxa"/>
                            <w:tcBorders>
                              <w:left w:val="single" w:sz="4" w:space="0" w:color="auto"/>
                              <w:bottom w:val="single" w:sz="4" w:space="0" w:color="auto"/>
                              <w:right w:val="single" w:sz="4" w:space="0" w:color="auto"/>
                            </w:tcBorders>
                          </w:tcPr>
                          <w:p w14:paraId="57B18A89"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2,464,000</w:t>
                            </w:r>
                          </w:p>
                        </w:tc>
                        <w:tc>
                          <w:tcPr>
                            <w:tcW w:w="1128" w:type="dxa"/>
                            <w:tcBorders>
                              <w:left w:val="single" w:sz="4" w:space="0" w:color="auto"/>
                              <w:bottom w:val="single" w:sz="4" w:space="0" w:color="auto"/>
                              <w:right w:val="single" w:sz="4" w:space="0" w:color="auto"/>
                            </w:tcBorders>
                          </w:tcPr>
                          <w:p w14:paraId="511C918B" w14:textId="77777777" w:rsidR="008B0834" w:rsidRPr="008809A4" w:rsidRDefault="008B0834" w:rsidP="00ED6EA6">
                            <w:pPr>
                              <w:spacing w:line="360" w:lineRule="auto"/>
                              <w:jc w:val="right"/>
                              <w:rPr>
                                <w:rFonts w:cstheme="minorHAnsi"/>
                                <w:sz w:val="13"/>
                                <w:szCs w:val="13"/>
                              </w:rPr>
                            </w:pPr>
                          </w:p>
                        </w:tc>
                        <w:tc>
                          <w:tcPr>
                            <w:tcW w:w="0" w:type="auto"/>
                            <w:tcBorders>
                              <w:left w:val="single" w:sz="4" w:space="0" w:color="auto"/>
                              <w:bottom w:val="single" w:sz="4" w:space="0" w:color="auto"/>
                              <w:right w:val="single" w:sz="4" w:space="0" w:color="auto"/>
                            </w:tcBorders>
                          </w:tcPr>
                          <w:p w14:paraId="5008714A"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22.7%</w:t>
                            </w:r>
                          </w:p>
                        </w:tc>
                        <w:tc>
                          <w:tcPr>
                            <w:tcW w:w="0" w:type="auto"/>
                            <w:tcBorders>
                              <w:right w:val="single" w:sz="4" w:space="0" w:color="auto"/>
                            </w:tcBorders>
                          </w:tcPr>
                          <w:p w14:paraId="6EEEFE05" w14:textId="77777777" w:rsidR="008B0834" w:rsidRPr="00EE46E2" w:rsidRDefault="008B0834" w:rsidP="00ED6EA6">
                            <w:pPr>
                              <w:rPr>
                                <w:rFonts w:cstheme="minorHAnsi"/>
                                <w:sz w:val="13"/>
                                <w:szCs w:val="13"/>
                              </w:rPr>
                            </w:pPr>
                          </w:p>
                        </w:tc>
                        <w:tc>
                          <w:tcPr>
                            <w:tcW w:w="0" w:type="auto"/>
                            <w:tcBorders>
                              <w:left w:val="single" w:sz="4" w:space="0" w:color="auto"/>
                              <w:bottom w:val="single" w:sz="4" w:space="0" w:color="auto"/>
                              <w:right w:val="single" w:sz="4" w:space="0" w:color="auto"/>
                            </w:tcBorders>
                          </w:tcPr>
                          <w:p w14:paraId="6193F35C" w14:textId="77777777" w:rsidR="008B0834" w:rsidRPr="008809A4" w:rsidRDefault="008B0834" w:rsidP="00ED6EA6">
                            <w:pPr>
                              <w:spacing w:line="360" w:lineRule="auto"/>
                              <w:rPr>
                                <w:rFonts w:cstheme="minorHAnsi"/>
                                <w:sz w:val="13"/>
                                <w:szCs w:val="13"/>
                              </w:rPr>
                            </w:pPr>
                            <w:r w:rsidRPr="008809A4">
                              <w:rPr>
                                <w:rFonts w:cstheme="minorHAnsi"/>
                                <w:sz w:val="13"/>
                                <w:szCs w:val="13"/>
                              </w:rPr>
                              <w:t>Overnight visitors a year: 2020-22</w:t>
                            </w:r>
                          </w:p>
                        </w:tc>
                        <w:tc>
                          <w:tcPr>
                            <w:tcW w:w="0" w:type="auto"/>
                            <w:tcBorders>
                              <w:left w:val="single" w:sz="4" w:space="0" w:color="auto"/>
                              <w:bottom w:val="single" w:sz="4" w:space="0" w:color="auto"/>
                              <w:right w:val="single" w:sz="4" w:space="0" w:color="auto"/>
                            </w:tcBorders>
                          </w:tcPr>
                          <w:p w14:paraId="03EBFFD8"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689,000</w:t>
                            </w:r>
                          </w:p>
                        </w:tc>
                        <w:tc>
                          <w:tcPr>
                            <w:tcW w:w="0" w:type="auto"/>
                            <w:tcBorders>
                              <w:left w:val="single" w:sz="4" w:space="0" w:color="auto"/>
                              <w:bottom w:val="single" w:sz="4" w:space="0" w:color="auto"/>
                              <w:right w:val="single" w:sz="4" w:space="0" w:color="auto"/>
                            </w:tcBorders>
                          </w:tcPr>
                          <w:p w14:paraId="0FC2B8C5" w14:textId="77777777" w:rsidR="008B0834" w:rsidRPr="008809A4" w:rsidRDefault="008B0834" w:rsidP="00ED6EA6">
                            <w:pPr>
                              <w:spacing w:line="360" w:lineRule="auto"/>
                              <w:jc w:val="right"/>
                              <w:rPr>
                                <w:rFonts w:cstheme="minorHAnsi"/>
                                <w:sz w:val="13"/>
                                <w:szCs w:val="13"/>
                              </w:rPr>
                            </w:pPr>
                          </w:p>
                        </w:tc>
                        <w:tc>
                          <w:tcPr>
                            <w:tcW w:w="0" w:type="auto"/>
                            <w:tcBorders>
                              <w:left w:val="single" w:sz="4" w:space="0" w:color="auto"/>
                              <w:bottom w:val="single" w:sz="4" w:space="0" w:color="auto"/>
                              <w:right w:val="single" w:sz="4" w:space="0" w:color="auto"/>
                            </w:tcBorders>
                          </w:tcPr>
                          <w:p w14:paraId="3C3712FE" w14:textId="77777777" w:rsidR="008B0834" w:rsidRPr="008809A4" w:rsidRDefault="008B0834" w:rsidP="00ED6EA6">
                            <w:pPr>
                              <w:spacing w:line="360" w:lineRule="auto"/>
                              <w:jc w:val="right"/>
                              <w:rPr>
                                <w:rFonts w:cstheme="minorHAnsi"/>
                                <w:sz w:val="13"/>
                                <w:szCs w:val="13"/>
                              </w:rPr>
                            </w:pPr>
                            <w:r w:rsidRPr="008809A4">
                              <w:rPr>
                                <w:rFonts w:cstheme="minorHAnsi"/>
                                <w:sz w:val="13"/>
                                <w:szCs w:val="13"/>
                              </w:rPr>
                              <w:t>6.3%</w:t>
                            </w:r>
                          </w:p>
                        </w:tc>
                      </w:tr>
                      <w:tr w:rsidR="008B0834" w:rsidRPr="00EE46E2" w14:paraId="7DDEF8CE" w14:textId="77777777" w:rsidTr="00DA5BE3">
                        <w:tc>
                          <w:tcPr>
                            <w:tcW w:w="0" w:type="auto"/>
                            <w:tcBorders>
                              <w:top w:val="single" w:sz="4" w:space="0" w:color="auto"/>
                            </w:tcBorders>
                          </w:tcPr>
                          <w:p w14:paraId="6601CEAA" w14:textId="77777777" w:rsidR="008B0834" w:rsidRPr="00EE46E2" w:rsidRDefault="008B0834" w:rsidP="00ED6EA6">
                            <w:pPr>
                              <w:rPr>
                                <w:rFonts w:cstheme="minorHAnsi"/>
                                <w:sz w:val="13"/>
                                <w:szCs w:val="13"/>
                              </w:rPr>
                            </w:pPr>
                          </w:p>
                        </w:tc>
                        <w:tc>
                          <w:tcPr>
                            <w:tcW w:w="795" w:type="dxa"/>
                            <w:tcBorders>
                              <w:top w:val="single" w:sz="4" w:space="0" w:color="auto"/>
                            </w:tcBorders>
                          </w:tcPr>
                          <w:p w14:paraId="6E624E16" w14:textId="77777777" w:rsidR="008B0834" w:rsidRPr="00EE46E2" w:rsidRDefault="008B0834" w:rsidP="00ED6EA6">
                            <w:pPr>
                              <w:jc w:val="right"/>
                              <w:rPr>
                                <w:rFonts w:cstheme="minorHAnsi"/>
                                <w:sz w:val="13"/>
                                <w:szCs w:val="13"/>
                              </w:rPr>
                            </w:pPr>
                          </w:p>
                        </w:tc>
                        <w:tc>
                          <w:tcPr>
                            <w:tcW w:w="1128" w:type="dxa"/>
                            <w:tcBorders>
                              <w:top w:val="single" w:sz="4" w:space="0" w:color="auto"/>
                            </w:tcBorders>
                          </w:tcPr>
                          <w:p w14:paraId="4C5A8546" w14:textId="77777777" w:rsidR="008B0834" w:rsidRPr="00EE46E2" w:rsidRDefault="008B0834" w:rsidP="00ED6EA6">
                            <w:pPr>
                              <w:jc w:val="right"/>
                              <w:rPr>
                                <w:rFonts w:cstheme="minorHAnsi"/>
                                <w:sz w:val="13"/>
                                <w:szCs w:val="13"/>
                              </w:rPr>
                            </w:pPr>
                          </w:p>
                        </w:tc>
                        <w:tc>
                          <w:tcPr>
                            <w:tcW w:w="0" w:type="auto"/>
                            <w:tcBorders>
                              <w:top w:val="single" w:sz="4" w:space="0" w:color="auto"/>
                            </w:tcBorders>
                          </w:tcPr>
                          <w:p w14:paraId="47B79BD5" w14:textId="77777777" w:rsidR="008B0834" w:rsidRPr="00EE46E2" w:rsidRDefault="008B0834" w:rsidP="00ED6EA6">
                            <w:pPr>
                              <w:jc w:val="right"/>
                              <w:rPr>
                                <w:rFonts w:cstheme="minorHAnsi"/>
                                <w:sz w:val="13"/>
                                <w:szCs w:val="13"/>
                              </w:rPr>
                            </w:pPr>
                          </w:p>
                        </w:tc>
                        <w:tc>
                          <w:tcPr>
                            <w:tcW w:w="0" w:type="auto"/>
                          </w:tcPr>
                          <w:p w14:paraId="69E20634" w14:textId="77777777" w:rsidR="008B0834" w:rsidRPr="00EE46E2" w:rsidRDefault="008B0834" w:rsidP="00ED6EA6">
                            <w:pPr>
                              <w:rPr>
                                <w:rFonts w:cstheme="minorHAnsi"/>
                                <w:sz w:val="13"/>
                                <w:szCs w:val="13"/>
                              </w:rPr>
                            </w:pPr>
                          </w:p>
                        </w:tc>
                        <w:tc>
                          <w:tcPr>
                            <w:tcW w:w="0" w:type="auto"/>
                            <w:tcBorders>
                              <w:top w:val="single" w:sz="4" w:space="0" w:color="auto"/>
                            </w:tcBorders>
                          </w:tcPr>
                          <w:p w14:paraId="1F14F234" w14:textId="77777777" w:rsidR="008B0834" w:rsidRPr="00EE46E2" w:rsidRDefault="008B0834" w:rsidP="00ED6EA6">
                            <w:pPr>
                              <w:rPr>
                                <w:rFonts w:cstheme="minorHAnsi"/>
                                <w:sz w:val="13"/>
                                <w:szCs w:val="13"/>
                              </w:rPr>
                            </w:pPr>
                          </w:p>
                        </w:tc>
                        <w:tc>
                          <w:tcPr>
                            <w:tcW w:w="0" w:type="auto"/>
                            <w:tcBorders>
                              <w:top w:val="single" w:sz="4" w:space="0" w:color="auto"/>
                            </w:tcBorders>
                          </w:tcPr>
                          <w:p w14:paraId="019C6B4B" w14:textId="77777777" w:rsidR="008B0834" w:rsidRPr="00EE46E2" w:rsidRDefault="008B0834" w:rsidP="00ED6EA6">
                            <w:pPr>
                              <w:jc w:val="right"/>
                              <w:rPr>
                                <w:rFonts w:cstheme="minorHAnsi"/>
                                <w:sz w:val="13"/>
                                <w:szCs w:val="13"/>
                              </w:rPr>
                            </w:pPr>
                          </w:p>
                        </w:tc>
                        <w:tc>
                          <w:tcPr>
                            <w:tcW w:w="0" w:type="auto"/>
                            <w:tcBorders>
                              <w:top w:val="single" w:sz="4" w:space="0" w:color="auto"/>
                            </w:tcBorders>
                          </w:tcPr>
                          <w:p w14:paraId="68CCCAC6" w14:textId="77777777" w:rsidR="008B0834" w:rsidRPr="00EE46E2" w:rsidRDefault="008B0834" w:rsidP="00ED6EA6">
                            <w:pPr>
                              <w:jc w:val="right"/>
                              <w:rPr>
                                <w:rFonts w:cstheme="minorHAnsi"/>
                                <w:sz w:val="13"/>
                                <w:szCs w:val="13"/>
                              </w:rPr>
                            </w:pPr>
                          </w:p>
                        </w:tc>
                        <w:tc>
                          <w:tcPr>
                            <w:tcW w:w="0" w:type="auto"/>
                            <w:tcBorders>
                              <w:top w:val="single" w:sz="4" w:space="0" w:color="auto"/>
                            </w:tcBorders>
                          </w:tcPr>
                          <w:p w14:paraId="138C066B" w14:textId="77777777" w:rsidR="008B0834" w:rsidRPr="00EE46E2" w:rsidRDefault="008B0834" w:rsidP="00ED6EA6">
                            <w:pPr>
                              <w:jc w:val="right"/>
                              <w:rPr>
                                <w:rFonts w:cstheme="minorHAnsi"/>
                                <w:sz w:val="13"/>
                                <w:szCs w:val="13"/>
                              </w:rPr>
                            </w:pPr>
                          </w:p>
                        </w:tc>
                      </w:tr>
                      <w:tr w:rsidR="008B0834" w:rsidRPr="00EE46E2" w14:paraId="5DE84EF5" w14:textId="77777777" w:rsidTr="00DA5BE3">
                        <w:tc>
                          <w:tcPr>
                            <w:tcW w:w="0" w:type="auto"/>
                          </w:tcPr>
                          <w:p w14:paraId="6DFBF10B" w14:textId="77777777" w:rsidR="008B0834" w:rsidRPr="00EE46E2" w:rsidRDefault="008B0834" w:rsidP="00ED6EA6">
                            <w:pPr>
                              <w:rPr>
                                <w:rFonts w:cstheme="minorHAnsi"/>
                                <w:sz w:val="13"/>
                                <w:szCs w:val="13"/>
                              </w:rPr>
                            </w:pPr>
                          </w:p>
                        </w:tc>
                        <w:tc>
                          <w:tcPr>
                            <w:tcW w:w="795" w:type="dxa"/>
                          </w:tcPr>
                          <w:p w14:paraId="755B16B9" w14:textId="77777777" w:rsidR="008B0834" w:rsidRPr="00EE46E2" w:rsidRDefault="008B0834" w:rsidP="00ED6EA6">
                            <w:pPr>
                              <w:jc w:val="right"/>
                              <w:rPr>
                                <w:rFonts w:cstheme="minorHAnsi"/>
                                <w:sz w:val="13"/>
                                <w:szCs w:val="13"/>
                              </w:rPr>
                            </w:pPr>
                          </w:p>
                        </w:tc>
                        <w:tc>
                          <w:tcPr>
                            <w:tcW w:w="1128" w:type="dxa"/>
                          </w:tcPr>
                          <w:p w14:paraId="4283AE6B" w14:textId="77777777" w:rsidR="008B0834" w:rsidRPr="00EE46E2" w:rsidRDefault="008B0834" w:rsidP="00ED6EA6">
                            <w:pPr>
                              <w:jc w:val="right"/>
                              <w:rPr>
                                <w:rFonts w:cstheme="minorHAnsi"/>
                                <w:sz w:val="13"/>
                                <w:szCs w:val="13"/>
                              </w:rPr>
                            </w:pPr>
                          </w:p>
                        </w:tc>
                        <w:tc>
                          <w:tcPr>
                            <w:tcW w:w="0" w:type="auto"/>
                          </w:tcPr>
                          <w:p w14:paraId="50C71869" w14:textId="77777777" w:rsidR="008B0834" w:rsidRPr="00EE46E2" w:rsidRDefault="008B0834" w:rsidP="00ED6EA6">
                            <w:pPr>
                              <w:jc w:val="right"/>
                              <w:rPr>
                                <w:rFonts w:cstheme="minorHAnsi"/>
                                <w:sz w:val="13"/>
                                <w:szCs w:val="13"/>
                              </w:rPr>
                            </w:pPr>
                          </w:p>
                        </w:tc>
                        <w:tc>
                          <w:tcPr>
                            <w:tcW w:w="0" w:type="auto"/>
                          </w:tcPr>
                          <w:p w14:paraId="0100504F" w14:textId="77777777" w:rsidR="008B0834" w:rsidRPr="00EE46E2" w:rsidRDefault="008B0834" w:rsidP="00ED6EA6">
                            <w:pPr>
                              <w:rPr>
                                <w:rFonts w:cstheme="minorHAnsi"/>
                                <w:sz w:val="13"/>
                                <w:szCs w:val="13"/>
                              </w:rPr>
                            </w:pPr>
                          </w:p>
                        </w:tc>
                        <w:tc>
                          <w:tcPr>
                            <w:tcW w:w="0" w:type="auto"/>
                          </w:tcPr>
                          <w:p w14:paraId="0415AA37" w14:textId="77777777" w:rsidR="008B0834" w:rsidRPr="00EE46E2" w:rsidRDefault="008B0834" w:rsidP="00ED6EA6">
                            <w:pPr>
                              <w:rPr>
                                <w:rFonts w:cstheme="minorHAnsi"/>
                                <w:sz w:val="13"/>
                                <w:szCs w:val="13"/>
                              </w:rPr>
                            </w:pPr>
                          </w:p>
                        </w:tc>
                        <w:tc>
                          <w:tcPr>
                            <w:tcW w:w="0" w:type="auto"/>
                          </w:tcPr>
                          <w:p w14:paraId="4E2FA658" w14:textId="77777777" w:rsidR="008B0834" w:rsidRPr="00EE46E2" w:rsidRDefault="008B0834" w:rsidP="00ED6EA6">
                            <w:pPr>
                              <w:jc w:val="right"/>
                              <w:rPr>
                                <w:rFonts w:cstheme="minorHAnsi"/>
                                <w:sz w:val="13"/>
                                <w:szCs w:val="13"/>
                              </w:rPr>
                            </w:pPr>
                          </w:p>
                        </w:tc>
                        <w:tc>
                          <w:tcPr>
                            <w:tcW w:w="0" w:type="auto"/>
                          </w:tcPr>
                          <w:p w14:paraId="150D634F" w14:textId="77777777" w:rsidR="008B0834" w:rsidRPr="00EE46E2" w:rsidRDefault="008B0834" w:rsidP="00ED6EA6">
                            <w:pPr>
                              <w:jc w:val="right"/>
                              <w:rPr>
                                <w:rFonts w:cstheme="minorHAnsi"/>
                                <w:sz w:val="13"/>
                                <w:szCs w:val="13"/>
                              </w:rPr>
                            </w:pPr>
                          </w:p>
                        </w:tc>
                        <w:tc>
                          <w:tcPr>
                            <w:tcW w:w="0" w:type="auto"/>
                          </w:tcPr>
                          <w:p w14:paraId="3DA7800D" w14:textId="77777777" w:rsidR="008B0834" w:rsidRPr="00EE46E2" w:rsidRDefault="008B0834" w:rsidP="00ED6EA6">
                            <w:pPr>
                              <w:jc w:val="right"/>
                              <w:rPr>
                                <w:rFonts w:cstheme="minorHAnsi"/>
                                <w:sz w:val="13"/>
                                <w:szCs w:val="13"/>
                              </w:rPr>
                            </w:pPr>
                          </w:p>
                        </w:tc>
                      </w:tr>
                    </w:tbl>
                    <w:p w14:paraId="3429FDD9" w14:textId="77777777" w:rsidR="008B0834" w:rsidRDefault="008B0834" w:rsidP="008B0834"/>
                  </w:txbxContent>
                </v:textbox>
              </v:shape>
            </w:pict>
          </mc:Fallback>
        </mc:AlternateContent>
      </w:r>
      <w:r>
        <w:rPr>
          <w:noProof/>
          <w:sz w:val="16"/>
          <w:lang w:eastAsia="en-AU"/>
        </w:rPr>
        <w:object w:dxaOrig="11235" w:dyaOrig="15900" w14:anchorId="602F5B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pt;height:626.5pt" o:ole="">
            <v:imagedata r:id="rId63" o:title=""/>
          </v:shape>
          <o:OLEObject Type="Embed" ProgID="PBrush" ShapeID="_x0000_i1025" DrawAspect="Content" ObjectID="_1766313308" r:id="rId64"/>
        </w:object>
      </w:r>
    </w:p>
    <w:p w14:paraId="75FFF057" w14:textId="77777777" w:rsidR="008B0834" w:rsidRDefault="008B0834" w:rsidP="008B0834">
      <w:pPr>
        <w:spacing w:after="0"/>
        <w:jc w:val="both"/>
        <w:rPr>
          <w:sz w:val="10"/>
        </w:rPr>
      </w:pPr>
      <w:proofErr w:type="spellStart"/>
      <w:r>
        <w:rPr>
          <w:sz w:val="10"/>
        </w:rPr>
        <w:t>n.a.</w:t>
      </w:r>
      <w:proofErr w:type="spellEnd"/>
      <w:r>
        <w:rPr>
          <w:sz w:val="10"/>
        </w:rPr>
        <w:t xml:space="preserve"> = not available. pp = percentage point. </w:t>
      </w:r>
      <w:r w:rsidRPr="00167179">
        <w:rPr>
          <w:sz w:val="10"/>
          <w:vertAlign w:val="superscript"/>
        </w:rPr>
        <w:t>1</w:t>
      </w:r>
      <w:r w:rsidRPr="00167179">
        <w:rPr>
          <w:sz w:val="10"/>
        </w:rPr>
        <w:t xml:space="preserve"> Change from previous year for annual series</w:t>
      </w:r>
      <w:r>
        <w:rPr>
          <w:sz w:val="10"/>
        </w:rPr>
        <w:t xml:space="preserve"> (nominal or not adjusted for price changes</w:t>
      </w:r>
      <w:r w:rsidRPr="009A6DAE">
        <w:rPr>
          <w:sz w:val="10"/>
        </w:rPr>
        <w:t xml:space="preserve">) except for GRP estimates (adjusted for 2020 CPI changes), </w:t>
      </w:r>
      <w:r w:rsidRPr="00167179">
        <w:rPr>
          <w:sz w:val="10"/>
        </w:rPr>
        <w:t>and change from same quarter of the previous year for the quarterly labour force series. Source: WA Department of Primary Industries and Regional Development</w:t>
      </w:r>
      <w:r>
        <w:rPr>
          <w:sz w:val="10"/>
        </w:rPr>
        <w:t xml:space="preserve">, GRP estimates (Annual); </w:t>
      </w:r>
      <w:r w:rsidRPr="00DA0886">
        <w:rPr>
          <w:sz w:val="10"/>
        </w:rPr>
        <w:t xml:space="preserve">Based on data from ABS 3218.0 Regional Population Growth Australia (Annual); </w:t>
      </w:r>
      <w:r w:rsidRPr="00A81B13">
        <w:rPr>
          <w:sz w:val="10"/>
        </w:rPr>
        <w:t xml:space="preserve">Jobs and Skills Australia’s Labour Market Insights, Small Area Labour Markets (Quarterly); WA </w:t>
      </w:r>
      <w:r w:rsidRPr="00DA0886">
        <w:rPr>
          <w:sz w:val="10"/>
        </w:rPr>
        <w:t>Department of Mines, Industry Regulation and Safety, Resource Data Files (B</w:t>
      </w:r>
      <w:r w:rsidRPr="00DA0886">
        <w:rPr>
          <w:sz w:val="10"/>
        </w:rPr>
        <w:noBreakHyphen/>
        <w:t xml:space="preserve">Annual); Based on data from ABS </w:t>
      </w:r>
      <w:r w:rsidRPr="00167179">
        <w:rPr>
          <w:sz w:val="10"/>
        </w:rPr>
        <w:t>8731.0 Building Approvals</w:t>
      </w:r>
      <w:r>
        <w:rPr>
          <w:sz w:val="10"/>
        </w:rPr>
        <w:t>, Australia (Monthly)</w:t>
      </w:r>
      <w:r w:rsidRPr="00167179">
        <w:rPr>
          <w:sz w:val="10"/>
        </w:rPr>
        <w:t>; and Tourism Western Australia, Regional Development Commission Fact Sheets</w:t>
      </w:r>
      <w:r>
        <w:rPr>
          <w:sz w:val="10"/>
        </w:rPr>
        <w:t xml:space="preserve"> (Annual).</w:t>
      </w:r>
    </w:p>
    <w:p w14:paraId="76B43216" w14:textId="77777777" w:rsidR="008B0834" w:rsidRDefault="008B0834" w:rsidP="008B0834">
      <w:pPr>
        <w:spacing w:after="0"/>
        <w:jc w:val="both"/>
        <w:rPr>
          <w:sz w:val="10"/>
        </w:rPr>
        <w:sectPr w:rsidR="008B0834" w:rsidSect="005B28B6">
          <w:type w:val="continuous"/>
          <w:pgSz w:w="11907" w:h="16840" w:code="9"/>
          <w:pgMar w:top="1701" w:right="720" w:bottom="720" w:left="720" w:header="709" w:footer="709" w:gutter="0"/>
          <w:cols w:space="284"/>
          <w:docGrid w:linePitch="360"/>
        </w:sectPr>
      </w:pPr>
    </w:p>
    <w:p w14:paraId="79F27930" w14:textId="77777777" w:rsidR="008B0834" w:rsidRDefault="008B0834" w:rsidP="008B0834">
      <w:pPr>
        <w:spacing w:after="0"/>
        <w:jc w:val="both"/>
        <w:rPr>
          <w:sz w:val="10"/>
        </w:rPr>
      </w:pPr>
    </w:p>
    <w:p w14:paraId="39BFAD1B" w14:textId="4C18EA0B" w:rsidR="00167179" w:rsidRPr="00FD2E59" w:rsidRDefault="00167179" w:rsidP="00FD2E59"/>
    <w:sectPr w:rsidR="00167179" w:rsidRPr="00FD2E59" w:rsidSect="00F7498D">
      <w:headerReference w:type="default" r:id="rId65"/>
      <w:footerReference w:type="default" r:id="rId66"/>
      <w:footerReference w:type="first" r:id="rId67"/>
      <w:type w:val="continuous"/>
      <w:pgSz w:w="11907" w:h="16840" w:code="9"/>
      <w:pgMar w:top="1701" w:right="720" w:bottom="720" w:left="720" w:header="709" w:footer="709" w:gutter="0"/>
      <w:cols w:num="2" w:space="284" w:equalWidth="0">
        <w:col w:w="5647" w:space="284"/>
        <w:col w:w="453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BB4B0" w14:textId="77777777" w:rsidR="00096A64" w:rsidRDefault="00096A64" w:rsidP="00A4382C">
      <w:pPr>
        <w:spacing w:line="240" w:lineRule="auto"/>
      </w:pPr>
      <w:r>
        <w:separator/>
      </w:r>
    </w:p>
  </w:endnote>
  <w:endnote w:type="continuationSeparator" w:id="0">
    <w:p w14:paraId="04573191" w14:textId="77777777" w:rsidR="00096A64" w:rsidRDefault="00096A64" w:rsidP="00A4382C">
      <w:pPr>
        <w:spacing w:line="240" w:lineRule="auto"/>
      </w:pPr>
      <w:r>
        <w:continuationSeparator/>
      </w:r>
    </w:p>
  </w:endnote>
  <w:endnote w:type="continuationNotice" w:id="1">
    <w:p w14:paraId="6BC71F1A" w14:textId="77777777" w:rsidR="00096A64" w:rsidRDefault="00096A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E5DCF" w14:textId="77777777" w:rsidR="008E47E7" w:rsidRDefault="008E4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904F0" w14:textId="71A8A26B" w:rsidR="008B0834" w:rsidRPr="00CC5FB3" w:rsidRDefault="008B0834" w:rsidP="00CC5FB3">
    <w:pPr>
      <w:pStyle w:val="Footer"/>
      <w:rPr>
        <w:szCs w:val="16"/>
      </w:rPr>
    </w:pPr>
    <w:r>
      <w:rPr>
        <w:szCs w:val="16"/>
      </w:rPr>
      <w:t>WA Economic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17</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17</w:t>
    </w:r>
    <w:r>
      <w:rPr>
        <w:szCs w:val="16"/>
      </w:rPr>
      <w:fldChar w:fldCharType="end"/>
    </w:r>
    <w:r>
      <w:rPr>
        <w:szCs w:val="16"/>
      </w:rPr>
      <w:tab/>
      <w:t xml:space="preserve"> </w:t>
    </w:r>
    <w:r>
      <w:rPr>
        <w:szCs w:val="16"/>
      </w:rPr>
      <w:tab/>
    </w:r>
    <w:r>
      <w:rPr>
        <w:szCs w:val="16"/>
      </w:rPr>
      <w:tab/>
    </w:r>
    <w:r>
      <w:rPr>
        <w:szCs w:val="16"/>
      </w:rPr>
      <w:tab/>
      <w:t xml:space="preserve">                              </w:t>
    </w:r>
    <w:r w:rsidR="00DD20AB">
      <w:rPr>
        <w:szCs w:val="16"/>
      </w:rPr>
      <w:t>Dec</w:t>
    </w:r>
    <w:r w:rsidR="00932C9F">
      <w:rPr>
        <w:szCs w:val="16"/>
      </w:rPr>
      <w:t>ember</w:t>
    </w:r>
    <w:r w:rsidRPr="00170E5B">
      <w:rPr>
        <w:szCs w:val="16"/>
      </w:rPr>
      <w:t xml:space="preserve"> </w:t>
    </w:r>
    <w:r>
      <w:rPr>
        <w:szCs w:val="16"/>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76EAC" w14:textId="68556EE5" w:rsidR="008B0834" w:rsidRPr="0075253D" w:rsidRDefault="008B0834" w:rsidP="0075253D">
    <w:pPr>
      <w:pStyle w:val="Footer"/>
      <w:rPr>
        <w:szCs w:val="16"/>
      </w:rPr>
    </w:pPr>
    <w:r>
      <w:rPr>
        <w:szCs w:val="16"/>
      </w:rPr>
      <w:fldChar w:fldCharType="begin"/>
    </w:r>
    <w:r>
      <w:rPr>
        <w:szCs w:val="16"/>
      </w:rPr>
      <w:instrText xml:space="preserve"> FILENAME</w:instrText>
    </w:r>
    <w:r>
      <w:rPr>
        <w:szCs w:val="16"/>
      </w:rPr>
      <w:fldChar w:fldCharType="separate"/>
    </w:r>
    <w:r w:rsidR="008E47E7">
      <w:rPr>
        <w:noProof/>
        <w:szCs w:val="16"/>
      </w:rPr>
      <w:t>003415policy.data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17</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290023971"/>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0000000-0000-0000-0000-000000000000}"/>
        <w:dropDownList>
          <w:listItem w:value="[ReleaseClassification]"/>
        </w:dropDownList>
      </w:sdtPr>
      <w:sdtEndPr/>
      <w:sdtContent>
        <w:r>
          <w:rPr>
            <w:snapToGrid w:val="0"/>
            <w:szCs w:val="16"/>
          </w:rPr>
          <w:t>For Public Release</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4D6A" w14:textId="63E1699D" w:rsidR="00096A64" w:rsidRPr="00CC5FB3" w:rsidRDefault="00096A64" w:rsidP="00CC5FB3">
    <w:pPr>
      <w:pStyle w:val="Footer"/>
      <w:rPr>
        <w:szCs w:val="16"/>
      </w:rPr>
    </w:pPr>
    <w:r>
      <w:rPr>
        <w:szCs w:val="16"/>
      </w:rPr>
      <w:t>WA Economic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17</w:t>
    </w:r>
    <w:r>
      <w:rPr>
        <w:szCs w:val="16"/>
      </w:rPr>
      <w:fldChar w:fldCharType="end"/>
    </w:r>
    <w:r>
      <w:rPr>
        <w:szCs w:val="16"/>
      </w:rPr>
      <w:tab/>
      <w:t xml:space="preserve"> </w:t>
    </w:r>
    <w:r>
      <w:rPr>
        <w:szCs w:val="16"/>
      </w:rPr>
      <w:ptab w:relativeTo="margin" w:alignment="right" w:leader="none"/>
    </w:r>
    <w:r>
      <w:rPr>
        <w:szCs w:val="16"/>
      </w:rPr>
      <w:t>June 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8160" w14:textId="778691E1" w:rsidR="00096A64" w:rsidRPr="0075253D" w:rsidRDefault="00096A64"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002094policy.data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17</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5C810" w14:textId="77777777" w:rsidR="00096A64" w:rsidRDefault="00096A64" w:rsidP="00A4382C">
      <w:pPr>
        <w:spacing w:line="240" w:lineRule="auto"/>
      </w:pPr>
      <w:r>
        <w:separator/>
      </w:r>
    </w:p>
  </w:footnote>
  <w:footnote w:type="continuationSeparator" w:id="0">
    <w:p w14:paraId="1134EFE3" w14:textId="77777777" w:rsidR="00096A64" w:rsidRDefault="00096A64" w:rsidP="00A4382C">
      <w:pPr>
        <w:spacing w:line="240" w:lineRule="auto"/>
      </w:pPr>
      <w:r>
        <w:continuationSeparator/>
      </w:r>
    </w:p>
  </w:footnote>
  <w:footnote w:type="continuationNotice" w:id="1">
    <w:p w14:paraId="54AED631" w14:textId="77777777" w:rsidR="00096A64" w:rsidRDefault="00096A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31736" w14:textId="77777777" w:rsidR="008E47E7" w:rsidRDefault="008E47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1E2F6" w14:textId="77777777" w:rsidR="008B0834" w:rsidRDefault="008B0834">
    <w:pPr>
      <w:pStyle w:val="Header"/>
    </w:pPr>
    <w:r>
      <w:rPr>
        <w:noProof/>
        <w:lang w:eastAsia="en-AU"/>
      </w:rPr>
      <w:drawing>
        <wp:anchor distT="0" distB="0" distL="114300" distR="114300" simplePos="0" relativeHeight="251657216" behindDoc="1" locked="0" layoutInCell="1" allowOverlap="0" wp14:anchorId="53276181" wp14:editId="3B847469">
          <wp:simplePos x="0" y="0"/>
          <wp:positionH relativeFrom="page">
            <wp:posOffset>142875</wp:posOffset>
          </wp:positionH>
          <wp:positionV relativeFrom="page">
            <wp:posOffset>152400</wp:posOffset>
          </wp:positionV>
          <wp:extent cx="7277100" cy="869404"/>
          <wp:effectExtent l="0" t="0" r="0" b="698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8A5EC" w14:textId="77777777" w:rsidR="008E47E7" w:rsidRDefault="008E47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9832" w14:textId="77777777" w:rsidR="00096A64" w:rsidRDefault="00096A64">
    <w:pPr>
      <w:pStyle w:val="Header"/>
    </w:pPr>
    <w:r>
      <w:rPr>
        <w:noProof/>
        <w:lang w:eastAsia="en-AU"/>
      </w:rPr>
      <w:drawing>
        <wp:anchor distT="0" distB="0" distL="114300" distR="114300" simplePos="0" relativeHeight="251658240" behindDoc="1" locked="0" layoutInCell="1" allowOverlap="0" wp14:anchorId="06CF5D74" wp14:editId="3D23D956">
          <wp:simplePos x="0" y="0"/>
          <wp:positionH relativeFrom="page">
            <wp:posOffset>142875</wp:posOffset>
          </wp:positionH>
          <wp:positionV relativeFrom="page">
            <wp:posOffset>152400</wp:posOffset>
          </wp:positionV>
          <wp:extent cx="7277100" cy="869404"/>
          <wp:effectExtent l="0" t="0" r="0" b="698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97E"/>
    <w:multiLevelType w:val="hybridMultilevel"/>
    <w:tmpl w:val="107CDD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4"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9" w15:restartNumberingAfterBreak="0">
    <w:nsid w:val="2C2F4ABE"/>
    <w:multiLevelType w:val="hybridMultilevel"/>
    <w:tmpl w:val="50D8ED50"/>
    <w:lvl w:ilvl="0" w:tplc="5C523846">
      <w:start w:val="1"/>
      <w:numFmt w:val="bullet"/>
      <w:lvlText w:val=""/>
      <w:lvlJc w:val="left"/>
      <w:pPr>
        <w:ind w:left="568" w:hanging="284"/>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30AA35B5"/>
    <w:multiLevelType w:val="hybridMultilevel"/>
    <w:tmpl w:val="1452D21E"/>
    <w:lvl w:ilvl="0" w:tplc="6466FCE8">
      <w:start w:val="1"/>
      <w:numFmt w:val="bullet"/>
      <w:lvlText w:val=""/>
      <w:lvlJc w:val="left"/>
      <w:pPr>
        <w:ind w:left="284" w:hanging="284"/>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6D5465F"/>
    <w:multiLevelType w:val="hybridMultilevel"/>
    <w:tmpl w:val="F2787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B20D18"/>
    <w:multiLevelType w:val="multilevel"/>
    <w:tmpl w:val="C4023126"/>
    <w:numStyleLink w:val="AgencyTableBullets"/>
  </w:abstractNum>
  <w:abstractNum w:abstractNumId="13" w15:restartNumberingAfterBreak="0">
    <w:nsid w:val="4474526F"/>
    <w:multiLevelType w:val="multilevel"/>
    <w:tmpl w:val="D5A4B100"/>
    <w:numStyleLink w:val="AgencyTableNumbers"/>
  </w:abstractNum>
  <w:abstractNum w:abstractNumId="14" w15:restartNumberingAfterBreak="0">
    <w:nsid w:val="4552191F"/>
    <w:multiLevelType w:val="hybridMultilevel"/>
    <w:tmpl w:val="2360A47C"/>
    <w:lvl w:ilvl="0" w:tplc="0C090001">
      <w:start w:val="1"/>
      <w:numFmt w:val="bullet"/>
      <w:lvlText w:val=""/>
      <w:lvlJc w:val="left"/>
      <w:pPr>
        <w:ind w:left="570" w:hanging="570"/>
      </w:pPr>
      <w:rPr>
        <w:rFonts w:ascii="Symbol" w:hAnsi="Symbol" w:hint="default"/>
      </w:rPr>
    </w:lvl>
    <w:lvl w:ilvl="1" w:tplc="BEF090A2">
      <w:start w:val="1"/>
      <w:numFmt w:val="bullet"/>
      <w:lvlText w:val="­"/>
      <w:lvlJc w:val="left"/>
      <w:pPr>
        <w:ind w:left="1134" w:hanging="567"/>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F77038"/>
    <w:multiLevelType w:val="hybridMultilevel"/>
    <w:tmpl w:val="2F7E8340"/>
    <w:lvl w:ilvl="0" w:tplc="F0E639F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8" w15:restartNumberingAfterBreak="0">
    <w:nsid w:val="557D660D"/>
    <w:multiLevelType w:val="hybridMultilevel"/>
    <w:tmpl w:val="1A801D74"/>
    <w:lvl w:ilvl="0" w:tplc="0C090001">
      <w:start w:val="1"/>
      <w:numFmt w:val="bullet"/>
      <w:lvlText w:val=""/>
      <w:lvlJc w:val="left"/>
      <w:pPr>
        <w:ind w:left="570" w:hanging="570"/>
      </w:pPr>
      <w:rPr>
        <w:rFonts w:ascii="Symbol" w:hAnsi="Symbol" w:hint="default"/>
      </w:rPr>
    </w:lvl>
    <w:lvl w:ilvl="1" w:tplc="CDCC8D9C">
      <w:start w:val="1"/>
      <w:numFmt w:val="bullet"/>
      <w:lvlText w:val="­"/>
      <w:lvlJc w:val="left"/>
      <w:pPr>
        <w:ind w:left="1134" w:hanging="567"/>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1F77BB6"/>
    <w:multiLevelType w:val="hybridMultilevel"/>
    <w:tmpl w:val="484E60B2"/>
    <w:lvl w:ilvl="0" w:tplc="81BEC1B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1E66E7"/>
    <w:multiLevelType w:val="hybridMultilevel"/>
    <w:tmpl w:val="01766254"/>
    <w:lvl w:ilvl="0" w:tplc="5C52384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9966784">
    <w:abstractNumId w:val="8"/>
  </w:num>
  <w:num w:numId="2" w16cid:durableId="1360397441">
    <w:abstractNumId w:val="17"/>
  </w:num>
  <w:num w:numId="3" w16cid:durableId="1198548190">
    <w:abstractNumId w:val="3"/>
  </w:num>
  <w:num w:numId="4" w16cid:durableId="580873018">
    <w:abstractNumId w:val="6"/>
  </w:num>
  <w:num w:numId="5" w16cid:durableId="629434028">
    <w:abstractNumId w:val="8"/>
  </w:num>
  <w:num w:numId="6" w16cid:durableId="791292596">
    <w:abstractNumId w:val="17"/>
  </w:num>
  <w:num w:numId="7" w16cid:durableId="1806197619">
    <w:abstractNumId w:val="12"/>
  </w:num>
  <w:num w:numId="8" w16cid:durableId="1929272182">
    <w:abstractNumId w:val="13"/>
  </w:num>
  <w:num w:numId="9" w16cid:durableId="485127418">
    <w:abstractNumId w:val="10"/>
  </w:num>
  <w:num w:numId="10" w16cid:durableId="1353341790">
    <w:abstractNumId w:val="18"/>
  </w:num>
  <w:num w:numId="11" w16cid:durableId="18164940">
    <w:abstractNumId w:val="14"/>
  </w:num>
  <w:num w:numId="12" w16cid:durableId="1928417979">
    <w:abstractNumId w:val="2"/>
  </w:num>
  <w:num w:numId="13" w16cid:durableId="1872917424">
    <w:abstractNumId w:val="5"/>
  </w:num>
  <w:num w:numId="14" w16cid:durableId="1083338858">
    <w:abstractNumId w:val="15"/>
  </w:num>
  <w:num w:numId="15" w16cid:durableId="29426563">
    <w:abstractNumId w:val="7"/>
  </w:num>
  <w:num w:numId="16" w16cid:durableId="418016836">
    <w:abstractNumId w:val="22"/>
  </w:num>
  <w:num w:numId="17" w16cid:durableId="170610559">
    <w:abstractNumId w:val="19"/>
  </w:num>
  <w:num w:numId="18" w16cid:durableId="708186565">
    <w:abstractNumId w:val="1"/>
  </w:num>
  <w:num w:numId="19" w16cid:durableId="737023720">
    <w:abstractNumId w:val="4"/>
  </w:num>
  <w:num w:numId="20" w16cid:durableId="83840522">
    <w:abstractNumId w:val="9"/>
  </w:num>
  <w:num w:numId="21" w16cid:durableId="762992580">
    <w:abstractNumId w:val="21"/>
  </w:num>
  <w:num w:numId="22" w16cid:durableId="1542327891">
    <w:abstractNumId w:val="20"/>
  </w:num>
  <w:num w:numId="23" w16cid:durableId="1510408597">
    <w:abstractNumId w:val="16"/>
  </w:num>
  <w:num w:numId="24" w16cid:durableId="874540897">
    <w:abstractNumId w:val="11"/>
  </w:num>
  <w:num w:numId="25" w16cid:durableId="120340284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567"/>
  <w:drawingGridHorizontalSpacing w:val="110"/>
  <w:drawingGridVerticalSpacing w:val="181"/>
  <w:displayHorizontalDrawingGridEvery w:val="2"/>
  <w:characterSpacingControl w:val="doNotCompress"/>
  <w:hdrShapeDefaults>
    <o:shapedefaults v:ext="edit" spidmax="11489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60"/>
    <w:rsid w:val="0000030D"/>
    <w:rsid w:val="00000BDE"/>
    <w:rsid w:val="00000F31"/>
    <w:rsid w:val="00001637"/>
    <w:rsid w:val="00001AE3"/>
    <w:rsid w:val="00001B6E"/>
    <w:rsid w:val="00001E52"/>
    <w:rsid w:val="00001E91"/>
    <w:rsid w:val="00002052"/>
    <w:rsid w:val="00002F45"/>
    <w:rsid w:val="00003338"/>
    <w:rsid w:val="0000362E"/>
    <w:rsid w:val="000039D3"/>
    <w:rsid w:val="00004570"/>
    <w:rsid w:val="00004598"/>
    <w:rsid w:val="000045D4"/>
    <w:rsid w:val="00004B21"/>
    <w:rsid w:val="00004EC0"/>
    <w:rsid w:val="00005285"/>
    <w:rsid w:val="00005BC7"/>
    <w:rsid w:val="00005CDD"/>
    <w:rsid w:val="00006269"/>
    <w:rsid w:val="00006636"/>
    <w:rsid w:val="00006B3F"/>
    <w:rsid w:val="00006DAE"/>
    <w:rsid w:val="0000716C"/>
    <w:rsid w:val="000073B7"/>
    <w:rsid w:val="0000797E"/>
    <w:rsid w:val="000104A4"/>
    <w:rsid w:val="0001063A"/>
    <w:rsid w:val="00010D89"/>
    <w:rsid w:val="00011392"/>
    <w:rsid w:val="00011D10"/>
    <w:rsid w:val="0001250A"/>
    <w:rsid w:val="00012672"/>
    <w:rsid w:val="00012E04"/>
    <w:rsid w:val="00013036"/>
    <w:rsid w:val="00013661"/>
    <w:rsid w:val="000139D3"/>
    <w:rsid w:val="00013B25"/>
    <w:rsid w:val="00013B34"/>
    <w:rsid w:val="0001434E"/>
    <w:rsid w:val="0001436C"/>
    <w:rsid w:val="000144D1"/>
    <w:rsid w:val="00014B98"/>
    <w:rsid w:val="00014B9E"/>
    <w:rsid w:val="00014DBD"/>
    <w:rsid w:val="00015BA7"/>
    <w:rsid w:val="00016F76"/>
    <w:rsid w:val="000176E0"/>
    <w:rsid w:val="00017F3E"/>
    <w:rsid w:val="00020369"/>
    <w:rsid w:val="0002075F"/>
    <w:rsid w:val="0002089C"/>
    <w:rsid w:val="000208DD"/>
    <w:rsid w:val="000209BE"/>
    <w:rsid w:val="00020A91"/>
    <w:rsid w:val="000211D5"/>
    <w:rsid w:val="0002121D"/>
    <w:rsid w:val="00021385"/>
    <w:rsid w:val="00022306"/>
    <w:rsid w:val="000226B5"/>
    <w:rsid w:val="00023761"/>
    <w:rsid w:val="000237B4"/>
    <w:rsid w:val="00023A65"/>
    <w:rsid w:val="00023AD8"/>
    <w:rsid w:val="00023AE2"/>
    <w:rsid w:val="00023CD8"/>
    <w:rsid w:val="000241DF"/>
    <w:rsid w:val="000243EE"/>
    <w:rsid w:val="00024416"/>
    <w:rsid w:val="0002466E"/>
    <w:rsid w:val="00024797"/>
    <w:rsid w:val="00024A34"/>
    <w:rsid w:val="00024E16"/>
    <w:rsid w:val="00025EC4"/>
    <w:rsid w:val="0002604D"/>
    <w:rsid w:val="000260DE"/>
    <w:rsid w:val="0002663B"/>
    <w:rsid w:val="0002694B"/>
    <w:rsid w:val="00026B7E"/>
    <w:rsid w:val="00026F77"/>
    <w:rsid w:val="000270C2"/>
    <w:rsid w:val="00027C43"/>
    <w:rsid w:val="00027C63"/>
    <w:rsid w:val="00027D0E"/>
    <w:rsid w:val="00030151"/>
    <w:rsid w:val="00030161"/>
    <w:rsid w:val="00030398"/>
    <w:rsid w:val="000307A6"/>
    <w:rsid w:val="0003169C"/>
    <w:rsid w:val="000316B1"/>
    <w:rsid w:val="00031CAE"/>
    <w:rsid w:val="00031F5C"/>
    <w:rsid w:val="00031F79"/>
    <w:rsid w:val="00031F80"/>
    <w:rsid w:val="0003298A"/>
    <w:rsid w:val="00032A36"/>
    <w:rsid w:val="00032FBF"/>
    <w:rsid w:val="0003310B"/>
    <w:rsid w:val="00033528"/>
    <w:rsid w:val="000338AA"/>
    <w:rsid w:val="000338B4"/>
    <w:rsid w:val="0003451F"/>
    <w:rsid w:val="000348C8"/>
    <w:rsid w:val="00034C5A"/>
    <w:rsid w:val="00034CF8"/>
    <w:rsid w:val="0003544A"/>
    <w:rsid w:val="00035C8F"/>
    <w:rsid w:val="00035E69"/>
    <w:rsid w:val="00036709"/>
    <w:rsid w:val="00036C0B"/>
    <w:rsid w:val="000372B8"/>
    <w:rsid w:val="00037E06"/>
    <w:rsid w:val="000400BA"/>
    <w:rsid w:val="000403B3"/>
    <w:rsid w:val="000405C7"/>
    <w:rsid w:val="00040812"/>
    <w:rsid w:val="00040A1A"/>
    <w:rsid w:val="00042128"/>
    <w:rsid w:val="000426A4"/>
    <w:rsid w:val="000429E7"/>
    <w:rsid w:val="00042E7A"/>
    <w:rsid w:val="000434A3"/>
    <w:rsid w:val="00043503"/>
    <w:rsid w:val="00043855"/>
    <w:rsid w:val="000438F1"/>
    <w:rsid w:val="00044565"/>
    <w:rsid w:val="000452A4"/>
    <w:rsid w:val="000452FB"/>
    <w:rsid w:val="00045F6E"/>
    <w:rsid w:val="00046081"/>
    <w:rsid w:val="00046770"/>
    <w:rsid w:val="000470C4"/>
    <w:rsid w:val="0004749B"/>
    <w:rsid w:val="00047782"/>
    <w:rsid w:val="000478E8"/>
    <w:rsid w:val="00047CD3"/>
    <w:rsid w:val="00050A4C"/>
    <w:rsid w:val="00050C67"/>
    <w:rsid w:val="00050D39"/>
    <w:rsid w:val="00050DAD"/>
    <w:rsid w:val="00051128"/>
    <w:rsid w:val="0005138F"/>
    <w:rsid w:val="000517E2"/>
    <w:rsid w:val="000519AC"/>
    <w:rsid w:val="00051AC0"/>
    <w:rsid w:val="000525C8"/>
    <w:rsid w:val="0005378C"/>
    <w:rsid w:val="00053EDA"/>
    <w:rsid w:val="00053F04"/>
    <w:rsid w:val="00054681"/>
    <w:rsid w:val="00054A3B"/>
    <w:rsid w:val="00054E29"/>
    <w:rsid w:val="00054EAE"/>
    <w:rsid w:val="00055232"/>
    <w:rsid w:val="000555B1"/>
    <w:rsid w:val="0005585D"/>
    <w:rsid w:val="0005585E"/>
    <w:rsid w:val="00055A8E"/>
    <w:rsid w:val="00056455"/>
    <w:rsid w:val="00056620"/>
    <w:rsid w:val="00056706"/>
    <w:rsid w:val="00056C85"/>
    <w:rsid w:val="00056E99"/>
    <w:rsid w:val="00056FCF"/>
    <w:rsid w:val="000570EA"/>
    <w:rsid w:val="000573F1"/>
    <w:rsid w:val="00057A44"/>
    <w:rsid w:val="00057AB3"/>
    <w:rsid w:val="0006020B"/>
    <w:rsid w:val="000602E2"/>
    <w:rsid w:val="000603FD"/>
    <w:rsid w:val="000605A7"/>
    <w:rsid w:val="00060983"/>
    <w:rsid w:val="00060C38"/>
    <w:rsid w:val="00060FFB"/>
    <w:rsid w:val="00061019"/>
    <w:rsid w:val="00061146"/>
    <w:rsid w:val="000620A6"/>
    <w:rsid w:val="0006234D"/>
    <w:rsid w:val="000624CC"/>
    <w:rsid w:val="000626CC"/>
    <w:rsid w:val="000628DD"/>
    <w:rsid w:val="0006297C"/>
    <w:rsid w:val="00062B8B"/>
    <w:rsid w:val="00063203"/>
    <w:rsid w:val="0006409D"/>
    <w:rsid w:val="000640A5"/>
    <w:rsid w:val="0006444E"/>
    <w:rsid w:val="00064FBE"/>
    <w:rsid w:val="0006505D"/>
    <w:rsid w:val="0006535D"/>
    <w:rsid w:val="00065BC6"/>
    <w:rsid w:val="0006612E"/>
    <w:rsid w:val="0006638A"/>
    <w:rsid w:val="00066952"/>
    <w:rsid w:val="00066C06"/>
    <w:rsid w:val="000672CA"/>
    <w:rsid w:val="00067655"/>
    <w:rsid w:val="00067C0D"/>
    <w:rsid w:val="00067DD2"/>
    <w:rsid w:val="0007015D"/>
    <w:rsid w:val="00070650"/>
    <w:rsid w:val="000708A0"/>
    <w:rsid w:val="000709E1"/>
    <w:rsid w:val="00071319"/>
    <w:rsid w:val="0007168A"/>
    <w:rsid w:val="00071966"/>
    <w:rsid w:val="00071E05"/>
    <w:rsid w:val="00072604"/>
    <w:rsid w:val="000729FA"/>
    <w:rsid w:val="000731E7"/>
    <w:rsid w:val="00074283"/>
    <w:rsid w:val="000749AE"/>
    <w:rsid w:val="00074E40"/>
    <w:rsid w:val="00074FC7"/>
    <w:rsid w:val="0007503F"/>
    <w:rsid w:val="00075084"/>
    <w:rsid w:val="00075185"/>
    <w:rsid w:val="000765A0"/>
    <w:rsid w:val="00076DFB"/>
    <w:rsid w:val="000770DB"/>
    <w:rsid w:val="000771D8"/>
    <w:rsid w:val="000772A2"/>
    <w:rsid w:val="00077902"/>
    <w:rsid w:val="00077C02"/>
    <w:rsid w:val="00080625"/>
    <w:rsid w:val="000807AB"/>
    <w:rsid w:val="000807FC"/>
    <w:rsid w:val="00080F2D"/>
    <w:rsid w:val="00080FDE"/>
    <w:rsid w:val="000817EA"/>
    <w:rsid w:val="00081BBA"/>
    <w:rsid w:val="00081C9C"/>
    <w:rsid w:val="00081CAA"/>
    <w:rsid w:val="00081F4F"/>
    <w:rsid w:val="00082AF4"/>
    <w:rsid w:val="00082D57"/>
    <w:rsid w:val="0008361E"/>
    <w:rsid w:val="00083829"/>
    <w:rsid w:val="00083A41"/>
    <w:rsid w:val="00083B34"/>
    <w:rsid w:val="00084123"/>
    <w:rsid w:val="00084428"/>
    <w:rsid w:val="00084EB9"/>
    <w:rsid w:val="000852C1"/>
    <w:rsid w:val="000859B4"/>
    <w:rsid w:val="00086291"/>
    <w:rsid w:val="00086425"/>
    <w:rsid w:val="00087411"/>
    <w:rsid w:val="00087862"/>
    <w:rsid w:val="00087867"/>
    <w:rsid w:val="000878AE"/>
    <w:rsid w:val="00087B60"/>
    <w:rsid w:val="00087E7C"/>
    <w:rsid w:val="0009001D"/>
    <w:rsid w:val="00090272"/>
    <w:rsid w:val="0009055B"/>
    <w:rsid w:val="00090654"/>
    <w:rsid w:val="000908AB"/>
    <w:rsid w:val="00091204"/>
    <w:rsid w:val="00091B81"/>
    <w:rsid w:val="000923ED"/>
    <w:rsid w:val="00092B43"/>
    <w:rsid w:val="00092E8F"/>
    <w:rsid w:val="00092FF8"/>
    <w:rsid w:val="00093158"/>
    <w:rsid w:val="00093318"/>
    <w:rsid w:val="000938CF"/>
    <w:rsid w:val="000942B2"/>
    <w:rsid w:val="00094B5E"/>
    <w:rsid w:val="00094BA1"/>
    <w:rsid w:val="00094FE0"/>
    <w:rsid w:val="000956F0"/>
    <w:rsid w:val="000957E9"/>
    <w:rsid w:val="000959F8"/>
    <w:rsid w:val="00096331"/>
    <w:rsid w:val="0009691E"/>
    <w:rsid w:val="00096A64"/>
    <w:rsid w:val="00096D28"/>
    <w:rsid w:val="00097670"/>
    <w:rsid w:val="000977C8"/>
    <w:rsid w:val="000979DD"/>
    <w:rsid w:val="00097BBE"/>
    <w:rsid w:val="00097C29"/>
    <w:rsid w:val="00097E39"/>
    <w:rsid w:val="00097FD4"/>
    <w:rsid w:val="000A02E2"/>
    <w:rsid w:val="000A18F7"/>
    <w:rsid w:val="000A1B93"/>
    <w:rsid w:val="000A1BE9"/>
    <w:rsid w:val="000A2E4E"/>
    <w:rsid w:val="000A3018"/>
    <w:rsid w:val="000A31DF"/>
    <w:rsid w:val="000A35C7"/>
    <w:rsid w:val="000A367A"/>
    <w:rsid w:val="000A3DA1"/>
    <w:rsid w:val="000A404F"/>
    <w:rsid w:val="000A423D"/>
    <w:rsid w:val="000A4CC4"/>
    <w:rsid w:val="000A576B"/>
    <w:rsid w:val="000A5776"/>
    <w:rsid w:val="000A5FFA"/>
    <w:rsid w:val="000A619D"/>
    <w:rsid w:val="000A6291"/>
    <w:rsid w:val="000A6ECE"/>
    <w:rsid w:val="000A7652"/>
    <w:rsid w:val="000A771B"/>
    <w:rsid w:val="000A789B"/>
    <w:rsid w:val="000B03AB"/>
    <w:rsid w:val="000B068E"/>
    <w:rsid w:val="000B0DC0"/>
    <w:rsid w:val="000B183D"/>
    <w:rsid w:val="000B188A"/>
    <w:rsid w:val="000B272E"/>
    <w:rsid w:val="000B2A61"/>
    <w:rsid w:val="000B3922"/>
    <w:rsid w:val="000B3B1A"/>
    <w:rsid w:val="000B3BFB"/>
    <w:rsid w:val="000B4477"/>
    <w:rsid w:val="000B4A23"/>
    <w:rsid w:val="000B4A2C"/>
    <w:rsid w:val="000B4BD1"/>
    <w:rsid w:val="000B4DCE"/>
    <w:rsid w:val="000B509C"/>
    <w:rsid w:val="000B538F"/>
    <w:rsid w:val="000B54E4"/>
    <w:rsid w:val="000B54EF"/>
    <w:rsid w:val="000B5C52"/>
    <w:rsid w:val="000B5CB5"/>
    <w:rsid w:val="000B5F48"/>
    <w:rsid w:val="000B6150"/>
    <w:rsid w:val="000B6C74"/>
    <w:rsid w:val="000B6C9C"/>
    <w:rsid w:val="000B70B1"/>
    <w:rsid w:val="000B74E7"/>
    <w:rsid w:val="000B79E7"/>
    <w:rsid w:val="000B7B13"/>
    <w:rsid w:val="000C09FE"/>
    <w:rsid w:val="000C0B8C"/>
    <w:rsid w:val="000C0C03"/>
    <w:rsid w:val="000C0C45"/>
    <w:rsid w:val="000C17C5"/>
    <w:rsid w:val="000C1BFF"/>
    <w:rsid w:val="000C27B3"/>
    <w:rsid w:val="000C2AD1"/>
    <w:rsid w:val="000C3195"/>
    <w:rsid w:val="000C334C"/>
    <w:rsid w:val="000C3D84"/>
    <w:rsid w:val="000C4021"/>
    <w:rsid w:val="000C4073"/>
    <w:rsid w:val="000C4D73"/>
    <w:rsid w:val="000C5294"/>
    <w:rsid w:val="000C64F2"/>
    <w:rsid w:val="000C700A"/>
    <w:rsid w:val="000C79A9"/>
    <w:rsid w:val="000D0110"/>
    <w:rsid w:val="000D0D36"/>
    <w:rsid w:val="000D1DD3"/>
    <w:rsid w:val="000D2300"/>
    <w:rsid w:val="000D27BF"/>
    <w:rsid w:val="000D28F8"/>
    <w:rsid w:val="000D2A0C"/>
    <w:rsid w:val="000D2A92"/>
    <w:rsid w:val="000D2BBF"/>
    <w:rsid w:val="000D392F"/>
    <w:rsid w:val="000D3DB7"/>
    <w:rsid w:val="000D3E57"/>
    <w:rsid w:val="000D45DD"/>
    <w:rsid w:val="000D4B09"/>
    <w:rsid w:val="000D53CE"/>
    <w:rsid w:val="000D58D2"/>
    <w:rsid w:val="000D6278"/>
    <w:rsid w:val="000D67A1"/>
    <w:rsid w:val="000D73CA"/>
    <w:rsid w:val="000D79F5"/>
    <w:rsid w:val="000E015F"/>
    <w:rsid w:val="000E0DF2"/>
    <w:rsid w:val="000E1449"/>
    <w:rsid w:val="000E149E"/>
    <w:rsid w:val="000E14E5"/>
    <w:rsid w:val="000E158E"/>
    <w:rsid w:val="000E1AA0"/>
    <w:rsid w:val="000E2317"/>
    <w:rsid w:val="000E254A"/>
    <w:rsid w:val="000E290D"/>
    <w:rsid w:val="000E3009"/>
    <w:rsid w:val="000E4402"/>
    <w:rsid w:val="000E45CE"/>
    <w:rsid w:val="000E4955"/>
    <w:rsid w:val="000E4FC5"/>
    <w:rsid w:val="000E5DCE"/>
    <w:rsid w:val="000E5E65"/>
    <w:rsid w:val="000E714D"/>
    <w:rsid w:val="000E7533"/>
    <w:rsid w:val="000E7A90"/>
    <w:rsid w:val="000E7E19"/>
    <w:rsid w:val="000F0602"/>
    <w:rsid w:val="000F08EC"/>
    <w:rsid w:val="000F0DE4"/>
    <w:rsid w:val="000F13E1"/>
    <w:rsid w:val="000F1470"/>
    <w:rsid w:val="000F158E"/>
    <w:rsid w:val="000F1854"/>
    <w:rsid w:val="000F1861"/>
    <w:rsid w:val="000F1BBF"/>
    <w:rsid w:val="000F243E"/>
    <w:rsid w:val="000F2942"/>
    <w:rsid w:val="000F3534"/>
    <w:rsid w:val="000F3989"/>
    <w:rsid w:val="000F3A49"/>
    <w:rsid w:val="000F3ADA"/>
    <w:rsid w:val="000F410D"/>
    <w:rsid w:val="000F41B2"/>
    <w:rsid w:val="000F4312"/>
    <w:rsid w:val="000F4395"/>
    <w:rsid w:val="000F4B54"/>
    <w:rsid w:val="000F4CAA"/>
    <w:rsid w:val="000F5186"/>
    <w:rsid w:val="000F54E7"/>
    <w:rsid w:val="000F557C"/>
    <w:rsid w:val="000F576F"/>
    <w:rsid w:val="000F5770"/>
    <w:rsid w:val="000F628C"/>
    <w:rsid w:val="000F680B"/>
    <w:rsid w:val="000F6FF1"/>
    <w:rsid w:val="000F715D"/>
    <w:rsid w:val="000F7189"/>
    <w:rsid w:val="000F72A8"/>
    <w:rsid w:val="000F7993"/>
    <w:rsid w:val="000F79FB"/>
    <w:rsid w:val="000F7ADA"/>
    <w:rsid w:val="00100854"/>
    <w:rsid w:val="00100A09"/>
    <w:rsid w:val="00100AA3"/>
    <w:rsid w:val="00100B43"/>
    <w:rsid w:val="00100E8C"/>
    <w:rsid w:val="00101A4E"/>
    <w:rsid w:val="001036B5"/>
    <w:rsid w:val="00103716"/>
    <w:rsid w:val="00104086"/>
    <w:rsid w:val="001055D6"/>
    <w:rsid w:val="00105773"/>
    <w:rsid w:val="001068D0"/>
    <w:rsid w:val="00107468"/>
    <w:rsid w:val="00107968"/>
    <w:rsid w:val="00107A72"/>
    <w:rsid w:val="0011087F"/>
    <w:rsid w:val="00110C63"/>
    <w:rsid w:val="0011139C"/>
    <w:rsid w:val="00111521"/>
    <w:rsid w:val="001116CE"/>
    <w:rsid w:val="00112560"/>
    <w:rsid w:val="00112A67"/>
    <w:rsid w:val="00112F4C"/>
    <w:rsid w:val="00112F5C"/>
    <w:rsid w:val="001132C2"/>
    <w:rsid w:val="001140A0"/>
    <w:rsid w:val="0011470B"/>
    <w:rsid w:val="00114BBD"/>
    <w:rsid w:val="00114DD5"/>
    <w:rsid w:val="00114E2A"/>
    <w:rsid w:val="00114F27"/>
    <w:rsid w:val="00114FC8"/>
    <w:rsid w:val="00115A48"/>
    <w:rsid w:val="0011685A"/>
    <w:rsid w:val="00116A46"/>
    <w:rsid w:val="00116B03"/>
    <w:rsid w:val="00116D93"/>
    <w:rsid w:val="00116EF9"/>
    <w:rsid w:val="001172F6"/>
    <w:rsid w:val="00117846"/>
    <w:rsid w:val="0012015E"/>
    <w:rsid w:val="001202FF"/>
    <w:rsid w:val="001204F2"/>
    <w:rsid w:val="00120A6B"/>
    <w:rsid w:val="00121232"/>
    <w:rsid w:val="00121B41"/>
    <w:rsid w:val="00121BB3"/>
    <w:rsid w:val="0012211B"/>
    <w:rsid w:val="00122741"/>
    <w:rsid w:val="00122750"/>
    <w:rsid w:val="0012353C"/>
    <w:rsid w:val="0012447E"/>
    <w:rsid w:val="001249CF"/>
    <w:rsid w:val="00124A6B"/>
    <w:rsid w:val="00125AEF"/>
    <w:rsid w:val="00125CED"/>
    <w:rsid w:val="00125F81"/>
    <w:rsid w:val="00126E26"/>
    <w:rsid w:val="0012712C"/>
    <w:rsid w:val="0012735E"/>
    <w:rsid w:val="0012743A"/>
    <w:rsid w:val="00127949"/>
    <w:rsid w:val="00127A81"/>
    <w:rsid w:val="00130099"/>
    <w:rsid w:val="00130A5E"/>
    <w:rsid w:val="00130A6A"/>
    <w:rsid w:val="00130D66"/>
    <w:rsid w:val="001310B9"/>
    <w:rsid w:val="001310FF"/>
    <w:rsid w:val="00131643"/>
    <w:rsid w:val="00131995"/>
    <w:rsid w:val="001319F4"/>
    <w:rsid w:val="0013305B"/>
    <w:rsid w:val="0013364E"/>
    <w:rsid w:val="001342CB"/>
    <w:rsid w:val="00134900"/>
    <w:rsid w:val="00134D0B"/>
    <w:rsid w:val="001354B7"/>
    <w:rsid w:val="001357DB"/>
    <w:rsid w:val="00136595"/>
    <w:rsid w:val="001369D9"/>
    <w:rsid w:val="001373BD"/>
    <w:rsid w:val="0013756B"/>
    <w:rsid w:val="00137C47"/>
    <w:rsid w:val="00137C82"/>
    <w:rsid w:val="00140834"/>
    <w:rsid w:val="0014092F"/>
    <w:rsid w:val="00140FAE"/>
    <w:rsid w:val="00141051"/>
    <w:rsid w:val="0014129B"/>
    <w:rsid w:val="00141501"/>
    <w:rsid w:val="001415A2"/>
    <w:rsid w:val="00141682"/>
    <w:rsid w:val="00141CE6"/>
    <w:rsid w:val="00141D51"/>
    <w:rsid w:val="001422FE"/>
    <w:rsid w:val="00142462"/>
    <w:rsid w:val="0014287E"/>
    <w:rsid w:val="00142E8D"/>
    <w:rsid w:val="0014306E"/>
    <w:rsid w:val="001431D1"/>
    <w:rsid w:val="00143426"/>
    <w:rsid w:val="00143B8B"/>
    <w:rsid w:val="00143E00"/>
    <w:rsid w:val="00144098"/>
    <w:rsid w:val="001441FA"/>
    <w:rsid w:val="0014435B"/>
    <w:rsid w:val="001446F6"/>
    <w:rsid w:val="001453CC"/>
    <w:rsid w:val="00145634"/>
    <w:rsid w:val="00145B43"/>
    <w:rsid w:val="00145BE5"/>
    <w:rsid w:val="00145D5E"/>
    <w:rsid w:val="00145F5E"/>
    <w:rsid w:val="001464E0"/>
    <w:rsid w:val="00146B41"/>
    <w:rsid w:val="00147494"/>
    <w:rsid w:val="00147578"/>
    <w:rsid w:val="00147B8C"/>
    <w:rsid w:val="00150A2B"/>
    <w:rsid w:val="00150B77"/>
    <w:rsid w:val="00150D6F"/>
    <w:rsid w:val="00150EAD"/>
    <w:rsid w:val="00150F24"/>
    <w:rsid w:val="00150FE3"/>
    <w:rsid w:val="0015139A"/>
    <w:rsid w:val="00151A64"/>
    <w:rsid w:val="001520AC"/>
    <w:rsid w:val="0015286C"/>
    <w:rsid w:val="00154364"/>
    <w:rsid w:val="00154A96"/>
    <w:rsid w:val="00154B43"/>
    <w:rsid w:val="0015523C"/>
    <w:rsid w:val="001553A0"/>
    <w:rsid w:val="00155747"/>
    <w:rsid w:val="001558E6"/>
    <w:rsid w:val="00156162"/>
    <w:rsid w:val="00157262"/>
    <w:rsid w:val="00157398"/>
    <w:rsid w:val="0015794A"/>
    <w:rsid w:val="00157965"/>
    <w:rsid w:val="00157C17"/>
    <w:rsid w:val="00160468"/>
    <w:rsid w:val="0016054E"/>
    <w:rsid w:val="00160A08"/>
    <w:rsid w:val="0016146A"/>
    <w:rsid w:val="0016158B"/>
    <w:rsid w:val="0016162F"/>
    <w:rsid w:val="0016190D"/>
    <w:rsid w:val="00161980"/>
    <w:rsid w:val="00161BAC"/>
    <w:rsid w:val="00161F5B"/>
    <w:rsid w:val="00162A0A"/>
    <w:rsid w:val="00162A0D"/>
    <w:rsid w:val="00163178"/>
    <w:rsid w:val="00164358"/>
    <w:rsid w:val="00164A09"/>
    <w:rsid w:val="00164FD5"/>
    <w:rsid w:val="001650FB"/>
    <w:rsid w:val="001655EF"/>
    <w:rsid w:val="0016589D"/>
    <w:rsid w:val="00165E42"/>
    <w:rsid w:val="00165E63"/>
    <w:rsid w:val="00166856"/>
    <w:rsid w:val="00166F4F"/>
    <w:rsid w:val="001670A2"/>
    <w:rsid w:val="00167179"/>
    <w:rsid w:val="00167549"/>
    <w:rsid w:val="00167F8B"/>
    <w:rsid w:val="00170352"/>
    <w:rsid w:val="001707B4"/>
    <w:rsid w:val="001708D7"/>
    <w:rsid w:val="00170BCC"/>
    <w:rsid w:val="00170E5B"/>
    <w:rsid w:val="001713AC"/>
    <w:rsid w:val="00171783"/>
    <w:rsid w:val="001719C1"/>
    <w:rsid w:val="00171A6E"/>
    <w:rsid w:val="00171AB3"/>
    <w:rsid w:val="00171E3A"/>
    <w:rsid w:val="00171E9D"/>
    <w:rsid w:val="001723CF"/>
    <w:rsid w:val="001723E2"/>
    <w:rsid w:val="00172A25"/>
    <w:rsid w:val="00172DC6"/>
    <w:rsid w:val="00172F4D"/>
    <w:rsid w:val="001732B1"/>
    <w:rsid w:val="001742CA"/>
    <w:rsid w:val="001743E9"/>
    <w:rsid w:val="001746F7"/>
    <w:rsid w:val="00174824"/>
    <w:rsid w:val="00174879"/>
    <w:rsid w:val="00174E8C"/>
    <w:rsid w:val="001750A9"/>
    <w:rsid w:val="00175103"/>
    <w:rsid w:val="00175473"/>
    <w:rsid w:val="0017567F"/>
    <w:rsid w:val="001757D5"/>
    <w:rsid w:val="00175B21"/>
    <w:rsid w:val="00175D99"/>
    <w:rsid w:val="00176409"/>
    <w:rsid w:val="00176B7E"/>
    <w:rsid w:val="001770DF"/>
    <w:rsid w:val="00177240"/>
    <w:rsid w:val="001772C9"/>
    <w:rsid w:val="0018167A"/>
    <w:rsid w:val="00181DAE"/>
    <w:rsid w:val="00181DCF"/>
    <w:rsid w:val="00182318"/>
    <w:rsid w:val="0018235A"/>
    <w:rsid w:val="00182382"/>
    <w:rsid w:val="0018246A"/>
    <w:rsid w:val="00182531"/>
    <w:rsid w:val="00182AE2"/>
    <w:rsid w:val="00182AE5"/>
    <w:rsid w:val="00182F6A"/>
    <w:rsid w:val="0018316A"/>
    <w:rsid w:val="0018341E"/>
    <w:rsid w:val="0018503B"/>
    <w:rsid w:val="0018505C"/>
    <w:rsid w:val="001853AA"/>
    <w:rsid w:val="001853E7"/>
    <w:rsid w:val="001859C0"/>
    <w:rsid w:val="00185F3E"/>
    <w:rsid w:val="00186170"/>
    <w:rsid w:val="001861F0"/>
    <w:rsid w:val="001863FE"/>
    <w:rsid w:val="001865B5"/>
    <w:rsid w:val="0018690B"/>
    <w:rsid w:val="00186B03"/>
    <w:rsid w:val="001871DA"/>
    <w:rsid w:val="001872E7"/>
    <w:rsid w:val="00187AD5"/>
    <w:rsid w:val="00187CBD"/>
    <w:rsid w:val="00187ED2"/>
    <w:rsid w:val="0019028B"/>
    <w:rsid w:val="00190D07"/>
    <w:rsid w:val="00190E87"/>
    <w:rsid w:val="0019168E"/>
    <w:rsid w:val="00191B05"/>
    <w:rsid w:val="00191CE0"/>
    <w:rsid w:val="00192034"/>
    <w:rsid w:val="00192728"/>
    <w:rsid w:val="001927FD"/>
    <w:rsid w:val="00192928"/>
    <w:rsid w:val="00192BA5"/>
    <w:rsid w:val="00193155"/>
    <w:rsid w:val="0019361C"/>
    <w:rsid w:val="001938E5"/>
    <w:rsid w:val="0019392F"/>
    <w:rsid w:val="0019395D"/>
    <w:rsid w:val="00193C15"/>
    <w:rsid w:val="0019426F"/>
    <w:rsid w:val="00194B75"/>
    <w:rsid w:val="00194D8E"/>
    <w:rsid w:val="0019504D"/>
    <w:rsid w:val="00197AD3"/>
    <w:rsid w:val="00197B3C"/>
    <w:rsid w:val="00197B9F"/>
    <w:rsid w:val="001A01E8"/>
    <w:rsid w:val="001A07E0"/>
    <w:rsid w:val="001A102C"/>
    <w:rsid w:val="001A1794"/>
    <w:rsid w:val="001A1E9F"/>
    <w:rsid w:val="001A2A5C"/>
    <w:rsid w:val="001A2D3B"/>
    <w:rsid w:val="001A2E58"/>
    <w:rsid w:val="001A33F3"/>
    <w:rsid w:val="001A4395"/>
    <w:rsid w:val="001A4658"/>
    <w:rsid w:val="001A517F"/>
    <w:rsid w:val="001A5B55"/>
    <w:rsid w:val="001A64DD"/>
    <w:rsid w:val="001A674E"/>
    <w:rsid w:val="001A6A8F"/>
    <w:rsid w:val="001A6C42"/>
    <w:rsid w:val="001A7024"/>
    <w:rsid w:val="001A70B1"/>
    <w:rsid w:val="001A713A"/>
    <w:rsid w:val="001A741C"/>
    <w:rsid w:val="001A764D"/>
    <w:rsid w:val="001A7B9A"/>
    <w:rsid w:val="001B0314"/>
    <w:rsid w:val="001B0480"/>
    <w:rsid w:val="001B0534"/>
    <w:rsid w:val="001B0644"/>
    <w:rsid w:val="001B1086"/>
    <w:rsid w:val="001B15AC"/>
    <w:rsid w:val="001B1EB4"/>
    <w:rsid w:val="001B2101"/>
    <w:rsid w:val="001B23D6"/>
    <w:rsid w:val="001B25CC"/>
    <w:rsid w:val="001B270F"/>
    <w:rsid w:val="001B28A7"/>
    <w:rsid w:val="001B30D6"/>
    <w:rsid w:val="001B3607"/>
    <w:rsid w:val="001B386C"/>
    <w:rsid w:val="001B38E8"/>
    <w:rsid w:val="001B3ABD"/>
    <w:rsid w:val="001B3BAC"/>
    <w:rsid w:val="001B4080"/>
    <w:rsid w:val="001B4E19"/>
    <w:rsid w:val="001B5124"/>
    <w:rsid w:val="001B7504"/>
    <w:rsid w:val="001B7BB2"/>
    <w:rsid w:val="001B7C92"/>
    <w:rsid w:val="001C0174"/>
    <w:rsid w:val="001C02F1"/>
    <w:rsid w:val="001C02F8"/>
    <w:rsid w:val="001C1C80"/>
    <w:rsid w:val="001C25E5"/>
    <w:rsid w:val="001C29EE"/>
    <w:rsid w:val="001C2FDD"/>
    <w:rsid w:val="001C316F"/>
    <w:rsid w:val="001C323A"/>
    <w:rsid w:val="001C340B"/>
    <w:rsid w:val="001C45C0"/>
    <w:rsid w:val="001C461E"/>
    <w:rsid w:val="001C4650"/>
    <w:rsid w:val="001C4969"/>
    <w:rsid w:val="001C5516"/>
    <w:rsid w:val="001C5B6B"/>
    <w:rsid w:val="001C5FD5"/>
    <w:rsid w:val="001C6076"/>
    <w:rsid w:val="001C66D2"/>
    <w:rsid w:val="001C7113"/>
    <w:rsid w:val="001C722E"/>
    <w:rsid w:val="001C72DC"/>
    <w:rsid w:val="001C73D8"/>
    <w:rsid w:val="001C74CF"/>
    <w:rsid w:val="001C78C0"/>
    <w:rsid w:val="001C7BF6"/>
    <w:rsid w:val="001C7D06"/>
    <w:rsid w:val="001C7E1C"/>
    <w:rsid w:val="001D029B"/>
    <w:rsid w:val="001D0577"/>
    <w:rsid w:val="001D09B9"/>
    <w:rsid w:val="001D0C64"/>
    <w:rsid w:val="001D0CB5"/>
    <w:rsid w:val="001D14B2"/>
    <w:rsid w:val="001D165A"/>
    <w:rsid w:val="001D1C19"/>
    <w:rsid w:val="001D1F86"/>
    <w:rsid w:val="001D233C"/>
    <w:rsid w:val="001D26C6"/>
    <w:rsid w:val="001D28C0"/>
    <w:rsid w:val="001D2AD9"/>
    <w:rsid w:val="001D2AFE"/>
    <w:rsid w:val="001D2EB0"/>
    <w:rsid w:val="001D30B4"/>
    <w:rsid w:val="001D319A"/>
    <w:rsid w:val="001D31AA"/>
    <w:rsid w:val="001D3381"/>
    <w:rsid w:val="001D3A51"/>
    <w:rsid w:val="001D3B04"/>
    <w:rsid w:val="001D3E56"/>
    <w:rsid w:val="001D4005"/>
    <w:rsid w:val="001D46BB"/>
    <w:rsid w:val="001D49FE"/>
    <w:rsid w:val="001D4AD7"/>
    <w:rsid w:val="001D4B8A"/>
    <w:rsid w:val="001D4C2D"/>
    <w:rsid w:val="001D4F03"/>
    <w:rsid w:val="001D5100"/>
    <w:rsid w:val="001D5495"/>
    <w:rsid w:val="001D5A28"/>
    <w:rsid w:val="001D5B27"/>
    <w:rsid w:val="001D5EBA"/>
    <w:rsid w:val="001D5EC7"/>
    <w:rsid w:val="001D6050"/>
    <w:rsid w:val="001D6719"/>
    <w:rsid w:val="001D6E98"/>
    <w:rsid w:val="001D6FAD"/>
    <w:rsid w:val="001D78FC"/>
    <w:rsid w:val="001D7A33"/>
    <w:rsid w:val="001D7DDB"/>
    <w:rsid w:val="001E00EA"/>
    <w:rsid w:val="001E0AEE"/>
    <w:rsid w:val="001E0C30"/>
    <w:rsid w:val="001E136C"/>
    <w:rsid w:val="001E1380"/>
    <w:rsid w:val="001E18E0"/>
    <w:rsid w:val="001E197F"/>
    <w:rsid w:val="001E1980"/>
    <w:rsid w:val="001E20EC"/>
    <w:rsid w:val="001E210B"/>
    <w:rsid w:val="001E2703"/>
    <w:rsid w:val="001E2FCB"/>
    <w:rsid w:val="001E304D"/>
    <w:rsid w:val="001E3211"/>
    <w:rsid w:val="001E3606"/>
    <w:rsid w:val="001E38AF"/>
    <w:rsid w:val="001E4142"/>
    <w:rsid w:val="001E43A3"/>
    <w:rsid w:val="001E4798"/>
    <w:rsid w:val="001E4880"/>
    <w:rsid w:val="001E4BDA"/>
    <w:rsid w:val="001E508A"/>
    <w:rsid w:val="001E56EA"/>
    <w:rsid w:val="001E5802"/>
    <w:rsid w:val="001E5AA4"/>
    <w:rsid w:val="001E71EC"/>
    <w:rsid w:val="001E76C9"/>
    <w:rsid w:val="001E7FAF"/>
    <w:rsid w:val="001F0331"/>
    <w:rsid w:val="001F0599"/>
    <w:rsid w:val="001F0E58"/>
    <w:rsid w:val="001F0FA4"/>
    <w:rsid w:val="001F1168"/>
    <w:rsid w:val="001F1283"/>
    <w:rsid w:val="001F12E0"/>
    <w:rsid w:val="001F1344"/>
    <w:rsid w:val="001F1455"/>
    <w:rsid w:val="001F1489"/>
    <w:rsid w:val="001F171D"/>
    <w:rsid w:val="001F1DA2"/>
    <w:rsid w:val="001F1F20"/>
    <w:rsid w:val="001F1FFD"/>
    <w:rsid w:val="001F2273"/>
    <w:rsid w:val="001F268C"/>
    <w:rsid w:val="001F2E12"/>
    <w:rsid w:val="001F32C7"/>
    <w:rsid w:val="001F3557"/>
    <w:rsid w:val="001F3B43"/>
    <w:rsid w:val="001F3D44"/>
    <w:rsid w:val="001F3ED0"/>
    <w:rsid w:val="001F4127"/>
    <w:rsid w:val="001F456C"/>
    <w:rsid w:val="001F4940"/>
    <w:rsid w:val="001F4D9F"/>
    <w:rsid w:val="001F50C5"/>
    <w:rsid w:val="001F5528"/>
    <w:rsid w:val="001F5BA8"/>
    <w:rsid w:val="001F5D3C"/>
    <w:rsid w:val="001F5E2E"/>
    <w:rsid w:val="001F6416"/>
    <w:rsid w:val="001F6538"/>
    <w:rsid w:val="001F6759"/>
    <w:rsid w:val="001F699C"/>
    <w:rsid w:val="001F6DB2"/>
    <w:rsid w:val="001F7310"/>
    <w:rsid w:val="001F7892"/>
    <w:rsid w:val="00200002"/>
    <w:rsid w:val="00201928"/>
    <w:rsid w:val="00201EDD"/>
    <w:rsid w:val="00202492"/>
    <w:rsid w:val="002024DA"/>
    <w:rsid w:val="00202AFC"/>
    <w:rsid w:val="00202D35"/>
    <w:rsid w:val="00203377"/>
    <w:rsid w:val="002039C6"/>
    <w:rsid w:val="00203F69"/>
    <w:rsid w:val="00204037"/>
    <w:rsid w:val="00204625"/>
    <w:rsid w:val="002046CF"/>
    <w:rsid w:val="00204CC7"/>
    <w:rsid w:val="0020536C"/>
    <w:rsid w:val="00205DEC"/>
    <w:rsid w:val="00206083"/>
    <w:rsid w:val="00206A17"/>
    <w:rsid w:val="00207066"/>
    <w:rsid w:val="00207677"/>
    <w:rsid w:val="00210365"/>
    <w:rsid w:val="00210516"/>
    <w:rsid w:val="00210625"/>
    <w:rsid w:val="00210923"/>
    <w:rsid w:val="002110F5"/>
    <w:rsid w:val="0021110F"/>
    <w:rsid w:val="0021126D"/>
    <w:rsid w:val="00212039"/>
    <w:rsid w:val="002128BE"/>
    <w:rsid w:val="00212E1C"/>
    <w:rsid w:val="0021319C"/>
    <w:rsid w:val="0021324B"/>
    <w:rsid w:val="002137A2"/>
    <w:rsid w:val="00213AE8"/>
    <w:rsid w:val="00214261"/>
    <w:rsid w:val="002144BC"/>
    <w:rsid w:val="002144EA"/>
    <w:rsid w:val="0021478C"/>
    <w:rsid w:val="0021499C"/>
    <w:rsid w:val="00214E15"/>
    <w:rsid w:val="00215074"/>
    <w:rsid w:val="002153C5"/>
    <w:rsid w:val="00215C7F"/>
    <w:rsid w:val="00215E11"/>
    <w:rsid w:val="00216D6D"/>
    <w:rsid w:val="00217984"/>
    <w:rsid w:val="00217A4B"/>
    <w:rsid w:val="00217AA3"/>
    <w:rsid w:val="00217BF0"/>
    <w:rsid w:val="00217C5E"/>
    <w:rsid w:val="00220037"/>
    <w:rsid w:val="00220A0F"/>
    <w:rsid w:val="00220F57"/>
    <w:rsid w:val="0022133D"/>
    <w:rsid w:val="0022139E"/>
    <w:rsid w:val="002221F7"/>
    <w:rsid w:val="002222FC"/>
    <w:rsid w:val="002224AE"/>
    <w:rsid w:val="00223893"/>
    <w:rsid w:val="00223FCC"/>
    <w:rsid w:val="002244A2"/>
    <w:rsid w:val="00224E69"/>
    <w:rsid w:val="00225639"/>
    <w:rsid w:val="0022620B"/>
    <w:rsid w:val="0022624E"/>
    <w:rsid w:val="00227087"/>
    <w:rsid w:val="0022716E"/>
    <w:rsid w:val="00227BAB"/>
    <w:rsid w:val="00230214"/>
    <w:rsid w:val="0023034F"/>
    <w:rsid w:val="002308F3"/>
    <w:rsid w:val="00230ED1"/>
    <w:rsid w:val="00230EF1"/>
    <w:rsid w:val="0023136A"/>
    <w:rsid w:val="0023172E"/>
    <w:rsid w:val="00231C8A"/>
    <w:rsid w:val="00231D7F"/>
    <w:rsid w:val="00231FBC"/>
    <w:rsid w:val="00232206"/>
    <w:rsid w:val="0023275E"/>
    <w:rsid w:val="002338D4"/>
    <w:rsid w:val="00233A2B"/>
    <w:rsid w:val="00233FA0"/>
    <w:rsid w:val="00234966"/>
    <w:rsid w:val="00234E68"/>
    <w:rsid w:val="00234FAC"/>
    <w:rsid w:val="00235B5A"/>
    <w:rsid w:val="00235D1A"/>
    <w:rsid w:val="00235E7B"/>
    <w:rsid w:val="00235EAB"/>
    <w:rsid w:val="0023656C"/>
    <w:rsid w:val="00236E8A"/>
    <w:rsid w:val="00236F1F"/>
    <w:rsid w:val="00237284"/>
    <w:rsid w:val="002379D2"/>
    <w:rsid w:val="00237CF2"/>
    <w:rsid w:val="002404B1"/>
    <w:rsid w:val="002407F7"/>
    <w:rsid w:val="0024092A"/>
    <w:rsid w:val="00241063"/>
    <w:rsid w:val="00241CBD"/>
    <w:rsid w:val="00242024"/>
    <w:rsid w:val="002422CF"/>
    <w:rsid w:val="00242672"/>
    <w:rsid w:val="0024291E"/>
    <w:rsid w:val="002432B1"/>
    <w:rsid w:val="00243B23"/>
    <w:rsid w:val="0024417B"/>
    <w:rsid w:val="0024461E"/>
    <w:rsid w:val="00244731"/>
    <w:rsid w:val="002447C9"/>
    <w:rsid w:val="0024485B"/>
    <w:rsid w:val="002451DB"/>
    <w:rsid w:val="00245597"/>
    <w:rsid w:val="00245787"/>
    <w:rsid w:val="0024587D"/>
    <w:rsid w:val="002459B5"/>
    <w:rsid w:val="00245B17"/>
    <w:rsid w:val="00245D50"/>
    <w:rsid w:val="00245E7E"/>
    <w:rsid w:val="00246261"/>
    <w:rsid w:val="00246EDA"/>
    <w:rsid w:val="00247688"/>
    <w:rsid w:val="00250273"/>
    <w:rsid w:val="00250692"/>
    <w:rsid w:val="002506B9"/>
    <w:rsid w:val="0025089D"/>
    <w:rsid w:val="00250E84"/>
    <w:rsid w:val="00250E8E"/>
    <w:rsid w:val="002512C3"/>
    <w:rsid w:val="0025151B"/>
    <w:rsid w:val="0025159E"/>
    <w:rsid w:val="00251E36"/>
    <w:rsid w:val="00252CF6"/>
    <w:rsid w:val="00253884"/>
    <w:rsid w:val="00254414"/>
    <w:rsid w:val="002549EF"/>
    <w:rsid w:val="0025532C"/>
    <w:rsid w:val="002553C4"/>
    <w:rsid w:val="0025604E"/>
    <w:rsid w:val="00256285"/>
    <w:rsid w:val="002564BC"/>
    <w:rsid w:val="002565EB"/>
    <w:rsid w:val="00256ED8"/>
    <w:rsid w:val="002570AD"/>
    <w:rsid w:val="00257227"/>
    <w:rsid w:val="00257622"/>
    <w:rsid w:val="002600DF"/>
    <w:rsid w:val="00261184"/>
    <w:rsid w:val="00262358"/>
    <w:rsid w:val="0026237F"/>
    <w:rsid w:val="0026256D"/>
    <w:rsid w:val="0026340C"/>
    <w:rsid w:val="002636E7"/>
    <w:rsid w:val="00263AEC"/>
    <w:rsid w:val="002641AD"/>
    <w:rsid w:val="0026452B"/>
    <w:rsid w:val="002649EE"/>
    <w:rsid w:val="00264BFC"/>
    <w:rsid w:val="00265188"/>
    <w:rsid w:val="0026531C"/>
    <w:rsid w:val="002654B9"/>
    <w:rsid w:val="00265B92"/>
    <w:rsid w:val="00265CA4"/>
    <w:rsid w:val="00265E41"/>
    <w:rsid w:val="00265F3E"/>
    <w:rsid w:val="00266D9F"/>
    <w:rsid w:val="00266DD9"/>
    <w:rsid w:val="00266E10"/>
    <w:rsid w:val="00266F8D"/>
    <w:rsid w:val="0026768E"/>
    <w:rsid w:val="00267901"/>
    <w:rsid w:val="00267D44"/>
    <w:rsid w:val="00267D7A"/>
    <w:rsid w:val="00270843"/>
    <w:rsid w:val="00270892"/>
    <w:rsid w:val="00270F79"/>
    <w:rsid w:val="002710A7"/>
    <w:rsid w:val="002710CD"/>
    <w:rsid w:val="0027174D"/>
    <w:rsid w:val="00271ABA"/>
    <w:rsid w:val="002721C3"/>
    <w:rsid w:val="002722EA"/>
    <w:rsid w:val="002727B8"/>
    <w:rsid w:val="00272DED"/>
    <w:rsid w:val="00272FF4"/>
    <w:rsid w:val="00273298"/>
    <w:rsid w:val="00273299"/>
    <w:rsid w:val="002735FE"/>
    <w:rsid w:val="0027370D"/>
    <w:rsid w:val="00273BD7"/>
    <w:rsid w:val="00273E76"/>
    <w:rsid w:val="002741E8"/>
    <w:rsid w:val="0027456E"/>
    <w:rsid w:val="00274726"/>
    <w:rsid w:val="002749CB"/>
    <w:rsid w:val="00274CA7"/>
    <w:rsid w:val="00274D1A"/>
    <w:rsid w:val="00275336"/>
    <w:rsid w:val="00275369"/>
    <w:rsid w:val="00275C43"/>
    <w:rsid w:val="00275C60"/>
    <w:rsid w:val="00275D66"/>
    <w:rsid w:val="00275ECB"/>
    <w:rsid w:val="002760CB"/>
    <w:rsid w:val="002761A7"/>
    <w:rsid w:val="002774F5"/>
    <w:rsid w:val="002777DD"/>
    <w:rsid w:val="00277846"/>
    <w:rsid w:val="00277A83"/>
    <w:rsid w:val="00277C96"/>
    <w:rsid w:val="002804C1"/>
    <w:rsid w:val="002805DC"/>
    <w:rsid w:val="002810C9"/>
    <w:rsid w:val="00281D4D"/>
    <w:rsid w:val="00281E20"/>
    <w:rsid w:val="00281F04"/>
    <w:rsid w:val="00282885"/>
    <w:rsid w:val="00283C1B"/>
    <w:rsid w:val="002846C5"/>
    <w:rsid w:val="00284A9F"/>
    <w:rsid w:val="00284E70"/>
    <w:rsid w:val="00285376"/>
    <w:rsid w:val="002853E8"/>
    <w:rsid w:val="00285481"/>
    <w:rsid w:val="00285607"/>
    <w:rsid w:val="00285E0E"/>
    <w:rsid w:val="00285E9D"/>
    <w:rsid w:val="00286227"/>
    <w:rsid w:val="00286258"/>
    <w:rsid w:val="0028659E"/>
    <w:rsid w:val="00286DE6"/>
    <w:rsid w:val="00286FD8"/>
    <w:rsid w:val="00287BB0"/>
    <w:rsid w:val="00290111"/>
    <w:rsid w:val="00290A43"/>
    <w:rsid w:val="00291306"/>
    <w:rsid w:val="00291395"/>
    <w:rsid w:val="00291D97"/>
    <w:rsid w:val="00291DA0"/>
    <w:rsid w:val="00291F7D"/>
    <w:rsid w:val="002921DB"/>
    <w:rsid w:val="00292304"/>
    <w:rsid w:val="0029325D"/>
    <w:rsid w:val="002936B4"/>
    <w:rsid w:val="002938EC"/>
    <w:rsid w:val="00294391"/>
    <w:rsid w:val="00294558"/>
    <w:rsid w:val="00295044"/>
    <w:rsid w:val="00295880"/>
    <w:rsid w:val="002959BA"/>
    <w:rsid w:val="00296019"/>
    <w:rsid w:val="002965A5"/>
    <w:rsid w:val="002969ED"/>
    <w:rsid w:val="00296FF5"/>
    <w:rsid w:val="00297114"/>
    <w:rsid w:val="00297373"/>
    <w:rsid w:val="002978F5"/>
    <w:rsid w:val="0029794B"/>
    <w:rsid w:val="00297DA8"/>
    <w:rsid w:val="002A0121"/>
    <w:rsid w:val="002A087D"/>
    <w:rsid w:val="002A0898"/>
    <w:rsid w:val="002A08CE"/>
    <w:rsid w:val="002A0A1C"/>
    <w:rsid w:val="002A0B09"/>
    <w:rsid w:val="002A0CC8"/>
    <w:rsid w:val="002A0DE2"/>
    <w:rsid w:val="002A176F"/>
    <w:rsid w:val="002A1BCC"/>
    <w:rsid w:val="002A24F1"/>
    <w:rsid w:val="002A2526"/>
    <w:rsid w:val="002A2900"/>
    <w:rsid w:val="002A389B"/>
    <w:rsid w:val="002A3975"/>
    <w:rsid w:val="002A3FA6"/>
    <w:rsid w:val="002A4820"/>
    <w:rsid w:val="002A49EE"/>
    <w:rsid w:val="002A575F"/>
    <w:rsid w:val="002A58DB"/>
    <w:rsid w:val="002A59FD"/>
    <w:rsid w:val="002A5DE6"/>
    <w:rsid w:val="002A5E56"/>
    <w:rsid w:val="002A5FC5"/>
    <w:rsid w:val="002A60BD"/>
    <w:rsid w:val="002A6AB5"/>
    <w:rsid w:val="002A6B8D"/>
    <w:rsid w:val="002A6E3C"/>
    <w:rsid w:val="002A727A"/>
    <w:rsid w:val="002A76A2"/>
    <w:rsid w:val="002A7E56"/>
    <w:rsid w:val="002B01DB"/>
    <w:rsid w:val="002B0559"/>
    <w:rsid w:val="002B0638"/>
    <w:rsid w:val="002B06ED"/>
    <w:rsid w:val="002B0920"/>
    <w:rsid w:val="002B096B"/>
    <w:rsid w:val="002B0B50"/>
    <w:rsid w:val="002B0F02"/>
    <w:rsid w:val="002B1073"/>
    <w:rsid w:val="002B1497"/>
    <w:rsid w:val="002B1643"/>
    <w:rsid w:val="002B18FC"/>
    <w:rsid w:val="002B1D59"/>
    <w:rsid w:val="002B1E8E"/>
    <w:rsid w:val="002B1F6A"/>
    <w:rsid w:val="002B281F"/>
    <w:rsid w:val="002B3565"/>
    <w:rsid w:val="002B365B"/>
    <w:rsid w:val="002B36C5"/>
    <w:rsid w:val="002B37B1"/>
    <w:rsid w:val="002B3884"/>
    <w:rsid w:val="002B38C4"/>
    <w:rsid w:val="002B4436"/>
    <w:rsid w:val="002B4ACA"/>
    <w:rsid w:val="002B4DD9"/>
    <w:rsid w:val="002B4F1A"/>
    <w:rsid w:val="002B52FC"/>
    <w:rsid w:val="002B5793"/>
    <w:rsid w:val="002B6725"/>
    <w:rsid w:val="002B6B30"/>
    <w:rsid w:val="002B6C6F"/>
    <w:rsid w:val="002B7B43"/>
    <w:rsid w:val="002B7CBB"/>
    <w:rsid w:val="002C0872"/>
    <w:rsid w:val="002C0A64"/>
    <w:rsid w:val="002C0B90"/>
    <w:rsid w:val="002C159F"/>
    <w:rsid w:val="002C189A"/>
    <w:rsid w:val="002C1AE0"/>
    <w:rsid w:val="002C1EC8"/>
    <w:rsid w:val="002C22CA"/>
    <w:rsid w:val="002C2433"/>
    <w:rsid w:val="002C24FB"/>
    <w:rsid w:val="002C3331"/>
    <w:rsid w:val="002C35B4"/>
    <w:rsid w:val="002C45A8"/>
    <w:rsid w:val="002C47CA"/>
    <w:rsid w:val="002C4DF1"/>
    <w:rsid w:val="002C50FD"/>
    <w:rsid w:val="002C5354"/>
    <w:rsid w:val="002C5DE9"/>
    <w:rsid w:val="002C6840"/>
    <w:rsid w:val="002C69A2"/>
    <w:rsid w:val="002C6C6A"/>
    <w:rsid w:val="002C7E21"/>
    <w:rsid w:val="002D0338"/>
    <w:rsid w:val="002D03F3"/>
    <w:rsid w:val="002D0AF7"/>
    <w:rsid w:val="002D0C35"/>
    <w:rsid w:val="002D0C36"/>
    <w:rsid w:val="002D10F3"/>
    <w:rsid w:val="002D1EA6"/>
    <w:rsid w:val="002D233E"/>
    <w:rsid w:val="002D2669"/>
    <w:rsid w:val="002D284A"/>
    <w:rsid w:val="002D286B"/>
    <w:rsid w:val="002D2D6F"/>
    <w:rsid w:val="002D2DD1"/>
    <w:rsid w:val="002D2EB0"/>
    <w:rsid w:val="002D324F"/>
    <w:rsid w:val="002D3691"/>
    <w:rsid w:val="002D3977"/>
    <w:rsid w:val="002D3C9E"/>
    <w:rsid w:val="002D3D50"/>
    <w:rsid w:val="002D4109"/>
    <w:rsid w:val="002D4783"/>
    <w:rsid w:val="002D5842"/>
    <w:rsid w:val="002D59D9"/>
    <w:rsid w:val="002D5B9C"/>
    <w:rsid w:val="002D613A"/>
    <w:rsid w:val="002D69A6"/>
    <w:rsid w:val="002D6A8C"/>
    <w:rsid w:val="002D6B43"/>
    <w:rsid w:val="002D6C1E"/>
    <w:rsid w:val="002D7620"/>
    <w:rsid w:val="002D79CE"/>
    <w:rsid w:val="002E0179"/>
    <w:rsid w:val="002E0778"/>
    <w:rsid w:val="002E1495"/>
    <w:rsid w:val="002E169D"/>
    <w:rsid w:val="002E1E83"/>
    <w:rsid w:val="002E2EB3"/>
    <w:rsid w:val="002E329E"/>
    <w:rsid w:val="002E3B9D"/>
    <w:rsid w:val="002E48A0"/>
    <w:rsid w:val="002E4CEA"/>
    <w:rsid w:val="002E58B7"/>
    <w:rsid w:val="002E5A92"/>
    <w:rsid w:val="002E5D2B"/>
    <w:rsid w:val="002E5E4B"/>
    <w:rsid w:val="002E648E"/>
    <w:rsid w:val="002E668F"/>
    <w:rsid w:val="002E6CC2"/>
    <w:rsid w:val="002E6F77"/>
    <w:rsid w:val="002E71DF"/>
    <w:rsid w:val="002E7363"/>
    <w:rsid w:val="002E7DD3"/>
    <w:rsid w:val="002E7F39"/>
    <w:rsid w:val="002F022C"/>
    <w:rsid w:val="002F0C65"/>
    <w:rsid w:val="002F0C86"/>
    <w:rsid w:val="002F0D7E"/>
    <w:rsid w:val="002F10DC"/>
    <w:rsid w:val="002F1184"/>
    <w:rsid w:val="002F1546"/>
    <w:rsid w:val="002F15F9"/>
    <w:rsid w:val="002F177E"/>
    <w:rsid w:val="002F1CF3"/>
    <w:rsid w:val="002F22A6"/>
    <w:rsid w:val="002F23FE"/>
    <w:rsid w:val="002F255B"/>
    <w:rsid w:val="002F2B8D"/>
    <w:rsid w:val="002F2DB4"/>
    <w:rsid w:val="002F3EFC"/>
    <w:rsid w:val="002F3F58"/>
    <w:rsid w:val="002F3FBC"/>
    <w:rsid w:val="002F4364"/>
    <w:rsid w:val="002F4625"/>
    <w:rsid w:val="002F4630"/>
    <w:rsid w:val="002F54F2"/>
    <w:rsid w:val="002F59BA"/>
    <w:rsid w:val="002F59E3"/>
    <w:rsid w:val="002F624B"/>
    <w:rsid w:val="002F6471"/>
    <w:rsid w:val="002F6A75"/>
    <w:rsid w:val="002F6E4C"/>
    <w:rsid w:val="002F7EBD"/>
    <w:rsid w:val="002F7EF4"/>
    <w:rsid w:val="00300127"/>
    <w:rsid w:val="00300D15"/>
    <w:rsid w:val="0030106B"/>
    <w:rsid w:val="00301210"/>
    <w:rsid w:val="003016FA"/>
    <w:rsid w:val="00301A56"/>
    <w:rsid w:val="00302055"/>
    <w:rsid w:val="0030240F"/>
    <w:rsid w:val="003028BF"/>
    <w:rsid w:val="0030308F"/>
    <w:rsid w:val="00303CBB"/>
    <w:rsid w:val="003046F9"/>
    <w:rsid w:val="00304C2A"/>
    <w:rsid w:val="003051BA"/>
    <w:rsid w:val="0030545E"/>
    <w:rsid w:val="00305706"/>
    <w:rsid w:val="00305818"/>
    <w:rsid w:val="00305A48"/>
    <w:rsid w:val="00305B7C"/>
    <w:rsid w:val="00306469"/>
    <w:rsid w:val="003064E3"/>
    <w:rsid w:val="003064EF"/>
    <w:rsid w:val="003066D2"/>
    <w:rsid w:val="003068B5"/>
    <w:rsid w:val="00306D17"/>
    <w:rsid w:val="00306D25"/>
    <w:rsid w:val="00306F9E"/>
    <w:rsid w:val="00306FAF"/>
    <w:rsid w:val="00307264"/>
    <w:rsid w:val="00307468"/>
    <w:rsid w:val="0030748C"/>
    <w:rsid w:val="003076DE"/>
    <w:rsid w:val="00307924"/>
    <w:rsid w:val="00307B64"/>
    <w:rsid w:val="00310173"/>
    <w:rsid w:val="0031051F"/>
    <w:rsid w:val="00310614"/>
    <w:rsid w:val="00310B99"/>
    <w:rsid w:val="00310D60"/>
    <w:rsid w:val="00310E81"/>
    <w:rsid w:val="0031108F"/>
    <w:rsid w:val="003110C8"/>
    <w:rsid w:val="003115D5"/>
    <w:rsid w:val="00311CB1"/>
    <w:rsid w:val="0031249B"/>
    <w:rsid w:val="003125B9"/>
    <w:rsid w:val="0031263B"/>
    <w:rsid w:val="00313B86"/>
    <w:rsid w:val="00314017"/>
    <w:rsid w:val="003144A9"/>
    <w:rsid w:val="003145CD"/>
    <w:rsid w:val="003149CC"/>
    <w:rsid w:val="00315A73"/>
    <w:rsid w:val="00316033"/>
    <w:rsid w:val="00316245"/>
    <w:rsid w:val="00316310"/>
    <w:rsid w:val="0031642A"/>
    <w:rsid w:val="003166B0"/>
    <w:rsid w:val="00316C64"/>
    <w:rsid w:val="00316E64"/>
    <w:rsid w:val="00316FB7"/>
    <w:rsid w:val="0031702C"/>
    <w:rsid w:val="00317065"/>
    <w:rsid w:val="00317955"/>
    <w:rsid w:val="00317DE2"/>
    <w:rsid w:val="00320129"/>
    <w:rsid w:val="00320278"/>
    <w:rsid w:val="003204FA"/>
    <w:rsid w:val="00320F6F"/>
    <w:rsid w:val="0032133D"/>
    <w:rsid w:val="00321C39"/>
    <w:rsid w:val="0032204D"/>
    <w:rsid w:val="003226EF"/>
    <w:rsid w:val="00322A3C"/>
    <w:rsid w:val="00322A90"/>
    <w:rsid w:val="00322F94"/>
    <w:rsid w:val="00323882"/>
    <w:rsid w:val="00324BC0"/>
    <w:rsid w:val="00324CD9"/>
    <w:rsid w:val="00324EE5"/>
    <w:rsid w:val="0032550E"/>
    <w:rsid w:val="00325807"/>
    <w:rsid w:val="0032617F"/>
    <w:rsid w:val="00326984"/>
    <w:rsid w:val="00326CCF"/>
    <w:rsid w:val="003272B4"/>
    <w:rsid w:val="00327A3A"/>
    <w:rsid w:val="00327D01"/>
    <w:rsid w:val="00330481"/>
    <w:rsid w:val="00330BE8"/>
    <w:rsid w:val="00331618"/>
    <w:rsid w:val="003316EF"/>
    <w:rsid w:val="003317A7"/>
    <w:rsid w:val="0033224D"/>
    <w:rsid w:val="00332317"/>
    <w:rsid w:val="0033286B"/>
    <w:rsid w:val="00332C9E"/>
    <w:rsid w:val="00332FCA"/>
    <w:rsid w:val="00333106"/>
    <w:rsid w:val="00333E24"/>
    <w:rsid w:val="0033401D"/>
    <w:rsid w:val="00334E55"/>
    <w:rsid w:val="00335835"/>
    <w:rsid w:val="00335879"/>
    <w:rsid w:val="003358FA"/>
    <w:rsid w:val="00335ACA"/>
    <w:rsid w:val="00336200"/>
    <w:rsid w:val="0033697B"/>
    <w:rsid w:val="003379C5"/>
    <w:rsid w:val="00337D05"/>
    <w:rsid w:val="00337E2E"/>
    <w:rsid w:val="0034082E"/>
    <w:rsid w:val="00340C0D"/>
    <w:rsid w:val="00341011"/>
    <w:rsid w:val="00341086"/>
    <w:rsid w:val="003411CF"/>
    <w:rsid w:val="00341314"/>
    <w:rsid w:val="00341335"/>
    <w:rsid w:val="00341A45"/>
    <w:rsid w:val="00342462"/>
    <w:rsid w:val="00342E62"/>
    <w:rsid w:val="00343045"/>
    <w:rsid w:val="003430A9"/>
    <w:rsid w:val="00343145"/>
    <w:rsid w:val="003437EF"/>
    <w:rsid w:val="003441B3"/>
    <w:rsid w:val="00344F22"/>
    <w:rsid w:val="00345271"/>
    <w:rsid w:val="00345294"/>
    <w:rsid w:val="0034624D"/>
    <w:rsid w:val="003465F4"/>
    <w:rsid w:val="00346875"/>
    <w:rsid w:val="00346C95"/>
    <w:rsid w:val="00347146"/>
    <w:rsid w:val="00347418"/>
    <w:rsid w:val="0034763D"/>
    <w:rsid w:val="00347735"/>
    <w:rsid w:val="0034794D"/>
    <w:rsid w:val="0034798D"/>
    <w:rsid w:val="00347A99"/>
    <w:rsid w:val="00347B6E"/>
    <w:rsid w:val="00350A41"/>
    <w:rsid w:val="00350BCD"/>
    <w:rsid w:val="00350CD1"/>
    <w:rsid w:val="00351552"/>
    <w:rsid w:val="00351680"/>
    <w:rsid w:val="00351C65"/>
    <w:rsid w:val="00351E87"/>
    <w:rsid w:val="00351F7F"/>
    <w:rsid w:val="00352104"/>
    <w:rsid w:val="00352763"/>
    <w:rsid w:val="003527AA"/>
    <w:rsid w:val="003533C9"/>
    <w:rsid w:val="00353881"/>
    <w:rsid w:val="00353AA7"/>
    <w:rsid w:val="00353B42"/>
    <w:rsid w:val="00355F51"/>
    <w:rsid w:val="00356224"/>
    <w:rsid w:val="0035697F"/>
    <w:rsid w:val="00356B18"/>
    <w:rsid w:val="00356B1A"/>
    <w:rsid w:val="00356BAD"/>
    <w:rsid w:val="00356C21"/>
    <w:rsid w:val="00356C2C"/>
    <w:rsid w:val="00360218"/>
    <w:rsid w:val="0036029D"/>
    <w:rsid w:val="00360356"/>
    <w:rsid w:val="00360763"/>
    <w:rsid w:val="003609B3"/>
    <w:rsid w:val="00360A17"/>
    <w:rsid w:val="003616FD"/>
    <w:rsid w:val="00361FD7"/>
    <w:rsid w:val="003623BC"/>
    <w:rsid w:val="0036263D"/>
    <w:rsid w:val="003626D0"/>
    <w:rsid w:val="00362E33"/>
    <w:rsid w:val="00363328"/>
    <w:rsid w:val="003636FF"/>
    <w:rsid w:val="003640F1"/>
    <w:rsid w:val="00364382"/>
    <w:rsid w:val="00364A7B"/>
    <w:rsid w:val="003650F7"/>
    <w:rsid w:val="003652BF"/>
    <w:rsid w:val="00365964"/>
    <w:rsid w:val="00366039"/>
    <w:rsid w:val="00366146"/>
    <w:rsid w:val="0036640D"/>
    <w:rsid w:val="00366620"/>
    <w:rsid w:val="0036692C"/>
    <w:rsid w:val="00366DF3"/>
    <w:rsid w:val="00366E84"/>
    <w:rsid w:val="00366E8A"/>
    <w:rsid w:val="0036739B"/>
    <w:rsid w:val="00370444"/>
    <w:rsid w:val="0037070E"/>
    <w:rsid w:val="00370929"/>
    <w:rsid w:val="003718D7"/>
    <w:rsid w:val="00371FB3"/>
    <w:rsid w:val="003720C2"/>
    <w:rsid w:val="003734C7"/>
    <w:rsid w:val="00373896"/>
    <w:rsid w:val="0037393B"/>
    <w:rsid w:val="00373C52"/>
    <w:rsid w:val="00373E55"/>
    <w:rsid w:val="003742FD"/>
    <w:rsid w:val="00374470"/>
    <w:rsid w:val="00375984"/>
    <w:rsid w:val="00375A51"/>
    <w:rsid w:val="003770D7"/>
    <w:rsid w:val="00377C39"/>
    <w:rsid w:val="00377DE4"/>
    <w:rsid w:val="00377E29"/>
    <w:rsid w:val="00377FB5"/>
    <w:rsid w:val="003801D1"/>
    <w:rsid w:val="003801F5"/>
    <w:rsid w:val="00380A45"/>
    <w:rsid w:val="003815CA"/>
    <w:rsid w:val="00381B19"/>
    <w:rsid w:val="0038226C"/>
    <w:rsid w:val="003826CE"/>
    <w:rsid w:val="00382817"/>
    <w:rsid w:val="00382950"/>
    <w:rsid w:val="00383563"/>
    <w:rsid w:val="0038356A"/>
    <w:rsid w:val="003838AE"/>
    <w:rsid w:val="00383EFF"/>
    <w:rsid w:val="00384131"/>
    <w:rsid w:val="0038480C"/>
    <w:rsid w:val="00385246"/>
    <w:rsid w:val="00386599"/>
    <w:rsid w:val="003869D8"/>
    <w:rsid w:val="00386A71"/>
    <w:rsid w:val="00386B17"/>
    <w:rsid w:val="0038720A"/>
    <w:rsid w:val="00387466"/>
    <w:rsid w:val="003875B0"/>
    <w:rsid w:val="00387710"/>
    <w:rsid w:val="003877B1"/>
    <w:rsid w:val="00387AC5"/>
    <w:rsid w:val="00387DE0"/>
    <w:rsid w:val="003900CB"/>
    <w:rsid w:val="003900F8"/>
    <w:rsid w:val="003904A4"/>
    <w:rsid w:val="003907DE"/>
    <w:rsid w:val="00390AF8"/>
    <w:rsid w:val="00390D87"/>
    <w:rsid w:val="00391358"/>
    <w:rsid w:val="003915CC"/>
    <w:rsid w:val="003918DC"/>
    <w:rsid w:val="00391A9A"/>
    <w:rsid w:val="00391C21"/>
    <w:rsid w:val="00391DDA"/>
    <w:rsid w:val="00391FFD"/>
    <w:rsid w:val="00392113"/>
    <w:rsid w:val="00392281"/>
    <w:rsid w:val="00392846"/>
    <w:rsid w:val="00392B28"/>
    <w:rsid w:val="0039302D"/>
    <w:rsid w:val="00393450"/>
    <w:rsid w:val="00393591"/>
    <w:rsid w:val="00393B09"/>
    <w:rsid w:val="00393F95"/>
    <w:rsid w:val="003947D4"/>
    <w:rsid w:val="00394BE0"/>
    <w:rsid w:val="00394BFB"/>
    <w:rsid w:val="0039528C"/>
    <w:rsid w:val="00395AE7"/>
    <w:rsid w:val="00395B72"/>
    <w:rsid w:val="00396326"/>
    <w:rsid w:val="00397429"/>
    <w:rsid w:val="0039750E"/>
    <w:rsid w:val="0039771D"/>
    <w:rsid w:val="00397B3B"/>
    <w:rsid w:val="003A0018"/>
    <w:rsid w:val="003A0893"/>
    <w:rsid w:val="003A0992"/>
    <w:rsid w:val="003A12AF"/>
    <w:rsid w:val="003A15EB"/>
    <w:rsid w:val="003A18A2"/>
    <w:rsid w:val="003A1DC8"/>
    <w:rsid w:val="003A23CF"/>
    <w:rsid w:val="003A2EF6"/>
    <w:rsid w:val="003A3DAB"/>
    <w:rsid w:val="003A3DEF"/>
    <w:rsid w:val="003A43C0"/>
    <w:rsid w:val="003A43C8"/>
    <w:rsid w:val="003A474E"/>
    <w:rsid w:val="003A4DD8"/>
    <w:rsid w:val="003A4DE8"/>
    <w:rsid w:val="003A5062"/>
    <w:rsid w:val="003A54B9"/>
    <w:rsid w:val="003A57D0"/>
    <w:rsid w:val="003A5ADD"/>
    <w:rsid w:val="003A5BF7"/>
    <w:rsid w:val="003A5EC7"/>
    <w:rsid w:val="003A5F4C"/>
    <w:rsid w:val="003A6802"/>
    <w:rsid w:val="003A68F5"/>
    <w:rsid w:val="003A76E0"/>
    <w:rsid w:val="003A7895"/>
    <w:rsid w:val="003A7D0E"/>
    <w:rsid w:val="003B0480"/>
    <w:rsid w:val="003B0609"/>
    <w:rsid w:val="003B092F"/>
    <w:rsid w:val="003B09BF"/>
    <w:rsid w:val="003B0BCB"/>
    <w:rsid w:val="003B0CC4"/>
    <w:rsid w:val="003B0FC6"/>
    <w:rsid w:val="003B12B4"/>
    <w:rsid w:val="003B1CE3"/>
    <w:rsid w:val="003B1D40"/>
    <w:rsid w:val="003B216F"/>
    <w:rsid w:val="003B2B1F"/>
    <w:rsid w:val="003B2E35"/>
    <w:rsid w:val="003B391B"/>
    <w:rsid w:val="003B3BD5"/>
    <w:rsid w:val="003B4204"/>
    <w:rsid w:val="003B44E8"/>
    <w:rsid w:val="003B4798"/>
    <w:rsid w:val="003B50E2"/>
    <w:rsid w:val="003B5BD9"/>
    <w:rsid w:val="003B5E24"/>
    <w:rsid w:val="003B64EF"/>
    <w:rsid w:val="003B673D"/>
    <w:rsid w:val="003B68D0"/>
    <w:rsid w:val="003B73D1"/>
    <w:rsid w:val="003B7615"/>
    <w:rsid w:val="003B77F4"/>
    <w:rsid w:val="003B7DD3"/>
    <w:rsid w:val="003C049D"/>
    <w:rsid w:val="003C0538"/>
    <w:rsid w:val="003C0715"/>
    <w:rsid w:val="003C0875"/>
    <w:rsid w:val="003C09AB"/>
    <w:rsid w:val="003C0ADD"/>
    <w:rsid w:val="003C0C97"/>
    <w:rsid w:val="003C0E2C"/>
    <w:rsid w:val="003C11B3"/>
    <w:rsid w:val="003C1F97"/>
    <w:rsid w:val="003C2249"/>
    <w:rsid w:val="003C2631"/>
    <w:rsid w:val="003C2A00"/>
    <w:rsid w:val="003C2BB2"/>
    <w:rsid w:val="003C2CDC"/>
    <w:rsid w:val="003C2DA2"/>
    <w:rsid w:val="003C2EA4"/>
    <w:rsid w:val="003C3589"/>
    <w:rsid w:val="003C3C36"/>
    <w:rsid w:val="003C3E25"/>
    <w:rsid w:val="003C40F5"/>
    <w:rsid w:val="003C4C10"/>
    <w:rsid w:val="003C4C49"/>
    <w:rsid w:val="003C4E45"/>
    <w:rsid w:val="003C4E9E"/>
    <w:rsid w:val="003C60CF"/>
    <w:rsid w:val="003C63D0"/>
    <w:rsid w:val="003C6B9B"/>
    <w:rsid w:val="003C70FD"/>
    <w:rsid w:val="003C7380"/>
    <w:rsid w:val="003C7E59"/>
    <w:rsid w:val="003D0C92"/>
    <w:rsid w:val="003D0D0C"/>
    <w:rsid w:val="003D15F1"/>
    <w:rsid w:val="003D1855"/>
    <w:rsid w:val="003D1D30"/>
    <w:rsid w:val="003D2502"/>
    <w:rsid w:val="003D2873"/>
    <w:rsid w:val="003D28DD"/>
    <w:rsid w:val="003D34F4"/>
    <w:rsid w:val="003D3728"/>
    <w:rsid w:val="003D396E"/>
    <w:rsid w:val="003D3C58"/>
    <w:rsid w:val="003D3F27"/>
    <w:rsid w:val="003D3F6A"/>
    <w:rsid w:val="003D415F"/>
    <w:rsid w:val="003D49DD"/>
    <w:rsid w:val="003D528A"/>
    <w:rsid w:val="003D5633"/>
    <w:rsid w:val="003D5B12"/>
    <w:rsid w:val="003D5BE8"/>
    <w:rsid w:val="003D5F72"/>
    <w:rsid w:val="003D6245"/>
    <w:rsid w:val="003D69C9"/>
    <w:rsid w:val="003D6C52"/>
    <w:rsid w:val="003D6D51"/>
    <w:rsid w:val="003D6DF1"/>
    <w:rsid w:val="003D6F7E"/>
    <w:rsid w:val="003D7D9A"/>
    <w:rsid w:val="003D7E9C"/>
    <w:rsid w:val="003E08FF"/>
    <w:rsid w:val="003E0FE7"/>
    <w:rsid w:val="003E107E"/>
    <w:rsid w:val="003E1400"/>
    <w:rsid w:val="003E1423"/>
    <w:rsid w:val="003E153A"/>
    <w:rsid w:val="003E1747"/>
    <w:rsid w:val="003E1D92"/>
    <w:rsid w:val="003E1F3E"/>
    <w:rsid w:val="003E23ED"/>
    <w:rsid w:val="003E271F"/>
    <w:rsid w:val="003E28A9"/>
    <w:rsid w:val="003E2BCA"/>
    <w:rsid w:val="003E2D84"/>
    <w:rsid w:val="003E3031"/>
    <w:rsid w:val="003E375C"/>
    <w:rsid w:val="003E3985"/>
    <w:rsid w:val="003E3A4A"/>
    <w:rsid w:val="003E4204"/>
    <w:rsid w:val="003E47A4"/>
    <w:rsid w:val="003E4B2A"/>
    <w:rsid w:val="003E4F0C"/>
    <w:rsid w:val="003E51DB"/>
    <w:rsid w:val="003E55B2"/>
    <w:rsid w:val="003E645C"/>
    <w:rsid w:val="003E766B"/>
    <w:rsid w:val="003E7A6A"/>
    <w:rsid w:val="003E7B82"/>
    <w:rsid w:val="003E7E37"/>
    <w:rsid w:val="003F0B46"/>
    <w:rsid w:val="003F0FFC"/>
    <w:rsid w:val="003F11B8"/>
    <w:rsid w:val="003F1424"/>
    <w:rsid w:val="003F157D"/>
    <w:rsid w:val="003F1A9E"/>
    <w:rsid w:val="003F2066"/>
    <w:rsid w:val="003F26FE"/>
    <w:rsid w:val="003F2A0C"/>
    <w:rsid w:val="003F2D66"/>
    <w:rsid w:val="003F34CF"/>
    <w:rsid w:val="003F3672"/>
    <w:rsid w:val="003F3815"/>
    <w:rsid w:val="003F3A0B"/>
    <w:rsid w:val="003F3E62"/>
    <w:rsid w:val="003F4002"/>
    <w:rsid w:val="003F4681"/>
    <w:rsid w:val="003F4F89"/>
    <w:rsid w:val="003F53CB"/>
    <w:rsid w:val="003F5BC2"/>
    <w:rsid w:val="003F68F5"/>
    <w:rsid w:val="003F69EA"/>
    <w:rsid w:val="003F6CB6"/>
    <w:rsid w:val="003F6E3D"/>
    <w:rsid w:val="003F73C0"/>
    <w:rsid w:val="003F76DF"/>
    <w:rsid w:val="003F791D"/>
    <w:rsid w:val="003F7ACD"/>
    <w:rsid w:val="003F7D47"/>
    <w:rsid w:val="003F7E00"/>
    <w:rsid w:val="003F7FF9"/>
    <w:rsid w:val="00400017"/>
    <w:rsid w:val="0040022E"/>
    <w:rsid w:val="004002A2"/>
    <w:rsid w:val="00400C03"/>
    <w:rsid w:val="00400CEB"/>
    <w:rsid w:val="0040175A"/>
    <w:rsid w:val="0040184B"/>
    <w:rsid w:val="00402028"/>
    <w:rsid w:val="004026D0"/>
    <w:rsid w:val="004028B9"/>
    <w:rsid w:val="00402A00"/>
    <w:rsid w:val="004033DB"/>
    <w:rsid w:val="0040366B"/>
    <w:rsid w:val="00403DB4"/>
    <w:rsid w:val="0040409C"/>
    <w:rsid w:val="0040412C"/>
    <w:rsid w:val="004041D7"/>
    <w:rsid w:val="0040481A"/>
    <w:rsid w:val="0040491A"/>
    <w:rsid w:val="00404BA8"/>
    <w:rsid w:val="00404C51"/>
    <w:rsid w:val="004053DA"/>
    <w:rsid w:val="00405778"/>
    <w:rsid w:val="00405E3E"/>
    <w:rsid w:val="00405FA5"/>
    <w:rsid w:val="004061A6"/>
    <w:rsid w:val="00406498"/>
    <w:rsid w:val="004065B8"/>
    <w:rsid w:val="00406688"/>
    <w:rsid w:val="00406882"/>
    <w:rsid w:val="00406B9D"/>
    <w:rsid w:val="00406EE9"/>
    <w:rsid w:val="004073D6"/>
    <w:rsid w:val="00407462"/>
    <w:rsid w:val="004076AD"/>
    <w:rsid w:val="004077C4"/>
    <w:rsid w:val="00407966"/>
    <w:rsid w:val="004079DF"/>
    <w:rsid w:val="00410298"/>
    <w:rsid w:val="0041031B"/>
    <w:rsid w:val="004108AE"/>
    <w:rsid w:val="0041151A"/>
    <w:rsid w:val="00411E3F"/>
    <w:rsid w:val="00411F45"/>
    <w:rsid w:val="00411FE5"/>
    <w:rsid w:val="004122F3"/>
    <w:rsid w:val="004126F2"/>
    <w:rsid w:val="004127B1"/>
    <w:rsid w:val="00412AA2"/>
    <w:rsid w:val="0041360D"/>
    <w:rsid w:val="0041374D"/>
    <w:rsid w:val="004137A3"/>
    <w:rsid w:val="004137C0"/>
    <w:rsid w:val="00413A3F"/>
    <w:rsid w:val="00413AB6"/>
    <w:rsid w:val="00413EDE"/>
    <w:rsid w:val="00414129"/>
    <w:rsid w:val="00414479"/>
    <w:rsid w:val="00414B95"/>
    <w:rsid w:val="004153C3"/>
    <w:rsid w:val="004155EB"/>
    <w:rsid w:val="004158EC"/>
    <w:rsid w:val="0041601F"/>
    <w:rsid w:val="00416244"/>
    <w:rsid w:val="00416458"/>
    <w:rsid w:val="004165AA"/>
    <w:rsid w:val="00417199"/>
    <w:rsid w:val="00417238"/>
    <w:rsid w:val="00417D8D"/>
    <w:rsid w:val="00417EFE"/>
    <w:rsid w:val="00420223"/>
    <w:rsid w:val="004206CA"/>
    <w:rsid w:val="00421023"/>
    <w:rsid w:val="0042132B"/>
    <w:rsid w:val="004216FE"/>
    <w:rsid w:val="004221CE"/>
    <w:rsid w:val="00422923"/>
    <w:rsid w:val="004230F7"/>
    <w:rsid w:val="00423865"/>
    <w:rsid w:val="00423A67"/>
    <w:rsid w:val="00423D42"/>
    <w:rsid w:val="00424726"/>
    <w:rsid w:val="00425458"/>
    <w:rsid w:val="00425839"/>
    <w:rsid w:val="00425B81"/>
    <w:rsid w:val="00425D7B"/>
    <w:rsid w:val="00425F05"/>
    <w:rsid w:val="00426D68"/>
    <w:rsid w:val="00426FB3"/>
    <w:rsid w:val="004277F6"/>
    <w:rsid w:val="00427A7A"/>
    <w:rsid w:val="00427E1A"/>
    <w:rsid w:val="00427EC1"/>
    <w:rsid w:val="00430388"/>
    <w:rsid w:val="00430573"/>
    <w:rsid w:val="00430611"/>
    <w:rsid w:val="004311CA"/>
    <w:rsid w:val="00431410"/>
    <w:rsid w:val="004315F0"/>
    <w:rsid w:val="00431AC6"/>
    <w:rsid w:val="00431EEF"/>
    <w:rsid w:val="0043222D"/>
    <w:rsid w:val="00432532"/>
    <w:rsid w:val="004325EC"/>
    <w:rsid w:val="00432967"/>
    <w:rsid w:val="00432AC9"/>
    <w:rsid w:val="00432DB0"/>
    <w:rsid w:val="00432DF3"/>
    <w:rsid w:val="00433209"/>
    <w:rsid w:val="004336E9"/>
    <w:rsid w:val="00434161"/>
    <w:rsid w:val="00434210"/>
    <w:rsid w:val="004344EE"/>
    <w:rsid w:val="004345A2"/>
    <w:rsid w:val="00434A4D"/>
    <w:rsid w:val="00434B08"/>
    <w:rsid w:val="00434B8E"/>
    <w:rsid w:val="00434C68"/>
    <w:rsid w:val="00435722"/>
    <w:rsid w:val="00435783"/>
    <w:rsid w:val="00435EB3"/>
    <w:rsid w:val="0043638B"/>
    <w:rsid w:val="004364D6"/>
    <w:rsid w:val="004366E4"/>
    <w:rsid w:val="00437562"/>
    <w:rsid w:val="00437CAF"/>
    <w:rsid w:val="0044068C"/>
    <w:rsid w:val="00440701"/>
    <w:rsid w:val="00440708"/>
    <w:rsid w:val="004408CE"/>
    <w:rsid w:val="00440B96"/>
    <w:rsid w:val="00440F78"/>
    <w:rsid w:val="004411DB"/>
    <w:rsid w:val="004417C9"/>
    <w:rsid w:val="004417E9"/>
    <w:rsid w:val="00441911"/>
    <w:rsid w:val="00441917"/>
    <w:rsid w:val="00441B31"/>
    <w:rsid w:val="00441E01"/>
    <w:rsid w:val="004426DE"/>
    <w:rsid w:val="00442B9A"/>
    <w:rsid w:val="004431EE"/>
    <w:rsid w:val="004436DE"/>
    <w:rsid w:val="00443967"/>
    <w:rsid w:val="00443BB5"/>
    <w:rsid w:val="004443BC"/>
    <w:rsid w:val="00445A5B"/>
    <w:rsid w:val="00445B11"/>
    <w:rsid w:val="0044653F"/>
    <w:rsid w:val="004465EE"/>
    <w:rsid w:val="00446901"/>
    <w:rsid w:val="00446FB0"/>
    <w:rsid w:val="004478B8"/>
    <w:rsid w:val="00447B59"/>
    <w:rsid w:val="00447C8C"/>
    <w:rsid w:val="00447F2B"/>
    <w:rsid w:val="0045014C"/>
    <w:rsid w:val="0045078A"/>
    <w:rsid w:val="004508C2"/>
    <w:rsid w:val="00450B23"/>
    <w:rsid w:val="00450B63"/>
    <w:rsid w:val="00450C8F"/>
    <w:rsid w:val="00450E08"/>
    <w:rsid w:val="00451504"/>
    <w:rsid w:val="004519B2"/>
    <w:rsid w:val="00451B5B"/>
    <w:rsid w:val="004521C1"/>
    <w:rsid w:val="004526DF"/>
    <w:rsid w:val="00452A08"/>
    <w:rsid w:val="00452C39"/>
    <w:rsid w:val="00453FFC"/>
    <w:rsid w:val="00454471"/>
    <w:rsid w:val="00454482"/>
    <w:rsid w:val="004545CF"/>
    <w:rsid w:val="00454E03"/>
    <w:rsid w:val="00454E0A"/>
    <w:rsid w:val="0045529D"/>
    <w:rsid w:val="00455DEF"/>
    <w:rsid w:val="00456097"/>
    <w:rsid w:val="00456642"/>
    <w:rsid w:val="00456958"/>
    <w:rsid w:val="00456CE4"/>
    <w:rsid w:val="00456F84"/>
    <w:rsid w:val="0045702B"/>
    <w:rsid w:val="004570B6"/>
    <w:rsid w:val="00457444"/>
    <w:rsid w:val="00457866"/>
    <w:rsid w:val="004578CB"/>
    <w:rsid w:val="00457CE7"/>
    <w:rsid w:val="004601AA"/>
    <w:rsid w:val="004604E8"/>
    <w:rsid w:val="00460514"/>
    <w:rsid w:val="004606BD"/>
    <w:rsid w:val="00460C6B"/>
    <w:rsid w:val="00460C76"/>
    <w:rsid w:val="00460DA3"/>
    <w:rsid w:val="00462136"/>
    <w:rsid w:val="00462A6D"/>
    <w:rsid w:val="00462DC9"/>
    <w:rsid w:val="00462F66"/>
    <w:rsid w:val="0046320D"/>
    <w:rsid w:val="00463706"/>
    <w:rsid w:val="00463FA5"/>
    <w:rsid w:val="00464616"/>
    <w:rsid w:val="00464889"/>
    <w:rsid w:val="00464B51"/>
    <w:rsid w:val="004651B0"/>
    <w:rsid w:val="004653C8"/>
    <w:rsid w:val="00465B3A"/>
    <w:rsid w:val="00465C9D"/>
    <w:rsid w:val="00466C7B"/>
    <w:rsid w:val="00467062"/>
    <w:rsid w:val="00467109"/>
    <w:rsid w:val="004671D4"/>
    <w:rsid w:val="00467E4E"/>
    <w:rsid w:val="004708E2"/>
    <w:rsid w:val="00470BAE"/>
    <w:rsid w:val="00470F6F"/>
    <w:rsid w:val="00470FA1"/>
    <w:rsid w:val="0047115C"/>
    <w:rsid w:val="00471216"/>
    <w:rsid w:val="00471334"/>
    <w:rsid w:val="00471798"/>
    <w:rsid w:val="00471987"/>
    <w:rsid w:val="00471C56"/>
    <w:rsid w:val="00472277"/>
    <w:rsid w:val="00472714"/>
    <w:rsid w:val="00472BA5"/>
    <w:rsid w:val="00472BCF"/>
    <w:rsid w:val="004731D8"/>
    <w:rsid w:val="00473306"/>
    <w:rsid w:val="00473F8A"/>
    <w:rsid w:val="004740B8"/>
    <w:rsid w:val="00474398"/>
    <w:rsid w:val="00474618"/>
    <w:rsid w:val="0047465D"/>
    <w:rsid w:val="00474952"/>
    <w:rsid w:val="00474C05"/>
    <w:rsid w:val="00474C7B"/>
    <w:rsid w:val="00474CEB"/>
    <w:rsid w:val="00474D28"/>
    <w:rsid w:val="00474E18"/>
    <w:rsid w:val="00474E77"/>
    <w:rsid w:val="00475056"/>
    <w:rsid w:val="00475543"/>
    <w:rsid w:val="0047558B"/>
    <w:rsid w:val="0047583F"/>
    <w:rsid w:val="00475A14"/>
    <w:rsid w:val="00475A8D"/>
    <w:rsid w:val="00475B3C"/>
    <w:rsid w:val="00475DB2"/>
    <w:rsid w:val="00476175"/>
    <w:rsid w:val="00476212"/>
    <w:rsid w:val="0047661F"/>
    <w:rsid w:val="00476794"/>
    <w:rsid w:val="00476C44"/>
    <w:rsid w:val="004774C8"/>
    <w:rsid w:val="00480169"/>
    <w:rsid w:val="004804DB"/>
    <w:rsid w:val="004810EB"/>
    <w:rsid w:val="00481318"/>
    <w:rsid w:val="00481C9C"/>
    <w:rsid w:val="00482308"/>
    <w:rsid w:val="00482AA0"/>
    <w:rsid w:val="00483CE1"/>
    <w:rsid w:val="0048412E"/>
    <w:rsid w:val="00484221"/>
    <w:rsid w:val="0048425A"/>
    <w:rsid w:val="00484B2E"/>
    <w:rsid w:val="00484B7C"/>
    <w:rsid w:val="00484BCE"/>
    <w:rsid w:val="00484D94"/>
    <w:rsid w:val="00484F19"/>
    <w:rsid w:val="00485127"/>
    <w:rsid w:val="00485329"/>
    <w:rsid w:val="004854D3"/>
    <w:rsid w:val="00485695"/>
    <w:rsid w:val="00485967"/>
    <w:rsid w:val="00485EE5"/>
    <w:rsid w:val="00486847"/>
    <w:rsid w:val="00486ED0"/>
    <w:rsid w:val="004876C9"/>
    <w:rsid w:val="00487BEA"/>
    <w:rsid w:val="00487EDD"/>
    <w:rsid w:val="00487EE4"/>
    <w:rsid w:val="00490084"/>
    <w:rsid w:val="00490548"/>
    <w:rsid w:val="004907FF"/>
    <w:rsid w:val="00490982"/>
    <w:rsid w:val="00490E54"/>
    <w:rsid w:val="00490F2F"/>
    <w:rsid w:val="00491032"/>
    <w:rsid w:val="004915A1"/>
    <w:rsid w:val="004916B3"/>
    <w:rsid w:val="004918F4"/>
    <w:rsid w:val="00491B03"/>
    <w:rsid w:val="00491FF3"/>
    <w:rsid w:val="00492898"/>
    <w:rsid w:val="00492CEA"/>
    <w:rsid w:val="0049307C"/>
    <w:rsid w:val="00493AB3"/>
    <w:rsid w:val="00493AE3"/>
    <w:rsid w:val="00493C45"/>
    <w:rsid w:val="00493F0B"/>
    <w:rsid w:val="0049414A"/>
    <w:rsid w:val="00495350"/>
    <w:rsid w:val="00495588"/>
    <w:rsid w:val="004956FF"/>
    <w:rsid w:val="00495930"/>
    <w:rsid w:val="00495940"/>
    <w:rsid w:val="00495A55"/>
    <w:rsid w:val="00495CCA"/>
    <w:rsid w:val="0049631B"/>
    <w:rsid w:val="00496771"/>
    <w:rsid w:val="00496C4D"/>
    <w:rsid w:val="00496CC3"/>
    <w:rsid w:val="00497166"/>
    <w:rsid w:val="00497328"/>
    <w:rsid w:val="00497677"/>
    <w:rsid w:val="00497DBB"/>
    <w:rsid w:val="00497FC5"/>
    <w:rsid w:val="004A10E4"/>
    <w:rsid w:val="004A157A"/>
    <w:rsid w:val="004A1F99"/>
    <w:rsid w:val="004A2349"/>
    <w:rsid w:val="004A23CF"/>
    <w:rsid w:val="004A27B6"/>
    <w:rsid w:val="004A2966"/>
    <w:rsid w:val="004A2F3C"/>
    <w:rsid w:val="004A328F"/>
    <w:rsid w:val="004A32EC"/>
    <w:rsid w:val="004A32FF"/>
    <w:rsid w:val="004A34F9"/>
    <w:rsid w:val="004A35DF"/>
    <w:rsid w:val="004A36A9"/>
    <w:rsid w:val="004A3CB8"/>
    <w:rsid w:val="004A41D6"/>
    <w:rsid w:val="004A41D7"/>
    <w:rsid w:val="004A4C0F"/>
    <w:rsid w:val="004A4DAB"/>
    <w:rsid w:val="004A4E8B"/>
    <w:rsid w:val="004A4FF1"/>
    <w:rsid w:val="004A5394"/>
    <w:rsid w:val="004A53F6"/>
    <w:rsid w:val="004A62C0"/>
    <w:rsid w:val="004A647A"/>
    <w:rsid w:val="004A64BB"/>
    <w:rsid w:val="004A6827"/>
    <w:rsid w:val="004A6945"/>
    <w:rsid w:val="004A6CD8"/>
    <w:rsid w:val="004A6D9E"/>
    <w:rsid w:val="004A6E1C"/>
    <w:rsid w:val="004A75B7"/>
    <w:rsid w:val="004A7C5D"/>
    <w:rsid w:val="004A7D80"/>
    <w:rsid w:val="004A7FCA"/>
    <w:rsid w:val="004B0414"/>
    <w:rsid w:val="004B08D9"/>
    <w:rsid w:val="004B1288"/>
    <w:rsid w:val="004B1ACD"/>
    <w:rsid w:val="004B2679"/>
    <w:rsid w:val="004B28C7"/>
    <w:rsid w:val="004B2952"/>
    <w:rsid w:val="004B2D06"/>
    <w:rsid w:val="004B2D42"/>
    <w:rsid w:val="004B2E47"/>
    <w:rsid w:val="004B3935"/>
    <w:rsid w:val="004B3BF0"/>
    <w:rsid w:val="004B3E8A"/>
    <w:rsid w:val="004B3EB9"/>
    <w:rsid w:val="004B3FC9"/>
    <w:rsid w:val="004B4336"/>
    <w:rsid w:val="004B46F5"/>
    <w:rsid w:val="004B4C50"/>
    <w:rsid w:val="004B4E06"/>
    <w:rsid w:val="004B4ECD"/>
    <w:rsid w:val="004B562F"/>
    <w:rsid w:val="004B5ADF"/>
    <w:rsid w:val="004B61DD"/>
    <w:rsid w:val="004B639B"/>
    <w:rsid w:val="004B64A6"/>
    <w:rsid w:val="004B675E"/>
    <w:rsid w:val="004B69DE"/>
    <w:rsid w:val="004B74C8"/>
    <w:rsid w:val="004B74EF"/>
    <w:rsid w:val="004B7F3C"/>
    <w:rsid w:val="004C04F9"/>
    <w:rsid w:val="004C07A1"/>
    <w:rsid w:val="004C0F3B"/>
    <w:rsid w:val="004C1089"/>
    <w:rsid w:val="004C11D6"/>
    <w:rsid w:val="004C12AA"/>
    <w:rsid w:val="004C12D6"/>
    <w:rsid w:val="004C1377"/>
    <w:rsid w:val="004C1511"/>
    <w:rsid w:val="004C172B"/>
    <w:rsid w:val="004C182C"/>
    <w:rsid w:val="004C1BE4"/>
    <w:rsid w:val="004C29AF"/>
    <w:rsid w:val="004C2A6F"/>
    <w:rsid w:val="004C2E6E"/>
    <w:rsid w:val="004C2ECB"/>
    <w:rsid w:val="004C3729"/>
    <w:rsid w:val="004C3AFF"/>
    <w:rsid w:val="004C3B9E"/>
    <w:rsid w:val="004C3EEB"/>
    <w:rsid w:val="004C402F"/>
    <w:rsid w:val="004C4427"/>
    <w:rsid w:val="004C45E4"/>
    <w:rsid w:val="004C49F9"/>
    <w:rsid w:val="004C51F9"/>
    <w:rsid w:val="004C52FC"/>
    <w:rsid w:val="004C5452"/>
    <w:rsid w:val="004C57A2"/>
    <w:rsid w:val="004C5AC2"/>
    <w:rsid w:val="004C5DDD"/>
    <w:rsid w:val="004C5E2D"/>
    <w:rsid w:val="004C6C08"/>
    <w:rsid w:val="004C6DC6"/>
    <w:rsid w:val="004C6FF6"/>
    <w:rsid w:val="004C7785"/>
    <w:rsid w:val="004C7BEE"/>
    <w:rsid w:val="004C7C4C"/>
    <w:rsid w:val="004C7EBC"/>
    <w:rsid w:val="004D1204"/>
    <w:rsid w:val="004D1ABF"/>
    <w:rsid w:val="004D1E0F"/>
    <w:rsid w:val="004D281F"/>
    <w:rsid w:val="004D32FD"/>
    <w:rsid w:val="004D33DE"/>
    <w:rsid w:val="004D3840"/>
    <w:rsid w:val="004D38EA"/>
    <w:rsid w:val="004D3B40"/>
    <w:rsid w:val="004D3DA3"/>
    <w:rsid w:val="004D41D0"/>
    <w:rsid w:val="004D4A29"/>
    <w:rsid w:val="004D547D"/>
    <w:rsid w:val="004D5775"/>
    <w:rsid w:val="004D5BAB"/>
    <w:rsid w:val="004D69F8"/>
    <w:rsid w:val="004D6F1E"/>
    <w:rsid w:val="004D702C"/>
    <w:rsid w:val="004D747D"/>
    <w:rsid w:val="004D74A0"/>
    <w:rsid w:val="004D78F9"/>
    <w:rsid w:val="004D7E22"/>
    <w:rsid w:val="004E03C4"/>
    <w:rsid w:val="004E0677"/>
    <w:rsid w:val="004E06DA"/>
    <w:rsid w:val="004E0B2C"/>
    <w:rsid w:val="004E11DB"/>
    <w:rsid w:val="004E1C34"/>
    <w:rsid w:val="004E1CBC"/>
    <w:rsid w:val="004E2211"/>
    <w:rsid w:val="004E22F7"/>
    <w:rsid w:val="004E24E2"/>
    <w:rsid w:val="004E2D8A"/>
    <w:rsid w:val="004E3006"/>
    <w:rsid w:val="004E3DA4"/>
    <w:rsid w:val="004E3F1E"/>
    <w:rsid w:val="004E46F6"/>
    <w:rsid w:val="004E4969"/>
    <w:rsid w:val="004E49D0"/>
    <w:rsid w:val="004E4BFF"/>
    <w:rsid w:val="004E4EF6"/>
    <w:rsid w:val="004E5A23"/>
    <w:rsid w:val="004E5F6C"/>
    <w:rsid w:val="004E64DA"/>
    <w:rsid w:val="004E6BAE"/>
    <w:rsid w:val="004E6C48"/>
    <w:rsid w:val="004E6F83"/>
    <w:rsid w:val="004E75F6"/>
    <w:rsid w:val="004E76B9"/>
    <w:rsid w:val="004E78EB"/>
    <w:rsid w:val="004E7F55"/>
    <w:rsid w:val="004F0463"/>
    <w:rsid w:val="004F04DE"/>
    <w:rsid w:val="004F08D0"/>
    <w:rsid w:val="004F096B"/>
    <w:rsid w:val="004F0AD1"/>
    <w:rsid w:val="004F0C58"/>
    <w:rsid w:val="004F0CF0"/>
    <w:rsid w:val="004F137E"/>
    <w:rsid w:val="004F13E4"/>
    <w:rsid w:val="004F209C"/>
    <w:rsid w:val="004F2490"/>
    <w:rsid w:val="004F267E"/>
    <w:rsid w:val="004F2CC5"/>
    <w:rsid w:val="004F306F"/>
    <w:rsid w:val="004F3812"/>
    <w:rsid w:val="004F39C0"/>
    <w:rsid w:val="004F39E0"/>
    <w:rsid w:val="004F3BA6"/>
    <w:rsid w:val="004F3EF4"/>
    <w:rsid w:val="004F4829"/>
    <w:rsid w:val="004F494B"/>
    <w:rsid w:val="004F5A15"/>
    <w:rsid w:val="004F6053"/>
    <w:rsid w:val="004F607C"/>
    <w:rsid w:val="004F63F1"/>
    <w:rsid w:val="004F6AB4"/>
    <w:rsid w:val="004F6C26"/>
    <w:rsid w:val="004F6F15"/>
    <w:rsid w:val="004F7573"/>
    <w:rsid w:val="004F7B7D"/>
    <w:rsid w:val="00500020"/>
    <w:rsid w:val="0050007E"/>
    <w:rsid w:val="00500980"/>
    <w:rsid w:val="005009D0"/>
    <w:rsid w:val="005013F7"/>
    <w:rsid w:val="005016D9"/>
    <w:rsid w:val="00501797"/>
    <w:rsid w:val="00501971"/>
    <w:rsid w:val="00501B35"/>
    <w:rsid w:val="00501D30"/>
    <w:rsid w:val="00501E73"/>
    <w:rsid w:val="00501EF5"/>
    <w:rsid w:val="00502167"/>
    <w:rsid w:val="00502312"/>
    <w:rsid w:val="00502731"/>
    <w:rsid w:val="00502DB5"/>
    <w:rsid w:val="00502FFE"/>
    <w:rsid w:val="005037F3"/>
    <w:rsid w:val="005037FA"/>
    <w:rsid w:val="00503A26"/>
    <w:rsid w:val="00503AC4"/>
    <w:rsid w:val="00503FEE"/>
    <w:rsid w:val="005043D4"/>
    <w:rsid w:val="0050496C"/>
    <w:rsid w:val="00504F65"/>
    <w:rsid w:val="005053A7"/>
    <w:rsid w:val="00505A45"/>
    <w:rsid w:val="00505A60"/>
    <w:rsid w:val="00505B9F"/>
    <w:rsid w:val="00505CCD"/>
    <w:rsid w:val="00505F45"/>
    <w:rsid w:val="00506C99"/>
    <w:rsid w:val="00506E26"/>
    <w:rsid w:val="00506E61"/>
    <w:rsid w:val="005070F7"/>
    <w:rsid w:val="005071B2"/>
    <w:rsid w:val="00507410"/>
    <w:rsid w:val="0050759E"/>
    <w:rsid w:val="00507869"/>
    <w:rsid w:val="00507B3E"/>
    <w:rsid w:val="005107C5"/>
    <w:rsid w:val="005108AB"/>
    <w:rsid w:val="005109B6"/>
    <w:rsid w:val="00510A8D"/>
    <w:rsid w:val="00510DF2"/>
    <w:rsid w:val="005110DF"/>
    <w:rsid w:val="005111C7"/>
    <w:rsid w:val="00511696"/>
    <w:rsid w:val="00511C6B"/>
    <w:rsid w:val="00511C9B"/>
    <w:rsid w:val="0051277B"/>
    <w:rsid w:val="005130FB"/>
    <w:rsid w:val="00513391"/>
    <w:rsid w:val="00513584"/>
    <w:rsid w:val="0051376B"/>
    <w:rsid w:val="00513898"/>
    <w:rsid w:val="00513992"/>
    <w:rsid w:val="00514046"/>
    <w:rsid w:val="00514556"/>
    <w:rsid w:val="0051564E"/>
    <w:rsid w:val="00515B2E"/>
    <w:rsid w:val="00516052"/>
    <w:rsid w:val="005165FD"/>
    <w:rsid w:val="0051691A"/>
    <w:rsid w:val="00516F13"/>
    <w:rsid w:val="00517B50"/>
    <w:rsid w:val="00517B84"/>
    <w:rsid w:val="00517C6F"/>
    <w:rsid w:val="0052013C"/>
    <w:rsid w:val="0052034B"/>
    <w:rsid w:val="00520727"/>
    <w:rsid w:val="00520772"/>
    <w:rsid w:val="00520C8C"/>
    <w:rsid w:val="00520F0B"/>
    <w:rsid w:val="00521239"/>
    <w:rsid w:val="005213AF"/>
    <w:rsid w:val="00521601"/>
    <w:rsid w:val="00521785"/>
    <w:rsid w:val="005219FB"/>
    <w:rsid w:val="00521B09"/>
    <w:rsid w:val="00521BC3"/>
    <w:rsid w:val="00522221"/>
    <w:rsid w:val="00522B98"/>
    <w:rsid w:val="00522C7E"/>
    <w:rsid w:val="00522CA1"/>
    <w:rsid w:val="005234CF"/>
    <w:rsid w:val="005237CF"/>
    <w:rsid w:val="00523861"/>
    <w:rsid w:val="00523881"/>
    <w:rsid w:val="00523B51"/>
    <w:rsid w:val="00523C19"/>
    <w:rsid w:val="00523C2A"/>
    <w:rsid w:val="00523D2A"/>
    <w:rsid w:val="00524C37"/>
    <w:rsid w:val="005252BE"/>
    <w:rsid w:val="005255E2"/>
    <w:rsid w:val="005256BE"/>
    <w:rsid w:val="00525754"/>
    <w:rsid w:val="005257B9"/>
    <w:rsid w:val="00526239"/>
    <w:rsid w:val="0052658D"/>
    <w:rsid w:val="00526B01"/>
    <w:rsid w:val="00526CED"/>
    <w:rsid w:val="00526E16"/>
    <w:rsid w:val="005270A9"/>
    <w:rsid w:val="005273E0"/>
    <w:rsid w:val="0052745D"/>
    <w:rsid w:val="00527593"/>
    <w:rsid w:val="005276F3"/>
    <w:rsid w:val="00527BE6"/>
    <w:rsid w:val="00527EF5"/>
    <w:rsid w:val="00530059"/>
    <w:rsid w:val="005309D9"/>
    <w:rsid w:val="00530CD3"/>
    <w:rsid w:val="00531099"/>
    <w:rsid w:val="00531226"/>
    <w:rsid w:val="00531497"/>
    <w:rsid w:val="00531CAD"/>
    <w:rsid w:val="005322B4"/>
    <w:rsid w:val="00532607"/>
    <w:rsid w:val="00532846"/>
    <w:rsid w:val="00533AC5"/>
    <w:rsid w:val="00533B39"/>
    <w:rsid w:val="00533DAB"/>
    <w:rsid w:val="0053403F"/>
    <w:rsid w:val="0053447F"/>
    <w:rsid w:val="005354D8"/>
    <w:rsid w:val="005358EC"/>
    <w:rsid w:val="00535CF5"/>
    <w:rsid w:val="00535ED3"/>
    <w:rsid w:val="005361B5"/>
    <w:rsid w:val="005362A4"/>
    <w:rsid w:val="005364A5"/>
    <w:rsid w:val="00536E64"/>
    <w:rsid w:val="0053702F"/>
    <w:rsid w:val="005371FE"/>
    <w:rsid w:val="005379B9"/>
    <w:rsid w:val="005405BE"/>
    <w:rsid w:val="00540F36"/>
    <w:rsid w:val="0054141B"/>
    <w:rsid w:val="005417CC"/>
    <w:rsid w:val="00542B45"/>
    <w:rsid w:val="00542DE2"/>
    <w:rsid w:val="00543270"/>
    <w:rsid w:val="005433FD"/>
    <w:rsid w:val="0054363F"/>
    <w:rsid w:val="0054396C"/>
    <w:rsid w:val="00543B3F"/>
    <w:rsid w:val="00543DA7"/>
    <w:rsid w:val="00544090"/>
    <w:rsid w:val="00544366"/>
    <w:rsid w:val="005446A9"/>
    <w:rsid w:val="00544CB6"/>
    <w:rsid w:val="00544CBC"/>
    <w:rsid w:val="00544D4C"/>
    <w:rsid w:val="0054564B"/>
    <w:rsid w:val="005456A4"/>
    <w:rsid w:val="00545FEF"/>
    <w:rsid w:val="005465FF"/>
    <w:rsid w:val="00546D8D"/>
    <w:rsid w:val="005473D1"/>
    <w:rsid w:val="0054751B"/>
    <w:rsid w:val="00547DF5"/>
    <w:rsid w:val="00550D8A"/>
    <w:rsid w:val="0055103A"/>
    <w:rsid w:val="005510A1"/>
    <w:rsid w:val="005515D5"/>
    <w:rsid w:val="00551B30"/>
    <w:rsid w:val="00551B42"/>
    <w:rsid w:val="00551D09"/>
    <w:rsid w:val="00551D37"/>
    <w:rsid w:val="00552190"/>
    <w:rsid w:val="00552BAD"/>
    <w:rsid w:val="00552DD1"/>
    <w:rsid w:val="00552EF0"/>
    <w:rsid w:val="00552F7C"/>
    <w:rsid w:val="00553227"/>
    <w:rsid w:val="005537D5"/>
    <w:rsid w:val="0055385B"/>
    <w:rsid w:val="00553FBB"/>
    <w:rsid w:val="005540BC"/>
    <w:rsid w:val="00554C4E"/>
    <w:rsid w:val="00554D23"/>
    <w:rsid w:val="00554F55"/>
    <w:rsid w:val="00554FC5"/>
    <w:rsid w:val="005550CC"/>
    <w:rsid w:val="00555CD0"/>
    <w:rsid w:val="0055600D"/>
    <w:rsid w:val="0055663F"/>
    <w:rsid w:val="00556806"/>
    <w:rsid w:val="0055681E"/>
    <w:rsid w:val="00556CD6"/>
    <w:rsid w:val="00556E25"/>
    <w:rsid w:val="00557751"/>
    <w:rsid w:val="00557CAA"/>
    <w:rsid w:val="00557DE7"/>
    <w:rsid w:val="0056015F"/>
    <w:rsid w:val="00560188"/>
    <w:rsid w:val="005605F7"/>
    <w:rsid w:val="00560B82"/>
    <w:rsid w:val="00561A71"/>
    <w:rsid w:val="005624FC"/>
    <w:rsid w:val="005626D0"/>
    <w:rsid w:val="00562B21"/>
    <w:rsid w:val="00562DCE"/>
    <w:rsid w:val="00562E13"/>
    <w:rsid w:val="0056327F"/>
    <w:rsid w:val="005635B3"/>
    <w:rsid w:val="00563703"/>
    <w:rsid w:val="00563EA9"/>
    <w:rsid w:val="0056408C"/>
    <w:rsid w:val="005642CA"/>
    <w:rsid w:val="0056438B"/>
    <w:rsid w:val="00565250"/>
    <w:rsid w:val="00565683"/>
    <w:rsid w:val="00565BD3"/>
    <w:rsid w:val="00565BD7"/>
    <w:rsid w:val="005660F8"/>
    <w:rsid w:val="005664D2"/>
    <w:rsid w:val="00566763"/>
    <w:rsid w:val="00566D92"/>
    <w:rsid w:val="00566F5F"/>
    <w:rsid w:val="005673E5"/>
    <w:rsid w:val="00567654"/>
    <w:rsid w:val="00567871"/>
    <w:rsid w:val="00567A24"/>
    <w:rsid w:val="00567CCB"/>
    <w:rsid w:val="005700BD"/>
    <w:rsid w:val="00570396"/>
    <w:rsid w:val="0057044B"/>
    <w:rsid w:val="00570498"/>
    <w:rsid w:val="0057061C"/>
    <w:rsid w:val="005714C4"/>
    <w:rsid w:val="00571637"/>
    <w:rsid w:val="005718D2"/>
    <w:rsid w:val="00571929"/>
    <w:rsid w:val="00571EF9"/>
    <w:rsid w:val="00572369"/>
    <w:rsid w:val="005724AE"/>
    <w:rsid w:val="00572CD8"/>
    <w:rsid w:val="00573298"/>
    <w:rsid w:val="00573618"/>
    <w:rsid w:val="00573786"/>
    <w:rsid w:val="00573AF1"/>
    <w:rsid w:val="00573DEA"/>
    <w:rsid w:val="00573EE4"/>
    <w:rsid w:val="00574052"/>
    <w:rsid w:val="00574C80"/>
    <w:rsid w:val="00575357"/>
    <w:rsid w:val="0057581E"/>
    <w:rsid w:val="00575B01"/>
    <w:rsid w:val="00575B72"/>
    <w:rsid w:val="00575C66"/>
    <w:rsid w:val="00575E13"/>
    <w:rsid w:val="00575F69"/>
    <w:rsid w:val="0057726D"/>
    <w:rsid w:val="00577404"/>
    <w:rsid w:val="00577A17"/>
    <w:rsid w:val="00577CF4"/>
    <w:rsid w:val="00580068"/>
    <w:rsid w:val="0058013C"/>
    <w:rsid w:val="005801DE"/>
    <w:rsid w:val="00580222"/>
    <w:rsid w:val="00580639"/>
    <w:rsid w:val="00580B82"/>
    <w:rsid w:val="0058114C"/>
    <w:rsid w:val="005815EF"/>
    <w:rsid w:val="00581750"/>
    <w:rsid w:val="00582191"/>
    <w:rsid w:val="00582549"/>
    <w:rsid w:val="005831ED"/>
    <w:rsid w:val="005840E1"/>
    <w:rsid w:val="00584414"/>
    <w:rsid w:val="00584A98"/>
    <w:rsid w:val="00584C3C"/>
    <w:rsid w:val="00584D20"/>
    <w:rsid w:val="00584F81"/>
    <w:rsid w:val="005857AE"/>
    <w:rsid w:val="0058591F"/>
    <w:rsid w:val="00585DAA"/>
    <w:rsid w:val="005861EA"/>
    <w:rsid w:val="005861F7"/>
    <w:rsid w:val="005864F8"/>
    <w:rsid w:val="00586747"/>
    <w:rsid w:val="005867DA"/>
    <w:rsid w:val="005868BC"/>
    <w:rsid w:val="00586A08"/>
    <w:rsid w:val="00586A1D"/>
    <w:rsid w:val="00586AA3"/>
    <w:rsid w:val="00586B30"/>
    <w:rsid w:val="00586F26"/>
    <w:rsid w:val="005875FA"/>
    <w:rsid w:val="00587C31"/>
    <w:rsid w:val="005901C3"/>
    <w:rsid w:val="005905A5"/>
    <w:rsid w:val="00590BAF"/>
    <w:rsid w:val="00590C13"/>
    <w:rsid w:val="005910A2"/>
    <w:rsid w:val="00591797"/>
    <w:rsid w:val="005917BF"/>
    <w:rsid w:val="00591B22"/>
    <w:rsid w:val="00591BD4"/>
    <w:rsid w:val="00591F49"/>
    <w:rsid w:val="00592493"/>
    <w:rsid w:val="00592AAD"/>
    <w:rsid w:val="00592E92"/>
    <w:rsid w:val="005935E4"/>
    <w:rsid w:val="00593643"/>
    <w:rsid w:val="005936ED"/>
    <w:rsid w:val="00593BFA"/>
    <w:rsid w:val="00593FCA"/>
    <w:rsid w:val="005943FF"/>
    <w:rsid w:val="0059453E"/>
    <w:rsid w:val="0059457E"/>
    <w:rsid w:val="0059458A"/>
    <w:rsid w:val="00594E58"/>
    <w:rsid w:val="005953F9"/>
    <w:rsid w:val="00595815"/>
    <w:rsid w:val="00595FF9"/>
    <w:rsid w:val="00595FFC"/>
    <w:rsid w:val="0059639F"/>
    <w:rsid w:val="00596C4A"/>
    <w:rsid w:val="00596CB4"/>
    <w:rsid w:val="005A0465"/>
    <w:rsid w:val="005A0FBA"/>
    <w:rsid w:val="005A11BC"/>
    <w:rsid w:val="005A167A"/>
    <w:rsid w:val="005A1C72"/>
    <w:rsid w:val="005A1EB7"/>
    <w:rsid w:val="005A220A"/>
    <w:rsid w:val="005A2249"/>
    <w:rsid w:val="005A24FC"/>
    <w:rsid w:val="005A2959"/>
    <w:rsid w:val="005A296D"/>
    <w:rsid w:val="005A3128"/>
    <w:rsid w:val="005A3CC2"/>
    <w:rsid w:val="005A4317"/>
    <w:rsid w:val="005A48FE"/>
    <w:rsid w:val="005A4AEF"/>
    <w:rsid w:val="005A4D46"/>
    <w:rsid w:val="005A4D97"/>
    <w:rsid w:val="005A4F13"/>
    <w:rsid w:val="005A50C9"/>
    <w:rsid w:val="005A530B"/>
    <w:rsid w:val="005A6576"/>
    <w:rsid w:val="005A69BD"/>
    <w:rsid w:val="005A6E7F"/>
    <w:rsid w:val="005A70BA"/>
    <w:rsid w:val="005A71AC"/>
    <w:rsid w:val="005A71E3"/>
    <w:rsid w:val="005A7943"/>
    <w:rsid w:val="005B0F45"/>
    <w:rsid w:val="005B1654"/>
    <w:rsid w:val="005B1EAF"/>
    <w:rsid w:val="005B28B6"/>
    <w:rsid w:val="005B29A6"/>
    <w:rsid w:val="005B3048"/>
    <w:rsid w:val="005B3DC8"/>
    <w:rsid w:val="005B3E79"/>
    <w:rsid w:val="005B3F1F"/>
    <w:rsid w:val="005B4659"/>
    <w:rsid w:val="005B4BD9"/>
    <w:rsid w:val="005B5207"/>
    <w:rsid w:val="005B5A18"/>
    <w:rsid w:val="005B5A21"/>
    <w:rsid w:val="005B5B57"/>
    <w:rsid w:val="005B5CBF"/>
    <w:rsid w:val="005B60CF"/>
    <w:rsid w:val="005B64D2"/>
    <w:rsid w:val="005B687B"/>
    <w:rsid w:val="005B6C4B"/>
    <w:rsid w:val="005B6E99"/>
    <w:rsid w:val="005B7026"/>
    <w:rsid w:val="005B714D"/>
    <w:rsid w:val="005B7565"/>
    <w:rsid w:val="005C0264"/>
    <w:rsid w:val="005C06F0"/>
    <w:rsid w:val="005C104F"/>
    <w:rsid w:val="005C16CA"/>
    <w:rsid w:val="005C1B40"/>
    <w:rsid w:val="005C20B6"/>
    <w:rsid w:val="005C2288"/>
    <w:rsid w:val="005C32A6"/>
    <w:rsid w:val="005C38EE"/>
    <w:rsid w:val="005C3B51"/>
    <w:rsid w:val="005C3D09"/>
    <w:rsid w:val="005C4085"/>
    <w:rsid w:val="005C4244"/>
    <w:rsid w:val="005C451E"/>
    <w:rsid w:val="005C4731"/>
    <w:rsid w:val="005C4954"/>
    <w:rsid w:val="005C4B66"/>
    <w:rsid w:val="005C4D0A"/>
    <w:rsid w:val="005C503D"/>
    <w:rsid w:val="005C530A"/>
    <w:rsid w:val="005C5647"/>
    <w:rsid w:val="005C6017"/>
    <w:rsid w:val="005C65DD"/>
    <w:rsid w:val="005C723F"/>
    <w:rsid w:val="005C748A"/>
    <w:rsid w:val="005C7567"/>
    <w:rsid w:val="005C76A6"/>
    <w:rsid w:val="005C7C99"/>
    <w:rsid w:val="005C7D18"/>
    <w:rsid w:val="005C7F45"/>
    <w:rsid w:val="005D03CC"/>
    <w:rsid w:val="005D08AB"/>
    <w:rsid w:val="005D1619"/>
    <w:rsid w:val="005D19D9"/>
    <w:rsid w:val="005D1E91"/>
    <w:rsid w:val="005D238D"/>
    <w:rsid w:val="005D29E1"/>
    <w:rsid w:val="005D339F"/>
    <w:rsid w:val="005D34AF"/>
    <w:rsid w:val="005D3AC3"/>
    <w:rsid w:val="005D3F9B"/>
    <w:rsid w:val="005D4966"/>
    <w:rsid w:val="005D4B03"/>
    <w:rsid w:val="005D4EE8"/>
    <w:rsid w:val="005D5207"/>
    <w:rsid w:val="005D5860"/>
    <w:rsid w:val="005D595D"/>
    <w:rsid w:val="005D5BB7"/>
    <w:rsid w:val="005D61DC"/>
    <w:rsid w:val="005D636B"/>
    <w:rsid w:val="005D6540"/>
    <w:rsid w:val="005D655F"/>
    <w:rsid w:val="005D69B0"/>
    <w:rsid w:val="005D71B1"/>
    <w:rsid w:val="005E0424"/>
    <w:rsid w:val="005E09C1"/>
    <w:rsid w:val="005E0A54"/>
    <w:rsid w:val="005E0C6A"/>
    <w:rsid w:val="005E0DBB"/>
    <w:rsid w:val="005E0DFC"/>
    <w:rsid w:val="005E1D94"/>
    <w:rsid w:val="005E1E0E"/>
    <w:rsid w:val="005E2097"/>
    <w:rsid w:val="005E20D3"/>
    <w:rsid w:val="005E2198"/>
    <w:rsid w:val="005E2341"/>
    <w:rsid w:val="005E2BAE"/>
    <w:rsid w:val="005E36EF"/>
    <w:rsid w:val="005E389A"/>
    <w:rsid w:val="005E3BAD"/>
    <w:rsid w:val="005E4317"/>
    <w:rsid w:val="005E490B"/>
    <w:rsid w:val="005E4918"/>
    <w:rsid w:val="005E4C06"/>
    <w:rsid w:val="005E4C94"/>
    <w:rsid w:val="005E4F39"/>
    <w:rsid w:val="005E555E"/>
    <w:rsid w:val="005E56F4"/>
    <w:rsid w:val="005E5BC4"/>
    <w:rsid w:val="005E5D76"/>
    <w:rsid w:val="005E5E78"/>
    <w:rsid w:val="005E6182"/>
    <w:rsid w:val="005E6251"/>
    <w:rsid w:val="005E65F8"/>
    <w:rsid w:val="005E68EB"/>
    <w:rsid w:val="005E7006"/>
    <w:rsid w:val="005E7191"/>
    <w:rsid w:val="005E74A9"/>
    <w:rsid w:val="005E760D"/>
    <w:rsid w:val="005F00BB"/>
    <w:rsid w:val="005F0CBE"/>
    <w:rsid w:val="005F0DB4"/>
    <w:rsid w:val="005F10AA"/>
    <w:rsid w:val="005F1191"/>
    <w:rsid w:val="005F156D"/>
    <w:rsid w:val="005F1626"/>
    <w:rsid w:val="005F1678"/>
    <w:rsid w:val="005F1985"/>
    <w:rsid w:val="005F1A5D"/>
    <w:rsid w:val="005F1AEE"/>
    <w:rsid w:val="005F1BE4"/>
    <w:rsid w:val="005F33A0"/>
    <w:rsid w:val="005F3A86"/>
    <w:rsid w:val="005F3DC9"/>
    <w:rsid w:val="005F3F3B"/>
    <w:rsid w:val="005F408C"/>
    <w:rsid w:val="005F4839"/>
    <w:rsid w:val="005F4AD8"/>
    <w:rsid w:val="005F4C48"/>
    <w:rsid w:val="005F4F72"/>
    <w:rsid w:val="005F5732"/>
    <w:rsid w:val="005F5BF1"/>
    <w:rsid w:val="005F6588"/>
    <w:rsid w:val="005F667F"/>
    <w:rsid w:val="005F6C32"/>
    <w:rsid w:val="005F7425"/>
    <w:rsid w:val="005F757D"/>
    <w:rsid w:val="005F7C6E"/>
    <w:rsid w:val="005F7D71"/>
    <w:rsid w:val="00600C3D"/>
    <w:rsid w:val="00601001"/>
    <w:rsid w:val="006011E3"/>
    <w:rsid w:val="006014DB"/>
    <w:rsid w:val="0060214A"/>
    <w:rsid w:val="00602D83"/>
    <w:rsid w:val="00603EF1"/>
    <w:rsid w:val="00604275"/>
    <w:rsid w:val="006044C7"/>
    <w:rsid w:val="006061D1"/>
    <w:rsid w:val="006063E5"/>
    <w:rsid w:val="00606A0A"/>
    <w:rsid w:val="00606BB5"/>
    <w:rsid w:val="00606F72"/>
    <w:rsid w:val="0060750B"/>
    <w:rsid w:val="00607CCA"/>
    <w:rsid w:val="0061057C"/>
    <w:rsid w:val="00610F2A"/>
    <w:rsid w:val="00611016"/>
    <w:rsid w:val="006111F9"/>
    <w:rsid w:val="00611727"/>
    <w:rsid w:val="00611C50"/>
    <w:rsid w:val="00611CC9"/>
    <w:rsid w:val="00611EFF"/>
    <w:rsid w:val="00612716"/>
    <w:rsid w:val="00612ABA"/>
    <w:rsid w:val="00612B25"/>
    <w:rsid w:val="00612CF8"/>
    <w:rsid w:val="006134BA"/>
    <w:rsid w:val="00613FAF"/>
    <w:rsid w:val="00614339"/>
    <w:rsid w:val="006146DE"/>
    <w:rsid w:val="00614E87"/>
    <w:rsid w:val="00615672"/>
    <w:rsid w:val="006156D8"/>
    <w:rsid w:val="006162D9"/>
    <w:rsid w:val="0061649B"/>
    <w:rsid w:val="00616A20"/>
    <w:rsid w:val="00616BEC"/>
    <w:rsid w:val="00616C05"/>
    <w:rsid w:val="0061791A"/>
    <w:rsid w:val="00617B57"/>
    <w:rsid w:val="00617CCA"/>
    <w:rsid w:val="00617E28"/>
    <w:rsid w:val="00617F25"/>
    <w:rsid w:val="0062028B"/>
    <w:rsid w:val="0062035B"/>
    <w:rsid w:val="00620809"/>
    <w:rsid w:val="006213EC"/>
    <w:rsid w:val="006213F1"/>
    <w:rsid w:val="00621AFC"/>
    <w:rsid w:val="0062228F"/>
    <w:rsid w:val="00623863"/>
    <w:rsid w:val="00623AFF"/>
    <w:rsid w:val="00623C73"/>
    <w:rsid w:val="00623C78"/>
    <w:rsid w:val="00623C8B"/>
    <w:rsid w:val="00623F5B"/>
    <w:rsid w:val="00624E64"/>
    <w:rsid w:val="006250F3"/>
    <w:rsid w:val="0062546E"/>
    <w:rsid w:val="006262A9"/>
    <w:rsid w:val="00626757"/>
    <w:rsid w:val="006267EF"/>
    <w:rsid w:val="00626C6C"/>
    <w:rsid w:val="0062706A"/>
    <w:rsid w:val="006271B8"/>
    <w:rsid w:val="00627267"/>
    <w:rsid w:val="00627867"/>
    <w:rsid w:val="00627F35"/>
    <w:rsid w:val="0063031B"/>
    <w:rsid w:val="00630672"/>
    <w:rsid w:val="00630A0D"/>
    <w:rsid w:val="00630D49"/>
    <w:rsid w:val="006312E4"/>
    <w:rsid w:val="00631652"/>
    <w:rsid w:val="0063260F"/>
    <w:rsid w:val="006328C7"/>
    <w:rsid w:val="00632BB2"/>
    <w:rsid w:val="006331F4"/>
    <w:rsid w:val="006335FA"/>
    <w:rsid w:val="0063388C"/>
    <w:rsid w:val="00633DAA"/>
    <w:rsid w:val="006341DD"/>
    <w:rsid w:val="006342F9"/>
    <w:rsid w:val="0063454B"/>
    <w:rsid w:val="00634787"/>
    <w:rsid w:val="00634D13"/>
    <w:rsid w:val="0063510B"/>
    <w:rsid w:val="00635778"/>
    <w:rsid w:val="006359A1"/>
    <w:rsid w:val="00635F4C"/>
    <w:rsid w:val="00635F79"/>
    <w:rsid w:val="00636BE4"/>
    <w:rsid w:val="00637131"/>
    <w:rsid w:val="006372E7"/>
    <w:rsid w:val="006375C7"/>
    <w:rsid w:val="00637898"/>
    <w:rsid w:val="00637B55"/>
    <w:rsid w:val="00637C18"/>
    <w:rsid w:val="00637F49"/>
    <w:rsid w:val="00640283"/>
    <w:rsid w:val="006402E0"/>
    <w:rsid w:val="006406D3"/>
    <w:rsid w:val="00640A11"/>
    <w:rsid w:val="00642048"/>
    <w:rsid w:val="00642404"/>
    <w:rsid w:val="00642EEC"/>
    <w:rsid w:val="00643282"/>
    <w:rsid w:val="00643B76"/>
    <w:rsid w:val="00643D09"/>
    <w:rsid w:val="006440A7"/>
    <w:rsid w:val="00644BE5"/>
    <w:rsid w:val="006450FC"/>
    <w:rsid w:val="00645132"/>
    <w:rsid w:val="00645185"/>
    <w:rsid w:val="00645E9F"/>
    <w:rsid w:val="00646478"/>
    <w:rsid w:val="0064691D"/>
    <w:rsid w:val="00646BAE"/>
    <w:rsid w:val="00646CFE"/>
    <w:rsid w:val="006470AE"/>
    <w:rsid w:val="006472CE"/>
    <w:rsid w:val="006472D7"/>
    <w:rsid w:val="00647700"/>
    <w:rsid w:val="00647807"/>
    <w:rsid w:val="00647852"/>
    <w:rsid w:val="006478DB"/>
    <w:rsid w:val="006503F9"/>
    <w:rsid w:val="0065045F"/>
    <w:rsid w:val="006504A0"/>
    <w:rsid w:val="00650727"/>
    <w:rsid w:val="00650744"/>
    <w:rsid w:val="00650B42"/>
    <w:rsid w:val="0065124B"/>
    <w:rsid w:val="00651ED7"/>
    <w:rsid w:val="00652315"/>
    <w:rsid w:val="00652DEA"/>
    <w:rsid w:val="00652FC6"/>
    <w:rsid w:val="0065337A"/>
    <w:rsid w:val="006533AC"/>
    <w:rsid w:val="006533E6"/>
    <w:rsid w:val="00653A4E"/>
    <w:rsid w:val="00654299"/>
    <w:rsid w:val="00654666"/>
    <w:rsid w:val="00654AD4"/>
    <w:rsid w:val="00654BA5"/>
    <w:rsid w:val="00654E89"/>
    <w:rsid w:val="00655AEB"/>
    <w:rsid w:val="00655D47"/>
    <w:rsid w:val="00656579"/>
    <w:rsid w:val="00656852"/>
    <w:rsid w:val="00656ACC"/>
    <w:rsid w:val="00656F9C"/>
    <w:rsid w:val="00656FE6"/>
    <w:rsid w:val="0065701F"/>
    <w:rsid w:val="006570A3"/>
    <w:rsid w:val="006577B0"/>
    <w:rsid w:val="00657804"/>
    <w:rsid w:val="00657B02"/>
    <w:rsid w:val="00657B60"/>
    <w:rsid w:val="00657D1B"/>
    <w:rsid w:val="00657D34"/>
    <w:rsid w:val="006601B2"/>
    <w:rsid w:val="006602B1"/>
    <w:rsid w:val="006605A6"/>
    <w:rsid w:val="006609E4"/>
    <w:rsid w:val="00660D80"/>
    <w:rsid w:val="006616E5"/>
    <w:rsid w:val="0066174A"/>
    <w:rsid w:val="00662524"/>
    <w:rsid w:val="00662AC7"/>
    <w:rsid w:val="0066399A"/>
    <w:rsid w:val="00663F28"/>
    <w:rsid w:val="00664053"/>
    <w:rsid w:val="0066443C"/>
    <w:rsid w:val="00664588"/>
    <w:rsid w:val="00664B55"/>
    <w:rsid w:val="00664B82"/>
    <w:rsid w:val="0066526A"/>
    <w:rsid w:val="006656E4"/>
    <w:rsid w:val="00665B9F"/>
    <w:rsid w:val="00665D64"/>
    <w:rsid w:val="00666865"/>
    <w:rsid w:val="00666914"/>
    <w:rsid w:val="00666C25"/>
    <w:rsid w:val="00666E23"/>
    <w:rsid w:val="006674B6"/>
    <w:rsid w:val="0066755A"/>
    <w:rsid w:val="00667C68"/>
    <w:rsid w:val="00667D56"/>
    <w:rsid w:val="00667D73"/>
    <w:rsid w:val="006705C4"/>
    <w:rsid w:val="00670C5F"/>
    <w:rsid w:val="00671365"/>
    <w:rsid w:val="00671A47"/>
    <w:rsid w:val="006722B2"/>
    <w:rsid w:val="00672918"/>
    <w:rsid w:val="00672AAA"/>
    <w:rsid w:val="0067359C"/>
    <w:rsid w:val="00673895"/>
    <w:rsid w:val="00673C7E"/>
    <w:rsid w:val="006746C7"/>
    <w:rsid w:val="006748ED"/>
    <w:rsid w:val="00674919"/>
    <w:rsid w:val="00674EDA"/>
    <w:rsid w:val="00675D51"/>
    <w:rsid w:val="00675FE0"/>
    <w:rsid w:val="00675FEF"/>
    <w:rsid w:val="00676233"/>
    <w:rsid w:val="006762E0"/>
    <w:rsid w:val="00676B4A"/>
    <w:rsid w:val="006773F2"/>
    <w:rsid w:val="00677752"/>
    <w:rsid w:val="00680F48"/>
    <w:rsid w:val="00680F7B"/>
    <w:rsid w:val="00681285"/>
    <w:rsid w:val="00681F2A"/>
    <w:rsid w:val="0068252A"/>
    <w:rsid w:val="006827BA"/>
    <w:rsid w:val="006840E4"/>
    <w:rsid w:val="00684130"/>
    <w:rsid w:val="006841CA"/>
    <w:rsid w:val="006847FF"/>
    <w:rsid w:val="0068516A"/>
    <w:rsid w:val="00685614"/>
    <w:rsid w:val="00685789"/>
    <w:rsid w:val="006857C2"/>
    <w:rsid w:val="00686268"/>
    <w:rsid w:val="006867A8"/>
    <w:rsid w:val="00686BE5"/>
    <w:rsid w:val="00687808"/>
    <w:rsid w:val="00687D93"/>
    <w:rsid w:val="00687E15"/>
    <w:rsid w:val="00690267"/>
    <w:rsid w:val="006911CE"/>
    <w:rsid w:val="0069124D"/>
    <w:rsid w:val="006912A4"/>
    <w:rsid w:val="00691D77"/>
    <w:rsid w:val="00691FD5"/>
    <w:rsid w:val="00692544"/>
    <w:rsid w:val="00692E6E"/>
    <w:rsid w:val="006936B6"/>
    <w:rsid w:val="00693D5B"/>
    <w:rsid w:val="0069419F"/>
    <w:rsid w:val="00694402"/>
    <w:rsid w:val="00694825"/>
    <w:rsid w:val="0069482D"/>
    <w:rsid w:val="00694EF9"/>
    <w:rsid w:val="00695127"/>
    <w:rsid w:val="00695A86"/>
    <w:rsid w:val="00695F74"/>
    <w:rsid w:val="00696076"/>
    <w:rsid w:val="00696182"/>
    <w:rsid w:val="006962D0"/>
    <w:rsid w:val="00696743"/>
    <w:rsid w:val="00696ED7"/>
    <w:rsid w:val="006973E1"/>
    <w:rsid w:val="0069777B"/>
    <w:rsid w:val="006979EA"/>
    <w:rsid w:val="006A014D"/>
    <w:rsid w:val="006A02FD"/>
    <w:rsid w:val="006A0A76"/>
    <w:rsid w:val="006A0B25"/>
    <w:rsid w:val="006A0E10"/>
    <w:rsid w:val="006A1BFD"/>
    <w:rsid w:val="006A2E95"/>
    <w:rsid w:val="006A32AD"/>
    <w:rsid w:val="006A3563"/>
    <w:rsid w:val="006A367B"/>
    <w:rsid w:val="006A3CB3"/>
    <w:rsid w:val="006A3D14"/>
    <w:rsid w:val="006A3D19"/>
    <w:rsid w:val="006A3DD7"/>
    <w:rsid w:val="006A42A4"/>
    <w:rsid w:val="006A456B"/>
    <w:rsid w:val="006A52AB"/>
    <w:rsid w:val="006A5AB2"/>
    <w:rsid w:val="006A6144"/>
    <w:rsid w:val="006A6A3E"/>
    <w:rsid w:val="006A6CAF"/>
    <w:rsid w:val="006B0509"/>
    <w:rsid w:val="006B07D6"/>
    <w:rsid w:val="006B0901"/>
    <w:rsid w:val="006B0A4A"/>
    <w:rsid w:val="006B0C07"/>
    <w:rsid w:val="006B0F30"/>
    <w:rsid w:val="006B1056"/>
    <w:rsid w:val="006B1595"/>
    <w:rsid w:val="006B1CEA"/>
    <w:rsid w:val="006B1D1A"/>
    <w:rsid w:val="006B212C"/>
    <w:rsid w:val="006B227B"/>
    <w:rsid w:val="006B24E2"/>
    <w:rsid w:val="006B2FD7"/>
    <w:rsid w:val="006B372C"/>
    <w:rsid w:val="006B377E"/>
    <w:rsid w:val="006B3907"/>
    <w:rsid w:val="006B4269"/>
    <w:rsid w:val="006B43E4"/>
    <w:rsid w:val="006B457B"/>
    <w:rsid w:val="006B46CB"/>
    <w:rsid w:val="006B47FF"/>
    <w:rsid w:val="006B4964"/>
    <w:rsid w:val="006B4A1B"/>
    <w:rsid w:val="006B52CD"/>
    <w:rsid w:val="006B542D"/>
    <w:rsid w:val="006B57C6"/>
    <w:rsid w:val="006B5EBA"/>
    <w:rsid w:val="006B626F"/>
    <w:rsid w:val="006B6476"/>
    <w:rsid w:val="006B6903"/>
    <w:rsid w:val="006B6D39"/>
    <w:rsid w:val="006B7111"/>
    <w:rsid w:val="006B74CF"/>
    <w:rsid w:val="006B7B0B"/>
    <w:rsid w:val="006B7D18"/>
    <w:rsid w:val="006B7ECF"/>
    <w:rsid w:val="006C0A91"/>
    <w:rsid w:val="006C0FB1"/>
    <w:rsid w:val="006C1046"/>
    <w:rsid w:val="006C1C1E"/>
    <w:rsid w:val="006C1D58"/>
    <w:rsid w:val="006C236E"/>
    <w:rsid w:val="006C2B3E"/>
    <w:rsid w:val="006C2B87"/>
    <w:rsid w:val="006C2F60"/>
    <w:rsid w:val="006C342C"/>
    <w:rsid w:val="006C3D06"/>
    <w:rsid w:val="006C3F8D"/>
    <w:rsid w:val="006C4499"/>
    <w:rsid w:val="006C4592"/>
    <w:rsid w:val="006C4D3E"/>
    <w:rsid w:val="006C4DFA"/>
    <w:rsid w:val="006C5409"/>
    <w:rsid w:val="006C5492"/>
    <w:rsid w:val="006C571B"/>
    <w:rsid w:val="006C6044"/>
    <w:rsid w:val="006C65A1"/>
    <w:rsid w:val="006C6687"/>
    <w:rsid w:val="006C6B9C"/>
    <w:rsid w:val="006C6F23"/>
    <w:rsid w:val="006C7097"/>
    <w:rsid w:val="006C742E"/>
    <w:rsid w:val="006C781B"/>
    <w:rsid w:val="006C7A4A"/>
    <w:rsid w:val="006C7C4F"/>
    <w:rsid w:val="006D00F7"/>
    <w:rsid w:val="006D0681"/>
    <w:rsid w:val="006D07C1"/>
    <w:rsid w:val="006D0CFA"/>
    <w:rsid w:val="006D1ECB"/>
    <w:rsid w:val="006D20E5"/>
    <w:rsid w:val="006D2886"/>
    <w:rsid w:val="006D2912"/>
    <w:rsid w:val="006D2D7D"/>
    <w:rsid w:val="006D2EE1"/>
    <w:rsid w:val="006D3005"/>
    <w:rsid w:val="006D34E5"/>
    <w:rsid w:val="006D353C"/>
    <w:rsid w:val="006D363A"/>
    <w:rsid w:val="006D3788"/>
    <w:rsid w:val="006D3972"/>
    <w:rsid w:val="006D401E"/>
    <w:rsid w:val="006D4F12"/>
    <w:rsid w:val="006D4F9E"/>
    <w:rsid w:val="006D5588"/>
    <w:rsid w:val="006D595C"/>
    <w:rsid w:val="006D6416"/>
    <w:rsid w:val="006D660C"/>
    <w:rsid w:val="006D7B16"/>
    <w:rsid w:val="006E02C0"/>
    <w:rsid w:val="006E04BF"/>
    <w:rsid w:val="006E0A45"/>
    <w:rsid w:val="006E0AB7"/>
    <w:rsid w:val="006E2196"/>
    <w:rsid w:val="006E2335"/>
    <w:rsid w:val="006E278B"/>
    <w:rsid w:val="006E2B67"/>
    <w:rsid w:val="006E2F60"/>
    <w:rsid w:val="006E3BC2"/>
    <w:rsid w:val="006E4136"/>
    <w:rsid w:val="006E421E"/>
    <w:rsid w:val="006E5447"/>
    <w:rsid w:val="006E6B8E"/>
    <w:rsid w:val="006E7904"/>
    <w:rsid w:val="006E7ABB"/>
    <w:rsid w:val="006F01F2"/>
    <w:rsid w:val="006F05C5"/>
    <w:rsid w:val="006F0AC6"/>
    <w:rsid w:val="006F1D39"/>
    <w:rsid w:val="006F1F0B"/>
    <w:rsid w:val="006F2191"/>
    <w:rsid w:val="006F21E5"/>
    <w:rsid w:val="006F272A"/>
    <w:rsid w:val="006F2F44"/>
    <w:rsid w:val="006F30C0"/>
    <w:rsid w:val="006F32C5"/>
    <w:rsid w:val="006F39FE"/>
    <w:rsid w:val="006F3C0D"/>
    <w:rsid w:val="006F3E13"/>
    <w:rsid w:val="006F3F45"/>
    <w:rsid w:val="006F4CE7"/>
    <w:rsid w:val="006F4E15"/>
    <w:rsid w:val="006F523E"/>
    <w:rsid w:val="006F54DD"/>
    <w:rsid w:val="006F65D5"/>
    <w:rsid w:val="006F6B44"/>
    <w:rsid w:val="006F6C04"/>
    <w:rsid w:val="006F6D22"/>
    <w:rsid w:val="006F6F13"/>
    <w:rsid w:val="006F79E5"/>
    <w:rsid w:val="006F79F9"/>
    <w:rsid w:val="006F7AF4"/>
    <w:rsid w:val="006F7C3E"/>
    <w:rsid w:val="00700551"/>
    <w:rsid w:val="0070084C"/>
    <w:rsid w:val="00700F05"/>
    <w:rsid w:val="00701188"/>
    <w:rsid w:val="007015BA"/>
    <w:rsid w:val="007015F4"/>
    <w:rsid w:val="007016D1"/>
    <w:rsid w:val="00701C0A"/>
    <w:rsid w:val="00702225"/>
    <w:rsid w:val="00702C19"/>
    <w:rsid w:val="007030D7"/>
    <w:rsid w:val="00703351"/>
    <w:rsid w:val="0070499D"/>
    <w:rsid w:val="00705217"/>
    <w:rsid w:val="00705B94"/>
    <w:rsid w:val="00705BE1"/>
    <w:rsid w:val="00706564"/>
    <w:rsid w:val="00707077"/>
    <w:rsid w:val="007073DD"/>
    <w:rsid w:val="00710F9B"/>
    <w:rsid w:val="00710FA0"/>
    <w:rsid w:val="00711685"/>
    <w:rsid w:val="00711DC3"/>
    <w:rsid w:val="00711F53"/>
    <w:rsid w:val="007124F4"/>
    <w:rsid w:val="007131DD"/>
    <w:rsid w:val="007134D5"/>
    <w:rsid w:val="00713587"/>
    <w:rsid w:val="00713639"/>
    <w:rsid w:val="00713905"/>
    <w:rsid w:val="00713934"/>
    <w:rsid w:val="007139F7"/>
    <w:rsid w:val="00713C33"/>
    <w:rsid w:val="00713CA0"/>
    <w:rsid w:val="0071433F"/>
    <w:rsid w:val="00714515"/>
    <w:rsid w:val="00714CAD"/>
    <w:rsid w:val="00714EC1"/>
    <w:rsid w:val="00715528"/>
    <w:rsid w:val="00715784"/>
    <w:rsid w:val="00715856"/>
    <w:rsid w:val="00715DAA"/>
    <w:rsid w:val="00715E2B"/>
    <w:rsid w:val="0071654D"/>
    <w:rsid w:val="00716590"/>
    <w:rsid w:val="0071680A"/>
    <w:rsid w:val="00716C34"/>
    <w:rsid w:val="00716DA2"/>
    <w:rsid w:val="007174B7"/>
    <w:rsid w:val="007175C7"/>
    <w:rsid w:val="007200A7"/>
    <w:rsid w:val="007200D3"/>
    <w:rsid w:val="00720108"/>
    <w:rsid w:val="007201CE"/>
    <w:rsid w:val="00720735"/>
    <w:rsid w:val="00720E6C"/>
    <w:rsid w:val="007211AE"/>
    <w:rsid w:val="007218E4"/>
    <w:rsid w:val="007219B6"/>
    <w:rsid w:val="00721B01"/>
    <w:rsid w:val="00721BBC"/>
    <w:rsid w:val="007222D0"/>
    <w:rsid w:val="007222D6"/>
    <w:rsid w:val="00722499"/>
    <w:rsid w:val="00722B3C"/>
    <w:rsid w:val="00722C52"/>
    <w:rsid w:val="00722D45"/>
    <w:rsid w:val="00722E79"/>
    <w:rsid w:val="0072357C"/>
    <w:rsid w:val="0072390D"/>
    <w:rsid w:val="00723AF2"/>
    <w:rsid w:val="00723D7E"/>
    <w:rsid w:val="00723FB7"/>
    <w:rsid w:val="0072484A"/>
    <w:rsid w:val="00724A9A"/>
    <w:rsid w:val="00724B28"/>
    <w:rsid w:val="00724DA0"/>
    <w:rsid w:val="00725182"/>
    <w:rsid w:val="007255E5"/>
    <w:rsid w:val="00725772"/>
    <w:rsid w:val="00725843"/>
    <w:rsid w:val="007272B3"/>
    <w:rsid w:val="00727679"/>
    <w:rsid w:val="007279D6"/>
    <w:rsid w:val="007302BF"/>
    <w:rsid w:val="00730644"/>
    <w:rsid w:val="00730812"/>
    <w:rsid w:val="007308BB"/>
    <w:rsid w:val="007310A6"/>
    <w:rsid w:val="00731347"/>
    <w:rsid w:val="00731371"/>
    <w:rsid w:val="00731935"/>
    <w:rsid w:val="00731D76"/>
    <w:rsid w:val="007328F3"/>
    <w:rsid w:val="0073291E"/>
    <w:rsid w:val="00733573"/>
    <w:rsid w:val="0073361B"/>
    <w:rsid w:val="00733882"/>
    <w:rsid w:val="007338EA"/>
    <w:rsid w:val="00733C67"/>
    <w:rsid w:val="00733D32"/>
    <w:rsid w:val="00733F55"/>
    <w:rsid w:val="00734005"/>
    <w:rsid w:val="00734250"/>
    <w:rsid w:val="007342D0"/>
    <w:rsid w:val="00734513"/>
    <w:rsid w:val="00735500"/>
    <w:rsid w:val="007357AD"/>
    <w:rsid w:val="007357DD"/>
    <w:rsid w:val="0073591C"/>
    <w:rsid w:val="007359B6"/>
    <w:rsid w:val="00735C61"/>
    <w:rsid w:val="00735D06"/>
    <w:rsid w:val="00736097"/>
    <w:rsid w:val="0073626A"/>
    <w:rsid w:val="0073645B"/>
    <w:rsid w:val="00736640"/>
    <w:rsid w:val="0073667B"/>
    <w:rsid w:val="0073692E"/>
    <w:rsid w:val="00736B45"/>
    <w:rsid w:val="0073708B"/>
    <w:rsid w:val="0073722A"/>
    <w:rsid w:val="00737B00"/>
    <w:rsid w:val="00740055"/>
    <w:rsid w:val="00740106"/>
    <w:rsid w:val="007409BC"/>
    <w:rsid w:val="00740C67"/>
    <w:rsid w:val="0074139E"/>
    <w:rsid w:val="007413A5"/>
    <w:rsid w:val="00742BBD"/>
    <w:rsid w:val="00742DE6"/>
    <w:rsid w:val="00743734"/>
    <w:rsid w:val="00743AB9"/>
    <w:rsid w:val="00743C06"/>
    <w:rsid w:val="007446D2"/>
    <w:rsid w:val="00744966"/>
    <w:rsid w:val="00744F97"/>
    <w:rsid w:val="00745070"/>
    <w:rsid w:val="0074568C"/>
    <w:rsid w:val="00746F26"/>
    <w:rsid w:val="00746FDC"/>
    <w:rsid w:val="00747043"/>
    <w:rsid w:val="00747074"/>
    <w:rsid w:val="007473BD"/>
    <w:rsid w:val="0074742E"/>
    <w:rsid w:val="0074752E"/>
    <w:rsid w:val="007477D6"/>
    <w:rsid w:val="00747AB2"/>
    <w:rsid w:val="00747E3B"/>
    <w:rsid w:val="00750588"/>
    <w:rsid w:val="00750ABC"/>
    <w:rsid w:val="00751FD5"/>
    <w:rsid w:val="007520AC"/>
    <w:rsid w:val="0075212F"/>
    <w:rsid w:val="0075253D"/>
    <w:rsid w:val="007528AA"/>
    <w:rsid w:val="00752A7C"/>
    <w:rsid w:val="0075320A"/>
    <w:rsid w:val="007539A7"/>
    <w:rsid w:val="00754175"/>
    <w:rsid w:val="007551E7"/>
    <w:rsid w:val="00755530"/>
    <w:rsid w:val="0075602D"/>
    <w:rsid w:val="00756066"/>
    <w:rsid w:val="0075640F"/>
    <w:rsid w:val="00756762"/>
    <w:rsid w:val="00756DC6"/>
    <w:rsid w:val="00757262"/>
    <w:rsid w:val="00757A2A"/>
    <w:rsid w:val="00757DD0"/>
    <w:rsid w:val="00757FA2"/>
    <w:rsid w:val="00760965"/>
    <w:rsid w:val="007619C2"/>
    <w:rsid w:val="00761A17"/>
    <w:rsid w:val="00761A7C"/>
    <w:rsid w:val="00762473"/>
    <w:rsid w:val="007626BB"/>
    <w:rsid w:val="00762DC9"/>
    <w:rsid w:val="00762E93"/>
    <w:rsid w:val="007637DC"/>
    <w:rsid w:val="0076416A"/>
    <w:rsid w:val="0076451E"/>
    <w:rsid w:val="00764646"/>
    <w:rsid w:val="00764F34"/>
    <w:rsid w:val="00765079"/>
    <w:rsid w:val="00765705"/>
    <w:rsid w:val="007661D9"/>
    <w:rsid w:val="0076665D"/>
    <w:rsid w:val="007667E5"/>
    <w:rsid w:val="007669E3"/>
    <w:rsid w:val="00766F0B"/>
    <w:rsid w:val="00767563"/>
    <w:rsid w:val="00767A27"/>
    <w:rsid w:val="00767AFE"/>
    <w:rsid w:val="007701DB"/>
    <w:rsid w:val="00770320"/>
    <w:rsid w:val="0077071A"/>
    <w:rsid w:val="00770BA1"/>
    <w:rsid w:val="00771397"/>
    <w:rsid w:val="00771526"/>
    <w:rsid w:val="00771841"/>
    <w:rsid w:val="007719EB"/>
    <w:rsid w:val="007720F0"/>
    <w:rsid w:val="00772106"/>
    <w:rsid w:val="007727B5"/>
    <w:rsid w:val="00772DE1"/>
    <w:rsid w:val="00772E64"/>
    <w:rsid w:val="0077371E"/>
    <w:rsid w:val="00773A2D"/>
    <w:rsid w:val="00773A5F"/>
    <w:rsid w:val="0077440C"/>
    <w:rsid w:val="00774541"/>
    <w:rsid w:val="0077496D"/>
    <w:rsid w:val="00774FE4"/>
    <w:rsid w:val="00775F3F"/>
    <w:rsid w:val="0077618E"/>
    <w:rsid w:val="00776763"/>
    <w:rsid w:val="00777A60"/>
    <w:rsid w:val="00777FF9"/>
    <w:rsid w:val="00780021"/>
    <w:rsid w:val="007807CE"/>
    <w:rsid w:val="00780E56"/>
    <w:rsid w:val="00780F3D"/>
    <w:rsid w:val="007813DF"/>
    <w:rsid w:val="00781535"/>
    <w:rsid w:val="00781574"/>
    <w:rsid w:val="00781CEC"/>
    <w:rsid w:val="00782DCA"/>
    <w:rsid w:val="0078319E"/>
    <w:rsid w:val="007832A4"/>
    <w:rsid w:val="007834DA"/>
    <w:rsid w:val="007838AB"/>
    <w:rsid w:val="00783D68"/>
    <w:rsid w:val="00785348"/>
    <w:rsid w:val="00785B52"/>
    <w:rsid w:val="00785DA9"/>
    <w:rsid w:val="007864CA"/>
    <w:rsid w:val="0078690D"/>
    <w:rsid w:val="00786B27"/>
    <w:rsid w:val="00786BAB"/>
    <w:rsid w:val="00786EBB"/>
    <w:rsid w:val="007875B0"/>
    <w:rsid w:val="007878CF"/>
    <w:rsid w:val="0078793D"/>
    <w:rsid w:val="00787A86"/>
    <w:rsid w:val="00787D61"/>
    <w:rsid w:val="00790319"/>
    <w:rsid w:val="00790358"/>
    <w:rsid w:val="00790382"/>
    <w:rsid w:val="00790E00"/>
    <w:rsid w:val="00790E2B"/>
    <w:rsid w:val="0079140F"/>
    <w:rsid w:val="00791CA4"/>
    <w:rsid w:val="00791F6A"/>
    <w:rsid w:val="00792230"/>
    <w:rsid w:val="007927D1"/>
    <w:rsid w:val="007927FA"/>
    <w:rsid w:val="00792E4C"/>
    <w:rsid w:val="007931CE"/>
    <w:rsid w:val="00793FDF"/>
    <w:rsid w:val="0079478A"/>
    <w:rsid w:val="00794849"/>
    <w:rsid w:val="00794A9D"/>
    <w:rsid w:val="00794D8F"/>
    <w:rsid w:val="00794DBC"/>
    <w:rsid w:val="00794FE8"/>
    <w:rsid w:val="00796857"/>
    <w:rsid w:val="0079686E"/>
    <w:rsid w:val="00796920"/>
    <w:rsid w:val="007972B6"/>
    <w:rsid w:val="00797BFE"/>
    <w:rsid w:val="007A002B"/>
    <w:rsid w:val="007A017F"/>
    <w:rsid w:val="007A0231"/>
    <w:rsid w:val="007A0300"/>
    <w:rsid w:val="007A07BF"/>
    <w:rsid w:val="007A0CCC"/>
    <w:rsid w:val="007A1038"/>
    <w:rsid w:val="007A10A1"/>
    <w:rsid w:val="007A11D6"/>
    <w:rsid w:val="007A2233"/>
    <w:rsid w:val="007A2657"/>
    <w:rsid w:val="007A2EDD"/>
    <w:rsid w:val="007A336E"/>
    <w:rsid w:val="007A37D3"/>
    <w:rsid w:val="007A4590"/>
    <w:rsid w:val="007A4B7A"/>
    <w:rsid w:val="007A4CA6"/>
    <w:rsid w:val="007A4F84"/>
    <w:rsid w:val="007A507C"/>
    <w:rsid w:val="007A511F"/>
    <w:rsid w:val="007A53D5"/>
    <w:rsid w:val="007A5491"/>
    <w:rsid w:val="007A54B1"/>
    <w:rsid w:val="007A54C6"/>
    <w:rsid w:val="007A5A6D"/>
    <w:rsid w:val="007A6333"/>
    <w:rsid w:val="007A662B"/>
    <w:rsid w:val="007A7BD3"/>
    <w:rsid w:val="007B018A"/>
    <w:rsid w:val="007B03C2"/>
    <w:rsid w:val="007B065D"/>
    <w:rsid w:val="007B090B"/>
    <w:rsid w:val="007B0A3B"/>
    <w:rsid w:val="007B0E64"/>
    <w:rsid w:val="007B12CF"/>
    <w:rsid w:val="007B180F"/>
    <w:rsid w:val="007B1BBA"/>
    <w:rsid w:val="007B295E"/>
    <w:rsid w:val="007B32D5"/>
    <w:rsid w:val="007B3574"/>
    <w:rsid w:val="007B39E9"/>
    <w:rsid w:val="007B3E0F"/>
    <w:rsid w:val="007B47EF"/>
    <w:rsid w:val="007B4839"/>
    <w:rsid w:val="007B4AA4"/>
    <w:rsid w:val="007B52B6"/>
    <w:rsid w:val="007B5658"/>
    <w:rsid w:val="007B5840"/>
    <w:rsid w:val="007B5D1C"/>
    <w:rsid w:val="007B6333"/>
    <w:rsid w:val="007B6471"/>
    <w:rsid w:val="007B696C"/>
    <w:rsid w:val="007B6BB2"/>
    <w:rsid w:val="007B73EC"/>
    <w:rsid w:val="007B7B1A"/>
    <w:rsid w:val="007C0081"/>
    <w:rsid w:val="007C0308"/>
    <w:rsid w:val="007C0318"/>
    <w:rsid w:val="007C075A"/>
    <w:rsid w:val="007C11AA"/>
    <w:rsid w:val="007C1BE4"/>
    <w:rsid w:val="007C1BF6"/>
    <w:rsid w:val="007C2290"/>
    <w:rsid w:val="007C2675"/>
    <w:rsid w:val="007C2BF5"/>
    <w:rsid w:val="007C2C9E"/>
    <w:rsid w:val="007C342C"/>
    <w:rsid w:val="007C37BE"/>
    <w:rsid w:val="007C3D87"/>
    <w:rsid w:val="007C403E"/>
    <w:rsid w:val="007C405B"/>
    <w:rsid w:val="007C4126"/>
    <w:rsid w:val="007C45C6"/>
    <w:rsid w:val="007C47E3"/>
    <w:rsid w:val="007C4A1B"/>
    <w:rsid w:val="007C4A98"/>
    <w:rsid w:val="007C4D6D"/>
    <w:rsid w:val="007C5169"/>
    <w:rsid w:val="007C52CA"/>
    <w:rsid w:val="007C538F"/>
    <w:rsid w:val="007C5C38"/>
    <w:rsid w:val="007C6187"/>
    <w:rsid w:val="007C6B26"/>
    <w:rsid w:val="007C6ED6"/>
    <w:rsid w:val="007C74FD"/>
    <w:rsid w:val="007C75E4"/>
    <w:rsid w:val="007C7898"/>
    <w:rsid w:val="007C792D"/>
    <w:rsid w:val="007D0291"/>
    <w:rsid w:val="007D03F1"/>
    <w:rsid w:val="007D0C36"/>
    <w:rsid w:val="007D0CD0"/>
    <w:rsid w:val="007D0DC0"/>
    <w:rsid w:val="007D1A94"/>
    <w:rsid w:val="007D1C96"/>
    <w:rsid w:val="007D1DC0"/>
    <w:rsid w:val="007D3AC4"/>
    <w:rsid w:val="007D3CCE"/>
    <w:rsid w:val="007D3DD4"/>
    <w:rsid w:val="007D42CA"/>
    <w:rsid w:val="007D4686"/>
    <w:rsid w:val="007D4B5A"/>
    <w:rsid w:val="007D4F41"/>
    <w:rsid w:val="007D4F92"/>
    <w:rsid w:val="007D513C"/>
    <w:rsid w:val="007D5669"/>
    <w:rsid w:val="007D59E4"/>
    <w:rsid w:val="007D5D80"/>
    <w:rsid w:val="007D65A6"/>
    <w:rsid w:val="007D6AAA"/>
    <w:rsid w:val="007D6D41"/>
    <w:rsid w:val="007D7165"/>
    <w:rsid w:val="007D74D4"/>
    <w:rsid w:val="007E01E4"/>
    <w:rsid w:val="007E20C7"/>
    <w:rsid w:val="007E2BB1"/>
    <w:rsid w:val="007E3AF2"/>
    <w:rsid w:val="007E44A8"/>
    <w:rsid w:val="007E452E"/>
    <w:rsid w:val="007E4F51"/>
    <w:rsid w:val="007E5140"/>
    <w:rsid w:val="007E59E9"/>
    <w:rsid w:val="007E60CD"/>
    <w:rsid w:val="007E63C4"/>
    <w:rsid w:val="007E693D"/>
    <w:rsid w:val="007E735B"/>
    <w:rsid w:val="007E7861"/>
    <w:rsid w:val="007E7A59"/>
    <w:rsid w:val="007E7F34"/>
    <w:rsid w:val="007F0506"/>
    <w:rsid w:val="007F074F"/>
    <w:rsid w:val="007F136C"/>
    <w:rsid w:val="007F14DB"/>
    <w:rsid w:val="007F1883"/>
    <w:rsid w:val="007F18F3"/>
    <w:rsid w:val="007F1C51"/>
    <w:rsid w:val="007F208B"/>
    <w:rsid w:val="007F35EA"/>
    <w:rsid w:val="007F3952"/>
    <w:rsid w:val="007F3AE7"/>
    <w:rsid w:val="007F4048"/>
    <w:rsid w:val="007F471A"/>
    <w:rsid w:val="007F48BD"/>
    <w:rsid w:val="007F492A"/>
    <w:rsid w:val="007F4C3E"/>
    <w:rsid w:val="007F5530"/>
    <w:rsid w:val="007F55F3"/>
    <w:rsid w:val="007F5A7C"/>
    <w:rsid w:val="007F671A"/>
    <w:rsid w:val="007F6967"/>
    <w:rsid w:val="007F7152"/>
    <w:rsid w:val="007F758A"/>
    <w:rsid w:val="007F7636"/>
    <w:rsid w:val="007F7E28"/>
    <w:rsid w:val="008003E3"/>
    <w:rsid w:val="008006F2"/>
    <w:rsid w:val="00800813"/>
    <w:rsid w:val="0080153D"/>
    <w:rsid w:val="00801E9F"/>
    <w:rsid w:val="00802169"/>
    <w:rsid w:val="00802880"/>
    <w:rsid w:val="00802E16"/>
    <w:rsid w:val="00802FFC"/>
    <w:rsid w:val="008033FB"/>
    <w:rsid w:val="00803674"/>
    <w:rsid w:val="00803A62"/>
    <w:rsid w:val="00803C45"/>
    <w:rsid w:val="00804474"/>
    <w:rsid w:val="00804DB6"/>
    <w:rsid w:val="00804DF5"/>
    <w:rsid w:val="0080504E"/>
    <w:rsid w:val="00805ADF"/>
    <w:rsid w:val="00805DB1"/>
    <w:rsid w:val="008060D1"/>
    <w:rsid w:val="008067CF"/>
    <w:rsid w:val="00806864"/>
    <w:rsid w:val="00806D49"/>
    <w:rsid w:val="00806E49"/>
    <w:rsid w:val="008078FF"/>
    <w:rsid w:val="00810352"/>
    <w:rsid w:val="00810C8F"/>
    <w:rsid w:val="0081124D"/>
    <w:rsid w:val="00811387"/>
    <w:rsid w:val="008114A6"/>
    <w:rsid w:val="0081186D"/>
    <w:rsid w:val="00811ABF"/>
    <w:rsid w:val="00811B15"/>
    <w:rsid w:val="00811DE4"/>
    <w:rsid w:val="0081205B"/>
    <w:rsid w:val="008122CC"/>
    <w:rsid w:val="008137ED"/>
    <w:rsid w:val="00813A3C"/>
    <w:rsid w:val="00814048"/>
    <w:rsid w:val="00814705"/>
    <w:rsid w:val="00814BF0"/>
    <w:rsid w:val="00814E14"/>
    <w:rsid w:val="00815242"/>
    <w:rsid w:val="00815F6D"/>
    <w:rsid w:val="00815F85"/>
    <w:rsid w:val="00816C67"/>
    <w:rsid w:val="00816C95"/>
    <w:rsid w:val="00816F94"/>
    <w:rsid w:val="008172ED"/>
    <w:rsid w:val="00817404"/>
    <w:rsid w:val="0081750C"/>
    <w:rsid w:val="00817654"/>
    <w:rsid w:val="00817A6D"/>
    <w:rsid w:val="00817AD8"/>
    <w:rsid w:val="0082027E"/>
    <w:rsid w:val="00820595"/>
    <w:rsid w:val="00820809"/>
    <w:rsid w:val="008209BD"/>
    <w:rsid w:val="00820D5D"/>
    <w:rsid w:val="00820E52"/>
    <w:rsid w:val="00821116"/>
    <w:rsid w:val="008216F2"/>
    <w:rsid w:val="008217D4"/>
    <w:rsid w:val="00821D16"/>
    <w:rsid w:val="00821DB9"/>
    <w:rsid w:val="008226F9"/>
    <w:rsid w:val="00822DFF"/>
    <w:rsid w:val="008233C8"/>
    <w:rsid w:val="00823428"/>
    <w:rsid w:val="008234BE"/>
    <w:rsid w:val="0082350E"/>
    <w:rsid w:val="00823863"/>
    <w:rsid w:val="0082387B"/>
    <w:rsid w:val="00823AC1"/>
    <w:rsid w:val="00823D49"/>
    <w:rsid w:val="00823DC1"/>
    <w:rsid w:val="00823E09"/>
    <w:rsid w:val="008243CF"/>
    <w:rsid w:val="0082496E"/>
    <w:rsid w:val="00824E75"/>
    <w:rsid w:val="0082518D"/>
    <w:rsid w:val="008263C0"/>
    <w:rsid w:val="0082666B"/>
    <w:rsid w:val="00826B46"/>
    <w:rsid w:val="00827A4C"/>
    <w:rsid w:val="008301ED"/>
    <w:rsid w:val="00830246"/>
    <w:rsid w:val="0083045D"/>
    <w:rsid w:val="00830A29"/>
    <w:rsid w:val="00830D59"/>
    <w:rsid w:val="0083185F"/>
    <w:rsid w:val="00831A66"/>
    <w:rsid w:val="00831C7B"/>
    <w:rsid w:val="00831E49"/>
    <w:rsid w:val="00832213"/>
    <w:rsid w:val="00832AB6"/>
    <w:rsid w:val="00832B4E"/>
    <w:rsid w:val="00832FCB"/>
    <w:rsid w:val="00833280"/>
    <w:rsid w:val="00833E75"/>
    <w:rsid w:val="00834677"/>
    <w:rsid w:val="00834A82"/>
    <w:rsid w:val="00834F85"/>
    <w:rsid w:val="0083572B"/>
    <w:rsid w:val="00835A25"/>
    <w:rsid w:val="00835C44"/>
    <w:rsid w:val="008363D9"/>
    <w:rsid w:val="0083660A"/>
    <w:rsid w:val="008366BD"/>
    <w:rsid w:val="00836A0E"/>
    <w:rsid w:val="00836D43"/>
    <w:rsid w:val="00836F6A"/>
    <w:rsid w:val="00836F8F"/>
    <w:rsid w:val="0083725B"/>
    <w:rsid w:val="008378B3"/>
    <w:rsid w:val="008379AD"/>
    <w:rsid w:val="00837BA0"/>
    <w:rsid w:val="00837CDC"/>
    <w:rsid w:val="008405E1"/>
    <w:rsid w:val="00840686"/>
    <w:rsid w:val="00840690"/>
    <w:rsid w:val="0084070B"/>
    <w:rsid w:val="00840F19"/>
    <w:rsid w:val="00842C5C"/>
    <w:rsid w:val="00842E54"/>
    <w:rsid w:val="00843286"/>
    <w:rsid w:val="00843FDE"/>
    <w:rsid w:val="008442B8"/>
    <w:rsid w:val="008443C8"/>
    <w:rsid w:val="008449B5"/>
    <w:rsid w:val="00844CBC"/>
    <w:rsid w:val="008452D0"/>
    <w:rsid w:val="00845F87"/>
    <w:rsid w:val="00846460"/>
    <w:rsid w:val="008467BA"/>
    <w:rsid w:val="00846888"/>
    <w:rsid w:val="00846917"/>
    <w:rsid w:val="00846D89"/>
    <w:rsid w:val="008475FF"/>
    <w:rsid w:val="00850628"/>
    <w:rsid w:val="00850EA4"/>
    <w:rsid w:val="00851749"/>
    <w:rsid w:val="00851A0F"/>
    <w:rsid w:val="00851CE6"/>
    <w:rsid w:val="00851EB0"/>
    <w:rsid w:val="00852AC7"/>
    <w:rsid w:val="00852E67"/>
    <w:rsid w:val="008536A7"/>
    <w:rsid w:val="008552B4"/>
    <w:rsid w:val="0085599C"/>
    <w:rsid w:val="00855C84"/>
    <w:rsid w:val="008563B1"/>
    <w:rsid w:val="008565C8"/>
    <w:rsid w:val="00856655"/>
    <w:rsid w:val="00856945"/>
    <w:rsid w:val="0085731D"/>
    <w:rsid w:val="008577E5"/>
    <w:rsid w:val="00857DB9"/>
    <w:rsid w:val="0086000E"/>
    <w:rsid w:val="00860706"/>
    <w:rsid w:val="00860A8C"/>
    <w:rsid w:val="00860D7C"/>
    <w:rsid w:val="00860DF0"/>
    <w:rsid w:val="00860EC2"/>
    <w:rsid w:val="00860F4E"/>
    <w:rsid w:val="0086101B"/>
    <w:rsid w:val="00861504"/>
    <w:rsid w:val="008625B0"/>
    <w:rsid w:val="00862BDD"/>
    <w:rsid w:val="00862CBF"/>
    <w:rsid w:val="0086385B"/>
    <w:rsid w:val="00864605"/>
    <w:rsid w:val="00864718"/>
    <w:rsid w:val="00864725"/>
    <w:rsid w:val="00864B76"/>
    <w:rsid w:val="00864BAE"/>
    <w:rsid w:val="008651C7"/>
    <w:rsid w:val="008657DC"/>
    <w:rsid w:val="0086595D"/>
    <w:rsid w:val="00865AA0"/>
    <w:rsid w:val="00865DB9"/>
    <w:rsid w:val="00866442"/>
    <w:rsid w:val="00866487"/>
    <w:rsid w:val="00866C45"/>
    <w:rsid w:val="00867044"/>
    <w:rsid w:val="008673D9"/>
    <w:rsid w:val="00867BDE"/>
    <w:rsid w:val="00870762"/>
    <w:rsid w:val="00870BAF"/>
    <w:rsid w:val="00871111"/>
    <w:rsid w:val="008711E1"/>
    <w:rsid w:val="008711E4"/>
    <w:rsid w:val="0087192C"/>
    <w:rsid w:val="00871AE8"/>
    <w:rsid w:val="00871FB0"/>
    <w:rsid w:val="00872265"/>
    <w:rsid w:val="00872364"/>
    <w:rsid w:val="00872594"/>
    <w:rsid w:val="008726F8"/>
    <w:rsid w:val="00872B11"/>
    <w:rsid w:val="00872C76"/>
    <w:rsid w:val="0087315B"/>
    <w:rsid w:val="00873221"/>
    <w:rsid w:val="00873386"/>
    <w:rsid w:val="008736B1"/>
    <w:rsid w:val="0087446E"/>
    <w:rsid w:val="00874CC0"/>
    <w:rsid w:val="00874D77"/>
    <w:rsid w:val="008755D8"/>
    <w:rsid w:val="00875BDF"/>
    <w:rsid w:val="00875D47"/>
    <w:rsid w:val="00875ED6"/>
    <w:rsid w:val="00875FE3"/>
    <w:rsid w:val="008765DA"/>
    <w:rsid w:val="00876768"/>
    <w:rsid w:val="00876D5C"/>
    <w:rsid w:val="00877B3F"/>
    <w:rsid w:val="00877DED"/>
    <w:rsid w:val="00880233"/>
    <w:rsid w:val="0088065C"/>
    <w:rsid w:val="00880866"/>
    <w:rsid w:val="0088090E"/>
    <w:rsid w:val="008809A4"/>
    <w:rsid w:val="00880A52"/>
    <w:rsid w:val="00880E47"/>
    <w:rsid w:val="00881070"/>
    <w:rsid w:val="008816DF"/>
    <w:rsid w:val="008818EF"/>
    <w:rsid w:val="00881AF0"/>
    <w:rsid w:val="00881D68"/>
    <w:rsid w:val="00881D7D"/>
    <w:rsid w:val="008821AB"/>
    <w:rsid w:val="00882662"/>
    <w:rsid w:val="0088267F"/>
    <w:rsid w:val="00882AB6"/>
    <w:rsid w:val="008831CF"/>
    <w:rsid w:val="00884423"/>
    <w:rsid w:val="00884547"/>
    <w:rsid w:val="0088494C"/>
    <w:rsid w:val="00884C02"/>
    <w:rsid w:val="00884F47"/>
    <w:rsid w:val="00885B1E"/>
    <w:rsid w:val="00886187"/>
    <w:rsid w:val="00886410"/>
    <w:rsid w:val="00886801"/>
    <w:rsid w:val="00886DC6"/>
    <w:rsid w:val="008873BB"/>
    <w:rsid w:val="00887CAE"/>
    <w:rsid w:val="00887F91"/>
    <w:rsid w:val="0089012F"/>
    <w:rsid w:val="00890279"/>
    <w:rsid w:val="00890F05"/>
    <w:rsid w:val="008920D2"/>
    <w:rsid w:val="0089337A"/>
    <w:rsid w:val="00893AC9"/>
    <w:rsid w:val="00893BD0"/>
    <w:rsid w:val="00894161"/>
    <w:rsid w:val="00894650"/>
    <w:rsid w:val="008946A6"/>
    <w:rsid w:val="00894743"/>
    <w:rsid w:val="00894797"/>
    <w:rsid w:val="008947A2"/>
    <w:rsid w:val="00894975"/>
    <w:rsid w:val="00894D5B"/>
    <w:rsid w:val="00894D65"/>
    <w:rsid w:val="00894EAE"/>
    <w:rsid w:val="00894F34"/>
    <w:rsid w:val="00895450"/>
    <w:rsid w:val="008954F7"/>
    <w:rsid w:val="00895562"/>
    <w:rsid w:val="0089557A"/>
    <w:rsid w:val="0089567B"/>
    <w:rsid w:val="00896254"/>
    <w:rsid w:val="00896315"/>
    <w:rsid w:val="0089670D"/>
    <w:rsid w:val="00896A8F"/>
    <w:rsid w:val="00896B25"/>
    <w:rsid w:val="00897194"/>
    <w:rsid w:val="008972F3"/>
    <w:rsid w:val="008A0283"/>
    <w:rsid w:val="008A035D"/>
    <w:rsid w:val="008A03ED"/>
    <w:rsid w:val="008A06E7"/>
    <w:rsid w:val="008A07B5"/>
    <w:rsid w:val="008A0AEA"/>
    <w:rsid w:val="008A12D5"/>
    <w:rsid w:val="008A1318"/>
    <w:rsid w:val="008A1BF2"/>
    <w:rsid w:val="008A30BE"/>
    <w:rsid w:val="008A450C"/>
    <w:rsid w:val="008A49A1"/>
    <w:rsid w:val="008A4D52"/>
    <w:rsid w:val="008A4D73"/>
    <w:rsid w:val="008A5437"/>
    <w:rsid w:val="008A658A"/>
    <w:rsid w:val="008A663D"/>
    <w:rsid w:val="008A6982"/>
    <w:rsid w:val="008A6B15"/>
    <w:rsid w:val="008A6BFD"/>
    <w:rsid w:val="008A72AE"/>
    <w:rsid w:val="008A73D8"/>
    <w:rsid w:val="008A7465"/>
    <w:rsid w:val="008A761E"/>
    <w:rsid w:val="008A7ABE"/>
    <w:rsid w:val="008B0132"/>
    <w:rsid w:val="008B025F"/>
    <w:rsid w:val="008B037A"/>
    <w:rsid w:val="008B0834"/>
    <w:rsid w:val="008B1062"/>
    <w:rsid w:val="008B1275"/>
    <w:rsid w:val="008B1589"/>
    <w:rsid w:val="008B167C"/>
    <w:rsid w:val="008B1BD9"/>
    <w:rsid w:val="008B1BE7"/>
    <w:rsid w:val="008B1ECF"/>
    <w:rsid w:val="008B1EEE"/>
    <w:rsid w:val="008B21A4"/>
    <w:rsid w:val="008B2723"/>
    <w:rsid w:val="008B2BFD"/>
    <w:rsid w:val="008B2ED0"/>
    <w:rsid w:val="008B2F33"/>
    <w:rsid w:val="008B3000"/>
    <w:rsid w:val="008B3435"/>
    <w:rsid w:val="008B3698"/>
    <w:rsid w:val="008B37AF"/>
    <w:rsid w:val="008B38EE"/>
    <w:rsid w:val="008B3AC3"/>
    <w:rsid w:val="008B41E2"/>
    <w:rsid w:val="008B5AF0"/>
    <w:rsid w:val="008B5D8F"/>
    <w:rsid w:val="008B636E"/>
    <w:rsid w:val="008B64EF"/>
    <w:rsid w:val="008B6760"/>
    <w:rsid w:val="008B69DD"/>
    <w:rsid w:val="008B6E60"/>
    <w:rsid w:val="008B7493"/>
    <w:rsid w:val="008B7DB0"/>
    <w:rsid w:val="008B7F5E"/>
    <w:rsid w:val="008B7FAF"/>
    <w:rsid w:val="008C04BD"/>
    <w:rsid w:val="008C2974"/>
    <w:rsid w:val="008C29E8"/>
    <w:rsid w:val="008C2AF9"/>
    <w:rsid w:val="008C2E85"/>
    <w:rsid w:val="008C34A6"/>
    <w:rsid w:val="008C3ACB"/>
    <w:rsid w:val="008C3B8C"/>
    <w:rsid w:val="008C3C34"/>
    <w:rsid w:val="008C4175"/>
    <w:rsid w:val="008C4A84"/>
    <w:rsid w:val="008C5092"/>
    <w:rsid w:val="008C54D2"/>
    <w:rsid w:val="008C59E9"/>
    <w:rsid w:val="008C5B77"/>
    <w:rsid w:val="008C6095"/>
    <w:rsid w:val="008C67E6"/>
    <w:rsid w:val="008C7385"/>
    <w:rsid w:val="008C7C48"/>
    <w:rsid w:val="008D0834"/>
    <w:rsid w:val="008D1B0D"/>
    <w:rsid w:val="008D1C8E"/>
    <w:rsid w:val="008D1E9A"/>
    <w:rsid w:val="008D2064"/>
    <w:rsid w:val="008D25AE"/>
    <w:rsid w:val="008D280D"/>
    <w:rsid w:val="008D2E8C"/>
    <w:rsid w:val="008D2EF4"/>
    <w:rsid w:val="008D34CE"/>
    <w:rsid w:val="008D3503"/>
    <w:rsid w:val="008D429D"/>
    <w:rsid w:val="008D4BD8"/>
    <w:rsid w:val="008D5AC4"/>
    <w:rsid w:val="008D5C48"/>
    <w:rsid w:val="008D5C71"/>
    <w:rsid w:val="008D5CF6"/>
    <w:rsid w:val="008D6CC2"/>
    <w:rsid w:val="008D7650"/>
    <w:rsid w:val="008D77D1"/>
    <w:rsid w:val="008D7BD2"/>
    <w:rsid w:val="008D7BE8"/>
    <w:rsid w:val="008E007A"/>
    <w:rsid w:val="008E0D74"/>
    <w:rsid w:val="008E0E4C"/>
    <w:rsid w:val="008E17CF"/>
    <w:rsid w:val="008E297D"/>
    <w:rsid w:val="008E2BFF"/>
    <w:rsid w:val="008E3030"/>
    <w:rsid w:val="008E317E"/>
    <w:rsid w:val="008E392E"/>
    <w:rsid w:val="008E3EA3"/>
    <w:rsid w:val="008E41EC"/>
    <w:rsid w:val="008E4657"/>
    <w:rsid w:val="008E47E7"/>
    <w:rsid w:val="008E54B7"/>
    <w:rsid w:val="008E5B60"/>
    <w:rsid w:val="008E5E60"/>
    <w:rsid w:val="008E5EF7"/>
    <w:rsid w:val="008E6191"/>
    <w:rsid w:val="008E6262"/>
    <w:rsid w:val="008E6FB3"/>
    <w:rsid w:val="008E7341"/>
    <w:rsid w:val="008E742A"/>
    <w:rsid w:val="008F004A"/>
    <w:rsid w:val="008F0351"/>
    <w:rsid w:val="008F046D"/>
    <w:rsid w:val="008F085A"/>
    <w:rsid w:val="008F0F0B"/>
    <w:rsid w:val="008F1687"/>
    <w:rsid w:val="008F1FAC"/>
    <w:rsid w:val="008F2433"/>
    <w:rsid w:val="008F319F"/>
    <w:rsid w:val="008F38D3"/>
    <w:rsid w:val="008F4046"/>
    <w:rsid w:val="008F4058"/>
    <w:rsid w:val="008F4140"/>
    <w:rsid w:val="008F447C"/>
    <w:rsid w:val="008F4538"/>
    <w:rsid w:val="008F48DA"/>
    <w:rsid w:val="008F5471"/>
    <w:rsid w:val="008F5660"/>
    <w:rsid w:val="008F5B5F"/>
    <w:rsid w:val="008F6302"/>
    <w:rsid w:val="008F644D"/>
    <w:rsid w:val="008F6723"/>
    <w:rsid w:val="008F6C04"/>
    <w:rsid w:val="008F6C4C"/>
    <w:rsid w:val="008F6CB2"/>
    <w:rsid w:val="008F6D02"/>
    <w:rsid w:val="008F707B"/>
    <w:rsid w:val="008F709B"/>
    <w:rsid w:val="008F7B84"/>
    <w:rsid w:val="008F7FFA"/>
    <w:rsid w:val="00900B09"/>
    <w:rsid w:val="00900C65"/>
    <w:rsid w:val="00900C69"/>
    <w:rsid w:val="009011F9"/>
    <w:rsid w:val="00901533"/>
    <w:rsid w:val="009018F3"/>
    <w:rsid w:val="00902083"/>
    <w:rsid w:val="00902421"/>
    <w:rsid w:val="0090257C"/>
    <w:rsid w:val="0090293D"/>
    <w:rsid w:val="009029FB"/>
    <w:rsid w:val="00903279"/>
    <w:rsid w:val="00903559"/>
    <w:rsid w:val="009036A0"/>
    <w:rsid w:val="0090388C"/>
    <w:rsid w:val="0090395D"/>
    <w:rsid w:val="00903B1F"/>
    <w:rsid w:val="00904379"/>
    <w:rsid w:val="00904577"/>
    <w:rsid w:val="00904A09"/>
    <w:rsid w:val="00904D7F"/>
    <w:rsid w:val="00904E9B"/>
    <w:rsid w:val="00905130"/>
    <w:rsid w:val="009055BD"/>
    <w:rsid w:val="00905700"/>
    <w:rsid w:val="00905940"/>
    <w:rsid w:val="00905AAF"/>
    <w:rsid w:val="00906087"/>
    <w:rsid w:val="009066F8"/>
    <w:rsid w:val="009067AC"/>
    <w:rsid w:val="00906C0F"/>
    <w:rsid w:val="00906F1E"/>
    <w:rsid w:val="009071DF"/>
    <w:rsid w:val="009073AC"/>
    <w:rsid w:val="00907518"/>
    <w:rsid w:val="009076BE"/>
    <w:rsid w:val="00910192"/>
    <w:rsid w:val="0091080D"/>
    <w:rsid w:val="00910E50"/>
    <w:rsid w:val="009114CC"/>
    <w:rsid w:val="009115D7"/>
    <w:rsid w:val="00911864"/>
    <w:rsid w:val="0091197D"/>
    <w:rsid w:val="00912060"/>
    <w:rsid w:val="00912C41"/>
    <w:rsid w:val="00912F7E"/>
    <w:rsid w:val="009135EC"/>
    <w:rsid w:val="00913A28"/>
    <w:rsid w:val="00913B01"/>
    <w:rsid w:val="00914688"/>
    <w:rsid w:val="009148D0"/>
    <w:rsid w:val="009152B0"/>
    <w:rsid w:val="009156A6"/>
    <w:rsid w:val="00916064"/>
    <w:rsid w:val="009164E6"/>
    <w:rsid w:val="00916A95"/>
    <w:rsid w:val="00917072"/>
    <w:rsid w:val="009204A1"/>
    <w:rsid w:val="00920EEA"/>
    <w:rsid w:val="00921C19"/>
    <w:rsid w:val="00921EEB"/>
    <w:rsid w:val="0092251B"/>
    <w:rsid w:val="00922D9C"/>
    <w:rsid w:val="00923026"/>
    <w:rsid w:val="009234E0"/>
    <w:rsid w:val="00923641"/>
    <w:rsid w:val="0092377A"/>
    <w:rsid w:val="009243A9"/>
    <w:rsid w:val="009246A5"/>
    <w:rsid w:val="009248E1"/>
    <w:rsid w:val="00924939"/>
    <w:rsid w:val="009249F2"/>
    <w:rsid w:val="009255B6"/>
    <w:rsid w:val="00925853"/>
    <w:rsid w:val="00925900"/>
    <w:rsid w:val="00925CC5"/>
    <w:rsid w:val="00925CDB"/>
    <w:rsid w:val="009262E2"/>
    <w:rsid w:val="00926E0C"/>
    <w:rsid w:val="0092713D"/>
    <w:rsid w:val="009271DD"/>
    <w:rsid w:val="0092737C"/>
    <w:rsid w:val="00927623"/>
    <w:rsid w:val="009277F6"/>
    <w:rsid w:val="00927C37"/>
    <w:rsid w:val="009300B0"/>
    <w:rsid w:val="0093088F"/>
    <w:rsid w:val="00930B05"/>
    <w:rsid w:val="00930BCD"/>
    <w:rsid w:val="00930F4E"/>
    <w:rsid w:val="00931333"/>
    <w:rsid w:val="009315FB"/>
    <w:rsid w:val="00931632"/>
    <w:rsid w:val="009316A2"/>
    <w:rsid w:val="009317E1"/>
    <w:rsid w:val="00931F09"/>
    <w:rsid w:val="0093253E"/>
    <w:rsid w:val="00932C89"/>
    <w:rsid w:val="00932C9F"/>
    <w:rsid w:val="0093339E"/>
    <w:rsid w:val="0093348F"/>
    <w:rsid w:val="009334B3"/>
    <w:rsid w:val="00933CB7"/>
    <w:rsid w:val="00933F29"/>
    <w:rsid w:val="0093439D"/>
    <w:rsid w:val="0093466A"/>
    <w:rsid w:val="009346DC"/>
    <w:rsid w:val="00934DA8"/>
    <w:rsid w:val="00935404"/>
    <w:rsid w:val="00935B0B"/>
    <w:rsid w:val="00935DA3"/>
    <w:rsid w:val="00936309"/>
    <w:rsid w:val="00936338"/>
    <w:rsid w:val="0093662B"/>
    <w:rsid w:val="00936799"/>
    <w:rsid w:val="00936C36"/>
    <w:rsid w:val="00936D31"/>
    <w:rsid w:val="00936D7F"/>
    <w:rsid w:val="0093762F"/>
    <w:rsid w:val="00937B30"/>
    <w:rsid w:val="00940ACC"/>
    <w:rsid w:val="00940EEA"/>
    <w:rsid w:val="009410B2"/>
    <w:rsid w:val="00941380"/>
    <w:rsid w:val="00941CA4"/>
    <w:rsid w:val="00941E9E"/>
    <w:rsid w:val="00942140"/>
    <w:rsid w:val="0094285C"/>
    <w:rsid w:val="00942A14"/>
    <w:rsid w:val="00942CD7"/>
    <w:rsid w:val="009431F7"/>
    <w:rsid w:val="00943247"/>
    <w:rsid w:val="00943418"/>
    <w:rsid w:val="00943670"/>
    <w:rsid w:val="009436CD"/>
    <w:rsid w:val="00943CC7"/>
    <w:rsid w:val="00944547"/>
    <w:rsid w:val="00944713"/>
    <w:rsid w:val="0094477F"/>
    <w:rsid w:val="00944D7D"/>
    <w:rsid w:val="00946027"/>
    <w:rsid w:val="0094632E"/>
    <w:rsid w:val="009463B0"/>
    <w:rsid w:val="00946F74"/>
    <w:rsid w:val="009472D2"/>
    <w:rsid w:val="00947447"/>
    <w:rsid w:val="00947722"/>
    <w:rsid w:val="00947873"/>
    <w:rsid w:val="00947B07"/>
    <w:rsid w:val="00947DBD"/>
    <w:rsid w:val="00947DCF"/>
    <w:rsid w:val="009504CB"/>
    <w:rsid w:val="0095055F"/>
    <w:rsid w:val="00950A77"/>
    <w:rsid w:val="00950C0F"/>
    <w:rsid w:val="00950DFF"/>
    <w:rsid w:val="009513CE"/>
    <w:rsid w:val="00951408"/>
    <w:rsid w:val="009515A2"/>
    <w:rsid w:val="0095178E"/>
    <w:rsid w:val="00951ECC"/>
    <w:rsid w:val="00952719"/>
    <w:rsid w:val="00952CAE"/>
    <w:rsid w:val="00952E6A"/>
    <w:rsid w:val="00952E92"/>
    <w:rsid w:val="00953204"/>
    <w:rsid w:val="00953276"/>
    <w:rsid w:val="009532BA"/>
    <w:rsid w:val="009537D9"/>
    <w:rsid w:val="00953904"/>
    <w:rsid w:val="00953EC8"/>
    <w:rsid w:val="0095405D"/>
    <w:rsid w:val="00954A08"/>
    <w:rsid w:val="00955386"/>
    <w:rsid w:val="009557DB"/>
    <w:rsid w:val="00955BA9"/>
    <w:rsid w:val="0095692F"/>
    <w:rsid w:val="00956BB9"/>
    <w:rsid w:val="00956C43"/>
    <w:rsid w:val="00956C73"/>
    <w:rsid w:val="00957EAE"/>
    <w:rsid w:val="00960283"/>
    <w:rsid w:val="00961148"/>
    <w:rsid w:val="0096187F"/>
    <w:rsid w:val="009619F5"/>
    <w:rsid w:val="009623EC"/>
    <w:rsid w:val="009628BD"/>
    <w:rsid w:val="00963614"/>
    <w:rsid w:val="009637D8"/>
    <w:rsid w:val="009644EE"/>
    <w:rsid w:val="00964AC6"/>
    <w:rsid w:val="00964AF0"/>
    <w:rsid w:val="0096501C"/>
    <w:rsid w:val="00965334"/>
    <w:rsid w:val="0096544C"/>
    <w:rsid w:val="00965586"/>
    <w:rsid w:val="009656B0"/>
    <w:rsid w:val="00965DBA"/>
    <w:rsid w:val="00966025"/>
    <w:rsid w:val="00966412"/>
    <w:rsid w:val="00966514"/>
    <w:rsid w:val="009667AC"/>
    <w:rsid w:val="009672FA"/>
    <w:rsid w:val="0096749B"/>
    <w:rsid w:val="00967933"/>
    <w:rsid w:val="0096796F"/>
    <w:rsid w:val="00967D54"/>
    <w:rsid w:val="009706D6"/>
    <w:rsid w:val="009706E0"/>
    <w:rsid w:val="0097084A"/>
    <w:rsid w:val="00970DED"/>
    <w:rsid w:val="00971072"/>
    <w:rsid w:val="00971125"/>
    <w:rsid w:val="00971DE1"/>
    <w:rsid w:val="00971EED"/>
    <w:rsid w:val="00972792"/>
    <w:rsid w:val="00972FE0"/>
    <w:rsid w:val="00973005"/>
    <w:rsid w:val="00973A3D"/>
    <w:rsid w:val="00973CD1"/>
    <w:rsid w:val="00973EE5"/>
    <w:rsid w:val="0097487B"/>
    <w:rsid w:val="009759CC"/>
    <w:rsid w:val="00976344"/>
    <w:rsid w:val="00976AED"/>
    <w:rsid w:val="009772DC"/>
    <w:rsid w:val="009805A4"/>
    <w:rsid w:val="00980759"/>
    <w:rsid w:val="009807F9"/>
    <w:rsid w:val="00980E37"/>
    <w:rsid w:val="00980E9A"/>
    <w:rsid w:val="009818A9"/>
    <w:rsid w:val="009827B0"/>
    <w:rsid w:val="009828DE"/>
    <w:rsid w:val="00983052"/>
    <w:rsid w:val="0098312C"/>
    <w:rsid w:val="00983223"/>
    <w:rsid w:val="0098340B"/>
    <w:rsid w:val="00983724"/>
    <w:rsid w:val="009845D6"/>
    <w:rsid w:val="0098478E"/>
    <w:rsid w:val="009848BA"/>
    <w:rsid w:val="00984B18"/>
    <w:rsid w:val="00984E08"/>
    <w:rsid w:val="00985553"/>
    <w:rsid w:val="00985AE0"/>
    <w:rsid w:val="00985C95"/>
    <w:rsid w:val="00985D35"/>
    <w:rsid w:val="00985E81"/>
    <w:rsid w:val="00986B3E"/>
    <w:rsid w:val="00986DA2"/>
    <w:rsid w:val="00986E6F"/>
    <w:rsid w:val="0098705C"/>
    <w:rsid w:val="00987239"/>
    <w:rsid w:val="0098747E"/>
    <w:rsid w:val="0098754B"/>
    <w:rsid w:val="00987C6C"/>
    <w:rsid w:val="00990166"/>
    <w:rsid w:val="0099059A"/>
    <w:rsid w:val="00990C7C"/>
    <w:rsid w:val="0099116E"/>
    <w:rsid w:val="009912D4"/>
    <w:rsid w:val="009914B2"/>
    <w:rsid w:val="0099159A"/>
    <w:rsid w:val="009916A5"/>
    <w:rsid w:val="00992F1E"/>
    <w:rsid w:val="00993AB3"/>
    <w:rsid w:val="00993B59"/>
    <w:rsid w:val="00993C31"/>
    <w:rsid w:val="00993C3C"/>
    <w:rsid w:val="00994092"/>
    <w:rsid w:val="009943CC"/>
    <w:rsid w:val="00994BC7"/>
    <w:rsid w:val="00994DA8"/>
    <w:rsid w:val="00995217"/>
    <w:rsid w:val="0099540B"/>
    <w:rsid w:val="00995479"/>
    <w:rsid w:val="009955DC"/>
    <w:rsid w:val="009958DB"/>
    <w:rsid w:val="009959D1"/>
    <w:rsid w:val="00995CA2"/>
    <w:rsid w:val="00996AE5"/>
    <w:rsid w:val="00996C54"/>
    <w:rsid w:val="00996F11"/>
    <w:rsid w:val="009973DF"/>
    <w:rsid w:val="00997CD6"/>
    <w:rsid w:val="00997D43"/>
    <w:rsid w:val="00997EF3"/>
    <w:rsid w:val="009A0093"/>
    <w:rsid w:val="009A0278"/>
    <w:rsid w:val="009A02CE"/>
    <w:rsid w:val="009A0918"/>
    <w:rsid w:val="009A0C21"/>
    <w:rsid w:val="009A0CA1"/>
    <w:rsid w:val="009A0EF9"/>
    <w:rsid w:val="009A1073"/>
    <w:rsid w:val="009A1081"/>
    <w:rsid w:val="009A108C"/>
    <w:rsid w:val="009A1182"/>
    <w:rsid w:val="009A185F"/>
    <w:rsid w:val="009A1AEA"/>
    <w:rsid w:val="009A1E87"/>
    <w:rsid w:val="009A1FAA"/>
    <w:rsid w:val="009A2F1D"/>
    <w:rsid w:val="009A3397"/>
    <w:rsid w:val="009A3EF0"/>
    <w:rsid w:val="009A42B9"/>
    <w:rsid w:val="009A4367"/>
    <w:rsid w:val="009A4469"/>
    <w:rsid w:val="009A4E76"/>
    <w:rsid w:val="009A50FE"/>
    <w:rsid w:val="009A53A9"/>
    <w:rsid w:val="009A550C"/>
    <w:rsid w:val="009A5931"/>
    <w:rsid w:val="009A59AA"/>
    <w:rsid w:val="009A5D89"/>
    <w:rsid w:val="009A6224"/>
    <w:rsid w:val="009A62AF"/>
    <w:rsid w:val="009A6502"/>
    <w:rsid w:val="009A6746"/>
    <w:rsid w:val="009A6927"/>
    <w:rsid w:val="009A6B37"/>
    <w:rsid w:val="009A6C15"/>
    <w:rsid w:val="009A6DAE"/>
    <w:rsid w:val="009A6FEA"/>
    <w:rsid w:val="009A72A5"/>
    <w:rsid w:val="009A7B16"/>
    <w:rsid w:val="009B0463"/>
    <w:rsid w:val="009B075E"/>
    <w:rsid w:val="009B0BD9"/>
    <w:rsid w:val="009B1C05"/>
    <w:rsid w:val="009B23A1"/>
    <w:rsid w:val="009B2620"/>
    <w:rsid w:val="009B327C"/>
    <w:rsid w:val="009B418A"/>
    <w:rsid w:val="009B423D"/>
    <w:rsid w:val="009B42F4"/>
    <w:rsid w:val="009B489A"/>
    <w:rsid w:val="009B5416"/>
    <w:rsid w:val="009B56A3"/>
    <w:rsid w:val="009B5AB5"/>
    <w:rsid w:val="009B5E43"/>
    <w:rsid w:val="009B5F74"/>
    <w:rsid w:val="009B62D6"/>
    <w:rsid w:val="009B6305"/>
    <w:rsid w:val="009B6776"/>
    <w:rsid w:val="009B6860"/>
    <w:rsid w:val="009B6B4F"/>
    <w:rsid w:val="009B72DB"/>
    <w:rsid w:val="009B7354"/>
    <w:rsid w:val="009B7614"/>
    <w:rsid w:val="009B7808"/>
    <w:rsid w:val="009B7C75"/>
    <w:rsid w:val="009B7F33"/>
    <w:rsid w:val="009C01F5"/>
    <w:rsid w:val="009C0240"/>
    <w:rsid w:val="009C0B27"/>
    <w:rsid w:val="009C0B99"/>
    <w:rsid w:val="009C0FBD"/>
    <w:rsid w:val="009C10BA"/>
    <w:rsid w:val="009C15A9"/>
    <w:rsid w:val="009C16C2"/>
    <w:rsid w:val="009C1D87"/>
    <w:rsid w:val="009C2080"/>
    <w:rsid w:val="009C2892"/>
    <w:rsid w:val="009C3346"/>
    <w:rsid w:val="009C3677"/>
    <w:rsid w:val="009C38D2"/>
    <w:rsid w:val="009C3B5E"/>
    <w:rsid w:val="009C3F0B"/>
    <w:rsid w:val="009C4553"/>
    <w:rsid w:val="009C48D9"/>
    <w:rsid w:val="009C4D2B"/>
    <w:rsid w:val="009C59BE"/>
    <w:rsid w:val="009C5C2B"/>
    <w:rsid w:val="009C5C55"/>
    <w:rsid w:val="009C62AC"/>
    <w:rsid w:val="009C645B"/>
    <w:rsid w:val="009C71C7"/>
    <w:rsid w:val="009C735F"/>
    <w:rsid w:val="009C767D"/>
    <w:rsid w:val="009C774C"/>
    <w:rsid w:val="009D077D"/>
    <w:rsid w:val="009D1726"/>
    <w:rsid w:val="009D2650"/>
    <w:rsid w:val="009D268C"/>
    <w:rsid w:val="009D28DF"/>
    <w:rsid w:val="009D29B7"/>
    <w:rsid w:val="009D2E5D"/>
    <w:rsid w:val="009D31CD"/>
    <w:rsid w:val="009D3578"/>
    <w:rsid w:val="009D396D"/>
    <w:rsid w:val="009D3A90"/>
    <w:rsid w:val="009D3B14"/>
    <w:rsid w:val="009D3DCE"/>
    <w:rsid w:val="009D407B"/>
    <w:rsid w:val="009D41FE"/>
    <w:rsid w:val="009D4221"/>
    <w:rsid w:val="009D44A1"/>
    <w:rsid w:val="009D4C66"/>
    <w:rsid w:val="009D547C"/>
    <w:rsid w:val="009D58EA"/>
    <w:rsid w:val="009D5924"/>
    <w:rsid w:val="009D60AF"/>
    <w:rsid w:val="009D691C"/>
    <w:rsid w:val="009D6FED"/>
    <w:rsid w:val="009D7B02"/>
    <w:rsid w:val="009E065F"/>
    <w:rsid w:val="009E0B2D"/>
    <w:rsid w:val="009E1914"/>
    <w:rsid w:val="009E1CB0"/>
    <w:rsid w:val="009E20C1"/>
    <w:rsid w:val="009E22F1"/>
    <w:rsid w:val="009E26FD"/>
    <w:rsid w:val="009E2978"/>
    <w:rsid w:val="009E2ADC"/>
    <w:rsid w:val="009E3612"/>
    <w:rsid w:val="009E3919"/>
    <w:rsid w:val="009E3B5B"/>
    <w:rsid w:val="009E4293"/>
    <w:rsid w:val="009E484A"/>
    <w:rsid w:val="009E48EF"/>
    <w:rsid w:val="009E5931"/>
    <w:rsid w:val="009E6150"/>
    <w:rsid w:val="009E6724"/>
    <w:rsid w:val="009E6FE5"/>
    <w:rsid w:val="009E7177"/>
    <w:rsid w:val="009E7339"/>
    <w:rsid w:val="009E7401"/>
    <w:rsid w:val="009F09D5"/>
    <w:rsid w:val="009F09D6"/>
    <w:rsid w:val="009F0AF1"/>
    <w:rsid w:val="009F0F32"/>
    <w:rsid w:val="009F0FF1"/>
    <w:rsid w:val="009F116B"/>
    <w:rsid w:val="009F12E7"/>
    <w:rsid w:val="009F17C9"/>
    <w:rsid w:val="009F2092"/>
    <w:rsid w:val="009F2800"/>
    <w:rsid w:val="009F3EDD"/>
    <w:rsid w:val="009F4038"/>
    <w:rsid w:val="009F4558"/>
    <w:rsid w:val="009F48CE"/>
    <w:rsid w:val="009F4C09"/>
    <w:rsid w:val="009F580D"/>
    <w:rsid w:val="009F5BD8"/>
    <w:rsid w:val="009F5E34"/>
    <w:rsid w:val="009F60AD"/>
    <w:rsid w:val="009F60F5"/>
    <w:rsid w:val="009F6314"/>
    <w:rsid w:val="009F68C9"/>
    <w:rsid w:val="009F6F7F"/>
    <w:rsid w:val="009F7183"/>
    <w:rsid w:val="009F752A"/>
    <w:rsid w:val="00A00095"/>
    <w:rsid w:val="00A008D1"/>
    <w:rsid w:val="00A00A07"/>
    <w:rsid w:val="00A019D0"/>
    <w:rsid w:val="00A023A1"/>
    <w:rsid w:val="00A02637"/>
    <w:rsid w:val="00A02880"/>
    <w:rsid w:val="00A028A3"/>
    <w:rsid w:val="00A02B02"/>
    <w:rsid w:val="00A02DE8"/>
    <w:rsid w:val="00A0322E"/>
    <w:rsid w:val="00A034DD"/>
    <w:rsid w:val="00A03F68"/>
    <w:rsid w:val="00A047FD"/>
    <w:rsid w:val="00A04D6E"/>
    <w:rsid w:val="00A0502C"/>
    <w:rsid w:val="00A055AE"/>
    <w:rsid w:val="00A05774"/>
    <w:rsid w:val="00A058EB"/>
    <w:rsid w:val="00A064EF"/>
    <w:rsid w:val="00A06813"/>
    <w:rsid w:val="00A06A8A"/>
    <w:rsid w:val="00A06B1F"/>
    <w:rsid w:val="00A06EDA"/>
    <w:rsid w:val="00A0775B"/>
    <w:rsid w:val="00A07CF3"/>
    <w:rsid w:val="00A07DE8"/>
    <w:rsid w:val="00A1002D"/>
    <w:rsid w:val="00A10084"/>
    <w:rsid w:val="00A100F6"/>
    <w:rsid w:val="00A10393"/>
    <w:rsid w:val="00A10457"/>
    <w:rsid w:val="00A110CD"/>
    <w:rsid w:val="00A110D2"/>
    <w:rsid w:val="00A11194"/>
    <w:rsid w:val="00A1165C"/>
    <w:rsid w:val="00A121B7"/>
    <w:rsid w:val="00A122FE"/>
    <w:rsid w:val="00A123C5"/>
    <w:rsid w:val="00A123C7"/>
    <w:rsid w:val="00A1250E"/>
    <w:rsid w:val="00A12F5F"/>
    <w:rsid w:val="00A130AB"/>
    <w:rsid w:val="00A13F7E"/>
    <w:rsid w:val="00A13FB2"/>
    <w:rsid w:val="00A140E7"/>
    <w:rsid w:val="00A143F6"/>
    <w:rsid w:val="00A15121"/>
    <w:rsid w:val="00A155B5"/>
    <w:rsid w:val="00A16368"/>
    <w:rsid w:val="00A16892"/>
    <w:rsid w:val="00A1698D"/>
    <w:rsid w:val="00A16B02"/>
    <w:rsid w:val="00A17296"/>
    <w:rsid w:val="00A1760C"/>
    <w:rsid w:val="00A1799A"/>
    <w:rsid w:val="00A2001A"/>
    <w:rsid w:val="00A20390"/>
    <w:rsid w:val="00A20793"/>
    <w:rsid w:val="00A20B8B"/>
    <w:rsid w:val="00A20D14"/>
    <w:rsid w:val="00A20D95"/>
    <w:rsid w:val="00A2175C"/>
    <w:rsid w:val="00A21B0B"/>
    <w:rsid w:val="00A21B6D"/>
    <w:rsid w:val="00A21C3B"/>
    <w:rsid w:val="00A22124"/>
    <w:rsid w:val="00A2299E"/>
    <w:rsid w:val="00A22E53"/>
    <w:rsid w:val="00A23630"/>
    <w:rsid w:val="00A23722"/>
    <w:rsid w:val="00A2410D"/>
    <w:rsid w:val="00A243AA"/>
    <w:rsid w:val="00A243B7"/>
    <w:rsid w:val="00A243CD"/>
    <w:rsid w:val="00A246A2"/>
    <w:rsid w:val="00A24859"/>
    <w:rsid w:val="00A24A9E"/>
    <w:rsid w:val="00A24C57"/>
    <w:rsid w:val="00A24ED3"/>
    <w:rsid w:val="00A25485"/>
    <w:rsid w:val="00A25BB8"/>
    <w:rsid w:val="00A2613E"/>
    <w:rsid w:val="00A269D0"/>
    <w:rsid w:val="00A26AF3"/>
    <w:rsid w:val="00A26B53"/>
    <w:rsid w:val="00A27130"/>
    <w:rsid w:val="00A274CA"/>
    <w:rsid w:val="00A27532"/>
    <w:rsid w:val="00A275C1"/>
    <w:rsid w:val="00A2783F"/>
    <w:rsid w:val="00A27B72"/>
    <w:rsid w:val="00A3030A"/>
    <w:rsid w:val="00A30906"/>
    <w:rsid w:val="00A30D9C"/>
    <w:rsid w:val="00A30F62"/>
    <w:rsid w:val="00A313A0"/>
    <w:rsid w:val="00A314B4"/>
    <w:rsid w:val="00A31BF4"/>
    <w:rsid w:val="00A31DB7"/>
    <w:rsid w:val="00A31FCC"/>
    <w:rsid w:val="00A3206F"/>
    <w:rsid w:val="00A3222E"/>
    <w:rsid w:val="00A323F8"/>
    <w:rsid w:val="00A32474"/>
    <w:rsid w:val="00A32597"/>
    <w:rsid w:val="00A3262D"/>
    <w:rsid w:val="00A327AC"/>
    <w:rsid w:val="00A32C12"/>
    <w:rsid w:val="00A32E67"/>
    <w:rsid w:val="00A33307"/>
    <w:rsid w:val="00A333B6"/>
    <w:rsid w:val="00A33413"/>
    <w:rsid w:val="00A339AC"/>
    <w:rsid w:val="00A33C22"/>
    <w:rsid w:val="00A349A9"/>
    <w:rsid w:val="00A34D18"/>
    <w:rsid w:val="00A35A57"/>
    <w:rsid w:val="00A360F2"/>
    <w:rsid w:val="00A36237"/>
    <w:rsid w:val="00A370F1"/>
    <w:rsid w:val="00A373DC"/>
    <w:rsid w:val="00A3772C"/>
    <w:rsid w:val="00A3784A"/>
    <w:rsid w:val="00A40357"/>
    <w:rsid w:val="00A40955"/>
    <w:rsid w:val="00A40A31"/>
    <w:rsid w:val="00A415C5"/>
    <w:rsid w:val="00A418DB"/>
    <w:rsid w:val="00A4192D"/>
    <w:rsid w:val="00A41A03"/>
    <w:rsid w:val="00A425B4"/>
    <w:rsid w:val="00A42600"/>
    <w:rsid w:val="00A427B3"/>
    <w:rsid w:val="00A42933"/>
    <w:rsid w:val="00A42D6C"/>
    <w:rsid w:val="00A43372"/>
    <w:rsid w:val="00A4380B"/>
    <w:rsid w:val="00A4382C"/>
    <w:rsid w:val="00A43E8D"/>
    <w:rsid w:val="00A4416D"/>
    <w:rsid w:val="00A44187"/>
    <w:rsid w:val="00A441A2"/>
    <w:rsid w:val="00A441D0"/>
    <w:rsid w:val="00A444C0"/>
    <w:rsid w:val="00A4513B"/>
    <w:rsid w:val="00A45414"/>
    <w:rsid w:val="00A466EC"/>
    <w:rsid w:val="00A466F9"/>
    <w:rsid w:val="00A467B8"/>
    <w:rsid w:val="00A4695D"/>
    <w:rsid w:val="00A46B2D"/>
    <w:rsid w:val="00A46FB0"/>
    <w:rsid w:val="00A470D6"/>
    <w:rsid w:val="00A47200"/>
    <w:rsid w:val="00A47341"/>
    <w:rsid w:val="00A500FF"/>
    <w:rsid w:val="00A50462"/>
    <w:rsid w:val="00A50D6E"/>
    <w:rsid w:val="00A512B6"/>
    <w:rsid w:val="00A518B5"/>
    <w:rsid w:val="00A51C5A"/>
    <w:rsid w:val="00A5212F"/>
    <w:rsid w:val="00A52179"/>
    <w:rsid w:val="00A52513"/>
    <w:rsid w:val="00A52751"/>
    <w:rsid w:val="00A52E8E"/>
    <w:rsid w:val="00A53498"/>
    <w:rsid w:val="00A53EBB"/>
    <w:rsid w:val="00A53EC7"/>
    <w:rsid w:val="00A53FAC"/>
    <w:rsid w:val="00A54225"/>
    <w:rsid w:val="00A542E9"/>
    <w:rsid w:val="00A545D6"/>
    <w:rsid w:val="00A54AB4"/>
    <w:rsid w:val="00A558C9"/>
    <w:rsid w:val="00A558D2"/>
    <w:rsid w:val="00A55E72"/>
    <w:rsid w:val="00A562B1"/>
    <w:rsid w:val="00A5645B"/>
    <w:rsid w:val="00A5667C"/>
    <w:rsid w:val="00A566BC"/>
    <w:rsid w:val="00A5680B"/>
    <w:rsid w:val="00A56A19"/>
    <w:rsid w:val="00A56AEC"/>
    <w:rsid w:val="00A56E6F"/>
    <w:rsid w:val="00A5709A"/>
    <w:rsid w:val="00A577FE"/>
    <w:rsid w:val="00A57FED"/>
    <w:rsid w:val="00A60044"/>
    <w:rsid w:val="00A6063C"/>
    <w:rsid w:val="00A60B44"/>
    <w:rsid w:val="00A60BE5"/>
    <w:rsid w:val="00A61544"/>
    <w:rsid w:val="00A619CA"/>
    <w:rsid w:val="00A61A1E"/>
    <w:rsid w:val="00A61CA2"/>
    <w:rsid w:val="00A621C0"/>
    <w:rsid w:val="00A6271A"/>
    <w:rsid w:val="00A62870"/>
    <w:rsid w:val="00A63153"/>
    <w:rsid w:val="00A6330E"/>
    <w:rsid w:val="00A63335"/>
    <w:rsid w:val="00A63CEC"/>
    <w:rsid w:val="00A6424F"/>
    <w:rsid w:val="00A64BC4"/>
    <w:rsid w:val="00A64FD7"/>
    <w:rsid w:val="00A65497"/>
    <w:rsid w:val="00A65543"/>
    <w:rsid w:val="00A6573E"/>
    <w:rsid w:val="00A657A0"/>
    <w:rsid w:val="00A663DD"/>
    <w:rsid w:val="00A6646A"/>
    <w:rsid w:val="00A6672D"/>
    <w:rsid w:val="00A67162"/>
    <w:rsid w:val="00A67283"/>
    <w:rsid w:val="00A70610"/>
    <w:rsid w:val="00A72495"/>
    <w:rsid w:val="00A7267F"/>
    <w:rsid w:val="00A72ABD"/>
    <w:rsid w:val="00A72F27"/>
    <w:rsid w:val="00A73213"/>
    <w:rsid w:val="00A7448E"/>
    <w:rsid w:val="00A74D8A"/>
    <w:rsid w:val="00A74E27"/>
    <w:rsid w:val="00A74EE8"/>
    <w:rsid w:val="00A75D05"/>
    <w:rsid w:val="00A75E6F"/>
    <w:rsid w:val="00A75F32"/>
    <w:rsid w:val="00A768BE"/>
    <w:rsid w:val="00A76A64"/>
    <w:rsid w:val="00A77A5B"/>
    <w:rsid w:val="00A77D00"/>
    <w:rsid w:val="00A804F9"/>
    <w:rsid w:val="00A80DFF"/>
    <w:rsid w:val="00A80E21"/>
    <w:rsid w:val="00A812CB"/>
    <w:rsid w:val="00A81478"/>
    <w:rsid w:val="00A81B13"/>
    <w:rsid w:val="00A826CA"/>
    <w:rsid w:val="00A82A2C"/>
    <w:rsid w:val="00A82EED"/>
    <w:rsid w:val="00A834A0"/>
    <w:rsid w:val="00A83E3F"/>
    <w:rsid w:val="00A8430F"/>
    <w:rsid w:val="00A84EFD"/>
    <w:rsid w:val="00A85215"/>
    <w:rsid w:val="00A85332"/>
    <w:rsid w:val="00A85D54"/>
    <w:rsid w:val="00A865D9"/>
    <w:rsid w:val="00A86E6B"/>
    <w:rsid w:val="00A873E4"/>
    <w:rsid w:val="00A875F5"/>
    <w:rsid w:val="00A87938"/>
    <w:rsid w:val="00A87E35"/>
    <w:rsid w:val="00A87F0A"/>
    <w:rsid w:val="00A9002A"/>
    <w:rsid w:val="00A900F0"/>
    <w:rsid w:val="00A91118"/>
    <w:rsid w:val="00A914AD"/>
    <w:rsid w:val="00A9170F"/>
    <w:rsid w:val="00A91962"/>
    <w:rsid w:val="00A91EF0"/>
    <w:rsid w:val="00A9214A"/>
    <w:rsid w:val="00A927B8"/>
    <w:rsid w:val="00A929D4"/>
    <w:rsid w:val="00A92FC0"/>
    <w:rsid w:val="00A93315"/>
    <w:rsid w:val="00A93489"/>
    <w:rsid w:val="00A93D69"/>
    <w:rsid w:val="00A94134"/>
    <w:rsid w:val="00A94665"/>
    <w:rsid w:val="00A94F52"/>
    <w:rsid w:val="00A95465"/>
    <w:rsid w:val="00A956E1"/>
    <w:rsid w:val="00A95A99"/>
    <w:rsid w:val="00A95C99"/>
    <w:rsid w:val="00A967DF"/>
    <w:rsid w:val="00A970E1"/>
    <w:rsid w:val="00A971BB"/>
    <w:rsid w:val="00A9725B"/>
    <w:rsid w:val="00A978E8"/>
    <w:rsid w:val="00A97CAD"/>
    <w:rsid w:val="00AA004B"/>
    <w:rsid w:val="00AA013A"/>
    <w:rsid w:val="00AA0500"/>
    <w:rsid w:val="00AA0EDC"/>
    <w:rsid w:val="00AA1349"/>
    <w:rsid w:val="00AA1723"/>
    <w:rsid w:val="00AA1797"/>
    <w:rsid w:val="00AA1A4E"/>
    <w:rsid w:val="00AA213E"/>
    <w:rsid w:val="00AA2790"/>
    <w:rsid w:val="00AA286C"/>
    <w:rsid w:val="00AA2AD0"/>
    <w:rsid w:val="00AA2F67"/>
    <w:rsid w:val="00AA2FDD"/>
    <w:rsid w:val="00AA3C53"/>
    <w:rsid w:val="00AA4164"/>
    <w:rsid w:val="00AA43B2"/>
    <w:rsid w:val="00AA4470"/>
    <w:rsid w:val="00AA4D9F"/>
    <w:rsid w:val="00AA5893"/>
    <w:rsid w:val="00AA5D63"/>
    <w:rsid w:val="00AA70A6"/>
    <w:rsid w:val="00AA7802"/>
    <w:rsid w:val="00AA791C"/>
    <w:rsid w:val="00AA7A13"/>
    <w:rsid w:val="00AA7DAE"/>
    <w:rsid w:val="00AB03CD"/>
    <w:rsid w:val="00AB0409"/>
    <w:rsid w:val="00AB0973"/>
    <w:rsid w:val="00AB0CE2"/>
    <w:rsid w:val="00AB108F"/>
    <w:rsid w:val="00AB20BB"/>
    <w:rsid w:val="00AB3AB3"/>
    <w:rsid w:val="00AB3CF6"/>
    <w:rsid w:val="00AB3DBE"/>
    <w:rsid w:val="00AB3EC2"/>
    <w:rsid w:val="00AB409E"/>
    <w:rsid w:val="00AB40D6"/>
    <w:rsid w:val="00AB41C6"/>
    <w:rsid w:val="00AB4465"/>
    <w:rsid w:val="00AB4A58"/>
    <w:rsid w:val="00AB4D07"/>
    <w:rsid w:val="00AB4D35"/>
    <w:rsid w:val="00AB574E"/>
    <w:rsid w:val="00AB5885"/>
    <w:rsid w:val="00AB5FF6"/>
    <w:rsid w:val="00AB647F"/>
    <w:rsid w:val="00AB64EA"/>
    <w:rsid w:val="00AB6CB2"/>
    <w:rsid w:val="00AC043E"/>
    <w:rsid w:val="00AC05B1"/>
    <w:rsid w:val="00AC05FC"/>
    <w:rsid w:val="00AC0730"/>
    <w:rsid w:val="00AC13A9"/>
    <w:rsid w:val="00AC1CCD"/>
    <w:rsid w:val="00AC20FB"/>
    <w:rsid w:val="00AC239E"/>
    <w:rsid w:val="00AC23AD"/>
    <w:rsid w:val="00AC28D7"/>
    <w:rsid w:val="00AC3561"/>
    <w:rsid w:val="00AC35CC"/>
    <w:rsid w:val="00AC3D08"/>
    <w:rsid w:val="00AC401A"/>
    <w:rsid w:val="00AC4205"/>
    <w:rsid w:val="00AC4225"/>
    <w:rsid w:val="00AC4226"/>
    <w:rsid w:val="00AC45DE"/>
    <w:rsid w:val="00AC4A22"/>
    <w:rsid w:val="00AC5AE1"/>
    <w:rsid w:val="00AC6437"/>
    <w:rsid w:val="00AC64B9"/>
    <w:rsid w:val="00AC657D"/>
    <w:rsid w:val="00AC6E5C"/>
    <w:rsid w:val="00AC71EC"/>
    <w:rsid w:val="00AC736E"/>
    <w:rsid w:val="00AC79C4"/>
    <w:rsid w:val="00AC7C19"/>
    <w:rsid w:val="00AC7FD7"/>
    <w:rsid w:val="00AD015F"/>
    <w:rsid w:val="00AD0559"/>
    <w:rsid w:val="00AD0BBE"/>
    <w:rsid w:val="00AD12B1"/>
    <w:rsid w:val="00AD12B8"/>
    <w:rsid w:val="00AD1D20"/>
    <w:rsid w:val="00AD28BB"/>
    <w:rsid w:val="00AD296A"/>
    <w:rsid w:val="00AD29FB"/>
    <w:rsid w:val="00AD3746"/>
    <w:rsid w:val="00AD38D1"/>
    <w:rsid w:val="00AD452C"/>
    <w:rsid w:val="00AD4C00"/>
    <w:rsid w:val="00AD5246"/>
    <w:rsid w:val="00AD5504"/>
    <w:rsid w:val="00AD55D6"/>
    <w:rsid w:val="00AD61C0"/>
    <w:rsid w:val="00AD634D"/>
    <w:rsid w:val="00AD7270"/>
    <w:rsid w:val="00AD7660"/>
    <w:rsid w:val="00AD7969"/>
    <w:rsid w:val="00AD7AB6"/>
    <w:rsid w:val="00AD7C47"/>
    <w:rsid w:val="00AE0166"/>
    <w:rsid w:val="00AE0397"/>
    <w:rsid w:val="00AE081D"/>
    <w:rsid w:val="00AE0C50"/>
    <w:rsid w:val="00AE1723"/>
    <w:rsid w:val="00AE195A"/>
    <w:rsid w:val="00AE2922"/>
    <w:rsid w:val="00AE2CEB"/>
    <w:rsid w:val="00AE2EA5"/>
    <w:rsid w:val="00AE4390"/>
    <w:rsid w:val="00AE44C7"/>
    <w:rsid w:val="00AE4BA5"/>
    <w:rsid w:val="00AE52F8"/>
    <w:rsid w:val="00AE5381"/>
    <w:rsid w:val="00AE5BEB"/>
    <w:rsid w:val="00AE5F7F"/>
    <w:rsid w:val="00AE6047"/>
    <w:rsid w:val="00AE63BD"/>
    <w:rsid w:val="00AE6CF0"/>
    <w:rsid w:val="00AE70D4"/>
    <w:rsid w:val="00AE74EA"/>
    <w:rsid w:val="00AE7809"/>
    <w:rsid w:val="00AE7D8E"/>
    <w:rsid w:val="00AF03B7"/>
    <w:rsid w:val="00AF0787"/>
    <w:rsid w:val="00AF0B47"/>
    <w:rsid w:val="00AF10A1"/>
    <w:rsid w:val="00AF115B"/>
    <w:rsid w:val="00AF12AF"/>
    <w:rsid w:val="00AF13B2"/>
    <w:rsid w:val="00AF1477"/>
    <w:rsid w:val="00AF1C7B"/>
    <w:rsid w:val="00AF23DC"/>
    <w:rsid w:val="00AF2437"/>
    <w:rsid w:val="00AF2582"/>
    <w:rsid w:val="00AF2842"/>
    <w:rsid w:val="00AF2A88"/>
    <w:rsid w:val="00AF42F5"/>
    <w:rsid w:val="00AF5DB7"/>
    <w:rsid w:val="00AF5E00"/>
    <w:rsid w:val="00AF6C1D"/>
    <w:rsid w:val="00AF6C2D"/>
    <w:rsid w:val="00B005DA"/>
    <w:rsid w:val="00B01268"/>
    <w:rsid w:val="00B01371"/>
    <w:rsid w:val="00B015F7"/>
    <w:rsid w:val="00B0191A"/>
    <w:rsid w:val="00B01AA0"/>
    <w:rsid w:val="00B0264C"/>
    <w:rsid w:val="00B02AAD"/>
    <w:rsid w:val="00B03471"/>
    <w:rsid w:val="00B03602"/>
    <w:rsid w:val="00B036E4"/>
    <w:rsid w:val="00B0381F"/>
    <w:rsid w:val="00B03E06"/>
    <w:rsid w:val="00B0490A"/>
    <w:rsid w:val="00B04E38"/>
    <w:rsid w:val="00B04F77"/>
    <w:rsid w:val="00B054B8"/>
    <w:rsid w:val="00B0566B"/>
    <w:rsid w:val="00B06878"/>
    <w:rsid w:val="00B06B62"/>
    <w:rsid w:val="00B06BA4"/>
    <w:rsid w:val="00B079DB"/>
    <w:rsid w:val="00B07A4F"/>
    <w:rsid w:val="00B102D0"/>
    <w:rsid w:val="00B110DE"/>
    <w:rsid w:val="00B11386"/>
    <w:rsid w:val="00B117E1"/>
    <w:rsid w:val="00B11A45"/>
    <w:rsid w:val="00B11DBC"/>
    <w:rsid w:val="00B125AE"/>
    <w:rsid w:val="00B12986"/>
    <w:rsid w:val="00B12996"/>
    <w:rsid w:val="00B12A2F"/>
    <w:rsid w:val="00B12D73"/>
    <w:rsid w:val="00B12E40"/>
    <w:rsid w:val="00B12FA3"/>
    <w:rsid w:val="00B13045"/>
    <w:rsid w:val="00B138A0"/>
    <w:rsid w:val="00B13C02"/>
    <w:rsid w:val="00B1425E"/>
    <w:rsid w:val="00B14321"/>
    <w:rsid w:val="00B152B7"/>
    <w:rsid w:val="00B15847"/>
    <w:rsid w:val="00B15C1C"/>
    <w:rsid w:val="00B162A6"/>
    <w:rsid w:val="00B1754A"/>
    <w:rsid w:val="00B17B2A"/>
    <w:rsid w:val="00B17BC5"/>
    <w:rsid w:val="00B17BEF"/>
    <w:rsid w:val="00B17D99"/>
    <w:rsid w:val="00B17ED4"/>
    <w:rsid w:val="00B20509"/>
    <w:rsid w:val="00B2091C"/>
    <w:rsid w:val="00B20ABD"/>
    <w:rsid w:val="00B2155B"/>
    <w:rsid w:val="00B21932"/>
    <w:rsid w:val="00B21A29"/>
    <w:rsid w:val="00B221F5"/>
    <w:rsid w:val="00B224E9"/>
    <w:rsid w:val="00B226B1"/>
    <w:rsid w:val="00B22A21"/>
    <w:rsid w:val="00B22E33"/>
    <w:rsid w:val="00B22F15"/>
    <w:rsid w:val="00B232F1"/>
    <w:rsid w:val="00B23CC0"/>
    <w:rsid w:val="00B23ED7"/>
    <w:rsid w:val="00B2455A"/>
    <w:rsid w:val="00B24C18"/>
    <w:rsid w:val="00B24CB0"/>
    <w:rsid w:val="00B24E04"/>
    <w:rsid w:val="00B253F1"/>
    <w:rsid w:val="00B2558C"/>
    <w:rsid w:val="00B2571B"/>
    <w:rsid w:val="00B25F6D"/>
    <w:rsid w:val="00B265BB"/>
    <w:rsid w:val="00B26CDF"/>
    <w:rsid w:val="00B26E61"/>
    <w:rsid w:val="00B26FD3"/>
    <w:rsid w:val="00B27249"/>
    <w:rsid w:val="00B3034F"/>
    <w:rsid w:val="00B3036C"/>
    <w:rsid w:val="00B30D84"/>
    <w:rsid w:val="00B312A9"/>
    <w:rsid w:val="00B31E93"/>
    <w:rsid w:val="00B31F3D"/>
    <w:rsid w:val="00B3217D"/>
    <w:rsid w:val="00B324AE"/>
    <w:rsid w:val="00B32FD7"/>
    <w:rsid w:val="00B337AB"/>
    <w:rsid w:val="00B34327"/>
    <w:rsid w:val="00B3444B"/>
    <w:rsid w:val="00B34E31"/>
    <w:rsid w:val="00B35F03"/>
    <w:rsid w:val="00B35FF1"/>
    <w:rsid w:val="00B3607F"/>
    <w:rsid w:val="00B367DD"/>
    <w:rsid w:val="00B3697C"/>
    <w:rsid w:val="00B36D7E"/>
    <w:rsid w:val="00B376EC"/>
    <w:rsid w:val="00B37BBC"/>
    <w:rsid w:val="00B37BD7"/>
    <w:rsid w:val="00B37D9F"/>
    <w:rsid w:val="00B4074A"/>
    <w:rsid w:val="00B407CD"/>
    <w:rsid w:val="00B40A97"/>
    <w:rsid w:val="00B40C0F"/>
    <w:rsid w:val="00B40E85"/>
    <w:rsid w:val="00B4125F"/>
    <w:rsid w:val="00B41438"/>
    <w:rsid w:val="00B417C8"/>
    <w:rsid w:val="00B41AB5"/>
    <w:rsid w:val="00B41E38"/>
    <w:rsid w:val="00B4205B"/>
    <w:rsid w:val="00B424CF"/>
    <w:rsid w:val="00B42DA7"/>
    <w:rsid w:val="00B436D9"/>
    <w:rsid w:val="00B438ED"/>
    <w:rsid w:val="00B43928"/>
    <w:rsid w:val="00B43A15"/>
    <w:rsid w:val="00B43D77"/>
    <w:rsid w:val="00B44968"/>
    <w:rsid w:val="00B44A40"/>
    <w:rsid w:val="00B44F33"/>
    <w:rsid w:val="00B452CB"/>
    <w:rsid w:val="00B45551"/>
    <w:rsid w:val="00B45600"/>
    <w:rsid w:val="00B45652"/>
    <w:rsid w:val="00B45BCE"/>
    <w:rsid w:val="00B4637E"/>
    <w:rsid w:val="00B46480"/>
    <w:rsid w:val="00B469D8"/>
    <w:rsid w:val="00B46A90"/>
    <w:rsid w:val="00B46B0D"/>
    <w:rsid w:val="00B47865"/>
    <w:rsid w:val="00B47A5B"/>
    <w:rsid w:val="00B47C4D"/>
    <w:rsid w:val="00B47C91"/>
    <w:rsid w:val="00B47F2C"/>
    <w:rsid w:val="00B5060D"/>
    <w:rsid w:val="00B5070C"/>
    <w:rsid w:val="00B511F9"/>
    <w:rsid w:val="00B512A0"/>
    <w:rsid w:val="00B51AB4"/>
    <w:rsid w:val="00B524D2"/>
    <w:rsid w:val="00B526A2"/>
    <w:rsid w:val="00B52725"/>
    <w:rsid w:val="00B52A01"/>
    <w:rsid w:val="00B52C63"/>
    <w:rsid w:val="00B52C94"/>
    <w:rsid w:val="00B52D86"/>
    <w:rsid w:val="00B53060"/>
    <w:rsid w:val="00B5342B"/>
    <w:rsid w:val="00B53C07"/>
    <w:rsid w:val="00B53FB9"/>
    <w:rsid w:val="00B54144"/>
    <w:rsid w:val="00B542DD"/>
    <w:rsid w:val="00B5443A"/>
    <w:rsid w:val="00B54B27"/>
    <w:rsid w:val="00B550F5"/>
    <w:rsid w:val="00B553C5"/>
    <w:rsid w:val="00B56248"/>
    <w:rsid w:val="00B5660B"/>
    <w:rsid w:val="00B56722"/>
    <w:rsid w:val="00B5734A"/>
    <w:rsid w:val="00B60D82"/>
    <w:rsid w:val="00B60DC0"/>
    <w:rsid w:val="00B6153C"/>
    <w:rsid w:val="00B61AC8"/>
    <w:rsid w:val="00B61B75"/>
    <w:rsid w:val="00B61CD9"/>
    <w:rsid w:val="00B6208D"/>
    <w:rsid w:val="00B62121"/>
    <w:rsid w:val="00B62A76"/>
    <w:rsid w:val="00B62D53"/>
    <w:rsid w:val="00B62E43"/>
    <w:rsid w:val="00B62EB5"/>
    <w:rsid w:val="00B62FEC"/>
    <w:rsid w:val="00B62FF2"/>
    <w:rsid w:val="00B6311E"/>
    <w:rsid w:val="00B63570"/>
    <w:rsid w:val="00B6388B"/>
    <w:rsid w:val="00B64050"/>
    <w:rsid w:val="00B64519"/>
    <w:rsid w:val="00B647EA"/>
    <w:rsid w:val="00B64819"/>
    <w:rsid w:val="00B64C35"/>
    <w:rsid w:val="00B64E7F"/>
    <w:rsid w:val="00B65939"/>
    <w:rsid w:val="00B65E9D"/>
    <w:rsid w:val="00B6667B"/>
    <w:rsid w:val="00B6755E"/>
    <w:rsid w:val="00B677C5"/>
    <w:rsid w:val="00B700EF"/>
    <w:rsid w:val="00B70484"/>
    <w:rsid w:val="00B71328"/>
    <w:rsid w:val="00B7157D"/>
    <w:rsid w:val="00B720B1"/>
    <w:rsid w:val="00B720D6"/>
    <w:rsid w:val="00B72E85"/>
    <w:rsid w:val="00B73603"/>
    <w:rsid w:val="00B73B29"/>
    <w:rsid w:val="00B73D34"/>
    <w:rsid w:val="00B740BA"/>
    <w:rsid w:val="00B74A37"/>
    <w:rsid w:val="00B74D0E"/>
    <w:rsid w:val="00B75389"/>
    <w:rsid w:val="00B75ACC"/>
    <w:rsid w:val="00B75C4D"/>
    <w:rsid w:val="00B75EE8"/>
    <w:rsid w:val="00B7613C"/>
    <w:rsid w:val="00B76875"/>
    <w:rsid w:val="00B768A9"/>
    <w:rsid w:val="00B76F18"/>
    <w:rsid w:val="00B774E4"/>
    <w:rsid w:val="00B77AF6"/>
    <w:rsid w:val="00B77E41"/>
    <w:rsid w:val="00B77F78"/>
    <w:rsid w:val="00B803B7"/>
    <w:rsid w:val="00B80794"/>
    <w:rsid w:val="00B817E5"/>
    <w:rsid w:val="00B82231"/>
    <w:rsid w:val="00B8329E"/>
    <w:rsid w:val="00B835A3"/>
    <w:rsid w:val="00B83616"/>
    <w:rsid w:val="00B83764"/>
    <w:rsid w:val="00B837FA"/>
    <w:rsid w:val="00B83C22"/>
    <w:rsid w:val="00B83E2C"/>
    <w:rsid w:val="00B84002"/>
    <w:rsid w:val="00B84829"/>
    <w:rsid w:val="00B849D8"/>
    <w:rsid w:val="00B84CFF"/>
    <w:rsid w:val="00B85173"/>
    <w:rsid w:val="00B85222"/>
    <w:rsid w:val="00B8583D"/>
    <w:rsid w:val="00B859AA"/>
    <w:rsid w:val="00B85A98"/>
    <w:rsid w:val="00B85FF6"/>
    <w:rsid w:val="00B86079"/>
    <w:rsid w:val="00B8628A"/>
    <w:rsid w:val="00B86B21"/>
    <w:rsid w:val="00B86C9D"/>
    <w:rsid w:val="00B8797E"/>
    <w:rsid w:val="00B87D89"/>
    <w:rsid w:val="00B87E55"/>
    <w:rsid w:val="00B87E73"/>
    <w:rsid w:val="00B87FF7"/>
    <w:rsid w:val="00B9001E"/>
    <w:rsid w:val="00B90F83"/>
    <w:rsid w:val="00B911BA"/>
    <w:rsid w:val="00B917A2"/>
    <w:rsid w:val="00B917B6"/>
    <w:rsid w:val="00B918AB"/>
    <w:rsid w:val="00B91F7C"/>
    <w:rsid w:val="00B91FF0"/>
    <w:rsid w:val="00B9277B"/>
    <w:rsid w:val="00B928A2"/>
    <w:rsid w:val="00B928C9"/>
    <w:rsid w:val="00B92B0C"/>
    <w:rsid w:val="00B92D00"/>
    <w:rsid w:val="00B934D2"/>
    <w:rsid w:val="00B93B1E"/>
    <w:rsid w:val="00B93F1A"/>
    <w:rsid w:val="00B944C5"/>
    <w:rsid w:val="00B94E92"/>
    <w:rsid w:val="00B94F5C"/>
    <w:rsid w:val="00B95421"/>
    <w:rsid w:val="00B95C46"/>
    <w:rsid w:val="00B9635A"/>
    <w:rsid w:val="00B9642C"/>
    <w:rsid w:val="00B9649C"/>
    <w:rsid w:val="00B96B1B"/>
    <w:rsid w:val="00B96B5E"/>
    <w:rsid w:val="00B96B96"/>
    <w:rsid w:val="00B970C0"/>
    <w:rsid w:val="00B973E0"/>
    <w:rsid w:val="00B976B7"/>
    <w:rsid w:val="00B97BED"/>
    <w:rsid w:val="00B97D0A"/>
    <w:rsid w:val="00B97EF4"/>
    <w:rsid w:val="00BA05BA"/>
    <w:rsid w:val="00BA1485"/>
    <w:rsid w:val="00BA190C"/>
    <w:rsid w:val="00BA1C65"/>
    <w:rsid w:val="00BA1F4C"/>
    <w:rsid w:val="00BA215C"/>
    <w:rsid w:val="00BA2AEE"/>
    <w:rsid w:val="00BA2B3B"/>
    <w:rsid w:val="00BA2CAB"/>
    <w:rsid w:val="00BA2D28"/>
    <w:rsid w:val="00BA2F7B"/>
    <w:rsid w:val="00BA3006"/>
    <w:rsid w:val="00BA31DE"/>
    <w:rsid w:val="00BA34A1"/>
    <w:rsid w:val="00BA39FC"/>
    <w:rsid w:val="00BA430D"/>
    <w:rsid w:val="00BA4497"/>
    <w:rsid w:val="00BA51DE"/>
    <w:rsid w:val="00BA5857"/>
    <w:rsid w:val="00BA5932"/>
    <w:rsid w:val="00BA5985"/>
    <w:rsid w:val="00BA5E33"/>
    <w:rsid w:val="00BA6FA3"/>
    <w:rsid w:val="00BA70D6"/>
    <w:rsid w:val="00BA7A29"/>
    <w:rsid w:val="00BA7AF7"/>
    <w:rsid w:val="00BA7D9A"/>
    <w:rsid w:val="00BB0AA5"/>
    <w:rsid w:val="00BB0E61"/>
    <w:rsid w:val="00BB141A"/>
    <w:rsid w:val="00BB241A"/>
    <w:rsid w:val="00BB2424"/>
    <w:rsid w:val="00BB24DE"/>
    <w:rsid w:val="00BB2557"/>
    <w:rsid w:val="00BB2720"/>
    <w:rsid w:val="00BB272E"/>
    <w:rsid w:val="00BB2864"/>
    <w:rsid w:val="00BB2A01"/>
    <w:rsid w:val="00BB2C7B"/>
    <w:rsid w:val="00BB30F4"/>
    <w:rsid w:val="00BB3637"/>
    <w:rsid w:val="00BB402E"/>
    <w:rsid w:val="00BB4250"/>
    <w:rsid w:val="00BB485B"/>
    <w:rsid w:val="00BB493C"/>
    <w:rsid w:val="00BB4A1C"/>
    <w:rsid w:val="00BB5614"/>
    <w:rsid w:val="00BB5A7C"/>
    <w:rsid w:val="00BB5ED8"/>
    <w:rsid w:val="00BB6492"/>
    <w:rsid w:val="00BB7102"/>
    <w:rsid w:val="00BB71AB"/>
    <w:rsid w:val="00BC0080"/>
    <w:rsid w:val="00BC00CC"/>
    <w:rsid w:val="00BC056E"/>
    <w:rsid w:val="00BC1879"/>
    <w:rsid w:val="00BC1A85"/>
    <w:rsid w:val="00BC1AA3"/>
    <w:rsid w:val="00BC2CA1"/>
    <w:rsid w:val="00BC2E05"/>
    <w:rsid w:val="00BC2F8A"/>
    <w:rsid w:val="00BC311D"/>
    <w:rsid w:val="00BC33D9"/>
    <w:rsid w:val="00BC39D8"/>
    <w:rsid w:val="00BC4208"/>
    <w:rsid w:val="00BC4229"/>
    <w:rsid w:val="00BC4E11"/>
    <w:rsid w:val="00BC5000"/>
    <w:rsid w:val="00BC5640"/>
    <w:rsid w:val="00BC5734"/>
    <w:rsid w:val="00BC5B88"/>
    <w:rsid w:val="00BC5B97"/>
    <w:rsid w:val="00BC60D0"/>
    <w:rsid w:val="00BC62C0"/>
    <w:rsid w:val="00BC6A24"/>
    <w:rsid w:val="00BC6C68"/>
    <w:rsid w:val="00BC6EF7"/>
    <w:rsid w:val="00BC7009"/>
    <w:rsid w:val="00BC708B"/>
    <w:rsid w:val="00BC7198"/>
    <w:rsid w:val="00BC7664"/>
    <w:rsid w:val="00BC790D"/>
    <w:rsid w:val="00BC7CB0"/>
    <w:rsid w:val="00BC7F4C"/>
    <w:rsid w:val="00BD066D"/>
    <w:rsid w:val="00BD0862"/>
    <w:rsid w:val="00BD1003"/>
    <w:rsid w:val="00BD109C"/>
    <w:rsid w:val="00BD10E7"/>
    <w:rsid w:val="00BD1D22"/>
    <w:rsid w:val="00BD1D4A"/>
    <w:rsid w:val="00BD1F5B"/>
    <w:rsid w:val="00BD2565"/>
    <w:rsid w:val="00BD2E3B"/>
    <w:rsid w:val="00BD39FA"/>
    <w:rsid w:val="00BD3DB6"/>
    <w:rsid w:val="00BD3E68"/>
    <w:rsid w:val="00BD4321"/>
    <w:rsid w:val="00BD452D"/>
    <w:rsid w:val="00BD46F5"/>
    <w:rsid w:val="00BD4836"/>
    <w:rsid w:val="00BD48D4"/>
    <w:rsid w:val="00BD61FA"/>
    <w:rsid w:val="00BD7114"/>
    <w:rsid w:val="00BD7315"/>
    <w:rsid w:val="00BD7FE2"/>
    <w:rsid w:val="00BE0360"/>
    <w:rsid w:val="00BE05B1"/>
    <w:rsid w:val="00BE05E3"/>
    <w:rsid w:val="00BE12CC"/>
    <w:rsid w:val="00BE173D"/>
    <w:rsid w:val="00BE17DB"/>
    <w:rsid w:val="00BE1A18"/>
    <w:rsid w:val="00BE1A26"/>
    <w:rsid w:val="00BE1FB3"/>
    <w:rsid w:val="00BE2C87"/>
    <w:rsid w:val="00BE2E27"/>
    <w:rsid w:val="00BE2F55"/>
    <w:rsid w:val="00BE3330"/>
    <w:rsid w:val="00BE3823"/>
    <w:rsid w:val="00BE396B"/>
    <w:rsid w:val="00BE3A5A"/>
    <w:rsid w:val="00BE3ADB"/>
    <w:rsid w:val="00BE3E24"/>
    <w:rsid w:val="00BE42D0"/>
    <w:rsid w:val="00BE440D"/>
    <w:rsid w:val="00BE4A78"/>
    <w:rsid w:val="00BE5082"/>
    <w:rsid w:val="00BE54DE"/>
    <w:rsid w:val="00BE6318"/>
    <w:rsid w:val="00BE6D0B"/>
    <w:rsid w:val="00BE6D9F"/>
    <w:rsid w:val="00BE7197"/>
    <w:rsid w:val="00BE752F"/>
    <w:rsid w:val="00BE7957"/>
    <w:rsid w:val="00BE79E7"/>
    <w:rsid w:val="00BF005A"/>
    <w:rsid w:val="00BF090B"/>
    <w:rsid w:val="00BF0A3D"/>
    <w:rsid w:val="00BF0FC2"/>
    <w:rsid w:val="00BF100C"/>
    <w:rsid w:val="00BF112C"/>
    <w:rsid w:val="00BF1371"/>
    <w:rsid w:val="00BF186D"/>
    <w:rsid w:val="00BF1963"/>
    <w:rsid w:val="00BF1A6C"/>
    <w:rsid w:val="00BF1BE3"/>
    <w:rsid w:val="00BF1C7E"/>
    <w:rsid w:val="00BF2CA4"/>
    <w:rsid w:val="00BF2CB6"/>
    <w:rsid w:val="00BF2F28"/>
    <w:rsid w:val="00BF2F83"/>
    <w:rsid w:val="00BF3151"/>
    <w:rsid w:val="00BF3884"/>
    <w:rsid w:val="00BF408B"/>
    <w:rsid w:val="00BF480F"/>
    <w:rsid w:val="00BF4812"/>
    <w:rsid w:val="00BF48B3"/>
    <w:rsid w:val="00BF51E6"/>
    <w:rsid w:val="00BF531A"/>
    <w:rsid w:val="00BF54DE"/>
    <w:rsid w:val="00BF561B"/>
    <w:rsid w:val="00BF59D0"/>
    <w:rsid w:val="00BF59E6"/>
    <w:rsid w:val="00BF64C2"/>
    <w:rsid w:val="00BF6FB3"/>
    <w:rsid w:val="00BF7BF4"/>
    <w:rsid w:val="00C0048B"/>
    <w:rsid w:val="00C00885"/>
    <w:rsid w:val="00C00EC0"/>
    <w:rsid w:val="00C0147C"/>
    <w:rsid w:val="00C0164C"/>
    <w:rsid w:val="00C0171F"/>
    <w:rsid w:val="00C017E5"/>
    <w:rsid w:val="00C01D1B"/>
    <w:rsid w:val="00C01DAD"/>
    <w:rsid w:val="00C033D7"/>
    <w:rsid w:val="00C0367C"/>
    <w:rsid w:val="00C04175"/>
    <w:rsid w:val="00C0527D"/>
    <w:rsid w:val="00C056CE"/>
    <w:rsid w:val="00C05DEB"/>
    <w:rsid w:val="00C0634A"/>
    <w:rsid w:val="00C06774"/>
    <w:rsid w:val="00C06B34"/>
    <w:rsid w:val="00C06C52"/>
    <w:rsid w:val="00C06E20"/>
    <w:rsid w:val="00C06F54"/>
    <w:rsid w:val="00C07E58"/>
    <w:rsid w:val="00C10380"/>
    <w:rsid w:val="00C10412"/>
    <w:rsid w:val="00C10A9C"/>
    <w:rsid w:val="00C10BE5"/>
    <w:rsid w:val="00C10F34"/>
    <w:rsid w:val="00C110AE"/>
    <w:rsid w:val="00C1160E"/>
    <w:rsid w:val="00C11A9B"/>
    <w:rsid w:val="00C11C42"/>
    <w:rsid w:val="00C121B4"/>
    <w:rsid w:val="00C12250"/>
    <w:rsid w:val="00C12439"/>
    <w:rsid w:val="00C12540"/>
    <w:rsid w:val="00C12C37"/>
    <w:rsid w:val="00C12C8C"/>
    <w:rsid w:val="00C12F64"/>
    <w:rsid w:val="00C133DE"/>
    <w:rsid w:val="00C13410"/>
    <w:rsid w:val="00C136C3"/>
    <w:rsid w:val="00C13D99"/>
    <w:rsid w:val="00C145B3"/>
    <w:rsid w:val="00C14E76"/>
    <w:rsid w:val="00C15056"/>
    <w:rsid w:val="00C15AEB"/>
    <w:rsid w:val="00C15D4C"/>
    <w:rsid w:val="00C1610E"/>
    <w:rsid w:val="00C169C6"/>
    <w:rsid w:val="00C16BD5"/>
    <w:rsid w:val="00C1703D"/>
    <w:rsid w:val="00C17129"/>
    <w:rsid w:val="00C172F8"/>
    <w:rsid w:val="00C176C6"/>
    <w:rsid w:val="00C17BE1"/>
    <w:rsid w:val="00C17C2B"/>
    <w:rsid w:val="00C17C2D"/>
    <w:rsid w:val="00C20056"/>
    <w:rsid w:val="00C20195"/>
    <w:rsid w:val="00C201D7"/>
    <w:rsid w:val="00C205F1"/>
    <w:rsid w:val="00C2084A"/>
    <w:rsid w:val="00C20A95"/>
    <w:rsid w:val="00C20FFA"/>
    <w:rsid w:val="00C219E3"/>
    <w:rsid w:val="00C22640"/>
    <w:rsid w:val="00C226B2"/>
    <w:rsid w:val="00C22CBC"/>
    <w:rsid w:val="00C22DFC"/>
    <w:rsid w:val="00C231F0"/>
    <w:rsid w:val="00C23963"/>
    <w:rsid w:val="00C24132"/>
    <w:rsid w:val="00C241CA"/>
    <w:rsid w:val="00C24548"/>
    <w:rsid w:val="00C249B3"/>
    <w:rsid w:val="00C24C29"/>
    <w:rsid w:val="00C253D4"/>
    <w:rsid w:val="00C2561D"/>
    <w:rsid w:val="00C263B0"/>
    <w:rsid w:val="00C265A3"/>
    <w:rsid w:val="00C26E72"/>
    <w:rsid w:val="00C275B7"/>
    <w:rsid w:val="00C27BE9"/>
    <w:rsid w:val="00C3008A"/>
    <w:rsid w:val="00C30165"/>
    <w:rsid w:val="00C30562"/>
    <w:rsid w:val="00C305C5"/>
    <w:rsid w:val="00C3088F"/>
    <w:rsid w:val="00C30959"/>
    <w:rsid w:val="00C313B5"/>
    <w:rsid w:val="00C314D0"/>
    <w:rsid w:val="00C316C3"/>
    <w:rsid w:val="00C31779"/>
    <w:rsid w:val="00C31874"/>
    <w:rsid w:val="00C31DEF"/>
    <w:rsid w:val="00C32336"/>
    <w:rsid w:val="00C32821"/>
    <w:rsid w:val="00C332E7"/>
    <w:rsid w:val="00C3430C"/>
    <w:rsid w:val="00C34949"/>
    <w:rsid w:val="00C34B4C"/>
    <w:rsid w:val="00C351AC"/>
    <w:rsid w:val="00C3570D"/>
    <w:rsid w:val="00C35976"/>
    <w:rsid w:val="00C35B84"/>
    <w:rsid w:val="00C36327"/>
    <w:rsid w:val="00C365E7"/>
    <w:rsid w:val="00C36837"/>
    <w:rsid w:val="00C3737F"/>
    <w:rsid w:val="00C373D8"/>
    <w:rsid w:val="00C37CBA"/>
    <w:rsid w:val="00C37D77"/>
    <w:rsid w:val="00C40771"/>
    <w:rsid w:val="00C408A7"/>
    <w:rsid w:val="00C410A2"/>
    <w:rsid w:val="00C4168A"/>
    <w:rsid w:val="00C41904"/>
    <w:rsid w:val="00C419BB"/>
    <w:rsid w:val="00C41A4D"/>
    <w:rsid w:val="00C41B9A"/>
    <w:rsid w:val="00C43148"/>
    <w:rsid w:val="00C431EB"/>
    <w:rsid w:val="00C43EE4"/>
    <w:rsid w:val="00C43F94"/>
    <w:rsid w:val="00C449B9"/>
    <w:rsid w:val="00C44B51"/>
    <w:rsid w:val="00C44CDD"/>
    <w:rsid w:val="00C451ED"/>
    <w:rsid w:val="00C451F8"/>
    <w:rsid w:val="00C458FD"/>
    <w:rsid w:val="00C45D8E"/>
    <w:rsid w:val="00C46536"/>
    <w:rsid w:val="00C46980"/>
    <w:rsid w:val="00C46B3F"/>
    <w:rsid w:val="00C478A3"/>
    <w:rsid w:val="00C479BC"/>
    <w:rsid w:val="00C50A46"/>
    <w:rsid w:val="00C51184"/>
    <w:rsid w:val="00C51289"/>
    <w:rsid w:val="00C518A6"/>
    <w:rsid w:val="00C51DF2"/>
    <w:rsid w:val="00C51DF9"/>
    <w:rsid w:val="00C52400"/>
    <w:rsid w:val="00C524D8"/>
    <w:rsid w:val="00C53325"/>
    <w:rsid w:val="00C5337F"/>
    <w:rsid w:val="00C53B08"/>
    <w:rsid w:val="00C53B99"/>
    <w:rsid w:val="00C53CBB"/>
    <w:rsid w:val="00C53F3D"/>
    <w:rsid w:val="00C54031"/>
    <w:rsid w:val="00C546C3"/>
    <w:rsid w:val="00C54923"/>
    <w:rsid w:val="00C54A6C"/>
    <w:rsid w:val="00C54ED5"/>
    <w:rsid w:val="00C552D5"/>
    <w:rsid w:val="00C555F3"/>
    <w:rsid w:val="00C559B5"/>
    <w:rsid w:val="00C55FBE"/>
    <w:rsid w:val="00C56632"/>
    <w:rsid w:val="00C56682"/>
    <w:rsid w:val="00C56B12"/>
    <w:rsid w:val="00C56C41"/>
    <w:rsid w:val="00C56D2A"/>
    <w:rsid w:val="00C57117"/>
    <w:rsid w:val="00C57197"/>
    <w:rsid w:val="00C5748A"/>
    <w:rsid w:val="00C57DFB"/>
    <w:rsid w:val="00C57E69"/>
    <w:rsid w:val="00C6010F"/>
    <w:rsid w:val="00C602A0"/>
    <w:rsid w:val="00C606D3"/>
    <w:rsid w:val="00C60B91"/>
    <w:rsid w:val="00C60D6E"/>
    <w:rsid w:val="00C61A58"/>
    <w:rsid w:val="00C62741"/>
    <w:rsid w:val="00C62D73"/>
    <w:rsid w:val="00C631A9"/>
    <w:rsid w:val="00C631D1"/>
    <w:rsid w:val="00C6357F"/>
    <w:rsid w:val="00C63B6E"/>
    <w:rsid w:val="00C64625"/>
    <w:rsid w:val="00C6467F"/>
    <w:rsid w:val="00C65241"/>
    <w:rsid w:val="00C65751"/>
    <w:rsid w:val="00C658E1"/>
    <w:rsid w:val="00C65E55"/>
    <w:rsid w:val="00C66068"/>
    <w:rsid w:val="00C662AE"/>
    <w:rsid w:val="00C667B0"/>
    <w:rsid w:val="00C668A2"/>
    <w:rsid w:val="00C670B1"/>
    <w:rsid w:val="00C675BD"/>
    <w:rsid w:val="00C67BA9"/>
    <w:rsid w:val="00C67CA3"/>
    <w:rsid w:val="00C7022E"/>
    <w:rsid w:val="00C7052F"/>
    <w:rsid w:val="00C706E2"/>
    <w:rsid w:val="00C70B0E"/>
    <w:rsid w:val="00C70C1F"/>
    <w:rsid w:val="00C70CA0"/>
    <w:rsid w:val="00C70CAD"/>
    <w:rsid w:val="00C717F6"/>
    <w:rsid w:val="00C71BF6"/>
    <w:rsid w:val="00C71D89"/>
    <w:rsid w:val="00C72C66"/>
    <w:rsid w:val="00C72D93"/>
    <w:rsid w:val="00C72FE4"/>
    <w:rsid w:val="00C73356"/>
    <w:rsid w:val="00C73B9B"/>
    <w:rsid w:val="00C74436"/>
    <w:rsid w:val="00C7455F"/>
    <w:rsid w:val="00C746D3"/>
    <w:rsid w:val="00C74912"/>
    <w:rsid w:val="00C74E2A"/>
    <w:rsid w:val="00C75924"/>
    <w:rsid w:val="00C75F3B"/>
    <w:rsid w:val="00C76027"/>
    <w:rsid w:val="00C764AA"/>
    <w:rsid w:val="00C76565"/>
    <w:rsid w:val="00C770B4"/>
    <w:rsid w:val="00C7729D"/>
    <w:rsid w:val="00C77319"/>
    <w:rsid w:val="00C77ADC"/>
    <w:rsid w:val="00C804E9"/>
    <w:rsid w:val="00C80631"/>
    <w:rsid w:val="00C807D8"/>
    <w:rsid w:val="00C80EFB"/>
    <w:rsid w:val="00C810FC"/>
    <w:rsid w:val="00C81E25"/>
    <w:rsid w:val="00C81FA3"/>
    <w:rsid w:val="00C8247D"/>
    <w:rsid w:val="00C82BC5"/>
    <w:rsid w:val="00C82E7E"/>
    <w:rsid w:val="00C83452"/>
    <w:rsid w:val="00C839DE"/>
    <w:rsid w:val="00C84A63"/>
    <w:rsid w:val="00C851DC"/>
    <w:rsid w:val="00C85F0F"/>
    <w:rsid w:val="00C85FDD"/>
    <w:rsid w:val="00C8611A"/>
    <w:rsid w:val="00C8641F"/>
    <w:rsid w:val="00C86432"/>
    <w:rsid w:val="00C864A2"/>
    <w:rsid w:val="00C865F2"/>
    <w:rsid w:val="00C86618"/>
    <w:rsid w:val="00C8678C"/>
    <w:rsid w:val="00C86826"/>
    <w:rsid w:val="00C86934"/>
    <w:rsid w:val="00C8753D"/>
    <w:rsid w:val="00C902F3"/>
    <w:rsid w:val="00C902F9"/>
    <w:rsid w:val="00C90C72"/>
    <w:rsid w:val="00C90F26"/>
    <w:rsid w:val="00C920F7"/>
    <w:rsid w:val="00C922A0"/>
    <w:rsid w:val="00C92341"/>
    <w:rsid w:val="00C9313B"/>
    <w:rsid w:val="00C931BE"/>
    <w:rsid w:val="00C9391C"/>
    <w:rsid w:val="00C93C6B"/>
    <w:rsid w:val="00C93DB8"/>
    <w:rsid w:val="00C93EBD"/>
    <w:rsid w:val="00C94A76"/>
    <w:rsid w:val="00C94B5B"/>
    <w:rsid w:val="00C94DD6"/>
    <w:rsid w:val="00C94F97"/>
    <w:rsid w:val="00C9516B"/>
    <w:rsid w:val="00C958FF"/>
    <w:rsid w:val="00C959A2"/>
    <w:rsid w:val="00C95C39"/>
    <w:rsid w:val="00C962DD"/>
    <w:rsid w:val="00C96929"/>
    <w:rsid w:val="00C96FA7"/>
    <w:rsid w:val="00C96FF7"/>
    <w:rsid w:val="00C975EF"/>
    <w:rsid w:val="00C9775C"/>
    <w:rsid w:val="00C97A98"/>
    <w:rsid w:val="00C97B7A"/>
    <w:rsid w:val="00C97CCA"/>
    <w:rsid w:val="00CA0487"/>
    <w:rsid w:val="00CA0651"/>
    <w:rsid w:val="00CA0679"/>
    <w:rsid w:val="00CA097D"/>
    <w:rsid w:val="00CA09CA"/>
    <w:rsid w:val="00CA1131"/>
    <w:rsid w:val="00CA140A"/>
    <w:rsid w:val="00CA16BF"/>
    <w:rsid w:val="00CA1A45"/>
    <w:rsid w:val="00CA1E59"/>
    <w:rsid w:val="00CA2197"/>
    <w:rsid w:val="00CA24FE"/>
    <w:rsid w:val="00CA28CC"/>
    <w:rsid w:val="00CA2AD4"/>
    <w:rsid w:val="00CA2F38"/>
    <w:rsid w:val="00CA3595"/>
    <w:rsid w:val="00CA360C"/>
    <w:rsid w:val="00CA3828"/>
    <w:rsid w:val="00CA38C0"/>
    <w:rsid w:val="00CA3A89"/>
    <w:rsid w:val="00CA48C9"/>
    <w:rsid w:val="00CA5F5E"/>
    <w:rsid w:val="00CA5FF1"/>
    <w:rsid w:val="00CA6184"/>
    <w:rsid w:val="00CA619B"/>
    <w:rsid w:val="00CA61C9"/>
    <w:rsid w:val="00CA6293"/>
    <w:rsid w:val="00CA6B67"/>
    <w:rsid w:val="00CA6D8D"/>
    <w:rsid w:val="00CA78CB"/>
    <w:rsid w:val="00CA7C97"/>
    <w:rsid w:val="00CA7DBF"/>
    <w:rsid w:val="00CB0165"/>
    <w:rsid w:val="00CB079B"/>
    <w:rsid w:val="00CB096D"/>
    <w:rsid w:val="00CB14D0"/>
    <w:rsid w:val="00CB1744"/>
    <w:rsid w:val="00CB1885"/>
    <w:rsid w:val="00CB1E9F"/>
    <w:rsid w:val="00CB236D"/>
    <w:rsid w:val="00CB2965"/>
    <w:rsid w:val="00CB298C"/>
    <w:rsid w:val="00CB2CD6"/>
    <w:rsid w:val="00CB2D89"/>
    <w:rsid w:val="00CB2EE5"/>
    <w:rsid w:val="00CB3316"/>
    <w:rsid w:val="00CB45F2"/>
    <w:rsid w:val="00CB4AEB"/>
    <w:rsid w:val="00CB5091"/>
    <w:rsid w:val="00CB5719"/>
    <w:rsid w:val="00CB5B0E"/>
    <w:rsid w:val="00CB5E7F"/>
    <w:rsid w:val="00CB5EA8"/>
    <w:rsid w:val="00CB610F"/>
    <w:rsid w:val="00CB6440"/>
    <w:rsid w:val="00CB64D1"/>
    <w:rsid w:val="00CB71ED"/>
    <w:rsid w:val="00CB731D"/>
    <w:rsid w:val="00CB73D0"/>
    <w:rsid w:val="00CB7651"/>
    <w:rsid w:val="00CB7E9E"/>
    <w:rsid w:val="00CC00A9"/>
    <w:rsid w:val="00CC0181"/>
    <w:rsid w:val="00CC0499"/>
    <w:rsid w:val="00CC09DB"/>
    <w:rsid w:val="00CC0C6D"/>
    <w:rsid w:val="00CC0DA6"/>
    <w:rsid w:val="00CC0F9D"/>
    <w:rsid w:val="00CC10CC"/>
    <w:rsid w:val="00CC1186"/>
    <w:rsid w:val="00CC1C28"/>
    <w:rsid w:val="00CC1C44"/>
    <w:rsid w:val="00CC23D3"/>
    <w:rsid w:val="00CC30B8"/>
    <w:rsid w:val="00CC3AA3"/>
    <w:rsid w:val="00CC3D33"/>
    <w:rsid w:val="00CC3E8C"/>
    <w:rsid w:val="00CC3F23"/>
    <w:rsid w:val="00CC4376"/>
    <w:rsid w:val="00CC43BA"/>
    <w:rsid w:val="00CC45BB"/>
    <w:rsid w:val="00CC45ED"/>
    <w:rsid w:val="00CC4ABB"/>
    <w:rsid w:val="00CC52E3"/>
    <w:rsid w:val="00CC5C47"/>
    <w:rsid w:val="00CC5EDB"/>
    <w:rsid w:val="00CC5F14"/>
    <w:rsid w:val="00CC5FB3"/>
    <w:rsid w:val="00CC61A2"/>
    <w:rsid w:val="00CC62EA"/>
    <w:rsid w:val="00CC66D4"/>
    <w:rsid w:val="00CC682A"/>
    <w:rsid w:val="00CC6B9E"/>
    <w:rsid w:val="00CC6D27"/>
    <w:rsid w:val="00CC6D92"/>
    <w:rsid w:val="00CC7058"/>
    <w:rsid w:val="00CC7207"/>
    <w:rsid w:val="00CC728A"/>
    <w:rsid w:val="00CC7800"/>
    <w:rsid w:val="00CD0229"/>
    <w:rsid w:val="00CD0CD5"/>
    <w:rsid w:val="00CD1821"/>
    <w:rsid w:val="00CD1C40"/>
    <w:rsid w:val="00CD1D39"/>
    <w:rsid w:val="00CD2094"/>
    <w:rsid w:val="00CD2368"/>
    <w:rsid w:val="00CD25FB"/>
    <w:rsid w:val="00CD3038"/>
    <w:rsid w:val="00CD3309"/>
    <w:rsid w:val="00CD36EC"/>
    <w:rsid w:val="00CD382F"/>
    <w:rsid w:val="00CD3DB5"/>
    <w:rsid w:val="00CD3DCD"/>
    <w:rsid w:val="00CD3E31"/>
    <w:rsid w:val="00CD4572"/>
    <w:rsid w:val="00CD47B3"/>
    <w:rsid w:val="00CD4C7E"/>
    <w:rsid w:val="00CD51D0"/>
    <w:rsid w:val="00CD5264"/>
    <w:rsid w:val="00CD571E"/>
    <w:rsid w:val="00CD5777"/>
    <w:rsid w:val="00CD5BFF"/>
    <w:rsid w:val="00CD5CC6"/>
    <w:rsid w:val="00CD6008"/>
    <w:rsid w:val="00CD6369"/>
    <w:rsid w:val="00CD6A09"/>
    <w:rsid w:val="00CD7870"/>
    <w:rsid w:val="00CD7C92"/>
    <w:rsid w:val="00CD7DF7"/>
    <w:rsid w:val="00CE0127"/>
    <w:rsid w:val="00CE080E"/>
    <w:rsid w:val="00CE0B59"/>
    <w:rsid w:val="00CE121A"/>
    <w:rsid w:val="00CE1250"/>
    <w:rsid w:val="00CE13E8"/>
    <w:rsid w:val="00CE1538"/>
    <w:rsid w:val="00CE171F"/>
    <w:rsid w:val="00CE1D10"/>
    <w:rsid w:val="00CE1DC1"/>
    <w:rsid w:val="00CE1E15"/>
    <w:rsid w:val="00CE2057"/>
    <w:rsid w:val="00CE2B1B"/>
    <w:rsid w:val="00CE38CA"/>
    <w:rsid w:val="00CE394D"/>
    <w:rsid w:val="00CE416E"/>
    <w:rsid w:val="00CE459F"/>
    <w:rsid w:val="00CE4C3D"/>
    <w:rsid w:val="00CE4DB2"/>
    <w:rsid w:val="00CE5458"/>
    <w:rsid w:val="00CE5B3A"/>
    <w:rsid w:val="00CE5DBC"/>
    <w:rsid w:val="00CE63FE"/>
    <w:rsid w:val="00CE6803"/>
    <w:rsid w:val="00CE74A0"/>
    <w:rsid w:val="00CF037E"/>
    <w:rsid w:val="00CF06D9"/>
    <w:rsid w:val="00CF0861"/>
    <w:rsid w:val="00CF0A38"/>
    <w:rsid w:val="00CF2840"/>
    <w:rsid w:val="00CF3117"/>
    <w:rsid w:val="00CF48E6"/>
    <w:rsid w:val="00CF4A71"/>
    <w:rsid w:val="00CF4C75"/>
    <w:rsid w:val="00CF5058"/>
    <w:rsid w:val="00CF5702"/>
    <w:rsid w:val="00CF5AE6"/>
    <w:rsid w:val="00CF5DE6"/>
    <w:rsid w:val="00CF63BC"/>
    <w:rsid w:val="00CF63F1"/>
    <w:rsid w:val="00CF65B6"/>
    <w:rsid w:val="00CF66C4"/>
    <w:rsid w:val="00CF66E1"/>
    <w:rsid w:val="00CF68A9"/>
    <w:rsid w:val="00CF69BC"/>
    <w:rsid w:val="00CF7FEE"/>
    <w:rsid w:val="00D001A3"/>
    <w:rsid w:val="00D00CB8"/>
    <w:rsid w:val="00D00D11"/>
    <w:rsid w:val="00D01356"/>
    <w:rsid w:val="00D01513"/>
    <w:rsid w:val="00D01563"/>
    <w:rsid w:val="00D016D8"/>
    <w:rsid w:val="00D016FE"/>
    <w:rsid w:val="00D01BDF"/>
    <w:rsid w:val="00D01D87"/>
    <w:rsid w:val="00D029E0"/>
    <w:rsid w:val="00D03795"/>
    <w:rsid w:val="00D038E3"/>
    <w:rsid w:val="00D045E3"/>
    <w:rsid w:val="00D0461D"/>
    <w:rsid w:val="00D04781"/>
    <w:rsid w:val="00D04B4E"/>
    <w:rsid w:val="00D04BB5"/>
    <w:rsid w:val="00D04CE5"/>
    <w:rsid w:val="00D05B34"/>
    <w:rsid w:val="00D0614E"/>
    <w:rsid w:val="00D06A85"/>
    <w:rsid w:val="00D06AC2"/>
    <w:rsid w:val="00D07164"/>
    <w:rsid w:val="00D07261"/>
    <w:rsid w:val="00D073F9"/>
    <w:rsid w:val="00D07E3A"/>
    <w:rsid w:val="00D10664"/>
    <w:rsid w:val="00D106DE"/>
    <w:rsid w:val="00D111D7"/>
    <w:rsid w:val="00D1187B"/>
    <w:rsid w:val="00D118E4"/>
    <w:rsid w:val="00D119AF"/>
    <w:rsid w:val="00D12362"/>
    <w:rsid w:val="00D12655"/>
    <w:rsid w:val="00D12771"/>
    <w:rsid w:val="00D130B1"/>
    <w:rsid w:val="00D1477A"/>
    <w:rsid w:val="00D14E7A"/>
    <w:rsid w:val="00D14F87"/>
    <w:rsid w:val="00D156F3"/>
    <w:rsid w:val="00D1594C"/>
    <w:rsid w:val="00D15D66"/>
    <w:rsid w:val="00D15DD6"/>
    <w:rsid w:val="00D15E4A"/>
    <w:rsid w:val="00D15E4C"/>
    <w:rsid w:val="00D1687A"/>
    <w:rsid w:val="00D16A1F"/>
    <w:rsid w:val="00D16BF5"/>
    <w:rsid w:val="00D16C97"/>
    <w:rsid w:val="00D16E5C"/>
    <w:rsid w:val="00D17018"/>
    <w:rsid w:val="00D1786B"/>
    <w:rsid w:val="00D17899"/>
    <w:rsid w:val="00D17979"/>
    <w:rsid w:val="00D17B87"/>
    <w:rsid w:val="00D17E70"/>
    <w:rsid w:val="00D20333"/>
    <w:rsid w:val="00D20D19"/>
    <w:rsid w:val="00D20D42"/>
    <w:rsid w:val="00D21020"/>
    <w:rsid w:val="00D210F4"/>
    <w:rsid w:val="00D2122F"/>
    <w:rsid w:val="00D21593"/>
    <w:rsid w:val="00D21652"/>
    <w:rsid w:val="00D21A16"/>
    <w:rsid w:val="00D21B1D"/>
    <w:rsid w:val="00D223EF"/>
    <w:rsid w:val="00D224E2"/>
    <w:rsid w:val="00D227B6"/>
    <w:rsid w:val="00D23AA9"/>
    <w:rsid w:val="00D2427E"/>
    <w:rsid w:val="00D243FB"/>
    <w:rsid w:val="00D24C3B"/>
    <w:rsid w:val="00D2599C"/>
    <w:rsid w:val="00D259D7"/>
    <w:rsid w:val="00D26A85"/>
    <w:rsid w:val="00D26F5E"/>
    <w:rsid w:val="00D26F81"/>
    <w:rsid w:val="00D2770D"/>
    <w:rsid w:val="00D27BEA"/>
    <w:rsid w:val="00D27CDF"/>
    <w:rsid w:val="00D27E58"/>
    <w:rsid w:val="00D30310"/>
    <w:rsid w:val="00D304D0"/>
    <w:rsid w:val="00D30561"/>
    <w:rsid w:val="00D30835"/>
    <w:rsid w:val="00D30AD7"/>
    <w:rsid w:val="00D31393"/>
    <w:rsid w:val="00D31461"/>
    <w:rsid w:val="00D31E75"/>
    <w:rsid w:val="00D322EA"/>
    <w:rsid w:val="00D32464"/>
    <w:rsid w:val="00D32572"/>
    <w:rsid w:val="00D326B2"/>
    <w:rsid w:val="00D337F5"/>
    <w:rsid w:val="00D348C8"/>
    <w:rsid w:val="00D34F0D"/>
    <w:rsid w:val="00D35B8A"/>
    <w:rsid w:val="00D35FD0"/>
    <w:rsid w:val="00D36207"/>
    <w:rsid w:val="00D362BD"/>
    <w:rsid w:val="00D36486"/>
    <w:rsid w:val="00D36592"/>
    <w:rsid w:val="00D367C3"/>
    <w:rsid w:val="00D3696E"/>
    <w:rsid w:val="00D36EE4"/>
    <w:rsid w:val="00D37432"/>
    <w:rsid w:val="00D37AC6"/>
    <w:rsid w:val="00D37D80"/>
    <w:rsid w:val="00D401EE"/>
    <w:rsid w:val="00D40384"/>
    <w:rsid w:val="00D404BF"/>
    <w:rsid w:val="00D40708"/>
    <w:rsid w:val="00D40753"/>
    <w:rsid w:val="00D407FA"/>
    <w:rsid w:val="00D408FD"/>
    <w:rsid w:val="00D40B52"/>
    <w:rsid w:val="00D40BAB"/>
    <w:rsid w:val="00D40CF7"/>
    <w:rsid w:val="00D40E3D"/>
    <w:rsid w:val="00D4109F"/>
    <w:rsid w:val="00D4138E"/>
    <w:rsid w:val="00D4150C"/>
    <w:rsid w:val="00D418DD"/>
    <w:rsid w:val="00D419DC"/>
    <w:rsid w:val="00D41A53"/>
    <w:rsid w:val="00D421FF"/>
    <w:rsid w:val="00D426CF"/>
    <w:rsid w:val="00D427EB"/>
    <w:rsid w:val="00D42BB0"/>
    <w:rsid w:val="00D42E6F"/>
    <w:rsid w:val="00D43120"/>
    <w:rsid w:val="00D4356E"/>
    <w:rsid w:val="00D43849"/>
    <w:rsid w:val="00D43C7F"/>
    <w:rsid w:val="00D4402F"/>
    <w:rsid w:val="00D444ED"/>
    <w:rsid w:val="00D44844"/>
    <w:rsid w:val="00D44A8F"/>
    <w:rsid w:val="00D44DFA"/>
    <w:rsid w:val="00D450C9"/>
    <w:rsid w:val="00D451BF"/>
    <w:rsid w:val="00D456D7"/>
    <w:rsid w:val="00D4575C"/>
    <w:rsid w:val="00D462E2"/>
    <w:rsid w:val="00D465AE"/>
    <w:rsid w:val="00D4698C"/>
    <w:rsid w:val="00D46BA0"/>
    <w:rsid w:val="00D4723E"/>
    <w:rsid w:val="00D475AE"/>
    <w:rsid w:val="00D4772F"/>
    <w:rsid w:val="00D47735"/>
    <w:rsid w:val="00D47942"/>
    <w:rsid w:val="00D47A31"/>
    <w:rsid w:val="00D47AF4"/>
    <w:rsid w:val="00D50253"/>
    <w:rsid w:val="00D505F5"/>
    <w:rsid w:val="00D50864"/>
    <w:rsid w:val="00D50DF2"/>
    <w:rsid w:val="00D50E47"/>
    <w:rsid w:val="00D51AD2"/>
    <w:rsid w:val="00D51C5E"/>
    <w:rsid w:val="00D5241D"/>
    <w:rsid w:val="00D5288F"/>
    <w:rsid w:val="00D52F8A"/>
    <w:rsid w:val="00D5302E"/>
    <w:rsid w:val="00D53099"/>
    <w:rsid w:val="00D53140"/>
    <w:rsid w:val="00D53430"/>
    <w:rsid w:val="00D54268"/>
    <w:rsid w:val="00D5443B"/>
    <w:rsid w:val="00D54B22"/>
    <w:rsid w:val="00D552F4"/>
    <w:rsid w:val="00D55467"/>
    <w:rsid w:val="00D557C3"/>
    <w:rsid w:val="00D55C02"/>
    <w:rsid w:val="00D56489"/>
    <w:rsid w:val="00D5648D"/>
    <w:rsid w:val="00D57085"/>
    <w:rsid w:val="00D57C74"/>
    <w:rsid w:val="00D60033"/>
    <w:rsid w:val="00D60BDE"/>
    <w:rsid w:val="00D60D31"/>
    <w:rsid w:val="00D61261"/>
    <w:rsid w:val="00D614FB"/>
    <w:rsid w:val="00D6189A"/>
    <w:rsid w:val="00D61A26"/>
    <w:rsid w:val="00D61E69"/>
    <w:rsid w:val="00D6222A"/>
    <w:rsid w:val="00D62735"/>
    <w:rsid w:val="00D629B4"/>
    <w:rsid w:val="00D631FF"/>
    <w:rsid w:val="00D63353"/>
    <w:rsid w:val="00D633EA"/>
    <w:rsid w:val="00D63560"/>
    <w:rsid w:val="00D63620"/>
    <w:rsid w:val="00D6395F"/>
    <w:rsid w:val="00D63C24"/>
    <w:rsid w:val="00D6415D"/>
    <w:rsid w:val="00D64B3D"/>
    <w:rsid w:val="00D64F2A"/>
    <w:rsid w:val="00D64FB8"/>
    <w:rsid w:val="00D6536B"/>
    <w:rsid w:val="00D655AA"/>
    <w:rsid w:val="00D665BD"/>
    <w:rsid w:val="00D66AAB"/>
    <w:rsid w:val="00D66C1E"/>
    <w:rsid w:val="00D66DD4"/>
    <w:rsid w:val="00D6715A"/>
    <w:rsid w:val="00D6749B"/>
    <w:rsid w:val="00D674E3"/>
    <w:rsid w:val="00D67C08"/>
    <w:rsid w:val="00D67C82"/>
    <w:rsid w:val="00D67F39"/>
    <w:rsid w:val="00D70135"/>
    <w:rsid w:val="00D70189"/>
    <w:rsid w:val="00D703A2"/>
    <w:rsid w:val="00D70626"/>
    <w:rsid w:val="00D7064B"/>
    <w:rsid w:val="00D707B4"/>
    <w:rsid w:val="00D70F99"/>
    <w:rsid w:val="00D70FB1"/>
    <w:rsid w:val="00D719D8"/>
    <w:rsid w:val="00D71CF0"/>
    <w:rsid w:val="00D735D3"/>
    <w:rsid w:val="00D74050"/>
    <w:rsid w:val="00D746DC"/>
    <w:rsid w:val="00D75240"/>
    <w:rsid w:val="00D754AB"/>
    <w:rsid w:val="00D75E47"/>
    <w:rsid w:val="00D7625B"/>
    <w:rsid w:val="00D76372"/>
    <w:rsid w:val="00D766DC"/>
    <w:rsid w:val="00D769AF"/>
    <w:rsid w:val="00D76D84"/>
    <w:rsid w:val="00D77CEC"/>
    <w:rsid w:val="00D80116"/>
    <w:rsid w:val="00D80AD5"/>
    <w:rsid w:val="00D80C5E"/>
    <w:rsid w:val="00D80E84"/>
    <w:rsid w:val="00D82316"/>
    <w:rsid w:val="00D82419"/>
    <w:rsid w:val="00D82576"/>
    <w:rsid w:val="00D82667"/>
    <w:rsid w:val="00D8297A"/>
    <w:rsid w:val="00D82D8C"/>
    <w:rsid w:val="00D830D6"/>
    <w:rsid w:val="00D84308"/>
    <w:rsid w:val="00D848D2"/>
    <w:rsid w:val="00D851CA"/>
    <w:rsid w:val="00D853AF"/>
    <w:rsid w:val="00D85AB5"/>
    <w:rsid w:val="00D85CEE"/>
    <w:rsid w:val="00D86350"/>
    <w:rsid w:val="00D863C8"/>
    <w:rsid w:val="00D8667D"/>
    <w:rsid w:val="00D86736"/>
    <w:rsid w:val="00D867A8"/>
    <w:rsid w:val="00D8687C"/>
    <w:rsid w:val="00D86DC0"/>
    <w:rsid w:val="00D87909"/>
    <w:rsid w:val="00D87A62"/>
    <w:rsid w:val="00D87BDA"/>
    <w:rsid w:val="00D87C08"/>
    <w:rsid w:val="00D87DF1"/>
    <w:rsid w:val="00D87E7B"/>
    <w:rsid w:val="00D87F39"/>
    <w:rsid w:val="00D908F1"/>
    <w:rsid w:val="00D90C47"/>
    <w:rsid w:val="00D911EF"/>
    <w:rsid w:val="00D9127D"/>
    <w:rsid w:val="00D914A0"/>
    <w:rsid w:val="00D91B68"/>
    <w:rsid w:val="00D91C67"/>
    <w:rsid w:val="00D927DF"/>
    <w:rsid w:val="00D92808"/>
    <w:rsid w:val="00D9284B"/>
    <w:rsid w:val="00D929EB"/>
    <w:rsid w:val="00D92A8A"/>
    <w:rsid w:val="00D92B97"/>
    <w:rsid w:val="00D931DF"/>
    <w:rsid w:val="00D93280"/>
    <w:rsid w:val="00D938DB"/>
    <w:rsid w:val="00D93DDC"/>
    <w:rsid w:val="00D94010"/>
    <w:rsid w:val="00D941E0"/>
    <w:rsid w:val="00D947A7"/>
    <w:rsid w:val="00D947F0"/>
    <w:rsid w:val="00D95A1A"/>
    <w:rsid w:val="00D95F53"/>
    <w:rsid w:val="00D96910"/>
    <w:rsid w:val="00D96A77"/>
    <w:rsid w:val="00D971AD"/>
    <w:rsid w:val="00D972A7"/>
    <w:rsid w:val="00D9768C"/>
    <w:rsid w:val="00D976C6"/>
    <w:rsid w:val="00D97936"/>
    <w:rsid w:val="00DA0886"/>
    <w:rsid w:val="00DA0964"/>
    <w:rsid w:val="00DA0CDC"/>
    <w:rsid w:val="00DA10DD"/>
    <w:rsid w:val="00DA1335"/>
    <w:rsid w:val="00DA16BB"/>
    <w:rsid w:val="00DA1886"/>
    <w:rsid w:val="00DA19C6"/>
    <w:rsid w:val="00DA1E39"/>
    <w:rsid w:val="00DA3258"/>
    <w:rsid w:val="00DA350B"/>
    <w:rsid w:val="00DA3F34"/>
    <w:rsid w:val="00DA49D1"/>
    <w:rsid w:val="00DA4B91"/>
    <w:rsid w:val="00DA4BB3"/>
    <w:rsid w:val="00DA506F"/>
    <w:rsid w:val="00DA528D"/>
    <w:rsid w:val="00DA531C"/>
    <w:rsid w:val="00DA5397"/>
    <w:rsid w:val="00DA5421"/>
    <w:rsid w:val="00DA569F"/>
    <w:rsid w:val="00DA56C4"/>
    <w:rsid w:val="00DA5F06"/>
    <w:rsid w:val="00DA6245"/>
    <w:rsid w:val="00DA64B5"/>
    <w:rsid w:val="00DA65BA"/>
    <w:rsid w:val="00DA6C06"/>
    <w:rsid w:val="00DA6CD3"/>
    <w:rsid w:val="00DA7F0C"/>
    <w:rsid w:val="00DA7F1F"/>
    <w:rsid w:val="00DB05FC"/>
    <w:rsid w:val="00DB0944"/>
    <w:rsid w:val="00DB0993"/>
    <w:rsid w:val="00DB0C90"/>
    <w:rsid w:val="00DB1628"/>
    <w:rsid w:val="00DB2279"/>
    <w:rsid w:val="00DB38CF"/>
    <w:rsid w:val="00DB3B0A"/>
    <w:rsid w:val="00DB40BB"/>
    <w:rsid w:val="00DB4400"/>
    <w:rsid w:val="00DB4C42"/>
    <w:rsid w:val="00DB4E3E"/>
    <w:rsid w:val="00DB4FFB"/>
    <w:rsid w:val="00DB50E4"/>
    <w:rsid w:val="00DB557B"/>
    <w:rsid w:val="00DB5929"/>
    <w:rsid w:val="00DB59BB"/>
    <w:rsid w:val="00DB5C79"/>
    <w:rsid w:val="00DB5DAA"/>
    <w:rsid w:val="00DB63CF"/>
    <w:rsid w:val="00DB6D06"/>
    <w:rsid w:val="00DB739D"/>
    <w:rsid w:val="00DB7D01"/>
    <w:rsid w:val="00DB7E35"/>
    <w:rsid w:val="00DC047B"/>
    <w:rsid w:val="00DC0512"/>
    <w:rsid w:val="00DC07FF"/>
    <w:rsid w:val="00DC0B39"/>
    <w:rsid w:val="00DC0E50"/>
    <w:rsid w:val="00DC0FED"/>
    <w:rsid w:val="00DC137C"/>
    <w:rsid w:val="00DC151C"/>
    <w:rsid w:val="00DC1C3A"/>
    <w:rsid w:val="00DC1E48"/>
    <w:rsid w:val="00DC20CB"/>
    <w:rsid w:val="00DC24A5"/>
    <w:rsid w:val="00DC28ED"/>
    <w:rsid w:val="00DC2EE1"/>
    <w:rsid w:val="00DC3DD7"/>
    <w:rsid w:val="00DC3ED8"/>
    <w:rsid w:val="00DC42EC"/>
    <w:rsid w:val="00DC43ED"/>
    <w:rsid w:val="00DC4449"/>
    <w:rsid w:val="00DC4C04"/>
    <w:rsid w:val="00DC4D85"/>
    <w:rsid w:val="00DC634C"/>
    <w:rsid w:val="00DC6456"/>
    <w:rsid w:val="00DC6EBF"/>
    <w:rsid w:val="00DC7A17"/>
    <w:rsid w:val="00DC7B12"/>
    <w:rsid w:val="00DC7D72"/>
    <w:rsid w:val="00DC7F7A"/>
    <w:rsid w:val="00DD0B74"/>
    <w:rsid w:val="00DD0EE3"/>
    <w:rsid w:val="00DD11CB"/>
    <w:rsid w:val="00DD18C7"/>
    <w:rsid w:val="00DD1970"/>
    <w:rsid w:val="00DD19B3"/>
    <w:rsid w:val="00DD1C7C"/>
    <w:rsid w:val="00DD20AB"/>
    <w:rsid w:val="00DD2C2C"/>
    <w:rsid w:val="00DD2F67"/>
    <w:rsid w:val="00DD3FA8"/>
    <w:rsid w:val="00DD418C"/>
    <w:rsid w:val="00DD463F"/>
    <w:rsid w:val="00DD4BE6"/>
    <w:rsid w:val="00DD4F95"/>
    <w:rsid w:val="00DD5528"/>
    <w:rsid w:val="00DD57A4"/>
    <w:rsid w:val="00DD5DF4"/>
    <w:rsid w:val="00DD5EF7"/>
    <w:rsid w:val="00DD5F7A"/>
    <w:rsid w:val="00DD6006"/>
    <w:rsid w:val="00DD61DC"/>
    <w:rsid w:val="00DD632D"/>
    <w:rsid w:val="00DD64EC"/>
    <w:rsid w:val="00DD684F"/>
    <w:rsid w:val="00DD6F47"/>
    <w:rsid w:val="00DD70B4"/>
    <w:rsid w:val="00DD749F"/>
    <w:rsid w:val="00DD79E4"/>
    <w:rsid w:val="00DE0230"/>
    <w:rsid w:val="00DE0470"/>
    <w:rsid w:val="00DE0A4C"/>
    <w:rsid w:val="00DE0A79"/>
    <w:rsid w:val="00DE0B28"/>
    <w:rsid w:val="00DE0D57"/>
    <w:rsid w:val="00DE112A"/>
    <w:rsid w:val="00DE11C7"/>
    <w:rsid w:val="00DE1602"/>
    <w:rsid w:val="00DE16AD"/>
    <w:rsid w:val="00DE1773"/>
    <w:rsid w:val="00DE2173"/>
    <w:rsid w:val="00DE24EB"/>
    <w:rsid w:val="00DE2EB3"/>
    <w:rsid w:val="00DE37B7"/>
    <w:rsid w:val="00DE4278"/>
    <w:rsid w:val="00DE4AE8"/>
    <w:rsid w:val="00DE4D28"/>
    <w:rsid w:val="00DE4F66"/>
    <w:rsid w:val="00DE53B1"/>
    <w:rsid w:val="00DE56C0"/>
    <w:rsid w:val="00DE5912"/>
    <w:rsid w:val="00DE5B3B"/>
    <w:rsid w:val="00DE5EEE"/>
    <w:rsid w:val="00DE5F8E"/>
    <w:rsid w:val="00DE6459"/>
    <w:rsid w:val="00DE6518"/>
    <w:rsid w:val="00DE65E3"/>
    <w:rsid w:val="00DE68DC"/>
    <w:rsid w:val="00DE6B6D"/>
    <w:rsid w:val="00DE6C3D"/>
    <w:rsid w:val="00DE7124"/>
    <w:rsid w:val="00DE71C6"/>
    <w:rsid w:val="00DE75C1"/>
    <w:rsid w:val="00DE7AEB"/>
    <w:rsid w:val="00DF08EE"/>
    <w:rsid w:val="00DF0B6D"/>
    <w:rsid w:val="00DF1042"/>
    <w:rsid w:val="00DF23D8"/>
    <w:rsid w:val="00DF262A"/>
    <w:rsid w:val="00DF2BA7"/>
    <w:rsid w:val="00DF2D47"/>
    <w:rsid w:val="00DF31DA"/>
    <w:rsid w:val="00DF3203"/>
    <w:rsid w:val="00DF4077"/>
    <w:rsid w:val="00DF41A7"/>
    <w:rsid w:val="00DF4CEF"/>
    <w:rsid w:val="00DF4F66"/>
    <w:rsid w:val="00DF50BE"/>
    <w:rsid w:val="00DF5A5E"/>
    <w:rsid w:val="00DF5A91"/>
    <w:rsid w:val="00DF5CE6"/>
    <w:rsid w:val="00DF5E42"/>
    <w:rsid w:val="00DF617F"/>
    <w:rsid w:val="00DF6257"/>
    <w:rsid w:val="00DF6385"/>
    <w:rsid w:val="00DF65ED"/>
    <w:rsid w:val="00DF6888"/>
    <w:rsid w:val="00DF6F29"/>
    <w:rsid w:val="00DF6F38"/>
    <w:rsid w:val="00DF7502"/>
    <w:rsid w:val="00DF7577"/>
    <w:rsid w:val="00DF7A59"/>
    <w:rsid w:val="00DF7BE7"/>
    <w:rsid w:val="00DF7D0F"/>
    <w:rsid w:val="00DF7DBE"/>
    <w:rsid w:val="00E0029F"/>
    <w:rsid w:val="00E0039C"/>
    <w:rsid w:val="00E00553"/>
    <w:rsid w:val="00E00792"/>
    <w:rsid w:val="00E00FC9"/>
    <w:rsid w:val="00E0120C"/>
    <w:rsid w:val="00E016AD"/>
    <w:rsid w:val="00E02A2D"/>
    <w:rsid w:val="00E02B49"/>
    <w:rsid w:val="00E02C6E"/>
    <w:rsid w:val="00E03427"/>
    <w:rsid w:val="00E03C0D"/>
    <w:rsid w:val="00E04475"/>
    <w:rsid w:val="00E04516"/>
    <w:rsid w:val="00E04A63"/>
    <w:rsid w:val="00E04B9D"/>
    <w:rsid w:val="00E05229"/>
    <w:rsid w:val="00E05340"/>
    <w:rsid w:val="00E06068"/>
    <w:rsid w:val="00E0652C"/>
    <w:rsid w:val="00E07F60"/>
    <w:rsid w:val="00E102A2"/>
    <w:rsid w:val="00E104B5"/>
    <w:rsid w:val="00E10605"/>
    <w:rsid w:val="00E10654"/>
    <w:rsid w:val="00E106CB"/>
    <w:rsid w:val="00E10951"/>
    <w:rsid w:val="00E10DC7"/>
    <w:rsid w:val="00E1113F"/>
    <w:rsid w:val="00E11187"/>
    <w:rsid w:val="00E11624"/>
    <w:rsid w:val="00E11E44"/>
    <w:rsid w:val="00E11EA2"/>
    <w:rsid w:val="00E128DA"/>
    <w:rsid w:val="00E12C52"/>
    <w:rsid w:val="00E13119"/>
    <w:rsid w:val="00E13817"/>
    <w:rsid w:val="00E138D0"/>
    <w:rsid w:val="00E13A00"/>
    <w:rsid w:val="00E13AE2"/>
    <w:rsid w:val="00E13D28"/>
    <w:rsid w:val="00E13F0D"/>
    <w:rsid w:val="00E142B0"/>
    <w:rsid w:val="00E14718"/>
    <w:rsid w:val="00E148D9"/>
    <w:rsid w:val="00E14B09"/>
    <w:rsid w:val="00E14FE5"/>
    <w:rsid w:val="00E15131"/>
    <w:rsid w:val="00E156ED"/>
    <w:rsid w:val="00E15987"/>
    <w:rsid w:val="00E15AE0"/>
    <w:rsid w:val="00E15E96"/>
    <w:rsid w:val="00E1603A"/>
    <w:rsid w:val="00E160A3"/>
    <w:rsid w:val="00E16619"/>
    <w:rsid w:val="00E167D8"/>
    <w:rsid w:val="00E17097"/>
    <w:rsid w:val="00E17269"/>
    <w:rsid w:val="00E172E2"/>
    <w:rsid w:val="00E173C5"/>
    <w:rsid w:val="00E20970"/>
    <w:rsid w:val="00E20A14"/>
    <w:rsid w:val="00E20D53"/>
    <w:rsid w:val="00E20DE0"/>
    <w:rsid w:val="00E210A3"/>
    <w:rsid w:val="00E21A8E"/>
    <w:rsid w:val="00E21CC7"/>
    <w:rsid w:val="00E21CD0"/>
    <w:rsid w:val="00E221F9"/>
    <w:rsid w:val="00E225DF"/>
    <w:rsid w:val="00E22807"/>
    <w:rsid w:val="00E23F2E"/>
    <w:rsid w:val="00E24236"/>
    <w:rsid w:val="00E245E9"/>
    <w:rsid w:val="00E24609"/>
    <w:rsid w:val="00E24685"/>
    <w:rsid w:val="00E246D0"/>
    <w:rsid w:val="00E24A17"/>
    <w:rsid w:val="00E24C6A"/>
    <w:rsid w:val="00E24CCA"/>
    <w:rsid w:val="00E257BF"/>
    <w:rsid w:val="00E262D6"/>
    <w:rsid w:val="00E267D0"/>
    <w:rsid w:val="00E2682C"/>
    <w:rsid w:val="00E26EED"/>
    <w:rsid w:val="00E26F30"/>
    <w:rsid w:val="00E27951"/>
    <w:rsid w:val="00E279AE"/>
    <w:rsid w:val="00E27A43"/>
    <w:rsid w:val="00E27CC3"/>
    <w:rsid w:val="00E27FB8"/>
    <w:rsid w:val="00E30339"/>
    <w:rsid w:val="00E30568"/>
    <w:rsid w:val="00E30828"/>
    <w:rsid w:val="00E30A75"/>
    <w:rsid w:val="00E30ABB"/>
    <w:rsid w:val="00E31289"/>
    <w:rsid w:val="00E317BB"/>
    <w:rsid w:val="00E31ADF"/>
    <w:rsid w:val="00E31B54"/>
    <w:rsid w:val="00E3245A"/>
    <w:rsid w:val="00E32981"/>
    <w:rsid w:val="00E33229"/>
    <w:rsid w:val="00E3338B"/>
    <w:rsid w:val="00E3359C"/>
    <w:rsid w:val="00E335C1"/>
    <w:rsid w:val="00E339E3"/>
    <w:rsid w:val="00E33A8F"/>
    <w:rsid w:val="00E33B33"/>
    <w:rsid w:val="00E33D9E"/>
    <w:rsid w:val="00E33EF6"/>
    <w:rsid w:val="00E34350"/>
    <w:rsid w:val="00E346D8"/>
    <w:rsid w:val="00E34A84"/>
    <w:rsid w:val="00E352EA"/>
    <w:rsid w:val="00E35499"/>
    <w:rsid w:val="00E36116"/>
    <w:rsid w:val="00E367C0"/>
    <w:rsid w:val="00E36BA7"/>
    <w:rsid w:val="00E36C0C"/>
    <w:rsid w:val="00E37787"/>
    <w:rsid w:val="00E404AA"/>
    <w:rsid w:val="00E407D6"/>
    <w:rsid w:val="00E40AD0"/>
    <w:rsid w:val="00E41B1A"/>
    <w:rsid w:val="00E41C56"/>
    <w:rsid w:val="00E421CB"/>
    <w:rsid w:val="00E42D65"/>
    <w:rsid w:val="00E43EA5"/>
    <w:rsid w:val="00E44CC4"/>
    <w:rsid w:val="00E45C4D"/>
    <w:rsid w:val="00E45E7A"/>
    <w:rsid w:val="00E45EB4"/>
    <w:rsid w:val="00E461CC"/>
    <w:rsid w:val="00E46453"/>
    <w:rsid w:val="00E471D3"/>
    <w:rsid w:val="00E47265"/>
    <w:rsid w:val="00E47B9D"/>
    <w:rsid w:val="00E5005D"/>
    <w:rsid w:val="00E50E27"/>
    <w:rsid w:val="00E512BA"/>
    <w:rsid w:val="00E51376"/>
    <w:rsid w:val="00E5169D"/>
    <w:rsid w:val="00E51952"/>
    <w:rsid w:val="00E520B3"/>
    <w:rsid w:val="00E52147"/>
    <w:rsid w:val="00E528A1"/>
    <w:rsid w:val="00E52C45"/>
    <w:rsid w:val="00E5373D"/>
    <w:rsid w:val="00E53C9C"/>
    <w:rsid w:val="00E54138"/>
    <w:rsid w:val="00E541A2"/>
    <w:rsid w:val="00E55532"/>
    <w:rsid w:val="00E55556"/>
    <w:rsid w:val="00E55FFF"/>
    <w:rsid w:val="00E569CC"/>
    <w:rsid w:val="00E600E6"/>
    <w:rsid w:val="00E6024C"/>
    <w:rsid w:val="00E60523"/>
    <w:rsid w:val="00E605CF"/>
    <w:rsid w:val="00E605E6"/>
    <w:rsid w:val="00E6093D"/>
    <w:rsid w:val="00E60AA5"/>
    <w:rsid w:val="00E610B7"/>
    <w:rsid w:val="00E61285"/>
    <w:rsid w:val="00E61387"/>
    <w:rsid w:val="00E61E7A"/>
    <w:rsid w:val="00E61E8A"/>
    <w:rsid w:val="00E61F54"/>
    <w:rsid w:val="00E62212"/>
    <w:rsid w:val="00E62B60"/>
    <w:rsid w:val="00E62D6A"/>
    <w:rsid w:val="00E630DE"/>
    <w:rsid w:val="00E6347E"/>
    <w:rsid w:val="00E63899"/>
    <w:rsid w:val="00E638AD"/>
    <w:rsid w:val="00E63CCD"/>
    <w:rsid w:val="00E63DB6"/>
    <w:rsid w:val="00E63E9E"/>
    <w:rsid w:val="00E63F6E"/>
    <w:rsid w:val="00E6414F"/>
    <w:rsid w:val="00E642C6"/>
    <w:rsid w:val="00E65352"/>
    <w:rsid w:val="00E6540A"/>
    <w:rsid w:val="00E65495"/>
    <w:rsid w:val="00E6576D"/>
    <w:rsid w:val="00E65798"/>
    <w:rsid w:val="00E65850"/>
    <w:rsid w:val="00E65A19"/>
    <w:rsid w:val="00E65A2A"/>
    <w:rsid w:val="00E6605B"/>
    <w:rsid w:val="00E66251"/>
    <w:rsid w:val="00E66F73"/>
    <w:rsid w:val="00E66FE6"/>
    <w:rsid w:val="00E67163"/>
    <w:rsid w:val="00E67974"/>
    <w:rsid w:val="00E67A2F"/>
    <w:rsid w:val="00E67D1C"/>
    <w:rsid w:val="00E67FBD"/>
    <w:rsid w:val="00E70440"/>
    <w:rsid w:val="00E70F7E"/>
    <w:rsid w:val="00E71C3F"/>
    <w:rsid w:val="00E71C46"/>
    <w:rsid w:val="00E725FA"/>
    <w:rsid w:val="00E72D72"/>
    <w:rsid w:val="00E737C7"/>
    <w:rsid w:val="00E73B7C"/>
    <w:rsid w:val="00E74F08"/>
    <w:rsid w:val="00E75265"/>
    <w:rsid w:val="00E75873"/>
    <w:rsid w:val="00E758E0"/>
    <w:rsid w:val="00E75900"/>
    <w:rsid w:val="00E75BF8"/>
    <w:rsid w:val="00E75DCB"/>
    <w:rsid w:val="00E761C4"/>
    <w:rsid w:val="00E764EC"/>
    <w:rsid w:val="00E76526"/>
    <w:rsid w:val="00E76789"/>
    <w:rsid w:val="00E76806"/>
    <w:rsid w:val="00E76A70"/>
    <w:rsid w:val="00E76D01"/>
    <w:rsid w:val="00E76E6F"/>
    <w:rsid w:val="00E7704A"/>
    <w:rsid w:val="00E77377"/>
    <w:rsid w:val="00E774B6"/>
    <w:rsid w:val="00E77781"/>
    <w:rsid w:val="00E777FC"/>
    <w:rsid w:val="00E77833"/>
    <w:rsid w:val="00E77E98"/>
    <w:rsid w:val="00E800BA"/>
    <w:rsid w:val="00E80597"/>
    <w:rsid w:val="00E80633"/>
    <w:rsid w:val="00E80923"/>
    <w:rsid w:val="00E80954"/>
    <w:rsid w:val="00E81121"/>
    <w:rsid w:val="00E817C2"/>
    <w:rsid w:val="00E81F81"/>
    <w:rsid w:val="00E8217B"/>
    <w:rsid w:val="00E821A6"/>
    <w:rsid w:val="00E82715"/>
    <w:rsid w:val="00E8279E"/>
    <w:rsid w:val="00E829F8"/>
    <w:rsid w:val="00E82A74"/>
    <w:rsid w:val="00E82CC2"/>
    <w:rsid w:val="00E83CEB"/>
    <w:rsid w:val="00E847FA"/>
    <w:rsid w:val="00E84E2D"/>
    <w:rsid w:val="00E85324"/>
    <w:rsid w:val="00E85DFD"/>
    <w:rsid w:val="00E85E8E"/>
    <w:rsid w:val="00E864C2"/>
    <w:rsid w:val="00E86948"/>
    <w:rsid w:val="00E86C27"/>
    <w:rsid w:val="00E86D85"/>
    <w:rsid w:val="00E86F2F"/>
    <w:rsid w:val="00E87632"/>
    <w:rsid w:val="00E87942"/>
    <w:rsid w:val="00E879CF"/>
    <w:rsid w:val="00E87FE5"/>
    <w:rsid w:val="00E9045D"/>
    <w:rsid w:val="00E9096F"/>
    <w:rsid w:val="00E912D9"/>
    <w:rsid w:val="00E912F5"/>
    <w:rsid w:val="00E9138E"/>
    <w:rsid w:val="00E914FC"/>
    <w:rsid w:val="00E91513"/>
    <w:rsid w:val="00E91536"/>
    <w:rsid w:val="00E91646"/>
    <w:rsid w:val="00E927AE"/>
    <w:rsid w:val="00E92CA4"/>
    <w:rsid w:val="00E92E4C"/>
    <w:rsid w:val="00E92E99"/>
    <w:rsid w:val="00E930AA"/>
    <w:rsid w:val="00E9328E"/>
    <w:rsid w:val="00E932CD"/>
    <w:rsid w:val="00E93605"/>
    <w:rsid w:val="00E93EE9"/>
    <w:rsid w:val="00E9407C"/>
    <w:rsid w:val="00E94B65"/>
    <w:rsid w:val="00E952D2"/>
    <w:rsid w:val="00E95935"/>
    <w:rsid w:val="00E95F76"/>
    <w:rsid w:val="00E964EA"/>
    <w:rsid w:val="00E966A2"/>
    <w:rsid w:val="00E9719B"/>
    <w:rsid w:val="00E974C3"/>
    <w:rsid w:val="00E97540"/>
    <w:rsid w:val="00E97D11"/>
    <w:rsid w:val="00EA0038"/>
    <w:rsid w:val="00EA0D33"/>
    <w:rsid w:val="00EA0DA7"/>
    <w:rsid w:val="00EA12B0"/>
    <w:rsid w:val="00EA1B4C"/>
    <w:rsid w:val="00EA1C97"/>
    <w:rsid w:val="00EA1FA5"/>
    <w:rsid w:val="00EA2359"/>
    <w:rsid w:val="00EA25A8"/>
    <w:rsid w:val="00EA2708"/>
    <w:rsid w:val="00EA2D03"/>
    <w:rsid w:val="00EA2ECE"/>
    <w:rsid w:val="00EA33A7"/>
    <w:rsid w:val="00EA38FF"/>
    <w:rsid w:val="00EA3F30"/>
    <w:rsid w:val="00EA42C4"/>
    <w:rsid w:val="00EA4E74"/>
    <w:rsid w:val="00EA4E7E"/>
    <w:rsid w:val="00EA50C8"/>
    <w:rsid w:val="00EA5457"/>
    <w:rsid w:val="00EA54EE"/>
    <w:rsid w:val="00EA5673"/>
    <w:rsid w:val="00EA5CA6"/>
    <w:rsid w:val="00EA5E21"/>
    <w:rsid w:val="00EA614E"/>
    <w:rsid w:val="00EA621A"/>
    <w:rsid w:val="00EA64FD"/>
    <w:rsid w:val="00EA6A82"/>
    <w:rsid w:val="00EA6BC7"/>
    <w:rsid w:val="00EA6CD8"/>
    <w:rsid w:val="00EA740C"/>
    <w:rsid w:val="00EA7544"/>
    <w:rsid w:val="00EA778D"/>
    <w:rsid w:val="00EB0482"/>
    <w:rsid w:val="00EB048B"/>
    <w:rsid w:val="00EB098B"/>
    <w:rsid w:val="00EB12E5"/>
    <w:rsid w:val="00EB1799"/>
    <w:rsid w:val="00EB1999"/>
    <w:rsid w:val="00EB1EBB"/>
    <w:rsid w:val="00EB1F90"/>
    <w:rsid w:val="00EB276F"/>
    <w:rsid w:val="00EB29CD"/>
    <w:rsid w:val="00EB3453"/>
    <w:rsid w:val="00EB36AC"/>
    <w:rsid w:val="00EB3AD9"/>
    <w:rsid w:val="00EB3CA6"/>
    <w:rsid w:val="00EB3D9C"/>
    <w:rsid w:val="00EB48B0"/>
    <w:rsid w:val="00EB4970"/>
    <w:rsid w:val="00EB5285"/>
    <w:rsid w:val="00EB553E"/>
    <w:rsid w:val="00EB5670"/>
    <w:rsid w:val="00EB5DB4"/>
    <w:rsid w:val="00EB61E5"/>
    <w:rsid w:val="00EB64AA"/>
    <w:rsid w:val="00EB6967"/>
    <w:rsid w:val="00EB6D77"/>
    <w:rsid w:val="00EB731C"/>
    <w:rsid w:val="00EB74EA"/>
    <w:rsid w:val="00EB7617"/>
    <w:rsid w:val="00EC0374"/>
    <w:rsid w:val="00EC06B8"/>
    <w:rsid w:val="00EC0843"/>
    <w:rsid w:val="00EC134A"/>
    <w:rsid w:val="00EC15C1"/>
    <w:rsid w:val="00EC2109"/>
    <w:rsid w:val="00EC33AC"/>
    <w:rsid w:val="00EC3C08"/>
    <w:rsid w:val="00EC3D51"/>
    <w:rsid w:val="00EC3F24"/>
    <w:rsid w:val="00EC41BF"/>
    <w:rsid w:val="00EC4308"/>
    <w:rsid w:val="00EC43B3"/>
    <w:rsid w:val="00EC49C6"/>
    <w:rsid w:val="00EC4A1B"/>
    <w:rsid w:val="00EC5033"/>
    <w:rsid w:val="00EC53CE"/>
    <w:rsid w:val="00EC5EA0"/>
    <w:rsid w:val="00EC613A"/>
    <w:rsid w:val="00EC62B8"/>
    <w:rsid w:val="00EC6333"/>
    <w:rsid w:val="00EC6866"/>
    <w:rsid w:val="00EC6F99"/>
    <w:rsid w:val="00EC7252"/>
    <w:rsid w:val="00EC725F"/>
    <w:rsid w:val="00EC76E2"/>
    <w:rsid w:val="00EC7A09"/>
    <w:rsid w:val="00EC7BD6"/>
    <w:rsid w:val="00ED0622"/>
    <w:rsid w:val="00ED06B3"/>
    <w:rsid w:val="00ED082E"/>
    <w:rsid w:val="00ED0A91"/>
    <w:rsid w:val="00ED0D87"/>
    <w:rsid w:val="00ED11EE"/>
    <w:rsid w:val="00ED1346"/>
    <w:rsid w:val="00ED1B93"/>
    <w:rsid w:val="00ED1EA9"/>
    <w:rsid w:val="00ED1F45"/>
    <w:rsid w:val="00ED2168"/>
    <w:rsid w:val="00ED321E"/>
    <w:rsid w:val="00ED3977"/>
    <w:rsid w:val="00ED3DB7"/>
    <w:rsid w:val="00ED4133"/>
    <w:rsid w:val="00ED43EC"/>
    <w:rsid w:val="00ED4679"/>
    <w:rsid w:val="00ED4A84"/>
    <w:rsid w:val="00ED53F6"/>
    <w:rsid w:val="00ED55E2"/>
    <w:rsid w:val="00ED58EE"/>
    <w:rsid w:val="00ED5BBA"/>
    <w:rsid w:val="00ED694E"/>
    <w:rsid w:val="00ED6B2C"/>
    <w:rsid w:val="00ED774C"/>
    <w:rsid w:val="00ED7CDB"/>
    <w:rsid w:val="00EE0359"/>
    <w:rsid w:val="00EE06A4"/>
    <w:rsid w:val="00EE0C3F"/>
    <w:rsid w:val="00EE0DB6"/>
    <w:rsid w:val="00EE0DE2"/>
    <w:rsid w:val="00EE135B"/>
    <w:rsid w:val="00EE1700"/>
    <w:rsid w:val="00EE18A0"/>
    <w:rsid w:val="00EE1F33"/>
    <w:rsid w:val="00EE223E"/>
    <w:rsid w:val="00EE2521"/>
    <w:rsid w:val="00EE32D3"/>
    <w:rsid w:val="00EE33F4"/>
    <w:rsid w:val="00EE33FB"/>
    <w:rsid w:val="00EE394C"/>
    <w:rsid w:val="00EE3F59"/>
    <w:rsid w:val="00EE40B0"/>
    <w:rsid w:val="00EE46E2"/>
    <w:rsid w:val="00EE5016"/>
    <w:rsid w:val="00EE51B8"/>
    <w:rsid w:val="00EE54FD"/>
    <w:rsid w:val="00EE5E60"/>
    <w:rsid w:val="00EE642C"/>
    <w:rsid w:val="00EE67F9"/>
    <w:rsid w:val="00EE76E5"/>
    <w:rsid w:val="00EE7995"/>
    <w:rsid w:val="00EE7D9F"/>
    <w:rsid w:val="00EE7FC2"/>
    <w:rsid w:val="00EF05A2"/>
    <w:rsid w:val="00EF0631"/>
    <w:rsid w:val="00EF083F"/>
    <w:rsid w:val="00EF0863"/>
    <w:rsid w:val="00EF095B"/>
    <w:rsid w:val="00EF0BB1"/>
    <w:rsid w:val="00EF0D46"/>
    <w:rsid w:val="00EF1537"/>
    <w:rsid w:val="00EF179B"/>
    <w:rsid w:val="00EF1BBE"/>
    <w:rsid w:val="00EF1C6F"/>
    <w:rsid w:val="00EF1FB8"/>
    <w:rsid w:val="00EF280A"/>
    <w:rsid w:val="00EF3051"/>
    <w:rsid w:val="00EF3810"/>
    <w:rsid w:val="00EF3B08"/>
    <w:rsid w:val="00EF3ECC"/>
    <w:rsid w:val="00EF437D"/>
    <w:rsid w:val="00EF442B"/>
    <w:rsid w:val="00EF4522"/>
    <w:rsid w:val="00EF4ACD"/>
    <w:rsid w:val="00EF4DF0"/>
    <w:rsid w:val="00EF532B"/>
    <w:rsid w:val="00EF555A"/>
    <w:rsid w:val="00EF56D6"/>
    <w:rsid w:val="00EF5767"/>
    <w:rsid w:val="00EF5AED"/>
    <w:rsid w:val="00EF5E9B"/>
    <w:rsid w:val="00EF6138"/>
    <w:rsid w:val="00EF645B"/>
    <w:rsid w:val="00EF6510"/>
    <w:rsid w:val="00EF6A4F"/>
    <w:rsid w:val="00EF6BAF"/>
    <w:rsid w:val="00EF6CFC"/>
    <w:rsid w:val="00EF725F"/>
    <w:rsid w:val="00EF72D8"/>
    <w:rsid w:val="00EF72DB"/>
    <w:rsid w:val="00EF73AC"/>
    <w:rsid w:val="00EF749F"/>
    <w:rsid w:val="00EF773C"/>
    <w:rsid w:val="00EF78A7"/>
    <w:rsid w:val="00EF7AB8"/>
    <w:rsid w:val="00F004E7"/>
    <w:rsid w:val="00F005BB"/>
    <w:rsid w:val="00F009B7"/>
    <w:rsid w:val="00F00B60"/>
    <w:rsid w:val="00F011F9"/>
    <w:rsid w:val="00F015E8"/>
    <w:rsid w:val="00F02472"/>
    <w:rsid w:val="00F0269E"/>
    <w:rsid w:val="00F02C4D"/>
    <w:rsid w:val="00F02ED8"/>
    <w:rsid w:val="00F03015"/>
    <w:rsid w:val="00F031D6"/>
    <w:rsid w:val="00F0361E"/>
    <w:rsid w:val="00F037C9"/>
    <w:rsid w:val="00F03994"/>
    <w:rsid w:val="00F03A34"/>
    <w:rsid w:val="00F03DCA"/>
    <w:rsid w:val="00F04690"/>
    <w:rsid w:val="00F04F93"/>
    <w:rsid w:val="00F05176"/>
    <w:rsid w:val="00F05667"/>
    <w:rsid w:val="00F056BF"/>
    <w:rsid w:val="00F056CF"/>
    <w:rsid w:val="00F05CE0"/>
    <w:rsid w:val="00F05CE8"/>
    <w:rsid w:val="00F05FD9"/>
    <w:rsid w:val="00F061A0"/>
    <w:rsid w:val="00F06614"/>
    <w:rsid w:val="00F06689"/>
    <w:rsid w:val="00F06958"/>
    <w:rsid w:val="00F06DAC"/>
    <w:rsid w:val="00F06DB2"/>
    <w:rsid w:val="00F0711B"/>
    <w:rsid w:val="00F07469"/>
    <w:rsid w:val="00F07494"/>
    <w:rsid w:val="00F07B2C"/>
    <w:rsid w:val="00F1062C"/>
    <w:rsid w:val="00F1089A"/>
    <w:rsid w:val="00F11356"/>
    <w:rsid w:val="00F11F3D"/>
    <w:rsid w:val="00F122CB"/>
    <w:rsid w:val="00F1251B"/>
    <w:rsid w:val="00F13042"/>
    <w:rsid w:val="00F14074"/>
    <w:rsid w:val="00F140DA"/>
    <w:rsid w:val="00F14709"/>
    <w:rsid w:val="00F1489A"/>
    <w:rsid w:val="00F14951"/>
    <w:rsid w:val="00F160B7"/>
    <w:rsid w:val="00F162AF"/>
    <w:rsid w:val="00F16E73"/>
    <w:rsid w:val="00F179D2"/>
    <w:rsid w:val="00F17A22"/>
    <w:rsid w:val="00F214DF"/>
    <w:rsid w:val="00F21A2E"/>
    <w:rsid w:val="00F21B01"/>
    <w:rsid w:val="00F225F2"/>
    <w:rsid w:val="00F22803"/>
    <w:rsid w:val="00F22B2B"/>
    <w:rsid w:val="00F22DD2"/>
    <w:rsid w:val="00F232A5"/>
    <w:rsid w:val="00F2334F"/>
    <w:rsid w:val="00F233D5"/>
    <w:rsid w:val="00F234E0"/>
    <w:rsid w:val="00F234F8"/>
    <w:rsid w:val="00F2461A"/>
    <w:rsid w:val="00F24AF2"/>
    <w:rsid w:val="00F24AFE"/>
    <w:rsid w:val="00F24DF4"/>
    <w:rsid w:val="00F25065"/>
    <w:rsid w:val="00F25A64"/>
    <w:rsid w:val="00F26809"/>
    <w:rsid w:val="00F2696F"/>
    <w:rsid w:val="00F26D90"/>
    <w:rsid w:val="00F2700D"/>
    <w:rsid w:val="00F2716F"/>
    <w:rsid w:val="00F272DD"/>
    <w:rsid w:val="00F27603"/>
    <w:rsid w:val="00F302E5"/>
    <w:rsid w:val="00F30824"/>
    <w:rsid w:val="00F30ED7"/>
    <w:rsid w:val="00F310E7"/>
    <w:rsid w:val="00F3144C"/>
    <w:rsid w:val="00F31A99"/>
    <w:rsid w:val="00F32B1E"/>
    <w:rsid w:val="00F33627"/>
    <w:rsid w:val="00F3377F"/>
    <w:rsid w:val="00F342FE"/>
    <w:rsid w:val="00F34813"/>
    <w:rsid w:val="00F35289"/>
    <w:rsid w:val="00F3541E"/>
    <w:rsid w:val="00F3554E"/>
    <w:rsid w:val="00F35A6F"/>
    <w:rsid w:val="00F35AE1"/>
    <w:rsid w:val="00F360FC"/>
    <w:rsid w:val="00F361CB"/>
    <w:rsid w:val="00F362F2"/>
    <w:rsid w:val="00F36863"/>
    <w:rsid w:val="00F36A4F"/>
    <w:rsid w:val="00F36C6A"/>
    <w:rsid w:val="00F36D15"/>
    <w:rsid w:val="00F36EBE"/>
    <w:rsid w:val="00F36FDF"/>
    <w:rsid w:val="00F37878"/>
    <w:rsid w:val="00F378E3"/>
    <w:rsid w:val="00F37C7F"/>
    <w:rsid w:val="00F37D01"/>
    <w:rsid w:val="00F37EDE"/>
    <w:rsid w:val="00F37F17"/>
    <w:rsid w:val="00F40326"/>
    <w:rsid w:val="00F40C5D"/>
    <w:rsid w:val="00F40D22"/>
    <w:rsid w:val="00F419DF"/>
    <w:rsid w:val="00F41AC8"/>
    <w:rsid w:val="00F41B36"/>
    <w:rsid w:val="00F41BD6"/>
    <w:rsid w:val="00F42343"/>
    <w:rsid w:val="00F42B9C"/>
    <w:rsid w:val="00F42E23"/>
    <w:rsid w:val="00F42E24"/>
    <w:rsid w:val="00F43650"/>
    <w:rsid w:val="00F4374F"/>
    <w:rsid w:val="00F4474D"/>
    <w:rsid w:val="00F44FFE"/>
    <w:rsid w:val="00F45179"/>
    <w:rsid w:val="00F45A4B"/>
    <w:rsid w:val="00F45AB6"/>
    <w:rsid w:val="00F45D32"/>
    <w:rsid w:val="00F4696F"/>
    <w:rsid w:val="00F46A14"/>
    <w:rsid w:val="00F46D98"/>
    <w:rsid w:val="00F47608"/>
    <w:rsid w:val="00F479C3"/>
    <w:rsid w:val="00F47BC3"/>
    <w:rsid w:val="00F47CCD"/>
    <w:rsid w:val="00F47CE2"/>
    <w:rsid w:val="00F504FC"/>
    <w:rsid w:val="00F509AB"/>
    <w:rsid w:val="00F50EE8"/>
    <w:rsid w:val="00F5106A"/>
    <w:rsid w:val="00F513B0"/>
    <w:rsid w:val="00F522CD"/>
    <w:rsid w:val="00F529D5"/>
    <w:rsid w:val="00F52FF2"/>
    <w:rsid w:val="00F5370E"/>
    <w:rsid w:val="00F53854"/>
    <w:rsid w:val="00F53BB2"/>
    <w:rsid w:val="00F53C57"/>
    <w:rsid w:val="00F53F57"/>
    <w:rsid w:val="00F54245"/>
    <w:rsid w:val="00F542B9"/>
    <w:rsid w:val="00F54411"/>
    <w:rsid w:val="00F54BC2"/>
    <w:rsid w:val="00F55048"/>
    <w:rsid w:val="00F55104"/>
    <w:rsid w:val="00F56308"/>
    <w:rsid w:val="00F566CE"/>
    <w:rsid w:val="00F5704D"/>
    <w:rsid w:val="00F57108"/>
    <w:rsid w:val="00F57202"/>
    <w:rsid w:val="00F57443"/>
    <w:rsid w:val="00F57E72"/>
    <w:rsid w:val="00F60167"/>
    <w:rsid w:val="00F6046D"/>
    <w:rsid w:val="00F61874"/>
    <w:rsid w:val="00F6254F"/>
    <w:rsid w:val="00F62593"/>
    <w:rsid w:val="00F625CD"/>
    <w:rsid w:val="00F62727"/>
    <w:rsid w:val="00F62810"/>
    <w:rsid w:val="00F62FD0"/>
    <w:rsid w:val="00F6344C"/>
    <w:rsid w:val="00F634B7"/>
    <w:rsid w:val="00F63784"/>
    <w:rsid w:val="00F638FF"/>
    <w:rsid w:val="00F63A6A"/>
    <w:rsid w:val="00F63AF9"/>
    <w:rsid w:val="00F63ED2"/>
    <w:rsid w:val="00F647F6"/>
    <w:rsid w:val="00F64C78"/>
    <w:rsid w:val="00F64FB9"/>
    <w:rsid w:val="00F65212"/>
    <w:rsid w:val="00F652FD"/>
    <w:rsid w:val="00F653D9"/>
    <w:rsid w:val="00F658DD"/>
    <w:rsid w:val="00F66416"/>
    <w:rsid w:val="00F664E7"/>
    <w:rsid w:val="00F666EB"/>
    <w:rsid w:val="00F66870"/>
    <w:rsid w:val="00F67899"/>
    <w:rsid w:val="00F67C70"/>
    <w:rsid w:val="00F67CD3"/>
    <w:rsid w:val="00F701A0"/>
    <w:rsid w:val="00F7042D"/>
    <w:rsid w:val="00F70528"/>
    <w:rsid w:val="00F70A04"/>
    <w:rsid w:val="00F70AD5"/>
    <w:rsid w:val="00F70F86"/>
    <w:rsid w:val="00F7184B"/>
    <w:rsid w:val="00F7197E"/>
    <w:rsid w:val="00F71A12"/>
    <w:rsid w:val="00F71D25"/>
    <w:rsid w:val="00F72318"/>
    <w:rsid w:val="00F72619"/>
    <w:rsid w:val="00F72872"/>
    <w:rsid w:val="00F72A05"/>
    <w:rsid w:val="00F72C81"/>
    <w:rsid w:val="00F72CFA"/>
    <w:rsid w:val="00F73527"/>
    <w:rsid w:val="00F7438D"/>
    <w:rsid w:val="00F744D6"/>
    <w:rsid w:val="00F7498D"/>
    <w:rsid w:val="00F74F8B"/>
    <w:rsid w:val="00F75372"/>
    <w:rsid w:val="00F75600"/>
    <w:rsid w:val="00F75619"/>
    <w:rsid w:val="00F75CF1"/>
    <w:rsid w:val="00F75F18"/>
    <w:rsid w:val="00F7607D"/>
    <w:rsid w:val="00F7608B"/>
    <w:rsid w:val="00F76585"/>
    <w:rsid w:val="00F76C95"/>
    <w:rsid w:val="00F76EB0"/>
    <w:rsid w:val="00F778A2"/>
    <w:rsid w:val="00F77B20"/>
    <w:rsid w:val="00F8016D"/>
    <w:rsid w:val="00F8038E"/>
    <w:rsid w:val="00F80ABB"/>
    <w:rsid w:val="00F80B16"/>
    <w:rsid w:val="00F80E3C"/>
    <w:rsid w:val="00F814F3"/>
    <w:rsid w:val="00F815E7"/>
    <w:rsid w:val="00F8185A"/>
    <w:rsid w:val="00F81966"/>
    <w:rsid w:val="00F821A5"/>
    <w:rsid w:val="00F82378"/>
    <w:rsid w:val="00F82613"/>
    <w:rsid w:val="00F82BF8"/>
    <w:rsid w:val="00F82DAC"/>
    <w:rsid w:val="00F82E2E"/>
    <w:rsid w:val="00F834B5"/>
    <w:rsid w:val="00F837F3"/>
    <w:rsid w:val="00F83A1B"/>
    <w:rsid w:val="00F83CF1"/>
    <w:rsid w:val="00F83E1A"/>
    <w:rsid w:val="00F8416E"/>
    <w:rsid w:val="00F841B5"/>
    <w:rsid w:val="00F844B2"/>
    <w:rsid w:val="00F8466B"/>
    <w:rsid w:val="00F8470E"/>
    <w:rsid w:val="00F85098"/>
    <w:rsid w:val="00F85740"/>
    <w:rsid w:val="00F85849"/>
    <w:rsid w:val="00F85975"/>
    <w:rsid w:val="00F85C18"/>
    <w:rsid w:val="00F85C97"/>
    <w:rsid w:val="00F85D43"/>
    <w:rsid w:val="00F85F6F"/>
    <w:rsid w:val="00F85FE4"/>
    <w:rsid w:val="00F86FE6"/>
    <w:rsid w:val="00F878B3"/>
    <w:rsid w:val="00F87A5C"/>
    <w:rsid w:val="00F9077B"/>
    <w:rsid w:val="00F90893"/>
    <w:rsid w:val="00F9094B"/>
    <w:rsid w:val="00F90BB2"/>
    <w:rsid w:val="00F914AA"/>
    <w:rsid w:val="00F917C1"/>
    <w:rsid w:val="00F91D80"/>
    <w:rsid w:val="00F92AF0"/>
    <w:rsid w:val="00F92D89"/>
    <w:rsid w:val="00F9374D"/>
    <w:rsid w:val="00F93818"/>
    <w:rsid w:val="00F938D7"/>
    <w:rsid w:val="00F93DC6"/>
    <w:rsid w:val="00F93F84"/>
    <w:rsid w:val="00F9418B"/>
    <w:rsid w:val="00F9427E"/>
    <w:rsid w:val="00F947B0"/>
    <w:rsid w:val="00F94CBB"/>
    <w:rsid w:val="00F94F31"/>
    <w:rsid w:val="00F95230"/>
    <w:rsid w:val="00F95326"/>
    <w:rsid w:val="00F95CDF"/>
    <w:rsid w:val="00F96860"/>
    <w:rsid w:val="00F969C6"/>
    <w:rsid w:val="00F96E12"/>
    <w:rsid w:val="00F96E39"/>
    <w:rsid w:val="00F977CD"/>
    <w:rsid w:val="00F97A50"/>
    <w:rsid w:val="00F97B48"/>
    <w:rsid w:val="00FA021B"/>
    <w:rsid w:val="00FA1275"/>
    <w:rsid w:val="00FA13D2"/>
    <w:rsid w:val="00FA164E"/>
    <w:rsid w:val="00FA1A60"/>
    <w:rsid w:val="00FA264A"/>
    <w:rsid w:val="00FA2C88"/>
    <w:rsid w:val="00FA2DA3"/>
    <w:rsid w:val="00FA3029"/>
    <w:rsid w:val="00FA33BD"/>
    <w:rsid w:val="00FA37E8"/>
    <w:rsid w:val="00FA3B9E"/>
    <w:rsid w:val="00FA4CF7"/>
    <w:rsid w:val="00FA6076"/>
    <w:rsid w:val="00FA640A"/>
    <w:rsid w:val="00FA72EC"/>
    <w:rsid w:val="00FA733A"/>
    <w:rsid w:val="00FA7BE9"/>
    <w:rsid w:val="00FB0666"/>
    <w:rsid w:val="00FB0E92"/>
    <w:rsid w:val="00FB1065"/>
    <w:rsid w:val="00FB1106"/>
    <w:rsid w:val="00FB15C3"/>
    <w:rsid w:val="00FB1CCB"/>
    <w:rsid w:val="00FB242F"/>
    <w:rsid w:val="00FB2845"/>
    <w:rsid w:val="00FB2D04"/>
    <w:rsid w:val="00FB2DBD"/>
    <w:rsid w:val="00FB2DE3"/>
    <w:rsid w:val="00FB3994"/>
    <w:rsid w:val="00FB4538"/>
    <w:rsid w:val="00FB49AF"/>
    <w:rsid w:val="00FB4D08"/>
    <w:rsid w:val="00FB4E35"/>
    <w:rsid w:val="00FB502D"/>
    <w:rsid w:val="00FB5C9F"/>
    <w:rsid w:val="00FB5F00"/>
    <w:rsid w:val="00FB658E"/>
    <w:rsid w:val="00FB6724"/>
    <w:rsid w:val="00FB67E3"/>
    <w:rsid w:val="00FB698D"/>
    <w:rsid w:val="00FB7865"/>
    <w:rsid w:val="00FB78C9"/>
    <w:rsid w:val="00FB7B6A"/>
    <w:rsid w:val="00FB7C25"/>
    <w:rsid w:val="00FC03AC"/>
    <w:rsid w:val="00FC069B"/>
    <w:rsid w:val="00FC0F36"/>
    <w:rsid w:val="00FC1662"/>
    <w:rsid w:val="00FC1919"/>
    <w:rsid w:val="00FC1C7F"/>
    <w:rsid w:val="00FC1D90"/>
    <w:rsid w:val="00FC200C"/>
    <w:rsid w:val="00FC2410"/>
    <w:rsid w:val="00FC24B4"/>
    <w:rsid w:val="00FC2738"/>
    <w:rsid w:val="00FC2F93"/>
    <w:rsid w:val="00FC327D"/>
    <w:rsid w:val="00FC35DF"/>
    <w:rsid w:val="00FC378B"/>
    <w:rsid w:val="00FC4B1E"/>
    <w:rsid w:val="00FC4B5E"/>
    <w:rsid w:val="00FC4E26"/>
    <w:rsid w:val="00FC4E4D"/>
    <w:rsid w:val="00FC5080"/>
    <w:rsid w:val="00FC523A"/>
    <w:rsid w:val="00FC5B3C"/>
    <w:rsid w:val="00FC5BFE"/>
    <w:rsid w:val="00FC5F2F"/>
    <w:rsid w:val="00FC6262"/>
    <w:rsid w:val="00FC6506"/>
    <w:rsid w:val="00FC679A"/>
    <w:rsid w:val="00FC7025"/>
    <w:rsid w:val="00FC7574"/>
    <w:rsid w:val="00FC7889"/>
    <w:rsid w:val="00FC79C5"/>
    <w:rsid w:val="00FC7FCE"/>
    <w:rsid w:val="00FC7FDF"/>
    <w:rsid w:val="00FD014F"/>
    <w:rsid w:val="00FD015A"/>
    <w:rsid w:val="00FD0469"/>
    <w:rsid w:val="00FD0AC3"/>
    <w:rsid w:val="00FD155E"/>
    <w:rsid w:val="00FD1792"/>
    <w:rsid w:val="00FD2E59"/>
    <w:rsid w:val="00FD359B"/>
    <w:rsid w:val="00FD3980"/>
    <w:rsid w:val="00FD3DFA"/>
    <w:rsid w:val="00FD4402"/>
    <w:rsid w:val="00FD4893"/>
    <w:rsid w:val="00FD5004"/>
    <w:rsid w:val="00FD526E"/>
    <w:rsid w:val="00FD52E0"/>
    <w:rsid w:val="00FD5621"/>
    <w:rsid w:val="00FD5C89"/>
    <w:rsid w:val="00FD646A"/>
    <w:rsid w:val="00FD6839"/>
    <w:rsid w:val="00FD68BB"/>
    <w:rsid w:val="00FD6C77"/>
    <w:rsid w:val="00FD6D44"/>
    <w:rsid w:val="00FD6E02"/>
    <w:rsid w:val="00FD7148"/>
    <w:rsid w:val="00FD7D48"/>
    <w:rsid w:val="00FD7EEF"/>
    <w:rsid w:val="00FE00FD"/>
    <w:rsid w:val="00FE0D2E"/>
    <w:rsid w:val="00FE1023"/>
    <w:rsid w:val="00FE106A"/>
    <w:rsid w:val="00FE18A6"/>
    <w:rsid w:val="00FE1EDB"/>
    <w:rsid w:val="00FE23FA"/>
    <w:rsid w:val="00FE25CA"/>
    <w:rsid w:val="00FE2C6C"/>
    <w:rsid w:val="00FE321F"/>
    <w:rsid w:val="00FE3687"/>
    <w:rsid w:val="00FE40CB"/>
    <w:rsid w:val="00FE4101"/>
    <w:rsid w:val="00FE4340"/>
    <w:rsid w:val="00FE43E8"/>
    <w:rsid w:val="00FE4781"/>
    <w:rsid w:val="00FE49FE"/>
    <w:rsid w:val="00FE4BE7"/>
    <w:rsid w:val="00FE554A"/>
    <w:rsid w:val="00FE5582"/>
    <w:rsid w:val="00FE55E3"/>
    <w:rsid w:val="00FE56E9"/>
    <w:rsid w:val="00FE5A9B"/>
    <w:rsid w:val="00FE5C7B"/>
    <w:rsid w:val="00FE5C85"/>
    <w:rsid w:val="00FE6846"/>
    <w:rsid w:val="00FE690F"/>
    <w:rsid w:val="00FE6C25"/>
    <w:rsid w:val="00FE6C63"/>
    <w:rsid w:val="00FE6D67"/>
    <w:rsid w:val="00FE79AB"/>
    <w:rsid w:val="00FE7A95"/>
    <w:rsid w:val="00FF0100"/>
    <w:rsid w:val="00FF0151"/>
    <w:rsid w:val="00FF08A8"/>
    <w:rsid w:val="00FF0A29"/>
    <w:rsid w:val="00FF0AE5"/>
    <w:rsid w:val="00FF1CE8"/>
    <w:rsid w:val="00FF26FD"/>
    <w:rsid w:val="00FF275A"/>
    <w:rsid w:val="00FF2AE1"/>
    <w:rsid w:val="00FF2F5B"/>
    <w:rsid w:val="00FF303A"/>
    <w:rsid w:val="00FF35BB"/>
    <w:rsid w:val="00FF3C2B"/>
    <w:rsid w:val="00FF402D"/>
    <w:rsid w:val="00FF4067"/>
    <w:rsid w:val="00FF4246"/>
    <w:rsid w:val="00FF4372"/>
    <w:rsid w:val="00FF448A"/>
    <w:rsid w:val="00FF4976"/>
    <w:rsid w:val="00FF49F1"/>
    <w:rsid w:val="00FF4A7D"/>
    <w:rsid w:val="00FF51CA"/>
    <w:rsid w:val="00FF5575"/>
    <w:rsid w:val="00FF568F"/>
    <w:rsid w:val="00FF6258"/>
    <w:rsid w:val="00FF684A"/>
    <w:rsid w:val="00FF6B87"/>
    <w:rsid w:val="00FF6CA0"/>
    <w:rsid w:val="00FF6EA4"/>
    <w:rsid w:val="00FF70DB"/>
    <w:rsid w:val="00FF7854"/>
    <w:rsid w:val="00FF7A45"/>
    <w:rsid w:val="00FF7E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48929"/>
    <o:shapelayout v:ext="edit">
      <o:idmap v:ext="edit" data="1"/>
    </o:shapelayout>
  </w:shapeDefaults>
  <w:decimalSymbol w:val="."/>
  <w:listSeparator w:val=","/>
  <w14:docId w14:val="3DAF3BD5"/>
  <w15:chartTrackingRefBased/>
  <w15:docId w15:val="{BC4C6340-8403-4F1D-8964-0F595CB7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C451ED"/>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uiPriority w:val="2"/>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710F9B"/>
    <w:rPr>
      <w:sz w:val="16"/>
      <w:szCs w:val="16"/>
    </w:rPr>
  </w:style>
  <w:style w:type="paragraph" w:styleId="CommentText">
    <w:name w:val="annotation text"/>
    <w:basedOn w:val="Normal"/>
    <w:link w:val="CommentTextChar"/>
    <w:uiPriority w:val="99"/>
    <w:unhideWhenUsed/>
    <w:rsid w:val="00710F9B"/>
    <w:pPr>
      <w:spacing w:line="240" w:lineRule="auto"/>
    </w:pPr>
    <w:rPr>
      <w:sz w:val="20"/>
      <w:szCs w:val="20"/>
    </w:rPr>
  </w:style>
  <w:style w:type="character" w:customStyle="1" w:styleId="CommentTextChar">
    <w:name w:val="Comment Text Char"/>
    <w:basedOn w:val="DefaultParagraphFont"/>
    <w:link w:val="CommentText"/>
    <w:uiPriority w:val="99"/>
    <w:rsid w:val="00710F9B"/>
    <w:rPr>
      <w:sz w:val="20"/>
      <w:szCs w:val="20"/>
    </w:rPr>
  </w:style>
  <w:style w:type="paragraph" w:styleId="CommentSubject">
    <w:name w:val="annotation subject"/>
    <w:basedOn w:val="CommentText"/>
    <w:next w:val="CommentText"/>
    <w:link w:val="CommentSubjectChar"/>
    <w:uiPriority w:val="99"/>
    <w:semiHidden/>
    <w:unhideWhenUsed/>
    <w:rsid w:val="00710F9B"/>
    <w:rPr>
      <w:b/>
      <w:bCs/>
    </w:rPr>
  </w:style>
  <w:style w:type="character" w:customStyle="1" w:styleId="CommentSubjectChar">
    <w:name w:val="Comment Subject Char"/>
    <w:basedOn w:val="CommentTextChar"/>
    <w:link w:val="CommentSubject"/>
    <w:uiPriority w:val="99"/>
    <w:semiHidden/>
    <w:rsid w:val="00710F9B"/>
    <w:rPr>
      <w:b/>
      <w:bCs/>
      <w:sz w:val="20"/>
      <w:szCs w:val="20"/>
    </w:rPr>
  </w:style>
  <w:style w:type="paragraph" w:styleId="Revision">
    <w:name w:val="Revision"/>
    <w:hidden/>
    <w:uiPriority w:val="99"/>
    <w:semiHidden/>
    <w:rsid w:val="00393F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65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emf"/><Relationship Id="rId21" Type="http://schemas.openxmlformats.org/officeDocument/2006/relationships/image" Target="media/image5.emf"/><Relationship Id="rId42" Type="http://schemas.openxmlformats.org/officeDocument/2006/relationships/image" Target="media/image26.emf"/><Relationship Id="rId47" Type="http://schemas.openxmlformats.org/officeDocument/2006/relationships/image" Target="media/image31.emf"/><Relationship Id="rId63" Type="http://schemas.openxmlformats.org/officeDocument/2006/relationships/image" Target="media/image47.png"/><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13.emf"/><Relationship Id="rId11" Type="http://schemas.openxmlformats.org/officeDocument/2006/relationships/endnotes" Target="endnotes.xml"/><Relationship Id="rId24" Type="http://schemas.openxmlformats.org/officeDocument/2006/relationships/image" Target="media/image8.emf"/><Relationship Id="rId32" Type="http://schemas.openxmlformats.org/officeDocument/2006/relationships/image" Target="media/image16.emf"/><Relationship Id="rId37" Type="http://schemas.openxmlformats.org/officeDocument/2006/relationships/image" Target="media/image21.emf"/><Relationship Id="rId40" Type="http://schemas.openxmlformats.org/officeDocument/2006/relationships/image" Target="media/image24.emf"/><Relationship Id="rId45" Type="http://schemas.openxmlformats.org/officeDocument/2006/relationships/image" Target="media/image29.emf"/><Relationship Id="rId53" Type="http://schemas.openxmlformats.org/officeDocument/2006/relationships/image" Target="media/image37.emf"/><Relationship Id="rId58" Type="http://schemas.openxmlformats.org/officeDocument/2006/relationships/image" Target="media/image42.emf"/><Relationship Id="rId66" Type="http://schemas.openxmlformats.org/officeDocument/2006/relationships/footer" Target="footer4.xml"/><Relationship Id="rId5" Type="http://schemas.openxmlformats.org/officeDocument/2006/relationships/customXml" Target="../customXml/item5.xml"/><Relationship Id="rId61" Type="http://schemas.openxmlformats.org/officeDocument/2006/relationships/image" Target="media/image45.emf"/><Relationship Id="rId19" Type="http://schemas.openxmlformats.org/officeDocument/2006/relationships/image" Target="media/image3.emf"/><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image" Target="media/image19.emf"/><Relationship Id="rId43" Type="http://schemas.openxmlformats.org/officeDocument/2006/relationships/image" Target="media/image27.emf"/><Relationship Id="rId48" Type="http://schemas.openxmlformats.org/officeDocument/2006/relationships/image" Target="media/image32.emf"/><Relationship Id="rId56" Type="http://schemas.openxmlformats.org/officeDocument/2006/relationships/image" Target="media/image40.emf"/><Relationship Id="rId64" Type="http://schemas.openxmlformats.org/officeDocument/2006/relationships/oleObject" Target="embeddings/oleObject1.bin"/><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image" Target="media/image35.emf"/><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emf"/><Relationship Id="rId33" Type="http://schemas.openxmlformats.org/officeDocument/2006/relationships/image" Target="media/image17.emf"/><Relationship Id="rId38" Type="http://schemas.openxmlformats.org/officeDocument/2006/relationships/image" Target="media/image22.emf"/><Relationship Id="rId46" Type="http://schemas.openxmlformats.org/officeDocument/2006/relationships/image" Target="media/image30.emf"/><Relationship Id="rId59" Type="http://schemas.openxmlformats.org/officeDocument/2006/relationships/image" Target="media/image43.emf"/><Relationship Id="rId67" Type="http://schemas.openxmlformats.org/officeDocument/2006/relationships/footer" Target="footer5.xml"/><Relationship Id="rId20" Type="http://schemas.openxmlformats.org/officeDocument/2006/relationships/image" Target="media/image4.emf"/><Relationship Id="rId41" Type="http://schemas.openxmlformats.org/officeDocument/2006/relationships/image" Target="media/image25.emf"/><Relationship Id="rId54" Type="http://schemas.openxmlformats.org/officeDocument/2006/relationships/image" Target="media/image38.emf"/><Relationship Id="rId62" Type="http://schemas.openxmlformats.org/officeDocument/2006/relationships/image" Target="media/image46.emf"/><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image" Target="media/image20.emf"/><Relationship Id="rId49" Type="http://schemas.openxmlformats.org/officeDocument/2006/relationships/image" Target="media/image33.emf"/><Relationship Id="rId57" Type="http://schemas.openxmlformats.org/officeDocument/2006/relationships/image" Target="media/image41.emf"/><Relationship Id="rId10" Type="http://schemas.openxmlformats.org/officeDocument/2006/relationships/footnotes" Target="footnotes.xml"/><Relationship Id="rId31" Type="http://schemas.openxmlformats.org/officeDocument/2006/relationships/image" Target="media/image15.emf"/><Relationship Id="rId44" Type="http://schemas.openxmlformats.org/officeDocument/2006/relationships/image" Target="media/image28.emf"/><Relationship Id="rId52" Type="http://schemas.openxmlformats.org/officeDocument/2006/relationships/image" Target="media/image36.emf"/><Relationship Id="rId60" Type="http://schemas.openxmlformats.org/officeDocument/2006/relationships/image" Target="media/image44.emf"/><Relationship Id="rId65"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39" Type="http://schemas.openxmlformats.org/officeDocument/2006/relationships/image" Target="media/image23.emf"/><Relationship Id="rId34" Type="http://schemas.openxmlformats.org/officeDocument/2006/relationships/image" Target="media/image18.emf"/><Relationship Id="rId50" Type="http://schemas.openxmlformats.org/officeDocument/2006/relationships/image" Target="media/image34.emf"/><Relationship Id="rId55" Type="http://schemas.openxmlformats.org/officeDocument/2006/relationships/image" Target="media/image39.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c37dfbe-9a1a-4235-abd7-8bc54474f3d7" ContentTypeId="0x0101000AC6246A9CD2FC45B52DC6FEC0F0AAAA" PreviousValue="false"/>
</file>

<file path=customXml/item3.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urDocsIsRecordsDocument xmlns="0c56a47d-469b-460c-81a1-345d54cdeeee">false</OurDocsIsRecordsDocument>
    <OurDocsDataStore xmlns="0c56a47d-469b-460c-81a1-345d54cdeeee">Central</OurDocsDataStore>
    <OurDocsDocId xmlns="0c56a47d-469b-460c-81a1-345d54cdeeee">003415policy.data</OurDocsDocId>
    <OurDocsVersionCreatedBy xmlns="0c56a47d-469b-460c-81a1-345d54cdeeee">MIDSDMT</OurDocsVersionCreatedBy>
    <OurDocsIsLocked xmlns="0c56a47d-469b-460c-81a1-345d54cdeeee">false</OurDocsIsLocked>
    <OurDocsDocumentType xmlns="0c56a47d-469b-460c-81a1-345d54cdeeee">Web Document</OurDocsDocumentType>
    <OurDocsFileNumbers xmlns="0c56a47d-469b-460c-81a1-345d54cdeeee" xsi:nil="true"/>
    <OurDocsLockedOnBehalfOf xmlns="0c56a47d-469b-460c-81a1-345d54cdeeee" xsi:nil="true"/>
    <OurDocsDocumentDate xmlns="0c56a47d-469b-460c-81a1-345d54cdeeee">2024-01-08T16:00:00+00:00</OurDocsDocumentDate>
    <OurDocsVersionCreatedAt xmlns="0c56a47d-469b-460c-81a1-345d54cdeeee">2024-01-09T05:39:47+00:00</OurDocsVersionCreatedAt>
    <OurDocsReleaseClassification xmlns="0c56a47d-469b-460c-81a1-345d54cdeeee">For Public Release</OurDocsReleaseClassification>
    <OurDocsTitle xmlns="0c56a47d-469b-460c-81a1-345d54cdeeee">WA Economic Profile - December 2023</OurDocsTitle>
    <OurDocsLocation xmlns="0c56a47d-469b-460c-81a1-345d54cdeeee">Perth</OurDocsLocation>
    <OurDocsDescription xmlns="0c56a47d-469b-460c-81a1-345d54cdeeee" xsi:nil="true"/>
    <OurDocsVersionReason xmlns="0c56a47d-469b-460c-81a1-345d54cdeeee" xsi:nil="true"/>
    <OurDocsAuthor xmlns="0c56a47d-469b-460c-81a1-345d54cdeeee">Mike Thomas</OurDocsAuthor>
    <OurDocsLockedBy xmlns="0c56a47d-469b-460c-81a1-345d54cdeeee" xsi:nil="true"/>
    <OurDocsLockedOn xmlns="0c56a47d-469b-460c-81a1-345d54cdeeee" xsi:nil="true"/>
    <OurDocsVersionNumber xmlns="0c56a47d-469b-460c-81a1-345d54cdeeee">1</OurDocsVersionNumber>
    <OurDocsDocumentSource xmlns="0c56a47d-469b-460c-81a1-345d54cdeeee">Internal</OurDocsDocumentSour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2.xml><?xml version="1.0" encoding="utf-8"?>
<ds:datastoreItem xmlns:ds="http://schemas.openxmlformats.org/officeDocument/2006/customXml" ds:itemID="{BB236F10-6820-4C99-BAD6-223067010C9E}">
  <ds:schemaRefs>
    <ds:schemaRef ds:uri="Microsoft.SharePoint.Taxonomy.ContentTypeSync"/>
  </ds:schemaRefs>
</ds:datastoreItem>
</file>

<file path=customXml/itemProps3.xml><?xml version="1.0" encoding="utf-8"?>
<ds:datastoreItem xmlns:ds="http://schemas.openxmlformats.org/officeDocument/2006/customXml" ds:itemID="{13C72159-1B62-44CC-A7FA-AAEF1A625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0ADC5-CA70-492B-ADE4-CBBC617A2699}">
  <ds:schemaRefs>
    <ds:schemaRef ds:uri="http://purl.org/dc/elements/1.1/"/>
    <ds:schemaRef ds:uri="http://www.w3.org/XML/1998/namespace"/>
    <ds:schemaRef ds:uri="http://schemas.openxmlformats.org/package/2006/metadata/core-properties"/>
    <ds:schemaRef ds:uri="http://purl.org/dc/terms/"/>
    <ds:schemaRef ds:uri="http://schemas.microsoft.com/office/2006/documentManagement/types"/>
    <ds:schemaRef ds:uri="0c56a47d-469b-460c-81a1-345d54cdeeee"/>
    <ds:schemaRef ds:uri="http://schemas.microsoft.com/office/2006/metadata/properties"/>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766639DD-2B4D-4668-B46D-CD736485F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7635</Words>
  <Characters>42990</Characters>
  <Application>Microsoft Office Word</Application>
  <DocSecurity>0</DocSecurity>
  <Lines>1535</Lines>
  <Paragraphs>1033</Paragraphs>
  <ScaleCrop>false</ScaleCrop>
  <HeadingPairs>
    <vt:vector size="2" baseType="variant">
      <vt:variant>
        <vt:lpstr>Title</vt:lpstr>
      </vt:variant>
      <vt:variant>
        <vt:i4>1</vt:i4>
      </vt:variant>
    </vt:vector>
  </HeadingPairs>
  <TitlesOfParts>
    <vt:vector size="1" baseType="lpstr">
      <vt:lpstr>WA Economic Profile - Master</vt:lpstr>
    </vt:vector>
  </TitlesOfParts>
  <Company>Department of Mines and Petroleum</Company>
  <LinksUpToDate>false</LinksUpToDate>
  <CharactersWithSpaces>49592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Economic Profile - December 2023</dc:title>
  <dc:subject/>
  <dc:creator>Mike Thomas</dc:creator>
  <cp:keywords/>
  <dc:description/>
  <cp:lastModifiedBy>THOMAS, Mike</cp:lastModifiedBy>
  <cp:revision>4</cp:revision>
  <cp:lastPrinted>2023-04-21T07:06:00Z</cp:lastPrinted>
  <dcterms:created xsi:type="dcterms:W3CDTF">2024-01-09T05:44:00Z</dcterms:created>
  <dcterms:modified xsi:type="dcterms:W3CDTF">2024-01-09T05:48:00Z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0x0101000AC6246A9CD2FC45B52DC6FEC0F0AAAA002C39F3B3B96C1F4B98517E6443C184DE</vt:lpwstr>
  </property>
  <property fmtid="{D5CDD505-2E9C-101B-9397-08002B2CF9AE}" pid="3" name="DataStore">
    <vt:lpwstr>Central</vt:lpwstr>
  </property>
</Properties>
</file>