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C1CB" w14:textId="26729BCB" w:rsidR="00F140D9" w:rsidRPr="004D0F80" w:rsidRDefault="002C4629" w:rsidP="002C4629">
      <w:pPr>
        <w:pStyle w:val="Heading1"/>
        <w:spacing w:before="720" w:beforeAutospacing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38CA54A" wp14:editId="12DE139E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7534551" cy="1580707"/>
            <wp:effectExtent l="0" t="0" r="0" b="635"/>
            <wp:wrapNone/>
            <wp:docPr id="21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4551" cy="158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40D9" w:rsidRPr="004D0F80">
        <w:t xml:space="preserve">Western Australian </w:t>
      </w:r>
      <w:r w:rsidR="00235D77">
        <w:t>p</w:t>
      </w:r>
      <w:r w:rsidR="00F140D9" w:rsidRPr="004D0F80">
        <w:t xml:space="preserve">ublic </w:t>
      </w:r>
      <w:r w:rsidR="00235D77">
        <w:t>s</w:t>
      </w:r>
      <w:r w:rsidR="00F140D9" w:rsidRPr="004D0F80">
        <w:t xml:space="preserve">ector </w:t>
      </w:r>
      <w:r w:rsidR="00F76D8B">
        <w:t>q</w:t>
      </w:r>
      <w:r w:rsidR="00C51C2E" w:rsidRPr="004D0F80">
        <w:t>uarterly workforce report</w:t>
      </w:r>
      <w:r w:rsidR="00607466">
        <w:t xml:space="preserve"> – </w:t>
      </w:r>
      <w:r w:rsidR="00052DB4">
        <w:br/>
      </w:r>
      <w:r w:rsidR="007830C5">
        <w:t>December</w:t>
      </w:r>
      <w:r w:rsidR="00BF5262">
        <w:t xml:space="preserve"> 2023</w:t>
      </w:r>
    </w:p>
    <w:p w14:paraId="6D273999" w14:textId="11743C42" w:rsidR="00CC76B7" w:rsidRDefault="00CC76B7" w:rsidP="00607466">
      <w:pPr>
        <w:pStyle w:val="Heading2"/>
        <w:spacing w:before="400" w:beforeAutospacing="0" w:line="240" w:lineRule="exact"/>
      </w:pPr>
      <w:r w:rsidRPr="004D0F80">
        <w:t>About</w:t>
      </w:r>
      <w:r>
        <w:t xml:space="preserve"> this information</w:t>
      </w:r>
    </w:p>
    <w:p w14:paraId="14D98CE9" w14:textId="3537F645" w:rsidR="00CC76B7" w:rsidRDefault="00CC76B7" w:rsidP="000002FD">
      <w:pPr>
        <w:spacing w:before="0" w:beforeAutospacing="0" w:after="0"/>
        <w:rPr>
          <w:noProof/>
        </w:rPr>
      </w:pPr>
      <w:r w:rsidRPr="00484458">
        <w:t xml:space="preserve">This page presents a snapshot of the </w:t>
      </w:r>
      <w:r w:rsidR="000E1883">
        <w:t>p</w:t>
      </w:r>
      <w:r w:rsidRPr="00484458">
        <w:t xml:space="preserve">ublic </w:t>
      </w:r>
      <w:r w:rsidR="000E1883">
        <w:t>s</w:t>
      </w:r>
      <w:r w:rsidRPr="00484458">
        <w:t xml:space="preserve">ector workforce </w:t>
      </w:r>
      <w:r w:rsidR="0027558C" w:rsidRPr="00484458">
        <w:t xml:space="preserve">based on </w:t>
      </w:r>
      <w:r w:rsidRPr="00484458">
        <w:t>the mo</w:t>
      </w:r>
      <w:r w:rsidRPr="008B64B5">
        <w:t xml:space="preserve">st recent data available. More detailed workforce information (including information on other government entities) is available in the </w:t>
      </w:r>
      <w:hyperlink r:id="rId9" w:history="1">
        <w:r w:rsidR="00C57D7C">
          <w:rPr>
            <w:rStyle w:val="Hyperlink"/>
          </w:rPr>
          <w:t>State of the WA Government Sector Workforce 2022-23</w:t>
        </w:r>
      </w:hyperlink>
      <w:r w:rsidR="00EB09F0" w:rsidRPr="008B64B5">
        <w:t>.</w:t>
      </w:r>
      <w:r w:rsidR="004D0F80" w:rsidRPr="008B64B5">
        <w:rPr>
          <w:noProof/>
        </w:rPr>
        <w:t xml:space="preserve"> </w:t>
      </w:r>
    </w:p>
    <w:p w14:paraId="18EB769D" w14:textId="77777777" w:rsidR="000002FD" w:rsidRPr="008B64B5" w:rsidRDefault="000002FD" w:rsidP="000002FD">
      <w:pPr>
        <w:spacing w:before="0" w:beforeAutospacing="0" w:after="0"/>
      </w:pPr>
    </w:p>
    <w:p w14:paraId="787158A3" w14:textId="58733DE2" w:rsidR="00C910D3" w:rsidRPr="008B64B5" w:rsidRDefault="00C910D3" w:rsidP="000002FD">
      <w:pPr>
        <w:spacing w:before="0" w:beforeAutospacing="0" w:after="0"/>
      </w:pPr>
      <w:r w:rsidRPr="008B64B5">
        <w:t xml:space="preserve">Please see the Commission’s </w:t>
      </w:r>
      <w:hyperlink r:id="rId10" w:history="1">
        <w:r w:rsidRPr="008B64B5">
          <w:rPr>
            <w:rStyle w:val="Hyperlink"/>
          </w:rPr>
          <w:t>About our workforce data</w:t>
        </w:r>
      </w:hyperlink>
      <w:r w:rsidRPr="008B64B5">
        <w:t xml:space="preserve"> page for </w:t>
      </w:r>
      <w:r w:rsidR="00142732" w:rsidRPr="008B64B5">
        <w:t>additional contextual</w:t>
      </w:r>
      <w:r w:rsidRPr="008B64B5">
        <w:t xml:space="preserve"> information.</w:t>
      </w:r>
    </w:p>
    <w:p w14:paraId="78FF7087" w14:textId="72569E63" w:rsidR="00F140D9" w:rsidRPr="006258A2" w:rsidRDefault="006258A2" w:rsidP="006A2B08">
      <w:pPr>
        <w:pStyle w:val="Heading2"/>
        <w:spacing w:before="320" w:beforeAutospacing="0" w:after="240" w:afterAutospacing="0" w:line="240" w:lineRule="exact"/>
      </w:pPr>
      <w:r w:rsidRPr="006258A2">
        <w:t>Overview</w:t>
      </w:r>
      <w:r w:rsidR="002500BA">
        <w:t xml:space="preserve"> of the </w:t>
      </w:r>
      <w:r w:rsidR="000E1883">
        <w:t>p</w:t>
      </w:r>
      <w:r w:rsidR="002500BA">
        <w:t xml:space="preserve">ublic </w:t>
      </w:r>
      <w:r w:rsidR="000E1883">
        <w:t>s</w:t>
      </w:r>
      <w:r w:rsidR="00917C55">
        <w:t xml:space="preserve">ector as </w:t>
      </w:r>
      <w:proofErr w:type="gramStart"/>
      <w:r w:rsidR="00917C55">
        <w:t>at</w:t>
      </w:r>
      <w:proofErr w:type="gramEnd"/>
      <w:r w:rsidR="00CC76B7">
        <w:t xml:space="preserve"> </w:t>
      </w:r>
      <w:r w:rsidR="007830C5">
        <w:t>December</w:t>
      </w:r>
      <w:r w:rsidR="00BF5262">
        <w:t xml:space="preserve"> 2023</w:t>
      </w:r>
    </w:p>
    <w:tbl>
      <w:tblPr>
        <w:tblStyle w:val="GridTable1Light-Accent6"/>
        <w:tblW w:w="8784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1678"/>
        <w:gridCol w:w="3420"/>
        <w:gridCol w:w="3686"/>
      </w:tblGrid>
      <w:tr w:rsidR="00F86D38" w:rsidRPr="004D0F80" w14:paraId="4F4C340A" w14:textId="77777777" w:rsidTr="00CC73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  <w:tcBorders>
              <w:bottom w:val="none" w:sz="0" w:space="0" w:color="auto"/>
            </w:tcBorders>
          </w:tcPr>
          <w:p w14:paraId="5A966609" w14:textId="48F826E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Headcount</w:t>
            </w:r>
          </w:p>
        </w:tc>
        <w:tc>
          <w:tcPr>
            <w:tcW w:w="3686" w:type="dxa"/>
            <w:tcBorders>
              <w:bottom w:val="none" w:sz="0" w:space="0" w:color="auto"/>
            </w:tcBorders>
          </w:tcPr>
          <w:p w14:paraId="56D54886" w14:textId="3125FBCC" w:rsidR="00F86D38" w:rsidRPr="00324BC8" w:rsidRDefault="001D21F5" w:rsidP="002C4629">
            <w:pPr>
              <w:pStyle w:val="TableText"/>
              <w:spacing w:before="20" w:beforeAutospacing="0" w:after="20" w:line="240" w:lineRule="auto"/>
              <w:ind w:left="720" w:hanging="72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highlight w:val="yellow"/>
                <w:shd w:val="clear" w:color="auto" w:fill="FFFFFF"/>
              </w:rPr>
            </w:pPr>
            <w:bookmarkStart w:id="0" w:name="_Hlk135211554"/>
            <w:r w:rsidRPr="00324BC8">
              <w:rPr>
                <w:b w:val="0"/>
                <w:sz w:val="20"/>
                <w:shd w:val="clear" w:color="auto" w:fill="FFFFFF"/>
              </w:rPr>
              <w:t>16</w:t>
            </w:r>
            <w:r w:rsidR="004611D7">
              <w:rPr>
                <w:b w:val="0"/>
                <w:sz w:val="20"/>
                <w:shd w:val="clear" w:color="auto" w:fill="FFFFFF"/>
              </w:rPr>
              <w:t>7</w:t>
            </w:r>
            <w:r w:rsidRPr="00324BC8">
              <w:rPr>
                <w:b w:val="0"/>
                <w:sz w:val="20"/>
                <w:shd w:val="clear" w:color="auto" w:fill="FFFFFF"/>
              </w:rPr>
              <w:t>,</w:t>
            </w:r>
            <w:bookmarkEnd w:id="0"/>
            <w:r w:rsidR="004611D7">
              <w:rPr>
                <w:b w:val="0"/>
                <w:sz w:val="20"/>
                <w:shd w:val="clear" w:color="auto" w:fill="FFFFFF"/>
              </w:rPr>
              <w:t>851</w:t>
            </w:r>
          </w:p>
        </w:tc>
      </w:tr>
      <w:tr w:rsidR="00F86D38" w:rsidRPr="004D0F80" w14:paraId="33540417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39754B09" w14:textId="23F91C90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Full-time equivalent (FTE)</w:t>
            </w:r>
          </w:p>
        </w:tc>
        <w:tc>
          <w:tcPr>
            <w:tcW w:w="3686" w:type="dxa"/>
          </w:tcPr>
          <w:p w14:paraId="63CC6538" w14:textId="13991305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C57D7C">
              <w:rPr>
                <w:sz w:val="20"/>
                <w:shd w:val="clear" w:color="auto" w:fill="FFFFFF"/>
              </w:rPr>
              <w:t>31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4611D7">
              <w:rPr>
                <w:sz w:val="20"/>
                <w:shd w:val="clear" w:color="auto" w:fill="FFFFFF"/>
              </w:rPr>
              <w:t>453</w:t>
            </w:r>
          </w:p>
        </w:tc>
      </w:tr>
      <w:tr w:rsidR="008750E6" w:rsidRPr="0022190A" w14:paraId="5214CC2A" w14:textId="4801395B" w:rsidTr="006926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1D20AED2" w14:textId="77777777" w:rsidR="00036DCA" w:rsidRPr="00324BC8" w:rsidRDefault="008750E6" w:rsidP="002C4629">
            <w:pPr>
              <w:pStyle w:val="TableText"/>
              <w:spacing w:before="20" w:beforeAutospacing="0" w:after="20" w:line="240" w:lineRule="auto"/>
              <w:rPr>
                <w:bCs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 xml:space="preserve">General government </w:t>
            </w:r>
            <w:r w:rsidR="006926A7" w:rsidRPr="00324BC8">
              <w:rPr>
                <w:b w:val="0"/>
                <w:sz w:val="20"/>
                <w:shd w:val="clear" w:color="auto" w:fill="FFFFFF"/>
              </w:rPr>
              <w:t xml:space="preserve">salaries </w:t>
            </w:r>
            <w:r w:rsidRPr="00324BC8">
              <w:rPr>
                <w:b w:val="0"/>
                <w:sz w:val="20"/>
                <w:shd w:val="clear" w:color="auto" w:fill="FFFFFF"/>
              </w:rPr>
              <w:t>expenses</w:t>
            </w:r>
          </w:p>
          <w:p w14:paraId="642B25AC" w14:textId="27B6858E" w:rsidR="008750E6" w:rsidRPr="00324BC8" w:rsidRDefault="0007344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(</w:t>
            </w:r>
            <w:r w:rsidR="00C57D7C">
              <w:rPr>
                <w:b w:val="0"/>
                <w:sz w:val="20"/>
                <w:shd w:val="clear" w:color="auto" w:fill="FFFFFF"/>
              </w:rPr>
              <w:t>September</w:t>
            </w:r>
            <w:r w:rsidRPr="00324BC8">
              <w:rPr>
                <w:b w:val="0"/>
                <w:sz w:val="20"/>
                <w:shd w:val="clear" w:color="auto" w:fill="FFFFFF"/>
              </w:rPr>
              <w:t xml:space="preserve"> quarter)</w:t>
            </w:r>
          </w:p>
        </w:tc>
        <w:tc>
          <w:tcPr>
            <w:tcW w:w="3686" w:type="dxa"/>
            <w:vAlign w:val="center"/>
          </w:tcPr>
          <w:p w14:paraId="66512567" w14:textId="670C9DCA" w:rsidR="008750E6" w:rsidRPr="00324BC8" w:rsidRDefault="00BB3594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$</w:t>
            </w:r>
            <w:r w:rsidR="002B7D30">
              <w:rPr>
                <w:sz w:val="20"/>
                <w:shd w:val="clear" w:color="auto" w:fill="FFFFFF"/>
              </w:rPr>
              <w:t>4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2B7D30">
              <w:rPr>
                <w:sz w:val="20"/>
                <w:shd w:val="clear" w:color="auto" w:fill="FFFFFF"/>
              </w:rPr>
              <w:t>125</w:t>
            </w:r>
            <w:r w:rsidRPr="00324BC8">
              <w:rPr>
                <w:sz w:val="20"/>
                <w:shd w:val="clear" w:color="auto" w:fill="FFFFFF"/>
              </w:rPr>
              <w:t xml:space="preserve"> M</w:t>
            </w:r>
          </w:p>
        </w:tc>
      </w:tr>
      <w:tr w:rsidR="00F86D38" w:rsidRPr="00DA0F3B" w14:paraId="2903238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98" w:type="dxa"/>
            <w:gridSpan w:val="2"/>
          </w:tcPr>
          <w:p w14:paraId="5B9D79AB" w14:textId="75D1B13D" w:rsidR="00F86D38" w:rsidRPr="00324BC8" w:rsidRDefault="006A5FF7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Public sector m</w:t>
            </w:r>
            <w:r w:rsidR="00F86D38" w:rsidRPr="00324BC8">
              <w:rPr>
                <w:b w:val="0"/>
                <w:sz w:val="20"/>
                <w:shd w:val="clear" w:color="auto" w:fill="FFFFFF"/>
              </w:rPr>
              <w:t>edian age</w:t>
            </w:r>
          </w:p>
        </w:tc>
        <w:tc>
          <w:tcPr>
            <w:tcW w:w="3686" w:type="dxa"/>
          </w:tcPr>
          <w:p w14:paraId="4351825E" w14:textId="6A18E8CC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</w:t>
            </w:r>
            <w:r w:rsidR="00BF5262" w:rsidRPr="00324BC8">
              <w:rPr>
                <w:sz w:val="20"/>
                <w:shd w:val="clear" w:color="auto" w:fill="FFFFFF"/>
              </w:rPr>
              <w:t>4</w:t>
            </w:r>
          </w:p>
        </w:tc>
      </w:tr>
      <w:tr w:rsidR="00F86D38" w:rsidRPr="000610C7" w14:paraId="609145EC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 w:val="restart"/>
          </w:tcPr>
          <w:p w14:paraId="1DE8E763" w14:textId="2B84DB0B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  <w:r w:rsidRPr="00324BC8">
              <w:rPr>
                <w:b w:val="0"/>
                <w:sz w:val="20"/>
                <w:shd w:val="clear" w:color="auto" w:fill="FFFFFF"/>
              </w:rPr>
              <w:t>Top 3 occupation groups (FTE)</w:t>
            </w:r>
          </w:p>
        </w:tc>
        <w:tc>
          <w:tcPr>
            <w:tcW w:w="3420" w:type="dxa"/>
          </w:tcPr>
          <w:p w14:paraId="0B019051" w14:textId="3955FB6D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Teachers</w:t>
            </w:r>
          </w:p>
        </w:tc>
        <w:tc>
          <w:tcPr>
            <w:tcW w:w="3686" w:type="dxa"/>
            <w:shd w:val="clear" w:color="auto" w:fill="auto"/>
          </w:tcPr>
          <w:p w14:paraId="560A349D" w14:textId="14EE099D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4611D7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.</w:t>
            </w:r>
            <w:r w:rsidR="004611D7">
              <w:rPr>
                <w:sz w:val="20"/>
                <w:shd w:val="clear" w:color="auto" w:fill="FFFFFF"/>
              </w:rPr>
              <w:t>9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526F70BD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4034553D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32B6CB38" w14:textId="0EE45075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Clerical workers</w:t>
            </w:r>
          </w:p>
        </w:tc>
        <w:tc>
          <w:tcPr>
            <w:tcW w:w="3686" w:type="dxa"/>
            <w:shd w:val="clear" w:color="auto" w:fill="auto"/>
          </w:tcPr>
          <w:p w14:paraId="299EF6D1" w14:textId="57CEAD90" w:rsidR="00F86D38" w:rsidRPr="00324BC8" w:rsidRDefault="001D21F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4611D7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.</w:t>
            </w:r>
            <w:r w:rsidR="004611D7">
              <w:rPr>
                <w:sz w:val="20"/>
                <w:shd w:val="clear" w:color="auto" w:fill="FFFFFF"/>
              </w:rPr>
              <w:t>0</w:t>
            </w:r>
            <w:r w:rsidR="007922A5" w:rsidRPr="00324BC8">
              <w:rPr>
                <w:sz w:val="20"/>
                <w:shd w:val="clear" w:color="auto" w:fill="FFFFFF"/>
              </w:rPr>
              <w:t>%</w:t>
            </w:r>
          </w:p>
        </w:tc>
      </w:tr>
      <w:tr w:rsidR="00F86D38" w:rsidRPr="000610C7" w14:paraId="2278A679" w14:textId="77777777" w:rsidTr="00CC73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78" w:type="dxa"/>
            <w:vMerge/>
          </w:tcPr>
          <w:p w14:paraId="1844E113" w14:textId="77777777" w:rsidR="00F86D38" w:rsidRPr="00324BC8" w:rsidRDefault="00F86D38" w:rsidP="002C4629">
            <w:pPr>
              <w:pStyle w:val="TableText"/>
              <w:spacing w:before="20" w:beforeAutospacing="0" w:after="20" w:line="240" w:lineRule="auto"/>
              <w:rPr>
                <w:b w:val="0"/>
                <w:sz w:val="20"/>
                <w:shd w:val="clear" w:color="auto" w:fill="FFFFFF"/>
              </w:rPr>
            </w:pPr>
          </w:p>
        </w:tc>
        <w:tc>
          <w:tcPr>
            <w:tcW w:w="3420" w:type="dxa"/>
          </w:tcPr>
          <w:p w14:paraId="257B4449" w14:textId="60F81CBA" w:rsidR="00F86D38" w:rsidRPr="00324BC8" w:rsidRDefault="00F86D38" w:rsidP="002C4629">
            <w:pPr>
              <w:pStyle w:val="TableText"/>
              <w:spacing w:before="20" w:beforeAutospacing="0" w:after="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Nurses and midwives</w:t>
            </w:r>
          </w:p>
        </w:tc>
        <w:tc>
          <w:tcPr>
            <w:tcW w:w="3686" w:type="dxa"/>
            <w:shd w:val="clear" w:color="auto" w:fill="auto"/>
          </w:tcPr>
          <w:p w14:paraId="04F768B5" w14:textId="2FF271CB" w:rsidR="00F86D38" w:rsidRPr="00324BC8" w:rsidRDefault="007922A5" w:rsidP="002C4629">
            <w:pPr>
              <w:pStyle w:val="TableText"/>
              <w:spacing w:before="20" w:beforeAutospacing="0" w:after="20"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11.</w:t>
            </w:r>
            <w:r w:rsidR="004611D7">
              <w:rPr>
                <w:sz w:val="20"/>
                <w:shd w:val="clear" w:color="auto" w:fill="FFFFFF"/>
              </w:rPr>
              <w:t>0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</w:tr>
    </w:tbl>
    <w:p w14:paraId="00DE3416" w14:textId="77777777" w:rsidR="006F3EC6" w:rsidRPr="006A5FF7" w:rsidRDefault="006F3EC6" w:rsidP="006926A7">
      <w:pPr>
        <w:spacing w:after="0"/>
        <w:rPr>
          <w:sz w:val="2"/>
          <w:shd w:val="clear" w:color="auto" w:fill="FFFFFF"/>
        </w:rPr>
      </w:pPr>
    </w:p>
    <w:tbl>
      <w:tblPr>
        <w:tblStyle w:val="CommissionTable1"/>
        <w:tblW w:w="8811" w:type="dxa"/>
        <w:tblBorders>
          <w:top w:val="single" w:sz="4" w:space="0" w:color="2B9947"/>
          <w:left w:val="single" w:sz="4" w:space="0" w:color="2B9947"/>
          <w:bottom w:val="single" w:sz="4" w:space="0" w:color="2B9947"/>
          <w:right w:val="single" w:sz="4" w:space="0" w:color="2B9947"/>
          <w:insideH w:val="single" w:sz="4" w:space="0" w:color="2B9947"/>
          <w:insideV w:val="single" w:sz="4" w:space="0" w:color="2B9947"/>
        </w:tblBorders>
        <w:tblLook w:val="04A0" w:firstRow="1" w:lastRow="0" w:firstColumn="1" w:lastColumn="0" w:noHBand="0" w:noVBand="1"/>
      </w:tblPr>
      <w:tblGrid>
        <w:gridCol w:w="3539"/>
        <w:gridCol w:w="1776"/>
        <w:gridCol w:w="1525"/>
        <w:gridCol w:w="1971"/>
      </w:tblGrid>
      <w:tr w:rsidR="00B271FA" w:rsidRPr="006A5FF7" w14:paraId="550C2343" w14:textId="77777777" w:rsidTr="006A5F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39" w:type="dxa"/>
          </w:tcPr>
          <w:p w14:paraId="577EF88F" w14:textId="77777777" w:rsidR="00B271FA" w:rsidRPr="00324BC8" w:rsidRDefault="00B271FA" w:rsidP="002C4629">
            <w:pPr>
              <w:spacing w:beforeLines="20" w:before="48" w:beforeAutospacing="0" w:afterLines="20" w:after="48"/>
              <w:ind w:right="245"/>
              <w:rPr>
                <w:color w:val="FFFFFF" w:themeColor="background1"/>
                <w:sz w:val="20"/>
                <w:szCs w:val="20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Diversity groups</w:t>
            </w:r>
          </w:p>
        </w:tc>
        <w:tc>
          <w:tcPr>
            <w:tcW w:w="3301" w:type="dxa"/>
            <w:gridSpan w:val="2"/>
            <w:tcBorders>
              <w:bottom w:val="single" w:sz="4" w:space="0" w:color="2B9947"/>
            </w:tcBorders>
          </w:tcPr>
          <w:p w14:paraId="3D126E53" w14:textId="43C15F8B" w:rsidR="00B271FA" w:rsidRPr="00324BC8" w:rsidRDefault="00C1324D" w:rsidP="002C4629">
            <w:pPr>
              <w:spacing w:beforeLines="20" w:before="48" w:beforeAutospacing="0" w:afterLines="20" w:after="48"/>
              <w:ind w:right="245"/>
              <w:jc w:val="center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December</w:t>
            </w:r>
            <w:r w:rsidRPr="00324BC8">
              <w:rPr>
                <w:color w:val="FFFFFF" w:themeColor="background1"/>
                <w:sz w:val="20"/>
                <w:szCs w:val="20"/>
              </w:rPr>
              <w:t xml:space="preserve"> </w:t>
            </w:r>
            <w:r w:rsidR="00BF5262" w:rsidRPr="00324BC8">
              <w:rPr>
                <w:color w:val="FFFFFF" w:themeColor="background1"/>
                <w:sz w:val="20"/>
                <w:szCs w:val="20"/>
              </w:rPr>
              <w:t>2023</w:t>
            </w:r>
          </w:p>
        </w:tc>
        <w:tc>
          <w:tcPr>
            <w:tcW w:w="1971" w:type="dxa"/>
            <w:tcBorders>
              <w:bottom w:val="single" w:sz="4" w:space="0" w:color="2B9947"/>
            </w:tcBorders>
            <w:vAlign w:val="bottom"/>
          </w:tcPr>
          <w:p w14:paraId="071F40F8" w14:textId="77777777" w:rsidR="00B271FA" w:rsidRPr="00324BC8" w:rsidRDefault="00B271FA" w:rsidP="002C4629">
            <w:pPr>
              <w:spacing w:beforeLines="20" w:before="48" w:beforeAutospacing="0" w:afterLines="20" w:after="48"/>
              <w:jc w:val="center"/>
              <w:rPr>
                <w:color w:val="FFFFFF" w:themeColor="background1"/>
                <w:sz w:val="20"/>
                <w:szCs w:val="20"/>
                <w:shd w:val="clear" w:color="auto" w:fill="FFFFFF"/>
              </w:rPr>
            </w:pPr>
            <w:r w:rsidRPr="00324BC8">
              <w:rPr>
                <w:color w:val="FFFFFF" w:themeColor="background1"/>
                <w:sz w:val="20"/>
                <w:szCs w:val="20"/>
              </w:rPr>
              <w:t>Aspirational target</w:t>
            </w:r>
          </w:p>
        </w:tc>
      </w:tr>
      <w:tr w:rsidR="00C45D44" w:rsidRPr="009308A2" w14:paraId="28E26A0F" w14:textId="77777777" w:rsidTr="00324BC8">
        <w:trPr>
          <w:trHeight w:val="20"/>
        </w:trPr>
        <w:tc>
          <w:tcPr>
            <w:tcW w:w="3539" w:type="dxa"/>
          </w:tcPr>
          <w:p w14:paraId="4DB1B1E2" w14:textId="37C9DEAA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Women in the SES</w:t>
            </w:r>
          </w:p>
        </w:tc>
        <w:tc>
          <w:tcPr>
            <w:tcW w:w="1776" w:type="dxa"/>
            <w:tcBorders>
              <w:right w:val="nil"/>
            </w:tcBorders>
          </w:tcPr>
          <w:p w14:paraId="3501FE33" w14:textId="4C918C0F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</w:tcPr>
          <w:p w14:paraId="2881AEDD" w14:textId="0FA262C3" w:rsidR="00C45D44" w:rsidRPr="00324BC8" w:rsidRDefault="00FB1BA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FB1BA2">
              <w:rPr>
                <w:sz w:val="20"/>
                <w:shd w:val="clear" w:color="auto" w:fill="FFFFFF"/>
              </w:rPr>
              <w:t>4</w:t>
            </w:r>
            <w:r w:rsidR="004611D7">
              <w:rPr>
                <w:sz w:val="20"/>
                <w:shd w:val="clear" w:color="auto" w:fill="FFFFFF"/>
              </w:rPr>
              <w:t>8</w:t>
            </w:r>
            <w:r w:rsidR="00926AAB" w:rsidRPr="00FB1BA2">
              <w:rPr>
                <w:sz w:val="20"/>
                <w:shd w:val="clear" w:color="auto" w:fill="FFFFFF"/>
              </w:rPr>
              <w:t>.</w:t>
            </w:r>
            <w:r w:rsidR="004611D7">
              <w:rPr>
                <w:sz w:val="20"/>
                <w:shd w:val="clear" w:color="auto" w:fill="FFFFFF"/>
              </w:rPr>
              <w:t>9</w:t>
            </w:r>
            <w:r w:rsidR="00C45D44" w:rsidRPr="00FB1BA2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</w:tcPr>
          <w:p w14:paraId="121E20F1" w14:textId="77777777" w:rsidR="00C45D44" w:rsidRPr="00324BC8" w:rsidRDefault="00C45D44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50.0%</w:t>
            </w:r>
          </w:p>
        </w:tc>
      </w:tr>
      <w:tr w:rsidR="0040733D" w:rsidRPr="009308A2" w14:paraId="6AECC508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BDEF391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Aboriginal and Torres Strait Islander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7332D5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003912D9" w14:textId="23424FB3" w:rsidR="0040733D" w:rsidRPr="00324BC8" w:rsidRDefault="007922A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2.</w:t>
            </w:r>
            <w:r w:rsidR="00137BAC">
              <w:rPr>
                <w:sz w:val="20"/>
                <w:shd w:val="clear" w:color="auto" w:fill="FFFFFF"/>
              </w:rPr>
              <w:t>8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2894AE3B" w14:textId="48293FCE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3.7%</w:t>
            </w:r>
          </w:p>
        </w:tc>
      </w:tr>
      <w:tr w:rsidR="0040733D" w:rsidRPr="009308A2" w14:paraId="0979DF9F" w14:textId="77777777" w:rsidTr="00324BC8">
        <w:trPr>
          <w:trHeight w:val="20"/>
        </w:trPr>
        <w:tc>
          <w:tcPr>
            <w:tcW w:w="3539" w:type="dxa"/>
            <w:vMerge/>
          </w:tcPr>
          <w:p w14:paraId="184FA3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4243B00C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9C58E2F" w14:textId="39CDF5EA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3,</w:t>
            </w:r>
            <w:r w:rsidR="00C57D7C">
              <w:rPr>
                <w:sz w:val="20"/>
                <w:shd w:val="clear" w:color="auto" w:fill="FFFFFF"/>
              </w:rPr>
              <w:t>5</w:t>
            </w:r>
            <w:r w:rsidR="004611D7">
              <w:rPr>
                <w:sz w:val="20"/>
                <w:shd w:val="clear" w:color="auto" w:fill="FFFFFF"/>
              </w:rPr>
              <w:t>40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6AEC6209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02B3A48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23847D0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People with disability</w:t>
            </w:r>
          </w:p>
        </w:tc>
        <w:tc>
          <w:tcPr>
            <w:tcW w:w="1776" w:type="dxa"/>
            <w:tcBorders>
              <w:right w:val="nil"/>
            </w:tcBorders>
          </w:tcPr>
          <w:p w14:paraId="2CBE2E9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170E5304" w14:textId="270504F4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1.</w:t>
            </w:r>
            <w:r w:rsidR="00BF5262" w:rsidRPr="00324BC8">
              <w:rPr>
                <w:sz w:val="20"/>
                <w:shd w:val="clear" w:color="auto" w:fill="FFFFFF"/>
              </w:rPr>
              <w:t>6</w:t>
            </w:r>
            <w:r w:rsidR="0050478D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B93731B" w14:textId="220A3EC1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5.0%</w:t>
            </w:r>
          </w:p>
        </w:tc>
      </w:tr>
      <w:tr w:rsidR="0040733D" w:rsidRPr="00CC73AB" w14:paraId="029D7560" w14:textId="77777777" w:rsidTr="00324BC8">
        <w:trPr>
          <w:trHeight w:val="20"/>
        </w:trPr>
        <w:tc>
          <w:tcPr>
            <w:tcW w:w="3539" w:type="dxa"/>
            <w:vMerge/>
          </w:tcPr>
          <w:p w14:paraId="40BCBBF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2382FD06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3318BF2" w14:textId="0FE02D59" w:rsidR="0040733D" w:rsidRPr="00324BC8" w:rsidRDefault="00C57D7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highlight w:val="yellow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</w:t>
            </w:r>
            <w:r w:rsidR="001D21F5" w:rsidRPr="00324BC8">
              <w:rPr>
                <w:sz w:val="20"/>
                <w:shd w:val="clear" w:color="auto" w:fill="FFFFFF"/>
              </w:rPr>
              <w:t>,</w:t>
            </w:r>
            <w:r>
              <w:rPr>
                <w:sz w:val="20"/>
                <w:shd w:val="clear" w:color="auto" w:fill="FFFFFF"/>
              </w:rPr>
              <w:t>0</w:t>
            </w:r>
            <w:r w:rsidR="004611D7">
              <w:rPr>
                <w:sz w:val="20"/>
                <w:shd w:val="clear" w:color="auto" w:fill="FFFFFF"/>
              </w:rPr>
              <w:t>43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ED2A8AB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7B27020C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DACA1C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Culturally and linguistically diverse people</w:t>
            </w:r>
          </w:p>
        </w:tc>
        <w:tc>
          <w:tcPr>
            <w:tcW w:w="1776" w:type="dxa"/>
            <w:tcBorders>
              <w:right w:val="nil"/>
            </w:tcBorders>
          </w:tcPr>
          <w:p w14:paraId="12C6B76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6C766A57" w14:textId="4AA24560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</w:t>
            </w:r>
            <w:r w:rsidR="00C57D7C">
              <w:rPr>
                <w:sz w:val="20"/>
                <w:shd w:val="clear" w:color="auto" w:fill="FFFFFF"/>
              </w:rPr>
              <w:t>7</w:t>
            </w:r>
            <w:r w:rsidRPr="00324BC8">
              <w:rPr>
                <w:sz w:val="20"/>
                <w:shd w:val="clear" w:color="auto" w:fill="FFFFFF"/>
              </w:rPr>
              <w:t>.</w:t>
            </w:r>
            <w:r w:rsidR="004611D7">
              <w:rPr>
                <w:sz w:val="20"/>
                <w:shd w:val="clear" w:color="auto" w:fill="FFFFFF"/>
              </w:rPr>
              <w:t>1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5DA84D8" w14:textId="79F42285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15.5%</w:t>
            </w:r>
          </w:p>
        </w:tc>
      </w:tr>
      <w:tr w:rsidR="0040733D" w:rsidRPr="00CC73AB" w14:paraId="57293750" w14:textId="77777777" w:rsidTr="002C4629">
        <w:trPr>
          <w:trHeight w:val="70"/>
        </w:trPr>
        <w:tc>
          <w:tcPr>
            <w:tcW w:w="3539" w:type="dxa"/>
            <w:vMerge/>
          </w:tcPr>
          <w:p w14:paraId="22866D50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A1C5FB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4D90DE86" w14:textId="66264BE3" w:rsidR="0040733D" w:rsidRPr="00324BC8" w:rsidRDefault="00C57D7C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>20</w:t>
            </w:r>
            <w:r w:rsidR="001D21F5" w:rsidRPr="00324BC8">
              <w:rPr>
                <w:sz w:val="20"/>
                <w:shd w:val="clear" w:color="auto" w:fill="FFFFFF"/>
              </w:rPr>
              <w:t>,</w:t>
            </w:r>
            <w:r w:rsidR="004611D7">
              <w:rPr>
                <w:sz w:val="20"/>
                <w:shd w:val="clear" w:color="auto" w:fill="FFFFFF"/>
              </w:rPr>
              <w:t>292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49B59BD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CC73AB" w14:paraId="2A45285F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633BE395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Youth </w:t>
            </w:r>
            <w:r w:rsidRPr="00324BC8">
              <w:rPr>
                <w:sz w:val="20"/>
                <w:shd w:val="clear" w:color="auto" w:fill="FFFFFF"/>
              </w:rPr>
              <w:br/>
              <w:t>(aged 24 and under)</w:t>
            </w:r>
          </w:p>
        </w:tc>
        <w:tc>
          <w:tcPr>
            <w:tcW w:w="1776" w:type="dxa"/>
            <w:tcBorders>
              <w:right w:val="nil"/>
            </w:tcBorders>
          </w:tcPr>
          <w:p w14:paraId="0B96BE13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31068471" w14:textId="5B309E30" w:rsidR="0040733D" w:rsidRPr="00324BC8" w:rsidRDefault="00C05B59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</w:t>
            </w:r>
            <w:r w:rsidR="00C57D7C">
              <w:rPr>
                <w:sz w:val="20"/>
                <w:shd w:val="clear" w:color="auto" w:fill="FFFFFF"/>
              </w:rPr>
              <w:t>3</w:t>
            </w:r>
            <w:r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6213BCF7" w14:textId="7A92D290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5.8%</w:t>
            </w:r>
          </w:p>
        </w:tc>
      </w:tr>
      <w:tr w:rsidR="0040733D" w:rsidRPr="00CC73AB" w14:paraId="16C27AAB" w14:textId="77777777" w:rsidTr="00324BC8">
        <w:trPr>
          <w:trHeight w:val="20"/>
        </w:trPr>
        <w:tc>
          <w:tcPr>
            <w:tcW w:w="3539" w:type="dxa"/>
            <w:vMerge/>
          </w:tcPr>
          <w:p w14:paraId="3A2A99C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bottom w:val="single" w:sz="4" w:space="0" w:color="2B9947"/>
              <w:right w:val="nil"/>
            </w:tcBorders>
          </w:tcPr>
          <w:p w14:paraId="0F5A5C42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  <w:bottom w:val="single" w:sz="4" w:space="0" w:color="2B9947"/>
            </w:tcBorders>
            <w:vAlign w:val="bottom"/>
          </w:tcPr>
          <w:p w14:paraId="18921836" w14:textId="61ECE3B1" w:rsidR="0040733D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8,</w:t>
            </w:r>
            <w:r w:rsidR="00C57D7C">
              <w:rPr>
                <w:sz w:val="20"/>
                <w:shd w:val="clear" w:color="auto" w:fill="FFFFFF"/>
              </w:rPr>
              <w:t>9</w:t>
            </w:r>
            <w:r w:rsidR="004611D7">
              <w:rPr>
                <w:sz w:val="20"/>
                <w:shd w:val="clear" w:color="auto" w:fill="FFFFFF"/>
              </w:rPr>
              <w:t>6</w:t>
            </w:r>
            <w:r w:rsidR="00C57D7C">
              <w:rPr>
                <w:sz w:val="20"/>
                <w:shd w:val="clear" w:color="auto" w:fill="FFFFFF"/>
              </w:rPr>
              <w:t>3</w:t>
            </w:r>
          </w:p>
        </w:tc>
        <w:tc>
          <w:tcPr>
            <w:tcW w:w="1971" w:type="dxa"/>
            <w:tcBorders>
              <w:top w:val="nil"/>
              <w:bottom w:val="single" w:sz="4" w:space="0" w:color="2B9947"/>
            </w:tcBorders>
          </w:tcPr>
          <w:p w14:paraId="37B786F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  <w:tr w:rsidR="0040733D" w:rsidRPr="009308A2" w14:paraId="72F15DC5" w14:textId="77777777" w:rsidTr="00324BC8">
        <w:trPr>
          <w:trHeight w:val="20"/>
        </w:trPr>
        <w:tc>
          <w:tcPr>
            <w:tcW w:w="3539" w:type="dxa"/>
            <w:vMerge w:val="restart"/>
          </w:tcPr>
          <w:p w14:paraId="3DE8B508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 xml:space="preserve">Mature </w:t>
            </w:r>
            <w:r w:rsidRPr="00324BC8">
              <w:rPr>
                <w:sz w:val="20"/>
                <w:shd w:val="clear" w:color="auto" w:fill="FFFFFF"/>
              </w:rPr>
              <w:br/>
              <w:t>(aged 45 and over)</w:t>
            </w:r>
          </w:p>
        </w:tc>
        <w:tc>
          <w:tcPr>
            <w:tcW w:w="1776" w:type="dxa"/>
            <w:tcBorders>
              <w:right w:val="nil"/>
            </w:tcBorders>
          </w:tcPr>
          <w:p w14:paraId="2375D59D" w14:textId="7777777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Representation</w:t>
            </w:r>
          </w:p>
        </w:tc>
        <w:tc>
          <w:tcPr>
            <w:tcW w:w="1525" w:type="dxa"/>
            <w:tcBorders>
              <w:left w:val="nil"/>
            </w:tcBorders>
            <w:vAlign w:val="bottom"/>
          </w:tcPr>
          <w:p w14:paraId="7A90BC7A" w14:textId="7B2AE277" w:rsidR="0040733D" w:rsidRPr="00324BC8" w:rsidRDefault="00BF5262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49</w:t>
            </w:r>
            <w:r w:rsidR="00C05B59" w:rsidRPr="00324BC8">
              <w:rPr>
                <w:sz w:val="20"/>
                <w:shd w:val="clear" w:color="auto" w:fill="FFFFFF"/>
              </w:rPr>
              <w:t>.</w:t>
            </w:r>
            <w:r w:rsidR="00C57D7C">
              <w:rPr>
                <w:sz w:val="20"/>
                <w:shd w:val="clear" w:color="auto" w:fill="FFFFFF"/>
              </w:rPr>
              <w:t>4</w:t>
            </w:r>
            <w:r w:rsidR="00C05B59" w:rsidRPr="00324BC8">
              <w:rPr>
                <w:sz w:val="20"/>
                <w:shd w:val="clear" w:color="auto" w:fill="FFFFFF"/>
              </w:rPr>
              <w:t>%</w:t>
            </w:r>
          </w:p>
        </w:tc>
        <w:tc>
          <w:tcPr>
            <w:tcW w:w="1971" w:type="dxa"/>
            <w:tcBorders>
              <w:bottom w:val="nil"/>
            </w:tcBorders>
          </w:tcPr>
          <w:p w14:paraId="1D9B895C" w14:textId="52222CD7" w:rsidR="0040733D" w:rsidRPr="00324BC8" w:rsidRDefault="0040733D" w:rsidP="002C4629">
            <w:pPr>
              <w:pStyle w:val="TableText"/>
              <w:spacing w:beforeLines="20" w:before="48" w:beforeAutospacing="0" w:afterLines="20" w:after="48" w:line="240" w:lineRule="auto"/>
              <w:ind w:right="486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n.a.</w:t>
            </w:r>
          </w:p>
        </w:tc>
      </w:tr>
      <w:tr w:rsidR="00B271FA" w:rsidRPr="009308A2" w14:paraId="5EA0B89C" w14:textId="77777777" w:rsidTr="00324BC8">
        <w:trPr>
          <w:trHeight w:val="20"/>
        </w:trPr>
        <w:tc>
          <w:tcPr>
            <w:tcW w:w="3539" w:type="dxa"/>
            <w:vMerge/>
          </w:tcPr>
          <w:p w14:paraId="30A7361E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</w:p>
        </w:tc>
        <w:tc>
          <w:tcPr>
            <w:tcW w:w="1776" w:type="dxa"/>
            <w:tcBorders>
              <w:right w:val="nil"/>
            </w:tcBorders>
          </w:tcPr>
          <w:p w14:paraId="19D3F7F0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Headcount</w:t>
            </w:r>
          </w:p>
        </w:tc>
        <w:tc>
          <w:tcPr>
            <w:tcW w:w="1525" w:type="dxa"/>
            <w:tcBorders>
              <w:left w:val="nil"/>
            </w:tcBorders>
          </w:tcPr>
          <w:p w14:paraId="73DB8043" w14:textId="53AEEBDB" w:rsidR="00B271FA" w:rsidRPr="00324BC8" w:rsidRDefault="001D21F5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  <w:r w:rsidRPr="00324BC8">
              <w:rPr>
                <w:sz w:val="20"/>
                <w:shd w:val="clear" w:color="auto" w:fill="FFFFFF"/>
              </w:rPr>
              <w:t>8</w:t>
            </w:r>
            <w:r w:rsidR="004611D7">
              <w:rPr>
                <w:sz w:val="20"/>
                <w:shd w:val="clear" w:color="auto" w:fill="FFFFFF"/>
              </w:rPr>
              <w:t>2</w:t>
            </w:r>
            <w:r w:rsidRPr="00324BC8">
              <w:rPr>
                <w:sz w:val="20"/>
                <w:shd w:val="clear" w:color="auto" w:fill="FFFFFF"/>
              </w:rPr>
              <w:t>,</w:t>
            </w:r>
            <w:r w:rsidR="004611D7">
              <w:rPr>
                <w:sz w:val="20"/>
                <w:shd w:val="clear" w:color="auto" w:fill="FFFFFF"/>
              </w:rPr>
              <w:t>943</w:t>
            </w:r>
          </w:p>
        </w:tc>
        <w:tc>
          <w:tcPr>
            <w:tcW w:w="1971" w:type="dxa"/>
            <w:tcBorders>
              <w:top w:val="nil"/>
            </w:tcBorders>
          </w:tcPr>
          <w:p w14:paraId="46D46E85" w14:textId="77777777" w:rsidR="00B271FA" w:rsidRPr="00324BC8" w:rsidRDefault="00B271FA" w:rsidP="002C4629">
            <w:pPr>
              <w:pStyle w:val="TableText"/>
              <w:spacing w:beforeLines="20" w:before="48" w:beforeAutospacing="0" w:afterLines="20" w:after="48" w:line="240" w:lineRule="auto"/>
              <w:contextualSpacing w:val="0"/>
              <w:jc w:val="right"/>
              <w:rPr>
                <w:sz w:val="20"/>
                <w:shd w:val="clear" w:color="auto" w:fill="FFFFFF"/>
              </w:rPr>
            </w:pPr>
          </w:p>
        </w:tc>
      </w:tr>
    </w:tbl>
    <w:p w14:paraId="58C6BD78" w14:textId="77777777" w:rsidR="00333619" w:rsidRDefault="00333619">
      <w:pPr>
        <w:spacing w:before="0" w:beforeAutospacing="0" w:after="16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>
        <w:br w:type="page"/>
      </w:r>
    </w:p>
    <w:p w14:paraId="4D724E11" w14:textId="64E24D92" w:rsidR="00CC76B7" w:rsidRPr="000610C7" w:rsidRDefault="00CC76B7" w:rsidP="00607466">
      <w:pPr>
        <w:pStyle w:val="Heading2"/>
      </w:pPr>
      <w:r w:rsidRPr="000610C7">
        <w:lastRenderedPageBreak/>
        <w:t>Sector profile</w:t>
      </w:r>
    </w:p>
    <w:p w14:paraId="3529C276" w14:textId="77777777" w:rsidR="004375DD" w:rsidRPr="004D0F80" w:rsidRDefault="004375DD" w:rsidP="00607466">
      <w:pPr>
        <w:pStyle w:val="Heading3"/>
      </w:pPr>
      <w:r w:rsidRPr="004D0F80">
        <w:t>Employment trends</w:t>
      </w:r>
    </w:p>
    <w:p w14:paraId="077A7826" w14:textId="77777777" w:rsidR="00A4541A" w:rsidRDefault="00A4541A" w:rsidP="00A4541A">
      <w:pPr>
        <w:spacing w:before="0" w:beforeAutospacing="0" w:after="0"/>
        <w:rPr>
          <w:noProof/>
        </w:rPr>
      </w:pPr>
      <w:bookmarkStart w:id="1" w:name="_Hlk113617056"/>
      <w:bookmarkStart w:id="2" w:name="_Hlk121291811"/>
      <w:r>
        <w:rPr>
          <w:noProof/>
        </w:rPr>
        <w:t>In December 2023 the WA public sector employed 167,851 people, equating to 131,453 full time equivalent (FTE) employees.</w:t>
      </w:r>
    </w:p>
    <w:p w14:paraId="005FEE00" w14:textId="77777777" w:rsidR="00A4541A" w:rsidRDefault="00A4541A" w:rsidP="00A4541A">
      <w:pPr>
        <w:spacing w:before="0" w:beforeAutospacing="0" w:after="0"/>
        <w:rPr>
          <w:noProof/>
        </w:rPr>
      </w:pPr>
    </w:p>
    <w:p w14:paraId="7B3A1F35" w14:textId="77777777" w:rsidR="00A4541A" w:rsidRDefault="00A4541A" w:rsidP="00A4541A">
      <w:pPr>
        <w:spacing w:before="0" w:beforeAutospacing="0" w:after="0"/>
        <w:rPr>
          <w:noProof/>
        </w:rPr>
      </w:pPr>
      <w:r>
        <w:rPr>
          <w:noProof/>
        </w:rPr>
        <w:t>In headcount terms, this reflected a quarterly decrease of 461 (-0.3%) since September 2023, and an annual increase of 6,928 (+4.3%) since December 2022.</w:t>
      </w:r>
    </w:p>
    <w:p w14:paraId="7FCC30B5" w14:textId="77777777" w:rsidR="00A4541A" w:rsidRDefault="00A4541A" w:rsidP="00A4541A">
      <w:pPr>
        <w:spacing w:before="0" w:beforeAutospacing="0" w:after="0"/>
        <w:rPr>
          <w:noProof/>
        </w:rPr>
      </w:pPr>
    </w:p>
    <w:p w14:paraId="18A775EC" w14:textId="5775931A" w:rsidR="002F3AD7" w:rsidRDefault="00A4541A" w:rsidP="00A4541A">
      <w:pPr>
        <w:spacing w:before="0" w:beforeAutospacing="0" w:after="0"/>
        <w:rPr>
          <w:noProof/>
        </w:rPr>
      </w:pPr>
      <w:r>
        <w:rPr>
          <w:noProof/>
        </w:rPr>
        <w:t>In FTE terms, this reflected a quarterly decrease of 406 (-0.3%) since September 2023, and an annual increase of 5,317 (+4.2%) since December 2022.</w:t>
      </w:r>
    </w:p>
    <w:p w14:paraId="14C5B485" w14:textId="77777777" w:rsidR="00A4541A" w:rsidRDefault="00A4541A" w:rsidP="00A4541A">
      <w:pPr>
        <w:spacing w:before="0" w:beforeAutospacing="0" w:after="0"/>
        <w:rPr>
          <w:noProof/>
        </w:rPr>
      </w:pPr>
    </w:p>
    <w:p w14:paraId="0BE3FE86" w14:textId="77777777" w:rsidR="00A4541A" w:rsidRDefault="00A4541A" w:rsidP="00A4541A">
      <w:pPr>
        <w:spacing w:before="0" w:beforeAutospacing="0" w:after="0"/>
        <w:rPr>
          <w:noProof/>
        </w:rPr>
      </w:pPr>
      <w:r>
        <w:rPr>
          <w:noProof/>
        </w:rPr>
        <w:t>The Department of Education decreased by 756 FTE (-1.7%) in the quarter. Most of the decrease were teachers (-526 FTE) and education aides (-241 FTE) and reflects seasonal patterns associated with the end of the school year.</w:t>
      </w:r>
    </w:p>
    <w:p w14:paraId="44A80637" w14:textId="77777777" w:rsidR="00A4541A" w:rsidRDefault="00A4541A" w:rsidP="00A4541A">
      <w:pPr>
        <w:spacing w:before="0" w:beforeAutospacing="0" w:after="0"/>
        <w:rPr>
          <w:noProof/>
        </w:rPr>
      </w:pPr>
    </w:p>
    <w:p w14:paraId="7D0333E9" w14:textId="77777777" w:rsidR="00A4541A" w:rsidRDefault="00A4541A" w:rsidP="00A4541A">
      <w:pPr>
        <w:spacing w:before="0" w:beforeAutospacing="0" w:after="0"/>
        <w:rPr>
          <w:noProof/>
        </w:rPr>
      </w:pPr>
      <w:r>
        <w:rPr>
          <w:noProof/>
        </w:rPr>
        <w:t>WA Health was down 362 FTE (-0.8%). Changes at the health service providers varied, with the WA Country Health Service and the East Metropolitan Health Service down 2.5%, while PathWest was up 2.6% and Health Support Services up 4.1%.</w:t>
      </w:r>
    </w:p>
    <w:p w14:paraId="7EEB59DE" w14:textId="77777777" w:rsidR="00A4541A" w:rsidRDefault="00A4541A" w:rsidP="00A4541A">
      <w:pPr>
        <w:spacing w:before="0" w:beforeAutospacing="0" w:after="0"/>
        <w:rPr>
          <w:noProof/>
        </w:rPr>
      </w:pPr>
    </w:p>
    <w:p w14:paraId="2DB58A36" w14:textId="25E38CF7" w:rsidR="00A4541A" w:rsidRDefault="00A4541A" w:rsidP="00A4541A">
      <w:pPr>
        <w:spacing w:before="0" w:beforeAutospacing="0" w:after="0"/>
        <w:rPr>
          <w:noProof/>
          <w:highlight w:val="yellow"/>
        </w:rPr>
      </w:pPr>
      <w:r>
        <w:rPr>
          <w:noProof/>
        </w:rPr>
        <w:t>Main Roads increased by 163 FTE (+11.7%) resulting from the statewide transition of road maintenance functions back into the public sector. These transfers commenced in late 2022 and will continue throughout 2024.</w:t>
      </w:r>
    </w:p>
    <w:bookmarkEnd w:id="1"/>
    <w:bookmarkEnd w:id="2"/>
    <w:p w14:paraId="776D250A" w14:textId="25235CD0" w:rsidR="006926A7" w:rsidRPr="00D46CC8" w:rsidRDefault="00CC76B7" w:rsidP="007C5210">
      <w:pPr>
        <w:pStyle w:val="Heading3"/>
      </w:pPr>
      <w:r w:rsidRPr="00D46CC8">
        <w:t>Salaries expenditure</w:t>
      </w:r>
    </w:p>
    <w:p w14:paraId="54FEDE44" w14:textId="77777777" w:rsidR="002B7D30" w:rsidRDefault="002B7D30" w:rsidP="00442770">
      <w:pPr>
        <w:spacing w:before="0" w:beforeAutospacing="0" w:after="0"/>
        <w:rPr>
          <w:shd w:val="clear" w:color="auto" w:fill="FFFFFF"/>
        </w:rPr>
      </w:pPr>
      <w:bookmarkStart w:id="3" w:name="_Hlk136241217"/>
      <w:r w:rsidRPr="002B7D30">
        <w:rPr>
          <w:shd w:val="clear" w:color="auto" w:fill="FFFFFF"/>
        </w:rPr>
        <w:t>Salaries represent the single largest component of general government sector expenses (at around 40% for the six months to December 2023, or 45% when concurrent superannuation costs are also included).</w:t>
      </w:r>
    </w:p>
    <w:p w14:paraId="356A4251" w14:textId="77777777" w:rsidR="002B7D30" w:rsidRDefault="002B7D30" w:rsidP="00442770">
      <w:pPr>
        <w:spacing w:before="0" w:beforeAutospacing="0" w:after="0"/>
        <w:rPr>
          <w:shd w:val="clear" w:color="auto" w:fill="FFFFFF"/>
        </w:rPr>
      </w:pPr>
    </w:p>
    <w:p w14:paraId="3E630AC6" w14:textId="024CBD17" w:rsidR="002B7D30" w:rsidRDefault="002B7D30" w:rsidP="00442770">
      <w:pPr>
        <w:spacing w:before="0" w:beforeAutospacing="0" w:after="0"/>
        <w:rPr>
          <w:shd w:val="clear" w:color="auto" w:fill="FFFFFF"/>
        </w:rPr>
      </w:pPr>
      <w:r w:rsidRPr="002B7D30">
        <w:rPr>
          <w:shd w:val="clear" w:color="auto" w:fill="FFFFFF"/>
        </w:rPr>
        <w:t>General government salaries for the first six months of 2023-24 grew by 6.1% to total $8.1 billion.</w:t>
      </w:r>
    </w:p>
    <w:p w14:paraId="5AF009AC" w14:textId="2F759E5D" w:rsidR="00442770" w:rsidRPr="00A34253" w:rsidRDefault="002B7D30" w:rsidP="00442770">
      <w:pPr>
        <w:spacing w:before="0" w:beforeAutospacing="0" w:after="0"/>
        <w:rPr>
          <w:highlight w:val="yellow"/>
          <w:shd w:val="clear" w:color="auto" w:fill="FFFFFF"/>
        </w:rPr>
      </w:pPr>
      <w:r>
        <w:rPr>
          <w:noProof/>
        </w:rPr>
        <w:drawing>
          <wp:inline distT="0" distB="0" distL="0" distR="0" wp14:anchorId="4E49201D" wp14:editId="238B65AC">
            <wp:extent cx="5731510" cy="2820670"/>
            <wp:effectExtent l="0" t="0" r="2540" b="0"/>
            <wp:docPr id="1922194156" name="Chart 1" descr="Image of salary growth from 2013-14 to 2023-24. Decade average of 4.3% ">
              <a:extLst xmlns:a="http://schemas.openxmlformats.org/drawingml/2006/main">
                <a:ext uri="{FF2B5EF4-FFF2-40B4-BE49-F238E27FC236}">
                  <a16:creationId xmlns:a16="http://schemas.microsoft.com/office/drawing/2014/main" id="{11C35F88-8A3F-42DF-AFC7-3897D47787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5619694" w14:textId="4EBA5116" w:rsidR="006926A7" w:rsidRDefault="00442770" w:rsidP="00AF27DE">
      <w:pPr>
        <w:spacing w:before="0" w:beforeAutospacing="0" w:after="0"/>
        <w:rPr>
          <w:rFonts w:ascii="Century Gothic" w:eastAsiaTheme="majorEastAsia" w:hAnsi="Century Gothic" w:cstheme="majorBidi"/>
          <w:color w:val="000000" w:themeColor="text1"/>
          <w:sz w:val="32"/>
          <w:szCs w:val="32"/>
          <w14:textFill>
            <w14:solidFill>
              <w14:schemeClr w14:val="tx1">
                <w14:lumMod w14:val="85000"/>
                <w14:lumOff w14:val="15000"/>
                <w14:lumMod w14:val="25000"/>
              </w14:schemeClr>
            </w14:solidFill>
          </w14:textFill>
        </w:rPr>
      </w:pPr>
      <w:r w:rsidRPr="00EE31DB">
        <w:rPr>
          <w:sz w:val="20"/>
          <w:szCs w:val="20"/>
        </w:rPr>
        <w:t>Source: Department of Treasury</w:t>
      </w:r>
      <w:r w:rsidR="006926A7">
        <w:br w:type="page"/>
      </w:r>
    </w:p>
    <w:bookmarkEnd w:id="3"/>
    <w:p w14:paraId="464FD60E" w14:textId="3FF998A4" w:rsidR="007C147E" w:rsidRDefault="00C96AD0" w:rsidP="00607466">
      <w:pPr>
        <w:pStyle w:val="Heading2"/>
      </w:pPr>
      <w:r>
        <w:lastRenderedPageBreak/>
        <w:t>Historical h</w:t>
      </w:r>
      <w:r w:rsidR="007C147E" w:rsidRPr="007C147E">
        <w:t>eadcount</w:t>
      </w:r>
      <w:r w:rsidR="000610C7">
        <w:t xml:space="preserve">, FTE and salaries expenditure </w:t>
      </w:r>
    </w:p>
    <w:tbl>
      <w:tblPr>
        <w:tblStyle w:val="ListTable3-Accent6"/>
        <w:tblW w:w="0" w:type="auto"/>
        <w:tblBorders>
          <w:insideH w:val="single" w:sz="4" w:space="0" w:color="70AD47" w:themeColor="accent6"/>
          <w:insideV w:val="single" w:sz="4" w:space="0" w:color="70AD47" w:themeColor="accent6"/>
        </w:tblBorders>
        <w:shd w:val="clear" w:color="auto" w:fill="2B9947"/>
        <w:tblLook w:val="04A0" w:firstRow="1" w:lastRow="0" w:firstColumn="1" w:lastColumn="0" w:noHBand="0" w:noVBand="1"/>
      </w:tblPr>
      <w:tblGrid>
        <w:gridCol w:w="2266"/>
        <w:gridCol w:w="1845"/>
        <w:gridCol w:w="1701"/>
        <w:gridCol w:w="2405"/>
      </w:tblGrid>
      <w:tr w:rsidR="00607466" w:rsidRPr="00607466" w14:paraId="244B2CDB" w14:textId="77777777" w:rsidTr="008750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6" w:type="dxa"/>
            <w:shd w:val="clear" w:color="auto" w:fill="2B9947"/>
            <w:vAlign w:val="bottom"/>
          </w:tcPr>
          <w:p w14:paraId="7FD3C022" w14:textId="77777777" w:rsidR="007C147E" w:rsidRPr="00607466" w:rsidRDefault="007C147E" w:rsidP="001648F9">
            <w:pPr>
              <w:spacing w:before="60" w:beforeAutospacing="0" w:after="6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Quarter</w:t>
            </w:r>
          </w:p>
        </w:tc>
        <w:tc>
          <w:tcPr>
            <w:tcW w:w="1845" w:type="dxa"/>
            <w:shd w:val="clear" w:color="auto" w:fill="2B9947"/>
            <w:vAlign w:val="bottom"/>
          </w:tcPr>
          <w:p w14:paraId="797ECB83" w14:textId="2CA23FE8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Headcount</w:t>
            </w:r>
            <w:bookmarkStart w:id="4" w:name="_Ref501379223"/>
            <w:bookmarkEnd w:id="4"/>
          </w:p>
        </w:tc>
        <w:tc>
          <w:tcPr>
            <w:tcW w:w="1701" w:type="dxa"/>
            <w:shd w:val="clear" w:color="auto" w:fill="2B9947"/>
            <w:vAlign w:val="bottom"/>
          </w:tcPr>
          <w:p w14:paraId="105267D7" w14:textId="677A67F1" w:rsidR="007C147E" w:rsidRPr="00607466" w:rsidRDefault="007C147E" w:rsidP="001648F9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 w:rsidRPr="00607466">
              <w:rPr>
                <w:b w:val="0"/>
                <w:color w:val="FFFFFF" w:themeColor="background1"/>
                <w:lang w:val="en-US" w:eastAsia="zh-CN"/>
              </w:rPr>
              <w:t>FTE</w:t>
            </w:r>
            <w:bookmarkStart w:id="5" w:name="_Ref501379429"/>
            <w:bookmarkEnd w:id="5"/>
          </w:p>
        </w:tc>
        <w:tc>
          <w:tcPr>
            <w:tcW w:w="2405" w:type="dxa"/>
            <w:shd w:val="clear" w:color="auto" w:fill="2B9947"/>
          </w:tcPr>
          <w:p w14:paraId="44665156" w14:textId="24AE5BF3" w:rsidR="007C147E" w:rsidRPr="00607466" w:rsidRDefault="00A966F1" w:rsidP="00C4027C">
            <w:pPr>
              <w:spacing w:before="60" w:beforeAutospacing="0"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lang w:val="en-US" w:eastAsia="zh-CN"/>
              </w:rPr>
            </w:pPr>
            <w:r>
              <w:rPr>
                <w:b w:val="0"/>
                <w:color w:val="FFFFFF" w:themeColor="background1"/>
                <w:lang w:val="en-US" w:eastAsia="zh-CN"/>
              </w:rPr>
              <w:t>Quarterly s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 xml:space="preserve">alaries </w:t>
            </w:r>
            <w:r w:rsidR="00F27804" w:rsidRPr="00607466">
              <w:rPr>
                <w:b w:val="0"/>
                <w:color w:val="FFFFFF" w:themeColor="background1"/>
                <w:lang w:val="en-US" w:eastAsia="zh-CN"/>
              </w:rPr>
              <w:br/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expenditure ($</w:t>
            </w:r>
            <w:r w:rsidR="00C4027C">
              <w:rPr>
                <w:b w:val="0"/>
                <w:color w:val="FFFFFF" w:themeColor="background1"/>
                <w:lang w:val="en-US" w:eastAsia="zh-CN"/>
              </w:rPr>
              <w:t>M</w:t>
            </w:r>
            <w:r w:rsidR="007C147E" w:rsidRPr="00607466">
              <w:rPr>
                <w:b w:val="0"/>
                <w:color w:val="FFFFFF" w:themeColor="background1"/>
                <w:lang w:val="en-US" w:eastAsia="zh-CN"/>
              </w:rPr>
              <w:t>)</w:t>
            </w:r>
          </w:p>
        </w:tc>
      </w:tr>
      <w:tr w:rsidR="001420AB" w:rsidRPr="00EB09F0" w14:paraId="1D75F231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6C6F5C" w14:textId="2C9951E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2018</w:t>
            </w:r>
          </w:p>
        </w:tc>
        <w:tc>
          <w:tcPr>
            <w:tcW w:w="1845" w:type="dxa"/>
            <w:shd w:val="clear" w:color="auto" w:fill="auto"/>
          </w:tcPr>
          <w:p w14:paraId="42F8D285" w14:textId="42304FF0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138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678</w:t>
            </w:r>
          </w:p>
        </w:tc>
        <w:tc>
          <w:tcPr>
            <w:tcW w:w="1701" w:type="dxa"/>
            <w:shd w:val="clear" w:color="auto" w:fill="auto"/>
          </w:tcPr>
          <w:p w14:paraId="5EB117B3" w14:textId="4B5651A4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40739E">
              <w:rPr>
                <w:shd w:val="clear" w:color="auto" w:fill="FFFFFF"/>
              </w:rPr>
              <w:t>108</w:t>
            </w:r>
            <w:r>
              <w:rPr>
                <w:shd w:val="clear" w:color="auto" w:fill="FFFFFF"/>
              </w:rPr>
              <w:t>,</w:t>
            </w:r>
            <w:r w:rsidRPr="0040739E">
              <w:rPr>
                <w:shd w:val="clear" w:color="auto" w:fill="FFFFFF"/>
              </w:rPr>
              <w:t>601</w:t>
            </w:r>
          </w:p>
        </w:tc>
        <w:tc>
          <w:tcPr>
            <w:tcW w:w="2405" w:type="dxa"/>
            <w:shd w:val="clear" w:color="auto" w:fill="auto"/>
          </w:tcPr>
          <w:p w14:paraId="4AE710A2" w14:textId="55FD2677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091</w:t>
            </w:r>
          </w:p>
        </w:tc>
      </w:tr>
      <w:tr w:rsidR="001420AB" w:rsidRPr="00EB09F0" w14:paraId="7198FF1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50D90563" w14:textId="45A6D138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2019</w:t>
            </w:r>
          </w:p>
        </w:tc>
        <w:tc>
          <w:tcPr>
            <w:tcW w:w="1845" w:type="dxa"/>
            <w:shd w:val="clear" w:color="auto" w:fill="auto"/>
          </w:tcPr>
          <w:p w14:paraId="30B07AA9" w14:textId="621DE689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278</w:t>
            </w:r>
          </w:p>
        </w:tc>
        <w:tc>
          <w:tcPr>
            <w:tcW w:w="1701" w:type="dxa"/>
            <w:shd w:val="clear" w:color="auto" w:fill="auto"/>
          </w:tcPr>
          <w:p w14:paraId="7D5E7B1C" w14:textId="23142CC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099</w:t>
            </w:r>
          </w:p>
        </w:tc>
        <w:tc>
          <w:tcPr>
            <w:tcW w:w="2405" w:type="dxa"/>
            <w:shd w:val="clear" w:color="auto" w:fill="auto"/>
          </w:tcPr>
          <w:p w14:paraId="2CA5D995" w14:textId="0A40502D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2,</w:t>
            </w:r>
            <w:r w:rsidRPr="00EB09F0">
              <w:rPr>
                <w:shd w:val="clear" w:color="auto" w:fill="FFFFFF"/>
              </w:rPr>
              <w:t>982</w:t>
            </w:r>
          </w:p>
        </w:tc>
      </w:tr>
      <w:tr w:rsidR="001420AB" w:rsidRPr="00EB09F0" w14:paraId="3494DDF2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157E3C7E" w14:textId="0CAB00A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2019</w:t>
            </w:r>
          </w:p>
        </w:tc>
        <w:tc>
          <w:tcPr>
            <w:tcW w:w="1845" w:type="dxa"/>
            <w:shd w:val="clear" w:color="auto" w:fill="auto"/>
          </w:tcPr>
          <w:p w14:paraId="26E3776E" w14:textId="454C5098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142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735</w:t>
            </w:r>
          </w:p>
        </w:tc>
        <w:tc>
          <w:tcPr>
            <w:tcW w:w="1701" w:type="dxa"/>
            <w:shd w:val="clear" w:color="auto" w:fill="auto"/>
          </w:tcPr>
          <w:p w14:paraId="7F697FA3" w14:textId="2ECAB62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111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932</w:t>
            </w:r>
          </w:p>
        </w:tc>
        <w:tc>
          <w:tcPr>
            <w:tcW w:w="2405" w:type="dxa"/>
            <w:shd w:val="clear" w:color="auto" w:fill="auto"/>
          </w:tcPr>
          <w:p w14:paraId="0D5297C3" w14:textId="091B232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172</w:t>
            </w:r>
          </w:p>
        </w:tc>
      </w:tr>
      <w:tr w:rsidR="001420AB" w:rsidRPr="00EB09F0" w14:paraId="4028E4BD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E13590A" w14:textId="29F8474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2019</w:t>
            </w:r>
          </w:p>
        </w:tc>
        <w:tc>
          <w:tcPr>
            <w:tcW w:w="1845" w:type="dxa"/>
            <w:shd w:val="clear" w:color="auto" w:fill="auto"/>
          </w:tcPr>
          <w:p w14:paraId="574BC373" w14:textId="402AB0F0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775</w:t>
            </w:r>
          </w:p>
        </w:tc>
        <w:tc>
          <w:tcPr>
            <w:tcW w:w="1701" w:type="dxa"/>
            <w:shd w:val="clear" w:color="auto" w:fill="auto"/>
          </w:tcPr>
          <w:p w14:paraId="1096056C" w14:textId="72942092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367</w:t>
            </w:r>
          </w:p>
        </w:tc>
        <w:tc>
          <w:tcPr>
            <w:tcW w:w="2405" w:type="dxa"/>
            <w:shd w:val="clear" w:color="auto" w:fill="auto"/>
          </w:tcPr>
          <w:p w14:paraId="665AB043" w14:textId="55460295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140</w:t>
            </w:r>
          </w:p>
        </w:tc>
      </w:tr>
      <w:tr w:rsidR="001420AB" w:rsidRPr="00EB09F0" w14:paraId="15A2096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4FF2B123" w14:textId="508C0D1A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December 2019</w:t>
            </w:r>
          </w:p>
        </w:tc>
        <w:tc>
          <w:tcPr>
            <w:tcW w:w="1845" w:type="dxa"/>
            <w:shd w:val="clear" w:color="auto" w:fill="auto"/>
          </w:tcPr>
          <w:p w14:paraId="2C826C39" w14:textId="448C0961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EB09F0">
              <w:rPr>
                <w:shd w:val="clear" w:color="auto" w:fill="FFFFFF"/>
              </w:rPr>
              <w:t>143</w:t>
            </w:r>
            <w:r>
              <w:rPr>
                <w:shd w:val="clear" w:color="auto" w:fill="FFFFFF"/>
              </w:rPr>
              <w:t>,</w:t>
            </w:r>
            <w:r w:rsidRPr="00EB09F0">
              <w:rPr>
                <w:shd w:val="clear" w:color="auto" w:fill="FFFFFF"/>
              </w:rPr>
              <w:t>586</w:t>
            </w:r>
          </w:p>
        </w:tc>
        <w:tc>
          <w:tcPr>
            <w:tcW w:w="1701" w:type="dxa"/>
            <w:shd w:val="clear" w:color="auto" w:fill="auto"/>
          </w:tcPr>
          <w:p w14:paraId="227E9EC0" w14:textId="706F5762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BB1612">
              <w:rPr>
                <w:shd w:val="clear" w:color="auto" w:fill="FFFFFF"/>
              </w:rPr>
              <w:t>113</w:t>
            </w:r>
            <w:r>
              <w:rPr>
                <w:shd w:val="clear" w:color="auto" w:fill="FFFFFF"/>
              </w:rPr>
              <w:t>,</w:t>
            </w:r>
            <w:r w:rsidRPr="00BB1612">
              <w:rPr>
                <w:shd w:val="clear" w:color="auto" w:fill="FFFFFF"/>
              </w:rPr>
              <w:t>143</w:t>
            </w:r>
          </w:p>
        </w:tc>
        <w:tc>
          <w:tcPr>
            <w:tcW w:w="2405" w:type="dxa"/>
            <w:shd w:val="clear" w:color="auto" w:fill="auto"/>
          </w:tcPr>
          <w:p w14:paraId="6E9CEFA2" w14:textId="721FE67F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</w:t>
            </w:r>
            <w:r w:rsidRPr="00EB09F0">
              <w:rPr>
                <w:shd w:val="clear" w:color="auto" w:fill="FFFFFF"/>
              </w:rPr>
              <w:t>212</w:t>
            </w:r>
          </w:p>
        </w:tc>
      </w:tr>
      <w:tr w:rsidR="001420AB" w:rsidRPr="00EB09F0" w14:paraId="302B54F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3432A0D" w14:textId="7722AC3B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March 2020</w:t>
            </w:r>
          </w:p>
        </w:tc>
        <w:tc>
          <w:tcPr>
            <w:tcW w:w="1845" w:type="dxa"/>
            <w:shd w:val="clear" w:color="auto" w:fill="auto"/>
          </w:tcPr>
          <w:p w14:paraId="42B0F9F5" w14:textId="265BCF97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146,343</w:t>
            </w:r>
          </w:p>
        </w:tc>
        <w:tc>
          <w:tcPr>
            <w:tcW w:w="1701" w:type="dxa"/>
            <w:shd w:val="clear" w:color="auto" w:fill="auto"/>
          </w:tcPr>
          <w:p w14:paraId="1A71FF8E" w14:textId="0C91B694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115,548</w:t>
            </w:r>
          </w:p>
        </w:tc>
        <w:tc>
          <w:tcPr>
            <w:tcW w:w="2405" w:type="dxa"/>
            <w:shd w:val="clear" w:color="auto" w:fill="auto"/>
          </w:tcPr>
          <w:p w14:paraId="2265A302" w14:textId="62E77CEC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3,147</w:t>
            </w:r>
          </w:p>
        </w:tc>
      </w:tr>
      <w:tr w:rsidR="001420AB" w:rsidRPr="00EB09F0" w14:paraId="101147DA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08A3FC39" w14:textId="391CAD8C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June 2020</w:t>
            </w:r>
          </w:p>
        </w:tc>
        <w:tc>
          <w:tcPr>
            <w:tcW w:w="1845" w:type="dxa"/>
            <w:shd w:val="clear" w:color="auto" w:fill="auto"/>
          </w:tcPr>
          <w:p w14:paraId="160FD679" w14:textId="0E2A0B9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146,562</w:t>
            </w:r>
          </w:p>
        </w:tc>
        <w:tc>
          <w:tcPr>
            <w:tcW w:w="1701" w:type="dxa"/>
            <w:shd w:val="clear" w:color="auto" w:fill="auto"/>
          </w:tcPr>
          <w:p w14:paraId="78A3A989" w14:textId="36BC401D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116,878</w:t>
            </w:r>
          </w:p>
        </w:tc>
        <w:tc>
          <w:tcPr>
            <w:tcW w:w="2405" w:type="dxa"/>
            <w:shd w:val="clear" w:color="auto" w:fill="auto"/>
          </w:tcPr>
          <w:p w14:paraId="39ABD4D8" w14:textId="341C4FCE" w:rsidR="001420AB" w:rsidRPr="00EB09F0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3,366</w:t>
            </w:r>
          </w:p>
        </w:tc>
      </w:tr>
      <w:tr w:rsidR="001420AB" w:rsidRPr="00EB09F0" w14:paraId="1701671A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22287206" w14:textId="376A2E97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 w:rsidRPr="00607466">
              <w:rPr>
                <w:b w:val="0"/>
                <w:shd w:val="clear" w:color="auto" w:fill="FFFFFF"/>
              </w:rPr>
              <w:t>September 2020</w:t>
            </w:r>
          </w:p>
        </w:tc>
        <w:tc>
          <w:tcPr>
            <w:tcW w:w="1845" w:type="dxa"/>
            <w:shd w:val="clear" w:color="auto" w:fill="auto"/>
          </w:tcPr>
          <w:p w14:paraId="04AB24A1" w14:textId="74722336" w:rsidR="001420AB" w:rsidRPr="00EB09F0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148,408</w:t>
            </w:r>
          </w:p>
        </w:tc>
        <w:tc>
          <w:tcPr>
            <w:tcW w:w="1701" w:type="dxa"/>
            <w:shd w:val="clear" w:color="auto" w:fill="auto"/>
          </w:tcPr>
          <w:p w14:paraId="34A8DCCD" w14:textId="60443097" w:rsidR="001420AB" w:rsidRPr="00BB1612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117,773</w:t>
            </w:r>
          </w:p>
        </w:tc>
        <w:tc>
          <w:tcPr>
            <w:tcW w:w="2405" w:type="dxa"/>
            <w:shd w:val="clear" w:color="auto" w:fill="auto"/>
          </w:tcPr>
          <w:p w14:paraId="4D2B73AC" w14:textId="77AAA5A3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3,319</w:t>
            </w:r>
          </w:p>
        </w:tc>
      </w:tr>
      <w:tr w:rsidR="001420AB" w:rsidRPr="00EB09F0" w14:paraId="0C2153E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AD82DEE" w14:textId="0E3208C4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 2020</w:t>
            </w:r>
          </w:p>
        </w:tc>
        <w:tc>
          <w:tcPr>
            <w:tcW w:w="1845" w:type="dxa"/>
            <w:shd w:val="clear" w:color="auto" w:fill="auto"/>
          </w:tcPr>
          <w:p w14:paraId="5266F07B" w14:textId="47933CA1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148,532</w:t>
            </w:r>
          </w:p>
        </w:tc>
        <w:tc>
          <w:tcPr>
            <w:tcW w:w="1701" w:type="dxa"/>
            <w:shd w:val="clear" w:color="auto" w:fill="auto"/>
          </w:tcPr>
          <w:p w14:paraId="5224839C" w14:textId="1F95AA2A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117,664</w:t>
            </w:r>
          </w:p>
        </w:tc>
        <w:tc>
          <w:tcPr>
            <w:tcW w:w="2405" w:type="dxa"/>
            <w:shd w:val="clear" w:color="auto" w:fill="auto"/>
          </w:tcPr>
          <w:p w14:paraId="5DD9EB36" w14:textId="63C7BDF8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3,350</w:t>
            </w:r>
          </w:p>
        </w:tc>
      </w:tr>
      <w:tr w:rsidR="001420AB" w:rsidRPr="00EB09F0" w14:paraId="1F59F062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tcBorders>
              <w:right w:val="none" w:sz="0" w:space="0" w:color="auto"/>
            </w:tcBorders>
            <w:shd w:val="clear" w:color="auto" w:fill="auto"/>
          </w:tcPr>
          <w:p w14:paraId="7655105E" w14:textId="3A18DF46" w:rsidR="001420AB" w:rsidRPr="00607466" w:rsidRDefault="001420AB" w:rsidP="001420AB">
            <w:pPr>
              <w:spacing w:before="60" w:beforeAutospacing="0" w:after="60"/>
              <w:rPr>
                <w:b w:val="0"/>
                <w:bCs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2021</w:t>
            </w:r>
          </w:p>
        </w:tc>
        <w:tc>
          <w:tcPr>
            <w:tcW w:w="1845" w:type="dxa"/>
            <w:shd w:val="clear" w:color="auto" w:fill="auto"/>
          </w:tcPr>
          <w:p w14:paraId="3861E48E" w14:textId="42897E84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151,753</w:t>
            </w:r>
          </w:p>
        </w:tc>
        <w:tc>
          <w:tcPr>
            <w:tcW w:w="1701" w:type="dxa"/>
            <w:shd w:val="clear" w:color="auto" w:fill="auto"/>
          </w:tcPr>
          <w:p w14:paraId="1E89DF8C" w14:textId="0FC04A1A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120,357</w:t>
            </w:r>
          </w:p>
        </w:tc>
        <w:tc>
          <w:tcPr>
            <w:tcW w:w="2405" w:type="dxa"/>
            <w:shd w:val="clear" w:color="auto" w:fill="auto"/>
          </w:tcPr>
          <w:p w14:paraId="2A51CE09" w14:textId="7399C7E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3,298</w:t>
            </w:r>
          </w:p>
        </w:tc>
      </w:tr>
      <w:tr w:rsidR="001420AB" w:rsidRPr="00EB09F0" w14:paraId="4F03CED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D5DEFF" w14:textId="72F8BA4D" w:rsidR="001420AB" w:rsidRPr="00607466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2021</w:t>
            </w:r>
          </w:p>
        </w:tc>
        <w:tc>
          <w:tcPr>
            <w:tcW w:w="1845" w:type="dxa"/>
            <w:shd w:val="clear" w:color="auto" w:fill="auto"/>
          </w:tcPr>
          <w:p w14:paraId="33D8C59D" w14:textId="439741C9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153,396</w:t>
            </w:r>
          </w:p>
        </w:tc>
        <w:tc>
          <w:tcPr>
            <w:tcW w:w="1701" w:type="dxa"/>
            <w:shd w:val="clear" w:color="auto" w:fill="auto"/>
          </w:tcPr>
          <w:p w14:paraId="1E21DDF2" w14:textId="15C09173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121,298</w:t>
            </w:r>
          </w:p>
        </w:tc>
        <w:tc>
          <w:tcPr>
            <w:tcW w:w="2405" w:type="dxa"/>
            <w:shd w:val="clear" w:color="auto" w:fill="auto"/>
          </w:tcPr>
          <w:p w14:paraId="144C5273" w14:textId="589A6E26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3,502</w:t>
            </w:r>
          </w:p>
        </w:tc>
      </w:tr>
      <w:tr w:rsidR="001420AB" w:rsidRPr="00EB09F0" w14:paraId="5A6AED53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7C2BB83D" w14:textId="5AD767A2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917C55">
              <w:rPr>
                <w:b w:val="0"/>
                <w:shd w:val="clear" w:color="auto" w:fill="FFFFFF"/>
              </w:rPr>
              <w:t>September 2021</w:t>
            </w:r>
          </w:p>
        </w:tc>
        <w:tc>
          <w:tcPr>
            <w:tcW w:w="1845" w:type="dxa"/>
            <w:shd w:val="clear" w:color="auto" w:fill="auto"/>
          </w:tcPr>
          <w:p w14:paraId="34480548" w14:textId="30FB8F88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155,931</w:t>
            </w:r>
          </w:p>
        </w:tc>
        <w:tc>
          <w:tcPr>
            <w:tcW w:w="1701" w:type="dxa"/>
            <w:shd w:val="clear" w:color="auto" w:fill="auto"/>
          </w:tcPr>
          <w:p w14:paraId="49FF5E37" w14:textId="3F8BCBE7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123,034</w:t>
            </w:r>
          </w:p>
        </w:tc>
        <w:tc>
          <w:tcPr>
            <w:tcW w:w="2405" w:type="dxa"/>
            <w:shd w:val="clear" w:color="auto" w:fill="auto"/>
          </w:tcPr>
          <w:p w14:paraId="64CE539F" w14:textId="1399FA56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3,512</w:t>
            </w:r>
          </w:p>
        </w:tc>
      </w:tr>
      <w:tr w:rsidR="001420AB" w:rsidRPr="00EB09F0" w14:paraId="76B3915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4448509" w14:textId="57A22757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December</w:t>
            </w:r>
            <w:r w:rsidRPr="00917C55">
              <w:rPr>
                <w:b w:val="0"/>
                <w:shd w:val="clear" w:color="auto" w:fill="FFFFFF"/>
              </w:rPr>
              <w:t xml:space="preserve"> 2021</w:t>
            </w:r>
          </w:p>
        </w:tc>
        <w:tc>
          <w:tcPr>
            <w:tcW w:w="1845" w:type="dxa"/>
            <w:shd w:val="clear" w:color="auto" w:fill="auto"/>
          </w:tcPr>
          <w:p w14:paraId="63B0848E" w14:textId="6D4C8F4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471C9">
              <w:t>155,</w:t>
            </w:r>
            <w:r>
              <w:t>963</w:t>
            </w:r>
          </w:p>
        </w:tc>
        <w:tc>
          <w:tcPr>
            <w:tcW w:w="1701" w:type="dxa"/>
            <w:shd w:val="clear" w:color="auto" w:fill="auto"/>
          </w:tcPr>
          <w:p w14:paraId="05DA3712" w14:textId="1EEF929D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>
              <w:t>122,361</w:t>
            </w:r>
          </w:p>
        </w:tc>
        <w:tc>
          <w:tcPr>
            <w:tcW w:w="2405" w:type="dxa"/>
            <w:shd w:val="clear" w:color="auto" w:fill="auto"/>
          </w:tcPr>
          <w:p w14:paraId="1F7F6E34" w14:textId="6E368DDB" w:rsidR="001420AB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3,574</w:t>
            </w:r>
          </w:p>
        </w:tc>
      </w:tr>
      <w:tr w:rsidR="001420AB" w:rsidRPr="00917C55" w14:paraId="78F96526" w14:textId="77777777" w:rsidTr="00E753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CD1328A" w14:textId="46B1EFF8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2022</w:t>
            </w:r>
          </w:p>
        </w:tc>
        <w:tc>
          <w:tcPr>
            <w:tcW w:w="1845" w:type="dxa"/>
            <w:shd w:val="clear" w:color="auto" w:fill="auto"/>
          </w:tcPr>
          <w:p w14:paraId="608CAEE6" w14:textId="171B15D6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159,839</w:t>
            </w:r>
          </w:p>
        </w:tc>
        <w:tc>
          <w:tcPr>
            <w:tcW w:w="1701" w:type="dxa"/>
            <w:shd w:val="clear" w:color="auto" w:fill="auto"/>
          </w:tcPr>
          <w:p w14:paraId="101E946F" w14:textId="717474CF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772517">
              <w:t>125,623</w:t>
            </w:r>
          </w:p>
        </w:tc>
        <w:tc>
          <w:tcPr>
            <w:tcW w:w="2405" w:type="dxa"/>
            <w:shd w:val="clear" w:color="auto" w:fill="auto"/>
          </w:tcPr>
          <w:p w14:paraId="003128DD" w14:textId="1BA654DB" w:rsidR="001420AB" w:rsidRPr="00917C5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3,476</w:t>
            </w:r>
          </w:p>
        </w:tc>
      </w:tr>
      <w:tr w:rsidR="001420AB" w:rsidRPr="00917C55" w14:paraId="2EBA950C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102ED32" w14:textId="6CC2EF7A" w:rsidR="001420AB" w:rsidRPr="00917C55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June 2022</w:t>
            </w:r>
          </w:p>
        </w:tc>
        <w:tc>
          <w:tcPr>
            <w:tcW w:w="1845" w:type="dxa"/>
            <w:shd w:val="clear" w:color="auto" w:fill="auto"/>
          </w:tcPr>
          <w:p w14:paraId="48528755" w14:textId="3AD413AC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160,281</w:t>
            </w:r>
          </w:p>
        </w:tc>
        <w:tc>
          <w:tcPr>
            <w:tcW w:w="1701" w:type="dxa"/>
            <w:shd w:val="clear" w:color="auto" w:fill="auto"/>
          </w:tcPr>
          <w:p w14:paraId="211E9E80" w14:textId="211287DB" w:rsidR="001420AB" w:rsidRPr="00917C5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hd w:val="clear" w:color="auto" w:fill="FFFFFF"/>
              </w:rPr>
            </w:pPr>
            <w:r w:rsidRPr="009453B8">
              <w:t>125,623</w:t>
            </w:r>
          </w:p>
        </w:tc>
        <w:tc>
          <w:tcPr>
            <w:tcW w:w="2405" w:type="dxa"/>
            <w:shd w:val="clear" w:color="auto" w:fill="auto"/>
          </w:tcPr>
          <w:p w14:paraId="2EB34714" w14:textId="1D161DB7" w:rsidR="001420AB" w:rsidRPr="006926A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3,717</w:t>
            </w:r>
          </w:p>
        </w:tc>
      </w:tr>
      <w:tr w:rsidR="001420AB" w:rsidRPr="00917C55" w14:paraId="5F18B504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02671237" w14:textId="3E3AE19A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DD6729">
              <w:rPr>
                <w:b w:val="0"/>
                <w:shd w:val="clear" w:color="auto" w:fill="FFFFFF"/>
              </w:rPr>
              <w:t>September 2022</w:t>
            </w:r>
          </w:p>
        </w:tc>
        <w:tc>
          <w:tcPr>
            <w:tcW w:w="1845" w:type="dxa"/>
            <w:shd w:val="clear" w:color="auto" w:fill="auto"/>
          </w:tcPr>
          <w:p w14:paraId="47326F8B" w14:textId="7F1CB9EE" w:rsidR="001420AB" w:rsidRPr="007471C9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161,530</w:t>
            </w:r>
          </w:p>
        </w:tc>
        <w:tc>
          <w:tcPr>
            <w:tcW w:w="1701" w:type="dxa"/>
            <w:shd w:val="clear" w:color="auto" w:fill="auto"/>
          </w:tcPr>
          <w:p w14:paraId="74EDFDBD" w14:textId="3E3DCDFD" w:rsidR="001420AB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403A">
              <w:t>126,421</w:t>
            </w:r>
          </w:p>
        </w:tc>
        <w:tc>
          <w:tcPr>
            <w:tcW w:w="2405" w:type="dxa"/>
            <w:shd w:val="clear" w:color="auto" w:fill="auto"/>
          </w:tcPr>
          <w:p w14:paraId="692C2F1F" w14:textId="75ED149F" w:rsidR="001420AB" w:rsidRPr="007922A5" w:rsidRDefault="001420AB" w:rsidP="001420AB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 w:rsidRPr="007922A5">
              <w:rPr>
                <w:color w:val="auto"/>
                <w:shd w:val="clear" w:color="auto" w:fill="FFFFFF"/>
              </w:rPr>
              <w:t>3,721</w:t>
            </w:r>
          </w:p>
        </w:tc>
      </w:tr>
      <w:tr w:rsidR="001420AB" w:rsidRPr="00917C55" w14:paraId="0391B1F8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26B48E46" w14:textId="75A2C061" w:rsidR="001420AB" w:rsidRDefault="001420AB" w:rsidP="001420AB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24479E">
              <w:rPr>
                <w:b w:val="0"/>
                <w:bCs w:val="0"/>
                <w:shd w:val="clear" w:color="auto" w:fill="FFFFFF"/>
              </w:rPr>
              <w:t>December</w:t>
            </w:r>
            <w:r>
              <w:rPr>
                <w:b w:val="0"/>
                <w:bCs w:val="0"/>
                <w:shd w:val="clear" w:color="auto" w:fill="FFFFFF"/>
              </w:rPr>
              <w:t xml:space="preserve"> 2022</w:t>
            </w:r>
          </w:p>
        </w:tc>
        <w:tc>
          <w:tcPr>
            <w:tcW w:w="1845" w:type="dxa"/>
            <w:shd w:val="clear" w:color="auto" w:fill="auto"/>
          </w:tcPr>
          <w:p w14:paraId="77C2EBD8" w14:textId="4E14705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4479E">
              <w:t>160,</w:t>
            </w:r>
            <w:r>
              <w:t>923</w:t>
            </w:r>
          </w:p>
        </w:tc>
        <w:tc>
          <w:tcPr>
            <w:tcW w:w="1701" w:type="dxa"/>
            <w:shd w:val="clear" w:color="auto" w:fill="auto"/>
          </w:tcPr>
          <w:p w14:paraId="0BDEA433" w14:textId="4BC34609" w:rsidR="001420AB" w:rsidRPr="00772517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126,136</w:t>
            </w:r>
          </w:p>
        </w:tc>
        <w:tc>
          <w:tcPr>
            <w:tcW w:w="2405" w:type="dxa"/>
            <w:shd w:val="clear" w:color="auto" w:fill="auto"/>
          </w:tcPr>
          <w:p w14:paraId="774DED33" w14:textId="6BAECD99" w:rsidR="001420AB" w:rsidRPr="007922A5" w:rsidRDefault="001420AB" w:rsidP="001420AB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3,942</w:t>
            </w:r>
          </w:p>
        </w:tc>
      </w:tr>
      <w:tr w:rsidR="007922A5" w:rsidRPr="00917C55" w14:paraId="1B3AD650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A4BE09" w14:textId="105394B6" w:rsidR="007922A5" w:rsidRPr="00DD6729" w:rsidRDefault="001420A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>
              <w:rPr>
                <w:b w:val="0"/>
                <w:shd w:val="clear" w:color="auto" w:fill="FFFFFF"/>
              </w:rPr>
              <w:t>March 2023</w:t>
            </w:r>
          </w:p>
        </w:tc>
        <w:tc>
          <w:tcPr>
            <w:tcW w:w="1845" w:type="dxa"/>
            <w:shd w:val="clear" w:color="auto" w:fill="auto"/>
          </w:tcPr>
          <w:p w14:paraId="5C1B380F" w14:textId="646CEAA9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164,141</w:t>
            </w:r>
          </w:p>
        </w:tc>
        <w:tc>
          <w:tcPr>
            <w:tcW w:w="1701" w:type="dxa"/>
            <w:shd w:val="clear" w:color="auto" w:fill="auto"/>
          </w:tcPr>
          <w:p w14:paraId="1B427AA8" w14:textId="069DCD1D" w:rsidR="007922A5" w:rsidRPr="009453B8" w:rsidRDefault="001420A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128,784</w:t>
            </w:r>
          </w:p>
        </w:tc>
        <w:tc>
          <w:tcPr>
            <w:tcW w:w="2405" w:type="dxa"/>
            <w:shd w:val="clear" w:color="auto" w:fill="auto"/>
          </w:tcPr>
          <w:p w14:paraId="60684563" w14:textId="07A1FCBC" w:rsidR="007922A5" w:rsidRPr="007922A5" w:rsidRDefault="00EE31DB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color w:val="auto"/>
                <w:shd w:val="clear" w:color="auto" w:fill="FFFFFF"/>
              </w:rPr>
              <w:t>4,081</w:t>
            </w:r>
          </w:p>
        </w:tc>
      </w:tr>
      <w:tr w:rsidR="005E235C" w:rsidRPr="00917C55" w14:paraId="3DC93DF4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4557DAC8" w14:textId="76B55661" w:rsidR="005E235C" w:rsidRPr="005E235C" w:rsidRDefault="005E235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5E235C">
              <w:rPr>
                <w:b w:val="0"/>
                <w:shd w:val="clear" w:color="auto" w:fill="FFFFFF"/>
              </w:rPr>
              <w:t>June 2023</w:t>
            </w:r>
          </w:p>
        </w:tc>
        <w:tc>
          <w:tcPr>
            <w:tcW w:w="1845" w:type="dxa"/>
            <w:shd w:val="clear" w:color="auto" w:fill="auto"/>
          </w:tcPr>
          <w:p w14:paraId="56710BD6" w14:textId="52D1227F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164,657</w:t>
            </w:r>
          </w:p>
        </w:tc>
        <w:tc>
          <w:tcPr>
            <w:tcW w:w="1701" w:type="dxa"/>
            <w:shd w:val="clear" w:color="auto" w:fill="auto"/>
          </w:tcPr>
          <w:p w14:paraId="49E00122" w14:textId="0C5E72BB" w:rsidR="005E235C" w:rsidRPr="005E235C" w:rsidRDefault="005E235C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E235C">
              <w:t>128,745</w:t>
            </w:r>
          </w:p>
        </w:tc>
        <w:tc>
          <w:tcPr>
            <w:tcW w:w="2405" w:type="dxa"/>
            <w:shd w:val="clear" w:color="auto" w:fill="auto"/>
          </w:tcPr>
          <w:p w14:paraId="319860E0" w14:textId="4CEAB5F0" w:rsidR="005E235C" w:rsidRPr="005E235C" w:rsidRDefault="00BB3594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hd w:val="clear" w:color="auto" w:fill="FFFFFF"/>
              </w:rPr>
            </w:pPr>
            <w:r>
              <w:rPr>
                <w:shd w:val="clear" w:color="auto" w:fill="FFFFFF"/>
              </w:rPr>
              <w:t>3,983</w:t>
            </w:r>
          </w:p>
        </w:tc>
      </w:tr>
      <w:tr w:rsidR="00C57D7C" w:rsidRPr="00917C55" w14:paraId="23B1E9AE" w14:textId="77777777" w:rsidTr="008750E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638E1B63" w14:textId="299E62E7" w:rsidR="00C57D7C" w:rsidRPr="00C57D7C" w:rsidRDefault="00C57D7C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C57D7C">
              <w:rPr>
                <w:b w:val="0"/>
                <w:shd w:val="clear" w:color="auto" w:fill="FFFFFF"/>
              </w:rPr>
              <w:t>September 2023</w:t>
            </w:r>
          </w:p>
        </w:tc>
        <w:tc>
          <w:tcPr>
            <w:tcW w:w="1845" w:type="dxa"/>
            <w:shd w:val="clear" w:color="auto" w:fill="auto"/>
          </w:tcPr>
          <w:p w14:paraId="5DBD804D" w14:textId="453087F2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168,312</w:t>
            </w:r>
          </w:p>
        </w:tc>
        <w:tc>
          <w:tcPr>
            <w:tcW w:w="1701" w:type="dxa"/>
            <w:shd w:val="clear" w:color="auto" w:fill="auto"/>
          </w:tcPr>
          <w:p w14:paraId="49EFF3EC" w14:textId="370F466E" w:rsidR="00C57D7C" w:rsidRPr="00C57D7C" w:rsidRDefault="00C57D7C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131,859</w:t>
            </w:r>
          </w:p>
        </w:tc>
        <w:tc>
          <w:tcPr>
            <w:tcW w:w="2405" w:type="dxa"/>
            <w:shd w:val="clear" w:color="auto" w:fill="auto"/>
          </w:tcPr>
          <w:p w14:paraId="156D786F" w14:textId="471C4CF0" w:rsidR="00C57D7C" w:rsidRPr="00C57D7C" w:rsidRDefault="002C300F" w:rsidP="007922A5">
            <w:pPr>
              <w:spacing w:before="60" w:beforeAutospacing="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C57D7C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003</w:t>
            </w:r>
          </w:p>
        </w:tc>
      </w:tr>
      <w:tr w:rsidR="001E6B9B" w:rsidRPr="00917C55" w14:paraId="12902EB5" w14:textId="77777777" w:rsidTr="008750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6" w:type="dxa"/>
            <w:shd w:val="clear" w:color="auto" w:fill="auto"/>
          </w:tcPr>
          <w:p w14:paraId="53F63359" w14:textId="343412E9" w:rsidR="001E6B9B" w:rsidRPr="001E6B9B" w:rsidRDefault="001E6B9B" w:rsidP="007922A5">
            <w:pPr>
              <w:spacing w:before="60" w:beforeAutospacing="0" w:after="60"/>
              <w:rPr>
                <w:b w:val="0"/>
                <w:shd w:val="clear" w:color="auto" w:fill="FFFFFF"/>
              </w:rPr>
            </w:pPr>
            <w:r w:rsidRPr="001E6B9B">
              <w:rPr>
                <w:b w:val="0"/>
                <w:shd w:val="clear" w:color="auto" w:fill="FFFFFF"/>
              </w:rPr>
              <w:t>December 2023</w:t>
            </w:r>
          </w:p>
        </w:tc>
        <w:tc>
          <w:tcPr>
            <w:tcW w:w="1845" w:type="dxa"/>
            <w:shd w:val="clear" w:color="auto" w:fill="auto"/>
          </w:tcPr>
          <w:p w14:paraId="271CC8A2" w14:textId="32F3B006" w:rsidR="001E6B9B" w:rsidRPr="001E6B9B" w:rsidRDefault="001E6B9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 w:rsidRPr="001E6B9B">
              <w:rPr>
                <w:bCs/>
                <w:shd w:val="clear" w:color="auto" w:fill="FFFFFF"/>
              </w:rPr>
              <w:t>167,851</w:t>
            </w:r>
          </w:p>
        </w:tc>
        <w:tc>
          <w:tcPr>
            <w:tcW w:w="1701" w:type="dxa"/>
            <w:shd w:val="clear" w:color="auto" w:fill="auto"/>
          </w:tcPr>
          <w:p w14:paraId="1649A687" w14:textId="784F909D" w:rsidR="001E6B9B" w:rsidRPr="001E6B9B" w:rsidRDefault="001E6B9B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 w:rsidRPr="001E6B9B">
              <w:rPr>
                <w:bCs/>
                <w:shd w:val="clear" w:color="auto" w:fill="FFFFFF"/>
              </w:rPr>
              <w:t>131,453</w:t>
            </w:r>
          </w:p>
        </w:tc>
        <w:tc>
          <w:tcPr>
            <w:tcW w:w="2405" w:type="dxa"/>
            <w:shd w:val="clear" w:color="auto" w:fill="auto"/>
          </w:tcPr>
          <w:p w14:paraId="22863AF3" w14:textId="186BCC4E" w:rsidR="001E6B9B" w:rsidRPr="001E6B9B" w:rsidRDefault="002B7D30" w:rsidP="007922A5">
            <w:pPr>
              <w:spacing w:before="60" w:beforeAutospacing="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4</w:t>
            </w:r>
            <w:r w:rsidR="001E6B9B" w:rsidRPr="001E6B9B">
              <w:rPr>
                <w:bCs/>
                <w:shd w:val="clear" w:color="auto" w:fill="FFFFFF"/>
              </w:rPr>
              <w:t>,</w:t>
            </w:r>
            <w:r>
              <w:rPr>
                <w:bCs/>
                <w:shd w:val="clear" w:color="auto" w:fill="FFFFFF"/>
              </w:rPr>
              <w:t>125</w:t>
            </w:r>
          </w:p>
        </w:tc>
      </w:tr>
    </w:tbl>
    <w:p w14:paraId="464080CB" w14:textId="31D29C2C" w:rsidR="0034676E" w:rsidRDefault="0034676E" w:rsidP="00647C0A"/>
    <w:p w14:paraId="77BE0EC2" w14:textId="77777777" w:rsidR="0034676E" w:rsidRDefault="0034676E">
      <w:pPr>
        <w:spacing w:before="0" w:beforeAutospacing="0" w:after="160"/>
      </w:pPr>
      <w:r>
        <w:br w:type="page"/>
      </w:r>
    </w:p>
    <w:p w14:paraId="4DCCC76B" w14:textId="2F0DB952" w:rsidR="00B72D78" w:rsidRDefault="00C96AD0" w:rsidP="00607466">
      <w:pPr>
        <w:pStyle w:val="Heading2"/>
      </w:pPr>
      <w:r w:rsidRPr="00C96AD0">
        <w:lastRenderedPageBreak/>
        <w:t xml:space="preserve">WA </w:t>
      </w:r>
      <w:r w:rsidR="00235D77">
        <w:t>p</w:t>
      </w:r>
      <w:r w:rsidRPr="00C96AD0">
        <w:t xml:space="preserve">ublic </w:t>
      </w:r>
      <w:r w:rsidR="00235D77">
        <w:t>s</w:t>
      </w:r>
      <w:r w:rsidRPr="00C96AD0">
        <w:t xml:space="preserve">ector </w:t>
      </w:r>
      <w:r w:rsidR="00A966F1">
        <w:t>agencies’</w:t>
      </w:r>
      <w:r w:rsidR="00A966F1" w:rsidRPr="00C96AD0">
        <w:t xml:space="preserve"> </w:t>
      </w:r>
      <w:r w:rsidRPr="00C96AD0">
        <w:t>staffing levels</w:t>
      </w:r>
    </w:p>
    <w:tbl>
      <w:tblPr>
        <w:tblStyle w:val="CommissionTable1"/>
        <w:tblW w:w="9889" w:type="dxa"/>
        <w:tblInd w:w="-294" w:type="dxa"/>
        <w:tblBorders>
          <w:top w:val="single" w:sz="8" w:space="0" w:color="2B9947"/>
          <w:left w:val="single" w:sz="8" w:space="0" w:color="2B9947"/>
          <w:bottom w:val="single" w:sz="8" w:space="0" w:color="2B9947"/>
          <w:right w:val="single" w:sz="8" w:space="0" w:color="2B9947"/>
          <w:insideH w:val="single" w:sz="8" w:space="0" w:color="2B9947"/>
          <w:insideV w:val="single" w:sz="8" w:space="0" w:color="2B9947"/>
        </w:tblBorders>
        <w:tblLayout w:type="fixed"/>
        <w:tblLook w:val="04A0" w:firstRow="1" w:lastRow="0" w:firstColumn="1" w:lastColumn="0" w:noHBand="0" w:noVBand="1"/>
      </w:tblPr>
      <w:tblGrid>
        <w:gridCol w:w="5235"/>
        <w:gridCol w:w="1347"/>
        <w:gridCol w:w="1347"/>
        <w:gridCol w:w="992"/>
        <w:gridCol w:w="968"/>
      </w:tblGrid>
      <w:tr w:rsidR="004970D8" w:rsidRPr="00607466" w14:paraId="4EDFC1D0" w14:textId="77777777" w:rsidTr="002407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35"/>
          <w:tblHeader/>
        </w:trPr>
        <w:tc>
          <w:tcPr>
            <w:tcW w:w="5235" w:type="dxa"/>
            <w:tcBorders>
              <w:bottom w:val="single" w:sz="12" w:space="0" w:color="2B9947"/>
            </w:tcBorders>
            <w:vAlign w:val="bottom"/>
            <w:hideMark/>
          </w:tcPr>
          <w:p w14:paraId="0E04D857" w14:textId="77777777" w:rsidR="004970D8" w:rsidRPr="00E1633D" w:rsidRDefault="004970D8" w:rsidP="000B1091">
            <w:pPr>
              <w:spacing w:before="60" w:beforeAutospacing="0" w:after="60"/>
              <w:contextualSpacing w:val="0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Agency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32CE3E0D" w14:textId="78026C89" w:rsidR="004970D8" w:rsidRPr="00E1633D" w:rsidRDefault="00935C3E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7045C802" w14:textId="2E742549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Headcount</w:t>
            </w:r>
          </w:p>
        </w:tc>
        <w:tc>
          <w:tcPr>
            <w:tcW w:w="1347" w:type="dxa"/>
            <w:tcBorders>
              <w:bottom w:val="single" w:sz="12" w:space="0" w:color="2B9947"/>
            </w:tcBorders>
            <w:vAlign w:val="bottom"/>
          </w:tcPr>
          <w:p w14:paraId="597F64BE" w14:textId="37E6A844" w:rsidR="004970D8" w:rsidRPr="00E1633D" w:rsidRDefault="00935C3E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>
              <w:rPr>
                <w:b w:val="0"/>
                <w:color w:val="FFFFFF" w:themeColor="background1"/>
              </w:rPr>
              <w:t>Dec</w:t>
            </w:r>
            <w:r w:rsidR="001C7E5E">
              <w:rPr>
                <w:b w:val="0"/>
                <w:color w:val="FFFFFF" w:themeColor="background1"/>
              </w:rPr>
              <w:t>-23</w:t>
            </w:r>
          </w:p>
          <w:p w14:paraId="65EF3913" w14:textId="14358606" w:rsidR="004970D8" w:rsidRPr="00E1633D" w:rsidRDefault="004970D8" w:rsidP="00E1633D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>FTE</w:t>
            </w:r>
          </w:p>
        </w:tc>
        <w:tc>
          <w:tcPr>
            <w:tcW w:w="992" w:type="dxa"/>
            <w:tcBorders>
              <w:bottom w:val="single" w:sz="12" w:space="0" w:color="2B9947"/>
            </w:tcBorders>
            <w:vAlign w:val="bottom"/>
            <w:hideMark/>
          </w:tcPr>
          <w:p w14:paraId="16733DD4" w14:textId="73AD7B7F" w:rsidR="004970D8" w:rsidRPr="00E1633D" w:rsidRDefault="004970D8" w:rsidP="00E825C0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Pr="00E1633D">
              <w:rPr>
                <w:b w:val="0"/>
                <w:color w:val="FFFFFF" w:themeColor="background1"/>
              </w:rPr>
              <w:br/>
            </w:r>
            <w:r w:rsidR="00935C3E">
              <w:rPr>
                <w:b w:val="0"/>
                <w:color w:val="FFFFFF" w:themeColor="background1"/>
              </w:rPr>
              <w:t>Sep</w:t>
            </w:r>
            <w:r w:rsidR="00E825C0">
              <w:rPr>
                <w:b w:val="0"/>
                <w:color w:val="FFFFFF" w:themeColor="background1"/>
              </w:rPr>
              <w:t>-2</w:t>
            </w:r>
            <w:r w:rsidR="00EF4DF9">
              <w:rPr>
                <w:b w:val="0"/>
                <w:color w:val="FFFFFF" w:themeColor="background1"/>
              </w:rPr>
              <w:t>3</w:t>
            </w:r>
          </w:p>
        </w:tc>
        <w:tc>
          <w:tcPr>
            <w:tcW w:w="968" w:type="dxa"/>
            <w:tcBorders>
              <w:bottom w:val="single" w:sz="12" w:space="0" w:color="2B9947"/>
            </w:tcBorders>
            <w:vAlign w:val="bottom"/>
            <w:hideMark/>
          </w:tcPr>
          <w:p w14:paraId="5E17B74C" w14:textId="3B2E32B9" w:rsidR="004970D8" w:rsidRPr="004970D8" w:rsidRDefault="004970D8" w:rsidP="00D1159E">
            <w:pPr>
              <w:spacing w:before="60" w:beforeAutospacing="0" w:after="60"/>
              <w:jc w:val="right"/>
              <w:rPr>
                <w:b w:val="0"/>
                <w:color w:val="FFFFFF" w:themeColor="background1"/>
              </w:rPr>
            </w:pPr>
            <w:r w:rsidRPr="00E1633D">
              <w:rPr>
                <w:b w:val="0"/>
                <w:color w:val="FFFFFF" w:themeColor="background1"/>
              </w:rPr>
              <w:t xml:space="preserve">FTE change from </w:t>
            </w:r>
            <w:r w:rsidR="008750E6" w:rsidRPr="00E1633D">
              <w:rPr>
                <w:b w:val="0"/>
                <w:color w:val="FFFFFF" w:themeColor="background1"/>
              </w:rPr>
              <w:br/>
            </w:r>
            <w:r w:rsidR="00935C3E">
              <w:rPr>
                <w:b w:val="0"/>
                <w:color w:val="FFFFFF" w:themeColor="background1"/>
              </w:rPr>
              <w:t>Dec</w:t>
            </w:r>
            <w:r w:rsidR="001C7E5E">
              <w:rPr>
                <w:b w:val="0"/>
                <w:color w:val="FFFFFF" w:themeColor="background1"/>
              </w:rPr>
              <w:t>-2</w:t>
            </w:r>
            <w:r w:rsidR="008C345A">
              <w:rPr>
                <w:b w:val="0"/>
                <w:color w:val="FFFFFF" w:themeColor="background1"/>
              </w:rPr>
              <w:t>2</w:t>
            </w:r>
          </w:p>
        </w:tc>
      </w:tr>
      <w:tr w:rsidR="00976459" w:rsidRPr="00F108EC" w14:paraId="282ABDF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</w:tcPr>
          <w:p w14:paraId="25F15ACB" w14:textId="2DBB3DBD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rPr>
                <w:b/>
                <w:bCs/>
              </w:rPr>
            </w:pPr>
            <w:r w:rsidRPr="00976459">
              <w:rPr>
                <w:b/>
                <w:bCs/>
              </w:rPr>
              <w:t xml:space="preserve">WA </w:t>
            </w:r>
            <w:r>
              <w:rPr>
                <w:b/>
                <w:bCs/>
              </w:rPr>
              <w:t>p</w:t>
            </w:r>
            <w:r w:rsidRPr="00976459">
              <w:rPr>
                <w:b/>
                <w:bCs/>
              </w:rPr>
              <w:t xml:space="preserve">ublic </w:t>
            </w:r>
            <w:r>
              <w:rPr>
                <w:b/>
                <w:bCs/>
              </w:rPr>
              <w:t>s</w:t>
            </w:r>
            <w:r w:rsidRPr="00976459">
              <w:rPr>
                <w:b/>
                <w:bCs/>
              </w:rPr>
              <w:t>ector</w:t>
            </w:r>
          </w:p>
        </w:tc>
        <w:tc>
          <w:tcPr>
            <w:tcW w:w="1347" w:type="dxa"/>
            <w:noWrap/>
          </w:tcPr>
          <w:p w14:paraId="3734F723" w14:textId="2FE1D1BD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16</w:t>
            </w:r>
            <w:r w:rsidR="00AD5243">
              <w:rPr>
                <w:b/>
                <w:bCs/>
              </w:rPr>
              <w:t>7</w:t>
            </w:r>
            <w:r w:rsidRPr="00976459">
              <w:rPr>
                <w:b/>
                <w:bCs/>
              </w:rPr>
              <w:t>,</w:t>
            </w:r>
            <w:r w:rsidR="00AD5243">
              <w:rPr>
                <w:b/>
                <w:bCs/>
              </w:rPr>
              <w:t>851</w:t>
            </w:r>
          </w:p>
        </w:tc>
        <w:tc>
          <w:tcPr>
            <w:tcW w:w="1347" w:type="dxa"/>
            <w:noWrap/>
          </w:tcPr>
          <w:p w14:paraId="05F9C7F2" w14:textId="3A059081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131,</w:t>
            </w:r>
            <w:r w:rsidR="00AD5243">
              <w:rPr>
                <w:b/>
                <w:bCs/>
              </w:rPr>
              <w:t>453</w:t>
            </w:r>
          </w:p>
        </w:tc>
        <w:tc>
          <w:tcPr>
            <w:tcW w:w="992" w:type="dxa"/>
            <w:noWrap/>
          </w:tcPr>
          <w:p w14:paraId="5A78344D" w14:textId="4439F0E7" w:rsidR="00976459" w:rsidRPr="00976459" w:rsidRDefault="00AD5243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-406</w:t>
            </w:r>
          </w:p>
        </w:tc>
        <w:tc>
          <w:tcPr>
            <w:tcW w:w="968" w:type="dxa"/>
            <w:noWrap/>
          </w:tcPr>
          <w:p w14:paraId="507B6050" w14:textId="72902F3B" w:rsidR="00976459" w:rsidRPr="00976459" w:rsidRDefault="00976459" w:rsidP="00976459">
            <w:pPr>
              <w:spacing w:beforeLines="20" w:before="48" w:beforeAutospacing="0" w:afterLines="20" w:after="48"/>
              <w:contextualSpacing w:val="0"/>
              <w:jc w:val="right"/>
              <w:rPr>
                <w:b/>
                <w:bCs/>
              </w:rPr>
            </w:pPr>
            <w:r w:rsidRPr="00976459">
              <w:rPr>
                <w:b/>
                <w:bCs/>
              </w:rPr>
              <w:t>5,</w:t>
            </w:r>
            <w:r w:rsidR="00AD5243">
              <w:rPr>
                <w:b/>
                <w:bCs/>
              </w:rPr>
              <w:t>317</w:t>
            </w:r>
          </w:p>
        </w:tc>
      </w:tr>
      <w:tr w:rsidR="00AD5243" w:rsidRPr="00F108EC" w14:paraId="4B18AB7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</w:tcPr>
          <w:p w14:paraId="0C3F5C68" w14:textId="573B0AD9" w:rsidR="00AD5243" w:rsidRDefault="00AD5243" w:rsidP="00AD5243">
            <w:pPr>
              <w:spacing w:beforeLines="20" w:before="48" w:beforeAutospacing="0" w:afterLines="20" w:after="48"/>
            </w:pPr>
            <w:r>
              <w:t>Department of Education</w:t>
            </w:r>
          </w:p>
        </w:tc>
        <w:tc>
          <w:tcPr>
            <w:tcW w:w="1347" w:type="dxa"/>
            <w:noWrap/>
          </w:tcPr>
          <w:p w14:paraId="75C8C032" w14:textId="41F64546" w:rsidR="00AD5243" w:rsidRDefault="00AD5243" w:rsidP="00AD5243">
            <w:pPr>
              <w:spacing w:beforeLines="20" w:before="48" w:beforeAutospacing="0" w:afterLines="20" w:after="48"/>
              <w:jc w:val="right"/>
            </w:pPr>
            <w:r>
              <w:t>60,493</w:t>
            </w:r>
          </w:p>
        </w:tc>
        <w:tc>
          <w:tcPr>
            <w:tcW w:w="1347" w:type="dxa"/>
            <w:noWrap/>
          </w:tcPr>
          <w:p w14:paraId="318223C5" w14:textId="01895C91" w:rsidR="00AD5243" w:rsidRDefault="00AD5243" w:rsidP="00AD5243">
            <w:pPr>
              <w:spacing w:beforeLines="20" w:before="48" w:beforeAutospacing="0" w:afterLines="20" w:after="48"/>
              <w:jc w:val="right"/>
            </w:pPr>
            <w:r>
              <w:t>44,715</w:t>
            </w:r>
          </w:p>
        </w:tc>
        <w:tc>
          <w:tcPr>
            <w:tcW w:w="992" w:type="dxa"/>
            <w:noWrap/>
          </w:tcPr>
          <w:p w14:paraId="68A2FBBB" w14:textId="56010C94" w:rsidR="00AD5243" w:rsidRDefault="00AD5243" w:rsidP="00AD5243">
            <w:pPr>
              <w:spacing w:beforeLines="20" w:before="48" w:beforeAutospacing="0" w:afterLines="20" w:after="48"/>
              <w:jc w:val="right"/>
            </w:pPr>
            <w:r>
              <w:t>-756</w:t>
            </w:r>
          </w:p>
        </w:tc>
        <w:tc>
          <w:tcPr>
            <w:tcW w:w="968" w:type="dxa"/>
            <w:noWrap/>
          </w:tcPr>
          <w:p w14:paraId="4FA0137E" w14:textId="6E1B2A79" w:rsidR="00AD5243" w:rsidRDefault="00AD5243" w:rsidP="00AD5243">
            <w:pPr>
              <w:spacing w:beforeLines="20" w:before="48" w:beforeAutospacing="0" w:afterLines="20" w:after="48"/>
              <w:jc w:val="right"/>
            </w:pPr>
            <w:r>
              <w:t>1,269</w:t>
            </w:r>
          </w:p>
        </w:tc>
      </w:tr>
      <w:tr w:rsidR="00AD5243" w:rsidRPr="00F108EC" w14:paraId="61FB5C4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1E74CF5" w14:textId="6854BDC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WA Health</w:t>
            </w:r>
          </w:p>
        </w:tc>
        <w:tc>
          <w:tcPr>
            <w:tcW w:w="1347" w:type="dxa"/>
            <w:noWrap/>
            <w:hideMark/>
          </w:tcPr>
          <w:p w14:paraId="5180438C" w14:textId="29C17769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59,778</w:t>
            </w:r>
          </w:p>
        </w:tc>
        <w:tc>
          <w:tcPr>
            <w:tcW w:w="1347" w:type="dxa"/>
            <w:noWrap/>
            <w:hideMark/>
          </w:tcPr>
          <w:p w14:paraId="40AC251B" w14:textId="151037C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44,798</w:t>
            </w:r>
          </w:p>
        </w:tc>
        <w:tc>
          <w:tcPr>
            <w:tcW w:w="992" w:type="dxa"/>
            <w:noWrap/>
            <w:hideMark/>
          </w:tcPr>
          <w:p w14:paraId="27184F15" w14:textId="65E4911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-362</w:t>
            </w:r>
          </w:p>
        </w:tc>
        <w:tc>
          <w:tcPr>
            <w:tcW w:w="968" w:type="dxa"/>
            <w:noWrap/>
            <w:hideMark/>
          </w:tcPr>
          <w:p w14:paraId="6A9E9D09" w14:textId="68F09E1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1,555</w:t>
            </w:r>
          </w:p>
        </w:tc>
      </w:tr>
      <w:tr w:rsidR="00AD5243" w:rsidRPr="00F108EC" w14:paraId="68F5A5A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30EF85E" w14:textId="411A3C0D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(North Metropolitan Health Service)</w:t>
            </w:r>
          </w:p>
        </w:tc>
        <w:tc>
          <w:tcPr>
            <w:tcW w:w="1347" w:type="dxa"/>
            <w:noWrap/>
            <w:hideMark/>
          </w:tcPr>
          <w:p w14:paraId="705ADDF3" w14:textId="61A41E80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13,004</w:t>
            </w:r>
          </w:p>
        </w:tc>
        <w:tc>
          <w:tcPr>
            <w:tcW w:w="1347" w:type="dxa"/>
            <w:noWrap/>
            <w:hideMark/>
          </w:tcPr>
          <w:p w14:paraId="6901AF22" w14:textId="6F55759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9,666</w:t>
            </w:r>
          </w:p>
        </w:tc>
        <w:tc>
          <w:tcPr>
            <w:tcW w:w="992" w:type="dxa"/>
            <w:noWrap/>
            <w:hideMark/>
          </w:tcPr>
          <w:p w14:paraId="00A8A5DD" w14:textId="18DFE6C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-60</w:t>
            </w:r>
          </w:p>
        </w:tc>
        <w:tc>
          <w:tcPr>
            <w:tcW w:w="968" w:type="dxa"/>
            <w:noWrap/>
            <w:hideMark/>
          </w:tcPr>
          <w:p w14:paraId="60EFC216" w14:textId="2D6ED76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483</w:t>
            </w:r>
          </w:p>
        </w:tc>
      </w:tr>
      <w:tr w:rsidR="00AD5243" w:rsidRPr="00F108EC" w14:paraId="08C63CD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2E1C16E" w14:textId="25E5F875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(South Metropolitan Health Service)</w:t>
            </w:r>
          </w:p>
        </w:tc>
        <w:tc>
          <w:tcPr>
            <w:tcW w:w="1347" w:type="dxa"/>
            <w:noWrap/>
            <w:hideMark/>
          </w:tcPr>
          <w:p w14:paraId="19C65BCD" w14:textId="074F0B0D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12,411</w:t>
            </w:r>
          </w:p>
        </w:tc>
        <w:tc>
          <w:tcPr>
            <w:tcW w:w="1347" w:type="dxa"/>
            <w:noWrap/>
            <w:hideMark/>
          </w:tcPr>
          <w:p w14:paraId="69BC7BD8" w14:textId="6BB4C19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9,159</w:t>
            </w:r>
          </w:p>
        </w:tc>
        <w:tc>
          <w:tcPr>
            <w:tcW w:w="992" w:type="dxa"/>
            <w:noWrap/>
            <w:hideMark/>
          </w:tcPr>
          <w:p w14:paraId="7EE80C65" w14:textId="5DDA657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-50</w:t>
            </w:r>
          </w:p>
        </w:tc>
        <w:tc>
          <w:tcPr>
            <w:tcW w:w="968" w:type="dxa"/>
            <w:noWrap/>
            <w:hideMark/>
          </w:tcPr>
          <w:p w14:paraId="2730735B" w14:textId="5243B31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433</w:t>
            </w:r>
          </w:p>
        </w:tc>
      </w:tr>
      <w:tr w:rsidR="00AD5243" w:rsidRPr="00F108EC" w14:paraId="7B3CDB0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8196C62" w14:textId="2C3A9B16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(WA Country Health Service)</w:t>
            </w:r>
          </w:p>
        </w:tc>
        <w:tc>
          <w:tcPr>
            <w:tcW w:w="1347" w:type="dxa"/>
            <w:noWrap/>
            <w:hideMark/>
          </w:tcPr>
          <w:p w14:paraId="425FC8BD" w14:textId="796AFC01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11,271</w:t>
            </w:r>
          </w:p>
        </w:tc>
        <w:tc>
          <w:tcPr>
            <w:tcW w:w="1347" w:type="dxa"/>
            <w:noWrap/>
            <w:hideMark/>
          </w:tcPr>
          <w:p w14:paraId="6FA4CC08" w14:textId="367123A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8,501</w:t>
            </w:r>
          </w:p>
        </w:tc>
        <w:tc>
          <w:tcPr>
            <w:tcW w:w="992" w:type="dxa"/>
            <w:noWrap/>
            <w:hideMark/>
          </w:tcPr>
          <w:p w14:paraId="203432CA" w14:textId="111ABB8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-222</w:t>
            </w:r>
          </w:p>
        </w:tc>
        <w:tc>
          <w:tcPr>
            <w:tcW w:w="968" w:type="dxa"/>
            <w:noWrap/>
            <w:hideMark/>
          </w:tcPr>
          <w:p w14:paraId="0D8D27CF" w14:textId="2B76D5E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-33</w:t>
            </w:r>
          </w:p>
        </w:tc>
      </w:tr>
      <w:tr w:rsidR="00AD5243" w:rsidRPr="00F108EC" w14:paraId="0EF159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ACA464" w14:textId="2C04FF39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(East Metropolitan Health Service)</w:t>
            </w:r>
          </w:p>
        </w:tc>
        <w:tc>
          <w:tcPr>
            <w:tcW w:w="1347" w:type="dxa"/>
            <w:noWrap/>
            <w:hideMark/>
          </w:tcPr>
          <w:p w14:paraId="422B775B" w14:textId="1D115883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10,016</w:t>
            </w:r>
          </w:p>
        </w:tc>
        <w:tc>
          <w:tcPr>
            <w:tcW w:w="1347" w:type="dxa"/>
            <w:noWrap/>
            <w:hideMark/>
          </w:tcPr>
          <w:p w14:paraId="188EAE89" w14:textId="0D32DDA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7,643</w:t>
            </w:r>
          </w:p>
        </w:tc>
        <w:tc>
          <w:tcPr>
            <w:tcW w:w="992" w:type="dxa"/>
            <w:noWrap/>
            <w:hideMark/>
          </w:tcPr>
          <w:p w14:paraId="34CA7465" w14:textId="41F91C7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-198</w:t>
            </w:r>
          </w:p>
        </w:tc>
        <w:tc>
          <w:tcPr>
            <w:tcW w:w="968" w:type="dxa"/>
            <w:noWrap/>
            <w:hideMark/>
          </w:tcPr>
          <w:p w14:paraId="55E00A20" w14:textId="276AA05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</w:t>
            </w:r>
          </w:p>
        </w:tc>
      </w:tr>
      <w:tr w:rsidR="00AD5243" w:rsidRPr="00F108EC" w14:paraId="700DD88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0CD258" w14:textId="01BCC703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(Child and Adolescent Health Service)</w:t>
            </w:r>
          </w:p>
        </w:tc>
        <w:tc>
          <w:tcPr>
            <w:tcW w:w="1347" w:type="dxa"/>
            <w:noWrap/>
            <w:hideMark/>
          </w:tcPr>
          <w:p w14:paraId="72EE71A0" w14:textId="185D1198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6,486</w:t>
            </w:r>
          </w:p>
        </w:tc>
        <w:tc>
          <w:tcPr>
            <w:tcW w:w="1347" w:type="dxa"/>
            <w:noWrap/>
            <w:hideMark/>
          </w:tcPr>
          <w:p w14:paraId="408A0A66" w14:textId="4197FFE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4,649</w:t>
            </w:r>
          </w:p>
        </w:tc>
        <w:tc>
          <w:tcPr>
            <w:tcW w:w="992" w:type="dxa"/>
            <w:noWrap/>
            <w:hideMark/>
          </w:tcPr>
          <w:p w14:paraId="0ABDCDE4" w14:textId="750470E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968" w:type="dxa"/>
            <w:noWrap/>
            <w:hideMark/>
          </w:tcPr>
          <w:p w14:paraId="2E904758" w14:textId="1B5DE0E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307</w:t>
            </w:r>
          </w:p>
        </w:tc>
      </w:tr>
      <w:tr w:rsidR="00AD5243" w:rsidRPr="00F108EC" w14:paraId="67AD882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E399467" w14:textId="7CA0E67C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(Health Support Services)</w:t>
            </w:r>
          </w:p>
        </w:tc>
        <w:tc>
          <w:tcPr>
            <w:tcW w:w="1347" w:type="dxa"/>
            <w:noWrap/>
            <w:hideMark/>
          </w:tcPr>
          <w:p w14:paraId="61FF24EF" w14:textId="62772F8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2,780</w:t>
            </w:r>
          </w:p>
        </w:tc>
        <w:tc>
          <w:tcPr>
            <w:tcW w:w="1347" w:type="dxa"/>
            <w:noWrap/>
            <w:hideMark/>
          </w:tcPr>
          <w:p w14:paraId="1438C5C9" w14:textId="2C8BBD6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2,052</w:t>
            </w:r>
          </w:p>
        </w:tc>
        <w:tc>
          <w:tcPr>
            <w:tcW w:w="992" w:type="dxa"/>
            <w:noWrap/>
            <w:hideMark/>
          </w:tcPr>
          <w:p w14:paraId="61086524" w14:textId="57FC11D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81</w:t>
            </w:r>
          </w:p>
        </w:tc>
        <w:tc>
          <w:tcPr>
            <w:tcW w:w="968" w:type="dxa"/>
            <w:noWrap/>
            <w:hideMark/>
          </w:tcPr>
          <w:p w14:paraId="1A1D0DF7" w14:textId="1792830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186</w:t>
            </w:r>
          </w:p>
        </w:tc>
      </w:tr>
      <w:tr w:rsidR="00AD5243" w:rsidRPr="00F108EC" w14:paraId="186A1EC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4E498C" w14:textId="7890778B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(PathWest)</w:t>
            </w:r>
          </w:p>
        </w:tc>
        <w:tc>
          <w:tcPr>
            <w:tcW w:w="1347" w:type="dxa"/>
            <w:noWrap/>
            <w:hideMark/>
          </w:tcPr>
          <w:p w14:paraId="6168247F" w14:textId="138036D1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2,452</w:t>
            </w:r>
          </w:p>
        </w:tc>
        <w:tc>
          <w:tcPr>
            <w:tcW w:w="1347" w:type="dxa"/>
            <w:noWrap/>
            <w:hideMark/>
          </w:tcPr>
          <w:p w14:paraId="734D1585" w14:textId="44189B5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1,966</w:t>
            </w:r>
          </w:p>
        </w:tc>
        <w:tc>
          <w:tcPr>
            <w:tcW w:w="992" w:type="dxa"/>
            <w:noWrap/>
            <w:hideMark/>
          </w:tcPr>
          <w:p w14:paraId="6F3F730B" w14:textId="79190F8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49</w:t>
            </w:r>
          </w:p>
        </w:tc>
        <w:tc>
          <w:tcPr>
            <w:tcW w:w="968" w:type="dxa"/>
            <w:noWrap/>
            <w:hideMark/>
          </w:tcPr>
          <w:p w14:paraId="702D6434" w14:textId="3B8236A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77</w:t>
            </w:r>
          </w:p>
        </w:tc>
      </w:tr>
      <w:tr w:rsidR="00AD5243" w:rsidRPr="00F108EC" w14:paraId="6AFED3E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A2C2DFC" w14:textId="30F434DF" w:rsidR="00AD5243" w:rsidRPr="00F108EC" w:rsidRDefault="00AD5243" w:rsidP="00AD5243">
            <w:pPr>
              <w:spacing w:beforeLines="20" w:before="48" w:beforeAutospacing="0" w:afterLines="20" w:after="48"/>
              <w:ind w:left="167"/>
              <w:contextualSpacing w:val="0"/>
            </w:pPr>
            <w:r>
              <w:t>WA Health (Department of Health)</w:t>
            </w:r>
          </w:p>
        </w:tc>
        <w:tc>
          <w:tcPr>
            <w:tcW w:w="1347" w:type="dxa"/>
            <w:noWrap/>
            <w:hideMark/>
          </w:tcPr>
          <w:p w14:paraId="4BECE706" w14:textId="5EE7685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1,358</w:t>
            </w:r>
          </w:p>
        </w:tc>
        <w:tc>
          <w:tcPr>
            <w:tcW w:w="1347" w:type="dxa"/>
            <w:noWrap/>
            <w:hideMark/>
          </w:tcPr>
          <w:p w14:paraId="5A67C026" w14:textId="5ACAE26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1,162</w:t>
            </w:r>
          </w:p>
        </w:tc>
        <w:tc>
          <w:tcPr>
            <w:tcW w:w="992" w:type="dxa"/>
            <w:noWrap/>
            <w:hideMark/>
          </w:tcPr>
          <w:p w14:paraId="59434C04" w14:textId="3B40B03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</w:t>
            </w:r>
          </w:p>
        </w:tc>
        <w:tc>
          <w:tcPr>
            <w:tcW w:w="968" w:type="dxa"/>
            <w:noWrap/>
            <w:hideMark/>
          </w:tcPr>
          <w:p w14:paraId="05C829F8" w14:textId="3514E09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56</w:t>
            </w:r>
          </w:p>
        </w:tc>
      </w:tr>
      <w:tr w:rsidR="00AD5243" w:rsidRPr="00F108EC" w14:paraId="20FEE38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D132ED6" w14:textId="5132693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Justice</w:t>
            </w:r>
          </w:p>
        </w:tc>
        <w:tc>
          <w:tcPr>
            <w:tcW w:w="1347" w:type="dxa"/>
            <w:noWrap/>
            <w:hideMark/>
          </w:tcPr>
          <w:p w14:paraId="73F8A852" w14:textId="3FF1A23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7,566</w:t>
            </w:r>
          </w:p>
        </w:tc>
        <w:tc>
          <w:tcPr>
            <w:tcW w:w="1347" w:type="dxa"/>
            <w:noWrap/>
            <w:hideMark/>
          </w:tcPr>
          <w:p w14:paraId="255E572A" w14:textId="0B4F8E6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6,915</w:t>
            </w:r>
          </w:p>
        </w:tc>
        <w:tc>
          <w:tcPr>
            <w:tcW w:w="992" w:type="dxa"/>
            <w:noWrap/>
            <w:hideMark/>
          </w:tcPr>
          <w:p w14:paraId="2F42A606" w14:textId="5868B21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68" w:type="dxa"/>
            <w:noWrap/>
            <w:hideMark/>
          </w:tcPr>
          <w:p w14:paraId="2AE7FDC3" w14:textId="56B34C3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252</w:t>
            </w:r>
          </w:p>
        </w:tc>
      </w:tr>
      <w:tr w:rsidR="00AD5243" w:rsidRPr="00F108EC" w14:paraId="1C1604C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D6C7D86" w14:textId="63B6668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Communities</w:t>
            </w:r>
          </w:p>
        </w:tc>
        <w:tc>
          <w:tcPr>
            <w:tcW w:w="1347" w:type="dxa"/>
            <w:noWrap/>
            <w:hideMark/>
          </w:tcPr>
          <w:p w14:paraId="76186DB2" w14:textId="18A1CF98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6,515</w:t>
            </w:r>
          </w:p>
        </w:tc>
        <w:tc>
          <w:tcPr>
            <w:tcW w:w="1347" w:type="dxa"/>
            <w:noWrap/>
            <w:hideMark/>
          </w:tcPr>
          <w:p w14:paraId="223534C9" w14:textId="7C1EB3A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5,762</w:t>
            </w:r>
          </w:p>
        </w:tc>
        <w:tc>
          <w:tcPr>
            <w:tcW w:w="992" w:type="dxa"/>
            <w:noWrap/>
            <w:hideMark/>
          </w:tcPr>
          <w:p w14:paraId="6E36C4E1" w14:textId="3319281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88</w:t>
            </w:r>
          </w:p>
        </w:tc>
        <w:tc>
          <w:tcPr>
            <w:tcW w:w="968" w:type="dxa"/>
            <w:noWrap/>
            <w:hideMark/>
          </w:tcPr>
          <w:p w14:paraId="462BDEFA" w14:textId="09CF06D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404</w:t>
            </w:r>
          </w:p>
        </w:tc>
      </w:tr>
      <w:tr w:rsidR="00AD5243" w:rsidRPr="00F108EC" w14:paraId="776B8BC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3C0EAC2" w14:textId="50A8A12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Western Australia Police</w:t>
            </w:r>
          </w:p>
        </w:tc>
        <w:tc>
          <w:tcPr>
            <w:tcW w:w="1347" w:type="dxa"/>
            <w:noWrap/>
            <w:hideMark/>
          </w:tcPr>
          <w:p w14:paraId="6AFAC002" w14:textId="2A5907F6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2,995</w:t>
            </w:r>
          </w:p>
        </w:tc>
        <w:tc>
          <w:tcPr>
            <w:tcW w:w="1347" w:type="dxa"/>
            <w:noWrap/>
            <w:hideMark/>
          </w:tcPr>
          <w:p w14:paraId="30A4FB06" w14:textId="0B7A755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2,152</w:t>
            </w:r>
          </w:p>
        </w:tc>
        <w:tc>
          <w:tcPr>
            <w:tcW w:w="992" w:type="dxa"/>
            <w:noWrap/>
            <w:hideMark/>
          </w:tcPr>
          <w:p w14:paraId="443ED70B" w14:textId="587D563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</w:t>
            </w:r>
          </w:p>
        </w:tc>
        <w:tc>
          <w:tcPr>
            <w:tcW w:w="968" w:type="dxa"/>
            <w:noWrap/>
            <w:hideMark/>
          </w:tcPr>
          <w:p w14:paraId="39CC8DE0" w14:textId="552B38D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</w:tr>
      <w:tr w:rsidR="00AD5243" w:rsidRPr="00F108EC" w14:paraId="363B1F3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3DE8DCF" w14:textId="5C40744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Public Transport Authority</w:t>
            </w:r>
          </w:p>
        </w:tc>
        <w:tc>
          <w:tcPr>
            <w:tcW w:w="1347" w:type="dxa"/>
            <w:noWrap/>
            <w:hideMark/>
          </w:tcPr>
          <w:p w14:paraId="3BF33EB4" w14:textId="0403E148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2,568</w:t>
            </w:r>
          </w:p>
        </w:tc>
        <w:tc>
          <w:tcPr>
            <w:tcW w:w="1347" w:type="dxa"/>
            <w:noWrap/>
            <w:hideMark/>
          </w:tcPr>
          <w:p w14:paraId="7DB946A5" w14:textId="500885A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2,396</w:t>
            </w:r>
          </w:p>
        </w:tc>
        <w:tc>
          <w:tcPr>
            <w:tcW w:w="992" w:type="dxa"/>
            <w:noWrap/>
            <w:hideMark/>
          </w:tcPr>
          <w:p w14:paraId="47D81E2E" w14:textId="1E67263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-11</w:t>
            </w:r>
          </w:p>
        </w:tc>
        <w:tc>
          <w:tcPr>
            <w:tcW w:w="968" w:type="dxa"/>
            <w:noWrap/>
            <w:hideMark/>
          </w:tcPr>
          <w:p w14:paraId="490A9677" w14:textId="44CE125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147</w:t>
            </w:r>
          </w:p>
        </w:tc>
      </w:tr>
      <w:tr w:rsidR="00AD5243" w:rsidRPr="00F108EC" w14:paraId="5C9432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291524" w14:textId="0EAD80F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Biodiversity, Conservation and Attractions</w:t>
            </w:r>
          </w:p>
        </w:tc>
        <w:tc>
          <w:tcPr>
            <w:tcW w:w="1347" w:type="dxa"/>
            <w:noWrap/>
            <w:hideMark/>
          </w:tcPr>
          <w:p w14:paraId="641CB43B" w14:textId="25E69029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2,544</w:t>
            </w:r>
          </w:p>
        </w:tc>
        <w:tc>
          <w:tcPr>
            <w:tcW w:w="1347" w:type="dxa"/>
            <w:noWrap/>
            <w:hideMark/>
          </w:tcPr>
          <w:p w14:paraId="3C3B3771" w14:textId="2C3FDDC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2,169</w:t>
            </w:r>
          </w:p>
        </w:tc>
        <w:tc>
          <w:tcPr>
            <w:tcW w:w="992" w:type="dxa"/>
            <w:noWrap/>
            <w:hideMark/>
          </w:tcPr>
          <w:p w14:paraId="46CAB521" w14:textId="3406D5D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98</w:t>
            </w:r>
          </w:p>
        </w:tc>
        <w:tc>
          <w:tcPr>
            <w:tcW w:w="968" w:type="dxa"/>
            <w:noWrap/>
            <w:hideMark/>
          </w:tcPr>
          <w:p w14:paraId="69938CFA" w14:textId="1AF40C2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62</w:t>
            </w:r>
          </w:p>
        </w:tc>
      </w:tr>
      <w:tr w:rsidR="00AD5243" w:rsidRPr="00F108EC" w14:paraId="7F9F80A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5F771C" w14:textId="0FF450A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Primary Industries and Regional Development</w:t>
            </w:r>
          </w:p>
        </w:tc>
        <w:tc>
          <w:tcPr>
            <w:tcW w:w="1347" w:type="dxa"/>
            <w:noWrap/>
            <w:hideMark/>
          </w:tcPr>
          <w:p w14:paraId="35693C26" w14:textId="49B8B25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2,158</w:t>
            </w:r>
          </w:p>
        </w:tc>
        <w:tc>
          <w:tcPr>
            <w:tcW w:w="1347" w:type="dxa"/>
            <w:noWrap/>
            <w:hideMark/>
          </w:tcPr>
          <w:p w14:paraId="21354284" w14:textId="590C446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1,971</w:t>
            </w:r>
          </w:p>
        </w:tc>
        <w:tc>
          <w:tcPr>
            <w:tcW w:w="992" w:type="dxa"/>
            <w:noWrap/>
            <w:hideMark/>
          </w:tcPr>
          <w:p w14:paraId="13458B16" w14:textId="67881A3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</w:t>
            </w:r>
          </w:p>
        </w:tc>
        <w:tc>
          <w:tcPr>
            <w:tcW w:w="968" w:type="dxa"/>
            <w:noWrap/>
            <w:hideMark/>
          </w:tcPr>
          <w:p w14:paraId="6DF58941" w14:textId="43FC8D8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195</w:t>
            </w:r>
          </w:p>
        </w:tc>
      </w:tr>
      <w:tr w:rsidR="00AD5243" w:rsidRPr="00F108EC" w14:paraId="41E60B2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5170180" w14:textId="5FB2834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Fire and Emergency Services</w:t>
            </w:r>
          </w:p>
        </w:tc>
        <w:tc>
          <w:tcPr>
            <w:tcW w:w="1347" w:type="dxa"/>
            <w:noWrap/>
            <w:hideMark/>
          </w:tcPr>
          <w:p w14:paraId="7EA150F4" w14:textId="3DA8031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1,860</w:t>
            </w:r>
          </w:p>
        </w:tc>
        <w:tc>
          <w:tcPr>
            <w:tcW w:w="1347" w:type="dxa"/>
            <w:noWrap/>
            <w:hideMark/>
          </w:tcPr>
          <w:p w14:paraId="0DABAF75" w14:textId="798914B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1,762</w:t>
            </w:r>
          </w:p>
        </w:tc>
        <w:tc>
          <w:tcPr>
            <w:tcW w:w="992" w:type="dxa"/>
            <w:noWrap/>
            <w:hideMark/>
          </w:tcPr>
          <w:p w14:paraId="0E76D713" w14:textId="0B0E389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968" w:type="dxa"/>
            <w:noWrap/>
            <w:hideMark/>
          </w:tcPr>
          <w:p w14:paraId="0025B6E4" w14:textId="2F2A798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</w:tr>
      <w:tr w:rsidR="00AD5243" w:rsidRPr="00F108EC" w14:paraId="3C0BE4F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1463467" w14:textId="16EDBE1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Energy, Mines, Industry Regulation and Safety</w:t>
            </w:r>
          </w:p>
        </w:tc>
        <w:tc>
          <w:tcPr>
            <w:tcW w:w="1347" w:type="dxa"/>
            <w:noWrap/>
            <w:hideMark/>
          </w:tcPr>
          <w:p w14:paraId="6D5530DA" w14:textId="3F0DF93D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1,850</w:t>
            </w:r>
          </w:p>
        </w:tc>
        <w:tc>
          <w:tcPr>
            <w:tcW w:w="1347" w:type="dxa"/>
            <w:noWrap/>
            <w:hideMark/>
          </w:tcPr>
          <w:p w14:paraId="78400870" w14:textId="4DC28D3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1,705</w:t>
            </w:r>
          </w:p>
        </w:tc>
        <w:tc>
          <w:tcPr>
            <w:tcW w:w="992" w:type="dxa"/>
            <w:noWrap/>
            <w:hideMark/>
          </w:tcPr>
          <w:p w14:paraId="4B90AA98" w14:textId="133CAA5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</w:t>
            </w:r>
          </w:p>
        </w:tc>
        <w:tc>
          <w:tcPr>
            <w:tcW w:w="968" w:type="dxa"/>
            <w:noWrap/>
            <w:hideMark/>
          </w:tcPr>
          <w:p w14:paraId="07ED7771" w14:textId="2369DDE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81</w:t>
            </w:r>
          </w:p>
        </w:tc>
      </w:tr>
      <w:tr w:rsidR="00AD5243" w:rsidRPr="00F108EC" w14:paraId="7128697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F5AE8EA" w14:textId="404535A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Transport</w:t>
            </w:r>
          </w:p>
        </w:tc>
        <w:tc>
          <w:tcPr>
            <w:tcW w:w="1347" w:type="dxa"/>
            <w:noWrap/>
            <w:hideMark/>
          </w:tcPr>
          <w:p w14:paraId="4DA61A0C" w14:textId="133D7C1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1,701</w:t>
            </w:r>
          </w:p>
        </w:tc>
        <w:tc>
          <w:tcPr>
            <w:tcW w:w="1347" w:type="dxa"/>
            <w:noWrap/>
            <w:hideMark/>
          </w:tcPr>
          <w:p w14:paraId="78420B4F" w14:textId="58C230E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1,526</w:t>
            </w:r>
          </w:p>
        </w:tc>
        <w:tc>
          <w:tcPr>
            <w:tcW w:w="992" w:type="dxa"/>
            <w:noWrap/>
            <w:hideMark/>
          </w:tcPr>
          <w:p w14:paraId="18B8C472" w14:textId="68E5020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  <w:tc>
          <w:tcPr>
            <w:tcW w:w="968" w:type="dxa"/>
            <w:noWrap/>
            <w:hideMark/>
          </w:tcPr>
          <w:p w14:paraId="03550EE0" w14:textId="5772A92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59</w:t>
            </w:r>
          </w:p>
        </w:tc>
      </w:tr>
      <w:tr w:rsidR="00AD5243" w:rsidRPr="00F108EC" w14:paraId="2187ABF0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662B5A7" w14:textId="217C31F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Main Roads Western Australia</w:t>
            </w:r>
          </w:p>
        </w:tc>
        <w:tc>
          <w:tcPr>
            <w:tcW w:w="1347" w:type="dxa"/>
            <w:noWrap/>
            <w:hideMark/>
          </w:tcPr>
          <w:p w14:paraId="03DF93B9" w14:textId="5CC8CC7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1,664</w:t>
            </w:r>
          </w:p>
        </w:tc>
        <w:tc>
          <w:tcPr>
            <w:tcW w:w="1347" w:type="dxa"/>
            <w:noWrap/>
            <w:hideMark/>
          </w:tcPr>
          <w:p w14:paraId="3332E1B2" w14:textId="6A18705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1,561</w:t>
            </w:r>
          </w:p>
        </w:tc>
        <w:tc>
          <w:tcPr>
            <w:tcW w:w="992" w:type="dxa"/>
            <w:noWrap/>
            <w:hideMark/>
          </w:tcPr>
          <w:p w14:paraId="42093A10" w14:textId="16C8B41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163</w:t>
            </w:r>
          </w:p>
        </w:tc>
        <w:tc>
          <w:tcPr>
            <w:tcW w:w="968" w:type="dxa"/>
            <w:noWrap/>
            <w:hideMark/>
          </w:tcPr>
          <w:p w14:paraId="77054DD4" w14:textId="5ED75DA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281</w:t>
            </w:r>
          </w:p>
        </w:tc>
      </w:tr>
      <w:tr w:rsidR="00AD5243" w:rsidRPr="00F108EC" w14:paraId="2EF1D96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CDBDBA5" w14:textId="71314E6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North Metropolitan TAFE</w:t>
            </w:r>
          </w:p>
        </w:tc>
        <w:tc>
          <w:tcPr>
            <w:tcW w:w="1347" w:type="dxa"/>
            <w:noWrap/>
            <w:hideMark/>
          </w:tcPr>
          <w:p w14:paraId="49863164" w14:textId="25C0909E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1,553</w:t>
            </w:r>
          </w:p>
        </w:tc>
        <w:tc>
          <w:tcPr>
            <w:tcW w:w="1347" w:type="dxa"/>
            <w:noWrap/>
            <w:hideMark/>
          </w:tcPr>
          <w:p w14:paraId="3C21AB43" w14:textId="1D0968D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1,262</w:t>
            </w:r>
          </w:p>
        </w:tc>
        <w:tc>
          <w:tcPr>
            <w:tcW w:w="992" w:type="dxa"/>
            <w:noWrap/>
            <w:hideMark/>
          </w:tcPr>
          <w:p w14:paraId="72B3EC53" w14:textId="72E46FF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968" w:type="dxa"/>
            <w:noWrap/>
            <w:hideMark/>
          </w:tcPr>
          <w:p w14:paraId="7B7E14D3" w14:textId="39CADA2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52</w:t>
            </w:r>
          </w:p>
        </w:tc>
      </w:tr>
      <w:tr w:rsidR="00AD5243" w:rsidRPr="00F108EC" w14:paraId="5DBACF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2E8D9B" w14:textId="6BCF007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South Metropolitan TAFE</w:t>
            </w:r>
          </w:p>
        </w:tc>
        <w:tc>
          <w:tcPr>
            <w:tcW w:w="1347" w:type="dxa"/>
            <w:noWrap/>
            <w:hideMark/>
          </w:tcPr>
          <w:p w14:paraId="07FB1B79" w14:textId="1CC77A59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1,428</w:t>
            </w:r>
          </w:p>
        </w:tc>
        <w:tc>
          <w:tcPr>
            <w:tcW w:w="1347" w:type="dxa"/>
            <w:noWrap/>
            <w:hideMark/>
          </w:tcPr>
          <w:p w14:paraId="4759B238" w14:textId="384B3BF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1,225</w:t>
            </w:r>
          </w:p>
        </w:tc>
        <w:tc>
          <w:tcPr>
            <w:tcW w:w="992" w:type="dxa"/>
            <w:noWrap/>
            <w:hideMark/>
          </w:tcPr>
          <w:p w14:paraId="5716F033" w14:textId="2C7C405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2609B6E9" w14:textId="3364A55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62</w:t>
            </w:r>
          </w:p>
        </w:tc>
      </w:tr>
      <w:tr w:rsidR="00AD5243" w:rsidRPr="00F108EC" w14:paraId="1F857E5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2A70236" w14:textId="7CD4717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Local Government, Sport and Cultural Industries</w:t>
            </w:r>
          </w:p>
        </w:tc>
        <w:tc>
          <w:tcPr>
            <w:tcW w:w="1347" w:type="dxa"/>
            <w:noWrap/>
            <w:hideMark/>
          </w:tcPr>
          <w:p w14:paraId="3C0CCA8D" w14:textId="369ADADC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1,268</w:t>
            </w:r>
          </w:p>
        </w:tc>
        <w:tc>
          <w:tcPr>
            <w:tcW w:w="1347" w:type="dxa"/>
            <w:noWrap/>
            <w:hideMark/>
          </w:tcPr>
          <w:p w14:paraId="51C36381" w14:textId="1E3FB9D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1,116</w:t>
            </w:r>
          </w:p>
        </w:tc>
        <w:tc>
          <w:tcPr>
            <w:tcW w:w="992" w:type="dxa"/>
            <w:noWrap/>
            <w:hideMark/>
          </w:tcPr>
          <w:p w14:paraId="4FCD355D" w14:textId="67C8800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41</w:t>
            </w:r>
          </w:p>
        </w:tc>
        <w:tc>
          <w:tcPr>
            <w:tcW w:w="968" w:type="dxa"/>
            <w:noWrap/>
            <w:hideMark/>
          </w:tcPr>
          <w:p w14:paraId="0E850109" w14:textId="061B228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125</w:t>
            </w:r>
          </w:p>
        </w:tc>
      </w:tr>
      <w:tr w:rsidR="00AD5243" w:rsidRPr="00F108EC" w14:paraId="014AF66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F4D127E" w14:textId="0F8A31A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Finance</w:t>
            </w:r>
          </w:p>
        </w:tc>
        <w:tc>
          <w:tcPr>
            <w:tcW w:w="1347" w:type="dxa"/>
            <w:noWrap/>
            <w:hideMark/>
          </w:tcPr>
          <w:p w14:paraId="2ACB56C6" w14:textId="7BD1235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1,196</w:t>
            </w:r>
          </w:p>
        </w:tc>
        <w:tc>
          <w:tcPr>
            <w:tcW w:w="1347" w:type="dxa"/>
            <w:noWrap/>
            <w:hideMark/>
          </w:tcPr>
          <w:p w14:paraId="55CCAC17" w14:textId="237488E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1,101</w:t>
            </w:r>
          </w:p>
        </w:tc>
        <w:tc>
          <w:tcPr>
            <w:tcW w:w="992" w:type="dxa"/>
            <w:noWrap/>
            <w:hideMark/>
          </w:tcPr>
          <w:p w14:paraId="27F2D71B" w14:textId="6E7D48E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2A32FE1A" w14:textId="08EC04A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82</w:t>
            </w:r>
          </w:p>
        </w:tc>
      </w:tr>
      <w:tr w:rsidR="00AD5243" w:rsidRPr="00F108EC" w14:paraId="6FA2C9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DA8CEE" w14:textId="5C9806F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Planning, Lands and Heritage</w:t>
            </w:r>
          </w:p>
        </w:tc>
        <w:tc>
          <w:tcPr>
            <w:tcW w:w="1347" w:type="dxa"/>
            <w:noWrap/>
            <w:hideMark/>
          </w:tcPr>
          <w:p w14:paraId="625D47F3" w14:textId="63E6083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1,113</w:t>
            </w:r>
          </w:p>
        </w:tc>
        <w:tc>
          <w:tcPr>
            <w:tcW w:w="1347" w:type="dxa"/>
            <w:noWrap/>
            <w:hideMark/>
          </w:tcPr>
          <w:p w14:paraId="2F9E112E" w14:textId="401CB5B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1,002</w:t>
            </w:r>
          </w:p>
        </w:tc>
        <w:tc>
          <w:tcPr>
            <w:tcW w:w="992" w:type="dxa"/>
            <w:noWrap/>
            <w:hideMark/>
          </w:tcPr>
          <w:p w14:paraId="5E05D00D" w14:textId="1E48721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968" w:type="dxa"/>
            <w:noWrap/>
            <w:hideMark/>
          </w:tcPr>
          <w:p w14:paraId="200B615C" w14:textId="2EC8F18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149</w:t>
            </w:r>
          </w:p>
        </w:tc>
      </w:tr>
      <w:tr w:rsidR="00AD5243" w:rsidRPr="00F108EC" w14:paraId="1EFB47A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32102F0" w14:textId="2F8776F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Water and Environmental Regulation</w:t>
            </w:r>
          </w:p>
        </w:tc>
        <w:tc>
          <w:tcPr>
            <w:tcW w:w="1347" w:type="dxa"/>
            <w:noWrap/>
            <w:hideMark/>
          </w:tcPr>
          <w:p w14:paraId="347A9777" w14:textId="5A9475AC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1,081</w:t>
            </w:r>
          </w:p>
        </w:tc>
        <w:tc>
          <w:tcPr>
            <w:tcW w:w="1347" w:type="dxa"/>
            <w:noWrap/>
            <w:hideMark/>
          </w:tcPr>
          <w:p w14:paraId="5E1187BF" w14:textId="3C448B9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965</w:t>
            </w:r>
          </w:p>
        </w:tc>
        <w:tc>
          <w:tcPr>
            <w:tcW w:w="992" w:type="dxa"/>
            <w:noWrap/>
            <w:hideMark/>
          </w:tcPr>
          <w:p w14:paraId="61918A38" w14:textId="7BEACA8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968" w:type="dxa"/>
            <w:noWrap/>
            <w:hideMark/>
          </w:tcPr>
          <w:p w14:paraId="27706C66" w14:textId="280441D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</w:t>
            </w:r>
          </w:p>
        </w:tc>
      </w:tr>
      <w:tr w:rsidR="00AD5243" w:rsidRPr="00F108EC" w14:paraId="09DE808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8F930F5" w14:textId="65B34D8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the Premier and Cabinet</w:t>
            </w:r>
          </w:p>
        </w:tc>
        <w:tc>
          <w:tcPr>
            <w:tcW w:w="1347" w:type="dxa"/>
            <w:noWrap/>
            <w:hideMark/>
          </w:tcPr>
          <w:p w14:paraId="7AD7E591" w14:textId="07DD560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747</w:t>
            </w:r>
          </w:p>
        </w:tc>
        <w:tc>
          <w:tcPr>
            <w:tcW w:w="1347" w:type="dxa"/>
            <w:noWrap/>
            <w:hideMark/>
          </w:tcPr>
          <w:p w14:paraId="478EDF37" w14:textId="4D706A0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675</w:t>
            </w:r>
          </w:p>
        </w:tc>
        <w:tc>
          <w:tcPr>
            <w:tcW w:w="992" w:type="dxa"/>
            <w:noWrap/>
            <w:hideMark/>
          </w:tcPr>
          <w:p w14:paraId="4F161E6A" w14:textId="7C314DF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40</w:t>
            </w:r>
          </w:p>
        </w:tc>
        <w:tc>
          <w:tcPr>
            <w:tcW w:w="968" w:type="dxa"/>
            <w:noWrap/>
            <w:hideMark/>
          </w:tcPr>
          <w:p w14:paraId="1E99B5C1" w14:textId="5065A3E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28</w:t>
            </w:r>
          </w:p>
        </w:tc>
      </w:tr>
      <w:tr w:rsidR="00AD5243" w:rsidRPr="00F108EC" w14:paraId="2402C8A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7F4DB6F" w14:textId="7B48278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South Regional TAFE</w:t>
            </w:r>
          </w:p>
        </w:tc>
        <w:tc>
          <w:tcPr>
            <w:tcW w:w="1347" w:type="dxa"/>
            <w:noWrap/>
            <w:hideMark/>
          </w:tcPr>
          <w:p w14:paraId="479313DB" w14:textId="0438A558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618</w:t>
            </w:r>
          </w:p>
        </w:tc>
        <w:tc>
          <w:tcPr>
            <w:tcW w:w="1347" w:type="dxa"/>
            <w:noWrap/>
            <w:hideMark/>
          </w:tcPr>
          <w:p w14:paraId="706D8CED" w14:textId="08738BB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474</w:t>
            </w:r>
          </w:p>
        </w:tc>
        <w:tc>
          <w:tcPr>
            <w:tcW w:w="992" w:type="dxa"/>
            <w:noWrap/>
            <w:hideMark/>
          </w:tcPr>
          <w:p w14:paraId="35C44E2B" w14:textId="3279E0D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-4</w:t>
            </w:r>
          </w:p>
        </w:tc>
        <w:tc>
          <w:tcPr>
            <w:tcW w:w="968" w:type="dxa"/>
            <w:noWrap/>
            <w:hideMark/>
          </w:tcPr>
          <w:p w14:paraId="46F79B04" w14:textId="3F700C0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51</w:t>
            </w:r>
          </w:p>
        </w:tc>
      </w:tr>
      <w:tr w:rsidR="00AD5243" w:rsidRPr="00F108EC" w14:paraId="00CFBEB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9D8DDEE" w14:textId="63C9682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Training and Workforce Development</w:t>
            </w:r>
          </w:p>
        </w:tc>
        <w:tc>
          <w:tcPr>
            <w:tcW w:w="1347" w:type="dxa"/>
            <w:noWrap/>
            <w:hideMark/>
          </w:tcPr>
          <w:p w14:paraId="2FC6A178" w14:textId="4AC3C1F6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530</w:t>
            </w:r>
          </w:p>
        </w:tc>
        <w:tc>
          <w:tcPr>
            <w:tcW w:w="1347" w:type="dxa"/>
            <w:noWrap/>
            <w:hideMark/>
          </w:tcPr>
          <w:p w14:paraId="722D404C" w14:textId="183E073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480</w:t>
            </w:r>
          </w:p>
        </w:tc>
        <w:tc>
          <w:tcPr>
            <w:tcW w:w="992" w:type="dxa"/>
            <w:noWrap/>
            <w:hideMark/>
          </w:tcPr>
          <w:p w14:paraId="4D089D4B" w14:textId="46768A5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</w:t>
            </w:r>
          </w:p>
        </w:tc>
        <w:tc>
          <w:tcPr>
            <w:tcW w:w="968" w:type="dxa"/>
            <w:noWrap/>
            <w:hideMark/>
          </w:tcPr>
          <w:p w14:paraId="5E871F7C" w14:textId="70BF5E2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</w:t>
            </w:r>
          </w:p>
        </w:tc>
      </w:tr>
      <w:tr w:rsidR="00AD5243" w:rsidRPr="00F108EC" w14:paraId="7F0B20D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D3AD06" w14:textId="23026F1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Jobs, Tourism, Science and Innovation</w:t>
            </w:r>
          </w:p>
        </w:tc>
        <w:tc>
          <w:tcPr>
            <w:tcW w:w="1347" w:type="dxa"/>
            <w:noWrap/>
            <w:hideMark/>
          </w:tcPr>
          <w:p w14:paraId="1FA18A69" w14:textId="4E9ACEAF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522</w:t>
            </w:r>
          </w:p>
        </w:tc>
        <w:tc>
          <w:tcPr>
            <w:tcW w:w="1347" w:type="dxa"/>
            <w:noWrap/>
            <w:hideMark/>
          </w:tcPr>
          <w:p w14:paraId="1347AB2D" w14:textId="76CE2FA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479</w:t>
            </w:r>
          </w:p>
        </w:tc>
        <w:tc>
          <w:tcPr>
            <w:tcW w:w="992" w:type="dxa"/>
            <w:noWrap/>
            <w:hideMark/>
          </w:tcPr>
          <w:p w14:paraId="3F7E8655" w14:textId="54DF177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68" w:type="dxa"/>
            <w:noWrap/>
            <w:hideMark/>
          </w:tcPr>
          <w:p w14:paraId="73F4526D" w14:textId="0219D45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67</w:t>
            </w:r>
          </w:p>
        </w:tc>
      </w:tr>
      <w:tr w:rsidR="00AD5243" w:rsidRPr="00F108EC" w14:paraId="096D2F94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8F80B68" w14:textId="7F4757D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Insurance Commission of Western Australia</w:t>
            </w:r>
          </w:p>
        </w:tc>
        <w:tc>
          <w:tcPr>
            <w:tcW w:w="1347" w:type="dxa"/>
            <w:noWrap/>
            <w:hideMark/>
          </w:tcPr>
          <w:p w14:paraId="0EDA8840" w14:textId="40F27B3D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495</w:t>
            </w:r>
          </w:p>
        </w:tc>
        <w:tc>
          <w:tcPr>
            <w:tcW w:w="1347" w:type="dxa"/>
            <w:noWrap/>
            <w:hideMark/>
          </w:tcPr>
          <w:p w14:paraId="70A9AF34" w14:textId="7E51664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453</w:t>
            </w:r>
          </w:p>
        </w:tc>
        <w:tc>
          <w:tcPr>
            <w:tcW w:w="992" w:type="dxa"/>
            <w:noWrap/>
            <w:hideMark/>
          </w:tcPr>
          <w:p w14:paraId="38B34152" w14:textId="4BA1439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68" w:type="dxa"/>
            <w:noWrap/>
            <w:hideMark/>
          </w:tcPr>
          <w:p w14:paraId="4FDDC220" w14:textId="09B96AB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</w:t>
            </w:r>
          </w:p>
        </w:tc>
      </w:tr>
      <w:tr w:rsidR="00AD5243" w:rsidRPr="00F108EC" w14:paraId="4C4C2C1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CC6EE19" w14:textId="0E1D2D2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Landgate</w:t>
            </w:r>
          </w:p>
        </w:tc>
        <w:tc>
          <w:tcPr>
            <w:tcW w:w="1347" w:type="dxa"/>
            <w:noWrap/>
            <w:hideMark/>
          </w:tcPr>
          <w:p w14:paraId="36A90ACD" w14:textId="7526B5FE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495</w:t>
            </w:r>
          </w:p>
        </w:tc>
        <w:tc>
          <w:tcPr>
            <w:tcW w:w="1347" w:type="dxa"/>
            <w:noWrap/>
            <w:hideMark/>
          </w:tcPr>
          <w:p w14:paraId="0E102C86" w14:textId="284B06F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435</w:t>
            </w:r>
          </w:p>
        </w:tc>
        <w:tc>
          <w:tcPr>
            <w:tcW w:w="992" w:type="dxa"/>
            <w:noWrap/>
            <w:hideMark/>
          </w:tcPr>
          <w:p w14:paraId="1D88C030" w14:textId="386540E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968" w:type="dxa"/>
            <w:noWrap/>
            <w:hideMark/>
          </w:tcPr>
          <w:p w14:paraId="2241AB0F" w14:textId="4AD4ED0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653C4E5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43B5A3" w14:textId="75262A6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Legal Aid Commission of Western Australia</w:t>
            </w:r>
          </w:p>
        </w:tc>
        <w:tc>
          <w:tcPr>
            <w:tcW w:w="1347" w:type="dxa"/>
            <w:noWrap/>
            <w:hideMark/>
          </w:tcPr>
          <w:p w14:paraId="3D9BF4CC" w14:textId="2C30C3D2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487</w:t>
            </w:r>
          </w:p>
        </w:tc>
        <w:tc>
          <w:tcPr>
            <w:tcW w:w="1347" w:type="dxa"/>
            <w:noWrap/>
            <w:hideMark/>
          </w:tcPr>
          <w:p w14:paraId="230B13FF" w14:textId="3CBA529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437</w:t>
            </w:r>
          </w:p>
        </w:tc>
        <w:tc>
          <w:tcPr>
            <w:tcW w:w="992" w:type="dxa"/>
            <w:noWrap/>
            <w:hideMark/>
          </w:tcPr>
          <w:p w14:paraId="7B0AE7F6" w14:textId="4FB7B1A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</w:t>
            </w:r>
          </w:p>
        </w:tc>
        <w:tc>
          <w:tcPr>
            <w:tcW w:w="968" w:type="dxa"/>
            <w:noWrap/>
            <w:hideMark/>
          </w:tcPr>
          <w:p w14:paraId="6C71CFC3" w14:textId="3C9324C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51</w:t>
            </w:r>
          </w:p>
        </w:tc>
      </w:tr>
      <w:tr w:rsidR="00AD5243" w:rsidRPr="00F108EC" w14:paraId="70868B0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9766F4" w14:textId="41E6B90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VenuesWest</w:t>
            </w:r>
          </w:p>
        </w:tc>
        <w:tc>
          <w:tcPr>
            <w:tcW w:w="1347" w:type="dxa"/>
            <w:noWrap/>
            <w:hideMark/>
          </w:tcPr>
          <w:p w14:paraId="2C5593AE" w14:textId="24B0610E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465</w:t>
            </w:r>
          </w:p>
        </w:tc>
        <w:tc>
          <w:tcPr>
            <w:tcW w:w="1347" w:type="dxa"/>
            <w:noWrap/>
            <w:hideMark/>
          </w:tcPr>
          <w:p w14:paraId="6A0F4968" w14:textId="0A5EC2E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229</w:t>
            </w:r>
          </w:p>
        </w:tc>
        <w:tc>
          <w:tcPr>
            <w:tcW w:w="992" w:type="dxa"/>
            <w:noWrap/>
            <w:hideMark/>
          </w:tcPr>
          <w:p w14:paraId="67801AC2" w14:textId="51670A4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-19</w:t>
            </w:r>
          </w:p>
        </w:tc>
        <w:tc>
          <w:tcPr>
            <w:tcW w:w="968" w:type="dxa"/>
            <w:noWrap/>
            <w:hideMark/>
          </w:tcPr>
          <w:p w14:paraId="388F679C" w14:textId="570D540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-36</w:t>
            </w:r>
          </w:p>
        </w:tc>
      </w:tr>
      <w:tr w:rsidR="00AD5243" w:rsidRPr="00F108EC" w14:paraId="42D2D31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491B1E9" w14:textId="04A62C8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Mental Health Commission</w:t>
            </w:r>
          </w:p>
        </w:tc>
        <w:tc>
          <w:tcPr>
            <w:tcW w:w="1347" w:type="dxa"/>
            <w:noWrap/>
            <w:hideMark/>
          </w:tcPr>
          <w:p w14:paraId="14633467" w14:textId="07F74196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464</w:t>
            </w:r>
          </w:p>
        </w:tc>
        <w:tc>
          <w:tcPr>
            <w:tcW w:w="1347" w:type="dxa"/>
            <w:noWrap/>
            <w:hideMark/>
          </w:tcPr>
          <w:p w14:paraId="3CDE1787" w14:textId="7D9ABD2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389</w:t>
            </w:r>
          </w:p>
        </w:tc>
        <w:tc>
          <w:tcPr>
            <w:tcW w:w="992" w:type="dxa"/>
            <w:noWrap/>
            <w:hideMark/>
          </w:tcPr>
          <w:p w14:paraId="2F397427" w14:textId="3850E59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4A29DB67" w14:textId="2D2542E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56</w:t>
            </w:r>
          </w:p>
        </w:tc>
      </w:tr>
      <w:tr w:rsidR="00AD5243" w:rsidRPr="00F108EC" w14:paraId="47D1FC0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F8D693" w14:textId="47696BB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Central Regional TAFE</w:t>
            </w:r>
          </w:p>
        </w:tc>
        <w:tc>
          <w:tcPr>
            <w:tcW w:w="1347" w:type="dxa"/>
            <w:noWrap/>
            <w:hideMark/>
          </w:tcPr>
          <w:p w14:paraId="614C883D" w14:textId="53CDB7BA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451</w:t>
            </w:r>
          </w:p>
        </w:tc>
        <w:tc>
          <w:tcPr>
            <w:tcW w:w="1347" w:type="dxa"/>
            <w:noWrap/>
            <w:hideMark/>
          </w:tcPr>
          <w:p w14:paraId="501366E6" w14:textId="3B4802F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378</w:t>
            </w:r>
          </w:p>
        </w:tc>
        <w:tc>
          <w:tcPr>
            <w:tcW w:w="992" w:type="dxa"/>
            <w:noWrap/>
            <w:hideMark/>
          </w:tcPr>
          <w:p w14:paraId="135F5E1F" w14:textId="773950F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4CAA9990" w14:textId="054DA49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34</w:t>
            </w:r>
          </w:p>
        </w:tc>
      </w:tr>
      <w:tr w:rsidR="00AD5243" w:rsidRPr="00F108EC" w14:paraId="4ABB224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DBEAD20" w14:textId="256142D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Office of the Director of Public Prosecutions</w:t>
            </w:r>
          </w:p>
        </w:tc>
        <w:tc>
          <w:tcPr>
            <w:tcW w:w="1347" w:type="dxa"/>
            <w:noWrap/>
            <w:hideMark/>
          </w:tcPr>
          <w:p w14:paraId="770485E1" w14:textId="7EBA1D8E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371</w:t>
            </w:r>
          </w:p>
        </w:tc>
        <w:tc>
          <w:tcPr>
            <w:tcW w:w="1347" w:type="dxa"/>
            <w:noWrap/>
            <w:hideMark/>
          </w:tcPr>
          <w:p w14:paraId="0391001A" w14:textId="173FAC4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321</w:t>
            </w:r>
          </w:p>
        </w:tc>
        <w:tc>
          <w:tcPr>
            <w:tcW w:w="992" w:type="dxa"/>
            <w:noWrap/>
            <w:hideMark/>
          </w:tcPr>
          <w:p w14:paraId="6CBDA68E" w14:textId="2B63015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68" w:type="dxa"/>
            <w:noWrap/>
            <w:hideMark/>
          </w:tcPr>
          <w:p w14:paraId="42AB8FDE" w14:textId="1D8006A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</w:tr>
      <w:tr w:rsidR="00AD5243" w:rsidRPr="00F108EC" w14:paraId="5A66700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81E9D1E" w14:textId="1745DD6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North Regional TAFE</w:t>
            </w:r>
          </w:p>
        </w:tc>
        <w:tc>
          <w:tcPr>
            <w:tcW w:w="1347" w:type="dxa"/>
            <w:noWrap/>
            <w:hideMark/>
          </w:tcPr>
          <w:p w14:paraId="197E3888" w14:textId="02FDBD2C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333</w:t>
            </w:r>
          </w:p>
        </w:tc>
        <w:tc>
          <w:tcPr>
            <w:tcW w:w="1347" w:type="dxa"/>
            <w:noWrap/>
            <w:hideMark/>
          </w:tcPr>
          <w:p w14:paraId="1A4B6877" w14:textId="7C6A428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308</w:t>
            </w:r>
          </w:p>
        </w:tc>
        <w:tc>
          <w:tcPr>
            <w:tcW w:w="992" w:type="dxa"/>
            <w:noWrap/>
            <w:hideMark/>
          </w:tcPr>
          <w:p w14:paraId="59F35367" w14:textId="593FFB2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10</w:t>
            </w:r>
          </w:p>
        </w:tc>
        <w:tc>
          <w:tcPr>
            <w:tcW w:w="968" w:type="dxa"/>
            <w:noWrap/>
            <w:hideMark/>
          </w:tcPr>
          <w:p w14:paraId="66D37CC5" w14:textId="57067A3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23</w:t>
            </w:r>
          </w:p>
        </w:tc>
      </w:tr>
      <w:tr w:rsidR="00AD5243" w:rsidRPr="00F108EC" w14:paraId="33268EF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6E57E70" w14:textId="22482B3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Treasury</w:t>
            </w:r>
          </w:p>
        </w:tc>
        <w:tc>
          <w:tcPr>
            <w:tcW w:w="1347" w:type="dxa"/>
            <w:noWrap/>
            <w:hideMark/>
          </w:tcPr>
          <w:p w14:paraId="4D304EC0" w14:textId="48FED36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311</w:t>
            </w:r>
          </w:p>
        </w:tc>
        <w:tc>
          <w:tcPr>
            <w:tcW w:w="1347" w:type="dxa"/>
            <w:noWrap/>
            <w:hideMark/>
          </w:tcPr>
          <w:p w14:paraId="514A0134" w14:textId="74980EB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276</w:t>
            </w:r>
          </w:p>
        </w:tc>
        <w:tc>
          <w:tcPr>
            <w:tcW w:w="992" w:type="dxa"/>
            <w:noWrap/>
            <w:hideMark/>
          </w:tcPr>
          <w:p w14:paraId="1F1CFF7C" w14:textId="66C3318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68" w:type="dxa"/>
            <w:noWrap/>
            <w:hideMark/>
          </w:tcPr>
          <w:p w14:paraId="3681F87C" w14:textId="40F12CA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</w:tr>
      <w:tr w:rsidR="00AD5243" w:rsidRPr="00F108EC" w14:paraId="5CDEB51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947F62B" w14:textId="24F7FBA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Lotterywest</w:t>
            </w:r>
          </w:p>
        </w:tc>
        <w:tc>
          <w:tcPr>
            <w:tcW w:w="1347" w:type="dxa"/>
            <w:noWrap/>
            <w:hideMark/>
          </w:tcPr>
          <w:p w14:paraId="08BBB84D" w14:textId="109D1A9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307</w:t>
            </w:r>
          </w:p>
        </w:tc>
        <w:tc>
          <w:tcPr>
            <w:tcW w:w="1347" w:type="dxa"/>
            <w:noWrap/>
            <w:hideMark/>
          </w:tcPr>
          <w:p w14:paraId="249A0BEF" w14:textId="24FDA50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293</w:t>
            </w:r>
          </w:p>
        </w:tc>
        <w:tc>
          <w:tcPr>
            <w:tcW w:w="992" w:type="dxa"/>
            <w:noWrap/>
            <w:hideMark/>
          </w:tcPr>
          <w:p w14:paraId="44C89EE0" w14:textId="53C8882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  <w:tc>
          <w:tcPr>
            <w:tcW w:w="968" w:type="dxa"/>
            <w:noWrap/>
            <w:hideMark/>
          </w:tcPr>
          <w:p w14:paraId="5F83C30D" w14:textId="14F08EA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21</w:t>
            </w:r>
          </w:p>
        </w:tc>
      </w:tr>
      <w:tr w:rsidR="00AD5243" w:rsidRPr="00F108EC" w14:paraId="5D3DA57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6D63EB8" w14:textId="2A3E9D6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Office of the Auditor General</w:t>
            </w:r>
          </w:p>
        </w:tc>
        <w:tc>
          <w:tcPr>
            <w:tcW w:w="1347" w:type="dxa"/>
            <w:noWrap/>
            <w:hideMark/>
          </w:tcPr>
          <w:p w14:paraId="4431135A" w14:textId="133EC273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229</w:t>
            </w:r>
          </w:p>
        </w:tc>
        <w:tc>
          <w:tcPr>
            <w:tcW w:w="1347" w:type="dxa"/>
            <w:noWrap/>
            <w:hideMark/>
          </w:tcPr>
          <w:p w14:paraId="29C03CDD" w14:textId="16976CC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203</w:t>
            </w:r>
          </w:p>
        </w:tc>
        <w:tc>
          <w:tcPr>
            <w:tcW w:w="992" w:type="dxa"/>
            <w:noWrap/>
            <w:hideMark/>
          </w:tcPr>
          <w:p w14:paraId="4EEBA39B" w14:textId="74D53DA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40F0496D" w14:textId="22E04AD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</w:tr>
      <w:tr w:rsidR="00AD5243" w:rsidRPr="00F108EC" w14:paraId="3F6E884B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101183A" w14:textId="49B5762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Forest Products Commission</w:t>
            </w:r>
          </w:p>
        </w:tc>
        <w:tc>
          <w:tcPr>
            <w:tcW w:w="1347" w:type="dxa"/>
            <w:noWrap/>
            <w:hideMark/>
          </w:tcPr>
          <w:p w14:paraId="420B2EAE" w14:textId="30A67C5C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183</w:t>
            </w:r>
          </w:p>
        </w:tc>
        <w:tc>
          <w:tcPr>
            <w:tcW w:w="1347" w:type="dxa"/>
            <w:noWrap/>
            <w:hideMark/>
          </w:tcPr>
          <w:p w14:paraId="420A993C" w14:textId="048D794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173</w:t>
            </w:r>
          </w:p>
        </w:tc>
        <w:tc>
          <w:tcPr>
            <w:tcW w:w="992" w:type="dxa"/>
            <w:noWrap/>
            <w:hideMark/>
          </w:tcPr>
          <w:p w14:paraId="2BA56C56" w14:textId="5ECF6D7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968" w:type="dxa"/>
            <w:noWrap/>
            <w:hideMark/>
          </w:tcPr>
          <w:p w14:paraId="0439FB68" w14:textId="792343D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</w:tr>
      <w:tr w:rsidR="00AD5243" w:rsidRPr="00F108EC" w14:paraId="14F507B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E6F71FA" w14:textId="3CB59C0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Public Sector Commission</w:t>
            </w:r>
          </w:p>
        </w:tc>
        <w:tc>
          <w:tcPr>
            <w:tcW w:w="1347" w:type="dxa"/>
            <w:noWrap/>
            <w:hideMark/>
          </w:tcPr>
          <w:p w14:paraId="6474374B" w14:textId="23C197BF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176</w:t>
            </w:r>
          </w:p>
        </w:tc>
        <w:tc>
          <w:tcPr>
            <w:tcW w:w="1347" w:type="dxa"/>
            <w:noWrap/>
            <w:hideMark/>
          </w:tcPr>
          <w:p w14:paraId="597A3048" w14:textId="4840F62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137</w:t>
            </w:r>
          </w:p>
        </w:tc>
        <w:tc>
          <w:tcPr>
            <w:tcW w:w="992" w:type="dxa"/>
            <w:noWrap/>
            <w:hideMark/>
          </w:tcPr>
          <w:p w14:paraId="3F9B138C" w14:textId="53D3E89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968" w:type="dxa"/>
            <w:noWrap/>
            <w:hideMark/>
          </w:tcPr>
          <w:p w14:paraId="3B49B016" w14:textId="2B454CB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</w:tr>
      <w:tr w:rsidR="00AD5243" w:rsidRPr="00F108EC" w14:paraId="09EB1D0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36F65E" w14:textId="39EAEA8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ChemCentre</w:t>
            </w:r>
          </w:p>
        </w:tc>
        <w:tc>
          <w:tcPr>
            <w:tcW w:w="1347" w:type="dxa"/>
            <w:noWrap/>
            <w:hideMark/>
          </w:tcPr>
          <w:p w14:paraId="32962EAB" w14:textId="4E4D1B5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162</w:t>
            </w:r>
          </w:p>
        </w:tc>
        <w:tc>
          <w:tcPr>
            <w:tcW w:w="1347" w:type="dxa"/>
            <w:noWrap/>
            <w:hideMark/>
          </w:tcPr>
          <w:p w14:paraId="46892AA4" w14:textId="474BCDE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147</w:t>
            </w:r>
          </w:p>
        </w:tc>
        <w:tc>
          <w:tcPr>
            <w:tcW w:w="992" w:type="dxa"/>
            <w:noWrap/>
            <w:hideMark/>
          </w:tcPr>
          <w:p w14:paraId="1735AB39" w14:textId="69F21F8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68" w:type="dxa"/>
            <w:noWrap/>
            <w:hideMark/>
          </w:tcPr>
          <w:p w14:paraId="00F674CA" w14:textId="72B1ED8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AD5243" w:rsidRPr="00F108EC" w14:paraId="31FF083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BC4B557" w14:textId="36EC50E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Metropolitan Cemeteries Board</w:t>
            </w:r>
          </w:p>
        </w:tc>
        <w:tc>
          <w:tcPr>
            <w:tcW w:w="1347" w:type="dxa"/>
            <w:noWrap/>
            <w:hideMark/>
          </w:tcPr>
          <w:p w14:paraId="646D80E4" w14:textId="5F50C3FA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156</w:t>
            </w:r>
          </w:p>
        </w:tc>
        <w:tc>
          <w:tcPr>
            <w:tcW w:w="1347" w:type="dxa"/>
            <w:noWrap/>
            <w:hideMark/>
          </w:tcPr>
          <w:p w14:paraId="57F68873" w14:textId="68FDA0E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142</w:t>
            </w:r>
          </w:p>
        </w:tc>
        <w:tc>
          <w:tcPr>
            <w:tcW w:w="992" w:type="dxa"/>
            <w:noWrap/>
            <w:hideMark/>
          </w:tcPr>
          <w:p w14:paraId="27DD8F3A" w14:textId="45BCB1A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  <w:tc>
          <w:tcPr>
            <w:tcW w:w="968" w:type="dxa"/>
            <w:noWrap/>
            <w:hideMark/>
          </w:tcPr>
          <w:p w14:paraId="79CC69AD" w14:textId="0D1A5C8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AD5243" w:rsidRPr="00F108EC" w14:paraId="0D89074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FEBBF57" w14:textId="30F47D2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WorkCover Western Australia</w:t>
            </w:r>
          </w:p>
        </w:tc>
        <w:tc>
          <w:tcPr>
            <w:tcW w:w="1347" w:type="dxa"/>
            <w:noWrap/>
            <w:hideMark/>
          </w:tcPr>
          <w:p w14:paraId="32182268" w14:textId="5C90CE05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145</w:t>
            </w:r>
          </w:p>
        </w:tc>
        <w:tc>
          <w:tcPr>
            <w:tcW w:w="1347" w:type="dxa"/>
            <w:noWrap/>
            <w:hideMark/>
          </w:tcPr>
          <w:p w14:paraId="62ECB34A" w14:textId="3DEA36C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130</w:t>
            </w:r>
          </w:p>
        </w:tc>
        <w:tc>
          <w:tcPr>
            <w:tcW w:w="992" w:type="dxa"/>
            <w:noWrap/>
            <w:hideMark/>
          </w:tcPr>
          <w:p w14:paraId="2DA710F9" w14:textId="460FD40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</w:t>
            </w:r>
          </w:p>
        </w:tc>
        <w:tc>
          <w:tcPr>
            <w:tcW w:w="968" w:type="dxa"/>
            <w:noWrap/>
            <w:hideMark/>
          </w:tcPr>
          <w:p w14:paraId="7D42FA4B" w14:textId="0895101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1CBF195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CE92EB2" w14:textId="0016AE3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Corruption and Crime Commission</w:t>
            </w:r>
          </w:p>
        </w:tc>
        <w:tc>
          <w:tcPr>
            <w:tcW w:w="1347" w:type="dxa"/>
            <w:noWrap/>
            <w:hideMark/>
          </w:tcPr>
          <w:p w14:paraId="78B13ED3" w14:textId="14BABC99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137</w:t>
            </w:r>
          </w:p>
        </w:tc>
        <w:tc>
          <w:tcPr>
            <w:tcW w:w="1347" w:type="dxa"/>
            <w:noWrap/>
            <w:hideMark/>
          </w:tcPr>
          <w:p w14:paraId="42C40E87" w14:textId="2867D58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129</w:t>
            </w:r>
          </w:p>
        </w:tc>
        <w:tc>
          <w:tcPr>
            <w:tcW w:w="992" w:type="dxa"/>
            <w:noWrap/>
            <w:hideMark/>
          </w:tcPr>
          <w:p w14:paraId="766E1DD7" w14:textId="5125645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-5</w:t>
            </w:r>
          </w:p>
        </w:tc>
        <w:tc>
          <w:tcPr>
            <w:tcW w:w="968" w:type="dxa"/>
            <w:noWrap/>
            <w:hideMark/>
          </w:tcPr>
          <w:p w14:paraId="797BC846" w14:textId="167B08C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AD5243" w:rsidRPr="00F108EC" w14:paraId="5D567EB7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A3C1ECE" w14:textId="4589EC4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Ombudsman Western Australia</w:t>
            </w:r>
          </w:p>
        </w:tc>
        <w:tc>
          <w:tcPr>
            <w:tcW w:w="1347" w:type="dxa"/>
            <w:noWrap/>
            <w:hideMark/>
          </w:tcPr>
          <w:p w14:paraId="1F76BCE0" w14:textId="63FA752F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92</w:t>
            </w:r>
          </w:p>
        </w:tc>
        <w:tc>
          <w:tcPr>
            <w:tcW w:w="1347" w:type="dxa"/>
            <w:noWrap/>
            <w:hideMark/>
          </w:tcPr>
          <w:p w14:paraId="29389067" w14:textId="1C28471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79</w:t>
            </w:r>
          </w:p>
        </w:tc>
        <w:tc>
          <w:tcPr>
            <w:tcW w:w="992" w:type="dxa"/>
            <w:noWrap/>
            <w:hideMark/>
          </w:tcPr>
          <w:p w14:paraId="7A088DA4" w14:textId="03AA1F2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352EBEB2" w14:textId="2944515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</w:tr>
      <w:tr w:rsidR="00AD5243" w:rsidRPr="00F108EC" w14:paraId="6F8A746C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481A54" w14:textId="2D91CA1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Economic Regulation Authority</w:t>
            </w:r>
          </w:p>
        </w:tc>
        <w:tc>
          <w:tcPr>
            <w:tcW w:w="1347" w:type="dxa"/>
            <w:noWrap/>
            <w:hideMark/>
          </w:tcPr>
          <w:p w14:paraId="1B26FF48" w14:textId="604D97F3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77</w:t>
            </w:r>
          </w:p>
        </w:tc>
        <w:tc>
          <w:tcPr>
            <w:tcW w:w="1347" w:type="dxa"/>
            <w:noWrap/>
            <w:hideMark/>
          </w:tcPr>
          <w:p w14:paraId="421C1CD0" w14:textId="5BEE22A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69</w:t>
            </w:r>
          </w:p>
        </w:tc>
        <w:tc>
          <w:tcPr>
            <w:tcW w:w="992" w:type="dxa"/>
            <w:noWrap/>
            <w:hideMark/>
          </w:tcPr>
          <w:p w14:paraId="4B8A1F1E" w14:textId="4F3B51B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0CD8ADA6" w14:textId="13FA088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AD5243" w:rsidRPr="00F108EC" w14:paraId="76E6CE8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DA13923" w14:textId="163979C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GESB</w:t>
            </w:r>
          </w:p>
        </w:tc>
        <w:tc>
          <w:tcPr>
            <w:tcW w:w="1347" w:type="dxa"/>
            <w:noWrap/>
            <w:hideMark/>
          </w:tcPr>
          <w:p w14:paraId="1D19CEC1" w14:textId="0F0CD87A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73</w:t>
            </w:r>
          </w:p>
        </w:tc>
        <w:tc>
          <w:tcPr>
            <w:tcW w:w="1347" w:type="dxa"/>
            <w:noWrap/>
            <w:hideMark/>
          </w:tcPr>
          <w:p w14:paraId="021D9031" w14:textId="04BD597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69</w:t>
            </w:r>
          </w:p>
        </w:tc>
        <w:tc>
          <w:tcPr>
            <w:tcW w:w="992" w:type="dxa"/>
            <w:noWrap/>
            <w:hideMark/>
          </w:tcPr>
          <w:p w14:paraId="4331659E" w14:textId="59F9D9C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5914329E" w14:textId="2FEABE1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</w:t>
            </w:r>
          </w:p>
        </w:tc>
      </w:tr>
      <w:tr w:rsidR="00AD5243" w:rsidRPr="00F108EC" w14:paraId="6C5F3AF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F8E3045" w14:textId="6B4FC53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Small Business Development Corporation</w:t>
            </w:r>
          </w:p>
        </w:tc>
        <w:tc>
          <w:tcPr>
            <w:tcW w:w="1347" w:type="dxa"/>
            <w:noWrap/>
            <w:hideMark/>
          </w:tcPr>
          <w:p w14:paraId="5CDE7A17" w14:textId="5BAA8CE0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68</w:t>
            </w:r>
          </w:p>
        </w:tc>
        <w:tc>
          <w:tcPr>
            <w:tcW w:w="1347" w:type="dxa"/>
            <w:noWrap/>
            <w:hideMark/>
          </w:tcPr>
          <w:p w14:paraId="5DFEB8F1" w14:textId="397EA7F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61</w:t>
            </w:r>
          </w:p>
        </w:tc>
        <w:tc>
          <w:tcPr>
            <w:tcW w:w="992" w:type="dxa"/>
            <w:noWrap/>
            <w:hideMark/>
          </w:tcPr>
          <w:p w14:paraId="1009E7AB" w14:textId="1598672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68" w:type="dxa"/>
            <w:noWrap/>
            <w:hideMark/>
          </w:tcPr>
          <w:p w14:paraId="67095719" w14:textId="1271BA4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</w:tr>
      <w:tr w:rsidR="00AD5243" w:rsidRPr="00F108EC" w14:paraId="568968C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C65EA41" w14:textId="7AB7C7C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Western Australian Electoral Commission</w:t>
            </w:r>
          </w:p>
        </w:tc>
        <w:tc>
          <w:tcPr>
            <w:tcW w:w="1347" w:type="dxa"/>
            <w:noWrap/>
            <w:hideMark/>
          </w:tcPr>
          <w:p w14:paraId="0CD86EE6" w14:textId="4B76DCF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50</w:t>
            </w:r>
          </w:p>
        </w:tc>
        <w:tc>
          <w:tcPr>
            <w:tcW w:w="1347" w:type="dxa"/>
            <w:noWrap/>
            <w:hideMark/>
          </w:tcPr>
          <w:p w14:paraId="66231244" w14:textId="0B1F916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46</w:t>
            </w:r>
          </w:p>
        </w:tc>
        <w:tc>
          <w:tcPr>
            <w:tcW w:w="992" w:type="dxa"/>
            <w:noWrap/>
            <w:hideMark/>
          </w:tcPr>
          <w:p w14:paraId="6A80BB0E" w14:textId="0960F77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6794E7B1" w14:textId="4812257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3BA8AD0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086C289" w14:textId="28E7B59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Department of the Registrar, Western Australian Industrial Relations Commission</w:t>
            </w:r>
          </w:p>
        </w:tc>
        <w:tc>
          <w:tcPr>
            <w:tcW w:w="1347" w:type="dxa"/>
            <w:noWrap/>
            <w:hideMark/>
          </w:tcPr>
          <w:p w14:paraId="7CE1ECD7" w14:textId="2284DDB0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46</w:t>
            </w:r>
          </w:p>
        </w:tc>
        <w:tc>
          <w:tcPr>
            <w:tcW w:w="1347" w:type="dxa"/>
            <w:noWrap/>
            <w:hideMark/>
          </w:tcPr>
          <w:p w14:paraId="0247E3AE" w14:textId="5DABB15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42</w:t>
            </w:r>
          </w:p>
        </w:tc>
        <w:tc>
          <w:tcPr>
            <w:tcW w:w="992" w:type="dxa"/>
            <w:noWrap/>
            <w:hideMark/>
          </w:tcPr>
          <w:p w14:paraId="1AF62929" w14:textId="4AC6431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-1</w:t>
            </w:r>
          </w:p>
        </w:tc>
        <w:tc>
          <w:tcPr>
            <w:tcW w:w="968" w:type="dxa"/>
            <w:noWrap/>
            <w:hideMark/>
          </w:tcPr>
          <w:p w14:paraId="7095BE0B" w14:textId="52FAF74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AD5243" w:rsidRPr="00F108EC" w14:paraId="006510B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10290ED" w14:textId="1B53FE4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Legal Practice Board</w:t>
            </w:r>
          </w:p>
        </w:tc>
        <w:tc>
          <w:tcPr>
            <w:tcW w:w="1347" w:type="dxa"/>
            <w:noWrap/>
            <w:hideMark/>
          </w:tcPr>
          <w:p w14:paraId="6A7EB474" w14:textId="55DC9408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45</w:t>
            </w:r>
          </w:p>
        </w:tc>
        <w:tc>
          <w:tcPr>
            <w:tcW w:w="1347" w:type="dxa"/>
            <w:noWrap/>
            <w:hideMark/>
          </w:tcPr>
          <w:p w14:paraId="19DDB69C" w14:textId="3816761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43</w:t>
            </w:r>
          </w:p>
        </w:tc>
        <w:tc>
          <w:tcPr>
            <w:tcW w:w="992" w:type="dxa"/>
            <w:noWrap/>
            <w:hideMark/>
          </w:tcPr>
          <w:p w14:paraId="69B34ACC" w14:textId="00E0D62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968" w:type="dxa"/>
            <w:noWrap/>
            <w:hideMark/>
          </w:tcPr>
          <w:p w14:paraId="1E4962EE" w14:textId="3348159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AD5243" w:rsidRPr="00F108EC" w14:paraId="5A2942A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403FF90E" w14:textId="70ED18C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National Trust of Australia (W.A.)</w:t>
            </w:r>
          </w:p>
        </w:tc>
        <w:tc>
          <w:tcPr>
            <w:tcW w:w="1347" w:type="dxa"/>
            <w:noWrap/>
            <w:hideMark/>
          </w:tcPr>
          <w:p w14:paraId="7142521F" w14:textId="08E6F0F5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41</w:t>
            </w:r>
          </w:p>
        </w:tc>
        <w:tc>
          <w:tcPr>
            <w:tcW w:w="1347" w:type="dxa"/>
            <w:noWrap/>
            <w:hideMark/>
          </w:tcPr>
          <w:p w14:paraId="185554CB" w14:textId="60E9347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33</w:t>
            </w:r>
          </w:p>
        </w:tc>
        <w:tc>
          <w:tcPr>
            <w:tcW w:w="992" w:type="dxa"/>
            <w:noWrap/>
            <w:hideMark/>
          </w:tcPr>
          <w:p w14:paraId="1CA2A805" w14:textId="29ABB6D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68" w:type="dxa"/>
            <w:noWrap/>
            <w:hideMark/>
          </w:tcPr>
          <w:p w14:paraId="27148B1B" w14:textId="74BE8C2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7</w:t>
            </w:r>
          </w:p>
        </w:tc>
      </w:tr>
      <w:tr w:rsidR="00AD5243" w:rsidRPr="00F108EC" w14:paraId="58A8B06D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BEE00B0" w14:textId="6788280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Construction Training Fund</w:t>
            </w:r>
          </w:p>
        </w:tc>
        <w:tc>
          <w:tcPr>
            <w:tcW w:w="1347" w:type="dxa"/>
            <w:noWrap/>
            <w:hideMark/>
          </w:tcPr>
          <w:p w14:paraId="749D56D9" w14:textId="0D8BF95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36</w:t>
            </w:r>
          </w:p>
        </w:tc>
        <w:tc>
          <w:tcPr>
            <w:tcW w:w="1347" w:type="dxa"/>
            <w:noWrap/>
            <w:hideMark/>
          </w:tcPr>
          <w:p w14:paraId="5319A6DC" w14:textId="1CD61C9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32</w:t>
            </w:r>
          </w:p>
        </w:tc>
        <w:tc>
          <w:tcPr>
            <w:tcW w:w="992" w:type="dxa"/>
            <w:noWrap/>
            <w:hideMark/>
          </w:tcPr>
          <w:p w14:paraId="1A2332A5" w14:textId="472236C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  <w:tc>
          <w:tcPr>
            <w:tcW w:w="968" w:type="dxa"/>
            <w:noWrap/>
            <w:hideMark/>
          </w:tcPr>
          <w:p w14:paraId="535AACEC" w14:textId="439BA1D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-3</w:t>
            </w:r>
          </w:p>
        </w:tc>
      </w:tr>
      <w:tr w:rsidR="00AD5243" w:rsidRPr="00F108EC" w14:paraId="242B7B1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852581" w14:textId="3777891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MyLeave</w:t>
            </w:r>
          </w:p>
        </w:tc>
        <w:tc>
          <w:tcPr>
            <w:tcW w:w="1347" w:type="dxa"/>
            <w:noWrap/>
            <w:hideMark/>
          </w:tcPr>
          <w:p w14:paraId="40FCB2E2" w14:textId="75497F5B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28</w:t>
            </w:r>
          </w:p>
        </w:tc>
        <w:tc>
          <w:tcPr>
            <w:tcW w:w="1347" w:type="dxa"/>
            <w:noWrap/>
            <w:hideMark/>
          </w:tcPr>
          <w:p w14:paraId="39676CF5" w14:textId="7F3D6ED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27</w:t>
            </w:r>
          </w:p>
        </w:tc>
        <w:tc>
          <w:tcPr>
            <w:tcW w:w="992" w:type="dxa"/>
            <w:noWrap/>
            <w:hideMark/>
          </w:tcPr>
          <w:p w14:paraId="4FCBB936" w14:textId="5A2EE35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558D2E06" w14:textId="379006A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AD5243" w:rsidRPr="00F108EC" w14:paraId="0211A93E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31EE6B2" w14:textId="5BA106D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Infrastructure WA</w:t>
            </w:r>
          </w:p>
        </w:tc>
        <w:tc>
          <w:tcPr>
            <w:tcW w:w="1347" w:type="dxa"/>
            <w:noWrap/>
            <w:hideMark/>
          </w:tcPr>
          <w:p w14:paraId="4385085D" w14:textId="71F8BD62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23</w:t>
            </w:r>
          </w:p>
        </w:tc>
        <w:tc>
          <w:tcPr>
            <w:tcW w:w="1347" w:type="dxa"/>
            <w:noWrap/>
            <w:hideMark/>
          </w:tcPr>
          <w:p w14:paraId="619EBF7C" w14:textId="33D2DF8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22</w:t>
            </w:r>
          </w:p>
        </w:tc>
        <w:tc>
          <w:tcPr>
            <w:tcW w:w="992" w:type="dxa"/>
            <w:noWrap/>
            <w:hideMark/>
          </w:tcPr>
          <w:p w14:paraId="2224E0E0" w14:textId="231F1F9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7BD3A945" w14:textId="58DAE6B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</w:tr>
      <w:tr w:rsidR="00AD5243" w:rsidRPr="00F108EC" w14:paraId="2445FF0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A9655A9" w14:textId="0F2713BA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Office of the Inspector of Custodial Services</w:t>
            </w:r>
          </w:p>
        </w:tc>
        <w:tc>
          <w:tcPr>
            <w:tcW w:w="1347" w:type="dxa"/>
            <w:noWrap/>
            <w:hideMark/>
          </w:tcPr>
          <w:p w14:paraId="74611FB1" w14:textId="6BEB1DAA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22</w:t>
            </w:r>
          </w:p>
        </w:tc>
        <w:tc>
          <w:tcPr>
            <w:tcW w:w="1347" w:type="dxa"/>
            <w:noWrap/>
            <w:hideMark/>
          </w:tcPr>
          <w:p w14:paraId="4D09BE6A" w14:textId="1F9D7AB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992" w:type="dxa"/>
            <w:noWrap/>
            <w:hideMark/>
          </w:tcPr>
          <w:p w14:paraId="09DABEC1" w14:textId="7C5148B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27D4A837" w14:textId="4F9586C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AD5243" w:rsidRPr="00F108EC" w14:paraId="7B200019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2C54859B" w14:textId="3563F24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lastRenderedPageBreak/>
              <w:t>Western Australian Meat Industry Authority</w:t>
            </w:r>
          </w:p>
        </w:tc>
        <w:tc>
          <w:tcPr>
            <w:tcW w:w="1347" w:type="dxa"/>
            <w:noWrap/>
            <w:hideMark/>
          </w:tcPr>
          <w:p w14:paraId="419666A5" w14:textId="46F93636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22</w:t>
            </w:r>
          </w:p>
        </w:tc>
        <w:tc>
          <w:tcPr>
            <w:tcW w:w="1347" w:type="dxa"/>
            <w:noWrap/>
            <w:hideMark/>
          </w:tcPr>
          <w:p w14:paraId="41ECB1E4" w14:textId="0D48B5D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17</w:t>
            </w:r>
          </w:p>
        </w:tc>
        <w:tc>
          <w:tcPr>
            <w:tcW w:w="992" w:type="dxa"/>
            <w:noWrap/>
            <w:hideMark/>
          </w:tcPr>
          <w:p w14:paraId="30714B86" w14:textId="52DE734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056B2967" w14:textId="290A2D9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-6</w:t>
            </w:r>
          </w:p>
        </w:tc>
      </w:tr>
      <w:tr w:rsidR="00AD5243" w:rsidRPr="00F108EC" w14:paraId="5B2A7C4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5B0BB51" w14:textId="09DBCB2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Health and Disability Services Complaints Office</w:t>
            </w:r>
          </w:p>
        </w:tc>
        <w:tc>
          <w:tcPr>
            <w:tcW w:w="1347" w:type="dxa"/>
            <w:noWrap/>
            <w:hideMark/>
          </w:tcPr>
          <w:p w14:paraId="380ECC32" w14:textId="336F54F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21</w:t>
            </w:r>
          </w:p>
        </w:tc>
        <w:tc>
          <w:tcPr>
            <w:tcW w:w="1347" w:type="dxa"/>
            <w:noWrap/>
            <w:hideMark/>
          </w:tcPr>
          <w:p w14:paraId="2ABC75BA" w14:textId="0FDFE60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20</w:t>
            </w:r>
          </w:p>
        </w:tc>
        <w:tc>
          <w:tcPr>
            <w:tcW w:w="992" w:type="dxa"/>
            <w:noWrap/>
            <w:hideMark/>
          </w:tcPr>
          <w:p w14:paraId="1AFD3910" w14:textId="3A531378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7F82E224" w14:textId="54B1713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  <w:tr w:rsidR="00AD5243" w:rsidRPr="00F108EC" w14:paraId="163A9CE6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7EEC414" w14:textId="46D4F6C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Office of the Information Commissioner</w:t>
            </w:r>
          </w:p>
        </w:tc>
        <w:tc>
          <w:tcPr>
            <w:tcW w:w="1347" w:type="dxa"/>
            <w:noWrap/>
            <w:hideMark/>
          </w:tcPr>
          <w:p w14:paraId="6DE4F8A6" w14:textId="51832936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19</w:t>
            </w:r>
          </w:p>
        </w:tc>
        <w:tc>
          <w:tcPr>
            <w:tcW w:w="1347" w:type="dxa"/>
            <w:noWrap/>
            <w:hideMark/>
          </w:tcPr>
          <w:p w14:paraId="0423D9CA" w14:textId="77F9EC9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18</w:t>
            </w:r>
          </w:p>
        </w:tc>
        <w:tc>
          <w:tcPr>
            <w:tcW w:w="992" w:type="dxa"/>
            <w:noWrap/>
            <w:hideMark/>
          </w:tcPr>
          <w:p w14:paraId="6E66D9FF" w14:textId="222253E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7AC5EDA4" w14:textId="36DF89F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</w:tr>
      <w:tr w:rsidR="00AD5243" w:rsidRPr="00F108EC" w14:paraId="030F89F1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61A1E1D2" w14:textId="62B3FD85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Commissioner for Children and Young People</w:t>
            </w:r>
          </w:p>
        </w:tc>
        <w:tc>
          <w:tcPr>
            <w:tcW w:w="1347" w:type="dxa"/>
            <w:noWrap/>
            <w:hideMark/>
          </w:tcPr>
          <w:p w14:paraId="1A610CF5" w14:textId="7BA010D7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16</w:t>
            </w:r>
          </w:p>
        </w:tc>
        <w:tc>
          <w:tcPr>
            <w:tcW w:w="1347" w:type="dxa"/>
            <w:noWrap/>
            <w:hideMark/>
          </w:tcPr>
          <w:p w14:paraId="183ADA6A" w14:textId="5E2466E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15</w:t>
            </w:r>
          </w:p>
        </w:tc>
        <w:tc>
          <w:tcPr>
            <w:tcW w:w="992" w:type="dxa"/>
            <w:noWrap/>
            <w:hideMark/>
          </w:tcPr>
          <w:p w14:paraId="24D9CBF5" w14:textId="1409FBF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3</w:t>
            </w:r>
          </w:p>
        </w:tc>
        <w:tc>
          <w:tcPr>
            <w:tcW w:w="968" w:type="dxa"/>
            <w:noWrap/>
            <w:hideMark/>
          </w:tcPr>
          <w:p w14:paraId="5272395D" w14:textId="250FBE5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4</w:t>
            </w:r>
          </w:p>
        </w:tc>
      </w:tr>
      <w:tr w:rsidR="00AD5243" w:rsidRPr="00F108EC" w14:paraId="6C55F9B5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062B9E46" w14:textId="1C288C46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Metropolitan Redevelopment Authority</w:t>
            </w:r>
          </w:p>
        </w:tc>
        <w:tc>
          <w:tcPr>
            <w:tcW w:w="1347" w:type="dxa"/>
            <w:noWrap/>
            <w:hideMark/>
          </w:tcPr>
          <w:p w14:paraId="52638DFE" w14:textId="67CA99F4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16</w:t>
            </w:r>
          </w:p>
        </w:tc>
        <w:tc>
          <w:tcPr>
            <w:tcW w:w="1347" w:type="dxa"/>
            <w:noWrap/>
            <w:hideMark/>
          </w:tcPr>
          <w:p w14:paraId="504B1A56" w14:textId="0C9063E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14</w:t>
            </w:r>
          </w:p>
        </w:tc>
        <w:tc>
          <w:tcPr>
            <w:tcW w:w="992" w:type="dxa"/>
            <w:noWrap/>
            <w:hideMark/>
          </w:tcPr>
          <w:p w14:paraId="6C3E3453" w14:textId="021B7247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296A4140" w14:textId="6412502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18D59D3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39597D34" w14:textId="712FB41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Burswood Park Board</w:t>
            </w:r>
          </w:p>
        </w:tc>
        <w:tc>
          <w:tcPr>
            <w:tcW w:w="1347" w:type="dxa"/>
            <w:noWrap/>
            <w:hideMark/>
          </w:tcPr>
          <w:p w14:paraId="392515D3" w14:textId="567C6195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13</w:t>
            </w:r>
          </w:p>
        </w:tc>
        <w:tc>
          <w:tcPr>
            <w:tcW w:w="1347" w:type="dxa"/>
            <w:noWrap/>
            <w:hideMark/>
          </w:tcPr>
          <w:p w14:paraId="5EC302A3" w14:textId="4BDDC76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11</w:t>
            </w:r>
          </w:p>
        </w:tc>
        <w:tc>
          <w:tcPr>
            <w:tcW w:w="992" w:type="dxa"/>
            <w:noWrap/>
            <w:hideMark/>
          </w:tcPr>
          <w:p w14:paraId="7A490FE3" w14:textId="5E56256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5FF36E26" w14:textId="5F9CA39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</w:tr>
      <w:tr w:rsidR="00AD5243" w:rsidRPr="00F108EC" w14:paraId="5692DA12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5FD3905" w14:textId="34119A5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Keep Australia Beautiful WA</w:t>
            </w:r>
          </w:p>
        </w:tc>
        <w:tc>
          <w:tcPr>
            <w:tcW w:w="1347" w:type="dxa"/>
            <w:noWrap/>
            <w:hideMark/>
          </w:tcPr>
          <w:p w14:paraId="6E816030" w14:textId="24EEAAF1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9</w:t>
            </w:r>
          </w:p>
        </w:tc>
        <w:tc>
          <w:tcPr>
            <w:tcW w:w="1347" w:type="dxa"/>
            <w:noWrap/>
            <w:hideMark/>
          </w:tcPr>
          <w:p w14:paraId="7453F670" w14:textId="456A318F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8</w:t>
            </w:r>
          </w:p>
        </w:tc>
        <w:tc>
          <w:tcPr>
            <w:tcW w:w="992" w:type="dxa"/>
            <w:noWrap/>
            <w:hideMark/>
          </w:tcPr>
          <w:p w14:paraId="54222132" w14:textId="00C7F14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3C605467" w14:textId="178F90AC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AD5243" w:rsidRPr="00F108EC" w14:paraId="59150E1A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5AC4B888" w14:textId="1F4FD44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Minerals Research Institute of Western Australia (MRIWA)</w:t>
            </w:r>
          </w:p>
        </w:tc>
        <w:tc>
          <w:tcPr>
            <w:tcW w:w="1347" w:type="dxa"/>
            <w:noWrap/>
            <w:hideMark/>
          </w:tcPr>
          <w:p w14:paraId="47E82AFF" w14:textId="7CC39042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9</w:t>
            </w:r>
          </w:p>
        </w:tc>
        <w:tc>
          <w:tcPr>
            <w:tcW w:w="1347" w:type="dxa"/>
            <w:noWrap/>
            <w:hideMark/>
          </w:tcPr>
          <w:p w14:paraId="30C66090" w14:textId="20044FD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9</w:t>
            </w:r>
          </w:p>
        </w:tc>
        <w:tc>
          <w:tcPr>
            <w:tcW w:w="992" w:type="dxa"/>
            <w:noWrap/>
            <w:hideMark/>
          </w:tcPr>
          <w:p w14:paraId="45734BAE" w14:textId="01212AE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  <w:tc>
          <w:tcPr>
            <w:tcW w:w="968" w:type="dxa"/>
            <w:noWrap/>
            <w:hideMark/>
          </w:tcPr>
          <w:p w14:paraId="732B241B" w14:textId="252AA17E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1</w:t>
            </w:r>
          </w:p>
        </w:tc>
      </w:tr>
      <w:tr w:rsidR="00AD5243" w:rsidRPr="00F108EC" w14:paraId="261533B3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7CAE3AC" w14:textId="70F3BA0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Veterinary Practice Board</w:t>
            </w:r>
          </w:p>
        </w:tc>
        <w:tc>
          <w:tcPr>
            <w:tcW w:w="1347" w:type="dxa"/>
            <w:noWrap/>
            <w:hideMark/>
          </w:tcPr>
          <w:p w14:paraId="5D8D0A5C" w14:textId="57E92FE2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6</w:t>
            </w:r>
          </w:p>
        </w:tc>
        <w:tc>
          <w:tcPr>
            <w:tcW w:w="1347" w:type="dxa"/>
            <w:noWrap/>
            <w:hideMark/>
          </w:tcPr>
          <w:p w14:paraId="06D35334" w14:textId="2A4FE363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5</w:t>
            </w:r>
          </w:p>
        </w:tc>
        <w:tc>
          <w:tcPr>
            <w:tcW w:w="992" w:type="dxa"/>
            <w:noWrap/>
            <w:hideMark/>
          </w:tcPr>
          <w:p w14:paraId="742B94F4" w14:textId="1D9C0001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46FE5524" w14:textId="4732C91B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544F3EF8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166D29E7" w14:textId="50E478F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Architects Board of Western Australia</w:t>
            </w:r>
          </w:p>
        </w:tc>
        <w:tc>
          <w:tcPr>
            <w:tcW w:w="1347" w:type="dxa"/>
            <w:noWrap/>
            <w:hideMark/>
          </w:tcPr>
          <w:p w14:paraId="74ED4E85" w14:textId="0160123A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</w:t>
            </w:r>
          </w:p>
        </w:tc>
        <w:tc>
          <w:tcPr>
            <w:tcW w:w="1347" w:type="dxa"/>
            <w:noWrap/>
            <w:hideMark/>
          </w:tcPr>
          <w:p w14:paraId="4EEA28B8" w14:textId="0FADB49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92" w:type="dxa"/>
            <w:noWrap/>
            <w:hideMark/>
          </w:tcPr>
          <w:p w14:paraId="082903F9" w14:textId="701FE672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288A14DE" w14:textId="17EAC589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</w:tr>
      <w:tr w:rsidR="00AD5243" w:rsidRPr="00F108EC" w14:paraId="4D707D2F" w14:textId="77777777" w:rsidTr="00F108EC">
        <w:tblPrEx>
          <w:tblBorders>
            <w:top w:val="single" w:sz="12" w:space="0" w:color="2B9947"/>
            <w:left w:val="single" w:sz="12" w:space="0" w:color="2B9947"/>
            <w:bottom w:val="single" w:sz="12" w:space="0" w:color="2B9947"/>
            <w:right w:val="single" w:sz="12" w:space="0" w:color="2B9947"/>
            <w:insideH w:val="single" w:sz="12" w:space="0" w:color="2B9947"/>
            <w:insideV w:val="single" w:sz="12" w:space="0" w:color="2B9947"/>
          </w:tblBorders>
        </w:tblPrEx>
        <w:trPr>
          <w:trHeight w:val="300"/>
        </w:trPr>
        <w:tc>
          <w:tcPr>
            <w:tcW w:w="5235" w:type="dxa"/>
            <w:noWrap/>
            <w:hideMark/>
          </w:tcPr>
          <w:p w14:paraId="7F2FA461" w14:textId="7D0EE344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</w:pPr>
            <w:r>
              <w:t>Salaries and Allowances Tribunal</w:t>
            </w:r>
          </w:p>
        </w:tc>
        <w:tc>
          <w:tcPr>
            <w:tcW w:w="1347" w:type="dxa"/>
            <w:noWrap/>
            <w:hideMark/>
          </w:tcPr>
          <w:p w14:paraId="61C219D8" w14:textId="70DD8B9D" w:rsidR="00AD5243" w:rsidRPr="00F108EC" w:rsidRDefault="00AD5243" w:rsidP="00AD5243">
            <w:pPr>
              <w:spacing w:beforeLines="20" w:before="48" w:beforeAutospacing="0" w:afterLines="20" w:after="48"/>
              <w:jc w:val="right"/>
            </w:pPr>
            <w:r>
              <w:t>2</w:t>
            </w:r>
          </w:p>
        </w:tc>
        <w:tc>
          <w:tcPr>
            <w:tcW w:w="1347" w:type="dxa"/>
            <w:noWrap/>
            <w:hideMark/>
          </w:tcPr>
          <w:p w14:paraId="6E665001" w14:textId="41BA74BD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2</w:t>
            </w:r>
          </w:p>
        </w:tc>
        <w:tc>
          <w:tcPr>
            <w:tcW w:w="992" w:type="dxa"/>
            <w:noWrap/>
            <w:hideMark/>
          </w:tcPr>
          <w:p w14:paraId="66181CB7" w14:textId="63CB9A0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0</w:t>
            </w:r>
          </w:p>
        </w:tc>
        <w:tc>
          <w:tcPr>
            <w:tcW w:w="968" w:type="dxa"/>
            <w:noWrap/>
            <w:hideMark/>
          </w:tcPr>
          <w:p w14:paraId="4612771D" w14:textId="697BFEB0" w:rsidR="00AD5243" w:rsidRPr="00F108EC" w:rsidRDefault="00AD5243" w:rsidP="00AD5243">
            <w:pPr>
              <w:spacing w:beforeLines="20" w:before="48" w:beforeAutospacing="0" w:afterLines="20" w:after="48"/>
              <w:contextualSpacing w:val="0"/>
              <w:jc w:val="right"/>
            </w:pPr>
            <w:r>
              <w:t>-2</w:t>
            </w:r>
          </w:p>
        </w:tc>
      </w:tr>
    </w:tbl>
    <w:p w14:paraId="6DE1E2D0" w14:textId="7E75B29E" w:rsidR="006258A2" w:rsidRPr="00142732" w:rsidRDefault="00C66375" w:rsidP="00FF6E54">
      <w:pPr>
        <w:pStyle w:val="Heading2"/>
        <w:spacing w:before="240" w:beforeAutospacing="0" w:after="120" w:afterAutospacing="0" w:line="240" w:lineRule="auto"/>
      </w:pPr>
      <w:r>
        <w:t>Data quality statement</w:t>
      </w:r>
    </w:p>
    <w:p w14:paraId="3903A897" w14:textId="34907BA2" w:rsidR="00115034" w:rsidRDefault="00115034" w:rsidP="00115034">
      <w:r>
        <w:t>Information is based on an aggregate of agency supplied data, collected quarterly through the Human Resource Minimum Obligatory Information Requirement</w:t>
      </w:r>
      <w:r w:rsidR="00235D77">
        <w:t>s</w:t>
      </w:r>
      <w:r>
        <w:t xml:space="preserve"> (HR MOIR). Data is supplied by agencies according to the guidelines set out in </w:t>
      </w:r>
      <w:r w:rsidRPr="000670C1">
        <w:rPr>
          <w:i/>
        </w:rPr>
        <w:t>HR MOIR Data Definitions 1.5.1</w:t>
      </w:r>
      <w:r>
        <w:t xml:space="preserve">. </w:t>
      </w:r>
    </w:p>
    <w:p w14:paraId="36E49AED" w14:textId="1E46C6AB" w:rsidR="00C66375" w:rsidRDefault="00115034" w:rsidP="00607466">
      <w:r>
        <w:t xml:space="preserve">The information provided reflects the Commission’s holdings at the date of release. Workforce data is occasionally revised for quality, and corrections applied may result in figures being adjusted over time. </w:t>
      </w:r>
      <w:r w:rsidRPr="00115034">
        <w:t xml:space="preserve">This information relates only to </w:t>
      </w:r>
      <w:r w:rsidR="004A3184">
        <w:t>public</w:t>
      </w:r>
      <w:r w:rsidR="004A3184" w:rsidRPr="00115034">
        <w:t xml:space="preserve"> </w:t>
      </w:r>
      <w:r w:rsidR="004A3184">
        <w:t xml:space="preserve">sector </w:t>
      </w:r>
      <w:r w:rsidRPr="00115034">
        <w:t>(Department, SES and non-SES agencies), and excludes sworn officers of the WA Police Force, public universities, local governments, government trading enterprises and other authorities.</w:t>
      </w:r>
    </w:p>
    <w:p w14:paraId="3AB7ADED" w14:textId="77777777" w:rsidR="00C66375" w:rsidRPr="00C66375" w:rsidRDefault="00C66375" w:rsidP="00607466">
      <w:r w:rsidRPr="00C66375">
        <w:t>All data is accurate as reported to us by contributing agencies.</w:t>
      </w:r>
    </w:p>
    <w:p w14:paraId="2515E35B" w14:textId="749C700E" w:rsidR="0001245B" w:rsidRDefault="00115034" w:rsidP="00607466">
      <w:r w:rsidRPr="00115034">
        <w:t>As some figures have been rounded, discrepancies may occur between sums of the component items and totals.</w:t>
      </w:r>
      <w:r>
        <w:t xml:space="preserve"> </w:t>
      </w:r>
      <w:r w:rsidR="0001245B" w:rsidRPr="0001245B">
        <w:t>Salaries expenditure</w:t>
      </w:r>
      <w:r w:rsidR="0001245B">
        <w:t xml:space="preserve"> data and information is provided by the Department of Treasury.</w:t>
      </w:r>
    </w:p>
    <w:p w14:paraId="2EE0B7FE" w14:textId="609B8F0D" w:rsidR="006258A2" w:rsidRPr="00142732" w:rsidRDefault="006258A2" w:rsidP="00FF6E54">
      <w:pPr>
        <w:pStyle w:val="Heading2"/>
        <w:spacing w:before="0" w:beforeAutospacing="0"/>
      </w:pPr>
      <w:r w:rsidRPr="00142732">
        <w:t>Contact</w:t>
      </w:r>
    </w:p>
    <w:p w14:paraId="5BF6743A" w14:textId="1877A2B1" w:rsidR="00C736B0" w:rsidRPr="00142732" w:rsidRDefault="006258A2" w:rsidP="00607466">
      <w:r w:rsidRPr="00607466">
        <w:t xml:space="preserve">All enquiries about the Public Sector Commission’s data should be directed to </w:t>
      </w:r>
      <w:hyperlink r:id="rId12" w:history="1">
        <w:r w:rsidRPr="00EA7FC5">
          <w:rPr>
            <w:color w:val="2E74B5" w:themeColor="accent1" w:themeShade="BF"/>
          </w:rPr>
          <w:t>stateadministrator@psc.wa.gov.au</w:t>
        </w:r>
      </w:hyperlink>
      <w:r w:rsidR="00E1633D">
        <w:t xml:space="preserve">. </w:t>
      </w:r>
    </w:p>
    <w:sectPr w:rsidR="00C736B0" w:rsidRPr="00142732" w:rsidSect="00AC5CC3">
      <w:footerReference w:type="default" r:id="rId13"/>
      <w:headerReference w:type="first" r:id="rId14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D061F" w14:textId="77777777" w:rsidR="00AC5CC3" w:rsidRDefault="00AC5CC3" w:rsidP="00607466">
      <w:r>
        <w:separator/>
      </w:r>
    </w:p>
  </w:endnote>
  <w:endnote w:type="continuationSeparator" w:id="0">
    <w:p w14:paraId="1D852C92" w14:textId="77777777" w:rsidR="00AC5CC3" w:rsidRDefault="00AC5CC3" w:rsidP="0060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1A693" w14:textId="77777777" w:rsidR="00A66027" w:rsidRPr="00DD61C1" w:rsidRDefault="00A66027" w:rsidP="00DD61C1">
    <w:pPr>
      <w:spacing w:before="0" w:beforeAutospacing="0" w:after="120"/>
      <w:rPr>
        <w:rFonts w:eastAsiaTheme="minorHAnsi"/>
        <w:color w:val="auto"/>
        <w:szCs w:val="24"/>
        <w:lang w:eastAsia="en-US"/>
      </w:rPr>
    </w:pPr>
    <w:r w:rsidRPr="00DD61C1">
      <w:rPr>
        <w:rFonts w:ascii="Century Gothic" w:eastAsiaTheme="minorHAnsi" w:hAnsi="Century Gothic"/>
        <w:noProof/>
        <w:color w:val="auto"/>
        <w:sz w:val="18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C8ADC5F" wp14:editId="4F39ED61">
              <wp:simplePos x="0" y="0"/>
              <wp:positionH relativeFrom="margin">
                <wp:posOffset>-21265</wp:posOffset>
              </wp:positionH>
              <wp:positionV relativeFrom="paragraph">
                <wp:posOffset>130411</wp:posOffset>
              </wp:positionV>
              <wp:extent cx="5736708" cy="0"/>
              <wp:effectExtent l="0" t="0" r="35560" b="19050"/>
              <wp:wrapNone/>
              <wp:docPr id="72" name="Straight Connector 7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6708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2B99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2CAB97" id="Straight Connector 72" o:spid="_x0000_s1026" alt="&quot;&quot;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1.65pt,10.25pt" to="450.0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" strokecolor="#2b9947" strokeweight="1pt">
              <v:stroke joinstyle="miter"/>
              <w10:wrap anchorx="margin"/>
            </v:line>
          </w:pict>
        </mc:Fallback>
      </mc:AlternateContent>
    </w:r>
  </w:p>
  <w:p w14:paraId="5F2705AA" w14:textId="4C837FB9" w:rsidR="00A66027" w:rsidRPr="00DD61C1" w:rsidRDefault="00A66027" w:rsidP="00DD61C1">
    <w:pPr>
      <w:tabs>
        <w:tab w:val="right" w:pos="9026"/>
      </w:tabs>
      <w:spacing w:before="0" w:beforeAutospacing="0" w:after="0"/>
      <w:rPr>
        <w:rFonts w:ascii="Century Gothic" w:eastAsiaTheme="minorHAnsi" w:hAnsi="Century Gothic"/>
        <w:color w:val="auto"/>
        <w:sz w:val="18"/>
        <w:szCs w:val="24"/>
        <w:lang w:eastAsia="en-US"/>
      </w:rPr>
    </w:pPr>
    <w:r>
      <w:rPr>
        <w:rFonts w:ascii="Century Gothic" w:eastAsiaTheme="minorHAnsi" w:hAnsi="Century Gothic"/>
        <w:color w:val="auto"/>
        <w:sz w:val="18"/>
        <w:szCs w:val="24"/>
        <w:lang w:eastAsia="en-US"/>
      </w:rPr>
      <w:t>Western Australian public sector quarterly workforce report</w:t>
    </w:r>
    <w:r w:rsidRPr="00DD61C1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– </w:t>
    </w:r>
    <w:r w:rsidR="004611D7">
      <w:rPr>
        <w:rFonts w:ascii="Century Gothic" w:eastAsiaTheme="minorHAnsi" w:hAnsi="Century Gothic"/>
        <w:color w:val="auto"/>
        <w:sz w:val="18"/>
        <w:szCs w:val="24"/>
        <w:lang w:eastAsia="en-US"/>
      </w:rPr>
      <w:t>December</w:t>
    </w:r>
    <w:r w:rsidR="001118D7">
      <w:rPr>
        <w:rFonts w:ascii="Century Gothic" w:eastAsiaTheme="minorHAnsi" w:hAnsi="Century Gothic"/>
        <w:color w:val="auto"/>
        <w:sz w:val="18"/>
        <w:szCs w:val="24"/>
        <w:lang w:eastAsia="en-US"/>
      </w:rPr>
      <w:t xml:space="preserve"> 2023</w:t>
    </w:r>
    <w:sdt>
      <w:sdtPr>
        <w:rPr>
          <w:rFonts w:ascii="Century Gothic" w:eastAsiaTheme="minorHAnsi" w:hAnsi="Century Gothic" w:cs="Calibri Light"/>
          <w:color w:val="auto"/>
          <w:sz w:val="18"/>
          <w:szCs w:val="24"/>
          <w:lang w:eastAsia="en-US"/>
        </w:rPr>
        <w:id w:val="1279605289"/>
        <w:docPartObj>
          <w:docPartGallery w:val="Page Numbers (Bottom of Page)"/>
          <w:docPartUnique/>
        </w:docPartObj>
      </w:sdtPr>
      <w:sdtEndPr>
        <w:rPr>
          <w:rFonts w:cs="Arial"/>
          <w:noProof/>
        </w:rPr>
      </w:sdtEndPr>
      <w:sdtContent>
        <w:r w:rsidRPr="00DD61C1">
          <w:rPr>
            <w:rFonts w:ascii="Century Gothic" w:eastAsiaTheme="minorHAnsi" w:hAnsi="Century Gothic" w:cs="Calibri Light"/>
            <w:color w:val="auto"/>
            <w:sz w:val="18"/>
            <w:szCs w:val="24"/>
            <w:lang w:eastAsia="en-US"/>
          </w:rPr>
          <w:tab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begin"/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instrText xml:space="preserve"> PAGE   \* MERGEFORMAT </w:instrText>
        </w:r>
        <w:r w:rsidRPr="00DD61C1">
          <w:rPr>
            <w:rFonts w:ascii="Century Gothic" w:eastAsiaTheme="minorHAnsi" w:hAnsi="Century Gothic"/>
            <w:color w:val="auto"/>
            <w:sz w:val="18"/>
            <w:szCs w:val="24"/>
            <w:lang w:eastAsia="en-US"/>
          </w:rPr>
          <w:fldChar w:fldCharType="separate"/>
        </w:r>
        <w:r w:rsidR="00A646DB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t>8</w:t>
        </w:r>
        <w:r w:rsidRPr="00DD61C1">
          <w:rPr>
            <w:rFonts w:ascii="Century Gothic" w:eastAsiaTheme="minorHAnsi" w:hAnsi="Century Gothic"/>
            <w:noProof/>
            <w:color w:val="auto"/>
            <w:sz w:val="18"/>
            <w:szCs w:val="24"/>
            <w:lang w:eastAsia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30028" w14:textId="77777777" w:rsidR="00AC5CC3" w:rsidRDefault="00AC5CC3" w:rsidP="00607466">
      <w:r>
        <w:separator/>
      </w:r>
    </w:p>
  </w:footnote>
  <w:footnote w:type="continuationSeparator" w:id="0">
    <w:p w14:paraId="14A677C2" w14:textId="77777777" w:rsidR="00AC5CC3" w:rsidRDefault="00AC5CC3" w:rsidP="006074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79A9" w14:textId="28603EC0" w:rsidR="00A66027" w:rsidRDefault="00A66027" w:rsidP="0060746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F540C57" wp14:editId="7C548777">
          <wp:simplePos x="0" y="0"/>
          <wp:positionH relativeFrom="page">
            <wp:posOffset>15240</wp:posOffset>
          </wp:positionH>
          <wp:positionV relativeFrom="paragraph">
            <wp:posOffset>-457835</wp:posOffset>
          </wp:positionV>
          <wp:extent cx="7548785" cy="10026502"/>
          <wp:effectExtent l="0" t="0" r="0" b="0"/>
          <wp:wrapNone/>
          <wp:docPr id="9" name="Picture 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97"/>
                  <a:stretch/>
                </pic:blipFill>
                <pic:spPr bwMode="auto">
                  <a:xfrm>
                    <a:off x="0" y="0"/>
                    <a:ext cx="7548785" cy="1002650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572AA"/>
    <w:multiLevelType w:val="hybridMultilevel"/>
    <w:tmpl w:val="146E4656"/>
    <w:lvl w:ilvl="0" w:tplc="B290C11E">
      <w:numFmt w:val="bullet"/>
      <w:lvlText w:val="•"/>
      <w:lvlJc w:val="left"/>
      <w:pPr>
        <w:ind w:left="72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CC2ED9"/>
    <w:multiLevelType w:val="hybridMultilevel"/>
    <w:tmpl w:val="04385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73B37"/>
    <w:multiLevelType w:val="hybridMultilevel"/>
    <w:tmpl w:val="E78CA0B2"/>
    <w:lvl w:ilvl="0" w:tplc="53CE59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6CB6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42D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6A0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2A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F4E89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44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8A67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1010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4341C27"/>
    <w:multiLevelType w:val="hybridMultilevel"/>
    <w:tmpl w:val="505AD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1089A"/>
    <w:multiLevelType w:val="hybridMultilevel"/>
    <w:tmpl w:val="6A6A0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630F0"/>
    <w:multiLevelType w:val="hybridMultilevel"/>
    <w:tmpl w:val="1286E0B4"/>
    <w:lvl w:ilvl="0" w:tplc="0C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6" w15:restartNumberingAfterBreak="0">
    <w:nsid w:val="32412EF9"/>
    <w:multiLevelType w:val="hybridMultilevel"/>
    <w:tmpl w:val="7E76029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328A0B79"/>
    <w:multiLevelType w:val="hybridMultilevel"/>
    <w:tmpl w:val="AC6413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704B11"/>
    <w:multiLevelType w:val="hybridMultilevel"/>
    <w:tmpl w:val="E4ECF662"/>
    <w:lvl w:ilvl="0" w:tplc="BD5CEB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604FB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594D9F"/>
    <w:multiLevelType w:val="hybridMultilevel"/>
    <w:tmpl w:val="45622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2531F"/>
    <w:multiLevelType w:val="hybridMultilevel"/>
    <w:tmpl w:val="43F465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3042C"/>
    <w:multiLevelType w:val="hybridMultilevel"/>
    <w:tmpl w:val="7C485D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A0DCE"/>
    <w:multiLevelType w:val="hybridMultilevel"/>
    <w:tmpl w:val="8D5A25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95A15"/>
    <w:multiLevelType w:val="hybridMultilevel"/>
    <w:tmpl w:val="23885A46"/>
    <w:lvl w:ilvl="0" w:tplc="0C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0D77354"/>
    <w:multiLevelType w:val="hybridMultilevel"/>
    <w:tmpl w:val="56464C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578A2"/>
    <w:multiLevelType w:val="hybridMultilevel"/>
    <w:tmpl w:val="62B8B4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F6CFA"/>
    <w:multiLevelType w:val="hybridMultilevel"/>
    <w:tmpl w:val="F3FE0ADA"/>
    <w:lvl w:ilvl="0" w:tplc="83B09AEC">
      <w:start w:val="1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F0BBA"/>
    <w:multiLevelType w:val="hybridMultilevel"/>
    <w:tmpl w:val="FCB41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F7308"/>
    <w:multiLevelType w:val="multilevel"/>
    <w:tmpl w:val="9606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5C26974"/>
    <w:multiLevelType w:val="hybridMultilevel"/>
    <w:tmpl w:val="96385C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604285"/>
    <w:multiLevelType w:val="hybridMultilevel"/>
    <w:tmpl w:val="31D88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7274627">
    <w:abstractNumId w:val="18"/>
  </w:num>
  <w:num w:numId="2" w16cid:durableId="205455841">
    <w:abstractNumId w:val="16"/>
  </w:num>
  <w:num w:numId="3" w16cid:durableId="1640527047">
    <w:abstractNumId w:val="6"/>
  </w:num>
  <w:num w:numId="4" w16cid:durableId="1932084160">
    <w:abstractNumId w:val="8"/>
  </w:num>
  <w:num w:numId="5" w16cid:durableId="708188947">
    <w:abstractNumId w:val="11"/>
  </w:num>
  <w:num w:numId="6" w16cid:durableId="1121999163">
    <w:abstractNumId w:val="1"/>
  </w:num>
  <w:num w:numId="7" w16cid:durableId="1009335998">
    <w:abstractNumId w:val="7"/>
  </w:num>
  <w:num w:numId="8" w16cid:durableId="1811751700">
    <w:abstractNumId w:val="12"/>
  </w:num>
  <w:num w:numId="9" w16cid:durableId="1329409340">
    <w:abstractNumId w:val="0"/>
  </w:num>
  <w:num w:numId="10" w16cid:durableId="711004170">
    <w:abstractNumId w:val="19"/>
  </w:num>
  <w:num w:numId="11" w16cid:durableId="1475757976">
    <w:abstractNumId w:val="2"/>
  </w:num>
  <w:num w:numId="12" w16cid:durableId="1256593069">
    <w:abstractNumId w:val="13"/>
  </w:num>
  <w:num w:numId="13" w16cid:durableId="189683929">
    <w:abstractNumId w:val="9"/>
  </w:num>
  <w:num w:numId="14" w16cid:durableId="551119858">
    <w:abstractNumId w:val="3"/>
  </w:num>
  <w:num w:numId="15" w16cid:durableId="1289169612">
    <w:abstractNumId w:val="4"/>
  </w:num>
  <w:num w:numId="16" w16cid:durableId="269357990">
    <w:abstractNumId w:val="15"/>
  </w:num>
  <w:num w:numId="17" w16cid:durableId="921523630">
    <w:abstractNumId w:val="5"/>
  </w:num>
  <w:num w:numId="18" w16cid:durableId="641153176">
    <w:abstractNumId w:val="10"/>
  </w:num>
  <w:num w:numId="19" w16cid:durableId="238517261">
    <w:abstractNumId w:val="14"/>
  </w:num>
  <w:num w:numId="20" w16cid:durableId="1884827410">
    <w:abstractNumId w:val="20"/>
  </w:num>
  <w:num w:numId="21" w16cid:durableId="133198527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0D9"/>
    <w:rsid w:val="000002FD"/>
    <w:rsid w:val="000039AA"/>
    <w:rsid w:val="0001245B"/>
    <w:rsid w:val="000158AF"/>
    <w:rsid w:val="000163A9"/>
    <w:rsid w:val="00017D66"/>
    <w:rsid w:val="000207C1"/>
    <w:rsid w:val="00022074"/>
    <w:rsid w:val="00024274"/>
    <w:rsid w:val="000271B3"/>
    <w:rsid w:val="00027334"/>
    <w:rsid w:val="0003049E"/>
    <w:rsid w:val="00030603"/>
    <w:rsid w:val="00034091"/>
    <w:rsid w:val="00034220"/>
    <w:rsid w:val="00035D91"/>
    <w:rsid w:val="00036DCA"/>
    <w:rsid w:val="00052DB4"/>
    <w:rsid w:val="00054BB4"/>
    <w:rsid w:val="00056D16"/>
    <w:rsid w:val="000610C7"/>
    <w:rsid w:val="000633EC"/>
    <w:rsid w:val="00066AAA"/>
    <w:rsid w:val="000670C1"/>
    <w:rsid w:val="00070C4C"/>
    <w:rsid w:val="00071A0B"/>
    <w:rsid w:val="00073448"/>
    <w:rsid w:val="00073FAA"/>
    <w:rsid w:val="00087D31"/>
    <w:rsid w:val="000903CB"/>
    <w:rsid w:val="00090CE8"/>
    <w:rsid w:val="000922E4"/>
    <w:rsid w:val="00093DCC"/>
    <w:rsid w:val="00096972"/>
    <w:rsid w:val="000A3161"/>
    <w:rsid w:val="000A6CFF"/>
    <w:rsid w:val="000B1091"/>
    <w:rsid w:val="000B5B90"/>
    <w:rsid w:val="000B67A1"/>
    <w:rsid w:val="000C4D29"/>
    <w:rsid w:val="000C7180"/>
    <w:rsid w:val="000D0B9E"/>
    <w:rsid w:val="000D1422"/>
    <w:rsid w:val="000D297F"/>
    <w:rsid w:val="000D3754"/>
    <w:rsid w:val="000D7AD8"/>
    <w:rsid w:val="000E1883"/>
    <w:rsid w:val="000E1D23"/>
    <w:rsid w:val="000F6B00"/>
    <w:rsid w:val="00103AF5"/>
    <w:rsid w:val="001118D7"/>
    <w:rsid w:val="00112F25"/>
    <w:rsid w:val="00114B34"/>
    <w:rsid w:val="00115034"/>
    <w:rsid w:val="001164A8"/>
    <w:rsid w:val="00124A29"/>
    <w:rsid w:val="001272D1"/>
    <w:rsid w:val="0013168B"/>
    <w:rsid w:val="00137BAC"/>
    <w:rsid w:val="001420AB"/>
    <w:rsid w:val="00142732"/>
    <w:rsid w:val="00144419"/>
    <w:rsid w:val="001533F4"/>
    <w:rsid w:val="00155969"/>
    <w:rsid w:val="00155B99"/>
    <w:rsid w:val="00156AF1"/>
    <w:rsid w:val="0016001B"/>
    <w:rsid w:val="00160270"/>
    <w:rsid w:val="00161957"/>
    <w:rsid w:val="0016263F"/>
    <w:rsid w:val="00163AC1"/>
    <w:rsid w:val="001648F9"/>
    <w:rsid w:val="00165927"/>
    <w:rsid w:val="00166066"/>
    <w:rsid w:val="00166F9C"/>
    <w:rsid w:val="00167A36"/>
    <w:rsid w:val="00173063"/>
    <w:rsid w:val="00173395"/>
    <w:rsid w:val="00174840"/>
    <w:rsid w:val="00176402"/>
    <w:rsid w:val="001772B6"/>
    <w:rsid w:val="0017783C"/>
    <w:rsid w:val="001819FB"/>
    <w:rsid w:val="00184365"/>
    <w:rsid w:val="001943ED"/>
    <w:rsid w:val="0019442D"/>
    <w:rsid w:val="00194E7C"/>
    <w:rsid w:val="00194F4C"/>
    <w:rsid w:val="001966C0"/>
    <w:rsid w:val="001B1B01"/>
    <w:rsid w:val="001B3D81"/>
    <w:rsid w:val="001B563A"/>
    <w:rsid w:val="001C2218"/>
    <w:rsid w:val="001C2AD2"/>
    <w:rsid w:val="001C5084"/>
    <w:rsid w:val="001C7E5E"/>
    <w:rsid w:val="001D0F7C"/>
    <w:rsid w:val="001D1367"/>
    <w:rsid w:val="001D1C75"/>
    <w:rsid w:val="001D1D5D"/>
    <w:rsid w:val="001D21F5"/>
    <w:rsid w:val="001D35F8"/>
    <w:rsid w:val="001D5DEC"/>
    <w:rsid w:val="001E2493"/>
    <w:rsid w:val="001E2937"/>
    <w:rsid w:val="001E6B9B"/>
    <w:rsid w:val="001F332C"/>
    <w:rsid w:val="001F3558"/>
    <w:rsid w:val="001F4612"/>
    <w:rsid w:val="001F5036"/>
    <w:rsid w:val="001F6946"/>
    <w:rsid w:val="00201696"/>
    <w:rsid w:val="00205D96"/>
    <w:rsid w:val="002128FB"/>
    <w:rsid w:val="00220804"/>
    <w:rsid w:val="0022190A"/>
    <w:rsid w:val="00225510"/>
    <w:rsid w:val="00227A2A"/>
    <w:rsid w:val="00235732"/>
    <w:rsid w:val="00235D77"/>
    <w:rsid w:val="00237216"/>
    <w:rsid w:val="002407DF"/>
    <w:rsid w:val="00243430"/>
    <w:rsid w:val="002443EF"/>
    <w:rsid w:val="0024476A"/>
    <w:rsid w:val="0024479E"/>
    <w:rsid w:val="0024639B"/>
    <w:rsid w:val="002470F4"/>
    <w:rsid w:val="002500BA"/>
    <w:rsid w:val="002506AA"/>
    <w:rsid w:val="0025175B"/>
    <w:rsid w:val="00254FD5"/>
    <w:rsid w:val="002561B4"/>
    <w:rsid w:val="00261B99"/>
    <w:rsid w:val="00262956"/>
    <w:rsid w:val="00262E0A"/>
    <w:rsid w:val="002660F9"/>
    <w:rsid w:val="00266709"/>
    <w:rsid w:val="002677BA"/>
    <w:rsid w:val="00272492"/>
    <w:rsid w:val="00272816"/>
    <w:rsid w:val="00273A8D"/>
    <w:rsid w:val="002741E8"/>
    <w:rsid w:val="0027558C"/>
    <w:rsid w:val="00276D58"/>
    <w:rsid w:val="00277CE4"/>
    <w:rsid w:val="00281C7E"/>
    <w:rsid w:val="00284476"/>
    <w:rsid w:val="002861A8"/>
    <w:rsid w:val="0029182E"/>
    <w:rsid w:val="002952BA"/>
    <w:rsid w:val="00297FF6"/>
    <w:rsid w:val="002B7D30"/>
    <w:rsid w:val="002C300F"/>
    <w:rsid w:val="002C4629"/>
    <w:rsid w:val="002D2312"/>
    <w:rsid w:val="002D4961"/>
    <w:rsid w:val="002E25E1"/>
    <w:rsid w:val="002E40BB"/>
    <w:rsid w:val="002F3AD7"/>
    <w:rsid w:val="00300820"/>
    <w:rsid w:val="00301393"/>
    <w:rsid w:val="00301C13"/>
    <w:rsid w:val="00303049"/>
    <w:rsid w:val="00303693"/>
    <w:rsid w:val="00307CD4"/>
    <w:rsid w:val="0031286C"/>
    <w:rsid w:val="003157D6"/>
    <w:rsid w:val="003167AF"/>
    <w:rsid w:val="00323411"/>
    <w:rsid w:val="003239DA"/>
    <w:rsid w:val="00324BC8"/>
    <w:rsid w:val="00327D17"/>
    <w:rsid w:val="00333619"/>
    <w:rsid w:val="003336F7"/>
    <w:rsid w:val="003401E6"/>
    <w:rsid w:val="003444F2"/>
    <w:rsid w:val="00344738"/>
    <w:rsid w:val="0034676E"/>
    <w:rsid w:val="00350690"/>
    <w:rsid w:val="00353B63"/>
    <w:rsid w:val="0035762C"/>
    <w:rsid w:val="00360B0E"/>
    <w:rsid w:val="00361907"/>
    <w:rsid w:val="00362E86"/>
    <w:rsid w:val="00366958"/>
    <w:rsid w:val="00366ECE"/>
    <w:rsid w:val="00370A08"/>
    <w:rsid w:val="00370A3C"/>
    <w:rsid w:val="00372658"/>
    <w:rsid w:val="00373FD9"/>
    <w:rsid w:val="0037417C"/>
    <w:rsid w:val="00380750"/>
    <w:rsid w:val="003810A7"/>
    <w:rsid w:val="00383E02"/>
    <w:rsid w:val="00390E39"/>
    <w:rsid w:val="00391A65"/>
    <w:rsid w:val="003934B4"/>
    <w:rsid w:val="00396099"/>
    <w:rsid w:val="003A32F5"/>
    <w:rsid w:val="003A6A05"/>
    <w:rsid w:val="003B5090"/>
    <w:rsid w:val="003B67F9"/>
    <w:rsid w:val="003B7136"/>
    <w:rsid w:val="003B73FF"/>
    <w:rsid w:val="003B74DA"/>
    <w:rsid w:val="003D4484"/>
    <w:rsid w:val="003D4C38"/>
    <w:rsid w:val="003D7A87"/>
    <w:rsid w:val="003E1971"/>
    <w:rsid w:val="003E1A9C"/>
    <w:rsid w:val="003E40AB"/>
    <w:rsid w:val="003E5358"/>
    <w:rsid w:val="003E6D70"/>
    <w:rsid w:val="003F0A06"/>
    <w:rsid w:val="003F109B"/>
    <w:rsid w:val="003F1D50"/>
    <w:rsid w:val="003F31B7"/>
    <w:rsid w:val="003F3BE7"/>
    <w:rsid w:val="003F5010"/>
    <w:rsid w:val="003F5682"/>
    <w:rsid w:val="00402C29"/>
    <w:rsid w:val="00403A6B"/>
    <w:rsid w:val="00405CAE"/>
    <w:rsid w:val="00406171"/>
    <w:rsid w:val="00406B35"/>
    <w:rsid w:val="0040733D"/>
    <w:rsid w:val="0040739E"/>
    <w:rsid w:val="0040746E"/>
    <w:rsid w:val="00415527"/>
    <w:rsid w:val="0041564A"/>
    <w:rsid w:val="00417961"/>
    <w:rsid w:val="00417AF6"/>
    <w:rsid w:val="00423313"/>
    <w:rsid w:val="00425F5A"/>
    <w:rsid w:val="004309BB"/>
    <w:rsid w:val="004338CC"/>
    <w:rsid w:val="004375DD"/>
    <w:rsid w:val="0044026E"/>
    <w:rsid w:val="0044046D"/>
    <w:rsid w:val="00442770"/>
    <w:rsid w:val="00443D3E"/>
    <w:rsid w:val="004449CA"/>
    <w:rsid w:val="00446A3F"/>
    <w:rsid w:val="00451D50"/>
    <w:rsid w:val="004522BF"/>
    <w:rsid w:val="00455B8B"/>
    <w:rsid w:val="004560E9"/>
    <w:rsid w:val="004611D7"/>
    <w:rsid w:val="004619AD"/>
    <w:rsid w:val="0046768C"/>
    <w:rsid w:val="00470068"/>
    <w:rsid w:val="004704B6"/>
    <w:rsid w:val="00475B2E"/>
    <w:rsid w:val="00480722"/>
    <w:rsid w:val="00484458"/>
    <w:rsid w:val="00491065"/>
    <w:rsid w:val="004939BE"/>
    <w:rsid w:val="00495618"/>
    <w:rsid w:val="004970D8"/>
    <w:rsid w:val="0049790C"/>
    <w:rsid w:val="004A3184"/>
    <w:rsid w:val="004B0540"/>
    <w:rsid w:val="004B1A28"/>
    <w:rsid w:val="004B4E73"/>
    <w:rsid w:val="004B5374"/>
    <w:rsid w:val="004B5A06"/>
    <w:rsid w:val="004C1114"/>
    <w:rsid w:val="004C7EDF"/>
    <w:rsid w:val="004D0D70"/>
    <w:rsid w:val="004D0F80"/>
    <w:rsid w:val="004D1F4A"/>
    <w:rsid w:val="004D2D10"/>
    <w:rsid w:val="004D67BF"/>
    <w:rsid w:val="004E0D93"/>
    <w:rsid w:val="004E0EE5"/>
    <w:rsid w:val="004E52A9"/>
    <w:rsid w:val="00500F12"/>
    <w:rsid w:val="00503F85"/>
    <w:rsid w:val="00504075"/>
    <w:rsid w:val="00504646"/>
    <w:rsid w:val="0050478D"/>
    <w:rsid w:val="00510811"/>
    <w:rsid w:val="005111CC"/>
    <w:rsid w:val="0051632C"/>
    <w:rsid w:val="005164C9"/>
    <w:rsid w:val="00517FE7"/>
    <w:rsid w:val="005211EB"/>
    <w:rsid w:val="00523436"/>
    <w:rsid w:val="00526D6D"/>
    <w:rsid w:val="00537716"/>
    <w:rsid w:val="00540BCC"/>
    <w:rsid w:val="005430B9"/>
    <w:rsid w:val="00557AF6"/>
    <w:rsid w:val="00557EEB"/>
    <w:rsid w:val="00562226"/>
    <w:rsid w:val="005660CE"/>
    <w:rsid w:val="0056675A"/>
    <w:rsid w:val="00566F6A"/>
    <w:rsid w:val="00572E33"/>
    <w:rsid w:val="00576493"/>
    <w:rsid w:val="00576C5C"/>
    <w:rsid w:val="0058055E"/>
    <w:rsid w:val="0058211D"/>
    <w:rsid w:val="00583006"/>
    <w:rsid w:val="00590449"/>
    <w:rsid w:val="005939B5"/>
    <w:rsid w:val="00593DB6"/>
    <w:rsid w:val="0059550D"/>
    <w:rsid w:val="005A0512"/>
    <w:rsid w:val="005A2B23"/>
    <w:rsid w:val="005A6E16"/>
    <w:rsid w:val="005B22C8"/>
    <w:rsid w:val="005B7B66"/>
    <w:rsid w:val="005C054C"/>
    <w:rsid w:val="005C4AC3"/>
    <w:rsid w:val="005C5C7B"/>
    <w:rsid w:val="005C79A8"/>
    <w:rsid w:val="005D4604"/>
    <w:rsid w:val="005D7B2A"/>
    <w:rsid w:val="005E0E6E"/>
    <w:rsid w:val="005E2237"/>
    <w:rsid w:val="005E235C"/>
    <w:rsid w:val="005E38F4"/>
    <w:rsid w:val="005E5722"/>
    <w:rsid w:val="005E68B2"/>
    <w:rsid w:val="005E7A49"/>
    <w:rsid w:val="005F66C6"/>
    <w:rsid w:val="006021C4"/>
    <w:rsid w:val="0060329E"/>
    <w:rsid w:val="00603666"/>
    <w:rsid w:val="0060392D"/>
    <w:rsid w:val="006062AB"/>
    <w:rsid w:val="0060725F"/>
    <w:rsid w:val="00607466"/>
    <w:rsid w:val="006122AC"/>
    <w:rsid w:val="00613088"/>
    <w:rsid w:val="00622D0C"/>
    <w:rsid w:val="00623A1B"/>
    <w:rsid w:val="006258A2"/>
    <w:rsid w:val="006369EB"/>
    <w:rsid w:val="00637B41"/>
    <w:rsid w:val="00641AA0"/>
    <w:rsid w:val="006472D5"/>
    <w:rsid w:val="00647C0A"/>
    <w:rsid w:val="006542A7"/>
    <w:rsid w:val="0065446D"/>
    <w:rsid w:val="0066429F"/>
    <w:rsid w:val="00664DAC"/>
    <w:rsid w:val="00665B90"/>
    <w:rsid w:val="00677EE7"/>
    <w:rsid w:val="0068110F"/>
    <w:rsid w:val="0068227C"/>
    <w:rsid w:val="00684AFE"/>
    <w:rsid w:val="006908B0"/>
    <w:rsid w:val="006926A7"/>
    <w:rsid w:val="006961F2"/>
    <w:rsid w:val="006A2B08"/>
    <w:rsid w:val="006A5FF7"/>
    <w:rsid w:val="006B0093"/>
    <w:rsid w:val="006B2D39"/>
    <w:rsid w:val="006B3054"/>
    <w:rsid w:val="006C2116"/>
    <w:rsid w:val="006C5CBE"/>
    <w:rsid w:val="006D3B95"/>
    <w:rsid w:val="006D4389"/>
    <w:rsid w:val="006D445E"/>
    <w:rsid w:val="006D595F"/>
    <w:rsid w:val="006D614E"/>
    <w:rsid w:val="006E4698"/>
    <w:rsid w:val="006E6D06"/>
    <w:rsid w:val="006F0A81"/>
    <w:rsid w:val="006F3EC6"/>
    <w:rsid w:val="00700974"/>
    <w:rsid w:val="0070136C"/>
    <w:rsid w:val="0070439F"/>
    <w:rsid w:val="0070619F"/>
    <w:rsid w:val="007070EE"/>
    <w:rsid w:val="00724A8B"/>
    <w:rsid w:val="00726F26"/>
    <w:rsid w:val="0072796E"/>
    <w:rsid w:val="00727EE6"/>
    <w:rsid w:val="00733085"/>
    <w:rsid w:val="007376EF"/>
    <w:rsid w:val="0074648E"/>
    <w:rsid w:val="007472F0"/>
    <w:rsid w:val="0074786D"/>
    <w:rsid w:val="00747D8A"/>
    <w:rsid w:val="00752048"/>
    <w:rsid w:val="0075296C"/>
    <w:rsid w:val="00757BD6"/>
    <w:rsid w:val="007628A9"/>
    <w:rsid w:val="00763D60"/>
    <w:rsid w:val="00764B0B"/>
    <w:rsid w:val="00772517"/>
    <w:rsid w:val="00775186"/>
    <w:rsid w:val="007817B0"/>
    <w:rsid w:val="00782C87"/>
    <w:rsid w:val="007830C5"/>
    <w:rsid w:val="00785C66"/>
    <w:rsid w:val="00785CF3"/>
    <w:rsid w:val="007922A5"/>
    <w:rsid w:val="00792A3A"/>
    <w:rsid w:val="007947EA"/>
    <w:rsid w:val="0079537F"/>
    <w:rsid w:val="00796580"/>
    <w:rsid w:val="007A6956"/>
    <w:rsid w:val="007B3317"/>
    <w:rsid w:val="007B372C"/>
    <w:rsid w:val="007B4FC7"/>
    <w:rsid w:val="007C05E6"/>
    <w:rsid w:val="007C147E"/>
    <w:rsid w:val="007C5210"/>
    <w:rsid w:val="007D15D8"/>
    <w:rsid w:val="007D31EE"/>
    <w:rsid w:val="007D4DB2"/>
    <w:rsid w:val="007D74F4"/>
    <w:rsid w:val="007E0645"/>
    <w:rsid w:val="007E2B6C"/>
    <w:rsid w:val="007E5220"/>
    <w:rsid w:val="007E6A33"/>
    <w:rsid w:val="007F2DA5"/>
    <w:rsid w:val="007F4DB2"/>
    <w:rsid w:val="007F6B9B"/>
    <w:rsid w:val="008035E6"/>
    <w:rsid w:val="00803B35"/>
    <w:rsid w:val="00807AB4"/>
    <w:rsid w:val="00807C0C"/>
    <w:rsid w:val="008147D5"/>
    <w:rsid w:val="00814D13"/>
    <w:rsid w:val="00820973"/>
    <w:rsid w:val="00822699"/>
    <w:rsid w:val="0082329E"/>
    <w:rsid w:val="00826F9F"/>
    <w:rsid w:val="00835C76"/>
    <w:rsid w:val="008374F7"/>
    <w:rsid w:val="00841678"/>
    <w:rsid w:val="008451CE"/>
    <w:rsid w:val="00852838"/>
    <w:rsid w:val="00855F16"/>
    <w:rsid w:val="00864BC2"/>
    <w:rsid w:val="008750E6"/>
    <w:rsid w:val="00880F9C"/>
    <w:rsid w:val="0088303B"/>
    <w:rsid w:val="00884B91"/>
    <w:rsid w:val="00893864"/>
    <w:rsid w:val="008A3CCD"/>
    <w:rsid w:val="008A73CD"/>
    <w:rsid w:val="008B0478"/>
    <w:rsid w:val="008B0C87"/>
    <w:rsid w:val="008B2549"/>
    <w:rsid w:val="008B61E4"/>
    <w:rsid w:val="008B64B5"/>
    <w:rsid w:val="008C345A"/>
    <w:rsid w:val="008E1087"/>
    <w:rsid w:val="008E2E47"/>
    <w:rsid w:val="008E60DB"/>
    <w:rsid w:val="008E6FDA"/>
    <w:rsid w:val="008E78FE"/>
    <w:rsid w:val="008F0DDE"/>
    <w:rsid w:val="008F67C0"/>
    <w:rsid w:val="008F7AA5"/>
    <w:rsid w:val="0090220D"/>
    <w:rsid w:val="00903FC6"/>
    <w:rsid w:val="00904528"/>
    <w:rsid w:val="00904564"/>
    <w:rsid w:val="00905088"/>
    <w:rsid w:val="00906918"/>
    <w:rsid w:val="00917C55"/>
    <w:rsid w:val="00921487"/>
    <w:rsid w:val="009228C1"/>
    <w:rsid w:val="00925062"/>
    <w:rsid w:val="0092508A"/>
    <w:rsid w:val="00926AAB"/>
    <w:rsid w:val="00931992"/>
    <w:rsid w:val="009348F3"/>
    <w:rsid w:val="00935C3E"/>
    <w:rsid w:val="009365AA"/>
    <w:rsid w:val="00943959"/>
    <w:rsid w:val="009453B8"/>
    <w:rsid w:val="009464A3"/>
    <w:rsid w:val="00952CFF"/>
    <w:rsid w:val="00955AD6"/>
    <w:rsid w:val="00956B01"/>
    <w:rsid w:val="0096722E"/>
    <w:rsid w:val="00967C58"/>
    <w:rsid w:val="00972AB7"/>
    <w:rsid w:val="00974DEC"/>
    <w:rsid w:val="00976459"/>
    <w:rsid w:val="00981050"/>
    <w:rsid w:val="009839E8"/>
    <w:rsid w:val="00983E85"/>
    <w:rsid w:val="00984657"/>
    <w:rsid w:val="009871F6"/>
    <w:rsid w:val="00987BF2"/>
    <w:rsid w:val="00992D51"/>
    <w:rsid w:val="00994760"/>
    <w:rsid w:val="0099607C"/>
    <w:rsid w:val="00997333"/>
    <w:rsid w:val="009A2073"/>
    <w:rsid w:val="009A60E3"/>
    <w:rsid w:val="009B3DAD"/>
    <w:rsid w:val="009B62B3"/>
    <w:rsid w:val="009B75CD"/>
    <w:rsid w:val="009C012D"/>
    <w:rsid w:val="009C0E44"/>
    <w:rsid w:val="009C28B3"/>
    <w:rsid w:val="009D1E82"/>
    <w:rsid w:val="009D43F4"/>
    <w:rsid w:val="009D4B14"/>
    <w:rsid w:val="009D4F20"/>
    <w:rsid w:val="009D5A65"/>
    <w:rsid w:val="009D7A62"/>
    <w:rsid w:val="009F2188"/>
    <w:rsid w:val="009F4EF3"/>
    <w:rsid w:val="009F516F"/>
    <w:rsid w:val="009F5326"/>
    <w:rsid w:val="009F7BC7"/>
    <w:rsid w:val="00A02813"/>
    <w:rsid w:val="00A03D1D"/>
    <w:rsid w:val="00A04729"/>
    <w:rsid w:val="00A112D3"/>
    <w:rsid w:val="00A112DD"/>
    <w:rsid w:val="00A14B65"/>
    <w:rsid w:val="00A14F67"/>
    <w:rsid w:val="00A21ABE"/>
    <w:rsid w:val="00A257CB"/>
    <w:rsid w:val="00A25DC0"/>
    <w:rsid w:val="00A26E99"/>
    <w:rsid w:val="00A33D96"/>
    <w:rsid w:val="00A34253"/>
    <w:rsid w:val="00A35F89"/>
    <w:rsid w:val="00A40195"/>
    <w:rsid w:val="00A41CC5"/>
    <w:rsid w:val="00A4444D"/>
    <w:rsid w:val="00A4541A"/>
    <w:rsid w:val="00A467BB"/>
    <w:rsid w:val="00A5247E"/>
    <w:rsid w:val="00A52697"/>
    <w:rsid w:val="00A60109"/>
    <w:rsid w:val="00A60D4F"/>
    <w:rsid w:val="00A60D76"/>
    <w:rsid w:val="00A60E5F"/>
    <w:rsid w:val="00A61904"/>
    <w:rsid w:val="00A64506"/>
    <w:rsid w:val="00A646DB"/>
    <w:rsid w:val="00A66027"/>
    <w:rsid w:val="00A67125"/>
    <w:rsid w:val="00A70646"/>
    <w:rsid w:val="00A72C02"/>
    <w:rsid w:val="00A73995"/>
    <w:rsid w:val="00A7781C"/>
    <w:rsid w:val="00A81B43"/>
    <w:rsid w:val="00A87B49"/>
    <w:rsid w:val="00A9236C"/>
    <w:rsid w:val="00A966F1"/>
    <w:rsid w:val="00A969C2"/>
    <w:rsid w:val="00A97B50"/>
    <w:rsid w:val="00AA0B53"/>
    <w:rsid w:val="00AA1998"/>
    <w:rsid w:val="00AA5212"/>
    <w:rsid w:val="00AB1F70"/>
    <w:rsid w:val="00AB64E8"/>
    <w:rsid w:val="00AC4B44"/>
    <w:rsid w:val="00AC5CC3"/>
    <w:rsid w:val="00AD5243"/>
    <w:rsid w:val="00AD57A5"/>
    <w:rsid w:val="00AD7474"/>
    <w:rsid w:val="00AE23DF"/>
    <w:rsid w:val="00AE35DD"/>
    <w:rsid w:val="00AE5150"/>
    <w:rsid w:val="00AE52D2"/>
    <w:rsid w:val="00AF27DE"/>
    <w:rsid w:val="00AF4110"/>
    <w:rsid w:val="00AF6C37"/>
    <w:rsid w:val="00AF7A0D"/>
    <w:rsid w:val="00AF7ABC"/>
    <w:rsid w:val="00B043C4"/>
    <w:rsid w:val="00B05E23"/>
    <w:rsid w:val="00B06FAD"/>
    <w:rsid w:val="00B07157"/>
    <w:rsid w:val="00B12D35"/>
    <w:rsid w:val="00B22A8E"/>
    <w:rsid w:val="00B271FA"/>
    <w:rsid w:val="00B302DE"/>
    <w:rsid w:val="00B316D7"/>
    <w:rsid w:val="00B456EB"/>
    <w:rsid w:val="00B4588C"/>
    <w:rsid w:val="00B547E5"/>
    <w:rsid w:val="00B54C21"/>
    <w:rsid w:val="00B563B1"/>
    <w:rsid w:val="00B57116"/>
    <w:rsid w:val="00B62A5F"/>
    <w:rsid w:val="00B62D66"/>
    <w:rsid w:val="00B728CC"/>
    <w:rsid w:val="00B72D78"/>
    <w:rsid w:val="00B73D1B"/>
    <w:rsid w:val="00B7476C"/>
    <w:rsid w:val="00B75F29"/>
    <w:rsid w:val="00B76B6F"/>
    <w:rsid w:val="00B76FBB"/>
    <w:rsid w:val="00B800D1"/>
    <w:rsid w:val="00B83360"/>
    <w:rsid w:val="00B91CED"/>
    <w:rsid w:val="00B92A2D"/>
    <w:rsid w:val="00B93932"/>
    <w:rsid w:val="00B945A7"/>
    <w:rsid w:val="00B97653"/>
    <w:rsid w:val="00BA12D6"/>
    <w:rsid w:val="00BA26FE"/>
    <w:rsid w:val="00BA5DD5"/>
    <w:rsid w:val="00BB1612"/>
    <w:rsid w:val="00BB3594"/>
    <w:rsid w:val="00BB499B"/>
    <w:rsid w:val="00BB74E6"/>
    <w:rsid w:val="00BC2116"/>
    <w:rsid w:val="00BC6761"/>
    <w:rsid w:val="00BC6983"/>
    <w:rsid w:val="00BD092D"/>
    <w:rsid w:val="00BD2AF5"/>
    <w:rsid w:val="00BD55E1"/>
    <w:rsid w:val="00BD7270"/>
    <w:rsid w:val="00BE086E"/>
    <w:rsid w:val="00BE1E48"/>
    <w:rsid w:val="00BE223B"/>
    <w:rsid w:val="00BF3D4D"/>
    <w:rsid w:val="00BF3EA4"/>
    <w:rsid w:val="00BF4A87"/>
    <w:rsid w:val="00BF5262"/>
    <w:rsid w:val="00BF7A90"/>
    <w:rsid w:val="00C050EB"/>
    <w:rsid w:val="00C05B59"/>
    <w:rsid w:val="00C07157"/>
    <w:rsid w:val="00C1324D"/>
    <w:rsid w:val="00C13BC1"/>
    <w:rsid w:val="00C14672"/>
    <w:rsid w:val="00C338E1"/>
    <w:rsid w:val="00C36EDA"/>
    <w:rsid w:val="00C37C7D"/>
    <w:rsid w:val="00C40167"/>
    <w:rsid w:val="00C4027C"/>
    <w:rsid w:val="00C4073F"/>
    <w:rsid w:val="00C45397"/>
    <w:rsid w:val="00C45D44"/>
    <w:rsid w:val="00C51C2E"/>
    <w:rsid w:val="00C53454"/>
    <w:rsid w:val="00C540DA"/>
    <w:rsid w:val="00C57D7C"/>
    <w:rsid w:val="00C63010"/>
    <w:rsid w:val="00C65D11"/>
    <w:rsid w:val="00C66375"/>
    <w:rsid w:val="00C728FE"/>
    <w:rsid w:val="00C736B0"/>
    <w:rsid w:val="00C76123"/>
    <w:rsid w:val="00C81E22"/>
    <w:rsid w:val="00C8204B"/>
    <w:rsid w:val="00C85BC2"/>
    <w:rsid w:val="00C901AA"/>
    <w:rsid w:val="00C910D3"/>
    <w:rsid w:val="00C928CA"/>
    <w:rsid w:val="00C96AD0"/>
    <w:rsid w:val="00C96C7E"/>
    <w:rsid w:val="00CA1856"/>
    <w:rsid w:val="00CA1B50"/>
    <w:rsid w:val="00CA4321"/>
    <w:rsid w:val="00CA540F"/>
    <w:rsid w:val="00CA5A81"/>
    <w:rsid w:val="00CA7882"/>
    <w:rsid w:val="00CB15A1"/>
    <w:rsid w:val="00CB36F5"/>
    <w:rsid w:val="00CC22E0"/>
    <w:rsid w:val="00CC4677"/>
    <w:rsid w:val="00CC73AB"/>
    <w:rsid w:val="00CC74B2"/>
    <w:rsid w:val="00CC76B7"/>
    <w:rsid w:val="00CD0213"/>
    <w:rsid w:val="00CD2F1C"/>
    <w:rsid w:val="00CD7582"/>
    <w:rsid w:val="00CE4FCA"/>
    <w:rsid w:val="00CF389B"/>
    <w:rsid w:val="00CF39DC"/>
    <w:rsid w:val="00CF3CF5"/>
    <w:rsid w:val="00D1159E"/>
    <w:rsid w:val="00D22474"/>
    <w:rsid w:val="00D23D74"/>
    <w:rsid w:val="00D30820"/>
    <w:rsid w:val="00D35FC7"/>
    <w:rsid w:val="00D40DF7"/>
    <w:rsid w:val="00D42895"/>
    <w:rsid w:val="00D42F5B"/>
    <w:rsid w:val="00D453C8"/>
    <w:rsid w:val="00D46CC8"/>
    <w:rsid w:val="00D47BA3"/>
    <w:rsid w:val="00D55AAF"/>
    <w:rsid w:val="00D65FD3"/>
    <w:rsid w:val="00D7121A"/>
    <w:rsid w:val="00D762E2"/>
    <w:rsid w:val="00D772B7"/>
    <w:rsid w:val="00D85410"/>
    <w:rsid w:val="00D863C0"/>
    <w:rsid w:val="00D932B6"/>
    <w:rsid w:val="00D94274"/>
    <w:rsid w:val="00DA0E34"/>
    <w:rsid w:val="00DA0F3B"/>
    <w:rsid w:val="00DA2C0E"/>
    <w:rsid w:val="00DA35A9"/>
    <w:rsid w:val="00DA5773"/>
    <w:rsid w:val="00DB0BDA"/>
    <w:rsid w:val="00DB33F8"/>
    <w:rsid w:val="00DB7426"/>
    <w:rsid w:val="00DC0A1B"/>
    <w:rsid w:val="00DC18A1"/>
    <w:rsid w:val="00DC3674"/>
    <w:rsid w:val="00DC38B1"/>
    <w:rsid w:val="00DC3E11"/>
    <w:rsid w:val="00DC45F1"/>
    <w:rsid w:val="00DD0B40"/>
    <w:rsid w:val="00DD120E"/>
    <w:rsid w:val="00DD16E2"/>
    <w:rsid w:val="00DD4EFB"/>
    <w:rsid w:val="00DD5F21"/>
    <w:rsid w:val="00DD61C1"/>
    <w:rsid w:val="00DD6729"/>
    <w:rsid w:val="00DE5842"/>
    <w:rsid w:val="00DE6386"/>
    <w:rsid w:val="00DE7481"/>
    <w:rsid w:val="00E00549"/>
    <w:rsid w:val="00E02769"/>
    <w:rsid w:val="00E04FA9"/>
    <w:rsid w:val="00E106F8"/>
    <w:rsid w:val="00E107F3"/>
    <w:rsid w:val="00E119AB"/>
    <w:rsid w:val="00E12BC0"/>
    <w:rsid w:val="00E1633D"/>
    <w:rsid w:val="00E16EB5"/>
    <w:rsid w:val="00E171A4"/>
    <w:rsid w:val="00E21BDB"/>
    <w:rsid w:val="00E23D5E"/>
    <w:rsid w:val="00E32716"/>
    <w:rsid w:val="00E327C6"/>
    <w:rsid w:val="00E407DE"/>
    <w:rsid w:val="00E4669E"/>
    <w:rsid w:val="00E47372"/>
    <w:rsid w:val="00E47A3C"/>
    <w:rsid w:val="00E51AEF"/>
    <w:rsid w:val="00E5347A"/>
    <w:rsid w:val="00E62899"/>
    <w:rsid w:val="00E64377"/>
    <w:rsid w:val="00E704AE"/>
    <w:rsid w:val="00E75335"/>
    <w:rsid w:val="00E80C53"/>
    <w:rsid w:val="00E825C0"/>
    <w:rsid w:val="00E84001"/>
    <w:rsid w:val="00E90851"/>
    <w:rsid w:val="00EA677F"/>
    <w:rsid w:val="00EA7FC5"/>
    <w:rsid w:val="00EB0109"/>
    <w:rsid w:val="00EB0619"/>
    <w:rsid w:val="00EB09F0"/>
    <w:rsid w:val="00EB0D97"/>
    <w:rsid w:val="00EB4AC2"/>
    <w:rsid w:val="00EC0437"/>
    <w:rsid w:val="00EC0817"/>
    <w:rsid w:val="00ED289B"/>
    <w:rsid w:val="00ED2C27"/>
    <w:rsid w:val="00ED5777"/>
    <w:rsid w:val="00EE31DB"/>
    <w:rsid w:val="00EE3418"/>
    <w:rsid w:val="00EE39C4"/>
    <w:rsid w:val="00EF4166"/>
    <w:rsid w:val="00EF4B0F"/>
    <w:rsid w:val="00EF4DF9"/>
    <w:rsid w:val="00EF4F5E"/>
    <w:rsid w:val="00EF5FD2"/>
    <w:rsid w:val="00EF64F7"/>
    <w:rsid w:val="00EF6C1F"/>
    <w:rsid w:val="00F01D47"/>
    <w:rsid w:val="00F05586"/>
    <w:rsid w:val="00F1026C"/>
    <w:rsid w:val="00F108EC"/>
    <w:rsid w:val="00F140D9"/>
    <w:rsid w:val="00F22100"/>
    <w:rsid w:val="00F27804"/>
    <w:rsid w:val="00F41F79"/>
    <w:rsid w:val="00F4323B"/>
    <w:rsid w:val="00F54D74"/>
    <w:rsid w:val="00F55570"/>
    <w:rsid w:val="00F60192"/>
    <w:rsid w:val="00F73E21"/>
    <w:rsid w:val="00F76D8B"/>
    <w:rsid w:val="00F77A0C"/>
    <w:rsid w:val="00F80707"/>
    <w:rsid w:val="00F84448"/>
    <w:rsid w:val="00F846F5"/>
    <w:rsid w:val="00F84C7C"/>
    <w:rsid w:val="00F85D21"/>
    <w:rsid w:val="00F86D38"/>
    <w:rsid w:val="00F91416"/>
    <w:rsid w:val="00F92BD1"/>
    <w:rsid w:val="00F955C4"/>
    <w:rsid w:val="00F9683E"/>
    <w:rsid w:val="00F96B14"/>
    <w:rsid w:val="00FA235B"/>
    <w:rsid w:val="00FB056F"/>
    <w:rsid w:val="00FB0FF1"/>
    <w:rsid w:val="00FB1BA2"/>
    <w:rsid w:val="00FB39F8"/>
    <w:rsid w:val="00FB6D7D"/>
    <w:rsid w:val="00FB6F6B"/>
    <w:rsid w:val="00FC3581"/>
    <w:rsid w:val="00FD2B59"/>
    <w:rsid w:val="00FD38AA"/>
    <w:rsid w:val="00FD38D4"/>
    <w:rsid w:val="00FD7641"/>
    <w:rsid w:val="00FE17DB"/>
    <w:rsid w:val="00FE7DE9"/>
    <w:rsid w:val="00FF1F8E"/>
    <w:rsid w:val="00FF345E"/>
    <w:rsid w:val="00FF482C"/>
    <w:rsid w:val="00FF5E1B"/>
    <w:rsid w:val="00FF66AA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69F3D"/>
  <w15:chartTrackingRefBased/>
  <w15:docId w15:val="{E272EB0D-3016-492D-8538-0E460CA5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66"/>
    <w:pPr>
      <w:spacing w:before="100" w:beforeAutospacing="1" w:after="100"/>
    </w:pPr>
    <w:rPr>
      <w:rFonts w:ascii="Arial" w:eastAsia="Times New Roman" w:hAnsi="Arial" w:cs="Arial"/>
      <w:color w:val="000000"/>
      <w:lang w:eastAsia="en-AU"/>
    </w:rPr>
  </w:style>
  <w:style w:type="paragraph" w:styleId="Heading1">
    <w:name w:val="heading 1"/>
    <w:basedOn w:val="Title"/>
    <w:link w:val="Heading1Char"/>
    <w:uiPriority w:val="9"/>
    <w:qFormat/>
    <w:rsid w:val="004D0F80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0F80"/>
    <w:pPr>
      <w:shd w:val="clear" w:color="auto" w:fill="FFFFFF"/>
      <w:spacing w:afterAutospacing="1" w:line="713" w:lineRule="atLeast"/>
      <w:outlineLvl w:val="1"/>
    </w:pPr>
    <w:rPr>
      <w:rFonts w:ascii="Century Gothic" w:eastAsiaTheme="majorEastAsia" w:hAnsi="Century Gothic" w:cstheme="majorBidi"/>
      <w:color w:val="000000" w:themeColor="text1"/>
      <w:sz w:val="32"/>
      <w:szCs w:val="32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0F80"/>
    <w:pPr>
      <w:outlineLvl w:val="2"/>
    </w:pPr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40D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D0F80"/>
    <w:rPr>
      <w:rFonts w:ascii="Century Gothic" w:eastAsiaTheme="majorEastAsia" w:hAnsi="Century Gothic" w:cstheme="majorBidi"/>
      <w:color w:val="000000" w:themeColor="text1"/>
      <w:sz w:val="32"/>
      <w:szCs w:val="32"/>
      <w:shd w:val="clear" w:color="auto" w:fill="FFFFFF"/>
      <w14:textFill>
        <w14:solidFill>
          <w14:schemeClr w14:val="tx1">
            <w14:lumMod w14:val="85000"/>
            <w14:lumOff w14:val="15000"/>
            <w14:lumMod w14:val="25000"/>
          </w14:scheme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4D0F80"/>
    <w:rPr>
      <w:rFonts w:ascii="Century Gothic" w:eastAsiaTheme="majorEastAsia" w:hAnsi="Century Gothic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140D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aliases w:val="List Paragraph1,Recommendation,List Paragraph11,Content descriptions,Indented Bullet Solid,Dot Point"/>
    <w:basedOn w:val="Normal"/>
    <w:link w:val="ListParagraphChar"/>
    <w:uiPriority w:val="34"/>
    <w:qFormat/>
    <w:rsid w:val="00323411"/>
    <w:pPr>
      <w:ind w:left="720"/>
      <w:contextualSpacing/>
    </w:pPr>
  </w:style>
  <w:style w:type="character" w:styleId="Hyperlink">
    <w:name w:val="Hyperlink"/>
    <w:uiPriority w:val="99"/>
    <w:rsid w:val="006258A2"/>
    <w:rPr>
      <w:color w:val="0000FF"/>
      <w:u w:val="single"/>
    </w:rPr>
  </w:style>
  <w:style w:type="table" w:styleId="TableGrid">
    <w:name w:val="Table Grid"/>
    <w:basedOn w:val="TableNormal"/>
    <w:uiPriority w:val="39"/>
    <w:rsid w:val="00625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C76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B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CC76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76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76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6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6B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CC76B7"/>
    <w:pPr>
      <w:spacing w:after="0" w:line="240" w:lineRule="auto"/>
    </w:pPr>
    <w:rPr>
      <w:rFonts w:eastAsia="Arial Unicode MS" w:cs="Times New Roman"/>
      <w:sz w:val="20"/>
      <w:szCs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C76B7"/>
    <w:rPr>
      <w:rFonts w:ascii="Arial" w:eastAsia="Arial Unicode MS" w:hAnsi="Arial" w:cs="Times New Roman"/>
      <w:sz w:val="20"/>
      <w:szCs w:val="20"/>
      <w:lang w:val="en-US" w:eastAsia="zh-CN"/>
    </w:rPr>
  </w:style>
  <w:style w:type="character" w:styleId="FootnoteReference">
    <w:name w:val="footnote reference"/>
    <w:basedOn w:val="DefaultParagraphFont"/>
    <w:uiPriority w:val="99"/>
    <w:rsid w:val="00CC76B7"/>
    <w:rPr>
      <w:vertAlign w:val="superscript"/>
    </w:rPr>
  </w:style>
  <w:style w:type="paragraph" w:styleId="Caption">
    <w:name w:val="caption"/>
    <w:basedOn w:val="Normal"/>
    <w:next w:val="Normal"/>
    <w:uiPriority w:val="35"/>
    <w:unhideWhenUsed/>
    <w:qFormat/>
    <w:rsid w:val="007C147E"/>
    <w:pPr>
      <w:spacing w:before="240" w:after="240" w:line="240" w:lineRule="auto"/>
    </w:pPr>
    <w:rPr>
      <w:rFonts w:eastAsia="Arial Unicode MS" w:cs="Times New Roman"/>
      <w:b/>
      <w:bCs/>
      <w:sz w:val="20"/>
      <w:szCs w:val="20"/>
      <w:lang w:val="en-US" w:eastAsia="zh-CN"/>
    </w:rPr>
  </w:style>
  <w:style w:type="table" w:styleId="TableGridLight">
    <w:name w:val="Grid Table Light"/>
    <w:basedOn w:val="TableNormal"/>
    <w:uiPriority w:val="40"/>
    <w:rsid w:val="007C14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dnoteText">
    <w:name w:val="endnote text"/>
    <w:basedOn w:val="Normal"/>
    <w:link w:val="EndnoteTextChar"/>
    <w:uiPriority w:val="99"/>
    <w:unhideWhenUsed/>
    <w:rsid w:val="007C147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147E"/>
    <w:rPr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7C14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B22C8"/>
    <w:rPr>
      <w:color w:val="954F72" w:themeColor="followedHyperlink"/>
      <w:u w:val="single"/>
    </w:rPr>
  </w:style>
  <w:style w:type="paragraph" w:customStyle="1" w:styleId="ListParagraph2">
    <w:name w:val="List Paragraph 2"/>
    <w:basedOn w:val="ListParagraph"/>
    <w:qFormat/>
    <w:rsid w:val="00484458"/>
    <w:pPr>
      <w:spacing w:before="60" w:after="60" w:line="276" w:lineRule="auto"/>
      <w:ind w:left="706" w:hanging="360"/>
      <w:contextualSpacing w:val="0"/>
    </w:pPr>
    <w:rPr>
      <w:sz w:val="23"/>
      <w:szCs w:val="23"/>
    </w:rPr>
  </w:style>
  <w:style w:type="paragraph" w:customStyle="1" w:styleId="TableText">
    <w:name w:val="Table Text"/>
    <w:basedOn w:val="Normal"/>
    <w:qFormat/>
    <w:rsid w:val="000610C7"/>
    <w:pPr>
      <w:spacing w:before="60" w:after="60" w:line="276" w:lineRule="auto"/>
    </w:pPr>
    <w:rPr>
      <w:rFonts w:eastAsia="Arial Unicode MS" w:cs="Times New Roman"/>
      <w:bCs/>
      <w:sz w:val="23"/>
      <w:szCs w:val="20"/>
      <w:lang w:val="en-US" w:eastAsia="zh-CN"/>
    </w:rPr>
  </w:style>
  <w:style w:type="paragraph" w:customStyle="1" w:styleId="BodyText1">
    <w:name w:val="Body Text1"/>
    <w:basedOn w:val="Normal"/>
    <w:rsid w:val="001164A8"/>
    <w:pPr>
      <w:spacing w:after="200" w:line="280" w:lineRule="exact"/>
      <w:jc w:val="both"/>
    </w:pPr>
    <w:rPr>
      <w:rFonts w:ascii="Times New Roman" w:hAnsi="Times New Roman" w:cs="Times New Roman"/>
    </w:rPr>
  </w:style>
  <w:style w:type="table" w:styleId="PlainTable2">
    <w:name w:val="Plain Table 2"/>
    <w:basedOn w:val="TableNormal"/>
    <w:uiPriority w:val="42"/>
    <w:rsid w:val="00EF6C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194F4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0F80"/>
  </w:style>
  <w:style w:type="paragraph" w:styleId="Footer">
    <w:name w:val="footer"/>
    <w:basedOn w:val="Normal"/>
    <w:link w:val="FooterChar"/>
    <w:uiPriority w:val="99"/>
    <w:unhideWhenUsed/>
    <w:rsid w:val="004D0F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F80"/>
  </w:style>
  <w:style w:type="paragraph" w:styleId="Title">
    <w:name w:val="Title"/>
    <w:basedOn w:val="Normal"/>
    <w:next w:val="Normal"/>
    <w:link w:val="TitleChar"/>
    <w:autoRedefine/>
    <w:uiPriority w:val="10"/>
    <w:qFormat/>
    <w:rsid w:val="004D0F80"/>
    <w:pPr>
      <w:spacing w:after="0" w:line="240" w:lineRule="auto"/>
      <w:contextualSpacing/>
    </w:pPr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F80"/>
    <w:rPr>
      <w:rFonts w:ascii="Century Gothic" w:eastAsiaTheme="majorEastAsia" w:hAnsi="Century Gothic" w:cstheme="majorBidi"/>
      <w:color w:val="2B9947"/>
      <w:spacing w:val="-10"/>
      <w:kern w:val="28"/>
      <w:sz w:val="56"/>
      <w:szCs w:val="56"/>
    </w:rPr>
  </w:style>
  <w:style w:type="table" w:styleId="ListTable1Light-Accent6">
    <w:name w:val="List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1Light-Accent6">
    <w:name w:val="Grid Table 1 Light Accent 6"/>
    <w:basedOn w:val="TableNormal"/>
    <w:uiPriority w:val="46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6">
    <w:name w:val="List Table 3 Accent 6"/>
    <w:basedOn w:val="TableNormal"/>
    <w:uiPriority w:val="48"/>
    <w:rsid w:val="004D0F80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CommissionTable1">
    <w:name w:val="Commission Table 1"/>
    <w:basedOn w:val="TableNormal"/>
    <w:uiPriority w:val="99"/>
    <w:rsid w:val="004D0F80"/>
    <w:pPr>
      <w:spacing w:before="120" w:after="120" w:line="240" w:lineRule="auto"/>
      <w:contextualSpacing/>
    </w:pPr>
    <w:rPr>
      <w:rFonts w:ascii="Arial" w:hAnsi="Arial"/>
    </w:rPr>
    <w:tblPr>
      <w:tblBorders>
        <w:top w:val="single" w:sz="12" w:space="0" w:color="2B9947"/>
        <w:left w:val="single" w:sz="12" w:space="0" w:color="2B9947"/>
        <w:bottom w:val="single" w:sz="12" w:space="0" w:color="2B9947"/>
        <w:right w:val="single" w:sz="12" w:space="0" w:color="2B9947"/>
        <w:insideH w:val="single" w:sz="12" w:space="0" w:color="2B9947"/>
        <w:insideV w:val="single" w:sz="12" w:space="0" w:color="2B9947"/>
      </w:tblBorders>
    </w:tblPr>
    <w:tcPr>
      <w:vAlign w:val="center"/>
    </w:tc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2B9947"/>
      </w:tcPr>
    </w:tblStylePr>
  </w:style>
  <w:style w:type="table" w:customStyle="1" w:styleId="TableGrid1">
    <w:name w:val="Table Grid1"/>
    <w:basedOn w:val="TableNormal"/>
    <w:next w:val="TableGrid"/>
    <w:semiHidden/>
    <w:rsid w:val="00B271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A2B23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1 Char,Recommendation Char,List Paragraph11 Char,Content descriptions Char,Indented Bullet Solid Char,Dot Point Char"/>
    <w:link w:val="ListParagraph"/>
    <w:uiPriority w:val="34"/>
    <w:locked/>
    <w:rsid w:val="00C45D44"/>
    <w:rPr>
      <w:rFonts w:ascii="Arial" w:eastAsia="Times New Roman" w:hAnsi="Arial" w:cs="Arial"/>
      <w:color w:val="00000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89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tateadministrator@psc.wa.gov.a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wa.gov.au/government/publications/about-our-workforce-dat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a.gov.au/government/publications/state-of-the-wa-government-sector-workforce-2022-23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-dpc\publicsector$\PSC\Policy%20and%20Data%20Analytics\Data%20Analytics%20and%20Reporting\Secure\HRMOIR%20data\Quarterly%20WorkForce%20Reports\2024%20Q2\Working_documents\Salaries_expenditure_December_2023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3381337798193607E-2"/>
          <c:y val="3.7319772480287575E-2"/>
          <c:w val="0.95645462188815966"/>
          <c:h val="0.8356326318564438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bg1">
                <a:lumMod val="50000"/>
              </a:schemeClr>
            </a:solidFill>
            <a:ln>
              <a:noFill/>
            </a:ln>
            <a:effectLst/>
          </c:spPr>
          <c:invertIfNegative val="0"/>
          <c:dLbls>
            <c:numFmt formatCode="0.0&quot;%&quot;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'Salary Expenditure from TSR'!$D$31:$N$31</c:f>
              <c:strCache>
                <c:ptCount val="11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  <c:pt idx="4">
                  <c:v>2017-18</c:v>
                </c:pt>
                <c:pt idx="5">
                  <c:v>2018-19</c:v>
                </c:pt>
                <c:pt idx="6">
                  <c:v>2019-20</c:v>
                </c:pt>
                <c:pt idx="7">
                  <c:v>2020-21</c:v>
                </c:pt>
                <c:pt idx="8">
                  <c:v>2021-22</c:v>
                </c:pt>
                <c:pt idx="9">
                  <c:v>2022-23</c:v>
                </c:pt>
                <c:pt idx="10">
                  <c:v>2023-24</c:v>
                </c:pt>
              </c:strCache>
            </c:strRef>
          </c:cat>
          <c:val>
            <c:numRef>
              <c:f>'Salary Expenditure from TSR'!$D$32:$N$32</c:f>
              <c:numCache>
                <c:formatCode>#,##0.0</c:formatCode>
                <c:ptCount val="11"/>
                <c:pt idx="0">
                  <c:v>7.9996572371597265</c:v>
                </c:pt>
                <c:pt idx="1">
                  <c:v>2.0638557982714585</c:v>
                </c:pt>
                <c:pt idx="2">
                  <c:v>3.7477484660575593</c:v>
                </c:pt>
                <c:pt idx="3">
                  <c:v>1.6112230707399711</c:v>
                </c:pt>
                <c:pt idx="4">
                  <c:v>3.2907293049879458</c:v>
                </c:pt>
                <c:pt idx="5">
                  <c:v>1.7564425415096512</c:v>
                </c:pt>
                <c:pt idx="6">
                  <c:v>3.8896506472802064</c:v>
                </c:pt>
                <c:pt idx="7">
                  <c:v>4.9807307258851496</c:v>
                </c:pt>
                <c:pt idx="8">
                  <c:v>6.2598688146805674</c:v>
                </c:pt>
                <c:pt idx="9">
                  <c:v>8.1412742648092316</c:v>
                </c:pt>
                <c:pt idx="10">
                  <c:v>6.0658136256713018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779-4533-B9DE-A84585EE1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50"/>
        <c:axId val="522398176"/>
        <c:axId val="522397848"/>
      </c:barChart>
      <c:lineChart>
        <c:grouping val="standard"/>
        <c:varyColors val="0"/>
        <c:ser>
          <c:idx val="1"/>
          <c:order val="1"/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'Salary Expenditure from TSR'!$D$31:$N$31</c:f>
              <c:strCache>
                <c:ptCount val="11"/>
                <c:pt idx="0">
                  <c:v>2013-14</c:v>
                </c:pt>
                <c:pt idx="1">
                  <c:v>2014-15</c:v>
                </c:pt>
                <c:pt idx="2">
                  <c:v>2015-16</c:v>
                </c:pt>
                <c:pt idx="3">
                  <c:v>2016-17</c:v>
                </c:pt>
                <c:pt idx="4">
                  <c:v>2017-18</c:v>
                </c:pt>
                <c:pt idx="5">
                  <c:v>2018-19</c:v>
                </c:pt>
                <c:pt idx="6">
                  <c:v>2019-20</c:v>
                </c:pt>
                <c:pt idx="7">
                  <c:v>2020-21</c:v>
                </c:pt>
                <c:pt idx="8">
                  <c:v>2021-22</c:v>
                </c:pt>
                <c:pt idx="9">
                  <c:v>2022-23</c:v>
                </c:pt>
                <c:pt idx="10">
                  <c:v>2023-24</c:v>
                </c:pt>
              </c:strCache>
            </c:strRef>
          </c:cat>
          <c:val>
            <c:numRef>
              <c:f>'Salary Expenditure from TSR'!$D$33:$N$33</c:f>
              <c:numCache>
                <c:formatCode>0.0</c:formatCode>
                <c:ptCount val="11"/>
                <c:pt idx="0">
                  <c:v>4.3489444372166286</c:v>
                </c:pt>
                <c:pt idx="1">
                  <c:v>4.3489444372166286</c:v>
                </c:pt>
                <c:pt idx="2">
                  <c:v>4.3489444372166286</c:v>
                </c:pt>
                <c:pt idx="3">
                  <c:v>4.3489444372166286</c:v>
                </c:pt>
                <c:pt idx="4">
                  <c:v>4.3489444372166286</c:v>
                </c:pt>
                <c:pt idx="5">
                  <c:v>4.3489444372166286</c:v>
                </c:pt>
                <c:pt idx="6">
                  <c:v>4.3489444372166286</c:v>
                </c:pt>
                <c:pt idx="7">
                  <c:v>4.3489444372166286</c:v>
                </c:pt>
                <c:pt idx="8">
                  <c:v>4.3489444372166286</c:v>
                </c:pt>
                <c:pt idx="9">
                  <c:v>4.3489444372166286</c:v>
                </c:pt>
                <c:pt idx="10">
                  <c:v>4.3489444372166286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779-4533-B9DE-A84585EE18F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522398176"/>
        <c:axId val="522397848"/>
      </c:lineChart>
      <c:catAx>
        <c:axId val="52239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522397848"/>
        <c:crosses val="autoZero"/>
        <c:auto val="1"/>
        <c:lblAlgn val="ctr"/>
        <c:lblOffset val="100"/>
        <c:noMultiLvlLbl val="0"/>
      </c:catAx>
      <c:valAx>
        <c:axId val="522397848"/>
        <c:scaling>
          <c:orientation val="minMax"/>
          <c:max val="10"/>
        </c:scaling>
        <c:delete val="1"/>
        <c:axPos val="l"/>
        <c:numFmt formatCode="#,##0.0" sourceLinked="1"/>
        <c:majorTickMark val="out"/>
        <c:minorTickMark val="none"/>
        <c:tickLblPos val="nextTo"/>
        <c:crossAx val="5223981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0.34103</cdr:x>
      <cdr:y>0.37929</cdr:y>
    </cdr:from>
    <cdr:to>
      <cdr:x>0.62576</cdr:x>
      <cdr:y>0.51993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062563" y="1186322"/>
          <a:ext cx="1722037" cy="43988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pPr algn="ctr"/>
          <a:r>
            <a:rPr lang="en-AU" sz="1000" b="1">
              <a:latin typeface="Arial" panose="020B0604020202020204" pitchFamily="34" charset="0"/>
              <a:cs typeface="Arial" panose="020B0604020202020204" pitchFamily="34" charset="0"/>
            </a:rPr>
            <a:t>Decade</a:t>
          </a:r>
          <a:r>
            <a:rPr lang="en-AU" sz="1000" b="1" baseline="0">
              <a:latin typeface="Arial" panose="020B0604020202020204" pitchFamily="34" charset="0"/>
              <a:cs typeface="Arial" panose="020B0604020202020204" pitchFamily="34" charset="0"/>
            </a:rPr>
            <a:t> average = 4.3%</a:t>
          </a:r>
          <a:endParaRPr lang="en-AU" sz="10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A58C2D-E358-4F08-AFFF-AB2CC9D04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Quarterly Workforce Report - December 2023</vt:lpstr>
    </vt:vector>
  </TitlesOfParts>
  <Company>DPC</Company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Quarterly Workforce Report - December 2023</dc:title>
  <dc:subject/>
  <dc:creator>Public Sector Commission WA</dc:creator>
  <cp:keywords/>
  <dc:description/>
  <cp:lastModifiedBy>Partridge, Julian</cp:lastModifiedBy>
  <cp:revision>4</cp:revision>
  <cp:lastPrinted>2021-09-06T09:28:00Z</cp:lastPrinted>
  <dcterms:created xsi:type="dcterms:W3CDTF">2024-04-08T03:31:00Z</dcterms:created>
  <dcterms:modified xsi:type="dcterms:W3CDTF">2024-04-08T03:55:00Z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ebd643-ebde-44ed-8e8b-40a2ae139fe2_Enabled">
    <vt:lpwstr>true</vt:lpwstr>
  </property>
  <property fmtid="{D5CDD505-2E9C-101B-9397-08002B2CF9AE}" pid="3" name="MSIP_Label_9debd643-ebde-44ed-8e8b-40a2ae139fe2_SetDate">
    <vt:lpwstr>2023-02-17T06:00:00Z</vt:lpwstr>
  </property>
  <property fmtid="{D5CDD505-2E9C-101B-9397-08002B2CF9AE}" pid="4" name="MSIP_Label_9debd643-ebde-44ed-8e8b-40a2ae139fe2_Method">
    <vt:lpwstr>Standard</vt:lpwstr>
  </property>
  <property fmtid="{D5CDD505-2E9C-101B-9397-08002B2CF9AE}" pid="5" name="MSIP_Label_9debd643-ebde-44ed-8e8b-40a2ae139fe2_Name">
    <vt:lpwstr>OFFICIAL PSC.</vt:lpwstr>
  </property>
  <property fmtid="{D5CDD505-2E9C-101B-9397-08002B2CF9AE}" pid="6" name="MSIP_Label_9debd643-ebde-44ed-8e8b-40a2ae139fe2_SiteId">
    <vt:lpwstr>d48144b5-571f-4b68-9721-e41bc0071e17</vt:lpwstr>
  </property>
  <property fmtid="{D5CDD505-2E9C-101B-9397-08002B2CF9AE}" pid="7" name="MSIP_Label_9debd643-ebde-44ed-8e8b-40a2ae139fe2_ActionId">
    <vt:lpwstr>980988ef-f067-46e6-b35c-a57e9dc16841</vt:lpwstr>
  </property>
  <property fmtid="{D5CDD505-2E9C-101B-9397-08002B2CF9AE}" pid="8" name="MSIP_Label_9debd643-ebde-44ed-8e8b-40a2ae139fe2_ContentBits">
    <vt:lpwstr>0</vt:lpwstr>
  </property>
  <property fmtid="{D5CDD505-2E9C-101B-9397-08002B2CF9AE}" pid="9" name="_AdHocReviewCycleID">
    <vt:i4>1723770452</vt:i4>
  </property>
  <property fmtid="{D5CDD505-2E9C-101B-9397-08002B2CF9AE}" pid="10" name="_NewReviewCycle">
    <vt:lpwstr/>
  </property>
  <property fmtid="{D5CDD505-2E9C-101B-9397-08002B2CF9AE}" pid="11" name="_EmailSubject">
    <vt:lpwstr>Western Australian Public Sector Quarterly Workforce Report – December 2023</vt:lpwstr>
  </property>
  <property fmtid="{D5CDD505-2E9C-101B-9397-08002B2CF9AE}" pid="12" name="_AuthorEmail">
    <vt:lpwstr>Emily.Ruitenga@psc.wa.gov.au</vt:lpwstr>
  </property>
  <property fmtid="{D5CDD505-2E9C-101B-9397-08002B2CF9AE}" pid="13" name="_AuthorEmailDisplayName">
    <vt:lpwstr>Ruitenga, Emily</vt:lpwstr>
  </property>
  <property fmtid="{D5CDD505-2E9C-101B-9397-08002B2CF9AE}" pid="14" name="_ReviewingToolsShownOnce">
    <vt:lpwstr/>
  </property>
</Properties>
</file>