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8FC" w14:textId="22CAFAF2" w:rsidR="00D566DB" w:rsidRPr="00237515" w:rsidRDefault="00D566DB" w:rsidP="00D566DB">
      <w:pPr>
        <w:pStyle w:val="Heading1"/>
        <w:spacing w:before="0" w:after="0"/>
        <w:rPr>
          <w:color w:val="002060"/>
          <w:sz w:val="22"/>
          <w:szCs w:val="22"/>
        </w:rPr>
        <w:sectPr w:rsidR="00D566DB"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IRON ORE PROFILE – </w:t>
      </w:r>
      <w:r w:rsidR="006C05BA">
        <w:rPr>
          <w:color w:val="002060"/>
          <w:sz w:val="22"/>
          <w:szCs w:val="22"/>
        </w:rPr>
        <w:t>March</w:t>
      </w:r>
      <w:r w:rsidR="006C05BA" w:rsidRPr="00AB4864">
        <w:rPr>
          <w:color w:val="002060"/>
          <w:sz w:val="22"/>
          <w:szCs w:val="22"/>
        </w:rPr>
        <w:t> </w:t>
      </w:r>
      <w:r>
        <w:rPr>
          <w:color w:val="002060"/>
          <w:sz w:val="22"/>
          <w:szCs w:val="22"/>
        </w:rPr>
        <w:t>202</w:t>
      </w:r>
      <w:r w:rsidR="000D5F45">
        <w:rPr>
          <w:color w:val="002060"/>
          <w:sz w:val="22"/>
          <w:szCs w:val="22"/>
        </w:rPr>
        <w:t>4</w:t>
      </w:r>
    </w:p>
    <w:p w14:paraId="2F18329F" w14:textId="77777777" w:rsidR="00D566DB" w:rsidRDefault="00D566DB" w:rsidP="00D566DB">
      <w:pPr>
        <w:pStyle w:val="BodyText"/>
        <w:spacing w:after="0"/>
        <w:jc w:val="both"/>
        <w:rPr>
          <w:b/>
          <w:sz w:val="22"/>
        </w:rPr>
      </w:pPr>
    </w:p>
    <w:p w14:paraId="4E5AC4A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p>
    <w:p w14:paraId="0B36C157" w14:textId="27E775A6" w:rsidR="00D566DB" w:rsidRPr="008B167C" w:rsidRDefault="007A7B9A" w:rsidP="00D566DB">
      <w:pPr>
        <w:pStyle w:val="BodyText"/>
        <w:spacing w:after="0"/>
        <w:jc w:val="both"/>
        <w:rPr>
          <w:sz w:val="16"/>
        </w:rPr>
      </w:pPr>
      <w:r>
        <w:rPr>
          <w:noProof/>
          <w:sz w:val="16"/>
        </w:rPr>
        <w:drawing>
          <wp:inline distT="0" distB="0" distL="0" distR="0" wp14:anchorId="7E3BA437" wp14:editId="23CCF6AD">
            <wp:extent cx="3148013" cy="20811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3127" cy="2084482"/>
                    </a:xfrm>
                    <a:prstGeom prst="rect">
                      <a:avLst/>
                    </a:prstGeom>
                    <a:noFill/>
                    <a:ln>
                      <a:noFill/>
                    </a:ln>
                  </pic:spPr>
                </pic:pic>
              </a:graphicData>
            </a:graphic>
          </wp:inline>
        </w:drawing>
      </w:r>
    </w:p>
    <w:p w14:paraId="4EA3E073" w14:textId="77777777" w:rsidR="00D566DB" w:rsidRPr="008100D3" w:rsidRDefault="00D566DB" w:rsidP="00D566DB">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mined production.</w:t>
      </w:r>
    </w:p>
    <w:p w14:paraId="7FE67E4E" w14:textId="6491F0E6" w:rsidR="00D566DB" w:rsidRPr="008100D3" w:rsidRDefault="00D566DB" w:rsidP="00D566DB">
      <w:pPr>
        <w:spacing w:after="0"/>
        <w:jc w:val="both"/>
        <w:rPr>
          <w:sz w:val="10"/>
        </w:rPr>
      </w:pPr>
      <w:r w:rsidRPr="008100D3">
        <w:rPr>
          <w:sz w:val="10"/>
        </w:rPr>
        <w:t xml:space="preserve">Source: </w:t>
      </w:r>
      <w:r w:rsidRPr="008100D3">
        <w:rPr>
          <w:rFonts w:cs="Arial"/>
          <w:sz w:val="10"/>
          <w:szCs w:val="20"/>
        </w:rPr>
        <w:t xml:space="preserve">CRU, Iron Ore Market Outlook – </w:t>
      </w:r>
      <w:r w:rsidRPr="006C05BA">
        <w:rPr>
          <w:rFonts w:cs="Arial"/>
          <w:sz w:val="10"/>
          <w:szCs w:val="20"/>
        </w:rPr>
        <w:t xml:space="preserve">Statistical Review – </w:t>
      </w:r>
      <w:r w:rsidR="008028E0" w:rsidRPr="006C05BA">
        <w:rPr>
          <w:rFonts w:cs="Arial"/>
          <w:sz w:val="10"/>
          <w:szCs w:val="20"/>
        </w:rPr>
        <w:t>January 2024</w:t>
      </w:r>
      <w:r w:rsidR="008028E0" w:rsidRPr="006C05BA">
        <w:rPr>
          <w:sz w:val="10"/>
        </w:rPr>
        <w:t xml:space="preserve"> </w:t>
      </w:r>
      <w:r w:rsidRPr="006C05BA">
        <w:rPr>
          <w:sz w:val="10"/>
        </w:rPr>
        <w:t>(Quarterly</w:t>
      </w:r>
      <w:r w:rsidRPr="008100D3">
        <w:rPr>
          <w:sz w:val="10"/>
        </w:rPr>
        <w:t>).</w:t>
      </w:r>
    </w:p>
    <w:p w14:paraId="48887111" w14:textId="77777777" w:rsidR="00D566DB" w:rsidRDefault="00D566DB" w:rsidP="00D566DB">
      <w:pPr>
        <w:pStyle w:val="BodyText"/>
        <w:spacing w:after="0"/>
        <w:jc w:val="both"/>
        <w:rPr>
          <w:sz w:val="16"/>
        </w:rPr>
      </w:pPr>
      <w:r>
        <w:rPr>
          <w:sz w:val="16"/>
        </w:rPr>
        <w:br w:type="column"/>
      </w:r>
    </w:p>
    <w:p w14:paraId="39650EF3" w14:textId="7B0EB088" w:rsidR="00D566DB" w:rsidRPr="006C05BA" w:rsidRDefault="00D566DB" w:rsidP="00D566DB">
      <w:pPr>
        <w:pStyle w:val="BodyText"/>
        <w:numPr>
          <w:ilvl w:val="0"/>
          <w:numId w:val="9"/>
        </w:numPr>
        <w:spacing w:after="0"/>
        <w:jc w:val="both"/>
        <w:rPr>
          <w:sz w:val="16"/>
        </w:rPr>
      </w:pPr>
      <w:r w:rsidRPr="006C05BA">
        <w:rPr>
          <w:sz w:val="16"/>
        </w:rPr>
        <w:t xml:space="preserve">Western Australia is the largest iron ore supplier in the world, accounting for </w:t>
      </w:r>
      <w:r w:rsidR="007A7B9A" w:rsidRPr="006C05BA">
        <w:rPr>
          <w:sz w:val="16"/>
        </w:rPr>
        <w:t>39</w:t>
      </w:r>
      <w:r w:rsidRPr="006C05BA">
        <w:rPr>
          <w:sz w:val="16"/>
        </w:rPr>
        <w:t>% of global supply in 202</w:t>
      </w:r>
      <w:r w:rsidR="00C82629" w:rsidRPr="006C05BA">
        <w:rPr>
          <w:sz w:val="16"/>
        </w:rPr>
        <w:t>3</w:t>
      </w:r>
      <w:r w:rsidRPr="006C05BA">
        <w:rPr>
          <w:sz w:val="16"/>
        </w:rPr>
        <w:t>, followed by Brazil (1</w:t>
      </w:r>
      <w:r w:rsidR="00C82629" w:rsidRPr="006C05BA">
        <w:rPr>
          <w:sz w:val="16"/>
        </w:rPr>
        <w:t>6</w:t>
      </w:r>
      <w:r w:rsidRPr="006C05BA">
        <w:rPr>
          <w:sz w:val="16"/>
        </w:rPr>
        <w:t>%).</w:t>
      </w:r>
    </w:p>
    <w:p w14:paraId="74FB5146" w14:textId="720DAAF4" w:rsidR="00D566DB" w:rsidRPr="006C05BA" w:rsidRDefault="00D566DB" w:rsidP="00D566DB">
      <w:pPr>
        <w:pStyle w:val="BodyText"/>
        <w:numPr>
          <w:ilvl w:val="0"/>
          <w:numId w:val="9"/>
        </w:numPr>
        <w:spacing w:after="0"/>
        <w:jc w:val="both"/>
        <w:rPr>
          <w:sz w:val="16"/>
        </w:rPr>
      </w:pPr>
      <w:r w:rsidRPr="006C05BA">
        <w:rPr>
          <w:sz w:val="16"/>
        </w:rPr>
        <w:t>China (13%), India (</w:t>
      </w:r>
      <w:r w:rsidR="00C82629" w:rsidRPr="006C05BA">
        <w:rPr>
          <w:sz w:val="16"/>
        </w:rPr>
        <w:t>11</w:t>
      </w:r>
      <w:r w:rsidRPr="006C05BA">
        <w:rPr>
          <w:sz w:val="16"/>
        </w:rPr>
        <w:t xml:space="preserve">%) and Russia (4%) are major global iron ore </w:t>
      </w:r>
      <w:proofErr w:type="gramStart"/>
      <w:r w:rsidR="00061516" w:rsidRPr="006C05BA">
        <w:rPr>
          <w:sz w:val="16"/>
        </w:rPr>
        <w:t>producers</w:t>
      </w:r>
      <w:r w:rsidR="00501D2F" w:rsidRPr="006C05BA">
        <w:rPr>
          <w:sz w:val="16"/>
        </w:rPr>
        <w:t>,</w:t>
      </w:r>
      <w:r w:rsidR="00061516" w:rsidRPr="006C05BA">
        <w:rPr>
          <w:sz w:val="16"/>
        </w:rPr>
        <w:t xml:space="preserve"> but</w:t>
      </w:r>
      <w:proofErr w:type="gramEnd"/>
      <w:r w:rsidRPr="006C05BA">
        <w:rPr>
          <w:sz w:val="16"/>
        </w:rPr>
        <w:t xml:space="preserve"> retain most of the iron ore </w:t>
      </w:r>
      <w:r w:rsidR="00513A64" w:rsidRPr="006C05BA">
        <w:rPr>
          <w:sz w:val="16"/>
        </w:rPr>
        <w:t xml:space="preserve">they produce </w:t>
      </w:r>
      <w:r w:rsidRPr="006C05BA">
        <w:rPr>
          <w:sz w:val="16"/>
        </w:rPr>
        <w:t>for domestic steel manufacturing.</w:t>
      </w:r>
    </w:p>
    <w:p w14:paraId="6869D1D4" w14:textId="2C7B3F93" w:rsidR="00D566DB" w:rsidRPr="006C05BA" w:rsidRDefault="00D566DB" w:rsidP="00D566DB">
      <w:pPr>
        <w:pStyle w:val="BodyText"/>
        <w:numPr>
          <w:ilvl w:val="0"/>
          <w:numId w:val="9"/>
        </w:numPr>
        <w:spacing w:after="0"/>
        <w:rPr>
          <w:sz w:val="16"/>
        </w:rPr>
      </w:pPr>
      <w:r w:rsidRPr="006C05BA">
        <w:rPr>
          <w:sz w:val="16"/>
        </w:rPr>
        <w:t>In 202</w:t>
      </w:r>
      <w:r w:rsidR="00C82629" w:rsidRPr="006C05BA">
        <w:rPr>
          <w:sz w:val="16"/>
        </w:rPr>
        <w:t>3</w:t>
      </w:r>
      <w:r w:rsidRPr="006C05BA">
        <w:rPr>
          <w:sz w:val="16"/>
        </w:rPr>
        <w:t>, iron ore supply from:</w:t>
      </w:r>
    </w:p>
    <w:p w14:paraId="3EA3A555" w14:textId="28AC31FB" w:rsidR="00D566DB" w:rsidRPr="006C05BA" w:rsidRDefault="00D566DB" w:rsidP="00D566DB">
      <w:pPr>
        <w:pStyle w:val="BodyText"/>
        <w:numPr>
          <w:ilvl w:val="1"/>
          <w:numId w:val="10"/>
        </w:numPr>
        <w:spacing w:after="0"/>
        <w:ind w:left="851" w:hanging="284"/>
        <w:jc w:val="both"/>
        <w:rPr>
          <w:sz w:val="16"/>
        </w:rPr>
      </w:pPr>
      <w:r w:rsidRPr="006C05BA">
        <w:rPr>
          <w:sz w:val="16"/>
        </w:rPr>
        <w:t xml:space="preserve">Western Australia rose </w:t>
      </w:r>
      <w:r w:rsidR="00C82629" w:rsidRPr="006C05BA">
        <w:rPr>
          <w:sz w:val="16"/>
        </w:rPr>
        <w:t>1</w:t>
      </w:r>
      <w:r w:rsidRPr="006C05BA">
        <w:rPr>
          <w:sz w:val="16"/>
        </w:rPr>
        <w:t>% to 9</w:t>
      </w:r>
      <w:r w:rsidR="007A7B9A" w:rsidRPr="006C05BA">
        <w:rPr>
          <w:sz w:val="16"/>
        </w:rPr>
        <w:t xml:space="preserve">19 </w:t>
      </w:r>
      <w:r w:rsidRPr="006C05BA">
        <w:rPr>
          <w:sz w:val="16"/>
        </w:rPr>
        <w:t xml:space="preserve">million </w:t>
      </w:r>
      <w:proofErr w:type="gramStart"/>
      <w:r w:rsidRPr="006C05BA">
        <w:rPr>
          <w:sz w:val="16"/>
        </w:rPr>
        <w:t>tonnes</w:t>
      </w:r>
      <w:proofErr w:type="gramEnd"/>
    </w:p>
    <w:p w14:paraId="270A7643" w14:textId="797EA88C" w:rsidR="00D566DB" w:rsidRPr="006C05BA" w:rsidRDefault="00D566DB" w:rsidP="00D566DB">
      <w:pPr>
        <w:pStyle w:val="BodyText"/>
        <w:numPr>
          <w:ilvl w:val="1"/>
          <w:numId w:val="10"/>
        </w:numPr>
        <w:spacing w:after="0"/>
        <w:ind w:left="851" w:hanging="284"/>
        <w:jc w:val="both"/>
        <w:rPr>
          <w:sz w:val="16"/>
        </w:rPr>
      </w:pPr>
      <w:r w:rsidRPr="006C05BA">
        <w:rPr>
          <w:sz w:val="16"/>
        </w:rPr>
        <w:t xml:space="preserve">Brazil fell </w:t>
      </w:r>
      <w:r w:rsidR="00C82629" w:rsidRPr="006C05BA">
        <w:rPr>
          <w:sz w:val="16"/>
        </w:rPr>
        <w:t>1</w:t>
      </w:r>
      <w:r w:rsidRPr="006C05BA">
        <w:rPr>
          <w:sz w:val="16"/>
        </w:rPr>
        <w:t>% to 38</w:t>
      </w:r>
      <w:r w:rsidR="00C82629" w:rsidRPr="006C05BA">
        <w:rPr>
          <w:sz w:val="16"/>
        </w:rPr>
        <w:t>7</w:t>
      </w:r>
      <w:r w:rsidRPr="006C05BA">
        <w:rPr>
          <w:sz w:val="16"/>
        </w:rPr>
        <w:t xml:space="preserve"> million </w:t>
      </w:r>
      <w:proofErr w:type="gramStart"/>
      <w:r w:rsidRPr="006C05BA">
        <w:rPr>
          <w:sz w:val="16"/>
        </w:rPr>
        <w:t>tonnes</w:t>
      </w:r>
      <w:proofErr w:type="gramEnd"/>
    </w:p>
    <w:p w14:paraId="5767ADA6" w14:textId="6258F1A4" w:rsidR="00D566DB" w:rsidRPr="006C05BA" w:rsidRDefault="00D566DB" w:rsidP="00D566DB">
      <w:pPr>
        <w:pStyle w:val="BodyText"/>
        <w:numPr>
          <w:ilvl w:val="1"/>
          <w:numId w:val="10"/>
        </w:numPr>
        <w:spacing w:after="0"/>
        <w:ind w:left="851" w:hanging="284"/>
        <w:jc w:val="both"/>
        <w:rPr>
          <w:sz w:val="16"/>
        </w:rPr>
      </w:pPr>
      <w:r w:rsidRPr="006C05BA">
        <w:rPr>
          <w:sz w:val="16"/>
        </w:rPr>
        <w:t xml:space="preserve">China </w:t>
      </w:r>
      <w:r w:rsidR="00C82629" w:rsidRPr="006C05BA">
        <w:rPr>
          <w:sz w:val="16"/>
        </w:rPr>
        <w:t>rose 1</w:t>
      </w:r>
      <w:r w:rsidRPr="006C05BA">
        <w:rPr>
          <w:sz w:val="16"/>
        </w:rPr>
        <w:t>% to 29</w:t>
      </w:r>
      <w:r w:rsidR="00C82629" w:rsidRPr="006C05BA">
        <w:rPr>
          <w:sz w:val="16"/>
        </w:rPr>
        <w:t>5</w:t>
      </w:r>
      <w:r w:rsidRPr="006C05BA">
        <w:rPr>
          <w:sz w:val="16"/>
        </w:rPr>
        <w:t xml:space="preserve"> million </w:t>
      </w:r>
      <w:proofErr w:type="gramStart"/>
      <w:r w:rsidRPr="006C05BA">
        <w:rPr>
          <w:sz w:val="16"/>
        </w:rPr>
        <w:t>tonnes</w:t>
      </w:r>
      <w:proofErr w:type="gramEnd"/>
    </w:p>
    <w:p w14:paraId="3F7D93D2" w14:textId="5FB1A1A3" w:rsidR="00D566DB" w:rsidRPr="006C05BA" w:rsidRDefault="00D566DB" w:rsidP="00D566DB">
      <w:pPr>
        <w:pStyle w:val="BodyText"/>
        <w:numPr>
          <w:ilvl w:val="1"/>
          <w:numId w:val="10"/>
        </w:numPr>
        <w:spacing w:after="0"/>
        <w:ind w:left="851" w:hanging="284"/>
        <w:jc w:val="both"/>
        <w:rPr>
          <w:sz w:val="16"/>
        </w:rPr>
      </w:pPr>
      <w:r w:rsidRPr="006C05BA">
        <w:rPr>
          <w:sz w:val="16"/>
        </w:rPr>
        <w:t xml:space="preserve">India </w:t>
      </w:r>
      <w:r w:rsidR="00C82629" w:rsidRPr="006C05BA">
        <w:rPr>
          <w:sz w:val="16"/>
        </w:rPr>
        <w:t>rose 28</w:t>
      </w:r>
      <w:r w:rsidRPr="006C05BA">
        <w:rPr>
          <w:sz w:val="16"/>
        </w:rPr>
        <w:t xml:space="preserve">% to </w:t>
      </w:r>
      <w:r w:rsidR="00C82629" w:rsidRPr="006C05BA">
        <w:rPr>
          <w:sz w:val="16"/>
        </w:rPr>
        <w:t>249</w:t>
      </w:r>
      <w:r w:rsidRPr="006C05BA">
        <w:rPr>
          <w:sz w:val="16"/>
        </w:rPr>
        <w:t xml:space="preserve"> million </w:t>
      </w:r>
      <w:proofErr w:type="gramStart"/>
      <w:r w:rsidRPr="006C05BA">
        <w:rPr>
          <w:sz w:val="16"/>
        </w:rPr>
        <w:t>tonnes</w:t>
      </w:r>
      <w:proofErr w:type="gramEnd"/>
    </w:p>
    <w:p w14:paraId="4F9CA2F3" w14:textId="76FACB9C" w:rsidR="00D566DB" w:rsidRPr="006C05BA" w:rsidRDefault="00D566DB" w:rsidP="00D566DB">
      <w:pPr>
        <w:pStyle w:val="BodyText"/>
        <w:numPr>
          <w:ilvl w:val="1"/>
          <w:numId w:val="10"/>
        </w:numPr>
        <w:spacing w:after="0"/>
        <w:ind w:left="851" w:hanging="284"/>
        <w:jc w:val="both"/>
        <w:rPr>
          <w:sz w:val="16"/>
        </w:rPr>
      </w:pPr>
      <w:r w:rsidRPr="006C05BA">
        <w:rPr>
          <w:sz w:val="16"/>
        </w:rPr>
        <w:t xml:space="preserve">Russia </w:t>
      </w:r>
      <w:r w:rsidR="00C82629" w:rsidRPr="006C05BA">
        <w:rPr>
          <w:sz w:val="16"/>
        </w:rPr>
        <w:t>rose 2</w:t>
      </w:r>
      <w:r w:rsidRPr="006C05BA">
        <w:rPr>
          <w:sz w:val="16"/>
        </w:rPr>
        <w:t>% to 9</w:t>
      </w:r>
      <w:r w:rsidR="00C82629" w:rsidRPr="006C05BA">
        <w:rPr>
          <w:sz w:val="16"/>
        </w:rPr>
        <w:t>2</w:t>
      </w:r>
      <w:r w:rsidRPr="006C05BA">
        <w:rPr>
          <w:sz w:val="16"/>
        </w:rPr>
        <w:t> million tonnes.</w:t>
      </w:r>
    </w:p>
    <w:p w14:paraId="47241EF1" w14:textId="26183677" w:rsidR="00D566DB" w:rsidRPr="006C05BA" w:rsidRDefault="00D566DB" w:rsidP="00D566DB">
      <w:pPr>
        <w:pStyle w:val="BodyText"/>
        <w:numPr>
          <w:ilvl w:val="0"/>
          <w:numId w:val="9"/>
        </w:numPr>
        <w:spacing w:after="0"/>
        <w:jc w:val="both"/>
        <w:rPr>
          <w:sz w:val="16"/>
        </w:rPr>
      </w:pPr>
      <w:r w:rsidRPr="006C05BA">
        <w:rPr>
          <w:sz w:val="16"/>
        </w:rPr>
        <w:t>Western Australia’s iron ore supply increased by 3</w:t>
      </w:r>
      <w:r w:rsidR="007A7B9A" w:rsidRPr="006C05BA">
        <w:rPr>
          <w:sz w:val="16"/>
        </w:rPr>
        <w:t>13</w:t>
      </w:r>
      <w:r w:rsidRPr="006C05BA">
        <w:rPr>
          <w:sz w:val="16"/>
        </w:rPr>
        <w:t> million tonnes between 201</w:t>
      </w:r>
      <w:r w:rsidR="00C82629" w:rsidRPr="006C05BA">
        <w:rPr>
          <w:sz w:val="16"/>
        </w:rPr>
        <w:t>3</w:t>
      </w:r>
      <w:r w:rsidRPr="006C05BA">
        <w:rPr>
          <w:sz w:val="16"/>
        </w:rPr>
        <w:t xml:space="preserve"> and 202</w:t>
      </w:r>
      <w:r w:rsidR="00C82629" w:rsidRPr="006C05BA">
        <w:rPr>
          <w:sz w:val="16"/>
        </w:rPr>
        <w:t>3</w:t>
      </w:r>
      <w:r w:rsidRPr="006C05BA">
        <w:rPr>
          <w:sz w:val="16"/>
        </w:rPr>
        <w:t>. The increase in supply from Western Australia was greater than the net increase in global iron ore supply between 201</w:t>
      </w:r>
      <w:r w:rsidR="00C82629" w:rsidRPr="006C05BA">
        <w:rPr>
          <w:sz w:val="16"/>
        </w:rPr>
        <w:t>3</w:t>
      </w:r>
      <w:r w:rsidRPr="006C05BA">
        <w:rPr>
          <w:sz w:val="16"/>
        </w:rPr>
        <w:t xml:space="preserve"> and 202</w:t>
      </w:r>
      <w:r w:rsidR="00C82629" w:rsidRPr="006C05BA">
        <w:rPr>
          <w:sz w:val="16"/>
        </w:rPr>
        <w:t>3</w:t>
      </w:r>
      <w:r w:rsidRPr="006C05BA">
        <w:rPr>
          <w:sz w:val="16"/>
        </w:rPr>
        <w:t xml:space="preserve"> (</w:t>
      </w:r>
      <w:r w:rsidR="00C82629" w:rsidRPr="006C05BA">
        <w:rPr>
          <w:sz w:val="16"/>
        </w:rPr>
        <w:t xml:space="preserve">176 </w:t>
      </w:r>
      <w:r w:rsidRPr="006C05BA">
        <w:rPr>
          <w:sz w:val="16"/>
        </w:rPr>
        <w:t>million tonnes) as supply from China and some other countries fell over this period.</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506AB46A" w14:textId="77777777" w:rsidR="00D566DB" w:rsidRDefault="00D566DB" w:rsidP="00D566DB">
      <w:pPr>
        <w:pStyle w:val="BodyText"/>
        <w:spacing w:after="0"/>
        <w:jc w:val="both"/>
        <w:rPr>
          <w:sz w:val="16"/>
        </w:rPr>
      </w:pPr>
    </w:p>
    <w:p w14:paraId="28983840" w14:textId="77777777" w:rsidR="00D566DB" w:rsidRPr="00237515" w:rsidRDefault="00D566DB" w:rsidP="00D566DB">
      <w:pPr>
        <w:pStyle w:val="BodyText"/>
        <w:spacing w:after="0"/>
        <w:rPr>
          <w:b/>
          <w:color w:val="92278F" w:themeColor="accent1"/>
          <w:sz w:val="20"/>
        </w:rPr>
      </w:pPr>
      <w:r w:rsidRPr="00F5210E">
        <w:rPr>
          <w:b/>
          <w:color w:val="92278F" w:themeColor="accent1"/>
          <w:sz w:val="20"/>
        </w:rPr>
        <w:t>Iron ore demand</w:t>
      </w:r>
      <w:r w:rsidRPr="00F5210E">
        <w:rPr>
          <w:b/>
          <w:color w:val="92278F" w:themeColor="accent1"/>
          <w:sz w:val="20"/>
          <w:vertAlign w:val="superscript"/>
        </w:rPr>
        <w:t>1</w:t>
      </w:r>
      <w:r w:rsidRPr="00F5210E">
        <w:rPr>
          <w:b/>
          <w:color w:val="92278F" w:themeColor="accent1"/>
          <w:sz w:val="20"/>
        </w:rPr>
        <w:t xml:space="preserve"> in Asia</w:t>
      </w:r>
    </w:p>
    <w:p w14:paraId="72B2BEBF" w14:textId="20FC5435" w:rsidR="00D566DB" w:rsidRPr="0005685E" w:rsidRDefault="00A239FC" w:rsidP="00D566DB">
      <w:pPr>
        <w:pStyle w:val="BodyText"/>
        <w:spacing w:after="0"/>
        <w:jc w:val="both"/>
        <w:rPr>
          <w:sz w:val="16"/>
        </w:rPr>
      </w:pPr>
      <w:r>
        <w:rPr>
          <w:noProof/>
          <w:sz w:val="16"/>
        </w:rPr>
        <w:drawing>
          <wp:inline distT="0" distB="0" distL="0" distR="0" wp14:anchorId="5DEB5D33" wp14:editId="0F17D969">
            <wp:extent cx="3253105" cy="184785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3105" cy="1847850"/>
                    </a:xfrm>
                    <a:prstGeom prst="rect">
                      <a:avLst/>
                    </a:prstGeom>
                    <a:noFill/>
                    <a:ln>
                      <a:noFill/>
                    </a:ln>
                  </pic:spPr>
                </pic:pic>
              </a:graphicData>
            </a:graphic>
          </wp:inline>
        </w:drawing>
      </w:r>
    </w:p>
    <w:p w14:paraId="4E4C9AE0" w14:textId="77777777" w:rsidR="00D566DB" w:rsidRPr="008100D3" w:rsidRDefault="00D566DB" w:rsidP="00D566DB">
      <w:pPr>
        <w:spacing w:after="0"/>
        <w:rPr>
          <w:rFonts w:cs="Arial"/>
          <w:sz w:val="10"/>
          <w:szCs w:val="20"/>
        </w:rPr>
      </w:pPr>
      <w:r>
        <w:rPr>
          <w:sz w:val="10"/>
        </w:rPr>
        <w:t xml:space="preserve">Mt = </w:t>
      </w:r>
      <w:r w:rsidRPr="008100D3">
        <w:rPr>
          <w:sz w:val="10"/>
        </w:rPr>
        <w:t xml:space="preserve">Million tonnes. </w:t>
      </w:r>
      <w:r w:rsidRPr="008100D3">
        <w:rPr>
          <w:rFonts w:cs="Arial"/>
          <w:sz w:val="10"/>
          <w:szCs w:val="20"/>
          <w:vertAlign w:val="superscript"/>
        </w:rPr>
        <w:t>1</w:t>
      </w:r>
      <w:r w:rsidRPr="008100D3">
        <w:rPr>
          <w:rFonts w:cs="Arial"/>
          <w:sz w:val="10"/>
          <w:szCs w:val="20"/>
        </w:rPr>
        <w:t xml:space="preserve"> Total iron ore consumption. (a) India and other Asian countries.</w:t>
      </w:r>
    </w:p>
    <w:p w14:paraId="6BDE5605" w14:textId="6A80F97F" w:rsidR="00D566DB" w:rsidRPr="008100D3" w:rsidRDefault="00D566DB" w:rsidP="00D566DB">
      <w:pPr>
        <w:spacing w:after="0"/>
        <w:jc w:val="both"/>
        <w:rPr>
          <w:sz w:val="10"/>
        </w:rPr>
      </w:pPr>
      <w:r w:rsidRPr="008100D3">
        <w:rPr>
          <w:rFonts w:cs="Arial"/>
          <w:sz w:val="10"/>
          <w:szCs w:val="20"/>
        </w:rPr>
        <w:t xml:space="preserve">Source: CRU, Iron Ore Market Outlook – Statistical </w:t>
      </w:r>
      <w:r w:rsidRPr="006C05BA">
        <w:rPr>
          <w:rFonts w:cs="Arial"/>
          <w:sz w:val="10"/>
          <w:szCs w:val="20"/>
        </w:rPr>
        <w:t xml:space="preserve">Review – </w:t>
      </w:r>
      <w:r w:rsidR="008028E0" w:rsidRPr="006C05BA">
        <w:rPr>
          <w:rFonts w:cs="Arial"/>
          <w:sz w:val="10"/>
          <w:szCs w:val="20"/>
        </w:rPr>
        <w:t>January 2024</w:t>
      </w:r>
      <w:r w:rsidRPr="006C05BA">
        <w:rPr>
          <w:sz w:val="10"/>
        </w:rPr>
        <w:t xml:space="preserve"> </w:t>
      </w:r>
      <w:r w:rsidRPr="008100D3">
        <w:rPr>
          <w:sz w:val="10"/>
        </w:rPr>
        <w:t>(Quarterly).</w:t>
      </w:r>
    </w:p>
    <w:p w14:paraId="4B96E511" w14:textId="77777777" w:rsidR="00D566DB" w:rsidRDefault="00D566DB" w:rsidP="00D566DB">
      <w:pPr>
        <w:pStyle w:val="BodyText"/>
        <w:spacing w:after="0"/>
        <w:jc w:val="both"/>
        <w:rPr>
          <w:sz w:val="16"/>
        </w:rPr>
      </w:pPr>
      <w:r>
        <w:rPr>
          <w:sz w:val="16"/>
        </w:rPr>
        <w:br w:type="column"/>
      </w:r>
    </w:p>
    <w:p w14:paraId="76DEA2B3" w14:textId="77777777" w:rsidR="00D566DB" w:rsidRDefault="00D566DB" w:rsidP="00D566DB">
      <w:pPr>
        <w:pStyle w:val="BodyText"/>
        <w:spacing w:after="0"/>
        <w:jc w:val="both"/>
        <w:rPr>
          <w:sz w:val="16"/>
        </w:rPr>
      </w:pPr>
    </w:p>
    <w:p w14:paraId="5614B1F3" w14:textId="4E11627D" w:rsidR="00D566DB" w:rsidRPr="006C05BA" w:rsidRDefault="00D566DB" w:rsidP="00D566DB">
      <w:pPr>
        <w:pStyle w:val="BodyText"/>
        <w:numPr>
          <w:ilvl w:val="0"/>
          <w:numId w:val="9"/>
        </w:numPr>
        <w:spacing w:after="0"/>
        <w:jc w:val="both"/>
        <w:rPr>
          <w:sz w:val="16"/>
        </w:rPr>
      </w:pPr>
      <w:r w:rsidRPr="006C05BA">
        <w:rPr>
          <w:sz w:val="16"/>
        </w:rPr>
        <w:t>Asia accounted for 8</w:t>
      </w:r>
      <w:r w:rsidR="00F56BE7" w:rsidRPr="006C05BA">
        <w:rPr>
          <w:sz w:val="16"/>
        </w:rPr>
        <w:t>1</w:t>
      </w:r>
      <w:r w:rsidRPr="006C05BA">
        <w:rPr>
          <w:sz w:val="16"/>
        </w:rPr>
        <w:t>% of global iron ore demand in 202</w:t>
      </w:r>
      <w:r w:rsidR="00F56BE7" w:rsidRPr="006C05BA">
        <w:rPr>
          <w:sz w:val="16"/>
        </w:rPr>
        <w:t>3</w:t>
      </w:r>
      <w:r w:rsidRPr="006C05BA">
        <w:rPr>
          <w:sz w:val="16"/>
        </w:rPr>
        <w:t>. Among Asian countries, China (6</w:t>
      </w:r>
      <w:r w:rsidR="00F56BE7" w:rsidRPr="006C05BA">
        <w:rPr>
          <w:sz w:val="16"/>
        </w:rPr>
        <w:t>3</w:t>
      </w:r>
      <w:r w:rsidRPr="006C05BA">
        <w:rPr>
          <w:sz w:val="16"/>
        </w:rPr>
        <w:t>%), India (</w:t>
      </w:r>
      <w:r w:rsidR="00F56BE7" w:rsidRPr="006C05BA">
        <w:rPr>
          <w:sz w:val="16"/>
        </w:rPr>
        <w:t>9</w:t>
      </w:r>
      <w:r w:rsidRPr="006C05BA">
        <w:rPr>
          <w:sz w:val="16"/>
        </w:rPr>
        <w:t>%), Japan (4%) and South Korea (3%) had the largest shares of global iron ore demand.</w:t>
      </w:r>
    </w:p>
    <w:p w14:paraId="72FB9A1B" w14:textId="70985D90" w:rsidR="00D566DB" w:rsidRPr="006C05BA" w:rsidRDefault="00D566DB" w:rsidP="00D566DB">
      <w:pPr>
        <w:pStyle w:val="BodyText"/>
        <w:numPr>
          <w:ilvl w:val="0"/>
          <w:numId w:val="9"/>
        </w:numPr>
        <w:spacing w:after="0"/>
        <w:jc w:val="both"/>
        <w:rPr>
          <w:sz w:val="16"/>
        </w:rPr>
      </w:pPr>
      <w:r w:rsidRPr="006C05BA">
        <w:rPr>
          <w:sz w:val="16"/>
        </w:rPr>
        <w:t>In 202</w:t>
      </w:r>
      <w:r w:rsidR="00EE25C7" w:rsidRPr="006C05BA">
        <w:rPr>
          <w:sz w:val="16"/>
        </w:rPr>
        <w:t>3</w:t>
      </w:r>
      <w:r w:rsidRPr="006C05BA">
        <w:rPr>
          <w:sz w:val="16"/>
        </w:rPr>
        <w:t xml:space="preserve">, Asia’s iron ore demand </w:t>
      </w:r>
      <w:r w:rsidR="00EE25C7" w:rsidRPr="006C05BA">
        <w:rPr>
          <w:sz w:val="16"/>
        </w:rPr>
        <w:t>increased 3</w:t>
      </w:r>
      <w:r w:rsidR="00AF1F4D" w:rsidRPr="006C05BA">
        <w:rPr>
          <w:sz w:val="16"/>
        </w:rPr>
        <w:t>.5</w:t>
      </w:r>
      <w:r w:rsidRPr="006C05BA">
        <w:rPr>
          <w:sz w:val="16"/>
        </w:rPr>
        <w:t>% to 1,</w:t>
      </w:r>
      <w:r w:rsidR="00EE25C7" w:rsidRPr="006C05BA">
        <w:rPr>
          <w:sz w:val="16"/>
        </w:rPr>
        <w:t>866</w:t>
      </w:r>
      <w:r w:rsidRPr="006C05BA">
        <w:rPr>
          <w:sz w:val="16"/>
        </w:rPr>
        <w:t> million tonnes. Within Asia, iron ore demand from:</w:t>
      </w:r>
    </w:p>
    <w:p w14:paraId="3953EE0D" w14:textId="368A5534" w:rsidR="00D566DB" w:rsidRPr="006C05BA" w:rsidRDefault="00D566DB" w:rsidP="00D566DB">
      <w:pPr>
        <w:pStyle w:val="BodyText"/>
        <w:numPr>
          <w:ilvl w:val="1"/>
          <w:numId w:val="10"/>
        </w:numPr>
        <w:spacing w:after="0"/>
        <w:ind w:left="851" w:hanging="284"/>
        <w:jc w:val="both"/>
        <w:rPr>
          <w:sz w:val="16"/>
        </w:rPr>
      </w:pPr>
      <w:r w:rsidRPr="006C05BA">
        <w:rPr>
          <w:sz w:val="16"/>
        </w:rPr>
        <w:t xml:space="preserve">China </w:t>
      </w:r>
      <w:r w:rsidR="00EE25C7" w:rsidRPr="006C05BA">
        <w:rPr>
          <w:sz w:val="16"/>
        </w:rPr>
        <w:t>rose 2.7</w:t>
      </w:r>
      <w:r w:rsidRPr="006C05BA">
        <w:rPr>
          <w:sz w:val="16"/>
        </w:rPr>
        <w:t>% to 1,4</w:t>
      </w:r>
      <w:r w:rsidR="00EE25C7" w:rsidRPr="006C05BA">
        <w:rPr>
          <w:sz w:val="16"/>
        </w:rPr>
        <w:t>41</w:t>
      </w:r>
      <w:r w:rsidRPr="006C05BA">
        <w:rPr>
          <w:sz w:val="16"/>
        </w:rPr>
        <w:t xml:space="preserve"> million </w:t>
      </w:r>
      <w:proofErr w:type="gramStart"/>
      <w:r w:rsidRPr="006C05BA">
        <w:rPr>
          <w:sz w:val="16"/>
        </w:rPr>
        <w:t>tonnes</w:t>
      </w:r>
      <w:proofErr w:type="gramEnd"/>
    </w:p>
    <w:p w14:paraId="63E04675" w14:textId="5AF12877" w:rsidR="00D566DB" w:rsidRPr="006C05BA" w:rsidRDefault="00D566DB" w:rsidP="00D566DB">
      <w:pPr>
        <w:pStyle w:val="BodyText"/>
        <w:numPr>
          <w:ilvl w:val="1"/>
          <w:numId w:val="10"/>
        </w:numPr>
        <w:spacing w:after="0"/>
        <w:ind w:left="851" w:hanging="284"/>
        <w:jc w:val="both"/>
        <w:rPr>
          <w:sz w:val="16"/>
        </w:rPr>
      </w:pPr>
      <w:r w:rsidRPr="006C05BA">
        <w:rPr>
          <w:sz w:val="16"/>
        </w:rPr>
        <w:t xml:space="preserve">Japan, South </w:t>
      </w:r>
      <w:proofErr w:type="gramStart"/>
      <w:r w:rsidRPr="006C05BA">
        <w:rPr>
          <w:sz w:val="16"/>
        </w:rPr>
        <w:t>Korea</w:t>
      </w:r>
      <w:proofErr w:type="gramEnd"/>
      <w:r w:rsidRPr="006C05BA">
        <w:rPr>
          <w:sz w:val="16"/>
        </w:rPr>
        <w:t xml:space="preserve"> and Taiwan combined </w:t>
      </w:r>
      <w:r w:rsidR="00EE25C7" w:rsidRPr="006C05BA">
        <w:rPr>
          <w:sz w:val="16"/>
        </w:rPr>
        <w:t>rose</w:t>
      </w:r>
      <w:r w:rsidRPr="006C05BA">
        <w:rPr>
          <w:sz w:val="16"/>
        </w:rPr>
        <w:t xml:space="preserve"> 1</w:t>
      </w:r>
      <w:r w:rsidR="00EE25C7" w:rsidRPr="006C05BA">
        <w:rPr>
          <w:sz w:val="16"/>
        </w:rPr>
        <w:t>.2</w:t>
      </w:r>
      <w:r w:rsidRPr="006C05BA">
        <w:rPr>
          <w:sz w:val="16"/>
        </w:rPr>
        <w:t>% to 18</w:t>
      </w:r>
      <w:r w:rsidR="00EE25C7" w:rsidRPr="006C05BA">
        <w:rPr>
          <w:sz w:val="16"/>
        </w:rPr>
        <w:t>8</w:t>
      </w:r>
      <w:r w:rsidRPr="006C05BA">
        <w:rPr>
          <w:sz w:val="16"/>
        </w:rPr>
        <w:t xml:space="preserve"> million </w:t>
      </w:r>
      <w:r w:rsidR="003F267B" w:rsidRPr="006C05BA">
        <w:rPr>
          <w:sz w:val="16"/>
        </w:rPr>
        <w:t>tonnes.</w:t>
      </w:r>
    </w:p>
    <w:p w14:paraId="2DFBD943" w14:textId="6FAE8C17" w:rsidR="00D566DB" w:rsidRPr="006C05BA" w:rsidRDefault="00D566DB" w:rsidP="00D566DB">
      <w:pPr>
        <w:pStyle w:val="BodyText"/>
        <w:numPr>
          <w:ilvl w:val="1"/>
          <w:numId w:val="10"/>
        </w:numPr>
        <w:spacing w:after="0"/>
        <w:ind w:left="851" w:hanging="284"/>
        <w:jc w:val="both"/>
        <w:rPr>
          <w:sz w:val="16"/>
        </w:rPr>
      </w:pPr>
      <w:r w:rsidRPr="006C05BA">
        <w:rPr>
          <w:sz w:val="16"/>
        </w:rPr>
        <w:t xml:space="preserve">The rest of Asia rose </w:t>
      </w:r>
      <w:r w:rsidR="00EE25C7" w:rsidRPr="006C05BA">
        <w:rPr>
          <w:sz w:val="16"/>
        </w:rPr>
        <w:t>1</w:t>
      </w:r>
      <w:r w:rsidR="00AF1F4D" w:rsidRPr="006C05BA">
        <w:rPr>
          <w:sz w:val="16"/>
        </w:rPr>
        <w:t>0.8</w:t>
      </w:r>
      <w:r w:rsidRPr="006C05BA">
        <w:rPr>
          <w:sz w:val="16"/>
        </w:rPr>
        <w:t>% to 2</w:t>
      </w:r>
      <w:r w:rsidR="00EE25C7" w:rsidRPr="006C05BA">
        <w:rPr>
          <w:sz w:val="16"/>
        </w:rPr>
        <w:t>37</w:t>
      </w:r>
      <w:r w:rsidRPr="006C05BA">
        <w:rPr>
          <w:sz w:val="16"/>
        </w:rPr>
        <w:t> million tonnes.</w:t>
      </w:r>
    </w:p>
    <w:p w14:paraId="31CAA241" w14:textId="16D2D7D6" w:rsidR="00D566DB" w:rsidRPr="00DA0F83" w:rsidRDefault="00D566DB" w:rsidP="00D566DB">
      <w:pPr>
        <w:pStyle w:val="BodyText"/>
        <w:numPr>
          <w:ilvl w:val="0"/>
          <w:numId w:val="9"/>
        </w:numPr>
        <w:spacing w:after="0"/>
        <w:jc w:val="both"/>
        <w:rPr>
          <w:sz w:val="16"/>
        </w:rPr>
      </w:pPr>
      <w:r w:rsidRPr="00DA0F83">
        <w:rPr>
          <w:sz w:val="16"/>
        </w:rPr>
        <w:t>CRU forecasts Asia’s iron ore demand will fall by 1</w:t>
      </w:r>
      <w:r w:rsidR="00EE25C7" w:rsidRPr="00DA0F83">
        <w:rPr>
          <w:sz w:val="16"/>
        </w:rPr>
        <w:t>58</w:t>
      </w:r>
      <w:r w:rsidRPr="00DA0F83">
        <w:rPr>
          <w:sz w:val="16"/>
        </w:rPr>
        <w:t> million tonnes between 202</w:t>
      </w:r>
      <w:r w:rsidR="00EE25C7" w:rsidRPr="00DA0F83">
        <w:rPr>
          <w:sz w:val="16"/>
        </w:rPr>
        <w:t>3</w:t>
      </w:r>
      <w:r w:rsidRPr="00DA0F83">
        <w:rPr>
          <w:sz w:val="16"/>
        </w:rPr>
        <w:t xml:space="preserve"> and 202</w:t>
      </w:r>
      <w:r w:rsidR="00EE25C7" w:rsidRPr="00DA0F83">
        <w:rPr>
          <w:sz w:val="16"/>
        </w:rPr>
        <w:t>8</w:t>
      </w:r>
      <w:r w:rsidRPr="00DA0F83">
        <w:rPr>
          <w:sz w:val="16"/>
        </w:rPr>
        <w:t xml:space="preserve">, with the forecast decrease in demand over this period from China (down </w:t>
      </w:r>
      <w:r w:rsidR="00EE25C7" w:rsidRPr="00DA0F83">
        <w:rPr>
          <w:sz w:val="16"/>
        </w:rPr>
        <w:t>215</w:t>
      </w:r>
      <w:r w:rsidRPr="00DA0F83">
        <w:rPr>
          <w:sz w:val="16"/>
        </w:rPr>
        <w:t xml:space="preserve"> million tonnes) and Japan, South Korea and Taiwan combined (down </w:t>
      </w:r>
      <w:r w:rsidR="00EE25C7" w:rsidRPr="00DA0F83">
        <w:rPr>
          <w:sz w:val="16"/>
        </w:rPr>
        <w:t>4</w:t>
      </w:r>
      <w:r w:rsidRPr="00DA0F83">
        <w:rPr>
          <w:sz w:val="16"/>
        </w:rPr>
        <w:t> million tonnes) more than offsetting forecasted higher demand from the rest of Asia (up 6</w:t>
      </w:r>
      <w:r w:rsidR="00EE25C7" w:rsidRPr="00DA0F83">
        <w:rPr>
          <w:sz w:val="16"/>
        </w:rPr>
        <w:t>2</w:t>
      </w:r>
      <w:r w:rsidRPr="00DA0F83">
        <w:rPr>
          <w:sz w:val="16"/>
        </w:rPr>
        <w:t> million tonnes).</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0780EB75" w14:textId="77777777" w:rsidR="00D566DB" w:rsidRDefault="00D566DB" w:rsidP="00D566DB">
      <w:pPr>
        <w:pStyle w:val="BodyText"/>
        <w:spacing w:after="0"/>
        <w:jc w:val="both"/>
        <w:rPr>
          <w:sz w:val="16"/>
        </w:rPr>
      </w:pPr>
    </w:p>
    <w:p w14:paraId="77D59056" w14:textId="77777777" w:rsidR="00D566DB" w:rsidRPr="00237515" w:rsidRDefault="00D566DB" w:rsidP="00D566DB">
      <w:pPr>
        <w:pStyle w:val="BodyText"/>
        <w:spacing w:after="0"/>
        <w:rPr>
          <w:b/>
          <w:color w:val="92278F" w:themeColor="accent1"/>
          <w:sz w:val="20"/>
        </w:rPr>
      </w:pPr>
      <w:r w:rsidRPr="00F5210E">
        <w:rPr>
          <w:b/>
          <w:color w:val="92278F" w:themeColor="accent1"/>
          <w:sz w:val="20"/>
        </w:rPr>
        <w:t>Western Australia’s iron ore exports by market</w:t>
      </w:r>
    </w:p>
    <w:p w14:paraId="570F3338" w14:textId="3AD866CA" w:rsidR="00D566DB" w:rsidRDefault="0073029D" w:rsidP="00D566DB">
      <w:pPr>
        <w:pStyle w:val="BodyText"/>
        <w:spacing w:after="0"/>
        <w:jc w:val="both"/>
        <w:rPr>
          <w:sz w:val="16"/>
        </w:rPr>
      </w:pPr>
      <w:r>
        <w:rPr>
          <w:noProof/>
          <w:sz w:val="16"/>
        </w:rPr>
        <w:drawing>
          <wp:inline distT="0" distB="0" distL="0" distR="0" wp14:anchorId="35ADB7D6" wp14:editId="37906DFD">
            <wp:extent cx="3411220" cy="21786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1220" cy="2178685"/>
                    </a:xfrm>
                    <a:prstGeom prst="rect">
                      <a:avLst/>
                    </a:prstGeom>
                    <a:noFill/>
                    <a:ln>
                      <a:noFill/>
                    </a:ln>
                  </pic:spPr>
                </pic:pic>
              </a:graphicData>
            </a:graphic>
          </wp:inline>
        </w:drawing>
      </w:r>
    </w:p>
    <w:p w14:paraId="7D2CCE78" w14:textId="77777777" w:rsidR="00D566DB" w:rsidRPr="00CE6EA4" w:rsidRDefault="00D566DB" w:rsidP="00D566DB">
      <w:pPr>
        <w:spacing w:after="0"/>
        <w:jc w:val="both"/>
        <w:rPr>
          <w:sz w:val="10"/>
        </w:rPr>
      </w:pPr>
      <w:r>
        <w:rPr>
          <w:sz w:val="10"/>
        </w:rPr>
        <w:t>Mt = Million tonne</w:t>
      </w:r>
      <w:r w:rsidRPr="00CE4E0F">
        <w:rPr>
          <w:sz w:val="10"/>
        </w:rPr>
        <w:t>s</w:t>
      </w:r>
      <w:r w:rsidRPr="00D52B86">
        <w:rPr>
          <w:sz w:val="10"/>
        </w:rPr>
        <w:t xml:space="preserve">. (a) Includes mainly Vietnam, Indonesia, Singapore, Hong Kong (SAR of China), Malaysia and </w:t>
      </w:r>
      <w:r w:rsidRPr="00CE6EA4">
        <w:rPr>
          <w:sz w:val="10"/>
        </w:rPr>
        <w:t>India.</w:t>
      </w:r>
    </w:p>
    <w:p w14:paraId="3AF9DDB6" w14:textId="77777777" w:rsidR="00D566DB" w:rsidRPr="007F4A87" w:rsidRDefault="00D566DB" w:rsidP="00D566DB">
      <w:pPr>
        <w:spacing w:after="0"/>
        <w:jc w:val="both"/>
        <w:rPr>
          <w:sz w:val="10"/>
        </w:rPr>
      </w:pPr>
      <w:r w:rsidRPr="007F4A87">
        <w:rPr>
          <w:sz w:val="10"/>
          <w:vertAlign w:val="superscript"/>
        </w:rPr>
        <w:t>1</w:t>
      </w:r>
      <w:r w:rsidRPr="007F4A87">
        <w:rPr>
          <w:sz w:val="10"/>
        </w:rPr>
        <w:t xml:space="preserve"> Excludes China, Japan, South </w:t>
      </w:r>
      <w:proofErr w:type="gramStart"/>
      <w:r w:rsidRPr="007F4A87">
        <w:rPr>
          <w:sz w:val="10"/>
        </w:rPr>
        <w:t>Korea</w:t>
      </w:r>
      <w:proofErr w:type="gramEnd"/>
      <w:r w:rsidRPr="007F4A87">
        <w:rPr>
          <w:sz w:val="10"/>
        </w:rPr>
        <w:t xml:space="preserve"> and Taiwan.</w:t>
      </w:r>
    </w:p>
    <w:p w14:paraId="1EBB5C5F" w14:textId="77777777" w:rsidR="00D566DB" w:rsidRPr="00716C34" w:rsidRDefault="00D566DB" w:rsidP="00D566DB">
      <w:pPr>
        <w:spacing w:after="0"/>
        <w:jc w:val="both"/>
        <w:rPr>
          <w:sz w:val="10"/>
        </w:rPr>
      </w:pPr>
      <w:r w:rsidRPr="007F4A87">
        <w:rPr>
          <w:sz w:val="10"/>
        </w:rPr>
        <w:t>Source:</w:t>
      </w:r>
      <w:r>
        <w:rPr>
          <w:sz w:val="10"/>
        </w:rPr>
        <w:t xml:space="preserve"> Based on data from</w:t>
      </w:r>
      <w:r w:rsidRPr="007F4A87">
        <w:rPr>
          <w:sz w:val="10"/>
        </w:rPr>
        <w:t xml:space="preserve"> ABS 5368.0 International Trade in Goods and Services</w:t>
      </w:r>
      <w:r>
        <w:rPr>
          <w:sz w:val="10"/>
        </w:rPr>
        <w:t>, Australia (Monthly)</w:t>
      </w:r>
      <w:r w:rsidRPr="00716C34">
        <w:rPr>
          <w:sz w:val="10"/>
        </w:rPr>
        <w:t>.</w:t>
      </w:r>
    </w:p>
    <w:p w14:paraId="14D36668" w14:textId="77777777" w:rsidR="00D566DB" w:rsidRDefault="00D566DB" w:rsidP="00D566DB">
      <w:pPr>
        <w:spacing w:after="0"/>
        <w:jc w:val="both"/>
        <w:rPr>
          <w:sz w:val="16"/>
        </w:rPr>
      </w:pPr>
      <w:r>
        <w:br w:type="column"/>
      </w:r>
    </w:p>
    <w:p w14:paraId="0D0C589C" w14:textId="77777777" w:rsidR="00D566DB" w:rsidRDefault="00D566DB" w:rsidP="00D566DB">
      <w:pPr>
        <w:spacing w:after="0"/>
        <w:jc w:val="both"/>
        <w:rPr>
          <w:sz w:val="16"/>
        </w:rPr>
      </w:pPr>
    </w:p>
    <w:p w14:paraId="2DB00E52" w14:textId="32B2FCBB" w:rsidR="00D566DB" w:rsidRPr="006C05BA" w:rsidRDefault="00D566DB" w:rsidP="00D566DB">
      <w:pPr>
        <w:pStyle w:val="BodyText"/>
        <w:numPr>
          <w:ilvl w:val="0"/>
          <w:numId w:val="9"/>
        </w:numPr>
        <w:spacing w:after="0"/>
        <w:jc w:val="both"/>
        <w:rPr>
          <w:sz w:val="16"/>
        </w:rPr>
      </w:pPr>
      <w:r w:rsidRPr="006C05BA">
        <w:rPr>
          <w:sz w:val="16"/>
        </w:rPr>
        <w:t>Western Australia’s iron ore industry has established long</w:t>
      </w:r>
      <w:r w:rsidRPr="006C05BA">
        <w:rPr>
          <w:sz w:val="16"/>
        </w:rPr>
        <w:noBreakHyphen/>
        <w:t>term trade relationships across Asia. In 2023, Western Australia accounted for</w:t>
      </w:r>
      <w:r w:rsidR="00C47AD4" w:rsidRPr="006C05BA">
        <w:rPr>
          <w:sz w:val="16"/>
        </w:rPr>
        <w:t xml:space="preserve"> an estimated 65% of China’s iron ore imports, 50% of Japan’s iron ore imports and 69% of South Korea’s iron ore imports</w:t>
      </w:r>
      <w:r w:rsidRPr="006C05BA">
        <w:rPr>
          <w:sz w:val="16"/>
        </w:rPr>
        <w:t>.</w:t>
      </w:r>
    </w:p>
    <w:p w14:paraId="56223BBA" w14:textId="713595D5" w:rsidR="00D566DB" w:rsidRPr="006C05BA" w:rsidRDefault="00D566DB" w:rsidP="00D566DB">
      <w:pPr>
        <w:pStyle w:val="BodyText"/>
        <w:numPr>
          <w:ilvl w:val="0"/>
          <w:numId w:val="9"/>
        </w:numPr>
        <w:spacing w:after="0"/>
        <w:jc w:val="both"/>
        <w:rPr>
          <w:sz w:val="16"/>
        </w:rPr>
      </w:pPr>
      <w:r w:rsidRPr="006C05BA">
        <w:rPr>
          <w:sz w:val="16"/>
        </w:rPr>
        <w:t xml:space="preserve">In 2022-23, China accounted for 85% of Western Australia’s iron ore export volumes. The volume of the State’s iron ore exports to China rose </w:t>
      </w:r>
      <w:r w:rsidR="0073029D" w:rsidRPr="006C05BA">
        <w:rPr>
          <w:sz w:val="16"/>
        </w:rPr>
        <w:t>3</w:t>
      </w:r>
      <w:r w:rsidRPr="006C05BA">
        <w:rPr>
          <w:sz w:val="16"/>
        </w:rPr>
        <w:t xml:space="preserve">% to </w:t>
      </w:r>
      <w:r w:rsidR="0073029D" w:rsidRPr="006C05BA">
        <w:rPr>
          <w:sz w:val="16"/>
        </w:rPr>
        <w:t>747</w:t>
      </w:r>
      <w:r w:rsidRPr="006C05BA">
        <w:rPr>
          <w:sz w:val="16"/>
        </w:rPr>
        <w:t> million tonnes in 2023.</w:t>
      </w:r>
    </w:p>
    <w:p w14:paraId="7A5A2389" w14:textId="233953A1" w:rsidR="00D566DB" w:rsidRPr="006C05BA" w:rsidRDefault="00D566DB" w:rsidP="00D566DB">
      <w:pPr>
        <w:pStyle w:val="BodyText"/>
        <w:numPr>
          <w:ilvl w:val="0"/>
          <w:numId w:val="9"/>
        </w:numPr>
        <w:spacing w:after="0"/>
        <w:jc w:val="both"/>
        <w:rPr>
          <w:sz w:val="16"/>
        </w:rPr>
      </w:pPr>
      <w:r w:rsidRPr="006C05BA">
        <w:rPr>
          <w:sz w:val="16"/>
        </w:rPr>
        <w:t xml:space="preserve">The volume of Western Australia’s iron ore exports to Japan, South Korea and Taiwan combined fell </w:t>
      </w:r>
      <w:r w:rsidR="0073029D" w:rsidRPr="006C05BA">
        <w:rPr>
          <w:sz w:val="16"/>
        </w:rPr>
        <w:t>8</w:t>
      </w:r>
      <w:r w:rsidRPr="006C05BA">
        <w:rPr>
          <w:sz w:val="16"/>
        </w:rPr>
        <w:t>% to 11</w:t>
      </w:r>
      <w:r w:rsidR="0073029D" w:rsidRPr="006C05BA">
        <w:rPr>
          <w:sz w:val="16"/>
        </w:rPr>
        <w:t>5</w:t>
      </w:r>
      <w:r w:rsidRPr="006C05BA">
        <w:rPr>
          <w:sz w:val="16"/>
        </w:rPr>
        <w:t> million tonnes in 2023.</w:t>
      </w:r>
    </w:p>
    <w:p w14:paraId="6F123E38" w14:textId="01A44456" w:rsidR="00D566DB" w:rsidRPr="006C05BA" w:rsidRDefault="00D566DB" w:rsidP="00D566DB">
      <w:pPr>
        <w:pStyle w:val="BodyText"/>
        <w:numPr>
          <w:ilvl w:val="0"/>
          <w:numId w:val="9"/>
        </w:numPr>
        <w:spacing w:after="0"/>
        <w:jc w:val="both"/>
        <w:rPr>
          <w:sz w:val="16"/>
        </w:rPr>
      </w:pPr>
      <w:r w:rsidRPr="006C05BA">
        <w:rPr>
          <w:sz w:val="16"/>
        </w:rPr>
        <w:t>The volume of Western Australia’s iron ore exports to all other countries</w:t>
      </w:r>
      <w:r w:rsidRPr="006C05BA">
        <w:rPr>
          <w:sz w:val="16"/>
          <w:vertAlign w:val="superscript"/>
        </w:rPr>
        <w:t>1</w:t>
      </w:r>
      <w:r w:rsidRPr="006C05BA">
        <w:rPr>
          <w:sz w:val="16"/>
        </w:rPr>
        <w:t xml:space="preserve"> fell </w:t>
      </w:r>
      <w:r w:rsidR="0073029D" w:rsidRPr="006C05BA">
        <w:rPr>
          <w:sz w:val="16"/>
        </w:rPr>
        <w:t>5</w:t>
      </w:r>
      <w:r w:rsidRPr="006C05BA">
        <w:rPr>
          <w:sz w:val="16"/>
        </w:rPr>
        <w:t xml:space="preserve">% to </w:t>
      </w:r>
      <w:r w:rsidR="0073029D" w:rsidRPr="006C05BA">
        <w:rPr>
          <w:sz w:val="16"/>
        </w:rPr>
        <w:t>20</w:t>
      </w:r>
      <w:r w:rsidRPr="006C05BA">
        <w:rPr>
          <w:sz w:val="16"/>
        </w:rPr>
        <w:t> million tonnes in 2023.</w:t>
      </w:r>
    </w:p>
    <w:p w14:paraId="29E9E980" w14:textId="787008E6" w:rsidR="00D566DB" w:rsidRPr="00AB4864" w:rsidRDefault="00D566DB" w:rsidP="00D566DB">
      <w:pPr>
        <w:pStyle w:val="BodyText"/>
        <w:numPr>
          <w:ilvl w:val="0"/>
          <w:numId w:val="9"/>
        </w:numPr>
        <w:spacing w:after="0"/>
        <w:jc w:val="both"/>
        <w:rPr>
          <w:sz w:val="16"/>
        </w:rPr>
      </w:pPr>
      <w:r w:rsidRPr="00AB4864">
        <w:rPr>
          <w:sz w:val="16"/>
        </w:rPr>
        <w:t xml:space="preserve">In </w:t>
      </w:r>
      <w:r w:rsidR="00F84F0A" w:rsidRPr="00AB4864">
        <w:rPr>
          <w:sz w:val="16"/>
        </w:rPr>
        <w:t>January</w:t>
      </w:r>
      <w:r w:rsidRPr="00AB4864">
        <w:rPr>
          <w:sz w:val="16"/>
        </w:rPr>
        <w:t> 202</w:t>
      </w:r>
      <w:r w:rsidR="00F84F0A" w:rsidRPr="00AB4864">
        <w:rPr>
          <w:sz w:val="16"/>
        </w:rPr>
        <w:t>4</w:t>
      </w:r>
      <w:r w:rsidRPr="00AB4864">
        <w:rPr>
          <w:sz w:val="16"/>
        </w:rPr>
        <w:t>, the value of Western Australia’s iron ore exports to:</w:t>
      </w:r>
    </w:p>
    <w:p w14:paraId="0DAF906C" w14:textId="7A1BD81F" w:rsidR="00D566DB" w:rsidRPr="00AB4864" w:rsidRDefault="00D566DB" w:rsidP="00D566DB">
      <w:pPr>
        <w:pStyle w:val="BodyText"/>
        <w:numPr>
          <w:ilvl w:val="1"/>
          <w:numId w:val="10"/>
        </w:numPr>
        <w:spacing w:after="0"/>
        <w:ind w:left="851" w:hanging="284"/>
        <w:jc w:val="both"/>
        <w:rPr>
          <w:sz w:val="16"/>
        </w:rPr>
      </w:pPr>
      <w:r w:rsidRPr="00AB4864">
        <w:rPr>
          <w:sz w:val="16"/>
        </w:rPr>
        <w:t xml:space="preserve">China </w:t>
      </w:r>
      <w:r w:rsidR="00F84F0A" w:rsidRPr="00AB4864">
        <w:rPr>
          <w:sz w:val="16"/>
        </w:rPr>
        <w:t>fell 10.4</w:t>
      </w:r>
      <w:r w:rsidRPr="00AB4864">
        <w:rPr>
          <w:sz w:val="16"/>
        </w:rPr>
        <w:t xml:space="preserve">% to </w:t>
      </w:r>
      <w:r w:rsidR="001D78E6" w:rsidRPr="00AB4864">
        <w:rPr>
          <w:sz w:val="16"/>
        </w:rPr>
        <w:t>$1</w:t>
      </w:r>
      <w:r w:rsidR="00F84F0A" w:rsidRPr="00AB4864">
        <w:rPr>
          <w:sz w:val="16"/>
        </w:rPr>
        <w:t>0</w:t>
      </w:r>
      <w:r w:rsidR="001D78E6" w:rsidRPr="00AB4864">
        <w:rPr>
          <w:sz w:val="16"/>
        </w:rPr>
        <w:t>.</w:t>
      </w:r>
      <w:r w:rsidR="00F84F0A" w:rsidRPr="00AB4864">
        <w:rPr>
          <w:sz w:val="16"/>
        </w:rPr>
        <w:t>2</w:t>
      </w:r>
      <w:r w:rsidRPr="00AB4864">
        <w:rPr>
          <w:sz w:val="16"/>
        </w:rPr>
        <w:t> </w:t>
      </w:r>
      <w:proofErr w:type="gramStart"/>
      <w:r w:rsidRPr="00AB4864">
        <w:rPr>
          <w:sz w:val="16"/>
        </w:rPr>
        <w:t>billion</w:t>
      </w:r>
      <w:proofErr w:type="gramEnd"/>
    </w:p>
    <w:p w14:paraId="23442633" w14:textId="6FD6F4BA" w:rsidR="00D566DB" w:rsidRPr="00AB4864" w:rsidRDefault="00D566DB" w:rsidP="00D566DB">
      <w:pPr>
        <w:pStyle w:val="BodyText"/>
        <w:numPr>
          <w:ilvl w:val="1"/>
          <w:numId w:val="10"/>
        </w:numPr>
        <w:spacing w:after="0"/>
        <w:ind w:left="851" w:hanging="284"/>
        <w:jc w:val="both"/>
        <w:rPr>
          <w:sz w:val="16"/>
        </w:rPr>
      </w:pPr>
      <w:r w:rsidRPr="00AB4864">
        <w:rPr>
          <w:sz w:val="16"/>
        </w:rPr>
        <w:t xml:space="preserve">Japan, South </w:t>
      </w:r>
      <w:proofErr w:type="gramStart"/>
      <w:r w:rsidRPr="00AB4864">
        <w:rPr>
          <w:sz w:val="16"/>
        </w:rPr>
        <w:t>Korea</w:t>
      </w:r>
      <w:proofErr w:type="gramEnd"/>
      <w:r w:rsidRPr="00AB4864">
        <w:rPr>
          <w:sz w:val="16"/>
        </w:rPr>
        <w:t xml:space="preserve"> and Taiwan combined </w:t>
      </w:r>
      <w:r w:rsidR="009B00CC" w:rsidRPr="00AB4864">
        <w:rPr>
          <w:sz w:val="16"/>
        </w:rPr>
        <w:t>rose</w:t>
      </w:r>
      <w:r w:rsidRPr="00AB4864">
        <w:rPr>
          <w:sz w:val="16"/>
        </w:rPr>
        <w:t xml:space="preserve"> </w:t>
      </w:r>
      <w:r w:rsidR="00F84F0A" w:rsidRPr="00AB4864">
        <w:rPr>
          <w:sz w:val="16"/>
        </w:rPr>
        <w:t>10.0</w:t>
      </w:r>
      <w:r w:rsidRPr="00AB4864">
        <w:rPr>
          <w:sz w:val="16"/>
        </w:rPr>
        <w:t>% to $1.</w:t>
      </w:r>
      <w:r w:rsidR="00F84F0A" w:rsidRPr="00AB4864">
        <w:rPr>
          <w:sz w:val="16"/>
        </w:rPr>
        <w:t>8</w:t>
      </w:r>
      <w:r w:rsidRPr="00AB4864">
        <w:rPr>
          <w:sz w:val="16"/>
        </w:rPr>
        <w:t> billion</w:t>
      </w:r>
    </w:p>
    <w:p w14:paraId="087A3764" w14:textId="0B79DA61" w:rsidR="00D566DB" w:rsidRPr="00AB4864" w:rsidRDefault="00D566DB" w:rsidP="00D566DB">
      <w:pPr>
        <w:pStyle w:val="BodyText"/>
        <w:numPr>
          <w:ilvl w:val="1"/>
          <w:numId w:val="10"/>
        </w:numPr>
        <w:spacing w:after="0"/>
        <w:ind w:left="851" w:hanging="284"/>
        <w:jc w:val="both"/>
        <w:rPr>
          <w:sz w:val="16"/>
        </w:rPr>
      </w:pPr>
      <w:r w:rsidRPr="00AB4864">
        <w:rPr>
          <w:sz w:val="16"/>
        </w:rPr>
        <w:t xml:space="preserve">All other countries fell </w:t>
      </w:r>
      <w:r w:rsidR="00F84F0A" w:rsidRPr="00AB4864">
        <w:rPr>
          <w:sz w:val="16"/>
        </w:rPr>
        <w:t>rose 35</w:t>
      </w:r>
      <w:r w:rsidRPr="00AB4864">
        <w:rPr>
          <w:sz w:val="16"/>
        </w:rPr>
        <w:t>% to $</w:t>
      </w:r>
      <w:r w:rsidR="009B00CC" w:rsidRPr="00AB4864">
        <w:rPr>
          <w:sz w:val="16"/>
        </w:rPr>
        <w:t>2</w:t>
      </w:r>
      <w:r w:rsidR="00A85C8D" w:rsidRPr="00AB4864">
        <w:rPr>
          <w:sz w:val="16"/>
        </w:rPr>
        <w:t>92</w:t>
      </w:r>
      <w:r w:rsidRPr="00AB4864">
        <w:rPr>
          <w:sz w:val="16"/>
        </w:rPr>
        <w:t> million</w:t>
      </w:r>
      <w:r w:rsidR="001D78E6" w:rsidRPr="00AB4864">
        <w:rPr>
          <w:sz w:val="16"/>
        </w:rPr>
        <w:t>.</w:t>
      </w:r>
    </w:p>
    <w:p w14:paraId="53ABA808" w14:textId="77777777" w:rsidR="00D566DB" w:rsidRDefault="00D566DB" w:rsidP="00D566DB">
      <w:pPr>
        <w:jc w:val="both"/>
        <w:rPr>
          <w:sz w:val="16"/>
        </w:rPr>
      </w:pPr>
      <w:r>
        <w:rPr>
          <w:sz w:val="16"/>
        </w:rPr>
        <w:br w:type="page"/>
      </w:r>
    </w:p>
    <w:p w14:paraId="7B5A174A" w14:textId="77777777" w:rsidR="00D566DB" w:rsidRPr="00562E13" w:rsidRDefault="00D566DB" w:rsidP="00D566DB">
      <w:pPr>
        <w:spacing w:after="0"/>
        <w:jc w:val="both"/>
        <w:rPr>
          <w:sz w:val="22"/>
        </w:rPr>
      </w:pPr>
    </w:p>
    <w:p w14:paraId="4A3C70A9" w14:textId="77777777" w:rsidR="00D566DB" w:rsidRDefault="00D566DB" w:rsidP="00D566DB">
      <w:pPr>
        <w:pStyle w:val="BodyText"/>
        <w:spacing w:after="0"/>
        <w:rPr>
          <w:noProof/>
          <w:sz w:val="16"/>
          <w:lang w:eastAsia="en-AU"/>
        </w:rPr>
      </w:pPr>
      <w:r w:rsidRPr="00237515">
        <w:rPr>
          <w:b/>
          <w:color w:val="92278F" w:themeColor="accent1"/>
          <w:sz w:val="20"/>
        </w:rPr>
        <w:t>Western Australia’s iron ore resources</w:t>
      </w:r>
      <w:r w:rsidRPr="00237515">
        <w:rPr>
          <w:b/>
          <w:color w:val="92278F" w:themeColor="accent1"/>
          <w:sz w:val="20"/>
          <w:vertAlign w:val="superscript"/>
        </w:rPr>
        <w:t>1</w:t>
      </w:r>
    </w:p>
    <w:p w14:paraId="0BBAEA20" w14:textId="012DEBDF" w:rsidR="00D566DB" w:rsidRDefault="00F01E9B" w:rsidP="00F01E9B">
      <w:pPr>
        <w:pStyle w:val="BodyText"/>
        <w:spacing w:after="0"/>
        <w:ind w:right="-23"/>
        <w:rPr>
          <w:sz w:val="16"/>
        </w:rPr>
      </w:pPr>
      <w:r>
        <w:rPr>
          <w:noProof/>
          <w:sz w:val="16"/>
        </w:rPr>
        <w:drawing>
          <wp:inline distT="0" distB="0" distL="0" distR="0" wp14:anchorId="04D51D68" wp14:editId="22931F8B">
            <wp:extent cx="3493770" cy="19996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3770" cy="1999615"/>
                    </a:xfrm>
                    <a:prstGeom prst="rect">
                      <a:avLst/>
                    </a:prstGeom>
                    <a:noFill/>
                    <a:ln>
                      <a:noFill/>
                    </a:ln>
                  </pic:spPr>
                </pic:pic>
              </a:graphicData>
            </a:graphic>
          </wp:inline>
        </w:drawing>
      </w:r>
    </w:p>
    <w:p w14:paraId="1CB4823A" w14:textId="77777777" w:rsidR="00D566DB" w:rsidRPr="00AA54D9" w:rsidRDefault="00D566DB" w:rsidP="00D566DB">
      <w:pPr>
        <w:pStyle w:val="BodyText"/>
        <w:spacing w:after="0"/>
        <w:rPr>
          <w:sz w:val="10"/>
        </w:rPr>
      </w:pPr>
      <w:r w:rsidRPr="006363D1">
        <w:rPr>
          <w:sz w:val="10"/>
          <w:vertAlign w:val="superscript"/>
        </w:rPr>
        <w:t xml:space="preserve">1 </w:t>
      </w:r>
      <w:r w:rsidRPr="006363D1">
        <w:rPr>
          <w:sz w:val="10"/>
        </w:rPr>
        <w:t xml:space="preserve">Estimated as 87% of Australia’s economic demonstrated iron ore resources taken from Geoscience Australia’s </w:t>
      </w:r>
      <w:proofErr w:type="spellStart"/>
      <w:r w:rsidRPr="006363D1">
        <w:rPr>
          <w:sz w:val="10"/>
        </w:rPr>
        <w:t>Australia’s</w:t>
      </w:r>
      <w:proofErr w:type="spellEnd"/>
      <w:r w:rsidRPr="006363D1">
        <w:rPr>
          <w:sz w:val="10"/>
        </w:rPr>
        <w:t xml:space="preserve"> Identified Mineral Resources 2022. </w:t>
      </w:r>
      <w:r w:rsidRPr="006363D1">
        <w:rPr>
          <w:sz w:val="10"/>
          <w:vertAlign w:val="superscript"/>
        </w:rPr>
        <w:t>2</w:t>
      </w:r>
      <w:r w:rsidRPr="006363D1">
        <w:rPr>
          <w:sz w:val="10"/>
        </w:rPr>
        <w:t xml:space="preserve"> US Geological </w:t>
      </w:r>
      <w:r w:rsidRPr="00AA54D9">
        <w:rPr>
          <w:sz w:val="10"/>
        </w:rPr>
        <w:t>Survey.</w:t>
      </w:r>
    </w:p>
    <w:p w14:paraId="53F4B22D" w14:textId="77777777" w:rsidR="00D566DB" w:rsidRPr="004962E1" w:rsidRDefault="00D566DB" w:rsidP="00D566DB">
      <w:pPr>
        <w:pStyle w:val="BodyText"/>
        <w:spacing w:after="0"/>
        <w:jc w:val="both"/>
        <w:rPr>
          <w:sz w:val="10"/>
        </w:rPr>
      </w:pPr>
      <w:r w:rsidRPr="00E74BD6">
        <w:rPr>
          <w:sz w:val="10"/>
        </w:rPr>
        <w:t xml:space="preserve">Source: </w:t>
      </w:r>
      <w:r>
        <w:rPr>
          <w:sz w:val="10"/>
        </w:rPr>
        <w:t xml:space="preserve">Based on data from </w:t>
      </w:r>
      <w:r w:rsidRPr="00E74BD6">
        <w:rPr>
          <w:sz w:val="10"/>
        </w:rPr>
        <w:t>ABS 5204.0 Australian System of National Accounts</w:t>
      </w:r>
      <w:r>
        <w:rPr>
          <w:sz w:val="10"/>
        </w:rPr>
        <w:t xml:space="preserve"> (Annual)</w:t>
      </w:r>
      <w:r w:rsidRPr="00B720D6">
        <w:rPr>
          <w:sz w:val="10"/>
        </w:rPr>
        <w:t>.</w:t>
      </w:r>
    </w:p>
    <w:p w14:paraId="6D6450A5" w14:textId="77777777" w:rsidR="00D566DB" w:rsidRDefault="00D566DB" w:rsidP="00D566DB">
      <w:pPr>
        <w:spacing w:after="0"/>
        <w:jc w:val="both"/>
        <w:rPr>
          <w:sz w:val="16"/>
        </w:rPr>
      </w:pPr>
      <w:r>
        <w:rPr>
          <w:sz w:val="16"/>
        </w:rPr>
        <w:br w:type="column"/>
      </w:r>
    </w:p>
    <w:p w14:paraId="3C76C426" w14:textId="77777777" w:rsidR="00D566DB" w:rsidRDefault="00D566DB" w:rsidP="00D566DB">
      <w:pPr>
        <w:spacing w:after="0"/>
        <w:jc w:val="both"/>
        <w:rPr>
          <w:sz w:val="16"/>
        </w:rPr>
      </w:pPr>
    </w:p>
    <w:p w14:paraId="334FC989" w14:textId="77777777" w:rsidR="00D566DB" w:rsidRDefault="00D566DB" w:rsidP="00D566DB">
      <w:pPr>
        <w:spacing w:after="0"/>
        <w:jc w:val="both"/>
        <w:rPr>
          <w:sz w:val="16"/>
        </w:rPr>
      </w:pPr>
    </w:p>
    <w:p w14:paraId="16F35D8C" w14:textId="15B4E349" w:rsidR="00D566DB" w:rsidRPr="006C05BA" w:rsidRDefault="00D566DB" w:rsidP="00D566DB">
      <w:pPr>
        <w:pStyle w:val="BodyText"/>
        <w:numPr>
          <w:ilvl w:val="0"/>
          <w:numId w:val="9"/>
        </w:numPr>
        <w:spacing w:after="0"/>
        <w:jc w:val="both"/>
        <w:rPr>
          <w:sz w:val="16"/>
        </w:rPr>
      </w:pPr>
      <w:r w:rsidRPr="006C05BA">
        <w:rPr>
          <w:sz w:val="16"/>
        </w:rPr>
        <w:t xml:space="preserve">Western Australia has large iron ore reserves, accounting for </w:t>
      </w:r>
      <w:r w:rsidR="00C47AD4" w:rsidRPr="006C05BA">
        <w:rPr>
          <w:sz w:val="16"/>
        </w:rPr>
        <w:t xml:space="preserve">an estimated </w:t>
      </w:r>
      <w:r w:rsidRPr="006C05BA">
        <w:rPr>
          <w:sz w:val="16"/>
        </w:rPr>
        <w:t>2</w:t>
      </w:r>
      <w:r w:rsidR="0000562B" w:rsidRPr="006C05BA">
        <w:rPr>
          <w:sz w:val="16"/>
        </w:rPr>
        <w:t>8</w:t>
      </w:r>
      <w:r w:rsidRPr="006C05BA">
        <w:rPr>
          <w:sz w:val="16"/>
        </w:rPr>
        <w:t xml:space="preserve">% of the world’s crude iron ore reserves in </w:t>
      </w:r>
      <w:proofErr w:type="gramStart"/>
      <w:r w:rsidRPr="006C05BA">
        <w:rPr>
          <w:sz w:val="16"/>
        </w:rPr>
        <w:t>202</w:t>
      </w:r>
      <w:r w:rsidR="0000562B" w:rsidRPr="006C05BA">
        <w:rPr>
          <w:sz w:val="16"/>
        </w:rPr>
        <w:t>3</w:t>
      </w:r>
      <w:r w:rsidRPr="006C05BA">
        <w:rPr>
          <w:sz w:val="16"/>
        </w:rPr>
        <w:t>.</w:t>
      </w:r>
      <w:r w:rsidRPr="006C05BA">
        <w:rPr>
          <w:sz w:val="16"/>
          <w:vertAlign w:val="superscript"/>
        </w:rPr>
        <w:t>2</w:t>
      </w:r>
      <w:proofErr w:type="gramEnd"/>
    </w:p>
    <w:p w14:paraId="11586FFF" w14:textId="77777777" w:rsidR="00D566DB" w:rsidRPr="006C05BA" w:rsidRDefault="00D566DB" w:rsidP="00D566DB">
      <w:pPr>
        <w:pStyle w:val="BodyText"/>
        <w:numPr>
          <w:ilvl w:val="0"/>
          <w:numId w:val="9"/>
        </w:numPr>
        <w:spacing w:after="0"/>
        <w:jc w:val="both"/>
        <w:rPr>
          <w:sz w:val="16"/>
        </w:rPr>
      </w:pPr>
      <w:r w:rsidRPr="006C05BA">
        <w:rPr>
          <w:sz w:val="16"/>
        </w:rPr>
        <w:t>Western Australia had an estimated 51.7 billion tonnes of economic demonstrated iron ore resource in 2022</w:t>
      </w:r>
      <w:r w:rsidRPr="006C05BA">
        <w:rPr>
          <w:sz w:val="16"/>
        </w:rPr>
        <w:noBreakHyphen/>
        <w:t xml:space="preserve">23, which could sustain production for 62 years </w:t>
      </w:r>
      <w:proofErr w:type="gramStart"/>
      <w:r w:rsidRPr="006C05BA">
        <w:rPr>
          <w:sz w:val="16"/>
        </w:rPr>
        <w:t>at</w:t>
      </w:r>
      <w:proofErr w:type="gramEnd"/>
      <w:r w:rsidRPr="006C05BA">
        <w:rPr>
          <w:sz w:val="16"/>
        </w:rPr>
        <w:t xml:space="preserve"> 2022</w:t>
      </w:r>
      <w:r w:rsidRPr="006C05BA">
        <w:rPr>
          <w:sz w:val="16"/>
        </w:rPr>
        <w:noBreakHyphen/>
        <w:t>23 production rates.</w:t>
      </w:r>
    </w:p>
    <w:p w14:paraId="08CD3C97" w14:textId="4D4DF589" w:rsidR="00D566DB" w:rsidRPr="006C05BA" w:rsidRDefault="00D566DB" w:rsidP="00D566DB">
      <w:pPr>
        <w:pStyle w:val="BodyText"/>
        <w:numPr>
          <w:ilvl w:val="0"/>
          <w:numId w:val="9"/>
        </w:numPr>
        <w:spacing w:after="0"/>
        <w:jc w:val="both"/>
        <w:rPr>
          <w:sz w:val="16"/>
        </w:rPr>
      </w:pPr>
      <w:r w:rsidRPr="006C05BA">
        <w:rPr>
          <w:sz w:val="16"/>
        </w:rPr>
        <w:t xml:space="preserve">Western Australia’s reserves had an average iron content of </w:t>
      </w:r>
      <w:r w:rsidR="0000562B" w:rsidRPr="006C05BA">
        <w:rPr>
          <w:sz w:val="16"/>
        </w:rPr>
        <w:t>47</w:t>
      </w:r>
      <w:r w:rsidRPr="006C05BA">
        <w:rPr>
          <w:sz w:val="16"/>
        </w:rPr>
        <w:t>% in 202</w:t>
      </w:r>
      <w:r w:rsidR="0000562B" w:rsidRPr="006C05BA">
        <w:rPr>
          <w:sz w:val="16"/>
        </w:rPr>
        <w:t>3</w:t>
      </w:r>
      <w:r w:rsidRPr="006C05BA">
        <w:rPr>
          <w:sz w:val="16"/>
        </w:rPr>
        <w:t xml:space="preserve">, </w:t>
      </w:r>
      <w:r w:rsidR="003D5205" w:rsidRPr="006C05BA">
        <w:rPr>
          <w:sz w:val="16"/>
        </w:rPr>
        <w:t xml:space="preserve">the </w:t>
      </w:r>
      <w:r w:rsidR="0000562B" w:rsidRPr="006C05BA">
        <w:rPr>
          <w:sz w:val="16"/>
        </w:rPr>
        <w:t>same as the</w:t>
      </w:r>
      <w:r w:rsidRPr="006C05BA">
        <w:rPr>
          <w:sz w:val="16"/>
        </w:rPr>
        <w:t xml:space="preserve"> world average of 47%</w:t>
      </w:r>
      <w:proofErr w:type="gramStart"/>
      <w:r w:rsidR="00C47AD4" w:rsidRPr="006C05BA">
        <w:rPr>
          <w:sz w:val="16"/>
        </w:rPr>
        <w:t>.</w:t>
      </w:r>
      <w:r w:rsidRPr="006C05BA">
        <w:rPr>
          <w:sz w:val="16"/>
          <w:vertAlign w:val="superscript"/>
        </w:rPr>
        <w:t>2</w:t>
      </w:r>
      <w:proofErr w:type="gramEnd"/>
    </w:p>
    <w:p w14:paraId="449A341D" w14:textId="77777777" w:rsidR="00D566DB" w:rsidRPr="006C05BA" w:rsidRDefault="00D566DB" w:rsidP="00D566DB">
      <w:pPr>
        <w:pStyle w:val="BodyText"/>
        <w:numPr>
          <w:ilvl w:val="0"/>
          <w:numId w:val="9"/>
        </w:numPr>
        <w:spacing w:after="0"/>
        <w:jc w:val="both"/>
        <w:rPr>
          <w:sz w:val="16"/>
        </w:rPr>
      </w:pPr>
      <w:r w:rsidRPr="006C05BA">
        <w:rPr>
          <w:sz w:val="16"/>
        </w:rPr>
        <w:t>The value of Western Australia’s exploration expenditure on iron ore rose 10% to $648 million in 2022-23.</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761EB83B" w:rsidR="00D566DB" w:rsidRPr="00237515" w:rsidRDefault="00D566DB" w:rsidP="00D566DB">
      <w:pPr>
        <w:pStyle w:val="BodyText"/>
        <w:spacing w:after="0"/>
        <w:rPr>
          <w:b/>
          <w:color w:val="92278F" w:themeColor="accent1"/>
          <w:sz w:val="20"/>
        </w:rPr>
      </w:pPr>
      <w:r w:rsidRPr="00F5210E">
        <w:rPr>
          <w:b/>
          <w:color w:val="92278F" w:themeColor="accent1"/>
          <w:sz w:val="20"/>
        </w:rPr>
        <w:t>Total cash cost</w:t>
      </w:r>
      <w:r w:rsidRPr="00F5210E">
        <w:rPr>
          <w:b/>
          <w:color w:val="92278F" w:themeColor="accent1"/>
          <w:sz w:val="20"/>
          <w:vertAlign w:val="superscript"/>
        </w:rPr>
        <w:t>1</w:t>
      </w:r>
      <w:r w:rsidRPr="00F5210E">
        <w:rPr>
          <w:b/>
          <w:color w:val="92278F" w:themeColor="accent1"/>
          <w:sz w:val="20"/>
        </w:rPr>
        <w:t xml:space="preserve"> of global iron ore production</w:t>
      </w:r>
      <w:r w:rsidRPr="00F5210E">
        <w:rPr>
          <w:b/>
          <w:color w:val="92278F" w:themeColor="accent1"/>
          <w:sz w:val="20"/>
          <w:vertAlign w:val="superscript"/>
        </w:rPr>
        <w:t>2</w:t>
      </w:r>
      <w:r w:rsidRPr="00F5210E">
        <w:rPr>
          <w:b/>
          <w:color w:val="92278F" w:themeColor="accent1"/>
          <w:sz w:val="20"/>
        </w:rPr>
        <w:t>: 202</w:t>
      </w:r>
      <w:r w:rsidR="0042066E">
        <w:rPr>
          <w:b/>
          <w:color w:val="92278F" w:themeColor="accent1"/>
          <w:sz w:val="20"/>
        </w:rPr>
        <w:t>3</w:t>
      </w:r>
    </w:p>
    <w:p w14:paraId="364E98C2" w14:textId="4946C5E3" w:rsidR="00D566DB" w:rsidRDefault="000C7868" w:rsidP="00D566DB">
      <w:pPr>
        <w:pStyle w:val="BodyText"/>
        <w:spacing w:after="0"/>
        <w:jc w:val="both"/>
        <w:rPr>
          <w:sz w:val="16"/>
        </w:rPr>
      </w:pPr>
      <w:r>
        <w:rPr>
          <w:noProof/>
          <w:sz w:val="16"/>
        </w:rPr>
        <w:drawing>
          <wp:inline distT="0" distB="0" distL="0" distR="0" wp14:anchorId="5814C1B5" wp14:editId="3B226F9B">
            <wp:extent cx="3420000" cy="187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1872000"/>
                    </a:xfrm>
                    <a:prstGeom prst="rect">
                      <a:avLst/>
                    </a:prstGeom>
                    <a:noFill/>
                    <a:ln>
                      <a:noFill/>
                    </a:ln>
                  </pic:spPr>
                </pic:pic>
              </a:graphicData>
            </a:graphic>
          </wp:inline>
        </w:drawing>
      </w:r>
    </w:p>
    <w:p w14:paraId="0047236C" w14:textId="77777777" w:rsidR="00D566DB" w:rsidRPr="008100D3" w:rsidRDefault="00D566DB" w:rsidP="00D566DB">
      <w:pPr>
        <w:pStyle w:val="ListBullet"/>
        <w:numPr>
          <w:ilvl w:val="0"/>
          <w:numId w:val="0"/>
        </w:numPr>
        <w:spacing w:after="0"/>
        <w:jc w:val="both"/>
        <w:rPr>
          <w:sz w:val="10"/>
        </w:rPr>
      </w:pPr>
      <w:r w:rsidRPr="008100D3">
        <w:rPr>
          <w:sz w:val="10"/>
          <w:vertAlign w:val="superscript"/>
        </w:rPr>
        <w:t>1</w:t>
      </w:r>
      <w:r w:rsidRPr="008100D3">
        <w:rPr>
          <w:sz w:val="10"/>
        </w:rPr>
        <w:t xml:space="preserve"> Total cash cost per dry metric tonne in US dollars, </w:t>
      </w:r>
      <w:proofErr w:type="gramStart"/>
      <w:r w:rsidRPr="008100D3">
        <w:rPr>
          <w:sz w:val="10"/>
        </w:rPr>
        <w:t>cost</w:t>
      </w:r>
      <w:proofErr w:type="gramEnd"/>
      <w:r w:rsidRPr="008100D3">
        <w:rPr>
          <w:sz w:val="10"/>
        </w:rPr>
        <w:t xml:space="preserve"> and freight (CFR). </w:t>
      </w:r>
      <w:r w:rsidRPr="008100D3">
        <w:rPr>
          <w:sz w:val="10"/>
          <w:vertAlign w:val="superscript"/>
        </w:rPr>
        <w:t>2</w:t>
      </w:r>
      <w:r w:rsidRPr="008100D3">
        <w:rPr>
          <w:sz w:val="10"/>
        </w:rPr>
        <w:t xml:space="preserve"> Includes the ten largest iron ore producers only.</w:t>
      </w:r>
    </w:p>
    <w:p w14:paraId="44268AA6" w14:textId="5734A7B3" w:rsidR="00D566DB" w:rsidRPr="008100D3" w:rsidRDefault="00D566DB" w:rsidP="00D566DB">
      <w:pPr>
        <w:pStyle w:val="ListBullet"/>
        <w:numPr>
          <w:ilvl w:val="0"/>
          <w:numId w:val="0"/>
        </w:numPr>
        <w:spacing w:after="0"/>
        <w:jc w:val="both"/>
        <w:rPr>
          <w:sz w:val="10"/>
        </w:rPr>
      </w:pPr>
      <w:r w:rsidRPr="008100D3">
        <w:rPr>
          <w:sz w:val="10"/>
          <w:vertAlign w:val="superscript"/>
        </w:rPr>
        <w:t xml:space="preserve">3 </w:t>
      </w:r>
      <w:r w:rsidRPr="008100D3">
        <w:rPr>
          <w:rFonts w:cs="Arial"/>
          <w:sz w:val="10"/>
          <w:szCs w:val="20"/>
        </w:rPr>
        <w:t xml:space="preserve">CRU, Iron Ore Market Outlook - Price tables – </w:t>
      </w:r>
      <w:r w:rsidR="007A29DE" w:rsidRPr="00DD7E51">
        <w:rPr>
          <w:rFonts w:cs="Arial"/>
          <w:sz w:val="10"/>
          <w:szCs w:val="20"/>
        </w:rPr>
        <w:t>Jan</w:t>
      </w:r>
      <w:r w:rsidR="007A29DE" w:rsidRPr="007A29DE">
        <w:rPr>
          <w:rFonts w:cs="Arial"/>
          <w:sz w:val="10"/>
          <w:szCs w:val="20"/>
        </w:rPr>
        <w:t xml:space="preserve"> </w:t>
      </w:r>
      <w:r w:rsidRPr="007A29DE">
        <w:rPr>
          <w:rFonts w:cs="Arial"/>
          <w:sz w:val="10"/>
          <w:szCs w:val="20"/>
        </w:rPr>
        <w:t>202</w:t>
      </w:r>
      <w:r w:rsidR="007A29DE" w:rsidRPr="00DD7E51">
        <w:rPr>
          <w:rFonts w:cs="Arial"/>
          <w:sz w:val="10"/>
          <w:szCs w:val="20"/>
        </w:rPr>
        <w:t>4</w:t>
      </w:r>
      <w:r w:rsidRPr="007A29DE">
        <w:rPr>
          <w:sz w:val="10"/>
        </w:rPr>
        <w:t xml:space="preserve"> (</w:t>
      </w:r>
      <w:r w:rsidRPr="008100D3">
        <w:rPr>
          <w:sz w:val="10"/>
        </w:rPr>
        <w:t>Monthly).</w:t>
      </w:r>
    </w:p>
    <w:p w14:paraId="15A1E6CA" w14:textId="77777777" w:rsidR="00D566DB" w:rsidRDefault="00D566DB" w:rsidP="00D566DB">
      <w:pPr>
        <w:pStyle w:val="ListBullet"/>
        <w:numPr>
          <w:ilvl w:val="0"/>
          <w:numId w:val="0"/>
        </w:numPr>
        <w:spacing w:after="0"/>
        <w:jc w:val="both"/>
        <w:rPr>
          <w:sz w:val="10"/>
        </w:rPr>
      </w:pPr>
      <w:r w:rsidRPr="00E05013">
        <w:rPr>
          <w:sz w:val="10"/>
        </w:rPr>
        <w:t>Source: S&amp;P Global Market In</w:t>
      </w:r>
      <w:r>
        <w:rPr>
          <w:sz w:val="10"/>
        </w:rPr>
        <w:t>telligence (Annual).</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6DF65832" w14:textId="77777777" w:rsidR="00D566DB" w:rsidRDefault="00D566DB" w:rsidP="00D566DB">
      <w:pPr>
        <w:pStyle w:val="BodyText"/>
        <w:spacing w:after="0"/>
        <w:jc w:val="both"/>
        <w:rPr>
          <w:sz w:val="16"/>
        </w:rPr>
      </w:pPr>
      <w:r>
        <w:rPr>
          <w:sz w:val="16"/>
        </w:rPr>
        <w:br w:type="column"/>
      </w:r>
    </w:p>
    <w:p w14:paraId="1EA2692E" w14:textId="77777777" w:rsidR="00D566DB" w:rsidRDefault="00D566DB" w:rsidP="00D566DB">
      <w:pPr>
        <w:pStyle w:val="BodyText"/>
        <w:spacing w:after="0"/>
        <w:jc w:val="both"/>
        <w:rPr>
          <w:sz w:val="16"/>
        </w:rPr>
      </w:pPr>
    </w:p>
    <w:p w14:paraId="57A9DCA8" w14:textId="77777777" w:rsidR="00D566DB" w:rsidRDefault="00D566DB" w:rsidP="00D566DB">
      <w:pPr>
        <w:pStyle w:val="BodyText"/>
        <w:spacing w:after="0"/>
        <w:jc w:val="both"/>
        <w:rPr>
          <w:sz w:val="16"/>
        </w:rPr>
      </w:pPr>
    </w:p>
    <w:p w14:paraId="2A82F5CB" w14:textId="77777777" w:rsidR="00D566DB" w:rsidRPr="002346CC" w:rsidRDefault="00D566DB" w:rsidP="00D566DB">
      <w:pPr>
        <w:pStyle w:val="BodyText"/>
        <w:numPr>
          <w:ilvl w:val="0"/>
          <w:numId w:val="9"/>
        </w:numPr>
        <w:spacing w:after="0"/>
        <w:jc w:val="both"/>
        <w:rPr>
          <w:sz w:val="16"/>
        </w:rPr>
      </w:pPr>
      <w:r w:rsidRPr="002346CC">
        <w:rPr>
          <w:sz w:val="16"/>
        </w:rPr>
        <w:t>Western Australia’s iron ore miners are among the world’s lowest cost seaborne iron ore exporters.</w:t>
      </w:r>
    </w:p>
    <w:p w14:paraId="7D1C41A3" w14:textId="53BC1E1D" w:rsidR="00D566DB" w:rsidRPr="00AB4864" w:rsidRDefault="00D566DB" w:rsidP="00D566DB">
      <w:pPr>
        <w:pStyle w:val="BodyText"/>
        <w:numPr>
          <w:ilvl w:val="0"/>
          <w:numId w:val="9"/>
        </w:numPr>
        <w:spacing w:after="0"/>
        <w:jc w:val="both"/>
        <w:rPr>
          <w:sz w:val="16"/>
        </w:rPr>
      </w:pPr>
      <w:r w:rsidRPr="00AB4864">
        <w:rPr>
          <w:sz w:val="16"/>
        </w:rPr>
        <w:t>The average total cash cost of Western Australia’s iron ore exports was US$</w:t>
      </w:r>
      <w:r w:rsidR="00CD1620" w:rsidRPr="00AB4864">
        <w:rPr>
          <w:sz w:val="16"/>
        </w:rPr>
        <w:t>40.0</w:t>
      </w:r>
      <w:r w:rsidRPr="00AB4864">
        <w:rPr>
          <w:sz w:val="16"/>
        </w:rPr>
        <w:t xml:space="preserve"> a tonne in 202</w:t>
      </w:r>
      <w:r w:rsidR="00CD1620" w:rsidRPr="00AB4864">
        <w:rPr>
          <w:sz w:val="16"/>
        </w:rPr>
        <w:t>3</w:t>
      </w:r>
      <w:r w:rsidRPr="00AB4864">
        <w:rPr>
          <w:sz w:val="16"/>
        </w:rPr>
        <w:t>, below the world average of US$52.1 a tonne, and below its main competitor in Brazil (US$4</w:t>
      </w:r>
      <w:r w:rsidR="00CD1620" w:rsidRPr="00AB4864">
        <w:rPr>
          <w:sz w:val="16"/>
        </w:rPr>
        <w:t>9</w:t>
      </w:r>
      <w:r w:rsidRPr="00AB4864">
        <w:rPr>
          <w:sz w:val="16"/>
        </w:rPr>
        <w:t>.</w:t>
      </w:r>
      <w:r w:rsidR="00CD1620" w:rsidRPr="00AB4864">
        <w:rPr>
          <w:sz w:val="16"/>
        </w:rPr>
        <w:t>7</w:t>
      </w:r>
      <w:r w:rsidRPr="00AB4864">
        <w:rPr>
          <w:sz w:val="16"/>
        </w:rPr>
        <w:t xml:space="preserve"> a tonne).</w:t>
      </w:r>
    </w:p>
    <w:p w14:paraId="400F02B3" w14:textId="77777777" w:rsidR="00D566DB" w:rsidRPr="00C47AD4" w:rsidRDefault="00D566DB" w:rsidP="00D566DB">
      <w:pPr>
        <w:pStyle w:val="BodyText"/>
        <w:numPr>
          <w:ilvl w:val="0"/>
          <w:numId w:val="9"/>
        </w:numPr>
        <w:spacing w:after="0"/>
        <w:jc w:val="both"/>
        <w:rPr>
          <w:sz w:val="16"/>
        </w:rPr>
      </w:pPr>
      <w:r w:rsidRPr="00C47AD4">
        <w:rPr>
          <w:sz w:val="16"/>
        </w:rPr>
        <w:t>Western Australia’s major iron ore ports are close to the largest iron ore markets in Asia, reducing shipping costs relative to some of its competitors.</w:t>
      </w:r>
    </w:p>
    <w:p w14:paraId="1AE769DE" w14:textId="5649437C" w:rsidR="00D566DB" w:rsidRPr="006C05BA" w:rsidRDefault="00DD7E51" w:rsidP="00D566DB">
      <w:pPr>
        <w:pStyle w:val="BodyText"/>
        <w:numPr>
          <w:ilvl w:val="0"/>
          <w:numId w:val="9"/>
        </w:numPr>
        <w:spacing w:after="0"/>
        <w:jc w:val="both"/>
        <w:rPr>
          <w:sz w:val="16"/>
        </w:rPr>
      </w:pPr>
      <w:r w:rsidRPr="006C05BA">
        <w:rPr>
          <w:sz w:val="16"/>
        </w:rPr>
        <w:t>T</w:t>
      </w:r>
      <w:r w:rsidR="00D566DB" w:rsidRPr="006C05BA">
        <w:rPr>
          <w:sz w:val="16"/>
        </w:rPr>
        <w:t xml:space="preserve">he iron ore freight rate for </w:t>
      </w:r>
      <w:proofErr w:type="spellStart"/>
      <w:r w:rsidR="00D566DB" w:rsidRPr="006C05BA">
        <w:rPr>
          <w:sz w:val="16"/>
        </w:rPr>
        <w:t>capesize</w:t>
      </w:r>
      <w:proofErr w:type="spellEnd"/>
      <w:r w:rsidR="00D566DB" w:rsidRPr="006C05BA">
        <w:rPr>
          <w:sz w:val="16"/>
        </w:rPr>
        <w:t xml:space="preserve"> vessels from Western Australia to China </w:t>
      </w:r>
      <w:r w:rsidR="007A29DE" w:rsidRPr="006C05BA">
        <w:rPr>
          <w:sz w:val="16"/>
        </w:rPr>
        <w:t>fell 16</w:t>
      </w:r>
      <w:r w:rsidR="00D566DB" w:rsidRPr="006C05BA">
        <w:rPr>
          <w:sz w:val="16"/>
        </w:rPr>
        <w:t>% to US$</w:t>
      </w:r>
      <w:r w:rsidR="007A29DE" w:rsidRPr="006C05BA">
        <w:rPr>
          <w:sz w:val="16"/>
        </w:rPr>
        <w:t>8.1</w:t>
      </w:r>
      <w:r w:rsidR="00D566DB" w:rsidRPr="006C05BA">
        <w:rPr>
          <w:sz w:val="16"/>
        </w:rPr>
        <w:t> a wet tonne in 202</w:t>
      </w:r>
      <w:r w:rsidR="007A29DE" w:rsidRPr="006C05BA">
        <w:rPr>
          <w:sz w:val="16"/>
        </w:rPr>
        <w:t>3</w:t>
      </w:r>
      <w:r w:rsidR="00D566DB" w:rsidRPr="006C05BA">
        <w:rPr>
          <w:sz w:val="16"/>
        </w:rPr>
        <w:t xml:space="preserve">. The iron ore freight rate for </w:t>
      </w:r>
      <w:proofErr w:type="spellStart"/>
      <w:r w:rsidR="00D566DB" w:rsidRPr="006C05BA">
        <w:rPr>
          <w:sz w:val="16"/>
        </w:rPr>
        <w:t>cap</w:t>
      </w:r>
      <w:r w:rsidR="00501D2F" w:rsidRPr="006C05BA">
        <w:rPr>
          <w:sz w:val="16"/>
        </w:rPr>
        <w:t>e</w:t>
      </w:r>
      <w:r w:rsidR="00D566DB" w:rsidRPr="006C05BA">
        <w:rPr>
          <w:sz w:val="16"/>
        </w:rPr>
        <w:t>size</w:t>
      </w:r>
      <w:proofErr w:type="spellEnd"/>
      <w:r w:rsidR="00D566DB" w:rsidRPr="006C05BA">
        <w:rPr>
          <w:sz w:val="16"/>
        </w:rPr>
        <w:t xml:space="preserve"> vessels from Brazil to China </w:t>
      </w:r>
      <w:r w:rsidR="007A29DE" w:rsidRPr="006C05BA">
        <w:rPr>
          <w:sz w:val="16"/>
        </w:rPr>
        <w:t>fell 17</w:t>
      </w:r>
      <w:r w:rsidR="00D566DB" w:rsidRPr="006C05BA">
        <w:rPr>
          <w:sz w:val="16"/>
        </w:rPr>
        <w:t xml:space="preserve">% to US$24.0 a wet tonne in </w:t>
      </w:r>
      <w:proofErr w:type="gramStart"/>
      <w:r w:rsidR="00D566DB" w:rsidRPr="006C05BA">
        <w:rPr>
          <w:sz w:val="16"/>
        </w:rPr>
        <w:t>202</w:t>
      </w:r>
      <w:r w:rsidR="007A29DE" w:rsidRPr="006C05BA">
        <w:rPr>
          <w:sz w:val="16"/>
        </w:rPr>
        <w:t>3</w:t>
      </w:r>
      <w:r w:rsidR="00D566DB" w:rsidRPr="006C05BA">
        <w:rPr>
          <w:sz w:val="16"/>
        </w:rPr>
        <w:t>.</w:t>
      </w:r>
      <w:r w:rsidR="00D566DB" w:rsidRPr="006C05BA">
        <w:rPr>
          <w:sz w:val="16"/>
          <w:vertAlign w:val="superscript"/>
        </w:rPr>
        <w:t>3</w:t>
      </w:r>
      <w:proofErr w:type="gramEnd"/>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1D18C2CF" w14:textId="77777777" w:rsidR="00D566DB" w:rsidRDefault="00D566DB" w:rsidP="00D566DB">
      <w:pPr>
        <w:pStyle w:val="BodyText"/>
        <w:spacing w:after="0"/>
        <w:rPr>
          <w:b/>
          <w:color w:val="92278F" w:themeColor="accent1"/>
          <w:sz w:val="20"/>
        </w:rPr>
      </w:pPr>
      <w:r w:rsidRPr="00237515">
        <w:rPr>
          <w:b/>
          <w:color w:val="92278F" w:themeColor="accent1"/>
          <w:sz w:val="20"/>
        </w:rPr>
        <w:t>Western Australia’s</w:t>
      </w:r>
      <w:r>
        <w:rPr>
          <w:b/>
          <w:color w:val="92278F" w:themeColor="accent1"/>
          <w:sz w:val="20"/>
        </w:rPr>
        <w:t xml:space="preserve"> </w:t>
      </w:r>
      <w:r w:rsidRPr="00237515">
        <w:rPr>
          <w:b/>
          <w:color w:val="92278F" w:themeColor="accent1"/>
          <w:sz w:val="20"/>
        </w:rPr>
        <w:t>iron ore sales</w:t>
      </w:r>
    </w:p>
    <w:p w14:paraId="7B126D59" w14:textId="77777777" w:rsidR="0090459F" w:rsidRPr="003C6E59" w:rsidRDefault="0090459F" w:rsidP="00D566DB">
      <w:pPr>
        <w:pStyle w:val="BodyText"/>
        <w:spacing w:after="0"/>
        <w:rPr>
          <w:b/>
          <w:color w:val="92278F" w:themeColor="accent1"/>
          <w:sz w:val="20"/>
        </w:rPr>
      </w:pPr>
    </w:p>
    <w:p w14:paraId="59F6360C" w14:textId="56EE6F59" w:rsidR="00D566DB" w:rsidRDefault="008A537F" w:rsidP="00D566DB">
      <w:pPr>
        <w:spacing w:after="0"/>
        <w:jc w:val="both"/>
        <w:rPr>
          <w:sz w:val="10"/>
        </w:rPr>
      </w:pPr>
      <w:r>
        <w:rPr>
          <w:noProof/>
          <w:sz w:val="10"/>
        </w:rPr>
        <w:drawing>
          <wp:inline distT="0" distB="0" distL="0" distR="0" wp14:anchorId="159949C8" wp14:editId="187EE39B">
            <wp:extent cx="3398520" cy="1985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8520" cy="1985645"/>
                    </a:xfrm>
                    <a:prstGeom prst="rect">
                      <a:avLst/>
                    </a:prstGeom>
                    <a:noFill/>
                    <a:ln>
                      <a:noFill/>
                    </a:ln>
                  </pic:spPr>
                </pic:pic>
              </a:graphicData>
            </a:graphic>
          </wp:inline>
        </w:drawing>
      </w:r>
    </w:p>
    <w:p w14:paraId="558442B3" w14:textId="77777777" w:rsidR="00D566DB" w:rsidRDefault="00D566DB" w:rsidP="00D566DB">
      <w:pPr>
        <w:spacing w:after="0"/>
        <w:jc w:val="both"/>
        <w:rPr>
          <w:sz w:val="10"/>
        </w:rPr>
      </w:pPr>
      <w:r>
        <w:rPr>
          <w:sz w:val="10"/>
        </w:rPr>
        <w:t>Mt = Million tonnes.</w:t>
      </w:r>
      <w:r w:rsidRPr="007F4A87">
        <w:rPr>
          <w:sz w:val="10"/>
        </w:rPr>
        <w:t xml:space="preserve"> </w:t>
      </w:r>
    </w:p>
    <w:p w14:paraId="4DFFACC9" w14:textId="6C942FCA" w:rsidR="00D566DB" w:rsidRDefault="00D566DB" w:rsidP="00D566DB">
      <w:pPr>
        <w:spacing w:after="0"/>
        <w:jc w:val="both"/>
        <w:rPr>
          <w:sz w:val="10"/>
        </w:rPr>
      </w:pPr>
      <w:r w:rsidRPr="00930360">
        <w:rPr>
          <w:sz w:val="10"/>
        </w:rPr>
        <w:t xml:space="preserve">Source: WA </w:t>
      </w:r>
      <w:r w:rsidRPr="008100D3">
        <w:rPr>
          <w:sz w:val="10"/>
        </w:rPr>
        <w:t xml:space="preserve">Department of Mines, Industry Regulation and Safety, Resource Data Files (Bi-Annual); and </w:t>
      </w:r>
      <w:r w:rsidRPr="007E4F64">
        <w:rPr>
          <w:sz w:val="10"/>
        </w:rPr>
        <w:t>WA </w:t>
      </w:r>
      <w:r w:rsidR="00972FAF" w:rsidRPr="007E4F64">
        <w:rPr>
          <w:sz w:val="10"/>
        </w:rPr>
        <w:t>Government Mid</w:t>
      </w:r>
      <w:r w:rsidR="00972FAF" w:rsidRPr="007E4F64">
        <w:rPr>
          <w:sz w:val="10"/>
        </w:rPr>
        <w:noBreakHyphen/>
        <w:t>year Financial Projections Statement</w:t>
      </w:r>
      <w:r w:rsidRPr="007E4F64">
        <w:rPr>
          <w:sz w:val="10"/>
        </w:rPr>
        <w:t xml:space="preserve"> </w:t>
      </w:r>
      <w:r w:rsidR="00972FAF" w:rsidRPr="007E4F64">
        <w:rPr>
          <w:sz w:val="10"/>
        </w:rPr>
        <w:t>2023</w:t>
      </w:r>
      <w:r w:rsidR="00972FAF" w:rsidRPr="007E4F64">
        <w:rPr>
          <w:sz w:val="10"/>
        </w:rPr>
        <w:noBreakHyphen/>
        <w:t xml:space="preserve">24 </w:t>
      </w:r>
      <w:r w:rsidRPr="007E4F64">
        <w:rPr>
          <w:sz w:val="10"/>
        </w:rPr>
        <w:t>(</w:t>
      </w:r>
      <w:r w:rsidR="00972FAF" w:rsidRPr="007E4F64">
        <w:rPr>
          <w:sz w:val="10"/>
        </w:rPr>
        <w:t>December</w:t>
      </w:r>
      <w:r w:rsidRPr="007E4F64">
        <w:rPr>
          <w:sz w:val="10"/>
        </w:rPr>
        <w:t> 2023).</w:t>
      </w:r>
    </w:p>
    <w:p w14:paraId="651D7391" w14:textId="3F27A29A" w:rsidR="001F24B5" w:rsidRPr="001F24B5" w:rsidRDefault="001F24B5" w:rsidP="001F24B5">
      <w:pPr>
        <w:pStyle w:val="ListBullet"/>
        <w:numPr>
          <w:ilvl w:val="0"/>
          <w:numId w:val="0"/>
        </w:numPr>
        <w:spacing w:after="0"/>
        <w:jc w:val="both"/>
        <w:rPr>
          <w:sz w:val="10"/>
        </w:rPr>
      </w:pPr>
      <w:r>
        <w:rPr>
          <w:sz w:val="10"/>
          <w:vertAlign w:val="superscript"/>
        </w:rPr>
        <w:t xml:space="preserve">1 </w:t>
      </w:r>
      <w:r w:rsidRPr="001F24B5">
        <w:rPr>
          <w:sz w:val="10"/>
        </w:rPr>
        <w:t>S&amp;P Global Market Intelligence.</w:t>
      </w:r>
    </w:p>
    <w:p w14:paraId="64947A1A" w14:textId="77777777" w:rsidR="00D566DB" w:rsidRPr="007E4F64" w:rsidRDefault="00D566DB" w:rsidP="00D566DB">
      <w:pPr>
        <w:pStyle w:val="BodyText"/>
        <w:spacing w:after="0"/>
        <w:jc w:val="both"/>
        <w:rPr>
          <w:sz w:val="16"/>
        </w:rPr>
      </w:pPr>
      <w:r w:rsidRPr="007E4F64">
        <w:rPr>
          <w:sz w:val="16"/>
        </w:rPr>
        <w:br w:type="column"/>
      </w:r>
    </w:p>
    <w:p w14:paraId="2F1D248B" w14:textId="77777777" w:rsidR="00D566DB" w:rsidRPr="00DC5FAE" w:rsidRDefault="00D566DB" w:rsidP="00D566DB">
      <w:pPr>
        <w:pStyle w:val="BodyText"/>
        <w:numPr>
          <w:ilvl w:val="0"/>
          <w:numId w:val="9"/>
        </w:numPr>
        <w:spacing w:after="0"/>
        <w:jc w:val="both"/>
        <w:rPr>
          <w:color w:val="000000" w:themeColor="text1"/>
          <w:sz w:val="16"/>
        </w:rPr>
      </w:pPr>
      <w:r w:rsidRPr="00DC5FAE">
        <w:rPr>
          <w:color w:val="000000" w:themeColor="text1"/>
          <w:sz w:val="16"/>
        </w:rPr>
        <w:t>The volume of Western Australia’s iron ore sales rose 1.9% to 861 million tonnes in 2022-23.</w:t>
      </w:r>
    </w:p>
    <w:p w14:paraId="0C0FADF5" w14:textId="0112B8A2" w:rsidR="00D566DB" w:rsidRPr="007E4F64" w:rsidRDefault="00D566DB" w:rsidP="00D566DB">
      <w:pPr>
        <w:pStyle w:val="BodyText"/>
        <w:numPr>
          <w:ilvl w:val="0"/>
          <w:numId w:val="9"/>
        </w:numPr>
        <w:spacing w:after="0"/>
        <w:jc w:val="both"/>
        <w:rPr>
          <w:sz w:val="16"/>
        </w:rPr>
      </w:pPr>
      <w:r w:rsidRPr="007E4F64">
        <w:rPr>
          <w:sz w:val="16"/>
        </w:rPr>
        <w:t xml:space="preserve">The WA </w:t>
      </w:r>
      <w:r w:rsidR="00617981" w:rsidRPr="007E4F64">
        <w:rPr>
          <w:sz w:val="16"/>
        </w:rPr>
        <w:t xml:space="preserve">Government Mid-year Financial Projections Statement </w:t>
      </w:r>
      <w:r w:rsidRPr="007E4F64">
        <w:rPr>
          <w:sz w:val="16"/>
        </w:rPr>
        <w:t>2023-24 forecasts Western Australia’s iron ore sales volumes will rise to 898 million tonnes in 2025</w:t>
      </w:r>
      <w:r w:rsidRPr="007E4F64">
        <w:rPr>
          <w:sz w:val="16"/>
        </w:rPr>
        <w:noBreakHyphen/>
        <w:t>26, before declining to 890 million tonnes in 2026-27.</w:t>
      </w:r>
    </w:p>
    <w:p w14:paraId="50915217" w14:textId="413905C8" w:rsidR="00D566DB" w:rsidRPr="00AB4864" w:rsidRDefault="00D566DB" w:rsidP="00D566DB">
      <w:pPr>
        <w:pStyle w:val="BodyText"/>
        <w:numPr>
          <w:ilvl w:val="0"/>
          <w:numId w:val="9"/>
        </w:numPr>
        <w:spacing w:after="0"/>
        <w:jc w:val="both"/>
        <w:rPr>
          <w:sz w:val="16"/>
        </w:rPr>
      </w:pPr>
      <w:r w:rsidRPr="00AB4864">
        <w:rPr>
          <w:sz w:val="16"/>
        </w:rPr>
        <w:t>Western Australia produced mainly iron ore fines (7</w:t>
      </w:r>
      <w:r w:rsidR="003468CE" w:rsidRPr="00AB4864">
        <w:rPr>
          <w:sz w:val="16"/>
        </w:rPr>
        <w:t>3</w:t>
      </w:r>
      <w:r w:rsidRPr="00AB4864">
        <w:rPr>
          <w:sz w:val="16"/>
        </w:rPr>
        <w:t>%) in 202</w:t>
      </w:r>
      <w:r w:rsidR="00EB1B3C" w:rsidRPr="00AB4864">
        <w:rPr>
          <w:sz w:val="16"/>
        </w:rPr>
        <w:t>3</w:t>
      </w:r>
      <w:r w:rsidRPr="00AB4864">
        <w:rPr>
          <w:sz w:val="16"/>
        </w:rPr>
        <w:t>, followed by lump (2</w:t>
      </w:r>
      <w:r w:rsidR="003468CE" w:rsidRPr="00AB4864">
        <w:rPr>
          <w:sz w:val="16"/>
        </w:rPr>
        <w:t>3</w:t>
      </w:r>
      <w:r w:rsidRPr="00AB4864">
        <w:rPr>
          <w:sz w:val="16"/>
        </w:rPr>
        <w:t>%) and concentrate (</w:t>
      </w:r>
      <w:r w:rsidR="003468CE" w:rsidRPr="00AB4864">
        <w:rPr>
          <w:sz w:val="16"/>
        </w:rPr>
        <w:t>4</w:t>
      </w:r>
      <w:r w:rsidRPr="00AB4864">
        <w:rPr>
          <w:sz w:val="16"/>
        </w:rPr>
        <w:t>%)</w:t>
      </w:r>
      <w:proofErr w:type="gramStart"/>
      <w:r w:rsidRPr="00AB4864">
        <w:rPr>
          <w:sz w:val="16"/>
        </w:rPr>
        <w:t>.</w:t>
      </w:r>
      <w:r w:rsidR="001F24B5" w:rsidRPr="00AB4864">
        <w:rPr>
          <w:sz w:val="16"/>
          <w:vertAlign w:val="superscript"/>
        </w:rPr>
        <w:t>1</w:t>
      </w:r>
      <w:proofErr w:type="gramEnd"/>
    </w:p>
    <w:p w14:paraId="72071E22" w14:textId="7C6E3F9C" w:rsidR="00D566DB" w:rsidRPr="00AB4864" w:rsidRDefault="00D566DB" w:rsidP="00D566DB">
      <w:pPr>
        <w:pStyle w:val="BodyText"/>
        <w:numPr>
          <w:ilvl w:val="0"/>
          <w:numId w:val="9"/>
        </w:numPr>
        <w:spacing w:after="0"/>
        <w:jc w:val="both"/>
        <w:rPr>
          <w:sz w:val="16"/>
        </w:rPr>
      </w:pPr>
      <w:r w:rsidRPr="00AB4864">
        <w:rPr>
          <w:sz w:val="16"/>
        </w:rPr>
        <w:t>Western Australia’s major iron ore fines products in 202</w:t>
      </w:r>
      <w:r w:rsidR="001924D6" w:rsidRPr="00AB4864">
        <w:rPr>
          <w:sz w:val="16"/>
        </w:rPr>
        <w:t>3</w:t>
      </w:r>
      <w:r w:rsidRPr="00AB4864">
        <w:rPr>
          <w:sz w:val="16"/>
        </w:rPr>
        <w:t xml:space="preserve"> were FMG’s Chichester Hub Fines (9</w:t>
      </w:r>
      <w:r w:rsidR="001924D6" w:rsidRPr="00AB4864">
        <w:rPr>
          <w:sz w:val="16"/>
        </w:rPr>
        <w:t>7</w:t>
      </w:r>
      <w:r w:rsidRPr="00AB4864">
        <w:rPr>
          <w:sz w:val="16"/>
        </w:rPr>
        <w:t>.</w:t>
      </w:r>
      <w:r w:rsidR="001924D6" w:rsidRPr="00AB4864">
        <w:rPr>
          <w:sz w:val="16"/>
        </w:rPr>
        <w:t>3</w:t>
      </w:r>
      <w:r w:rsidRPr="00AB4864">
        <w:rPr>
          <w:sz w:val="16"/>
        </w:rPr>
        <w:t> million tonnes), BHP’s Mining Area C Fines (8</w:t>
      </w:r>
      <w:r w:rsidR="001924D6" w:rsidRPr="00AB4864">
        <w:rPr>
          <w:sz w:val="16"/>
        </w:rPr>
        <w:t>5</w:t>
      </w:r>
      <w:r w:rsidRPr="00AB4864">
        <w:rPr>
          <w:sz w:val="16"/>
        </w:rPr>
        <w:t>.</w:t>
      </w:r>
      <w:r w:rsidR="001924D6" w:rsidRPr="00AB4864">
        <w:rPr>
          <w:sz w:val="16"/>
        </w:rPr>
        <w:t>7</w:t>
      </w:r>
      <w:r w:rsidRPr="00AB4864">
        <w:rPr>
          <w:sz w:val="16"/>
        </w:rPr>
        <w:t xml:space="preserve"> million tonnes) and </w:t>
      </w:r>
      <w:r w:rsidR="00901F72" w:rsidRPr="00AB4864">
        <w:rPr>
          <w:sz w:val="16"/>
        </w:rPr>
        <w:t xml:space="preserve">FMG’s </w:t>
      </w:r>
      <w:r w:rsidR="001924D6" w:rsidRPr="00AB4864">
        <w:rPr>
          <w:sz w:val="16"/>
        </w:rPr>
        <w:t>Solomon Hub</w:t>
      </w:r>
      <w:r w:rsidRPr="00AB4864">
        <w:rPr>
          <w:sz w:val="16"/>
        </w:rPr>
        <w:t xml:space="preserve"> Fines (</w:t>
      </w:r>
      <w:r w:rsidR="001924D6" w:rsidRPr="00AB4864">
        <w:rPr>
          <w:sz w:val="16"/>
        </w:rPr>
        <w:t>66</w:t>
      </w:r>
      <w:r w:rsidRPr="00AB4864">
        <w:rPr>
          <w:sz w:val="16"/>
        </w:rPr>
        <w:t>.</w:t>
      </w:r>
      <w:r w:rsidR="00901F72" w:rsidRPr="00AB4864">
        <w:rPr>
          <w:sz w:val="16"/>
        </w:rPr>
        <w:t>7</w:t>
      </w:r>
      <w:r w:rsidRPr="00AB4864">
        <w:rPr>
          <w:sz w:val="16"/>
        </w:rPr>
        <w:t> million tonnes).</w:t>
      </w:r>
    </w:p>
    <w:p w14:paraId="161C0021" w14:textId="11AA4D14" w:rsidR="00D566DB" w:rsidRPr="00AB4864" w:rsidRDefault="00D566DB" w:rsidP="00D566DB">
      <w:pPr>
        <w:pStyle w:val="BodyText"/>
        <w:numPr>
          <w:ilvl w:val="0"/>
          <w:numId w:val="9"/>
        </w:numPr>
        <w:spacing w:after="0"/>
        <w:jc w:val="both"/>
        <w:rPr>
          <w:sz w:val="16"/>
        </w:rPr>
      </w:pPr>
      <w:r w:rsidRPr="00AB4864">
        <w:rPr>
          <w:sz w:val="16"/>
        </w:rPr>
        <w:t>Western Australia’s major iron ore lump products in 202</w:t>
      </w:r>
      <w:r w:rsidR="00B918B3" w:rsidRPr="00AB4864">
        <w:rPr>
          <w:sz w:val="16"/>
        </w:rPr>
        <w:t>3</w:t>
      </w:r>
      <w:r w:rsidRPr="00AB4864">
        <w:rPr>
          <w:sz w:val="16"/>
        </w:rPr>
        <w:t xml:space="preserve"> were BHP’s Mining Area C Lump (3</w:t>
      </w:r>
      <w:r w:rsidR="00B918B3" w:rsidRPr="00AB4864">
        <w:rPr>
          <w:sz w:val="16"/>
        </w:rPr>
        <w:t>6</w:t>
      </w:r>
      <w:r w:rsidRPr="00AB4864">
        <w:rPr>
          <w:sz w:val="16"/>
        </w:rPr>
        <w:t>.</w:t>
      </w:r>
      <w:r w:rsidR="00B918B3" w:rsidRPr="00AB4864">
        <w:rPr>
          <w:sz w:val="16"/>
        </w:rPr>
        <w:t>1</w:t>
      </w:r>
      <w:r w:rsidRPr="00AB4864">
        <w:rPr>
          <w:sz w:val="16"/>
        </w:rPr>
        <w:t> million tonnes), Rio Tinto’s Brockman Lump (26.1 million tonnes) and Hancock Prospecting’s Roy Hill Lump (2</w:t>
      </w:r>
      <w:r w:rsidR="003C1DE7" w:rsidRPr="00AB4864">
        <w:rPr>
          <w:sz w:val="16"/>
        </w:rPr>
        <w:t>4</w:t>
      </w:r>
      <w:r w:rsidRPr="00AB4864">
        <w:rPr>
          <w:sz w:val="16"/>
        </w:rPr>
        <w:t>.</w:t>
      </w:r>
      <w:r w:rsidR="003C1DE7" w:rsidRPr="00AB4864">
        <w:rPr>
          <w:sz w:val="16"/>
        </w:rPr>
        <w:t>4</w:t>
      </w:r>
      <w:r w:rsidRPr="00AB4864">
        <w:rPr>
          <w:sz w:val="16"/>
        </w:rPr>
        <w:t> million tonnes).</w:t>
      </w:r>
    </w:p>
    <w:p w14:paraId="4B3DBC8B" w14:textId="31000990" w:rsidR="00D566DB" w:rsidRPr="00AB4864" w:rsidRDefault="00D566DB" w:rsidP="00D566DB">
      <w:pPr>
        <w:pStyle w:val="BodyText"/>
        <w:numPr>
          <w:ilvl w:val="0"/>
          <w:numId w:val="9"/>
        </w:numPr>
        <w:spacing w:after="0"/>
        <w:jc w:val="both"/>
        <w:rPr>
          <w:sz w:val="16"/>
        </w:rPr>
      </w:pPr>
      <w:r w:rsidRPr="00AB4864">
        <w:rPr>
          <w:sz w:val="16"/>
        </w:rPr>
        <w:t>Western Australia also produced iron ore concentrates in 202</w:t>
      </w:r>
      <w:r w:rsidR="00EB1B3C" w:rsidRPr="00AB4864">
        <w:rPr>
          <w:sz w:val="16"/>
        </w:rPr>
        <w:t>3</w:t>
      </w:r>
      <w:r w:rsidRPr="00AB4864">
        <w:rPr>
          <w:sz w:val="16"/>
        </w:rPr>
        <w:t xml:space="preserve"> from CITIC Pacific’s Sino Iron (19.</w:t>
      </w:r>
      <w:r w:rsidR="00EB1B3C" w:rsidRPr="00AB4864">
        <w:rPr>
          <w:sz w:val="16"/>
        </w:rPr>
        <w:t>5</w:t>
      </w:r>
      <w:r w:rsidRPr="00AB4864">
        <w:rPr>
          <w:sz w:val="16"/>
        </w:rPr>
        <w:t> million tonnes) and</w:t>
      </w:r>
      <w:r w:rsidR="0090459F" w:rsidRPr="00AB4864">
        <w:rPr>
          <w:sz w:val="16"/>
        </w:rPr>
        <w:t xml:space="preserve"> FMG’s</w:t>
      </w:r>
      <w:r w:rsidRPr="00AB4864">
        <w:rPr>
          <w:sz w:val="16"/>
        </w:rPr>
        <w:t xml:space="preserve"> </w:t>
      </w:r>
      <w:r w:rsidR="00EB1B3C" w:rsidRPr="00AB4864">
        <w:rPr>
          <w:sz w:val="16"/>
        </w:rPr>
        <w:t>Iron Bridge</w:t>
      </w:r>
      <w:r w:rsidRPr="00AB4864">
        <w:rPr>
          <w:sz w:val="16"/>
        </w:rPr>
        <w:t xml:space="preserve"> (</w:t>
      </w:r>
      <w:r w:rsidR="00EB1B3C" w:rsidRPr="00AB4864">
        <w:rPr>
          <w:sz w:val="16"/>
        </w:rPr>
        <w:t>10.9</w:t>
      </w:r>
      <w:r w:rsidRPr="00AB4864">
        <w:rPr>
          <w:sz w:val="16"/>
        </w:rPr>
        <w:t> million tonnes) operations.</w:t>
      </w:r>
    </w:p>
    <w:p w14:paraId="1A76F013" w14:textId="77777777" w:rsidR="00D566DB" w:rsidRDefault="00D566DB" w:rsidP="00D566DB">
      <w:pPr>
        <w:pStyle w:val="BodyText"/>
        <w:numPr>
          <w:ilvl w:val="0"/>
          <w:numId w:val="9"/>
        </w:numPr>
        <w:spacing w:after="0"/>
        <w:jc w:val="both"/>
        <w:rPr>
          <w:sz w:val="16"/>
        </w:rPr>
      </w:pPr>
      <w:r>
        <w:rPr>
          <w:sz w:val="16"/>
        </w:rPr>
        <w:br w:type="page"/>
      </w:r>
    </w:p>
    <w:p w14:paraId="5FE4B8A1" w14:textId="77777777" w:rsidR="00D566DB" w:rsidRPr="00276397" w:rsidRDefault="00D566DB" w:rsidP="00D566DB">
      <w:pPr>
        <w:pStyle w:val="BodyText"/>
        <w:spacing w:after="0"/>
        <w:rPr>
          <w:sz w:val="22"/>
        </w:rPr>
      </w:pPr>
      <w:bookmarkStart w:id="0" w:name="_JAPAN"/>
      <w:bookmarkEnd w:id="0"/>
    </w:p>
    <w:p w14:paraId="648BED60"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Iron ore</w:t>
      </w:r>
      <w:r>
        <w:rPr>
          <w:b/>
          <w:color w:val="92278F" w:themeColor="accent1"/>
          <w:sz w:val="20"/>
        </w:rPr>
        <w:t xml:space="preserve"> price</w:t>
      </w:r>
      <w:r w:rsidRPr="00237515">
        <w:rPr>
          <w:b/>
          <w:color w:val="92278F" w:themeColor="accent1"/>
          <w:sz w:val="20"/>
          <w:vertAlign w:val="superscript"/>
        </w:rPr>
        <w:t>1</w:t>
      </w:r>
    </w:p>
    <w:p w14:paraId="671E6380" w14:textId="0B05D995" w:rsidR="00D566DB" w:rsidRDefault="00280583" w:rsidP="00D566DB">
      <w:pPr>
        <w:spacing w:after="0"/>
        <w:jc w:val="both"/>
        <w:rPr>
          <w:sz w:val="16"/>
        </w:rPr>
      </w:pPr>
      <w:r>
        <w:rPr>
          <w:noProof/>
        </w:rPr>
        <w:drawing>
          <wp:inline distT="0" distB="0" distL="0" distR="0" wp14:anchorId="7A78CD04" wp14:editId="1453E148">
            <wp:extent cx="3420000" cy="2185200"/>
            <wp:effectExtent l="0" t="0" r="9525" b="5715"/>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3420000" cy="2185200"/>
                    </a:xfrm>
                    <a:prstGeom prst="rect">
                      <a:avLst/>
                    </a:prstGeom>
                  </pic:spPr>
                </pic:pic>
              </a:graphicData>
            </a:graphic>
          </wp:inline>
        </w:drawing>
      </w:r>
    </w:p>
    <w:p w14:paraId="13DC075C" w14:textId="77777777" w:rsidR="00D566DB" w:rsidRPr="006363D1" w:rsidRDefault="00D566DB" w:rsidP="00D566DB">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7B131070" w14:textId="77777777" w:rsidR="00D566DB" w:rsidRPr="006363D1" w:rsidRDefault="00D566DB" w:rsidP="00D566DB">
      <w:pPr>
        <w:pStyle w:val="BodyText"/>
        <w:spacing w:after="0"/>
        <w:jc w:val="both"/>
        <w:rPr>
          <w:sz w:val="10"/>
        </w:rPr>
      </w:pPr>
      <w:r w:rsidRPr="006363D1">
        <w:rPr>
          <w:sz w:val="10"/>
        </w:rPr>
        <w:t>Source: World Bank, Commodity Markets (Monthly).</w:t>
      </w:r>
    </w:p>
    <w:p w14:paraId="256A857C" w14:textId="77777777" w:rsidR="00D566DB" w:rsidRDefault="00D566DB" w:rsidP="00D566DB">
      <w:pPr>
        <w:spacing w:after="0"/>
        <w:jc w:val="both"/>
        <w:rPr>
          <w:sz w:val="16"/>
        </w:rPr>
      </w:pPr>
    </w:p>
    <w:p w14:paraId="028FB600" w14:textId="77777777" w:rsidR="00D566DB" w:rsidRDefault="00D566DB" w:rsidP="00D566DB">
      <w:pPr>
        <w:spacing w:after="0"/>
        <w:jc w:val="both"/>
        <w:rPr>
          <w:sz w:val="16"/>
        </w:rPr>
      </w:pPr>
    </w:p>
    <w:p w14:paraId="5E45CA35" w14:textId="77777777" w:rsidR="00D566DB" w:rsidRDefault="00D566DB" w:rsidP="00D566DB">
      <w:pPr>
        <w:spacing w:after="0"/>
        <w:jc w:val="both"/>
        <w:rPr>
          <w:sz w:val="16"/>
        </w:rPr>
      </w:pPr>
      <w:r>
        <w:rPr>
          <w:sz w:val="16"/>
        </w:rPr>
        <w:br w:type="column"/>
      </w:r>
    </w:p>
    <w:p w14:paraId="49A50F45" w14:textId="77777777" w:rsidR="00D566DB" w:rsidRPr="00972FAF" w:rsidRDefault="00D566DB" w:rsidP="00D566DB">
      <w:pPr>
        <w:pStyle w:val="BodyText"/>
        <w:spacing w:after="0"/>
        <w:jc w:val="both"/>
        <w:rPr>
          <w:sz w:val="16"/>
        </w:rPr>
      </w:pPr>
    </w:p>
    <w:p w14:paraId="6DF74737" w14:textId="712EE8C1" w:rsidR="0064100B" w:rsidRPr="00AB4864" w:rsidRDefault="00D566DB" w:rsidP="00A64B0B">
      <w:pPr>
        <w:pStyle w:val="BodyText"/>
        <w:numPr>
          <w:ilvl w:val="0"/>
          <w:numId w:val="9"/>
        </w:numPr>
        <w:spacing w:after="0"/>
        <w:jc w:val="both"/>
        <w:rPr>
          <w:strike/>
          <w:sz w:val="16"/>
        </w:rPr>
      </w:pPr>
      <w:r w:rsidRPr="00AB4864">
        <w:rPr>
          <w:sz w:val="16"/>
        </w:rPr>
        <w:t xml:space="preserve">The average monthly iron ore price </w:t>
      </w:r>
      <w:r w:rsidR="0000562B" w:rsidRPr="00AB4864">
        <w:rPr>
          <w:sz w:val="16"/>
        </w:rPr>
        <w:t>fell</w:t>
      </w:r>
      <w:r w:rsidR="00E3050D" w:rsidRPr="00AB4864">
        <w:rPr>
          <w:sz w:val="16"/>
        </w:rPr>
        <w:t xml:space="preserve"> </w:t>
      </w:r>
      <w:r w:rsidR="0000562B" w:rsidRPr="00AB4864">
        <w:rPr>
          <w:sz w:val="16"/>
        </w:rPr>
        <w:t>1</w:t>
      </w:r>
      <w:r w:rsidR="007E5A80" w:rsidRPr="00AB4864">
        <w:rPr>
          <w:sz w:val="16"/>
        </w:rPr>
        <w:t>2</w:t>
      </w:r>
      <w:r w:rsidRPr="00AB4864">
        <w:rPr>
          <w:sz w:val="16"/>
        </w:rPr>
        <w:t>% to US$1</w:t>
      </w:r>
      <w:r w:rsidR="007E5A80" w:rsidRPr="00AB4864">
        <w:rPr>
          <w:sz w:val="16"/>
        </w:rPr>
        <w:t>09.</w:t>
      </w:r>
      <w:r w:rsidR="0000562B" w:rsidRPr="00AB4864">
        <w:rPr>
          <w:sz w:val="16"/>
        </w:rPr>
        <w:t>8</w:t>
      </w:r>
      <w:r w:rsidRPr="00AB4864">
        <w:rPr>
          <w:sz w:val="16"/>
        </w:rPr>
        <w:t xml:space="preserve"> a tonne in </w:t>
      </w:r>
      <w:r w:rsidR="007E5A80" w:rsidRPr="00AB4864">
        <w:rPr>
          <w:sz w:val="16"/>
        </w:rPr>
        <w:t>March</w:t>
      </w:r>
      <w:r w:rsidRPr="00AB4864">
        <w:rPr>
          <w:sz w:val="16"/>
        </w:rPr>
        <w:t xml:space="preserve"> </w:t>
      </w:r>
      <w:r w:rsidR="00D856FF" w:rsidRPr="00AB4864">
        <w:rPr>
          <w:sz w:val="16"/>
        </w:rPr>
        <w:t xml:space="preserve">2024, </w:t>
      </w:r>
      <w:r w:rsidR="00280583" w:rsidRPr="00AB4864">
        <w:rPr>
          <w:sz w:val="16"/>
        </w:rPr>
        <w:t>continuing a fall</w:t>
      </w:r>
      <w:r w:rsidR="00D856FF" w:rsidRPr="00AB4864">
        <w:rPr>
          <w:sz w:val="16"/>
        </w:rPr>
        <w:t xml:space="preserve"> from the recent high </w:t>
      </w:r>
      <w:r w:rsidR="00280583" w:rsidRPr="00AB4864">
        <w:rPr>
          <w:sz w:val="16"/>
        </w:rPr>
        <w:t xml:space="preserve">of US$137.05 reached </w:t>
      </w:r>
      <w:r w:rsidR="00D856FF" w:rsidRPr="00AB4864">
        <w:rPr>
          <w:sz w:val="16"/>
        </w:rPr>
        <w:t>in December 2023</w:t>
      </w:r>
      <w:r w:rsidR="00206D9F" w:rsidRPr="00AB4864">
        <w:rPr>
          <w:sz w:val="16"/>
        </w:rPr>
        <w:t>.</w:t>
      </w:r>
    </w:p>
    <w:p w14:paraId="6B2E29AB" w14:textId="24BD98C7" w:rsidR="001B4405" w:rsidRPr="00AB4864" w:rsidRDefault="0064100B" w:rsidP="001178A7">
      <w:pPr>
        <w:pStyle w:val="BodyText"/>
        <w:numPr>
          <w:ilvl w:val="0"/>
          <w:numId w:val="9"/>
        </w:numPr>
        <w:spacing w:after="0"/>
        <w:jc w:val="both"/>
        <w:rPr>
          <w:sz w:val="16"/>
        </w:rPr>
      </w:pPr>
      <w:r w:rsidRPr="00AB4864">
        <w:rPr>
          <w:sz w:val="16"/>
        </w:rPr>
        <w:t xml:space="preserve">Iron ore prices in </w:t>
      </w:r>
      <w:r w:rsidR="003D5205" w:rsidRPr="00AB4864">
        <w:rPr>
          <w:sz w:val="16"/>
        </w:rPr>
        <w:t>2023</w:t>
      </w:r>
      <w:r w:rsidRPr="00AB4864">
        <w:rPr>
          <w:sz w:val="16"/>
        </w:rPr>
        <w:t xml:space="preserve"> were </w:t>
      </w:r>
      <w:r w:rsidR="006C47EF" w:rsidRPr="00AB4864">
        <w:rPr>
          <w:sz w:val="16"/>
        </w:rPr>
        <w:t>supported by the global recovery from COVID-19, particularly the reopening of China after a prolonged lockdown</w:t>
      </w:r>
      <w:r w:rsidR="009F5DBB" w:rsidRPr="00AB4864">
        <w:rPr>
          <w:sz w:val="16"/>
        </w:rPr>
        <w:t>.</w:t>
      </w:r>
      <w:r w:rsidR="00CA7D2C" w:rsidRPr="00AB4864">
        <w:rPr>
          <w:sz w:val="16"/>
        </w:rPr>
        <w:t xml:space="preserve"> </w:t>
      </w:r>
      <w:r w:rsidR="001178A7" w:rsidRPr="00AB4864">
        <w:rPr>
          <w:sz w:val="16"/>
        </w:rPr>
        <w:t>However,</w:t>
      </w:r>
      <w:r w:rsidR="001B4405" w:rsidRPr="00AB4864">
        <w:rPr>
          <w:sz w:val="16"/>
        </w:rPr>
        <w:t xml:space="preserve"> weakening steel demand from China’s sizeable property and construction sector and uncertainty regarding the extent of China’s future stimulus spending on infrastructure have dampened expectations for iron ore demand and prices in 2024.</w:t>
      </w:r>
    </w:p>
    <w:p w14:paraId="5F842896" w14:textId="5B8730E1" w:rsidR="0064100B" w:rsidRPr="00AB4864" w:rsidRDefault="007477DA" w:rsidP="001178A7">
      <w:pPr>
        <w:pStyle w:val="BodyText"/>
        <w:numPr>
          <w:ilvl w:val="0"/>
          <w:numId w:val="9"/>
        </w:numPr>
        <w:spacing w:after="0"/>
        <w:jc w:val="both"/>
        <w:rPr>
          <w:sz w:val="16"/>
        </w:rPr>
      </w:pPr>
      <w:r w:rsidRPr="00AB4864">
        <w:rPr>
          <w:sz w:val="16"/>
        </w:rPr>
        <w:t>F</w:t>
      </w:r>
      <w:r w:rsidR="00CA7D2C" w:rsidRPr="00AB4864">
        <w:rPr>
          <w:sz w:val="16"/>
        </w:rPr>
        <w:t xml:space="preserve">orecasts for </w:t>
      </w:r>
      <w:r w:rsidR="001178A7" w:rsidRPr="00AB4864">
        <w:rPr>
          <w:sz w:val="16"/>
        </w:rPr>
        <w:t xml:space="preserve">the remainder of </w:t>
      </w:r>
      <w:r w:rsidR="00CA7D2C" w:rsidRPr="00AB4864">
        <w:rPr>
          <w:sz w:val="16"/>
        </w:rPr>
        <w:t>2024</w:t>
      </w:r>
      <w:r w:rsidR="002D4DC3" w:rsidRPr="00AB4864">
        <w:rPr>
          <w:sz w:val="16"/>
        </w:rPr>
        <w:t xml:space="preserve"> vary but many</w:t>
      </w:r>
      <w:r w:rsidR="001178A7" w:rsidRPr="00AB4864">
        <w:rPr>
          <w:sz w:val="16"/>
        </w:rPr>
        <w:t xml:space="preserve"> </w:t>
      </w:r>
      <w:r w:rsidR="00CA7D2C" w:rsidRPr="00AB4864">
        <w:rPr>
          <w:sz w:val="16"/>
        </w:rPr>
        <w:t xml:space="preserve">predict </w:t>
      </w:r>
      <w:r w:rsidR="001178A7" w:rsidRPr="00AB4864">
        <w:rPr>
          <w:sz w:val="16"/>
        </w:rPr>
        <w:t>the iron ore</w:t>
      </w:r>
      <w:r w:rsidR="00CA7D2C" w:rsidRPr="00AB4864">
        <w:rPr>
          <w:sz w:val="16"/>
        </w:rPr>
        <w:t xml:space="preserve"> price </w:t>
      </w:r>
      <w:r w:rsidR="001178A7" w:rsidRPr="00AB4864">
        <w:rPr>
          <w:sz w:val="16"/>
        </w:rPr>
        <w:t>to settle lower than its current value, trading between US$90 and US$1</w:t>
      </w:r>
      <w:r w:rsidR="002D4DC3" w:rsidRPr="00AB4864">
        <w:rPr>
          <w:sz w:val="16"/>
        </w:rPr>
        <w:t>1</w:t>
      </w:r>
      <w:r w:rsidR="001178A7" w:rsidRPr="00AB4864">
        <w:rPr>
          <w:sz w:val="16"/>
        </w:rPr>
        <w:t>0 a tonne for the remainder of the calendar year.</w:t>
      </w:r>
    </w:p>
    <w:p w14:paraId="4A854F46" w14:textId="4E40E1FE" w:rsidR="00D566DB" w:rsidRPr="00AB4864" w:rsidRDefault="00D566DB" w:rsidP="003D5205">
      <w:pPr>
        <w:pStyle w:val="BodyText"/>
        <w:numPr>
          <w:ilvl w:val="0"/>
          <w:numId w:val="9"/>
        </w:numPr>
        <w:spacing w:after="0"/>
        <w:jc w:val="both"/>
        <w:rPr>
          <w:sz w:val="16"/>
        </w:rPr>
      </w:pPr>
      <w:r w:rsidRPr="00AB4864">
        <w:rPr>
          <w:sz w:val="16"/>
        </w:rPr>
        <w:t xml:space="preserve">The WA </w:t>
      </w:r>
      <w:r w:rsidR="00617981" w:rsidRPr="00AB4864">
        <w:rPr>
          <w:sz w:val="16"/>
        </w:rPr>
        <w:t xml:space="preserve">Government Mid-year Financial Projections Statement </w:t>
      </w:r>
      <w:r w:rsidRPr="00AB4864">
        <w:rPr>
          <w:sz w:val="16"/>
        </w:rPr>
        <w:t>2023-24 forecasts the iron ore price will average US$</w:t>
      </w:r>
      <w:r w:rsidR="00617981" w:rsidRPr="00AB4864">
        <w:rPr>
          <w:sz w:val="16"/>
        </w:rPr>
        <w:t>104.2</w:t>
      </w:r>
      <w:r w:rsidRPr="00AB4864">
        <w:rPr>
          <w:sz w:val="16"/>
        </w:rPr>
        <w:t xml:space="preserve"> a tonne in 2023-24, before returning to its long</w:t>
      </w:r>
      <w:r w:rsidRPr="00AB4864">
        <w:rPr>
          <w:sz w:val="16"/>
        </w:rPr>
        <w:noBreakHyphen/>
        <w:t>term annual average of US$66.0 a tonne in 2024</w:t>
      </w:r>
      <w:r w:rsidRPr="00AB4864">
        <w:rPr>
          <w:sz w:val="16"/>
        </w:rPr>
        <w:noBreakHyphen/>
        <w:t>25.</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7777777" w:rsidR="00D566DB" w:rsidRPr="00237515" w:rsidRDefault="00D566DB" w:rsidP="00D566DB">
      <w:pPr>
        <w:pStyle w:val="BodyText"/>
        <w:spacing w:after="0"/>
        <w:rPr>
          <w:b/>
          <w:color w:val="92278F" w:themeColor="accent1"/>
          <w:sz w:val="20"/>
        </w:rPr>
      </w:pPr>
      <w:r w:rsidRPr="00D011BF">
        <w:rPr>
          <w:b/>
          <w:color w:val="92278F" w:themeColor="accent1"/>
          <w:sz w:val="20"/>
        </w:rPr>
        <w:t>Western Australia’s iron ore sales and royalty revenu</w:t>
      </w:r>
      <w:r>
        <w:rPr>
          <w:b/>
          <w:color w:val="92278F" w:themeColor="accent1"/>
          <w:sz w:val="20"/>
        </w:rPr>
        <w:t>e</w:t>
      </w:r>
      <w:r w:rsidRPr="004B06D0">
        <w:rPr>
          <w:b/>
          <w:color w:val="92278F" w:themeColor="accent1"/>
          <w:sz w:val="20"/>
          <w:vertAlign w:val="superscript"/>
        </w:rPr>
        <w:t>1</w:t>
      </w:r>
    </w:p>
    <w:p w14:paraId="18CBCF55" w14:textId="77777777" w:rsidR="00D566DB" w:rsidRPr="006B5876" w:rsidRDefault="00D566DB" w:rsidP="00D566DB">
      <w:pPr>
        <w:pStyle w:val="BodyText"/>
        <w:spacing w:after="0"/>
        <w:rPr>
          <w:sz w:val="16"/>
        </w:rPr>
      </w:pPr>
      <w:r>
        <w:rPr>
          <w:noProof/>
          <w:sz w:val="16"/>
        </w:rPr>
        <w:drawing>
          <wp:inline distT="0" distB="0" distL="0" distR="0" wp14:anchorId="479C33A5" wp14:editId="13F51073">
            <wp:extent cx="3600000" cy="2209873"/>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000" cy="2209873"/>
                    </a:xfrm>
                    <a:prstGeom prst="rect">
                      <a:avLst/>
                    </a:prstGeom>
                    <a:noFill/>
                    <a:ln>
                      <a:noFill/>
                    </a:ln>
                  </pic:spPr>
                </pic:pic>
              </a:graphicData>
            </a:graphic>
          </wp:inline>
        </w:drawing>
      </w:r>
    </w:p>
    <w:p w14:paraId="5DDDB244" w14:textId="619BC5B7" w:rsidR="00D566DB" w:rsidRPr="00441F8D" w:rsidRDefault="00D566DB" w:rsidP="00D566DB">
      <w:pPr>
        <w:spacing w:after="0"/>
        <w:jc w:val="both"/>
        <w:rPr>
          <w:sz w:val="10"/>
        </w:rPr>
      </w:pPr>
      <w:r w:rsidRPr="00441F8D">
        <w:rPr>
          <w:sz w:val="10"/>
          <w:vertAlign w:val="superscript"/>
        </w:rPr>
        <w:t>1</w:t>
      </w:r>
      <w:r w:rsidRPr="00441F8D">
        <w:rPr>
          <w:sz w:val="10"/>
        </w:rPr>
        <w:t xml:space="preserve"> Actual </w:t>
      </w:r>
      <w:r w:rsidR="00A8220F" w:rsidRPr="00441F8D">
        <w:rPr>
          <w:sz w:val="10"/>
        </w:rPr>
        <w:t>royalty</w:t>
      </w:r>
      <w:r w:rsidRPr="00441F8D">
        <w:rPr>
          <w:sz w:val="10"/>
        </w:rPr>
        <w:t xml:space="preserve"> paid during the year. Regulation 86A of the Mining Regulations 1981 requires that royalties be paid within 30 days following the end of a quarter. As a result, cash receipts are necessarily offset by one quarter. Royalty income published in the State Budget (and associated financial statements) differ in value because they are recorded in the year that they are earned rather than paid. </w:t>
      </w:r>
      <w:r w:rsidRPr="00441F8D">
        <w:rPr>
          <w:sz w:val="10"/>
          <w:vertAlign w:val="superscript"/>
        </w:rPr>
        <w:t>2</w:t>
      </w:r>
      <w:r>
        <w:rPr>
          <w:sz w:val="10"/>
        </w:rPr>
        <w:t xml:space="preserve"> Ex</w:t>
      </w:r>
      <w:r w:rsidRPr="00441F8D">
        <w:rPr>
          <w:sz w:val="10"/>
        </w:rPr>
        <w:t xml:space="preserve">cludes </w:t>
      </w:r>
      <w:proofErr w:type="gramStart"/>
      <w:r w:rsidRPr="00441F8D">
        <w:rPr>
          <w:sz w:val="10"/>
        </w:rPr>
        <w:t>North West</w:t>
      </w:r>
      <w:proofErr w:type="gramEnd"/>
      <w:r w:rsidRPr="00441F8D">
        <w:rPr>
          <w:sz w:val="10"/>
        </w:rPr>
        <w:t xml:space="preserve"> Shelf Grants.</w:t>
      </w:r>
    </w:p>
    <w:p w14:paraId="1D0CB1FF" w14:textId="77777777" w:rsidR="00D566DB" w:rsidRPr="00734C2D" w:rsidRDefault="00D566DB" w:rsidP="00D566DB">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0B154E92" w14:textId="77777777" w:rsidR="00D566DB" w:rsidRDefault="00D566DB" w:rsidP="00D566DB">
      <w:pPr>
        <w:spacing w:after="0"/>
        <w:jc w:val="both"/>
        <w:rPr>
          <w:sz w:val="16"/>
        </w:rPr>
      </w:pPr>
    </w:p>
    <w:p w14:paraId="4B73DCBA"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71DB06A1" w14:textId="08ABE867" w:rsidR="00D566DB" w:rsidRPr="007275D3" w:rsidRDefault="00D566DB" w:rsidP="00D566DB">
      <w:pPr>
        <w:pStyle w:val="BodyText"/>
        <w:numPr>
          <w:ilvl w:val="0"/>
          <w:numId w:val="9"/>
        </w:numPr>
        <w:spacing w:after="0"/>
        <w:jc w:val="both"/>
        <w:rPr>
          <w:sz w:val="16"/>
        </w:rPr>
      </w:pPr>
      <w:r w:rsidRPr="007275D3">
        <w:rPr>
          <w:sz w:val="16"/>
        </w:rPr>
        <w:t>The iron ore industry is a large part of Western Australia’s economy, accounting for an estimated 2</w:t>
      </w:r>
      <w:r w:rsidR="004B3C4A" w:rsidRPr="007275D3">
        <w:rPr>
          <w:sz w:val="16"/>
        </w:rPr>
        <w:t>8</w:t>
      </w:r>
      <w:r w:rsidRPr="007275D3">
        <w:rPr>
          <w:sz w:val="16"/>
        </w:rPr>
        <w:t xml:space="preserve">% of the State’s </w:t>
      </w:r>
      <w:r w:rsidR="004B3C4A" w:rsidRPr="007275D3">
        <w:rPr>
          <w:sz w:val="16"/>
        </w:rPr>
        <w:t xml:space="preserve">nominal </w:t>
      </w:r>
      <w:r w:rsidRPr="007275D3">
        <w:rPr>
          <w:sz w:val="16"/>
        </w:rPr>
        <w:t>gross state product in 202</w:t>
      </w:r>
      <w:r w:rsidR="004B3C4A" w:rsidRPr="007275D3">
        <w:rPr>
          <w:sz w:val="16"/>
        </w:rPr>
        <w:t>2</w:t>
      </w:r>
      <w:r w:rsidRPr="007275D3">
        <w:rPr>
          <w:sz w:val="16"/>
        </w:rPr>
        <w:t>-2</w:t>
      </w:r>
      <w:r w:rsidR="004B3C4A" w:rsidRPr="007275D3">
        <w:rPr>
          <w:sz w:val="16"/>
        </w:rPr>
        <w:t>3</w:t>
      </w:r>
      <w:r w:rsidRPr="007275D3">
        <w:rPr>
          <w:sz w:val="16"/>
        </w:rPr>
        <w:t>.</w:t>
      </w:r>
    </w:p>
    <w:p w14:paraId="7A9A4ADE" w14:textId="62A4E600" w:rsidR="00D566DB" w:rsidRPr="006C05BA" w:rsidRDefault="00D566DB" w:rsidP="00D566DB">
      <w:pPr>
        <w:pStyle w:val="BodyText"/>
        <w:numPr>
          <w:ilvl w:val="0"/>
          <w:numId w:val="9"/>
        </w:numPr>
        <w:spacing w:after="0"/>
        <w:jc w:val="both"/>
        <w:rPr>
          <w:sz w:val="16"/>
        </w:rPr>
      </w:pPr>
      <w:r w:rsidRPr="006C05BA">
        <w:rPr>
          <w:sz w:val="16"/>
        </w:rPr>
        <w:t>In 202</w:t>
      </w:r>
      <w:r w:rsidR="006521C6" w:rsidRPr="006C05BA">
        <w:rPr>
          <w:sz w:val="16"/>
        </w:rPr>
        <w:t>3</w:t>
      </w:r>
      <w:r w:rsidRPr="006C05BA">
        <w:rPr>
          <w:sz w:val="16"/>
        </w:rPr>
        <w:t xml:space="preserve">, iron ore accounted for </w:t>
      </w:r>
      <w:r w:rsidR="006521C6" w:rsidRPr="006C05BA">
        <w:rPr>
          <w:sz w:val="16"/>
        </w:rPr>
        <w:t>51</w:t>
      </w:r>
      <w:r w:rsidRPr="006C05BA">
        <w:rPr>
          <w:sz w:val="16"/>
        </w:rPr>
        <w:t>% of the value of Western Australia’s exports of goods.</w:t>
      </w:r>
    </w:p>
    <w:p w14:paraId="0C371492" w14:textId="5B224F6F" w:rsidR="00D566DB" w:rsidRPr="00DC5FAE" w:rsidRDefault="00D566DB" w:rsidP="00D566DB">
      <w:pPr>
        <w:pStyle w:val="BodyText"/>
        <w:numPr>
          <w:ilvl w:val="0"/>
          <w:numId w:val="9"/>
        </w:numPr>
        <w:spacing w:after="0"/>
        <w:jc w:val="both"/>
        <w:rPr>
          <w:color w:val="000000" w:themeColor="text1"/>
          <w:sz w:val="16"/>
        </w:rPr>
      </w:pPr>
      <w:r w:rsidRPr="00DC5FAE">
        <w:rPr>
          <w:color w:val="000000" w:themeColor="text1"/>
          <w:sz w:val="16"/>
        </w:rPr>
        <w:t xml:space="preserve">The value of Western Australia’s iron ore sales fell </w:t>
      </w:r>
      <w:r w:rsidR="00B75405" w:rsidRPr="00DC5FAE">
        <w:rPr>
          <w:color w:val="000000" w:themeColor="text1"/>
          <w:sz w:val="16"/>
        </w:rPr>
        <w:t>9</w:t>
      </w:r>
      <w:r w:rsidRPr="00DC5FAE">
        <w:rPr>
          <w:color w:val="000000" w:themeColor="text1"/>
          <w:sz w:val="16"/>
        </w:rPr>
        <w:t>% to $125.1 billion in 2022-23, in contrast to the compound annual growth of 8% over the past 10 years.</w:t>
      </w:r>
    </w:p>
    <w:p w14:paraId="381CEA80" w14:textId="5938D5B1" w:rsidR="00D566DB" w:rsidRPr="00DC5FAE" w:rsidRDefault="00D566DB" w:rsidP="00D566DB">
      <w:pPr>
        <w:pStyle w:val="BodyText"/>
        <w:numPr>
          <w:ilvl w:val="0"/>
          <w:numId w:val="9"/>
        </w:numPr>
        <w:spacing w:after="0"/>
        <w:jc w:val="both"/>
        <w:rPr>
          <w:color w:val="000000" w:themeColor="text1"/>
          <w:sz w:val="16"/>
        </w:rPr>
      </w:pPr>
      <w:r w:rsidRPr="00DC5FAE">
        <w:rPr>
          <w:color w:val="000000" w:themeColor="text1"/>
          <w:sz w:val="16"/>
        </w:rPr>
        <w:t xml:space="preserve">Iron ore royalties in Western Australia </w:t>
      </w:r>
      <w:r w:rsidR="007C4FB8" w:rsidRPr="00DC5FAE">
        <w:rPr>
          <w:color w:val="000000" w:themeColor="text1"/>
          <w:sz w:val="16"/>
        </w:rPr>
        <w:t>fell</w:t>
      </w:r>
      <w:r w:rsidRPr="00DC5FAE">
        <w:rPr>
          <w:color w:val="000000" w:themeColor="text1"/>
          <w:sz w:val="16"/>
        </w:rPr>
        <w:t xml:space="preserve"> 1</w:t>
      </w:r>
      <w:r w:rsidR="007C4FB8" w:rsidRPr="00DC5FAE">
        <w:rPr>
          <w:color w:val="000000" w:themeColor="text1"/>
          <w:sz w:val="16"/>
        </w:rPr>
        <w:t>3</w:t>
      </w:r>
      <w:r w:rsidRPr="00DC5FAE">
        <w:rPr>
          <w:color w:val="000000" w:themeColor="text1"/>
          <w:sz w:val="16"/>
        </w:rPr>
        <w:t>% to $9.4 billion in 2022</w:t>
      </w:r>
      <w:r w:rsidR="00B75405" w:rsidRPr="00DC5FAE">
        <w:rPr>
          <w:color w:val="000000" w:themeColor="text1"/>
          <w:sz w:val="16"/>
        </w:rPr>
        <w:t>-23</w:t>
      </w:r>
      <w:r w:rsidRPr="00DC5FAE">
        <w:rPr>
          <w:color w:val="000000" w:themeColor="text1"/>
          <w:sz w:val="16"/>
        </w:rPr>
        <w:t>.</w:t>
      </w:r>
    </w:p>
    <w:p w14:paraId="485CF296" w14:textId="0B581394" w:rsidR="00D566DB" w:rsidRPr="00C4650A" w:rsidRDefault="00D566DB" w:rsidP="00D566DB">
      <w:pPr>
        <w:pStyle w:val="BodyText"/>
        <w:numPr>
          <w:ilvl w:val="0"/>
          <w:numId w:val="9"/>
        </w:numPr>
        <w:spacing w:after="0"/>
        <w:jc w:val="both"/>
        <w:rPr>
          <w:sz w:val="16"/>
        </w:rPr>
      </w:pPr>
      <w:r w:rsidRPr="00C4650A">
        <w:rPr>
          <w:sz w:val="16"/>
        </w:rPr>
        <w:t>In 202</w:t>
      </w:r>
      <w:r w:rsidR="005C3E07">
        <w:rPr>
          <w:sz w:val="16"/>
        </w:rPr>
        <w:t>2</w:t>
      </w:r>
      <w:r w:rsidRPr="00C4650A">
        <w:rPr>
          <w:sz w:val="16"/>
        </w:rPr>
        <w:noBreakHyphen/>
        <w:t>2</w:t>
      </w:r>
      <w:r w:rsidR="005C3E07">
        <w:rPr>
          <w:sz w:val="16"/>
        </w:rPr>
        <w:t>3</w:t>
      </w:r>
      <w:r w:rsidRPr="00C4650A">
        <w:rPr>
          <w:sz w:val="16"/>
        </w:rPr>
        <w:t xml:space="preserve">, iron ore </w:t>
      </w:r>
      <w:r w:rsidR="005C3E07">
        <w:rPr>
          <w:sz w:val="16"/>
        </w:rPr>
        <w:t xml:space="preserve">royalties </w:t>
      </w:r>
      <w:r w:rsidRPr="00C4650A">
        <w:rPr>
          <w:sz w:val="16"/>
        </w:rPr>
        <w:t xml:space="preserve">accounted for </w:t>
      </w:r>
      <w:r w:rsidR="005C3E07">
        <w:rPr>
          <w:sz w:val="16"/>
        </w:rPr>
        <w:t>84</w:t>
      </w:r>
      <w:r w:rsidRPr="00C4650A">
        <w:rPr>
          <w:sz w:val="16"/>
        </w:rPr>
        <w:t>% of Western Australia’s royalty revenue</w:t>
      </w:r>
      <w:r w:rsidRPr="00C4650A">
        <w:rPr>
          <w:sz w:val="16"/>
          <w:vertAlign w:val="superscript"/>
        </w:rPr>
        <w:t>2</w:t>
      </w:r>
      <w:r w:rsidRPr="00C4650A">
        <w:rPr>
          <w:sz w:val="16"/>
        </w:rPr>
        <w:t>.</w:t>
      </w:r>
    </w:p>
    <w:p w14:paraId="30D34646" w14:textId="341B94F2" w:rsidR="00D566DB" w:rsidRPr="008100D3" w:rsidRDefault="00D566DB" w:rsidP="00D566DB">
      <w:pPr>
        <w:pStyle w:val="BodyText"/>
        <w:numPr>
          <w:ilvl w:val="0"/>
          <w:numId w:val="9"/>
        </w:numPr>
        <w:spacing w:after="0"/>
        <w:jc w:val="both"/>
        <w:rPr>
          <w:sz w:val="16"/>
        </w:rPr>
      </w:pPr>
      <w:r w:rsidRPr="008100D3">
        <w:rPr>
          <w:sz w:val="16"/>
        </w:rPr>
        <w:t>The WA State Budget 2023</w:t>
      </w:r>
      <w:r w:rsidRPr="008100D3">
        <w:rPr>
          <w:sz w:val="16"/>
        </w:rPr>
        <w:noBreakHyphen/>
        <w:t>24 forecasts iron ore royalty income will decline to $5.1 billion in 2026-27</w:t>
      </w:r>
      <w:r w:rsidR="007C4FB8">
        <w:rPr>
          <w:sz w:val="16"/>
        </w:rPr>
        <w:t xml:space="preserve">, </w:t>
      </w:r>
      <w:r>
        <w:rPr>
          <w:sz w:val="16"/>
        </w:rPr>
        <w:t>based on the assumption, noted above, that the iron ore price will return to its long</w:t>
      </w:r>
      <w:r>
        <w:rPr>
          <w:sz w:val="16"/>
        </w:rPr>
        <w:noBreakHyphen/>
        <w:t>term annual average</w:t>
      </w:r>
      <w:r w:rsidRPr="008100D3">
        <w:rPr>
          <w:sz w:val="16"/>
        </w:rPr>
        <w:t>.</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0CA810C2" w14:textId="77777777" w:rsidR="00D566DB" w:rsidRDefault="00D566DB" w:rsidP="00D566DB">
      <w:pPr>
        <w:pStyle w:val="BodyText"/>
        <w:spacing w:after="0"/>
        <w:jc w:val="both"/>
        <w:rPr>
          <w:sz w:val="16"/>
        </w:rPr>
      </w:pPr>
      <w:r>
        <w:rPr>
          <w:noProof/>
          <w:sz w:val="16"/>
        </w:rPr>
        <w:drawing>
          <wp:inline distT="0" distB="0" distL="0" distR="0" wp14:anchorId="233364BD" wp14:editId="798DFD9D">
            <wp:extent cx="3600000" cy="2149957"/>
            <wp:effectExtent l="0" t="0" r="63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000" cy="2149957"/>
                    </a:xfrm>
                    <a:prstGeom prst="rect">
                      <a:avLst/>
                    </a:prstGeom>
                    <a:noFill/>
                    <a:ln>
                      <a:noFill/>
                    </a:ln>
                  </pic:spPr>
                </pic:pic>
              </a:graphicData>
            </a:graphic>
          </wp:inline>
        </w:drawing>
      </w:r>
    </w:p>
    <w:p w14:paraId="2697925C" w14:textId="77777777" w:rsidR="00D566DB" w:rsidRPr="00715528" w:rsidRDefault="00D566DB" w:rsidP="00D566DB">
      <w:pPr>
        <w:pStyle w:val="BodyText"/>
        <w:spacing w:after="0"/>
        <w:jc w:val="both"/>
        <w:rPr>
          <w:sz w:val="10"/>
        </w:rPr>
      </w:pPr>
      <w:r w:rsidRPr="00C34949">
        <w:rPr>
          <w:sz w:val="10"/>
          <w:vertAlign w:val="superscript"/>
        </w:rPr>
        <w:t>1</w:t>
      </w:r>
      <w:r>
        <w:rPr>
          <w:sz w:val="10"/>
        </w:rPr>
        <w:t xml:space="preserve"> Direct employment. Full-time equivalent (average on site).</w:t>
      </w:r>
    </w:p>
    <w:p w14:paraId="1FD68986" w14:textId="77777777" w:rsidR="00D566DB" w:rsidRPr="00BA6040" w:rsidRDefault="00D566DB" w:rsidP="00D566DB">
      <w:pPr>
        <w:spacing w:after="0"/>
        <w:ind w:right="402"/>
        <w:jc w:val="both"/>
        <w:rPr>
          <w:sz w:val="10"/>
        </w:rPr>
      </w:pPr>
      <w:r w:rsidRPr="00BA6040">
        <w:rPr>
          <w:sz w:val="10"/>
        </w:rPr>
        <w:t>Source: WA Department of Mines, Industry Regulation and Safety, Resource Data Files (Bi-Annual).</w:t>
      </w:r>
    </w:p>
    <w:p w14:paraId="046692B4" w14:textId="6E398B71" w:rsidR="00D566DB" w:rsidRPr="00AB4864" w:rsidRDefault="00D566DB" w:rsidP="00D566DB">
      <w:pPr>
        <w:pStyle w:val="BodyText"/>
        <w:numPr>
          <w:ilvl w:val="0"/>
          <w:numId w:val="9"/>
        </w:numPr>
        <w:spacing w:before="240" w:after="0"/>
        <w:jc w:val="both"/>
        <w:rPr>
          <w:sz w:val="16"/>
        </w:rPr>
      </w:pPr>
      <w:r w:rsidRPr="00BA6040">
        <w:rPr>
          <w:sz w:val="16"/>
        </w:rPr>
        <w:br w:type="column"/>
      </w:r>
      <w:r w:rsidRPr="00AB4864">
        <w:rPr>
          <w:sz w:val="16"/>
        </w:rPr>
        <w:t>Direct full</w:t>
      </w:r>
      <w:r w:rsidRPr="00AB4864">
        <w:rPr>
          <w:sz w:val="16"/>
        </w:rPr>
        <w:noBreakHyphen/>
        <w:t xml:space="preserve">time equivalent employment in Western Australia’s iron ore industry rose </w:t>
      </w:r>
      <w:r w:rsidR="007C4FB8" w:rsidRPr="00AB4864">
        <w:rPr>
          <w:sz w:val="16"/>
        </w:rPr>
        <w:t>2.5</w:t>
      </w:r>
      <w:r w:rsidRPr="00AB4864">
        <w:rPr>
          <w:sz w:val="16"/>
        </w:rPr>
        <w:t>% (</w:t>
      </w:r>
      <w:r w:rsidR="007C4FB8" w:rsidRPr="00AB4864">
        <w:rPr>
          <w:sz w:val="16"/>
        </w:rPr>
        <w:t>1,478</w:t>
      </w:r>
      <w:r w:rsidRPr="00AB4864">
        <w:rPr>
          <w:sz w:val="16"/>
        </w:rPr>
        <w:t>) to 61,203 in 2022</w:t>
      </w:r>
      <w:r w:rsidRPr="00AB4864">
        <w:rPr>
          <w:sz w:val="16"/>
        </w:rPr>
        <w:noBreakHyphen/>
        <w:t>23.</w:t>
      </w:r>
    </w:p>
    <w:p w14:paraId="6E16BFA1" w14:textId="77777777" w:rsidR="00D566DB" w:rsidRPr="00AB4864" w:rsidRDefault="00D566DB" w:rsidP="00D566DB">
      <w:pPr>
        <w:pStyle w:val="BodyText"/>
        <w:numPr>
          <w:ilvl w:val="0"/>
          <w:numId w:val="9"/>
        </w:numPr>
        <w:spacing w:after="0"/>
        <w:jc w:val="both"/>
        <w:rPr>
          <w:sz w:val="16"/>
        </w:rPr>
      </w:pPr>
      <w:r w:rsidRPr="00AB4864">
        <w:rPr>
          <w:sz w:val="16"/>
        </w:rPr>
        <w:t>Iron ore accounted for 48% of direct full</w:t>
      </w:r>
      <w:r w:rsidRPr="00AB4864">
        <w:rPr>
          <w:sz w:val="16"/>
        </w:rPr>
        <w:noBreakHyphen/>
        <w:t>time equivalent employment in Western Australia’s minerals mining industry in 2022</w:t>
      </w:r>
      <w:r w:rsidRPr="00AB4864">
        <w:rPr>
          <w:sz w:val="16"/>
        </w:rPr>
        <w:noBreakHyphen/>
        <w:t>23 (excluding exploration).</w:t>
      </w:r>
    </w:p>
    <w:p w14:paraId="79C28530" w14:textId="77777777" w:rsidR="00D566DB" w:rsidRPr="00AB4864" w:rsidRDefault="00D566DB" w:rsidP="00D566DB">
      <w:pPr>
        <w:pStyle w:val="BodyText"/>
        <w:numPr>
          <w:ilvl w:val="0"/>
          <w:numId w:val="9"/>
        </w:numPr>
        <w:spacing w:after="0"/>
        <w:jc w:val="both"/>
        <w:rPr>
          <w:sz w:val="16"/>
        </w:rPr>
      </w:pPr>
      <w:r w:rsidRPr="00AB4864">
        <w:rPr>
          <w:sz w:val="16"/>
        </w:rPr>
        <w:t>Western Australia’s largest employing iron ore mine sites in 2022</w:t>
      </w:r>
      <w:r w:rsidRPr="00AB4864">
        <w:rPr>
          <w:sz w:val="16"/>
        </w:rPr>
        <w:noBreakHyphen/>
        <w:t>23 were:</w:t>
      </w:r>
    </w:p>
    <w:p w14:paraId="367C6C76" w14:textId="77777777" w:rsidR="00D566DB" w:rsidRPr="00AB4864" w:rsidRDefault="00D566DB" w:rsidP="00D566DB">
      <w:pPr>
        <w:pStyle w:val="BodyText"/>
        <w:numPr>
          <w:ilvl w:val="1"/>
          <w:numId w:val="10"/>
        </w:numPr>
        <w:spacing w:after="0"/>
        <w:ind w:left="851" w:hanging="284"/>
        <w:jc w:val="both"/>
        <w:rPr>
          <w:sz w:val="16"/>
        </w:rPr>
      </w:pPr>
      <w:r w:rsidRPr="00AB4864">
        <w:rPr>
          <w:sz w:val="16"/>
        </w:rPr>
        <w:t>Roy Hill Operations (4,113 or 6.7% of iron ore employment in Western Australia)</w:t>
      </w:r>
    </w:p>
    <w:p w14:paraId="5E59C59B" w14:textId="77777777" w:rsidR="00D566DB" w:rsidRPr="00AB4864" w:rsidRDefault="00D566DB" w:rsidP="00D566DB">
      <w:pPr>
        <w:pStyle w:val="BodyText"/>
        <w:numPr>
          <w:ilvl w:val="1"/>
          <w:numId w:val="10"/>
        </w:numPr>
        <w:spacing w:after="0"/>
        <w:ind w:left="851" w:hanging="284"/>
        <w:jc w:val="both"/>
        <w:rPr>
          <w:sz w:val="16"/>
        </w:rPr>
      </w:pPr>
      <w:r w:rsidRPr="00AB4864">
        <w:rPr>
          <w:sz w:val="16"/>
        </w:rPr>
        <w:t>FMG’s Solomon Operations (4,059 or 6.6%)</w:t>
      </w:r>
    </w:p>
    <w:p w14:paraId="3721672D" w14:textId="77777777" w:rsidR="00DD7E51" w:rsidRPr="00AB4864" w:rsidRDefault="00D566DB" w:rsidP="008C013A">
      <w:pPr>
        <w:pStyle w:val="BodyText"/>
        <w:numPr>
          <w:ilvl w:val="1"/>
          <w:numId w:val="10"/>
        </w:numPr>
        <w:spacing w:after="0"/>
        <w:ind w:left="851" w:hanging="284"/>
        <w:jc w:val="both"/>
        <w:rPr>
          <w:sz w:val="16"/>
        </w:rPr>
      </w:pPr>
      <w:r w:rsidRPr="00AB4864">
        <w:rPr>
          <w:sz w:val="16"/>
        </w:rPr>
        <w:t>BHP’s Mining Area C (3,997 or 6.5%).</w:t>
      </w:r>
    </w:p>
    <w:p w14:paraId="145E3D92" w14:textId="36BACB98" w:rsidR="00D566DB" w:rsidRPr="00AB4864" w:rsidRDefault="00D566DB" w:rsidP="00DD7E51">
      <w:pPr>
        <w:pStyle w:val="BodyText"/>
        <w:spacing w:after="0"/>
        <w:jc w:val="both"/>
        <w:rPr>
          <w:sz w:val="16"/>
        </w:rPr>
      </w:pPr>
      <w:r w:rsidRPr="00AB4864">
        <w:rPr>
          <w:sz w:val="16"/>
        </w:rPr>
        <w:br w:type="page"/>
      </w:r>
    </w:p>
    <w:p w14:paraId="7E6CD1E4" w14:textId="77777777" w:rsidR="00D566DB" w:rsidRPr="00276397" w:rsidRDefault="00D566DB" w:rsidP="00D566DB">
      <w:pPr>
        <w:pStyle w:val="BodyText"/>
        <w:spacing w:after="0"/>
        <w:rPr>
          <w:sz w:val="22"/>
        </w:rPr>
      </w:pPr>
    </w:p>
    <w:p w14:paraId="2FBD1F73" w14:textId="77777777" w:rsidR="00D566DB" w:rsidRPr="00237515" w:rsidRDefault="00D566DB" w:rsidP="00D566DB">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p>
    <w:p w14:paraId="056C4FEE" w14:textId="4204D57D" w:rsidR="00D566DB" w:rsidRDefault="00814A8D" w:rsidP="00D566DB">
      <w:pPr>
        <w:spacing w:after="0"/>
        <w:ind w:right="260"/>
        <w:jc w:val="both"/>
        <w:rPr>
          <w:sz w:val="16"/>
        </w:rPr>
      </w:pPr>
      <w:r>
        <w:rPr>
          <w:noProof/>
          <w:sz w:val="16"/>
        </w:rPr>
        <w:drawing>
          <wp:inline distT="0" distB="0" distL="0" distR="0" wp14:anchorId="7EA44BA5" wp14:editId="75DAF67B">
            <wp:extent cx="3556660" cy="21189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1435" cy="2127788"/>
                    </a:xfrm>
                    <a:prstGeom prst="rect">
                      <a:avLst/>
                    </a:prstGeom>
                    <a:noFill/>
                    <a:ln>
                      <a:noFill/>
                    </a:ln>
                  </pic:spPr>
                </pic:pic>
              </a:graphicData>
            </a:graphic>
          </wp:inline>
        </w:drawing>
      </w:r>
    </w:p>
    <w:p w14:paraId="27430613" w14:textId="77777777" w:rsidR="00D566DB" w:rsidRPr="00645A14" w:rsidRDefault="00D566DB" w:rsidP="00D566DB">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proofErr w:type="gramStart"/>
      <w:r w:rsidRPr="00645A14">
        <w:rPr>
          <w:sz w:val="10"/>
        </w:rPr>
        <w:t>operations</w:t>
      </w:r>
      <w:proofErr w:type="gramEnd"/>
      <w:r>
        <w:rPr>
          <w:sz w:val="10"/>
        </w:rPr>
        <w:t xml:space="preserve"> only. </w:t>
      </w:r>
      <w:r w:rsidRPr="00645A14">
        <w:rPr>
          <w:sz w:val="10"/>
        </w:rPr>
        <w:t xml:space="preserve">Inclusive of </w:t>
      </w:r>
      <w:proofErr w:type="gramStart"/>
      <w:r w:rsidRPr="00645A14">
        <w:rPr>
          <w:sz w:val="10"/>
        </w:rPr>
        <w:t>third party</w:t>
      </w:r>
      <w:proofErr w:type="gramEnd"/>
      <w:r w:rsidRPr="00645A14">
        <w:rPr>
          <w:sz w:val="10"/>
        </w:rPr>
        <w:t xml:space="preserve"> tonnes.</w:t>
      </w:r>
      <w:r w:rsidRPr="00844AEE">
        <w:rPr>
          <w:sz w:val="10"/>
        </w:rPr>
        <w:t xml:space="preserve"> </w:t>
      </w:r>
      <w:r w:rsidRPr="00645A14">
        <w:rPr>
          <w:sz w:val="10"/>
        </w:rPr>
        <w:t>Wet tonnes.</w:t>
      </w:r>
    </w:p>
    <w:p w14:paraId="514CCB9C" w14:textId="77777777" w:rsidR="00D566DB" w:rsidRPr="00EB7354" w:rsidRDefault="00D566DB" w:rsidP="00D566DB">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0A2C0F2B" w14:textId="77777777" w:rsidR="00D566DB" w:rsidRDefault="00D566DB" w:rsidP="00D566DB">
      <w:pPr>
        <w:spacing w:after="0"/>
        <w:jc w:val="both"/>
        <w:rPr>
          <w:sz w:val="16"/>
        </w:rPr>
      </w:pPr>
    </w:p>
    <w:p w14:paraId="574EA2E3" w14:textId="77777777" w:rsidR="00D566DB" w:rsidRDefault="00D566DB" w:rsidP="00D566DB">
      <w:pPr>
        <w:spacing w:after="0"/>
        <w:jc w:val="both"/>
        <w:rPr>
          <w:sz w:val="16"/>
        </w:rPr>
      </w:pPr>
    </w:p>
    <w:p w14:paraId="7ECBB621" w14:textId="77777777" w:rsidR="00D566DB" w:rsidRDefault="00D566DB" w:rsidP="00D566DB">
      <w:pPr>
        <w:spacing w:after="0"/>
        <w:jc w:val="both"/>
        <w:rPr>
          <w:sz w:val="16"/>
        </w:rPr>
      </w:pPr>
      <w:r>
        <w:rPr>
          <w:sz w:val="16"/>
        </w:rPr>
        <w:br w:type="column"/>
      </w:r>
    </w:p>
    <w:p w14:paraId="6816FDC2" w14:textId="77777777" w:rsidR="00D566DB" w:rsidRDefault="00D566DB" w:rsidP="00D566DB">
      <w:pPr>
        <w:pStyle w:val="BodyText"/>
        <w:spacing w:after="0"/>
        <w:jc w:val="both"/>
        <w:rPr>
          <w:sz w:val="16"/>
        </w:rPr>
      </w:pPr>
    </w:p>
    <w:p w14:paraId="5511D95C" w14:textId="77777777" w:rsidR="00D566DB" w:rsidRPr="006C05BA" w:rsidRDefault="00D566DB" w:rsidP="00D566DB">
      <w:pPr>
        <w:pStyle w:val="BodyText"/>
        <w:numPr>
          <w:ilvl w:val="0"/>
          <w:numId w:val="9"/>
        </w:numPr>
        <w:spacing w:after="0"/>
        <w:jc w:val="both"/>
        <w:rPr>
          <w:sz w:val="16"/>
        </w:rPr>
      </w:pPr>
      <w:r w:rsidRPr="006C05BA">
        <w:rPr>
          <w:sz w:val="16"/>
        </w:rPr>
        <w:t>Rio Tinto, BHP and FMG are the largest global iron ore producers behind Vale from Brazil.</w:t>
      </w:r>
    </w:p>
    <w:p w14:paraId="28CC8F1E" w14:textId="35F7E187" w:rsidR="00D566DB" w:rsidRPr="006C05BA" w:rsidRDefault="00D566DB" w:rsidP="00D566DB">
      <w:pPr>
        <w:pStyle w:val="BodyText"/>
        <w:numPr>
          <w:ilvl w:val="0"/>
          <w:numId w:val="9"/>
        </w:numPr>
        <w:spacing w:after="0"/>
        <w:jc w:val="both"/>
        <w:rPr>
          <w:sz w:val="16"/>
        </w:rPr>
      </w:pPr>
      <w:r w:rsidRPr="006C05BA">
        <w:rPr>
          <w:sz w:val="16"/>
        </w:rPr>
        <w:t xml:space="preserve">Rio Tinto’s iron ore sales volumes from Western Australia rose </w:t>
      </w:r>
      <w:r w:rsidR="007C3A91" w:rsidRPr="006C05BA">
        <w:rPr>
          <w:sz w:val="16"/>
        </w:rPr>
        <w:t>3</w:t>
      </w:r>
      <w:r w:rsidRPr="006C05BA">
        <w:rPr>
          <w:sz w:val="16"/>
        </w:rPr>
        <w:t>.</w:t>
      </w:r>
      <w:r w:rsidR="007C3A91" w:rsidRPr="006C05BA">
        <w:rPr>
          <w:sz w:val="16"/>
        </w:rPr>
        <w:t>2</w:t>
      </w:r>
      <w:r w:rsidRPr="006C05BA">
        <w:rPr>
          <w:sz w:val="16"/>
        </w:rPr>
        <w:t xml:space="preserve">% to </w:t>
      </w:r>
      <w:r w:rsidR="007C3A91" w:rsidRPr="006C05BA">
        <w:rPr>
          <w:sz w:val="16"/>
        </w:rPr>
        <w:t>332</w:t>
      </w:r>
      <w:r w:rsidRPr="006C05BA">
        <w:rPr>
          <w:sz w:val="16"/>
        </w:rPr>
        <w:t> million tonnes in 202</w:t>
      </w:r>
      <w:r w:rsidR="007C3A91" w:rsidRPr="006C05BA">
        <w:rPr>
          <w:sz w:val="16"/>
        </w:rPr>
        <w:t>3</w:t>
      </w:r>
      <w:r w:rsidRPr="006C05BA">
        <w:rPr>
          <w:sz w:val="16"/>
        </w:rPr>
        <w:t xml:space="preserve">. Production guidance for 2023 is 320 to 335 million tonnes. Rio Tinto’s rail and port capacity is 360 million tonnes a year and it is developing new mines </w:t>
      </w:r>
      <w:r w:rsidR="007E27EE" w:rsidRPr="006C05BA">
        <w:rPr>
          <w:sz w:val="16"/>
        </w:rPr>
        <w:t>to enable</w:t>
      </w:r>
      <w:r w:rsidRPr="006C05BA">
        <w:rPr>
          <w:sz w:val="16"/>
        </w:rPr>
        <w:t xml:space="preserve"> its production </w:t>
      </w:r>
      <w:r w:rsidR="007E27EE" w:rsidRPr="006C05BA">
        <w:rPr>
          <w:sz w:val="16"/>
        </w:rPr>
        <w:t xml:space="preserve">to </w:t>
      </w:r>
      <w:r w:rsidRPr="006C05BA">
        <w:rPr>
          <w:sz w:val="16"/>
        </w:rPr>
        <w:t>meet this capacity.</w:t>
      </w:r>
    </w:p>
    <w:p w14:paraId="4A9B2C91" w14:textId="7406E932" w:rsidR="00D566DB" w:rsidRPr="006C05BA" w:rsidRDefault="00D566DB" w:rsidP="00D566DB">
      <w:pPr>
        <w:pStyle w:val="BodyText"/>
        <w:numPr>
          <w:ilvl w:val="0"/>
          <w:numId w:val="9"/>
        </w:numPr>
        <w:spacing w:after="0"/>
        <w:jc w:val="both"/>
        <w:rPr>
          <w:sz w:val="16"/>
        </w:rPr>
      </w:pPr>
      <w:r w:rsidRPr="006C05BA">
        <w:rPr>
          <w:sz w:val="16"/>
        </w:rPr>
        <w:t xml:space="preserve">BHP’s iron ore sales volumes from Western Australia </w:t>
      </w:r>
      <w:r w:rsidR="007C4FB8" w:rsidRPr="006C05BA">
        <w:rPr>
          <w:sz w:val="16"/>
        </w:rPr>
        <w:t>fell</w:t>
      </w:r>
      <w:r w:rsidRPr="006C05BA">
        <w:rPr>
          <w:sz w:val="16"/>
        </w:rPr>
        <w:t xml:space="preserve"> </w:t>
      </w:r>
      <w:r w:rsidR="007C4FB8" w:rsidRPr="006C05BA">
        <w:rPr>
          <w:sz w:val="16"/>
        </w:rPr>
        <w:t>1.1</w:t>
      </w:r>
      <w:r w:rsidRPr="006C05BA">
        <w:rPr>
          <w:sz w:val="16"/>
        </w:rPr>
        <w:t>% to 28</w:t>
      </w:r>
      <w:r w:rsidR="007C3A91" w:rsidRPr="006C05BA">
        <w:rPr>
          <w:sz w:val="16"/>
        </w:rPr>
        <w:t>0</w:t>
      </w:r>
      <w:r w:rsidRPr="006C05BA">
        <w:rPr>
          <w:sz w:val="16"/>
        </w:rPr>
        <w:t> million tonnes in 202</w:t>
      </w:r>
      <w:r w:rsidR="007C3A91" w:rsidRPr="006C05BA">
        <w:rPr>
          <w:sz w:val="16"/>
        </w:rPr>
        <w:t>3</w:t>
      </w:r>
      <w:r w:rsidRPr="006C05BA">
        <w:rPr>
          <w:sz w:val="16"/>
        </w:rPr>
        <w:t>. Production guidance for 2023</w:t>
      </w:r>
      <w:r w:rsidRPr="006C05BA">
        <w:rPr>
          <w:sz w:val="16"/>
        </w:rPr>
        <w:noBreakHyphen/>
        <w:t xml:space="preserve">24 is </w:t>
      </w:r>
      <w:r w:rsidR="00206D9F" w:rsidRPr="006C05BA">
        <w:rPr>
          <w:sz w:val="16"/>
        </w:rPr>
        <w:t xml:space="preserve">254 to 264 </w:t>
      </w:r>
      <w:r w:rsidRPr="006C05BA">
        <w:rPr>
          <w:sz w:val="16"/>
        </w:rPr>
        <w:t>million tonnes. BHP is expanding its port capacity to 330 million tonnes a year.</w:t>
      </w:r>
    </w:p>
    <w:p w14:paraId="3E099922" w14:textId="03A249D2" w:rsidR="00D566DB" w:rsidRPr="006C05BA" w:rsidRDefault="00D566DB" w:rsidP="00D566DB">
      <w:pPr>
        <w:pStyle w:val="BodyText"/>
        <w:numPr>
          <w:ilvl w:val="0"/>
          <w:numId w:val="9"/>
        </w:numPr>
        <w:spacing w:after="0"/>
        <w:jc w:val="both"/>
        <w:rPr>
          <w:sz w:val="16"/>
        </w:rPr>
      </w:pPr>
      <w:r w:rsidRPr="006C05BA">
        <w:rPr>
          <w:sz w:val="16"/>
        </w:rPr>
        <w:t xml:space="preserve">FMG’s iron ore sales volumes from Western Australia </w:t>
      </w:r>
      <w:r w:rsidR="007C3A91" w:rsidRPr="006C05BA">
        <w:rPr>
          <w:sz w:val="16"/>
        </w:rPr>
        <w:t>fell</w:t>
      </w:r>
      <w:r w:rsidRPr="006C05BA">
        <w:rPr>
          <w:sz w:val="16"/>
        </w:rPr>
        <w:t xml:space="preserve"> 1.</w:t>
      </w:r>
      <w:r w:rsidR="007C3A91" w:rsidRPr="006C05BA">
        <w:rPr>
          <w:sz w:val="16"/>
        </w:rPr>
        <w:t>7</w:t>
      </w:r>
      <w:r w:rsidRPr="006C05BA">
        <w:rPr>
          <w:sz w:val="16"/>
        </w:rPr>
        <w:t>% to 19</w:t>
      </w:r>
      <w:r w:rsidR="007C3A91" w:rsidRPr="006C05BA">
        <w:rPr>
          <w:sz w:val="16"/>
        </w:rPr>
        <w:t>0</w:t>
      </w:r>
      <w:r w:rsidRPr="006C05BA">
        <w:rPr>
          <w:sz w:val="16"/>
        </w:rPr>
        <w:t> million tonnes in 2022-23 and its sales guidance for 2023</w:t>
      </w:r>
      <w:r w:rsidRPr="006C05BA">
        <w:rPr>
          <w:sz w:val="16"/>
        </w:rPr>
        <w:noBreakHyphen/>
        <w:t>24 is 192 to 197 million tonnes. FMG is expanding its port capacity to 210 million tonnes a year for the additional production from its Iron Bridge project.</w:t>
      </w:r>
    </w:p>
    <w:p w14:paraId="11447AC1" w14:textId="77777777" w:rsidR="00D566DB" w:rsidRDefault="00D566DB" w:rsidP="00D566DB">
      <w:pPr>
        <w:pStyle w:val="BodyText"/>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0B2609F2"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59"/>
        <w:gridCol w:w="1417"/>
        <w:gridCol w:w="709"/>
        <w:gridCol w:w="851"/>
        <w:gridCol w:w="992"/>
        <w:gridCol w:w="935"/>
      </w:tblGrid>
      <w:tr w:rsidR="0090459F" w:rsidRPr="007C5D05" w14:paraId="3F011FCE" w14:textId="77777777" w:rsidTr="009045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Borders>
              <w:bottom w:val="single" w:sz="4" w:space="0" w:color="auto"/>
            </w:tcBorders>
            <w:shd w:val="clear" w:color="auto" w:fill="002060"/>
            <w:vAlign w:val="center"/>
          </w:tcPr>
          <w:p w14:paraId="4D58357F" w14:textId="77777777" w:rsidR="00D566DB" w:rsidRPr="007C5D05" w:rsidRDefault="00D566DB" w:rsidP="00795871">
            <w:pPr>
              <w:pStyle w:val="BodyText"/>
              <w:spacing w:after="0"/>
              <w:jc w:val="both"/>
              <w:rPr>
                <w:rFonts w:cstheme="minorHAnsi"/>
                <w:sz w:val="14"/>
                <w:szCs w:val="14"/>
              </w:rPr>
            </w:pPr>
            <w:r w:rsidRPr="007C5D05">
              <w:rPr>
                <w:rFonts w:cstheme="minorHAnsi"/>
                <w:sz w:val="14"/>
                <w:szCs w:val="14"/>
              </w:rPr>
              <w:t>Operator</w:t>
            </w:r>
          </w:p>
        </w:tc>
        <w:tc>
          <w:tcPr>
            <w:tcW w:w="1417" w:type="dxa"/>
            <w:tcBorders>
              <w:bottom w:val="single" w:sz="4" w:space="0" w:color="auto"/>
            </w:tcBorders>
            <w:shd w:val="clear" w:color="auto" w:fill="002060"/>
            <w:vAlign w:val="center"/>
          </w:tcPr>
          <w:p w14:paraId="4C0925E6" w14:textId="77777777" w:rsidR="00D566DB" w:rsidRPr="007C5D05" w:rsidRDefault="00D566DB" w:rsidP="0079587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15FFBD74"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51" w:type="dxa"/>
            <w:tcBorders>
              <w:bottom w:val="single" w:sz="4" w:space="0" w:color="auto"/>
            </w:tcBorders>
            <w:shd w:val="clear" w:color="auto" w:fill="002060"/>
            <w:vAlign w:val="center"/>
          </w:tcPr>
          <w:p w14:paraId="0F13B6E7"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992" w:type="dxa"/>
            <w:tcBorders>
              <w:bottom w:val="single" w:sz="4" w:space="0" w:color="auto"/>
            </w:tcBorders>
            <w:shd w:val="clear" w:color="auto" w:fill="002060"/>
            <w:vAlign w:val="center"/>
          </w:tcPr>
          <w:p w14:paraId="025C7265"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Fe</w:t>
            </w:r>
            <w:r>
              <w:rPr>
                <w:rFonts w:cstheme="minorHAnsi"/>
                <w:sz w:val="14"/>
                <w:szCs w:val="14"/>
              </w:rPr>
              <w:t> </w:t>
            </w: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2F9D4231"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D566DB" w:rsidRPr="007C5D05" w14:paraId="62510236"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292DEFB0" w14:textId="77777777" w:rsidR="00D566DB" w:rsidRPr="007C5D05" w:rsidRDefault="00D566DB" w:rsidP="00795871">
            <w:pPr>
              <w:pStyle w:val="BodyText"/>
              <w:spacing w:after="0"/>
              <w:rPr>
                <w:rFonts w:cstheme="minorHAnsi"/>
                <w:sz w:val="14"/>
                <w:szCs w:val="14"/>
              </w:rPr>
            </w:pPr>
            <w:r w:rsidRPr="007C5D05">
              <w:rPr>
                <w:rFonts w:cstheme="minorHAnsi"/>
                <w:sz w:val="14"/>
                <w:szCs w:val="14"/>
              </w:rPr>
              <w:t>Recently completed</w:t>
            </w:r>
          </w:p>
        </w:tc>
      </w:tr>
      <w:tr w:rsidR="0090459F" w:rsidRPr="007C5D05" w14:paraId="58684471" w14:textId="77777777" w:rsidTr="0090459F">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8CEB233"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FMG</w:t>
            </w:r>
          </w:p>
        </w:tc>
        <w:tc>
          <w:tcPr>
            <w:tcW w:w="1417" w:type="dxa"/>
            <w:tcBorders>
              <w:bottom w:val="single" w:sz="4" w:space="0" w:color="auto"/>
            </w:tcBorders>
            <w:vAlign w:val="center"/>
          </w:tcPr>
          <w:p w14:paraId="0C972D8A"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Eliwana</w:t>
            </w:r>
            <w:proofErr w:type="spellEnd"/>
          </w:p>
        </w:tc>
        <w:tc>
          <w:tcPr>
            <w:tcW w:w="709" w:type="dxa"/>
            <w:tcBorders>
              <w:bottom w:val="single" w:sz="4" w:space="0" w:color="auto"/>
            </w:tcBorders>
            <w:vAlign w:val="center"/>
          </w:tcPr>
          <w:p w14:paraId="1EBAC6E6"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1" w:type="dxa"/>
            <w:tcBorders>
              <w:bottom w:val="single" w:sz="4" w:space="0" w:color="auto"/>
            </w:tcBorders>
            <w:vAlign w:val="center"/>
          </w:tcPr>
          <w:p w14:paraId="7E6D2F21"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3DB6136D"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0D1421FB"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90459F" w:rsidRPr="007C5D05" w14:paraId="5DE459E7" w14:textId="77777777" w:rsidTr="00904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3168DF9" w14:textId="262708BD"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 xml:space="preserve">GWR </w:t>
            </w:r>
            <w:r w:rsidR="0090459F">
              <w:rPr>
                <w:rFonts w:cstheme="minorHAnsi"/>
                <w:b w:val="0"/>
                <w:sz w:val="14"/>
                <w:szCs w:val="14"/>
              </w:rPr>
              <w:t>G</w:t>
            </w:r>
            <w:r w:rsidRPr="007C5D05">
              <w:rPr>
                <w:rFonts w:cstheme="minorHAnsi"/>
                <w:b w:val="0"/>
                <w:sz w:val="14"/>
                <w:szCs w:val="14"/>
              </w:rPr>
              <w:t>roup</w:t>
            </w:r>
          </w:p>
        </w:tc>
        <w:tc>
          <w:tcPr>
            <w:tcW w:w="1417" w:type="dxa"/>
            <w:tcBorders>
              <w:bottom w:val="single" w:sz="4" w:space="0" w:color="auto"/>
            </w:tcBorders>
            <w:vAlign w:val="center"/>
          </w:tcPr>
          <w:p w14:paraId="03516B05"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65833EF5"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1" w:type="dxa"/>
            <w:tcBorders>
              <w:bottom w:val="single" w:sz="4" w:space="0" w:color="auto"/>
            </w:tcBorders>
            <w:vAlign w:val="center"/>
          </w:tcPr>
          <w:p w14:paraId="77133A49"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992" w:type="dxa"/>
            <w:tcBorders>
              <w:bottom w:val="single" w:sz="4" w:space="0" w:color="auto"/>
            </w:tcBorders>
            <w:vAlign w:val="center"/>
          </w:tcPr>
          <w:p w14:paraId="37AFE7F9"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72631332"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90459F" w:rsidRPr="007C5D05" w14:paraId="5FBFA730" w14:textId="77777777" w:rsidTr="0090459F">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C59CCC2"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Atlas Iron</w:t>
            </w:r>
          </w:p>
        </w:tc>
        <w:tc>
          <w:tcPr>
            <w:tcW w:w="1417" w:type="dxa"/>
            <w:tcBorders>
              <w:bottom w:val="single" w:sz="4" w:space="0" w:color="auto"/>
            </w:tcBorders>
            <w:vAlign w:val="center"/>
          </w:tcPr>
          <w:p w14:paraId="3C110026"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733F8B31"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1" w:type="dxa"/>
            <w:tcBorders>
              <w:bottom w:val="single" w:sz="4" w:space="0" w:color="auto"/>
            </w:tcBorders>
            <w:vAlign w:val="center"/>
          </w:tcPr>
          <w:p w14:paraId="67CBCB63"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992" w:type="dxa"/>
            <w:tcBorders>
              <w:bottom w:val="single" w:sz="4" w:space="0" w:color="auto"/>
            </w:tcBorders>
            <w:vAlign w:val="center"/>
          </w:tcPr>
          <w:p w14:paraId="10468715"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7CB8FC9A"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90459F" w:rsidRPr="007C5D05" w14:paraId="0AED2953" w14:textId="77777777" w:rsidTr="00904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67DD765"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BHP</w:t>
            </w:r>
          </w:p>
        </w:tc>
        <w:tc>
          <w:tcPr>
            <w:tcW w:w="1417" w:type="dxa"/>
            <w:tcBorders>
              <w:bottom w:val="single" w:sz="4" w:space="0" w:color="auto"/>
            </w:tcBorders>
            <w:vAlign w:val="center"/>
          </w:tcPr>
          <w:p w14:paraId="34BD1A4E"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55A6E94B"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1" w:type="dxa"/>
            <w:tcBorders>
              <w:bottom w:val="single" w:sz="4" w:space="0" w:color="auto"/>
            </w:tcBorders>
            <w:vAlign w:val="center"/>
          </w:tcPr>
          <w:p w14:paraId="7F50BC9B"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992" w:type="dxa"/>
            <w:tcBorders>
              <w:bottom w:val="single" w:sz="4" w:space="0" w:color="auto"/>
            </w:tcBorders>
            <w:vAlign w:val="center"/>
          </w:tcPr>
          <w:p w14:paraId="576088C2"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2D6B5D75"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90459F" w:rsidRPr="007C5D05" w14:paraId="4C69F6E7" w14:textId="77777777" w:rsidTr="0090459F">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47570422"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704661EB"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 xml:space="preserve">West </w:t>
            </w:r>
            <w:proofErr w:type="spellStart"/>
            <w:r w:rsidRPr="007C5D05">
              <w:rPr>
                <w:rFonts w:cstheme="minorHAnsi"/>
                <w:sz w:val="14"/>
                <w:szCs w:val="14"/>
              </w:rPr>
              <w:t>Angelas</w:t>
            </w:r>
            <w:proofErr w:type="spellEnd"/>
            <w:r w:rsidRPr="007C5D05">
              <w:rPr>
                <w:rFonts w:cstheme="minorHAnsi"/>
                <w:sz w:val="14"/>
                <w:szCs w:val="14"/>
              </w:rPr>
              <w:t xml:space="preserve"> C+D</w:t>
            </w:r>
          </w:p>
        </w:tc>
        <w:tc>
          <w:tcPr>
            <w:tcW w:w="709" w:type="dxa"/>
            <w:tcBorders>
              <w:bottom w:val="single" w:sz="4" w:space="0" w:color="auto"/>
            </w:tcBorders>
            <w:vAlign w:val="center"/>
          </w:tcPr>
          <w:p w14:paraId="57275ED8"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1" w:type="dxa"/>
            <w:tcBorders>
              <w:bottom w:val="single" w:sz="4" w:space="0" w:color="auto"/>
            </w:tcBorders>
            <w:vAlign w:val="center"/>
          </w:tcPr>
          <w:p w14:paraId="1C6E62A8"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992" w:type="dxa"/>
            <w:tcBorders>
              <w:bottom w:val="single" w:sz="4" w:space="0" w:color="auto"/>
            </w:tcBorders>
            <w:vAlign w:val="center"/>
          </w:tcPr>
          <w:p w14:paraId="51CB86DF"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801E990"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90459F" w:rsidRPr="007C5D05" w14:paraId="7F83F45F" w14:textId="77777777" w:rsidTr="00904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831E199"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Mt Gibson</w:t>
            </w:r>
          </w:p>
        </w:tc>
        <w:tc>
          <w:tcPr>
            <w:tcW w:w="1417" w:type="dxa"/>
            <w:tcBorders>
              <w:bottom w:val="single" w:sz="4" w:space="0" w:color="auto"/>
            </w:tcBorders>
            <w:vAlign w:val="center"/>
          </w:tcPr>
          <w:p w14:paraId="4CA870B7"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74F8F6EA"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1" w:type="dxa"/>
            <w:tcBorders>
              <w:bottom w:val="single" w:sz="4" w:space="0" w:color="auto"/>
            </w:tcBorders>
            <w:vAlign w:val="center"/>
          </w:tcPr>
          <w:p w14:paraId="0E25786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992" w:type="dxa"/>
            <w:tcBorders>
              <w:bottom w:val="single" w:sz="4" w:space="0" w:color="auto"/>
            </w:tcBorders>
            <w:vAlign w:val="center"/>
          </w:tcPr>
          <w:p w14:paraId="4E89CC88"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17785C91"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90459F" w:rsidRPr="007C5D05" w14:paraId="6047F095" w14:textId="77777777" w:rsidTr="0090459F">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0442EE94"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16C7663B"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7AA99D54"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1" w:type="dxa"/>
            <w:tcBorders>
              <w:bottom w:val="single" w:sz="4" w:space="0" w:color="auto"/>
            </w:tcBorders>
            <w:vAlign w:val="center"/>
          </w:tcPr>
          <w:p w14:paraId="58058CAF"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67F30870"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71979BFB"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90459F" w:rsidRPr="007C5D05" w14:paraId="681802A7" w14:textId="77777777" w:rsidTr="00904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42E55C78"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74194759"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7C5D05">
              <w:rPr>
                <w:rFonts w:cstheme="minorHAnsi"/>
                <w:sz w:val="14"/>
                <w:szCs w:val="14"/>
              </w:rPr>
              <w:t>Gudai-Darri</w:t>
            </w:r>
            <w:proofErr w:type="spellEnd"/>
          </w:p>
        </w:tc>
        <w:tc>
          <w:tcPr>
            <w:tcW w:w="709" w:type="dxa"/>
            <w:tcBorders>
              <w:bottom w:val="single" w:sz="4" w:space="0" w:color="auto"/>
            </w:tcBorders>
            <w:vAlign w:val="center"/>
          </w:tcPr>
          <w:p w14:paraId="08D326C8"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1" w:type="dxa"/>
            <w:tcBorders>
              <w:bottom w:val="single" w:sz="4" w:space="0" w:color="auto"/>
            </w:tcBorders>
            <w:vAlign w:val="center"/>
          </w:tcPr>
          <w:p w14:paraId="27838D77"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992" w:type="dxa"/>
            <w:tcBorders>
              <w:bottom w:val="single" w:sz="4" w:space="0" w:color="auto"/>
            </w:tcBorders>
            <w:vAlign w:val="center"/>
          </w:tcPr>
          <w:p w14:paraId="7CD6DAA7"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598F435C"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90459F" w:rsidRPr="007C5D05" w14:paraId="041EE0AA" w14:textId="77777777" w:rsidTr="0090459F">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C2A9F86"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0A36D63D"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74C58DB1"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1" w:type="dxa"/>
            <w:tcBorders>
              <w:bottom w:val="single" w:sz="4" w:space="0" w:color="auto"/>
            </w:tcBorders>
            <w:vAlign w:val="center"/>
          </w:tcPr>
          <w:p w14:paraId="59D9AD98"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992" w:type="dxa"/>
            <w:tcBorders>
              <w:bottom w:val="single" w:sz="4" w:space="0" w:color="auto"/>
            </w:tcBorders>
            <w:vAlign w:val="center"/>
          </w:tcPr>
          <w:p w14:paraId="0EE58873"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16B04A4B"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90459F" w:rsidRPr="007C5D05" w14:paraId="3A623148" w14:textId="77777777" w:rsidTr="00904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2F9D7CD3"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FMG</w:t>
            </w:r>
          </w:p>
        </w:tc>
        <w:tc>
          <w:tcPr>
            <w:tcW w:w="1417" w:type="dxa"/>
            <w:tcBorders>
              <w:bottom w:val="single" w:sz="4" w:space="0" w:color="auto"/>
            </w:tcBorders>
            <w:vAlign w:val="center"/>
          </w:tcPr>
          <w:p w14:paraId="47CA84CA"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3F5526E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Pr>
                <w:rFonts w:cstheme="minorHAnsi"/>
                <w:sz w:val="14"/>
                <w:szCs w:val="14"/>
              </w:rPr>
              <w:t>6</w:t>
            </w:r>
            <w:r w:rsidRPr="007C5D05">
              <w:rPr>
                <w:rFonts w:cstheme="minorHAnsi"/>
                <w:sz w:val="14"/>
                <w:szCs w:val="14"/>
              </w:rPr>
              <w:t>00</w:t>
            </w:r>
          </w:p>
        </w:tc>
        <w:tc>
          <w:tcPr>
            <w:tcW w:w="851" w:type="dxa"/>
            <w:tcBorders>
              <w:bottom w:val="single" w:sz="4" w:space="0" w:color="auto"/>
            </w:tcBorders>
            <w:vAlign w:val="center"/>
          </w:tcPr>
          <w:p w14:paraId="40C3415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992" w:type="dxa"/>
            <w:tcBorders>
              <w:bottom w:val="single" w:sz="4" w:space="0" w:color="auto"/>
            </w:tcBorders>
            <w:vAlign w:val="center"/>
          </w:tcPr>
          <w:p w14:paraId="1DAF82E0"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713C890A"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D566DB" w:rsidRPr="007C5D05" w14:paraId="55B4612D" w14:textId="77777777" w:rsidTr="00795871">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64095951" w14:textId="77777777" w:rsidR="00D566DB" w:rsidRPr="007C5D05" w:rsidRDefault="00D566DB" w:rsidP="00795871">
            <w:pPr>
              <w:pStyle w:val="BodyText"/>
              <w:spacing w:after="0"/>
              <w:rPr>
                <w:rFonts w:cstheme="minorHAnsi"/>
                <w:sz w:val="14"/>
                <w:szCs w:val="14"/>
              </w:rPr>
            </w:pPr>
            <w:r w:rsidRPr="007C5D05">
              <w:rPr>
                <w:rFonts w:cstheme="minorHAnsi"/>
                <w:sz w:val="14"/>
                <w:szCs w:val="14"/>
              </w:rPr>
              <w:t>Under construction or committed</w:t>
            </w:r>
          </w:p>
        </w:tc>
      </w:tr>
      <w:tr w:rsidR="0090459F" w:rsidRPr="007C5D05" w14:paraId="42DA2877" w14:textId="77777777" w:rsidTr="00904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0400D2A5"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MRL</w:t>
            </w:r>
          </w:p>
        </w:tc>
        <w:tc>
          <w:tcPr>
            <w:tcW w:w="1417" w:type="dxa"/>
            <w:vAlign w:val="center"/>
          </w:tcPr>
          <w:p w14:paraId="2E9DA882"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Onslow Iron</w:t>
            </w:r>
          </w:p>
        </w:tc>
        <w:tc>
          <w:tcPr>
            <w:tcW w:w="709" w:type="dxa"/>
            <w:vAlign w:val="center"/>
          </w:tcPr>
          <w:p w14:paraId="71564F47"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2,500</w:t>
            </w:r>
          </w:p>
        </w:tc>
        <w:tc>
          <w:tcPr>
            <w:tcW w:w="851" w:type="dxa"/>
            <w:vAlign w:val="center"/>
          </w:tcPr>
          <w:p w14:paraId="172C3EA5"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vAlign w:val="center"/>
          </w:tcPr>
          <w:p w14:paraId="176C107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58</w:t>
            </w:r>
          </w:p>
        </w:tc>
        <w:tc>
          <w:tcPr>
            <w:tcW w:w="935" w:type="dxa"/>
            <w:vAlign w:val="center"/>
          </w:tcPr>
          <w:p w14:paraId="27C16F5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100D3">
              <w:rPr>
                <w:rFonts w:cstheme="minorHAnsi"/>
                <w:sz w:val="14"/>
                <w:szCs w:val="14"/>
              </w:rPr>
              <w:t>2024</w:t>
            </w:r>
          </w:p>
        </w:tc>
      </w:tr>
      <w:tr w:rsidR="0090459F" w:rsidRPr="007C5D05" w14:paraId="6856A061" w14:textId="77777777" w:rsidTr="0090459F">
        <w:tc>
          <w:tcPr>
            <w:cnfStyle w:val="001000000000" w:firstRow="0" w:lastRow="0" w:firstColumn="1" w:lastColumn="0" w:oddVBand="0" w:evenVBand="0" w:oddHBand="0" w:evenHBand="0" w:firstRowFirstColumn="0" w:firstRowLastColumn="0" w:lastRowFirstColumn="0" w:lastRowLastColumn="0"/>
            <w:tcW w:w="959" w:type="dxa"/>
            <w:vAlign w:val="center"/>
          </w:tcPr>
          <w:p w14:paraId="464F235D"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Rio Tinto</w:t>
            </w:r>
          </w:p>
        </w:tc>
        <w:tc>
          <w:tcPr>
            <w:tcW w:w="1417" w:type="dxa"/>
            <w:vAlign w:val="center"/>
          </w:tcPr>
          <w:p w14:paraId="650C8139"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Western Range</w:t>
            </w:r>
          </w:p>
        </w:tc>
        <w:tc>
          <w:tcPr>
            <w:tcW w:w="709" w:type="dxa"/>
            <w:vAlign w:val="center"/>
          </w:tcPr>
          <w:p w14:paraId="2BC64AC4"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3,000</w:t>
            </w:r>
          </w:p>
        </w:tc>
        <w:tc>
          <w:tcPr>
            <w:tcW w:w="851" w:type="dxa"/>
            <w:vAlign w:val="center"/>
          </w:tcPr>
          <w:p w14:paraId="712EF99F"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25</w:t>
            </w:r>
          </w:p>
        </w:tc>
        <w:tc>
          <w:tcPr>
            <w:tcW w:w="992" w:type="dxa"/>
            <w:vAlign w:val="center"/>
          </w:tcPr>
          <w:p w14:paraId="322B4059"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sz w:val="14"/>
                <w:szCs w:val="14"/>
              </w:rPr>
              <w:t>62</w:t>
            </w:r>
          </w:p>
        </w:tc>
        <w:tc>
          <w:tcPr>
            <w:tcW w:w="935" w:type="dxa"/>
            <w:vAlign w:val="center"/>
          </w:tcPr>
          <w:p w14:paraId="40506C46"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2025</w:t>
            </w:r>
          </w:p>
        </w:tc>
      </w:tr>
      <w:tr w:rsidR="0090459F" w:rsidRPr="007C5D05" w14:paraId="0F267E3C" w14:textId="77777777" w:rsidTr="00904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20CE26CC" w14:textId="7727E0D5" w:rsidR="0002581C" w:rsidRPr="00AB4864" w:rsidRDefault="0002581C" w:rsidP="00795871">
            <w:pPr>
              <w:pStyle w:val="BodyText"/>
              <w:spacing w:after="0"/>
              <w:jc w:val="both"/>
              <w:rPr>
                <w:rFonts w:cstheme="minorHAnsi"/>
                <w:b w:val="0"/>
                <w:bCs w:val="0"/>
                <w:sz w:val="14"/>
                <w:szCs w:val="14"/>
              </w:rPr>
            </w:pPr>
            <w:r w:rsidRPr="00AB4864">
              <w:rPr>
                <w:rFonts w:cstheme="minorHAnsi"/>
                <w:b w:val="0"/>
                <w:bCs w:val="0"/>
                <w:sz w:val="14"/>
                <w:szCs w:val="14"/>
              </w:rPr>
              <w:t>BHP</w:t>
            </w:r>
          </w:p>
        </w:tc>
        <w:tc>
          <w:tcPr>
            <w:tcW w:w="1417" w:type="dxa"/>
            <w:vAlign w:val="center"/>
          </w:tcPr>
          <w:p w14:paraId="1FB325B8" w14:textId="0BDA4162" w:rsidR="0002581C" w:rsidRPr="00AB4864" w:rsidRDefault="0002581C"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Western Ridge</w:t>
            </w:r>
            <w:r w:rsidR="00CD3213" w:rsidRPr="00AB4864">
              <w:rPr>
                <w:rFonts w:cstheme="minorHAnsi"/>
                <w:bCs/>
                <w:sz w:val="14"/>
                <w:szCs w:val="14"/>
              </w:rPr>
              <w:t xml:space="preserve"> Crusher</w:t>
            </w:r>
          </w:p>
        </w:tc>
        <w:tc>
          <w:tcPr>
            <w:tcW w:w="709" w:type="dxa"/>
            <w:vAlign w:val="center"/>
          </w:tcPr>
          <w:p w14:paraId="36BAD3DE" w14:textId="252E69DF" w:rsidR="0002581C" w:rsidRPr="00AB4864" w:rsidRDefault="0002581C"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943</w:t>
            </w:r>
          </w:p>
        </w:tc>
        <w:tc>
          <w:tcPr>
            <w:tcW w:w="851" w:type="dxa"/>
            <w:vAlign w:val="center"/>
          </w:tcPr>
          <w:p w14:paraId="385EC530" w14:textId="52E1F95D" w:rsidR="0002581C" w:rsidRPr="00AB4864" w:rsidRDefault="0002581C"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25</w:t>
            </w:r>
          </w:p>
        </w:tc>
        <w:tc>
          <w:tcPr>
            <w:tcW w:w="992" w:type="dxa"/>
            <w:vAlign w:val="center"/>
          </w:tcPr>
          <w:p w14:paraId="26BF9E9A" w14:textId="13F9996D" w:rsidR="0002581C" w:rsidRPr="00AB4864" w:rsidRDefault="0090459F"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proofErr w:type="gramStart"/>
            <w:r w:rsidRPr="00AB4864">
              <w:rPr>
                <w:rFonts w:cstheme="minorHAnsi"/>
                <w:sz w:val="14"/>
                <w:szCs w:val="14"/>
              </w:rPr>
              <w:t>n.a</w:t>
            </w:r>
            <w:proofErr w:type="spellEnd"/>
            <w:proofErr w:type="gramEnd"/>
          </w:p>
        </w:tc>
        <w:tc>
          <w:tcPr>
            <w:tcW w:w="935" w:type="dxa"/>
            <w:vAlign w:val="center"/>
          </w:tcPr>
          <w:p w14:paraId="20343D75" w14:textId="6DEAA51D" w:rsidR="0002581C" w:rsidRPr="00AB4864" w:rsidRDefault="0002581C"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2027</w:t>
            </w:r>
          </w:p>
        </w:tc>
      </w:tr>
    </w:tbl>
    <w:p w14:paraId="5E53991B" w14:textId="77777777" w:rsidR="00D566DB" w:rsidRPr="008100D3" w:rsidRDefault="00D566DB" w:rsidP="00D566DB">
      <w:pPr>
        <w:spacing w:after="0"/>
        <w:jc w:val="both"/>
        <w:rPr>
          <w:rFonts w:cs="Arial"/>
          <w:sz w:val="10"/>
          <w:szCs w:val="20"/>
        </w:rPr>
      </w:pPr>
      <w:r>
        <w:rPr>
          <w:sz w:val="10"/>
        </w:rPr>
        <w:t xml:space="preserve">Mtpa = million tonnes per annum. </w:t>
      </w:r>
      <w:proofErr w:type="spellStart"/>
      <w:r w:rsidRPr="00E83012">
        <w:rPr>
          <w:rFonts w:cs="Arial"/>
          <w:sz w:val="10"/>
          <w:szCs w:val="20"/>
        </w:rPr>
        <w:t>n.a.</w:t>
      </w:r>
      <w:proofErr w:type="spellEnd"/>
      <w:r w:rsidRPr="00E83012">
        <w:rPr>
          <w:rFonts w:cs="Arial"/>
          <w:sz w:val="10"/>
          <w:szCs w:val="20"/>
        </w:rPr>
        <w:t xml:space="preserve">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w:t>
      </w:r>
      <w:r w:rsidRPr="008100D3">
        <w:rPr>
          <w:rFonts w:cs="Arial"/>
          <w:sz w:val="10"/>
          <w:szCs w:val="20"/>
        </w:rPr>
        <w:t>available, otherwise reserve grade for direct shipping ores.</w:t>
      </w:r>
    </w:p>
    <w:p w14:paraId="482581EA" w14:textId="77777777" w:rsidR="00D566DB" w:rsidRPr="008100D3" w:rsidRDefault="00D566DB" w:rsidP="00D566DB">
      <w:pPr>
        <w:spacing w:after="0"/>
        <w:jc w:val="both"/>
        <w:rPr>
          <w:sz w:val="10"/>
        </w:rPr>
      </w:pPr>
      <w:r w:rsidRPr="008100D3">
        <w:rPr>
          <w:rFonts w:cs="Arial"/>
          <w:sz w:val="10"/>
          <w:szCs w:val="20"/>
        </w:rPr>
        <w:t xml:space="preserve">Source: S&amp;P Global Market Intelligence; CRU, Iron Ore Market Outlook – Project list; and company investor information (announcements, </w:t>
      </w:r>
      <w:proofErr w:type="gramStart"/>
      <w:r w:rsidRPr="008100D3">
        <w:rPr>
          <w:rFonts w:cs="Arial"/>
          <w:sz w:val="10"/>
          <w:szCs w:val="20"/>
        </w:rPr>
        <w:t>reports</w:t>
      </w:r>
      <w:proofErr w:type="gramEnd"/>
      <w:r w:rsidRPr="008100D3">
        <w:rPr>
          <w:rFonts w:cs="Arial"/>
          <w:sz w:val="10"/>
          <w:szCs w:val="20"/>
        </w:rPr>
        <w:t xml:space="preserve"> and presentations)</w:t>
      </w:r>
      <w:r w:rsidRPr="008100D3">
        <w:rPr>
          <w:sz w:val="10"/>
        </w:rPr>
        <w:t>.</w:t>
      </w:r>
    </w:p>
    <w:p w14:paraId="61F5D76E" w14:textId="77777777" w:rsidR="00D566DB" w:rsidRDefault="00D566DB" w:rsidP="00D566DB">
      <w:pPr>
        <w:spacing w:after="0"/>
        <w:jc w:val="both"/>
        <w:rPr>
          <w:sz w:val="16"/>
        </w:rPr>
      </w:pPr>
    </w:p>
    <w:p w14:paraId="2F56869B" w14:textId="77777777" w:rsidR="00D566DB" w:rsidRDefault="00D566DB" w:rsidP="00D566DB">
      <w:pPr>
        <w:pStyle w:val="BodyText"/>
        <w:spacing w:after="0"/>
        <w:jc w:val="both"/>
        <w:rPr>
          <w:sz w:val="16"/>
        </w:rPr>
      </w:pPr>
      <w:r>
        <w:rPr>
          <w:sz w:val="16"/>
        </w:rPr>
        <w:br w:type="column"/>
      </w:r>
    </w:p>
    <w:p w14:paraId="55F7D503" w14:textId="4B39F48B" w:rsidR="00D566DB" w:rsidRPr="00C41D2B" w:rsidRDefault="00D566DB" w:rsidP="00D566DB">
      <w:pPr>
        <w:pStyle w:val="BodyText"/>
        <w:numPr>
          <w:ilvl w:val="0"/>
          <w:numId w:val="9"/>
        </w:numPr>
        <w:spacing w:after="0"/>
        <w:jc w:val="both"/>
        <w:rPr>
          <w:sz w:val="16"/>
        </w:rPr>
      </w:pPr>
      <w:r w:rsidRPr="002346CC">
        <w:rPr>
          <w:sz w:val="16"/>
        </w:rPr>
        <w:t xml:space="preserve">Rio Tinto started developing its Western Range project in early 2023, with annual production of 25 million tonnes of iron ore expected to start in 2025. </w:t>
      </w:r>
      <w:r w:rsidR="007275D3" w:rsidRPr="00C41D2B">
        <w:rPr>
          <w:sz w:val="16"/>
        </w:rPr>
        <w:t>Rio Tinto has approved a $110</w:t>
      </w:r>
      <w:r w:rsidR="009F5DBB" w:rsidRPr="00C41D2B">
        <w:rPr>
          <w:sz w:val="16"/>
        </w:rPr>
        <w:t> </w:t>
      </w:r>
      <w:r w:rsidR="007275D3" w:rsidRPr="00C41D2B">
        <w:rPr>
          <w:sz w:val="16"/>
        </w:rPr>
        <w:t>million pre</w:t>
      </w:r>
      <w:r w:rsidR="009F5DBB" w:rsidRPr="00C41D2B">
        <w:rPr>
          <w:sz w:val="16"/>
        </w:rPr>
        <w:noBreakHyphen/>
      </w:r>
      <w:r w:rsidR="007275D3" w:rsidRPr="00C41D2B">
        <w:rPr>
          <w:sz w:val="16"/>
        </w:rPr>
        <w:t xml:space="preserve">feasibility study to progress development of the </w:t>
      </w:r>
      <w:r w:rsidR="00256ECC" w:rsidRPr="00C41D2B">
        <w:rPr>
          <w:sz w:val="16"/>
        </w:rPr>
        <w:t>40</w:t>
      </w:r>
      <w:r w:rsidR="009F5DBB" w:rsidRPr="00C41D2B">
        <w:rPr>
          <w:sz w:val="16"/>
        </w:rPr>
        <w:t> </w:t>
      </w:r>
      <w:r w:rsidR="00256ECC" w:rsidRPr="00C41D2B">
        <w:rPr>
          <w:sz w:val="16"/>
        </w:rPr>
        <w:t xml:space="preserve">million tonnes a year </w:t>
      </w:r>
      <w:r w:rsidR="007275D3" w:rsidRPr="00C41D2B">
        <w:rPr>
          <w:sz w:val="16"/>
        </w:rPr>
        <w:t>Rhodes Ridge project</w:t>
      </w:r>
      <w:r w:rsidRPr="00C41D2B">
        <w:rPr>
          <w:sz w:val="16"/>
        </w:rPr>
        <w:t>.</w:t>
      </w:r>
      <w:r w:rsidR="007275D3" w:rsidRPr="00C41D2B">
        <w:rPr>
          <w:sz w:val="16"/>
        </w:rPr>
        <w:t xml:space="preserve"> The </w:t>
      </w:r>
      <w:r w:rsidR="00256ECC" w:rsidRPr="00C41D2B">
        <w:rPr>
          <w:sz w:val="16"/>
        </w:rPr>
        <w:t>study</w:t>
      </w:r>
      <w:r w:rsidR="007275D3" w:rsidRPr="00C41D2B">
        <w:rPr>
          <w:sz w:val="16"/>
        </w:rPr>
        <w:t xml:space="preserve"> is expected to be completed </w:t>
      </w:r>
      <w:r w:rsidR="00256ECC" w:rsidRPr="00C41D2B">
        <w:rPr>
          <w:sz w:val="16"/>
        </w:rPr>
        <w:t xml:space="preserve">in </w:t>
      </w:r>
      <w:r w:rsidR="007275D3" w:rsidRPr="00C41D2B">
        <w:rPr>
          <w:sz w:val="16"/>
        </w:rPr>
        <w:t xml:space="preserve">2025 and followed by a feasibility study. First ore from the initial development is expected by </w:t>
      </w:r>
      <w:r w:rsidR="00256ECC" w:rsidRPr="00C41D2B">
        <w:rPr>
          <w:sz w:val="16"/>
        </w:rPr>
        <w:t>2030.</w:t>
      </w:r>
    </w:p>
    <w:p w14:paraId="1FB3C29D" w14:textId="0012C129" w:rsidR="00D566DB" w:rsidRPr="00AB4864" w:rsidRDefault="00D566DB" w:rsidP="00D566DB">
      <w:pPr>
        <w:pStyle w:val="BodyText"/>
        <w:numPr>
          <w:ilvl w:val="0"/>
          <w:numId w:val="9"/>
        </w:numPr>
        <w:spacing w:after="0"/>
        <w:jc w:val="both"/>
        <w:rPr>
          <w:sz w:val="16"/>
        </w:rPr>
      </w:pPr>
      <w:r w:rsidRPr="00AB4864">
        <w:rPr>
          <w:sz w:val="16"/>
        </w:rPr>
        <w:t>BHP completed its development of South Flank in May 2021, which is ramping up production to 80 million tonnes a year by 2024. BHP</w:t>
      </w:r>
      <w:r w:rsidR="0002581C" w:rsidRPr="00AB4864">
        <w:rPr>
          <w:sz w:val="16"/>
        </w:rPr>
        <w:t xml:space="preserve"> has announced approval for the Western Ridge</w:t>
      </w:r>
      <w:r w:rsidR="002D4DC3" w:rsidRPr="00AB4864">
        <w:rPr>
          <w:sz w:val="16"/>
        </w:rPr>
        <w:t xml:space="preserve"> Crusher</w:t>
      </w:r>
      <w:r w:rsidR="0002581C" w:rsidRPr="00AB4864">
        <w:rPr>
          <w:sz w:val="16"/>
        </w:rPr>
        <w:t xml:space="preserve"> Project, expected to deliver an average of 25 million tonnes of iron ore </w:t>
      </w:r>
      <w:r w:rsidR="00B605E7" w:rsidRPr="00AB4864">
        <w:rPr>
          <w:sz w:val="16"/>
        </w:rPr>
        <w:t xml:space="preserve">annually </w:t>
      </w:r>
      <w:r w:rsidR="0002581C" w:rsidRPr="00AB4864">
        <w:rPr>
          <w:sz w:val="16"/>
        </w:rPr>
        <w:t xml:space="preserve">from </w:t>
      </w:r>
      <w:r w:rsidR="0090459F" w:rsidRPr="00AB4864">
        <w:rPr>
          <w:sz w:val="16"/>
        </w:rPr>
        <w:t xml:space="preserve">2027, replacing </w:t>
      </w:r>
      <w:r w:rsidRPr="00AB4864">
        <w:rPr>
          <w:sz w:val="16"/>
        </w:rPr>
        <w:t xml:space="preserve">production volumes from </w:t>
      </w:r>
      <w:r w:rsidR="002D4DC3" w:rsidRPr="00AB4864">
        <w:rPr>
          <w:sz w:val="16"/>
        </w:rPr>
        <w:t>other depleting orebodies around Newman</w:t>
      </w:r>
      <w:r w:rsidRPr="00AB4864">
        <w:rPr>
          <w:sz w:val="16"/>
        </w:rPr>
        <w:t>.</w:t>
      </w:r>
    </w:p>
    <w:p w14:paraId="4E3DB170" w14:textId="77777777" w:rsidR="00D566DB" w:rsidRPr="008100D3" w:rsidRDefault="00D566DB" w:rsidP="00D566DB">
      <w:pPr>
        <w:pStyle w:val="BodyText"/>
        <w:numPr>
          <w:ilvl w:val="0"/>
          <w:numId w:val="9"/>
        </w:numPr>
        <w:spacing w:after="0"/>
        <w:jc w:val="both"/>
        <w:rPr>
          <w:sz w:val="16"/>
        </w:rPr>
      </w:pPr>
      <w:r w:rsidRPr="001A2E0B">
        <w:rPr>
          <w:sz w:val="16"/>
        </w:rPr>
        <w:t xml:space="preserve">Fortescue Metals Group (FMG) has developed Iron Bridge (Magnetite) Stage 2. The project will produce 22 million </w:t>
      </w:r>
      <w:r w:rsidRPr="008100D3">
        <w:rPr>
          <w:sz w:val="16"/>
        </w:rPr>
        <w:t>tonnes a year of high</w:t>
      </w:r>
      <w:r w:rsidRPr="008100D3">
        <w:rPr>
          <w:sz w:val="16"/>
        </w:rPr>
        <w:noBreakHyphen/>
        <w:t>grade magnetite concentrate.</w:t>
      </w:r>
    </w:p>
    <w:p w14:paraId="2FCCFC91" w14:textId="77777777" w:rsidR="00D566DB" w:rsidRPr="008100D3" w:rsidRDefault="00D566DB" w:rsidP="00D566DB">
      <w:pPr>
        <w:pStyle w:val="BodyText"/>
        <w:numPr>
          <w:ilvl w:val="0"/>
          <w:numId w:val="9"/>
        </w:numPr>
        <w:spacing w:after="0"/>
        <w:jc w:val="both"/>
        <w:rPr>
          <w:sz w:val="16"/>
        </w:rPr>
      </w:pPr>
      <w:r w:rsidRPr="008100D3">
        <w:rPr>
          <w:sz w:val="16"/>
        </w:rPr>
        <w:t>Construction on Mineral Resources Limited’s (MRL) Onslow Iron project began in August 2022. Iron ore shipments from the project are expected to start in June 2024.</w:t>
      </w:r>
    </w:p>
    <w:p w14:paraId="66020936" w14:textId="77777777" w:rsidR="00D566DB" w:rsidRPr="00EC1698" w:rsidRDefault="00D566DB" w:rsidP="00D566DB">
      <w:pPr>
        <w:pStyle w:val="BodyText"/>
        <w:spacing w:after="0"/>
        <w:ind w:left="284"/>
        <w:jc w:val="both"/>
        <w:rPr>
          <w:sz w:val="16"/>
        </w:rPr>
        <w:sectPr w:rsidR="00D566DB"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772841D8" w14:textId="77777777" w:rsidR="00D566DB" w:rsidRDefault="00D566DB" w:rsidP="00D566DB">
      <w:pPr>
        <w:spacing w:after="0"/>
        <w:rPr>
          <w:b/>
          <w:color w:val="92278F" w:themeColor="accent1"/>
          <w:sz w:val="20"/>
        </w:rPr>
      </w:pPr>
    </w:p>
    <w:p w14:paraId="5E72E484" w14:textId="77777777" w:rsidR="00D566DB" w:rsidRDefault="00D566DB" w:rsidP="00D566DB">
      <w:pPr>
        <w:spacing w:after="0"/>
        <w:rPr>
          <w:b/>
          <w:color w:val="92278F" w:themeColor="accent1"/>
          <w:sz w:val="20"/>
        </w:rPr>
      </w:pPr>
    </w:p>
    <w:p w14:paraId="78B58F44" w14:textId="77777777" w:rsidR="00D566DB" w:rsidRPr="002B397F" w:rsidRDefault="00D566DB" w:rsidP="00D566DB">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68461272" w14:textId="6D9378D8" w:rsidR="00D566DB" w:rsidRDefault="00CC263F" w:rsidP="00D566DB">
      <w:pPr>
        <w:spacing w:after="0"/>
        <w:jc w:val="both"/>
        <w:rPr>
          <w:sz w:val="16"/>
        </w:rPr>
      </w:pPr>
      <w:r>
        <w:rPr>
          <w:noProof/>
          <w:sz w:val="16"/>
        </w:rPr>
        <w:drawing>
          <wp:inline distT="0" distB="0" distL="0" distR="0" wp14:anchorId="0767EBDE" wp14:editId="72A133E6">
            <wp:extent cx="3367088" cy="1986719"/>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74857" cy="1991303"/>
                    </a:xfrm>
                    <a:prstGeom prst="rect">
                      <a:avLst/>
                    </a:prstGeom>
                    <a:noFill/>
                    <a:ln>
                      <a:noFill/>
                    </a:ln>
                  </pic:spPr>
                </pic:pic>
              </a:graphicData>
            </a:graphic>
          </wp:inline>
        </w:drawing>
      </w:r>
    </w:p>
    <w:p w14:paraId="633E8B3C" w14:textId="77777777" w:rsidR="00D566DB" w:rsidRDefault="00D566DB" w:rsidP="00D566DB">
      <w:pPr>
        <w:spacing w:after="0"/>
        <w:jc w:val="both"/>
        <w:rPr>
          <w:sz w:val="10"/>
        </w:rPr>
      </w:pPr>
      <w:r>
        <w:rPr>
          <w:sz w:val="10"/>
        </w:rPr>
        <w:t>Mt = Million tonnes.</w:t>
      </w:r>
    </w:p>
    <w:p w14:paraId="7170653F" w14:textId="77777777" w:rsidR="00D566DB" w:rsidRPr="00716C34" w:rsidRDefault="00D566DB" w:rsidP="00D566DB">
      <w:pPr>
        <w:spacing w:after="0"/>
        <w:jc w:val="both"/>
        <w:rPr>
          <w:sz w:val="10"/>
        </w:rPr>
      </w:pPr>
      <w:r w:rsidRPr="00716C34">
        <w:rPr>
          <w:sz w:val="10"/>
        </w:rPr>
        <w:t>Source:</w:t>
      </w:r>
      <w:r>
        <w:rPr>
          <w:sz w:val="10"/>
        </w:rPr>
        <w:t xml:space="preserve"> Based on data from </w:t>
      </w:r>
      <w:r w:rsidRPr="007F4A87">
        <w:rPr>
          <w:sz w:val="10"/>
        </w:rPr>
        <w:t>ABS 5368.0 International Trade in Goods and Services</w:t>
      </w:r>
      <w:r>
        <w:rPr>
          <w:sz w:val="10"/>
        </w:rPr>
        <w:t>, Australia (Monthly)</w:t>
      </w:r>
      <w:r w:rsidRPr="00716C34">
        <w:rPr>
          <w:sz w:val="10"/>
        </w:rPr>
        <w:t>.</w:t>
      </w:r>
    </w:p>
    <w:p w14:paraId="7FE903AA" w14:textId="77777777" w:rsidR="00D566DB" w:rsidRDefault="00D566DB" w:rsidP="00D566DB">
      <w:pPr>
        <w:spacing w:after="0"/>
        <w:jc w:val="both"/>
        <w:rPr>
          <w:sz w:val="16"/>
        </w:rPr>
      </w:pPr>
    </w:p>
    <w:p w14:paraId="293E929C" w14:textId="03FECE26" w:rsidR="00D566DB" w:rsidRDefault="00D566DB" w:rsidP="00D566DB">
      <w:pPr>
        <w:pStyle w:val="BodyText"/>
        <w:spacing w:after="0"/>
        <w:jc w:val="both"/>
        <w:rPr>
          <w:sz w:val="16"/>
        </w:rPr>
      </w:pPr>
      <w:r w:rsidRPr="007C5D05">
        <w:rPr>
          <w:sz w:val="16"/>
        </w:rPr>
        <w:br w:type="column"/>
      </w:r>
    </w:p>
    <w:p w14:paraId="61372A92" w14:textId="1C6907AC" w:rsidR="00CD0B4C" w:rsidRDefault="00CD0B4C" w:rsidP="00D566DB">
      <w:pPr>
        <w:pStyle w:val="BodyText"/>
        <w:spacing w:after="0"/>
        <w:jc w:val="both"/>
        <w:rPr>
          <w:sz w:val="16"/>
        </w:rPr>
      </w:pPr>
    </w:p>
    <w:p w14:paraId="3F3D8EC2" w14:textId="7B914C37" w:rsidR="00D566DB" w:rsidRPr="006C05BA" w:rsidRDefault="00D566DB" w:rsidP="00D566DB">
      <w:pPr>
        <w:pStyle w:val="BodyText"/>
        <w:numPr>
          <w:ilvl w:val="0"/>
          <w:numId w:val="9"/>
        </w:numPr>
        <w:spacing w:after="0"/>
        <w:jc w:val="both"/>
        <w:rPr>
          <w:sz w:val="16"/>
        </w:rPr>
      </w:pPr>
      <w:r w:rsidRPr="006C05BA">
        <w:rPr>
          <w:sz w:val="16"/>
        </w:rPr>
        <w:t>Port Hedland, the world’s largest bulk export port, accounted for 6</w:t>
      </w:r>
      <w:r w:rsidR="00CC263F" w:rsidRPr="006C05BA">
        <w:rPr>
          <w:sz w:val="16"/>
        </w:rPr>
        <w:t>0</w:t>
      </w:r>
      <w:r w:rsidRPr="006C05BA">
        <w:rPr>
          <w:sz w:val="16"/>
        </w:rPr>
        <w:t>% of Western Australia’s iron ore sales volumes in 2023. The next largest ports in Western Australia for iron ore sales volumes in 2023 were Cape Lambert (</w:t>
      </w:r>
      <w:r w:rsidR="00CC263F" w:rsidRPr="006C05BA">
        <w:rPr>
          <w:sz w:val="16"/>
        </w:rPr>
        <w:t>20</w:t>
      </w:r>
      <w:r w:rsidRPr="006C05BA">
        <w:rPr>
          <w:sz w:val="16"/>
        </w:rPr>
        <w:t>%) and Dampier (15%).</w:t>
      </w:r>
    </w:p>
    <w:p w14:paraId="379A73DB" w14:textId="4735B476" w:rsidR="00D566DB" w:rsidRPr="006C05BA" w:rsidRDefault="00D566DB" w:rsidP="00D566DB">
      <w:pPr>
        <w:pStyle w:val="BodyText"/>
        <w:numPr>
          <w:ilvl w:val="0"/>
          <w:numId w:val="9"/>
        </w:numPr>
        <w:spacing w:after="0"/>
        <w:jc w:val="both"/>
        <w:rPr>
          <w:sz w:val="16"/>
        </w:rPr>
      </w:pPr>
      <w:r w:rsidRPr="006C05BA">
        <w:rPr>
          <w:sz w:val="16"/>
        </w:rPr>
        <w:t>In 2023, the volume of iron ore exports from:</w:t>
      </w:r>
    </w:p>
    <w:p w14:paraId="3B5B680F" w14:textId="69F3A4EE" w:rsidR="00D566DB" w:rsidRPr="006C05BA" w:rsidRDefault="00D566DB" w:rsidP="00D566DB">
      <w:pPr>
        <w:pStyle w:val="BodyText"/>
        <w:numPr>
          <w:ilvl w:val="1"/>
          <w:numId w:val="10"/>
        </w:numPr>
        <w:spacing w:after="0"/>
        <w:ind w:left="851" w:hanging="284"/>
        <w:jc w:val="both"/>
        <w:rPr>
          <w:sz w:val="16"/>
        </w:rPr>
      </w:pPr>
      <w:r w:rsidRPr="006C05BA">
        <w:rPr>
          <w:sz w:val="16"/>
        </w:rPr>
        <w:t xml:space="preserve">Port Hedland </w:t>
      </w:r>
      <w:r w:rsidR="00CC263F" w:rsidRPr="006C05BA">
        <w:rPr>
          <w:sz w:val="16"/>
        </w:rPr>
        <w:t>fell</w:t>
      </w:r>
      <w:r w:rsidRPr="006C05BA">
        <w:rPr>
          <w:sz w:val="16"/>
        </w:rPr>
        <w:t xml:space="preserve"> 1% to 53</w:t>
      </w:r>
      <w:r w:rsidR="00CC263F" w:rsidRPr="006C05BA">
        <w:rPr>
          <w:sz w:val="16"/>
        </w:rPr>
        <w:t>1</w:t>
      </w:r>
      <w:r w:rsidRPr="006C05BA">
        <w:rPr>
          <w:sz w:val="16"/>
        </w:rPr>
        <w:t xml:space="preserve"> million </w:t>
      </w:r>
      <w:proofErr w:type="gramStart"/>
      <w:r w:rsidRPr="006C05BA">
        <w:rPr>
          <w:sz w:val="16"/>
        </w:rPr>
        <w:t>tonnes</w:t>
      </w:r>
      <w:proofErr w:type="gramEnd"/>
    </w:p>
    <w:p w14:paraId="3CB3D693" w14:textId="1DB29C7F" w:rsidR="00D566DB" w:rsidRPr="006C05BA" w:rsidRDefault="00D566DB" w:rsidP="00D566DB">
      <w:pPr>
        <w:pStyle w:val="BodyText"/>
        <w:numPr>
          <w:ilvl w:val="1"/>
          <w:numId w:val="10"/>
        </w:numPr>
        <w:spacing w:after="0"/>
        <w:ind w:left="851" w:hanging="284"/>
        <w:jc w:val="both"/>
        <w:rPr>
          <w:sz w:val="16"/>
        </w:rPr>
      </w:pPr>
      <w:r w:rsidRPr="006C05BA">
        <w:rPr>
          <w:sz w:val="16"/>
        </w:rPr>
        <w:t>Cape Lambert rose 4% to 17</w:t>
      </w:r>
      <w:r w:rsidR="00CC263F" w:rsidRPr="006C05BA">
        <w:rPr>
          <w:sz w:val="16"/>
        </w:rPr>
        <w:t>4</w:t>
      </w:r>
      <w:r w:rsidRPr="006C05BA">
        <w:rPr>
          <w:sz w:val="16"/>
        </w:rPr>
        <w:t xml:space="preserve"> million </w:t>
      </w:r>
      <w:proofErr w:type="gramStart"/>
      <w:r w:rsidRPr="006C05BA">
        <w:rPr>
          <w:sz w:val="16"/>
        </w:rPr>
        <w:t>tonnes</w:t>
      </w:r>
      <w:proofErr w:type="gramEnd"/>
    </w:p>
    <w:p w14:paraId="5A3B980C" w14:textId="25465744" w:rsidR="00D566DB" w:rsidRPr="006C05BA" w:rsidRDefault="00D566DB" w:rsidP="00D566DB">
      <w:pPr>
        <w:pStyle w:val="BodyText"/>
        <w:numPr>
          <w:ilvl w:val="1"/>
          <w:numId w:val="10"/>
        </w:numPr>
        <w:spacing w:after="0"/>
        <w:ind w:left="851" w:hanging="284"/>
        <w:jc w:val="both"/>
        <w:rPr>
          <w:sz w:val="16"/>
        </w:rPr>
      </w:pPr>
      <w:r w:rsidRPr="006C05BA">
        <w:rPr>
          <w:sz w:val="16"/>
        </w:rPr>
        <w:t xml:space="preserve">Dampier rose </w:t>
      </w:r>
      <w:r w:rsidR="00DD7E51" w:rsidRPr="006C05BA">
        <w:rPr>
          <w:sz w:val="16"/>
        </w:rPr>
        <w:t>3</w:t>
      </w:r>
      <w:r w:rsidRPr="006C05BA">
        <w:rPr>
          <w:sz w:val="16"/>
        </w:rPr>
        <w:t>% to 13</w:t>
      </w:r>
      <w:r w:rsidR="00CC263F" w:rsidRPr="006C05BA">
        <w:rPr>
          <w:sz w:val="16"/>
        </w:rPr>
        <w:t>1</w:t>
      </w:r>
      <w:r w:rsidRPr="006C05BA">
        <w:rPr>
          <w:sz w:val="16"/>
        </w:rPr>
        <w:t xml:space="preserve"> million </w:t>
      </w:r>
      <w:proofErr w:type="gramStart"/>
      <w:r w:rsidRPr="006C05BA">
        <w:rPr>
          <w:sz w:val="16"/>
        </w:rPr>
        <w:t>tonnes</w:t>
      </w:r>
      <w:proofErr w:type="gramEnd"/>
    </w:p>
    <w:p w14:paraId="3B44EB9C" w14:textId="349FE876" w:rsidR="00D566DB" w:rsidRPr="006C05BA" w:rsidRDefault="00D566DB" w:rsidP="00D566DB">
      <w:pPr>
        <w:pStyle w:val="BodyText"/>
        <w:numPr>
          <w:ilvl w:val="1"/>
          <w:numId w:val="10"/>
        </w:numPr>
        <w:spacing w:after="0"/>
        <w:ind w:left="851" w:hanging="284"/>
        <w:jc w:val="both"/>
        <w:rPr>
          <w:sz w:val="16"/>
        </w:rPr>
      </w:pPr>
      <w:r w:rsidRPr="006C05BA">
        <w:rPr>
          <w:sz w:val="16"/>
        </w:rPr>
        <w:t xml:space="preserve">All other ports rose </w:t>
      </w:r>
      <w:r w:rsidR="00DD7E51" w:rsidRPr="006C05BA">
        <w:rPr>
          <w:sz w:val="16"/>
        </w:rPr>
        <w:t>49</w:t>
      </w:r>
      <w:r w:rsidRPr="006C05BA">
        <w:rPr>
          <w:sz w:val="16"/>
        </w:rPr>
        <w:t>% to 4</w:t>
      </w:r>
      <w:r w:rsidR="00CC263F" w:rsidRPr="006C05BA">
        <w:rPr>
          <w:sz w:val="16"/>
        </w:rPr>
        <w:t>9</w:t>
      </w:r>
      <w:r w:rsidRPr="006C05BA">
        <w:rPr>
          <w:sz w:val="16"/>
        </w:rPr>
        <w:t> million tonnes.</w:t>
      </w:r>
    </w:p>
    <w:p w14:paraId="5E0FA50C" w14:textId="2EEC73D6" w:rsidR="00D566DB" w:rsidRDefault="00D566DB" w:rsidP="00D566DB">
      <w:pPr>
        <w:pStyle w:val="BodyText"/>
        <w:numPr>
          <w:ilvl w:val="0"/>
          <w:numId w:val="9"/>
        </w:numPr>
        <w:spacing w:after="0"/>
        <w:jc w:val="both"/>
        <w:rPr>
          <w:sz w:val="16"/>
        </w:rPr>
      </w:pPr>
      <w:r w:rsidRPr="00EE4C2C">
        <w:rPr>
          <w:sz w:val="16"/>
        </w:rPr>
        <w:t>Rio Tinto expanded Cape Lambert and Dampier in 2015, raising annual capacity to 210</w:t>
      </w:r>
      <w:r w:rsidR="00972FAF">
        <w:rPr>
          <w:sz w:val="16"/>
        </w:rPr>
        <w:t> </w:t>
      </w:r>
      <w:r w:rsidRPr="00EE4C2C">
        <w:rPr>
          <w:sz w:val="16"/>
        </w:rPr>
        <w:t>million tonnes and 1</w:t>
      </w:r>
      <w:r>
        <w:rPr>
          <w:sz w:val="16"/>
        </w:rPr>
        <w:t>50 million tonnes respectively.</w:t>
      </w:r>
    </w:p>
    <w:p w14:paraId="193BB459" w14:textId="77777777" w:rsidR="00D566DB" w:rsidRPr="00EE4C2C" w:rsidRDefault="00D566DB" w:rsidP="00D566DB">
      <w:pPr>
        <w:pStyle w:val="BodyText"/>
        <w:numPr>
          <w:ilvl w:val="0"/>
          <w:numId w:val="9"/>
        </w:numPr>
        <w:spacing w:after="0"/>
        <w:jc w:val="both"/>
        <w:rPr>
          <w:sz w:val="16"/>
        </w:rPr>
      </w:pPr>
      <w:r w:rsidRPr="00EE4C2C">
        <w:rPr>
          <w:sz w:val="16"/>
        </w:rPr>
        <w:t>The Port of Port Hedland is planning to increase iron ore export capacity to 660</w:t>
      </w:r>
      <w:r>
        <w:rPr>
          <w:sz w:val="16"/>
        </w:rPr>
        <w:t> </w:t>
      </w:r>
      <w:r w:rsidRPr="00EE4C2C">
        <w:rPr>
          <w:sz w:val="16"/>
        </w:rPr>
        <w:t xml:space="preserve">million tonnes a year. </w:t>
      </w:r>
      <w:r w:rsidRPr="001F24B5">
        <w:rPr>
          <w:sz w:val="16"/>
        </w:rPr>
        <w:t>FMG has approval to expand its material handling capacity at Herb Elliott Port to 210 million tonnes a year.</w:t>
      </w:r>
    </w:p>
    <w:sectPr w:rsidR="00D566DB" w:rsidRPr="00EE4C2C" w:rsidSect="00F7498D">
      <w:headerReference w:type="default" r:id="rId30"/>
      <w:footerReference w:type="default" r:id="rId31"/>
      <w:footerReference w:type="first" r:id="rId32"/>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D989" w14:textId="77777777" w:rsidR="00EF69E7" w:rsidRDefault="00EF69E7" w:rsidP="00A4382C">
      <w:pPr>
        <w:spacing w:line="240" w:lineRule="auto"/>
      </w:pPr>
      <w:r>
        <w:separator/>
      </w:r>
    </w:p>
  </w:endnote>
  <w:endnote w:type="continuationSeparator" w:id="0">
    <w:p w14:paraId="6BD3FAF3" w14:textId="77777777" w:rsidR="00EF69E7" w:rsidRDefault="00EF69E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61A0" w14:textId="77777777" w:rsidR="00A36339" w:rsidRDefault="00A36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EDBE" w14:textId="65CC39D0"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6C05BA">
      <w:rPr>
        <w:szCs w:val="16"/>
      </w:rPr>
      <w:t>March</w:t>
    </w:r>
    <w:r w:rsidR="004B28C2">
      <w:rPr>
        <w:szCs w:val="16"/>
      </w:rPr>
      <w:t xml:space="preserve"> </w:t>
    </w:r>
    <w:r>
      <w:rPr>
        <w:szCs w:val="16"/>
      </w:rPr>
      <w:t>202</w:t>
    </w:r>
    <w:r w:rsidR="000D5F45">
      <w:rPr>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9F32" w14:textId="545867D9"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A36339">
      <w:rPr>
        <w:noProof/>
        <w:szCs w:val="16"/>
      </w:rPr>
      <w:t>003499policy.data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0F1E" w14:textId="77777777" w:rsidR="00EF69E7" w:rsidRDefault="00EF69E7" w:rsidP="00A4382C">
      <w:pPr>
        <w:spacing w:line="240" w:lineRule="auto"/>
      </w:pPr>
      <w:r>
        <w:separator/>
      </w:r>
    </w:p>
  </w:footnote>
  <w:footnote w:type="continuationSeparator" w:id="0">
    <w:p w14:paraId="5B776922" w14:textId="77777777" w:rsidR="00EF69E7" w:rsidRDefault="00EF69E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5369" w14:textId="77777777" w:rsidR="00A36339" w:rsidRDefault="00A36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FA3E" w14:textId="77777777" w:rsidR="00D566DB" w:rsidRDefault="00D566DB">
    <w:pPr>
      <w:pStyle w:val="Header"/>
    </w:pPr>
    <w:r>
      <w:rPr>
        <w:noProof/>
        <w:lang w:eastAsia="en-AU"/>
      </w:rPr>
      <w:drawing>
        <wp:anchor distT="0" distB="0" distL="114300" distR="114300" simplePos="0" relativeHeight="251657728" behindDoc="1" locked="0" layoutInCell="1" allowOverlap="0" wp14:anchorId="071D234A" wp14:editId="5FA99590">
          <wp:simplePos x="0" y="0"/>
          <wp:positionH relativeFrom="page">
            <wp:posOffset>142875</wp:posOffset>
          </wp:positionH>
          <wp:positionV relativeFrom="page">
            <wp:posOffset>152400</wp:posOffset>
          </wp:positionV>
          <wp:extent cx="7277100" cy="869404"/>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C78B" w14:textId="77777777" w:rsidR="00A36339" w:rsidRDefault="00A36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drawingGridHorizontalSpacing w:val="110"/>
  <w:drawingGridVerticalSpacing w:val="181"/>
  <w:displayHorizontalDrawingGridEvery w:val="2"/>
  <w:characterSpacingControl w:val="doNotCompress"/>
  <w:hdrShapeDefaults>
    <o:shapedefaults v:ext="edit" spidmax="67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B60"/>
    <w:rsid w:val="0000198E"/>
    <w:rsid w:val="00001B03"/>
    <w:rsid w:val="00002954"/>
    <w:rsid w:val="00003757"/>
    <w:rsid w:val="00003786"/>
    <w:rsid w:val="00004598"/>
    <w:rsid w:val="00004F1F"/>
    <w:rsid w:val="00004FC7"/>
    <w:rsid w:val="00005285"/>
    <w:rsid w:val="0000562B"/>
    <w:rsid w:val="000056B7"/>
    <w:rsid w:val="00006218"/>
    <w:rsid w:val="00006269"/>
    <w:rsid w:val="00006DAE"/>
    <w:rsid w:val="0000797E"/>
    <w:rsid w:val="0001436C"/>
    <w:rsid w:val="0001476A"/>
    <w:rsid w:val="00014DC8"/>
    <w:rsid w:val="00016BBB"/>
    <w:rsid w:val="00017A45"/>
    <w:rsid w:val="00020A91"/>
    <w:rsid w:val="000227AD"/>
    <w:rsid w:val="00024416"/>
    <w:rsid w:val="000248F5"/>
    <w:rsid w:val="00024E73"/>
    <w:rsid w:val="00024E83"/>
    <w:rsid w:val="0002581C"/>
    <w:rsid w:val="00030161"/>
    <w:rsid w:val="000303F9"/>
    <w:rsid w:val="00030E25"/>
    <w:rsid w:val="0003118B"/>
    <w:rsid w:val="0003298A"/>
    <w:rsid w:val="00034CF8"/>
    <w:rsid w:val="00034D6F"/>
    <w:rsid w:val="00035E69"/>
    <w:rsid w:val="00036C0B"/>
    <w:rsid w:val="000400BA"/>
    <w:rsid w:val="00042A5A"/>
    <w:rsid w:val="00043503"/>
    <w:rsid w:val="00043B5C"/>
    <w:rsid w:val="00044448"/>
    <w:rsid w:val="00045512"/>
    <w:rsid w:val="00045704"/>
    <w:rsid w:val="00046306"/>
    <w:rsid w:val="0004631A"/>
    <w:rsid w:val="00047697"/>
    <w:rsid w:val="000476B9"/>
    <w:rsid w:val="000517E2"/>
    <w:rsid w:val="00052319"/>
    <w:rsid w:val="0005585E"/>
    <w:rsid w:val="00056706"/>
    <w:rsid w:val="0005685E"/>
    <w:rsid w:val="00056C85"/>
    <w:rsid w:val="00057C37"/>
    <w:rsid w:val="0006020B"/>
    <w:rsid w:val="0006040F"/>
    <w:rsid w:val="00060FFB"/>
    <w:rsid w:val="00061286"/>
    <w:rsid w:val="00061516"/>
    <w:rsid w:val="0006234D"/>
    <w:rsid w:val="000628DD"/>
    <w:rsid w:val="00062F9F"/>
    <w:rsid w:val="00067C18"/>
    <w:rsid w:val="00070650"/>
    <w:rsid w:val="0007213A"/>
    <w:rsid w:val="000731E7"/>
    <w:rsid w:val="0007351C"/>
    <w:rsid w:val="00075084"/>
    <w:rsid w:val="00075BF5"/>
    <w:rsid w:val="00076DFB"/>
    <w:rsid w:val="00077607"/>
    <w:rsid w:val="00077902"/>
    <w:rsid w:val="00081F4F"/>
    <w:rsid w:val="00082E53"/>
    <w:rsid w:val="00086571"/>
    <w:rsid w:val="00087862"/>
    <w:rsid w:val="00087E7C"/>
    <w:rsid w:val="00090654"/>
    <w:rsid w:val="00090B72"/>
    <w:rsid w:val="00091204"/>
    <w:rsid w:val="000923ED"/>
    <w:rsid w:val="0009494E"/>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74E7"/>
    <w:rsid w:val="000B78A6"/>
    <w:rsid w:val="000C0B8C"/>
    <w:rsid w:val="000C0C03"/>
    <w:rsid w:val="000C26F6"/>
    <w:rsid w:val="000C3363"/>
    <w:rsid w:val="000C4CC0"/>
    <w:rsid w:val="000C65E4"/>
    <w:rsid w:val="000C7868"/>
    <w:rsid w:val="000D17F8"/>
    <w:rsid w:val="000D2245"/>
    <w:rsid w:val="000D2A92"/>
    <w:rsid w:val="000D2BBF"/>
    <w:rsid w:val="000D487F"/>
    <w:rsid w:val="000D57F0"/>
    <w:rsid w:val="000D5F45"/>
    <w:rsid w:val="000D6278"/>
    <w:rsid w:val="000D67A1"/>
    <w:rsid w:val="000E3009"/>
    <w:rsid w:val="000E4402"/>
    <w:rsid w:val="000E5601"/>
    <w:rsid w:val="000E5DCE"/>
    <w:rsid w:val="000E7BB8"/>
    <w:rsid w:val="000F0722"/>
    <w:rsid w:val="000F13E1"/>
    <w:rsid w:val="000F1F76"/>
    <w:rsid w:val="000F3202"/>
    <w:rsid w:val="000F3A49"/>
    <w:rsid w:val="000F410D"/>
    <w:rsid w:val="000F4B54"/>
    <w:rsid w:val="000F680B"/>
    <w:rsid w:val="000F79FB"/>
    <w:rsid w:val="00101770"/>
    <w:rsid w:val="00101A4E"/>
    <w:rsid w:val="001025DA"/>
    <w:rsid w:val="00105254"/>
    <w:rsid w:val="0011278C"/>
    <w:rsid w:val="001139A1"/>
    <w:rsid w:val="00116EA4"/>
    <w:rsid w:val="00116F75"/>
    <w:rsid w:val="001170CD"/>
    <w:rsid w:val="00117846"/>
    <w:rsid w:val="001178A7"/>
    <w:rsid w:val="001179F5"/>
    <w:rsid w:val="00121232"/>
    <w:rsid w:val="00121B41"/>
    <w:rsid w:val="00121BB3"/>
    <w:rsid w:val="001233FC"/>
    <w:rsid w:val="00123F05"/>
    <w:rsid w:val="00123FF5"/>
    <w:rsid w:val="0012712C"/>
    <w:rsid w:val="00127949"/>
    <w:rsid w:val="00127A81"/>
    <w:rsid w:val="00130A6A"/>
    <w:rsid w:val="00130E3F"/>
    <w:rsid w:val="00131643"/>
    <w:rsid w:val="001319F4"/>
    <w:rsid w:val="001326D2"/>
    <w:rsid w:val="00133785"/>
    <w:rsid w:val="00133CEB"/>
    <w:rsid w:val="00137217"/>
    <w:rsid w:val="00137C47"/>
    <w:rsid w:val="0014129B"/>
    <w:rsid w:val="00141682"/>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3E11"/>
    <w:rsid w:val="00164717"/>
    <w:rsid w:val="00164FD5"/>
    <w:rsid w:val="00166F4F"/>
    <w:rsid w:val="00167179"/>
    <w:rsid w:val="001671CB"/>
    <w:rsid w:val="001707B4"/>
    <w:rsid w:val="00170BCC"/>
    <w:rsid w:val="001723E2"/>
    <w:rsid w:val="00172F4D"/>
    <w:rsid w:val="00172F9A"/>
    <w:rsid w:val="00173125"/>
    <w:rsid w:val="001743E9"/>
    <w:rsid w:val="00174C37"/>
    <w:rsid w:val="001750A9"/>
    <w:rsid w:val="001753A3"/>
    <w:rsid w:val="00175473"/>
    <w:rsid w:val="00175A3A"/>
    <w:rsid w:val="00175B21"/>
    <w:rsid w:val="00176B7E"/>
    <w:rsid w:val="001774DD"/>
    <w:rsid w:val="001801BC"/>
    <w:rsid w:val="00181DCF"/>
    <w:rsid w:val="00182318"/>
    <w:rsid w:val="0018235A"/>
    <w:rsid w:val="001823F7"/>
    <w:rsid w:val="00182E43"/>
    <w:rsid w:val="00183E53"/>
    <w:rsid w:val="001853E7"/>
    <w:rsid w:val="00187DF0"/>
    <w:rsid w:val="00187ED2"/>
    <w:rsid w:val="00187F64"/>
    <w:rsid w:val="00191F24"/>
    <w:rsid w:val="0019201A"/>
    <w:rsid w:val="001924D6"/>
    <w:rsid w:val="00192875"/>
    <w:rsid w:val="001938E5"/>
    <w:rsid w:val="00194018"/>
    <w:rsid w:val="00194D8E"/>
    <w:rsid w:val="001A042A"/>
    <w:rsid w:val="001A058B"/>
    <w:rsid w:val="001A1794"/>
    <w:rsid w:val="001A2E0B"/>
    <w:rsid w:val="001A436A"/>
    <w:rsid w:val="001A7024"/>
    <w:rsid w:val="001A70B1"/>
    <w:rsid w:val="001B0567"/>
    <w:rsid w:val="001B167E"/>
    <w:rsid w:val="001B1E5E"/>
    <w:rsid w:val="001B25CC"/>
    <w:rsid w:val="001B38E8"/>
    <w:rsid w:val="001B4405"/>
    <w:rsid w:val="001B5124"/>
    <w:rsid w:val="001B5B6F"/>
    <w:rsid w:val="001B7AB6"/>
    <w:rsid w:val="001B7BB2"/>
    <w:rsid w:val="001C02F8"/>
    <w:rsid w:val="001C316F"/>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78E6"/>
    <w:rsid w:val="001D7D9D"/>
    <w:rsid w:val="001D7DDB"/>
    <w:rsid w:val="001E010B"/>
    <w:rsid w:val="001E154F"/>
    <w:rsid w:val="001E18E0"/>
    <w:rsid w:val="001E1980"/>
    <w:rsid w:val="001E38AF"/>
    <w:rsid w:val="001E43A3"/>
    <w:rsid w:val="001E5926"/>
    <w:rsid w:val="001E67C0"/>
    <w:rsid w:val="001E69E7"/>
    <w:rsid w:val="001E6C65"/>
    <w:rsid w:val="001E71EC"/>
    <w:rsid w:val="001F1168"/>
    <w:rsid w:val="001F1EF8"/>
    <w:rsid w:val="001F2273"/>
    <w:rsid w:val="001F24B5"/>
    <w:rsid w:val="001F2DB8"/>
    <w:rsid w:val="001F3557"/>
    <w:rsid w:val="001F3B43"/>
    <w:rsid w:val="001F3ED0"/>
    <w:rsid w:val="001F4382"/>
    <w:rsid w:val="001F64A7"/>
    <w:rsid w:val="001F7892"/>
    <w:rsid w:val="00200921"/>
    <w:rsid w:val="002024DA"/>
    <w:rsid w:val="00204216"/>
    <w:rsid w:val="00204CC7"/>
    <w:rsid w:val="0020536C"/>
    <w:rsid w:val="00205880"/>
    <w:rsid w:val="00205E17"/>
    <w:rsid w:val="00206D9F"/>
    <w:rsid w:val="00207681"/>
    <w:rsid w:val="002077DA"/>
    <w:rsid w:val="00210923"/>
    <w:rsid w:val="0021126D"/>
    <w:rsid w:val="00211B67"/>
    <w:rsid w:val="0021319C"/>
    <w:rsid w:val="002135D1"/>
    <w:rsid w:val="00214124"/>
    <w:rsid w:val="002144EA"/>
    <w:rsid w:val="00214F89"/>
    <w:rsid w:val="002156DC"/>
    <w:rsid w:val="0021614F"/>
    <w:rsid w:val="00217A4B"/>
    <w:rsid w:val="00217BF0"/>
    <w:rsid w:val="00220037"/>
    <w:rsid w:val="002224F5"/>
    <w:rsid w:val="00222967"/>
    <w:rsid w:val="002244A2"/>
    <w:rsid w:val="00225AE0"/>
    <w:rsid w:val="0022624E"/>
    <w:rsid w:val="002264B4"/>
    <w:rsid w:val="00227F08"/>
    <w:rsid w:val="002303D3"/>
    <w:rsid w:val="0023051B"/>
    <w:rsid w:val="002306A7"/>
    <w:rsid w:val="00230FFA"/>
    <w:rsid w:val="0023136A"/>
    <w:rsid w:val="00232EC5"/>
    <w:rsid w:val="002334CC"/>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4D7E"/>
    <w:rsid w:val="002451DB"/>
    <w:rsid w:val="00245787"/>
    <w:rsid w:val="00246C20"/>
    <w:rsid w:val="00250692"/>
    <w:rsid w:val="0025112D"/>
    <w:rsid w:val="00253F2F"/>
    <w:rsid w:val="0025532C"/>
    <w:rsid w:val="00256ECC"/>
    <w:rsid w:val="002570AD"/>
    <w:rsid w:val="00262CC7"/>
    <w:rsid w:val="00263AEC"/>
    <w:rsid w:val="002641AD"/>
    <w:rsid w:val="002645A5"/>
    <w:rsid w:val="00265625"/>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80583"/>
    <w:rsid w:val="002805DC"/>
    <w:rsid w:val="002810C9"/>
    <w:rsid w:val="002817E2"/>
    <w:rsid w:val="002819A8"/>
    <w:rsid w:val="002838C8"/>
    <w:rsid w:val="00285376"/>
    <w:rsid w:val="00285431"/>
    <w:rsid w:val="00291216"/>
    <w:rsid w:val="00291395"/>
    <w:rsid w:val="00291FE5"/>
    <w:rsid w:val="002921DB"/>
    <w:rsid w:val="002923D1"/>
    <w:rsid w:val="00292E47"/>
    <w:rsid w:val="0029325D"/>
    <w:rsid w:val="00293C90"/>
    <w:rsid w:val="0029475B"/>
    <w:rsid w:val="00296019"/>
    <w:rsid w:val="00297373"/>
    <w:rsid w:val="002A044F"/>
    <w:rsid w:val="002A0CC8"/>
    <w:rsid w:val="002A2233"/>
    <w:rsid w:val="002A2900"/>
    <w:rsid w:val="002A363B"/>
    <w:rsid w:val="002A3FA6"/>
    <w:rsid w:val="002A4A66"/>
    <w:rsid w:val="002A575F"/>
    <w:rsid w:val="002A5DE6"/>
    <w:rsid w:val="002A5FD5"/>
    <w:rsid w:val="002A6063"/>
    <w:rsid w:val="002A6E3C"/>
    <w:rsid w:val="002B035A"/>
    <w:rsid w:val="002B1031"/>
    <w:rsid w:val="002B106A"/>
    <w:rsid w:val="002B1D59"/>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D6A"/>
    <w:rsid w:val="002D4783"/>
    <w:rsid w:val="002D4DC3"/>
    <w:rsid w:val="002D5CD7"/>
    <w:rsid w:val="002E24F5"/>
    <w:rsid w:val="002E58B7"/>
    <w:rsid w:val="002E5D2B"/>
    <w:rsid w:val="002E71DF"/>
    <w:rsid w:val="002E7DD3"/>
    <w:rsid w:val="002F0C65"/>
    <w:rsid w:val="002F0FFA"/>
    <w:rsid w:val="002F15F9"/>
    <w:rsid w:val="002F19AB"/>
    <w:rsid w:val="002F1CF3"/>
    <w:rsid w:val="002F2F56"/>
    <w:rsid w:val="002F3FBC"/>
    <w:rsid w:val="002F4364"/>
    <w:rsid w:val="002F4630"/>
    <w:rsid w:val="002F4B37"/>
    <w:rsid w:val="002F59E3"/>
    <w:rsid w:val="002F6471"/>
    <w:rsid w:val="002F7033"/>
    <w:rsid w:val="00300127"/>
    <w:rsid w:val="00300321"/>
    <w:rsid w:val="0030049F"/>
    <w:rsid w:val="0030204A"/>
    <w:rsid w:val="0030373B"/>
    <w:rsid w:val="00303CBB"/>
    <w:rsid w:val="00304B55"/>
    <w:rsid w:val="00306015"/>
    <w:rsid w:val="00306984"/>
    <w:rsid w:val="00306CA2"/>
    <w:rsid w:val="00306FAF"/>
    <w:rsid w:val="0030700A"/>
    <w:rsid w:val="00307B64"/>
    <w:rsid w:val="00310D60"/>
    <w:rsid w:val="003115D5"/>
    <w:rsid w:val="00311DC5"/>
    <w:rsid w:val="003133AB"/>
    <w:rsid w:val="003134A8"/>
    <w:rsid w:val="00313B86"/>
    <w:rsid w:val="00313F54"/>
    <w:rsid w:val="003149CC"/>
    <w:rsid w:val="00316033"/>
    <w:rsid w:val="00316310"/>
    <w:rsid w:val="00316DA6"/>
    <w:rsid w:val="00316E64"/>
    <w:rsid w:val="0031702C"/>
    <w:rsid w:val="003178E3"/>
    <w:rsid w:val="00320BB0"/>
    <w:rsid w:val="00320F6F"/>
    <w:rsid w:val="00321C39"/>
    <w:rsid w:val="00322F94"/>
    <w:rsid w:val="00327D01"/>
    <w:rsid w:val="00330481"/>
    <w:rsid w:val="0033159E"/>
    <w:rsid w:val="003316EF"/>
    <w:rsid w:val="003321A1"/>
    <w:rsid w:val="00332FCA"/>
    <w:rsid w:val="00333106"/>
    <w:rsid w:val="00333E24"/>
    <w:rsid w:val="0033401D"/>
    <w:rsid w:val="00334E55"/>
    <w:rsid w:val="00335384"/>
    <w:rsid w:val="003358ED"/>
    <w:rsid w:val="003359BC"/>
    <w:rsid w:val="003379BF"/>
    <w:rsid w:val="003379C5"/>
    <w:rsid w:val="00337D05"/>
    <w:rsid w:val="00340F7D"/>
    <w:rsid w:val="00341A45"/>
    <w:rsid w:val="003426E8"/>
    <w:rsid w:val="00342EBD"/>
    <w:rsid w:val="00343215"/>
    <w:rsid w:val="00343B19"/>
    <w:rsid w:val="00343C23"/>
    <w:rsid w:val="003441B3"/>
    <w:rsid w:val="00346875"/>
    <w:rsid w:val="003468CE"/>
    <w:rsid w:val="00346AA6"/>
    <w:rsid w:val="0034798D"/>
    <w:rsid w:val="00347B6E"/>
    <w:rsid w:val="00350BAD"/>
    <w:rsid w:val="00350BCD"/>
    <w:rsid w:val="00352F2C"/>
    <w:rsid w:val="00353881"/>
    <w:rsid w:val="00356B1A"/>
    <w:rsid w:val="00357509"/>
    <w:rsid w:val="0036263D"/>
    <w:rsid w:val="003636FF"/>
    <w:rsid w:val="00363D0C"/>
    <w:rsid w:val="00363EA8"/>
    <w:rsid w:val="003651F3"/>
    <w:rsid w:val="003657AD"/>
    <w:rsid w:val="00365CCD"/>
    <w:rsid w:val="0036697C"/>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7DE"/>
    <w:rsid w:val="00393A84"/>
    <w:rsid w:val="003947D4"/>
    <w:rsid w:val="00394BFB"/>
    <w:rsid w:val="0039528C"/>
    <w:rsid w:val="003956AA"/>
    <w:rsid w:val="003962F4"/>
    <w:rsid w:val="0039771D"/>
    <w:rsid w:val="003A1191"/>
    <w:rsid w:val="003A22CC"/>
    <w:rsid w:val="003A57D0"/>
    <w:rsid w:val="003A57E9"/>
    <w:rsid w:val="003A5D91"/>
    <w:rsid w:val="003A5F4C"/>
    <w:rsid w:val="003A5FC9"/>
    <w:rsid w:val="003B0D57"/>
    <w:rsid w:val="003B1CE3"/>
    <w:rsid w:val="003B1D40"/>
    <w:rsid w:val="003B3A96"/>
    <w:rsid w:val="003B47C6"/>
    <w:rsid w:val="003B5185"/>
    <w:rsid w:val="003B68D0"/>
    <w:rsid w:val="003B7F82"/>
    <w:rsid w:val="003C0875"/>
    <w:rsid w:val="003C0FB9"/>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CC7"/>
    <w:rsid w:val="003D5205"/>
    <w:rsid w:val="003D5BE8"/>
    <w:rsid w:val="003D6F7E"/>
    <w:rsid w:val="003D7639"/>
    <w:rsid w:val="003E1400"/>
    <w:rsid w:val="003E1747"/>
    <w:rsid w:val="003E1F3E"/>
    <w:rsid w:val="003E271F"/>
    <w:rsid w:val="003E28A9"/>
    <w:rsid w:val="003E28D4"/>
    <w:rsid w:val="003E4B2A"/>
    <w:rsid w:val="003E641D"/>
    <w:rsid w:val="003E6FC4"/>
    <w:rsid w:val="003F07F2"/>
    <w:rsid w:val="003F267B"/>
    <w:rsid w:val="003F26FE"/>
    <w:rsid w:val="003F34CF"/>
    <w:rsid w:val="003F3672"/>
    <w:rsid w:val="003F3D29"/>
    <w:rsid w:val="003F4002"/>
    <w:rsid w:val="003F4681"/>
    <w:rsid w:val="003F46AA"/>
    <w:rsid w:val="003F5A40"/>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6D5B"/>
    <w:rsid w:val="0040734F"/>
    <w:rsid w:val="004108AE"/>
    <w:rsid w:val="00411818"/>
    <w:rsid w:val="004127B1"/>
    <w:rsid w:val="00412AA2"/>
    <w:rsid w:val="00412E4D"/>
    <w:rsid w:val="004138EC"/>
    <w:rsid w:val="00413C25"/>
    <w:rsid w:val="00414479"/>
    <w:rsid w:val="004160B0"/>
    <w:rsid w:val="004165AA"/>
    <w:rsid w:val="004166E3"/>
    <w:rsid w:val="00417238"/>
    <w:rsid w:val="00417D8D"/>
    <w:rsid w:val="00417EFE"/>
    <w:rsid w:val="004204A0"/>
    <w:rsid w:val="0042066E"/>
    <w:rsid w:val="004209E0"/>
    <w:rsid w:val="00423A67"/>
    <w:rsid w:val="00423D42"/>
    <w:rsid w:val="004243E3"/>
    <w:rsid w:val="004259A9"/>
    <w:rsid w:val="00425B5A"/>
    <w:rsid w:val="00425B81"/>
    <w:rsid w:val="00425CFA"/>
    <w:rsid w:val="00425F00"/>
    <w:rsid w:val="00430573"/>
    <w:rsid w:val="004314E3"/>
    <w:rsid w:val="004317EB"/>
    <w:rsid w:val="00431B1B"/>
    <w:rsid w:val="00431D5F"/>
    <w:rsid w:val="00432532"/>
    <w:rsid w:val="004325EC"/>
    <w:rsid w:val="00435F33"/>
    <w:rsid w:val="00436307"/>
    <w:rsid w:val="00441911"/>
    <w:rsid w:val="00441917"/>
    <w:rsid w:val="00441E01"/>
    <w:rsid w:val="00441F8D"/>
    <w:rsid w:val="004436DE"/>
    <w:rsid w:val="00445A5B"/>
    <w:rsid w:val="00446E98"/>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3537"/>
    <w:rsid w:val="00484A3A"/>
    <w:rsid w:val="00485695"/>
    <w:rsid w:val="00485967"/>
    <w:rsid w:val="00486847"/>
    <w:rsid w:val="004868AB"/>
    <w:rsid w:val="00486931"/>
    <w:rsid w:val="00487123"/>
    <w:rsid w:val="0048736F"/>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13F3"/>
    <w:rsid w:val="004A381D"/>
    <w:rsid w:val="004A4FF1"/>
    <w:rsid w:val="004A62C0"/>
    <w:rsid w:val="004A647A"/>
    <w:rsid w:val="004A64BB"/>
    <w:rsid w:val="004A7365"/>
    <w:rsid w:val="004A7FCA"/>
    <w:rsid w:val="004B06D0"/>
    <w:rsid w:val="004B0E68"/>
    <w:rsid w:val="004B17EE"/>
    <w:rsid w:val="004B1C37"/>
    <w:rsid w:val="004B28C2"/>
    <w:rsid w:val="004B3282"/>
    <w:rsid w:val="004B3C4A"/>
    <w:rsid w:val="004B3FC9"/>
    <w:rsid w:val="004B4336"/>
    <w:rsid w:val="004B5E7F"/>
    <w:rsid w:val="004B61DD"/>
    <w:rsid w:val="004B629D"/>
    <w:rsid w:val="004C1089"/>
    <w:rsid w:val="004C12D6"/>
    <w:rsid w:val="004C266D"/>
    <w:rsid w:val="004C2727"/>
    <w:rsid w:val="004C2AF8"/>
    <w:rsid w:val="004C3B9E"/>
    <w:rsid w:val="004C3EEB"/>
    <w:rsid w:val="004C45E4"/>
    <w:rsid w:val="004C49F9"/>
    <w:rsid w:val="004C4C45"/>
    <w:rsid w:val="004C578C"/>
    <w:rsid w:val="004C770E"/>
    <w:rsid w:val="004C7BEE"/>
    <w:rsid w:val="004C7EBC"/>
    <w:rsid w:val="004D32FD"/>
    <w:rsid w:val="004D4A29"/>
    <w:rsid w:val="004D4E8A"/>
    <w:rsid w:val="004D5BAB"/>
    <w:rsid w:val="004D722D"/>
    <w:rsid w:val="004E2158"/>
    <w:rsid w:val="004E2D8A"/>
    <w:rsid w:val="004E36BF"/>
    <w:rsid w:val="004E3F1E"/>
    <w:rsid w:val="004E46F6"/>
    <w:rsid w:val="004E685F"/>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1D2F"/>
    <w:rsid w:val="00502FFE"/>
    <w:rsid w:val="00505A45"/>
    <w:rsid w:val="00505CCD"/>
    <w:rsid w:val="00507B3E"/>
    <w:rsid w:val="005107C5"/>
    <w:rsid w:val="00511696"/>
    <w:rsid w:val="00513A64"/>
    <w:rsid w:val="00514046"/>
    <w:rsid w:val="0051410A"/>
    <w:rsid w:val="0051440C"/>
    <w:rsid w:val="00515258"/>
    <w:rsid w:val="00515DF9"/>
    <w:rsid w:val="00517B50"/>
    <w:rsid w:val="00520623"/>
    <w:rsid w:val="00520F30"/>
    <w:rsid w:val="00521B09"/>
    <w:rsid w:val="00522CA1"/>
    <w:rsid w:val="005232D1"/>
    <w:rsid w:val="00524C37"/>
    <w:rsid w:val="00524C8B"/>
    <w:rsid w:val="005252BE"/>
    <w:rsid w:val="00526CED"/>
    <w:rsid w:val="005270A9"/>
    <w:rsid w:val="005276F3"/>
    <w:rsid w:val="00530253"/>
    <w:rsid w:val="005309D9"/>
    <w:rsid w:val="00531810"/>
    <w:rsid w:val="00531B24"/>
    <w:rsid w:val="00531D85"/>
    <w:rsid w:val="00531EE1"/>
    <w:rsid w:val="00532607"/>
    <w:rsid w:val="0053403F"/>
    <w:rsid w:val="00535653"/>
    <w:rsid w:val="00535F2A"/>
    <w:rsid w:val="005362A4"/>
    <w:rsid w:val="00540B18"/>
    <w:rsid w:val="005417CC"/>
    <w:rsid w:val="0054279A"/>
    <w:rsid w:val="005428C2"/>
    <w:rsid w:val="005437D1"/>
    <w:rsid w:val="005438B1"/>
    <w:rsid w:val="00546D8D"/>
    <w:rsid w:val="00547227"/>
    <w:rsid w:val="0054751B"/>
    <w:rsid w:val="00552723"/>
    <w:rsid w:val="00552DD1"/>
    <w:rsid w:val="005537D5"/>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FD8"/>
    <w:rsid w:val="005C65DD"/>
    <w:rsid w:val="005C6673"/>
    <w:rsid w:val="005C7F45"/>
    <w:rsid w:val="005D1453"/>
    <w:rsid w:val="005D1619"/>
    <w:rsid w:val="005D1F9B"/>
    <w:rsid w:val="005D2CA3"/>
    <w:rsid w:val="005D5BB7"/>
    <w:rsid w:val="005D6149"/>
    <w:rsid w:val="005D655F"/>
    <w:rsid w:val="005D6CDB"/>
    <w:rsid w:val="005D7292"/>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220F"/>
    <w:rsid w:val="00602CBE"/>
    <w:rsid w:val="00603649"/>
    <w:rsid w:val="006037C6"/>
    <w:rsid w:val="00604A3D"/>
    <w:rsid w:val="006056AC"/>
    <w:rsid w:val="006063E5"/>
    <w:rsid w:val="006102E0"/>
    <w:rsid w:val="00613F3B"/>
    <w:rsid w:val="00614339"/>
    <w:rsid w:val="006144AB"/>
    <w:rsid w:val="006146DE"/>
    <w:rsid w:val="00615672"/>
    <w:rsid w:val="0061649B"/>
    <w:rsid w:val="00616AA5"/>
    <w:rsid w:val="00617981"/>
    <w:rsid w:val="00617F27"/>
    <w:rsid w:val="0062028B"/>
    <w:rsid w:val="00624D80"/>
    <w:rsid w:val="006258AE"/>
    <w:rsid w:val="00627740"/>
    <w:rsid w:val="006304D1"/>
    <w:rsid w:val="00630C4A"/>
    <w:rsid w:val="00633C91"/>
    <w:rsid w:val="006341DD"/>
    <w:rsid w:val="0063454B"/>
    <w:rsid w:val="0063514F"/>
    <w:rsid w:val="00635778"/>
    <w:rsid w:val="006363D1"/>
    <w:rsid w:val="00636421"/>
    <w:rsid w:val="00637C18"/>
    <w:rsid w:val="0064100B"/>
    <w:rsid w:val="00642EEC"/>
    <w:rsid w:val="006446E6"/>
    <w:rsid w:val="00645185"/>
    <w:rsid w:val="00645A14"/>
    <w:rsid w:val="006469C6"/>
    <w:rsid w:val="006472D7"/>
    <w:rsid w:val="00647852"/>
    <w:rsid w:val="006521C6"/>
    <w:rsid w:val="00652EA6"/>
    <w:rsid w:val="00652FB0"/>
    <w:rsid w:val="006533AC"/>
    <w:rsid w:val="00654BA5"/>
    <w:rsid w:val="00655651"/>
    <w:rsid w:val="00655AEB"/>
    <w:rsid w:val="00656852"/>
    <w:rsid w:val="006570A3"/>
    <w:rsid w:val="006576B4"/>
    <w:rsid w:val="00657B60"/>
    <w:rsid w:val="0066032C"/>
    <w:rsid w:val="00660848"/>
    <w:rsid w:val="00660D80"/>
    <w:rsid w:val="0066402A"/>
    <w:rsid w:val="00664053"/>
    <w:rsid w:val="00664B55"/>
    <w:rsid w:val="00665233"/>
    <w:rsid w:val="00665B9F"/>
    <w:rsid w:val="00665C61"/>
    <w:rsid w:val="00670252"/>
    <w:rsid w:val="006704FA"/>
    <w:rsid w:val="006705C4"/>
    <w:rsid w:val="0067126B"/>
    <w:rsid w:val="006722B2"/>
    <w:rsid w:val="006737EC"/>
    <w:rsid w:val="00675B5D"/>
    <w:rsid w:val="00677560"/>
    <w:rsid w:val="00680170"/>
    <w:rsid w:val="006803DA"/>
    <w:rsid w:val="00680ADA"/>
    <w:rsid w:val="00681A87"/>
    <w:rsid w:val="00686268"/>
    <w:rsid w:val="00686BE5"/>
    <w:rsid w:val="00686E1B"/>
    <w:rsid w:val="006871B4"/>
    <w:rsid w:val="00690267"/>
    <w:rsid w:val="0069124D"/>
    <w:rsid w:val="00693B05"/>
    <w:rsid w:val="00693F79"/>
    <w:rsid w:val="00694500"/>
    <w:rsid w:val="0069482D"/>
    <w:rsid w:val="00696A6F"/>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05BA"/>
    <w:rsid w:val="006C1046"/>
    <w:rsid w:val="006C236E"/>
    <w:rsid w:val="006C29ED"/>
    <w:rsid w:val="006C2F49"/>
    <w:rsid w:val="006C436A"/>
    <w:rsid w:val="006C47EF"/>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4459"/>
    <w:rsid w:val="006F4CE7"/>
    <w:rsid w:val="006F54DD"/>
    <w:rsid w:val="006F79E5"/>
    <w:rsid w:val="006F7C3E"/>
    <w:rsid w:val="0070084C"/>
    <w:rsid w:val="007015BA"/>
    <w:rsid w:val="00703200"/>
    <w:rsid w:val="007034D7"/>
    <w:rsid w:val="00705A6C"/>
    <w:rsid w:val="00705BE1"/>
    <w:rsid w:val="00706857"/>
    <w:rsid w:val="007073DD"/>
    <w:rsid w:val="00710C4D"/>
    <w:rsid w:val="00711F53"/>
    <w:rsid w:val="0071279B"/>
    <w:rsid w:val="00712D3F"/>
    <w:rsid w:val="00713552"/>
    <w:rsid w:val="00713934"/>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75D3"/>
    <w:rsid w:val="007300FB"/>
    <w:rsid w:val="0073029D"/>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477DA"/>
    <w:rsid w:val="00751A3B"/>
    <w:rsid w:val="00751A74"/>
    <w:rsid w:val="007520AC"/>
    <w:rsid w:val="0075253D"/>
    <w:rsid w:val="00752604"/>
    <w:rsid w:val="007528AA"/>
    <w:rsid w:val="007543C0"/>
    <w:rsid w:val="00754492"/>
    <w:rsid w:val="00755F37"/>
    <w:rsid w:val="00757A2A"/>
    <w:rsid w:val="007603E6"/>
    <w:rsid w:val="00760B66"/>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7834"/>
    <w:rsid w:val="00780CBC"/>
    <w:rsid w:val="00780D38"/>
    <w:rsid w:val="00782D95"/>
    <w:rsid w:val="007832A4"/>
    <w:rsid w:val="007837D0"/>
    <w:rsid w:val="00783B96"/>
    <w:rsid w:val="00785CFD"/>
    <w:rsid w:val="00790382"/>
    <w:rsid w:val="00793C83"/>
    <w:rsid w:val="007945F6"/>
    <w:rsid w:val="00794A9D"/>
    <w:rsid w:val="0079529E"/>
    <w:rsid w:val="00796920"/>
    <w:rsid w:val="007A10A1"/>
    <w:rsid w:val="007A11D6"/>
    <w:rsid w:val="007A1213"/>
    <w:rsid w:val="007A29DE"/>
    <w:rsid w:val="007A5491"/>
    <w:rsid w:val="007A54B1"/>
    <w:rsid w:val="007A7B9A"/>
    <w:rsid w:val="007A7BD3"/>
    <w:rsid w:val="007B0209"/>
    <w:rsid w:val="007B0DA3"/>
    <w:rsid w:val="007B47EF"/>
    <w:rsid w:val="007C0EBD"/>
    <w:rsid w:val="007C17AC"/>
    <w:rsid w:val="007C1955"/>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BB1"/>
    <w:rsid w:val="007E36A2"/>
    <w:rsid w:val="007E4F64"/>
    <w:rsid w:val="007E5551"/>
    <w:rsid w:val="007E5A80"/>
    <w:rsid w:val="007F074F"/>
    <w:rsid w:val="007F208B"/>
    <w:rsid w:val="007F3169"/>
    <w:rsid w:val="007F4A87"/>
    <w:rsid w:val="007F4F34"/>
    <w:rsid w:val="007F59EE"/>
    <w:rsid w:val="007F60F1"/>
    <w:rsid w:val="00800250"/>
    <w:rsid w:val="00800813"/>
    <w:rsid w:val="0080127C"/>
    <w:rsid w:val="0080162C"/>
    <w:rsid w:val="008028E0"/>
    <w:rsid w:val="00802A1A"/>
    <w:rsid w:val="00805CE6"/>
    <w:rsid w:val="00806483"/>
    <w:rsid w:val="008073B1"/>
    <w:rsid w:val="00807721"/>
    <w:rsid w:val="008078FF"/>
    <w:rsid w:val="008100D3"/>
    <w:rsid w:val="0081114A"/>
    <w:rsid w:val="00811387"/>
    <w:rsid w:val="0081205B"/>
    <w:rsid w:val="00814A8D"/>
    <w:rsid w:val="00815707"/>
    <w:rsid w:val="00817AD8"/>
    <w:rsid w:val="0082018D"/>
    <w:rsid w:val="00820809"/>
    <w:rsid w:val="00820AA6"/>
    <w:rsid w:val="008213B0"/>
    <w:rsid w:val="00821DB9"/>
    <w:rsid w:val="0082218D"/>
    <w:rsid w:val="00822DFF"/>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5105E"/>
    <w:rsid w:val="00851C8C"/>
    <w:rsid w:val="00852128"/>
    <w:rsid w:val="00853804"/>
    <w:rsid w:val="008565C8"/>
    <w:rsid w:val="0086060F"/>
    <w:rsid w:val="00860F4E"/>
    <w:rsid w:val="008625B0"/>
    <w:rsid w:val="00862BDD"/>
    <w:rsid w:val="00862FE0"/>
    <w:rsid w:val="00863172"/>
    <w:rsid w:val="00863FC6"/>
    <w:rsid w:val="00864605"/>
    <w:rsid w:val="00867405"/>
    <w:rsid w:val="00867FB1"/>
    <w:rsid w:val="00871AE8"/>
    <w:rsid w:val="0087238B"/>
    <w:rsid w:val="00872594"/>
    <w:rsid w:val="0087266E"/>
    <w:rsid w:val="00873386"/>
    <w:rsid w:val="00875FE3"/>
    <w:rsid w:val="00876200"/>
    <w:rsid w:val="00880866"/>
    <w:rsid w:val="0088090E"/>
    <w:rsid w:val="00881D86"/>
    <w:rsid w:val="0088212F"/>
    <w:rsid w:val="008825F9"/>
    <w:rsid w:val="00883307"/>
    <w:rsid w:val="00883DCA"/>
    <w:rsid w:val="008841B5"/>
    <w:rsid w:val="00884423"/>
    <w:rsid w:val="00884F47"/>
    <w:rsid w:val="0089012F"/>
    <w:rsid w:val="00892D67"/>
    <w:rsid w:val="00893658"/>
    <w:rsid w:val="00893BBE"/>
    <w:rsid w:val="00894975"/>
    <w:rsid w:val="00894F34"/>
    <w:rsid w:val="008954CA"/>
    <w:rsid w:val="008967F2"/>
    <w:rsid w:val="00896A8F"/>
    <w:rsid w:val="00897194"/>
    <w:rsid w:val="00897996"/>
    <w:rsid w:val="008A0283"/>
    <w:rsid w:val="008A035D"/>
    <w:rsid w:val="008A03ED"/>
    <w:rsid w:val="008A0FB4"/>
    <w:rsid w:val="008A4CB2"/>
    <w:rsid w:val="008A537F"/>
    <w:rsid w:val="008A663D"/>
    <w:rsid w:val="008A72AE"/>
    <w:rsid w:val="008A7AF8"/>
    <w:rsid w:val="008B01C8"/>
    <w:rsid w:val="008B06DE"/>
    <w:rsid w:val="008B167C"/>
    <w:rsid w:val="008B1EEE"/>
    <w:rsid w:val="008B25F9"/>
    <w:rsid w:val="008B2F2A"/>
    <w:rsid w:val="008B38EE"/>
    <w:rsid w:val="008B64AE"/>
    <w:rsid w:val="008B69DD"/>
    <w:rsid w:val="008C013A"/>
    <w:rsid w:val="008C098B"/>
    <w:rsid w:val="008C1051"/>
    <w:rsid w:val="008C23BD"/>
    <w:rsid w:val="008C2548"/>
    <w:rsid w:val="008C34A6"/>
    <w:rsid w:val="008C3ACB"/>
    <w:rsid w:val="008C5152"/>
    <w:rsid w:val="008C547A"/>
    <w:rsid w:val="008C59E9"/>
    <w:rsid w:val="008C60CF"/>
    <w:rsid w:val="008C6C85"/>
    <w:rsid w:val="008C7989"/>
    <w:rsid w:val="008D0CE4"/>
    <w:rsid w:val="008D280D"/>
    <w:rsid w:val="008D3503"/>
    <w:rsid w:val="008D43B0"/>
    <w:rsid w:val="008D5AC4"/>
    <w:rsid w:val="008D7F0B"/>
    <w:rsid w:val="008E007A"/>
    <w:rsid w:val="008E0D74"/>
    <w:rsid w:val="008E14DC"/>
    <w:rsid w:val="008E1CD7"/>
    <w:rsid w:val="008E41EC"/>
    <w:rsid w:val="008E515C"/>
    <w:rsid w:val="008E7341"/>
    <w:rsid w:val="008E742A"/>
    <w:rsid w:val="008F29EF"/>
    <w:rsid w:val="008F4140"/>
    <w:rsid w:val="008F4BF8"/>
    <w:rsid w:val="008F5285"/>
    <w:rsid w:val="008F7014"/>
    <w:rsid w:val="008F7B84"/>
    <w:rsid w:val="008F7FD2"/>
    <w:rsid w:val="008F7FFA"/>
    <w:rsid w:val="0090100F"/>
    <w:rsid w:val="00901F72"/>
    <w:rsid w:val="00902083"/>
    <w:rsid w:val="0090293D"/>
    <w:rsid w:val="009029FB"/>
    <w:rsid w:val="0090341E"/>
    <w:rsid w:val="00903559"/>
    <w:rsid w:val="0090459F"/>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2A78"/>
    <w:rsid w:val="009639B7"/>
    <w:rsid w:val="0096544C"/>
    <w:rsid w:val="00970941"/>
    <w:rsid w:val="00971125"/>
    <w:rsid w:val="0097297E"/>
    <w:rsid w:val="00972FAF"/>
    <w:rsid w:val="00973C36"/>
    <w:rsid w:val="00973EE5"/>
    <w:rsid w:val="009742CE"/>
    <w:rsid w:val="009759CC"/>
    <w:rsid w:val="0097646C"/>
    <w:rsid w:val="00976577"/>
    <w:rsid w:val="00980C47"/>
    <w:rsid w:val="0098294D"/>
    <w:rsid w:val="00985553"/>
    <w:rsid w:val="00987239"/>
    <w:rsid w:val="00990166"/>
    <w:rsid w:val="00990A4B"/>
    <w:rsid w:val="009916A5"/>
    <w:rsid w:val="009928B1"/>
    <w:rsid w:val="00993C31"/>
    <w:rsid w:val="00993C3C"/>
    <w:rsid w:val="00993DFE"/>
    <w:rsid w:val="00994DA8"/>
    <w:rsid w:val="00994F34"/>
    <w:rsid w:val="00995B67"/>
    <w:rsid w:val="00997D43"/>
    <w:rsid w:val="009A0DA2"/>
    <w:rsid w:val="009A1073"/>
    <w:rsid w:val="009A1B02"/>
    <w:rsid w:val="009A1DFD"/>
    <w:rsid w:val="009A4F20"/>
    <w:rsid w:val="009A6B37"/>
    <w:rsid w:val="009B00CC"/>
    <w:rsid w:val="009B0BD9"/>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707"/>
    <w:rsid w:val="009F00CD"/>
    <w:rsid w:val="009F018A"/>
    <w:rsid w:val="009F0254"/>
    <w:rsid w:val="009F0F32"/>
    <w:rsid w:val="009F1ABB"/>
    <w:rsid w:val="009F3EDD"/>
    <w:rsid w:val="009F552B"/>
    <w:rsid w:val="009F5DB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6237"/>
    <w:rsid w:val="00A36339"/>
    <w:rsid w:val="00A36F12"/>
    <w:rsid w:val="00A370F1"/>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D6F"/>
    <w:rsid w:val="00A57FED"/>
    <w:rsid w:val="00A61CA2"/>
    <w:rsid w:val="00A63CEC"/>
    <w:rsid w:val="00A64B0B"/>
    <w:rsid w:val="00A65F25"/>
    <w:rsid w:val="00A663DD"/>
    <w:rsid w:val="00A6664A"/>
    <w:rsid w:val="00A66CB0"/>
    <w:rsid w:val="00A6736C"/>
    <w:rsid w:val="00A722E3"/>
    <w:rsid w:val="00A7267A"/>
    <w:rsid w:val="00A73213"/>
    <w:rsid w:val="00A734ED"/>
    <w:rsid w:val="00A737E7"/>
    <w:rsid w:val="00A742FE"/>
    <w:rsid w:val="00A74EE8"/>
    <w:rsid w:val="00A758F6"/>
    <w:rsid w:val="00A760E6"/>
    <w:rsid w:val="00A768BE"/>
    <w:rsid w:val="00A77D00"/>
    <w:rsid w:val="00A804F9"/>
    <w:rsid w:val="00A808A4"/>
    <w:rsid w:val="00A80E21"/>
    <w:rsid w:val="00A8220F"/>
    <w:rsid w:val="00A826CA"/>
    <w:rsid w:val="00A82EED"/>
    <w:rsid w:val="00A834A0"/>
    <w:rsid w:val="00A84355"/>
    <w:rsid w:val="00A84652"/>
    <w:rsid w:val="00A85C8D"/>
    <w:rsid w:val="00A865D9"/>
    <w:rsid w:val="00A869E7"/>
    <w:rsid w:val="00A86E6B"/>
    <w:rsid w:val="00A86ECA"/>
    <w:rsid w:val="00A9071C"/>
    <w:rsid w:val="00A91962"/>
    <w:rsid w:val="00A91B66"/>
    <w:rsid w:val="00A9316A"/>
    <w:rsid w:val="00A938B4"/>
    <w:rsid w:val="00A94134"/>
    <w:rsid w:val="00A94F3C"/>
    <w:rsid w:val="00A956E1"/>
    <w:rsid w:val="00A97894"/>
    <w:rsid w:val="00AA1A4E"/>
    <w:rsid w:val="00AA2F67"/>
    <w:rsid w:val="00AA2FDD"/>
    <w:rsid w:val="00AA3200"/>
    <w:rsid w:val="00AA325F"/>
    <w:rsid w:val="00AA43B2"/>
    <w:rsid w:val="00AA54D9"/>
    <w:rsid w:val="00AA692E"/>
    <w:rsid w:val="00AB108F"/>
    <w:rsid w:val="00AB43F6"/>
    <w:rsid w:val="00AB4864"/>
    <w:rsid w:val="00AB4A58"/>
    <w:rsid w:val="00AB5FF6"/>
    <w:rsid w:val="00AB6C41"/>
    <w:rsid w:val="00AC05FC"/>
    <w:rsid w:val="00AC0ED1"/>
    <w:rsid w:val="00AC1805"/>
    <w:rsid w:val="00AC239E"/>
    <w:rsid w:val="00AC35CC"/>
    <w:rsid w:val="00AC4226"/>
    <w:rsid w:val="00AC445F"/>
    <w:rsid w:val="00AC647E"/>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501D"/>
    <w:rsid w:val="00AE6CF0"/>
    <w:rsid w:val="00AE7F6E"/>
    <w:rsid w:val="00AF1477"/>
    <w:rsid w:val="00AF1EAC"/>
    <w:rsid w:val="00AF1F4D"/>
    <w:rsid w:val="00AF2437"/>
    <w:rsid w:val="00AF2A88"/>
    <w:rsid w:val="00AF39FD"/>
    <w:rsid w:val="00AF3AC0"/>
    <w:rsid w:val="00AF41EE"/>
    <w:rsid w:val="00AF4623"/>
    <w:rsid w:val="00AF4EB0"/>
    <w:rsid w:val="00AF5DB7"/>
    <w:rsid w:val="00AF7A77"/>
    <w:rsid w:val="00B01371"/>
    <w:rsid w:val="00B01A43"/>
    <w:rsid w:val="00B02A5B"/>
    <w:rsid w:val="00B04E38"/>
    <w:rsid w:val="00B06878"/>
    <w:rsid w:val="00B1301E"/>
    <w:rsid w:val="00B1425E"/>
    <w:rsid w:val="00B20759"/>
    <w:rsid w:val="00B20ABD"/>
    <w:rsid w:val="00B24395"/>
    <w:rsid w:val="00B24468"/>
    <w:rsid w:val="00B24735"/>
    <w:rsid w:val="00B248C9"/>
    <w:rsid w:val="00B24971"/>
    <w:rsid w:val="00B24C18"/>
    <w:rsid w:val="00B24D6D"/>
    <w:rsid w:val="00B24E04"/>
    <w:rsid w:val="00B26FD3"/>
    <w:rsid w:val="00B26FD5"/>
    <w:rsid w:val="00B3034F"/>
    <w:rsid w:val="00B3102B"/>
    <w:rsid w:val="00B3444B"/>
    <w:rsid w:val="00B3467B"/>
    <w:rsid w:val="00B36251"/>
    <w:rsid w:val="00B37BBC"/>
    <w:rsid w:val="00B37E3C"/>
    <w:rsid w:val="00B407CD"/>
    <w:rsid w:val="00B40A97"/>
    <w:rsid w:val="00B4125F"/>
    <w:rsid w:val="00B417C8"/>
    <w:rsid w:val="00B4205B"/>
    <w:rsid w:val="00B436D9"/>
    <w:rsid w:val="00B43D82"/>
    <w:rsid w:val="00B45457"/>
    <w:rsid w:val="00B45551"/>
    <w:rsid w:val="00B45600"/>
    <w:rsid w:val="00B45BCE"/>
    <w:rsid w:val="00B469D8"/>
    <w:rsid w:val="00B4730E"/>
    <w:rsid w:val="00B47865"/>
    <w:rsid w:val="00B5060D"/>
    <w:rsid w:val="00B51EBD"/>
    <w:rsid w:val="00B54144"/>
    <w:rsid w:val="00B5660B"/>
    <w:rsid w:val="00B567C9"/>
    <w:rsid w:val="00B57138"/>
    <w:rsid w:val="00B605E7"/>
    <w:rsid w:val="00B60832"/>
    <w:rsid w:val="00B60FE8"/>
    <w:rsid w:val="00B62176"/>
    <w:rsid w:val="00B6330A"/>
    <w:rsid w:val="00B63C30"/>
    <w:rsid w:val="00B654EB"/>
    <w:rsid w:val="00B6636F"/>
    <w:rsid w:val="00B6663F"/>
    <w:rsid w:val="00B6667B"/>
    <w:rsid w:val="00B720D6"/>
    <w:rsid w:val="00B75405"/>
    <w:rsid w:val="00B81254"/>
    <w:rsid w:val="00B83853"/>
    <w:rsid w:val="00B85FF6"/>
    <w:rsid w:val="00B876A0"/>
    <w:rsid w:val="00B9001E"/>
    <w:rsid w:val="00B90308"/>
    <w:rsid w:val="00B903D0"/>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A18"/>
    <w:rsid w:val="00BE3ADB"/>
    <w:rsid w:val="00BE44BC"/>
    <w:rsid w:val="00BE4A78"/>
    <w:rsid w:val="00BE5F48"/>
    <w:rsid w:val="00BF0A3D"/>
    <w:rsid w:val="00BF1198"/>
    <w:rsid w:val="00BF3151"/>
    <w:rsid w:val="00BF3FAB"/>
    <w:rsid w:val="00BF408B"/>
    <w:rsid w:val="00BF59D0"/>
    <w:rsid w:val="00BF69CB"/>
    <w:rsid w:val="00BF7E3C"/>
    <w:rsid w:val="00C00B64"/>
    <w:rsid w:val="00C034FF"/>
    <w:rsid w:val="00C045ED"/>
    <w:rsid w:val="00C04692"/>
    <w:rsid w:val="00C046E2"/>
    <w:rsid w:val="00C11C42"/>
    <w:rsid w:val="00C1351F"/>
    <w:rsid w:val="00C15128"/>
    <w:rsid w:val="00C15DDB"/>
    <w:rsid w:val="00C169C6"/>
    <w:rsid w:val="00C16AD5"/>
    <w:rsid w:val="00C17C2B"/>
    <w:rsid w:val="00C20056"/>
    <w:rsid w:val="00C219E3"/>
    <w:rsid w:val="00C226B4"/>
    <w:rsid w:val="00C249B3"/>
    <w:rsid w:val="00C2561D"/>
    <w:rsid w:val="00C25F52"/>
    <w:rsid w:val="00C26B77"/>
    <w:rsid w:val="00C27023"/>
    <w:rsid w:val="00C27BE9"/>
    <w:rsid w:val="00C305A7"/>
    <w:rsid w:val="00C31496"/>
    <w:rsid w:val="00C31DEF"/>
    <w:rsid w:val="00C3430C"/>
    <w:rsid w:val="00C34949"/>
    <w:rsid w:val="00C34B4C"/>
    <w:rsid w:val="00C35895"/>
    <w:rsid w:val="00C365E7"/>
    <w:rsid w:val="00C40139"/>
    <w:rsid w:val="00C40D07"/>
    <w:rsid w:val="00C4168A"/>
    <w:rsid w:val="00C41B9A"/>
    <w:rsid w:val="00C41D2B"/>
    <w:rsid w:val="00C42EAE"/>
    <w:rsid w:val="00C43D01"/>
    <w:rsid w:val="00C43E48"/>
    <w:rsid w:val="00C449B9"/>
    <w:rsid w:val="00C44B51"/>
    <w:rsid w:val="00C45B0A"/>
    <w:rsid w:val="00C46472"/>
    <w:rsid w:val="00C4650A"/>
    <w:rsid w:val="00C469C7"/>
    <w:rsid w:val="00C46B05"/>
    <w:rsid w:val="00C47AD4"/>
    <w:rsid w:val="00C50822"/>
    <w:rsid w:val="00C51184"/>
    <w:rsid w:val="00C524D8"/>
    <w:rsid w:val="00C52BC3"/>
    <w:rsid w:val="00C5569C"/>
    <w:rsid w:val="00C56047"/>
    <w:rsid w:val="00C56C41"/>
    <w:rsid w:val="00C56D2A"/>
    <w:rsid w:val="00C56E4D"/>
    <w:rsid w:val="00C56E96"/>
    <w:rsid w:val="00C57117"/>
    <w:rsid w:val="00C57325"/>
    <w:rsid w:val="00C57F9D"/>
    <w:rsid w:val="00C602A0"/>
    <w:rsid w:val="00C60802"/>
    <w:rsid w:val="00C60D6E"/>
    <w:rsid w:val="00C61723"/>
    <w:rsid w:val="00C62D73"/>
    <w:rsid w:val="00C6467F"/>
    <w:rsid w:val="00C65E55"/>
    <w:rsid w:val="00C706E2"/>
    <w:rsid w:val="00C71BF6"/>
    <w:rsid w:val="00C72D93"/>
    <w:rsid w:val="00C74416"/>
    <w:rsid w:val="00C74436"/>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B7A"/>
    <w:rsid w:val="00CA0651"/>
    <w:rsid w:val="00CA09CA"/>
    <w:rsid w:val="00CA12D2"/>
    <w:rsid w:val="00CA24FE"/>
    <w:rsid w:val="00CA3828"/>
    <w:rsid w:val="00CA61C9"/>
    <w:rsid w:val="00CA7D2C"/>
    <w:rsid w:val="00CB079B"/>
    <w:rsid w:val="00CB1744"/>
    <w:rsid w:val="00CB1885"/>
    <w:rsid w:val="00CB28C6"/>
    <w:rsid w:val="00CB298C"/>
    <w:rsid w:val="00CB2B49"/>
    <w:rsid w:val="00CB4AC9"/>
    <w:rsid w:val="00CB610F"/>
    <w:rsid w:val="00CB71ED"/>
    <w:rsid w:val="00CB731D"/>
    <w:rsid w:val="00CB7EFB"/>
    <w:rsid w:val="00CC0256"/>
    <w:rsid w:val="00CC14FA"/>
    <w:rsid w:val="00CC1735"/>
    <w:rsid w:val="00CC263F"/>
    <w:rsid w:val="00CC4376"/>
    <w:rsid w:val="00CC43BA"/>
    <w:rsid w:val="00CC4942"/>
    <w:rsid w:val="00CC51AC"/>
    <w:rsid w:val="00CC5FB3"/>
    <w:rsid w:val="00CC66D4"/>
    <w:rsid w:val="00CC6B9E"/>
    <w:rsid w:val="00CC7058"/>
    <w:rsid w:val="00CD0B4C"/>
    <w:rsid w:val="00CD1620"/>
    <w:rsid w:val="00CD2094"/>
    <w:rsid w:val="00CD25FB"/>
    <w:rsid w:val="00CD2E5E"/>
    <w:rsid w:val="00CD2EBC"/>
    <w:rsid w:val="00CD3038"/>
    <w:rsid w:val="00CD3213"/>
    <w:rsid w:val="00CD5264"/>
    <w:rsid w:val="00CD55C2"/>
    <w:rsid w:val="00CD5777"/>
    <w:rsid w:val="00CD5C5A"/>
    <w:rsid w:val="00CD60C8"/>
    <w:rsid w:val="00CD6ABC"/>
    <w:rsid w:val="00CD7C92"/>
    <w:rsid w:val="00CE0F80"/>
    <w:rsid w:val="00CE1DC1"/>
    <w:rsid w:val="00CE2057"/>
    <w:rsid w:val="00CE4074"/>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058BD"/>
    <w:rsid w:val="00D10A81"/>
    <w:rsid w:val="00D1187B"/>
    <w:rsid w:val="00D1213F"/>
    <w:rsid w:val="00D14F87"/>
    <w:rsid w:val="00D16A1F"/>
    <w:rsid w:val="00D16BF5"/>
    <w:rsid w:val="00D17B87"/>
    <w:rsid w:val="00D20333"/>
    <w:rsid w:val="00D20D19"/>
    <w:rsid w:val="00D227B6"/>
    <w:rsid w:val="00D243FB"/>
    <w:rsid w:val="00D27091"/>
    <w:rsid w:val="00D27E58"/>
    <w:rsid w:val="00D30561"/>
    <w:rsid w:val="00D30EFD"/>
    <w:rsid w:val="00D31393"/>
    <w:rsid w:val="00D31E75"/>
    <w:rsid w:val="00D31FA3"/>
    <w:rsid w:val="00D34F0D"/>
    <w:rsid w:val="00D35483"/>
    <w:rsid w:val="00D35FD0"/>
    <w:rsid w:val="00D36592"/>
    <w:rsid w:val="00D373E2"/>
    <w:rsid w:val="00D426CF"/>
    <w:rsid w:val="00D43849"/>
    <w:rsid w:val="00D45B65"/>
    <w:rsid w:val="00D465AE"/>
    <w:rsid w:val="00D50E47"/>
    <w:rsid w:val="00D5241D"/>
    <w:rsid w:val="00D528B4"/>
    <w:rsid w:val="00D52B86"/>
    <w:rsid w:val="00D52C6A"/>
    <w:rsid w:val="00D5302E"/>
    <w:rsid w:val="00D5397A"/>
    <w:rsid w:val="00D5408B"/>
    <w:rsid w:val="00D54D91"/>
    <w:rsid w:val="00D55265"/>
    <w:rsid w:val="00D55ECC"/>
    <w:rsid w:val="00D566DB"/>
    <w:rsid w:val="00D57085"/>
    <w:rsid w:val="00D57C74"/>
    <w:rsid w:val="00D57E92"/>
    <w:rsid w:val="00D60710"/>
    <w:rsid w:val="00D61261"/>
    <w:rsid w:val="00D61C0A"/>
    <w:rsid w:val="00D623D6"/>
    <w:rsid w:val="00D627FC"/>
    <w:rsid w:val="00D62C52"/>
    <w:rsid w:val="00D630A8"/>
    <w:rsid w:val="00D6395F"/>
    <w:rsid w:val="00D674E3"/>
    <w:rsid w:val="00D67C08"/>
    <w:rsid w:val="00D71194"/>
    <w:rsid w:val="00D71CF0"/>
    <w:rsid w:val="00D720C3"/>
    <w:rsid w:val="00D746DC"/>
    <w:rsid w:val="00D75240"/>
    <w:rsid w:val="00D756DA"/>
    <w:rsid w:val="00D769B6"/>
    <w:rsid w:val="00D769C3"/>
    <w:rsid w:val="00D80AD5"/>
    <w:rsid w:val="00D80DE9"/>
    <w:rsid w:val="00D84C53"/>
    <w:rsid w:val="00D850E3"/>
    <w:rsid w:val="00D856FF"/>
    <w:rsid w:val="00D863C8"/>
    <w:rsid w:val="00D8667D"/>
    <w:rsid w:val="00D87833"/>
    <w:rsid w:val="00D87E7B"/>
    <w:rsid w:val="00D9127D"/>
    <w:rsid w:val="00D93783"/>
    <w:rsid w:val="00D97407"/>
    <w:rsid w:val="00D97CA2"/>
    <w:rsid w:val="00DA0964"/>
    <w:rsid w:val="00DA0F83"/>
    <w:rsid w:val="00DA11D5"/>
    <w:rsid w:val="00DA1335"/>
    <w:rsid w:val="00DA16BB"/>
    <w:rsid w:val="00DA3F34"/>
    <w:rsid w:val="00DA49D1"/>
    <w:rsid w:val="00DA4B91"/>
    <w:rsid w:val="00DA528D"/>
    <w:rsid w:val="00DA5421"/>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5FAE"/>
    <w:rsid w:val="00DC68F8"/>
    <w:rsid w:val="00DD12AC"/>
    <w:rsid w:val="00DD1970"/>
    <w:rsid w:val="00DD258E"/>
    <w:rsid w:val="00DD2F67"/>
    <w:rsid w:val="00DD4F95"/>
    <w:rsid w:val="00DD7E51"/>
    <w:rsid w:val="00DE0A4C"/>
    <w:rsid w:val="00DE1131"/>
    <w:rsid w:val="00DE1188"/>
    <w:rsid w:val="00DE1773"/>
    <w:rsid w:val="00DE5B3B"/>
    <w:rsid w:val="00DE5F8E"/>
    <w:rsid w:val="00DE616F"/>
    <w:rsid w:val="00DE6B6D"/>
    <w:rsid w:val="00DE71C6"/>
    <w:rsid w:val="00DE746B"/>
    <w:rsid w:val="00DF08EE"/>
    <w:rsid w:val="00DF2073"/>
    <w:rsid w:val="00DF2197"/>
    <w:rsid w:val="00DF4EA4"/>
    <w:rsid w:val="00DF5E42"/>
    <w:rsid w:val="00DF6F29"/>
    <w:rsid w:val="00DF7502"/>
    <w:rsid w:val="00DF7A59"/>
    <w:rsid w:val="00DF7BE7"/>
    <w:rsid w:val="00E026AC"/>
    <w:rsid w:val="00E02C6E"/>
    <w:rsid w:val="00E02F13"/>
    <w:rsid w:val="00E039E6"/>
    <w:rsid w:val="00E05013"/>
    <w:rsid w:val="00E05993"/>
    <w:rsid w:val="00E06C53"/>
    <w:rsid w:val="00E07C75"/>
    <w:rsid w:val="00E106CB"/>
    <w:rsid w:val="00E10A0F"/>
    <w:rsid w:val="00E1113F"/>
    <w:rsid w:val="00E11187"/>
    <w:rsid w:val="00E118F2"/>
    <w:rsid w:val="00E11AAA"/>
    <w:rsid w:val="00E12C52"/>
    <w:rsid w:val="00E13A00"/>
    <w:rsid w:val="00E1507E"/>
    <w:rsid w:val="00E17B23"/>
    <w:rsid w:val="00E210A3"/>
    <w:rsid w:val="00E2151B"/>
    <w:rsid w:val="00E21CC7"/>
    <w:rsid w:val="00E22807"/>
    <w:rsid w:val="00E229E2"/>
    <w:rsid w:val="00E243CF"/>
    <w:rsid w:val="00E262D6"/>
    <w:rsid w:val="00E2682C"/>
    <w:rsid w:val="00E26EED"/>
    <w:rsid w:val="00E3050D"/>
    <w:rsid w:val="00E30568"/>
    <w:rsid w:val="00E30ABB"/>
    <w:rsid w:val="00E31B54"/>
    <w:rsid w:val="00E31D8B"/>
    <w:rsid w:val="00E329EA"/>
    <w:rsid w:val="00E335C1"/>
    <w:rsid w:val="00E33B33"/>
    <w:rsid w:val="00E34286"/>
    <w:rsid w:val="00E407D6"/>
    <w:rsid w:val="00E409FD"/>
    <w:rsid w:val="00E41FE5"/>
    <w:rsid w:val="00E457F7"/>
    <w:rsid w:val="00E471D3"/>
    <w:rsid w:val="00E50D99"/>
    <w:rsid w:val="00E5379F"/>
    <w:rsid w:val="00E55556"/>
    <w:rsid w:val="00E605E3"/>
    <w:rsid w:val="00E605E6"/>
    <w:rsid w:val="00E60D1B"/>
    <w:rsid w:val="00E62F36"/>
    <w:rsid w:val="00E63DB6"/>
    <w:rsid w:val="00E65798"/>
    <w:rsid w:val="00E65A19"/>
    <w:rsid w:val="00E67D1C"/>
    <w:rsid w:val="00E70756"/>
    <w:rsid w:val="00E719C1"/>
    <w:rsid w:val="00E732EB"/>
    <w:rsid w:val="00E74BD6"/>
    <w:rsid w:val="00E75156"/>
    <w:rsid w:val="00E761C4"/>
    <w:rsid w:val="00E77AD5"/>
    <w:rsid w:val="00E77DB5"/>
    <w:rsid w:val="00E77E98"/>
    <w:rsid w:val="00E800BA"/>
    <w:rsid w:val="00E810FD"/>
    <w:rsid w:val="00E81121"/>
    <w:rsid w:val="00E827DF"/>
    <w:rsid w:val="00E82CC2"/>
    <w:rsid w:val="00E847FA"/>
    <w:rsid w:val="00E85DFD"/>
    <w:rsid w:val="00E864C2"/>
    <w:rsid w:val="00E86D85"/>
    <w:rsid w:val="00E8730E"/>
    <w:rsid w:val="00E87942"/>
    <w:rsid w:val="00E927AE"/>
    <w:rsid w:val="00E9407C"/>
    <w:rsid w:val="00E94853"/>
    <w:rsid w:val="00E96F38"/>
    <w:rsid w:val="00E97D11"/>
    <w:rsid w:val="00E97D90"/>
    <w:rsid w:val="00EA05FD"/>
    <w:rsid w:val="00EA0DA7"/>
    <w:rsid w:val="00EA3A85"/>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250"/>
    <w:rsid w:val="00EC02AA"/>
    <w:rsid w:val="00EC0374"/>
    <w:rsid w:val="00EC15C1"/>
    <w:rsid w:val="00EC1698"/>
    <w:rsid w:val="00EC4D7E"/>
    <w:rsid w:val="00EC53CE"/>
    <w:rsid w:val="00EC5692"/>
    <w:rsid w:val="00EC6333"/>
    <w:rsid w:val="00EC6AC9"/>
    <w:rsid w:val="00ED0A91"/>
    <w:rsid w:val="00ED1B93"/>
    <w:rsid w:val="00ED1F45"/>
    <w:rsid w:val="00ED2168"/>
    <w:rsid w:val="00ED4133"/>
    <w:rsid w:val="00ED4679"/>
    <w:rsid w:val="00ED4D04"/>
    <w:rsid w:val="00EE2521"/>
    <w:rsid w:val="00EE25C7"/>
    <w:rsid w:val="00EE2B9C"/>
    <w:rsid w:val="00EE4C2C"/>
    <w:rsid w:val="00EE51B8"/>
    <w:rsid w:val="00EE54EF"/>
    <w:rsid w:val="00EE6065"/>
    <w:rsid w:val="00EE61C2"/>
    <w:rsid w:val="00EE642C"/>
    <w:rsid w:val="00EE69A3"/>
    <w:rsid w:val="00EE6AA5"/>
    <w:rsid w:val="00EF095B"/>
    <w:rsid w:val="00EF1FB8"/>
    <w:rsid w:val="00EF567D"/>
    <w:rsid w:val="00EF59BB"/>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659"/>
    <w:rsid w:val="00F17A22"/>
    <w:rsid w:val="00F205BC"/>
    <w:rsid w:val="00F21B01"/>
    <w:rsid w:val="00F234F8"/>
    <w:rsid w:val="00F2696F"/>
    <w:rsid w:val="00F2765A"/>
    <w:rsid w:val="00F27F73"/>
    <w:rsid w:val="00F33B46"/>
    <w:rsid w:val="00F34F81"/>
    <w:rsid w:val="00F3554E"/>
    <w:rsid w:val="00F36C6A"/>
    <w:rsid w:val="00F37878"/>
    <w:rsid w:val="00F378E3"/>
    <w:rsid w:val="00F37AC3"/>
    <w:rsid w:val="00F42B9C"/>
    <w:rsid w:val="00F42CA1"/>
    <w:rsid w:val="00F43065"/>
    <w:rsid w:val="00F4474D"/>
    <w:rsid w:val="00F45603"/>
    <w:rsid w:val="00F463B8"/>
    <w:rsid w:val="00F46D98"/>
    <w:rsid w:val="00F47608"/>
    <w:rsid w:val="00F47CE2"/>
    <w:rsid w:val="00F50F15"/>
    <w:rsid w:val="00F5210E"/>
    <w:rsid w:val="00F522CD"/>
    <w:rsid w:val="00F5370E"/>
    <w:rsid w:val="00F53854"/>
    <w:rsid w:val="00F53BB2"/>
    <w:rsid w:val="00F53D0A"/>
    <w:rsid w:val="00F55685"/>
    <w:rsid w:val="00F56BE7"/>
    <w:rsid w:val="00F57373"/>
    <w:rsid w:val="00F57700"/>
    <w:rsid w:val="00F60167"/>
    <w:rsid w:val="00F647F6"/>
    <w:rsid w:val="00F65212"/>
    <w:rsid w:val="00F65673"/>
    <w:rsid w:val="00F66B28"/>
    <w:rsid w:val="00F67026"/>
    <w:rsid w:val="00F67C70"/>
    <w:rsid w:val="00F701A0"/>
    <w:rsid w:val="00F70378"/>
    <w:rsid w:val="00F7197E"/>
    <w:rsid w:val="00F72C81"/>
    <w:rsid w:val="00F732F9"/>
    <w:rsid w:val="00F7498D"/>
    <w:rsid w:val="00F7611C"/>
    <w:rsid w:val="00F76619"/>
    <w:rsid w:val="00F77A4C"/>
    <w:rsid w:val="00F77B20"/>
    <w:rsid w:val="00F8038E"/>
    <w:rsid w:val="00F8185A"/>
    <w:rsid w:val="00F82378"/>
    <w:rsid w:val="00F82BF8"/>
    <w:rsid w:val="00F82DAC"/>
    <w:rsid w:val="00F83B22"/>
    <w:rsid w:val="00F844B2"/>
    <w:rsid w:val="00F84F0A"/>
    <w:rsid w:val="00F857A8"/>
    <w:rsid w:val="00F85C18"/>
    <w:rsid w:val="00F861EC"/>
    <w:rsid w:val="00F8666B"/>
    <w:rsid w:val="00F87A5C"/>
    <w:rsid w:val="00F90667"/>
    <w:rsid w:val="00F938D7"/>
    <w:rsid w:val="00F9427E"/>
    <w:rsid w:val="00F94555"/>
    <w:rsid w:val="00F95326"/>
    <w:rsid w:val="00F9571B"/>
    <w:rsid w:val="00F96DBD"/>
    <w:rsid w:val="00F97A50"/>
    <w:rsid w:val="00F97B87"/>
    <w:rsid w:val="00FA021B"/>
    <w:rsid w:val="00FA164E"/>
    <w:rsid w:val="00FA2DA3"/>
    <w:rsid w:val="00FA2E5B"/>
    <w:rsid w:val="00FA34FC"/>
    <w:rsid w:val="00FA3B9E"/>
    <w:rsid w:val="00FA6076"/>
    <w:rsid w:val="00FA62F6"/>
    <w:rsid w:val="00FA733A"/>
    <w:rsid w:val="00FA7BE9"/>
    <w:rsid w:val="00FB1CCB"/>
    <w:rsid w:val="00FB1D9A"/>
    <w:rsid w:val="00FB3861"/>
    <w:rsid w:val="00FB39B6"/>
    <w:rsid w:val="00FB4A8B"/>
    <w:rsid w:val="00FB67E3"/>
    <w:rsid w:val="00FB698D"/>
    <w:rsid w:val="00FC13E4"/>
    <w:rsid w:val="00FC1F2B"/>
    <w:rsid w:val="00FC2410"/>
    <w:rsid w:val="00FC327D"/>
    <w:rsid w:val="00FC4E26"/>
    <w:rsid w:val="00FC523A"/>
    <w:rsid w:val="00FD0E1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3AC1"/>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9937"/>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header" Target="head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003499policy.data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2024-04-07T16:00:00+00:00</OurDocsDocumentDate>
    <OurDocsVersionCreatedAt xmlns="0c56a47d-469b-460c-81a1-345d54cdeeee">2024-04-08T02:41:50+00:00</OurDocsVersionCreatedAt>
    <OurDocsReleaseClassification xmlns="0c56a47d-469b-460c-81a1-345d54cdeeee">For Public Release</OurDocsReleaseClassification>
    <OurDocsTitle xmlns="0c56a47d-469b-460c-81a1-345d54cdeeee">WA Iron Ore Profile - Marach 2024</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0ADC5-CA70-492B-ADE4-CBBC617A2699}">
  <ds:schemaRefs>
    <ds:schemaRef ds:uri="0c56a47d-469b-460c-81a1-345d54cdeeee"/>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3.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4.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2282</Words>
  <Characters>11732</Characters>
  <Application>Microsoft Office Word</Application>
  <DocSecurity>0</DocSecurity>
  <Lines>391</Lines>
  <Paragraphs>229</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Marach 2024</dc:title>
  <dc:subject/>
  <dc:creator>Mike Thomas</dc:creator>
  <cp:keywords/>
  <dc:description/>
  <cp:lastModifiedBy>THOMAS, Mike</cp:lastModifiedBy>
  <cp:revision>2</cp:revision>
  <cp:lastPrinted>2020-11-17T23:38:00Z</cp:lastPrinted>
  <dcterms:created xsi:type="dcterms:W3CDTF">2024-04-08T02:42:00Z</dcterms:created>
  <dcterms:modified xsi:type="dcterms:W3CDTF">2024-04-08T02:42:00Z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