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74C6" w14:textId="41EB9218" w:rsidR="00C13A96" w:rsidRPr="00BB4029" w:rsidRDefault="00BE48A9" w:rsidP="00586F33">
      <w:pPr>
        <w:pStyle w:val="Heading1"/>
      </w:pPr>
      <w:r>
        <w:t>Disability Access and Inclusion Plans</w:t>
      </w:r>
    </w:p>
    <w:p w14:paraId="4489B41C" w14:textId="3A1D8E8A" w:rsidR="00C13A96" w:rsidRDefault="00BE48A9" w:rsidP="00E82888">
      <w:pPr>
        <w:pStyle w:val="Subtitle"/>
      </w:pPr>
      <w:r>
        <w:t xml:space="preserve">A </w:t>
      </w:r>
      <w:r w:rsidR="0068439E">
        <w:t>g</w:t>
      </w:r>
      <w:r>
        <w:t>uide for public authorities</w:t>
      </w:r>
      <w:r w:rsidR="00C13A96" w:rsidRPr="00E82888">
        <w:t xml:space="preserve"> </w:t>
      </w:r>
    </w:p>
    <w:p w14:paraId="455A463B" w14:textId="6D9B0B6C" w:rsidR="00373B6F" w:rsidRPr="00373B6F" w:rsidRDefault="00A956C6" w:rsidP="00A956C6">
      <w:r>
        <w:t>March 2025</w:t>
      </w:r>
    </w:p>
    <w:p w14:paraId="01961A34" w14:textId="77777777" w:rsidR="00373B6F" w:rsidRPr="00373B6F" w:rsidRDefault="00373B6F" w:rsidP="00A956C6"/>
    <w:p w14:paraId="2203B362" w14:textId="77777777" w:rsidR="00BE48A9" w:rsidRDefault="00BE48A9">
      <w:pPr>
        <w:spacing w:after="0" w:line="240" w:lineRule="auto"/>
        <w:rPr>
          <w:rFonts w:eastAsiaTheme="majorEastAsia" w:cs="Arial"/>
          <w:b/>
          <w:noProof/>
          <w:color w:val="2C5C86"/>
          <w:sz w:val="40"/>
          <w:szCs w:val="52"/>
          <w:lang w:eastAsia="ja-JP"/>
        </w:rPr>
      </w:pPr>
      <w:r>
        <w:br w:type="page"/>
      </w:r>
    </w:p>
    <w:p w14:paraId="2A01B082" w14:textId="03057DF0" w:rsidR="00C13A96" w:rsidRPr="00586F33" w:rsidRDefault="00C13A96" w:rsidP="00586F33">
      <w:pPr>
        <w:pStyle w:val="TOCHeading"/>
      </w:pPr>
      <w:r w:rsidRPr="00586F33">
        <w:lastRenderedPageBreak/>
        <w:t>Table of contents</w:t>
      </w:r>
      <w:r w:rsidR="005B37C1">
        <w:t xml:space="preserve"> </w:t>
      </w:r>
    </w:p>
    <w:p w14:paraId="049B7758" w14:textId="34AE49FD" w:rsidR="00FF7953" w:rsidRPr="007741BD" w:rsidRDefault="004A7973" w:rsidP="007741BD">
      <w:pPr>
        <w:pStyle w:val="TOC2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lang w:eastAsia="en-AU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\o "3-4" \h \z \u \t "Heading 2,2" </w:instrText>
      </w:r>
      <w:r>
        <w:rPr>
          <w:caps/>
        </w:rPr>
        <w:fldChar w:fldCharType="separate"/>
      </w:r>
      <w:hyperlink w:anchor="_Toc194058740" w:history="1">
        <w:r w:rsidR="00FF7953" w:rsidRPr="002F3ED8">
          <w:rPr>
            <w:rStyle w:val="Hyperlink"/>
          </w:rPr>
          <w:t>1</w:t>
        </w:r>
        <w:r w:rsidR="00FF7953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lang w:eastAsia="en-AU"/>
            <w14:ligatures w14:val="standardContextual"/>
          </w:rPr>
          <w:tab/>
        </w:r>
        <w:r w:rsidR="00FF7953" w:rsidRPr="002F3ED8">
          <w:rPr>
            <w:rStyle w:val="Hyperlink"/>
          </w:rPr>
          <w:t>Introduction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_Toc194058740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4</w:t>
        </w:r>
        <w:r w:rsidR="00FF7953">
          <w:rPr>
            <w:webHidden/>
          </w:rPr>
          <w:fldChar w:fldCharType="end"/>
        </w:r>
      </w:hyperlink>
    </w:p>
    <w:p w14:paraId="5B3E0AE3" w14:textId="6824EB0D" w:rsidR="00FF7953" w:rsidRDefault="00000000">
      <w:pPr>
        <w:pStyle w:val="TOC2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lang w:eastAsia="en-AU"/>
          <w14:ligatures w14:val="standardContextual"/>
        </w:rPr>
      </w:pPr>
      <w:hyperlink w:anchor="_Toc194058742" w:history="1">
        <w:r w:rsidR="00FF7953" w:rsidRPr="002F3ED8">
          <w:rPr>
            <w:rStyle w:val="Hyperlink"/>
          </w:rPr>
          <w:t>2</w:t>
        </w:r>
        <w:r w:rsidR="00FF7953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lang w:eastAsia="en-AU"/>
            <w14:ligatures w14:val="standardContextual"/>
          </w:rPr>
          <w:tab/>
        </w:r>
        <w:r w:rsidR="00FF7953" w:rsidRPr="002F3ED8">
          <w:rPr>
            <w:rStyle w:val="Hyperlink"/>
          </w:rPr>
          <w:t>What is a Disability Access and Inclusion Plan?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_Toc194058742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5</w:t>
        </w:r>
        <w:r w:rsidR="00FF7953">
          <w:rPr>
            <w:webHidden/>
          </w:rPr>
          <w:fldChar w:fldCharType="end"/>
        </w:r>
      </w:hyperlink>
    </w:p>
    <w:p w14:paraId="76348ED6" w14:textId="23A73C10" w:rsidR="00FF7953" w:rsidRDefault="00000000">
      <w:pPr>
        <w:pStyle w:val="TOC2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lang w:eastAsia="en-AU"/>
          <w14:ligatures w14:val="standardContextual"/>
        </w:rPr>
      </w:pPr>
      <w:hyperlink w:anchor="_Toc194058743" w:history="1">
        <w:r w:rsidR="00FF7953" w:rsidRPr="002F3ED8">
          <w:rPr>
            <w:rStyle w:val="Hyperlink"/>
          </w:rPr>
          <w:t>3</w:t>
        </w:r>
        <w:r w:rsidR="00FF7953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lang w:eastAsia="en-AU"/>
            <w14:ligatures w14:val="standardContextual"/>
          </w:rPr>
          <w:tab/>
        </w:r>
        <w:r w:rsidR="00FF7953" w:rsidRPr="002F3ED8">
          <w:rPr>
            <w:rStyle w:val="Hyperlink"/>
          </w:rPr>
          <w:t>Why have a Disability Access and Inclusion Plan?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_Toc194058743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6</w:t>
        </w:r>
        <w:r w:rsidR="00FF7953">
          <w:rPr>
            <w:webHidden/>
          </w:rPr>
          <w:fldChar w:fldCharType="end"/>
        </w:r>
      </w:hyperlink>
    </w:p>
    <w:p w14:paraId="5958A8EB" w14:textId="380FD1E3" w:rsidR="00FF7953" w:rsidRDefault="00000000">
      <w:pPr>
        <w:pStyle w:val="TOC2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lang w:eastAsia="en-AU"/>
          <w14:ligatures w14:val="standardContextual"/>
        </w:rPr>
      </w:pPr>
      <w:hyperlink w:anchor="_Toc194058744" w:history="1">
        <w:r w:rsidR="00FF7953" w:rsidRPr="002F3ED8">
          <w:rPr>
            <w:rStyle w:val="Hyperlink"/>
          </w:rPr>
          <w:t>4</w:t>
        </w:r>
        <w:r w:rsidR="00FF7953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lang w:eastAsia="en-AU"/>
            <w14:ligatures w14:val="standardContextual"/>
          </w:rPr>
          <w:tab/>
        </w:r>
        <w:r w:rsidR="00FF7953" w:rsidRPr="002F3ED8">
          <w:rPr>
            <w:rStyle w:val="Hyperlink"/>
          </w:rPr>
          <w:t>Public Authority obligations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_Toc194058744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7</w:t>
        </w:r>
        <w:r w:rsidR="00FF7953">
          <w:rPr>
            <w:webHidden/>
          </w:rPr>
          <w:fldChar w:fldCharType="end"/>
        </w:r>
      </w:hyperlink>
    </w:p>
    <w:p w14:paraId="39551EE8" w14:textId="70D8E996" w:rsidR="00FF7953" w:rsidRDefault="00000000">
      <w:pPr>
        <w:pStyle w:val="TOC2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lang w:eastAsia="en-AU"/>
          <w14:ligatures w14:val="standardContextual"/>
        </w:rPr>
      </w:pPr>
      <w:hyperlink w:anchor="_Toc194058745" w:history="1">
        <w:r w:rsidR="00FF7953" w:rsidRPr="002F3ED8">
          <w:rPr>
            <w:rStyle w:val="Hyperlink"/>
          </w:rPr>
          <w:t>5</w:t>
        </w:r>
        <w:r w:rsidR="00FF7953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lang w:eastAsia="en-AU"/>
            <w14:ligatures w14:val="standardContextual"/>
          </w:rPr>
          <w:tab/>
        </w:r>
        <w:r w:rsidR="00FF7953" w:rsidRPr="002F3ED8">
          <w:rPr>
            <w:rStyle w:val="Hyperlink"/>
          </w:rPr>
          <w:t>Developing a Disability Access and Inclusion Plan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_Toc194058745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8</w:t>
        </w:r>
        <w:r w:rsidR="00FF7953">
          <w:rPr>
            <w:webHidden/>
          </w:rPr>
          <w:fldChar w:fldCharType="end"/>
        </w:r>
      </w:hyperlink>
    </w:p>
    <w:p w14:paraId="118F7477" w14:textId="43BFB4E0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46" w:history="1">
        <w:r w:rsidR="00FF7953" w:rsidRPr="002F3ED8">
          <w:rPr>
            <w:rStyle w:val="Hyperlink"/>
          </w:rPr>
          <w:t>Research and review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_Toc194058746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8</w:t>
        </w:r>
        <w:r w:rsidR="00FF7953">
          <w:rPr>
            <w:webHidden/>
          </w:rPr>
          <w:fldChar w:fldCharType="end"/>
        </w:r>
      </w:hyperlink>
    </w:p>
    <w:p w14:paraId="4773A5F6" w14:textId="0EDFADE5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47" w:history="1">
        <w:r w:rsidR="00FF7953" w:rsidRPr="002F3ED8">
          <w:rPr>
            <w:rStyle w:val="Hyperlink"/>
          </w:rPr>
          <w:t>Stakeholder engagement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_Toc194058747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9</w:t>
        </w:r>
        <w:r w:rsidR="00FF7953">
          <w:rPr>
            <w:webHidden/>
          </w:rPr>
          <w:fldChar w:fldCharType="end"/>
        </w:r>
      </w:hyperlink>
    </w:p>
    <w:p w14:paraId="3AB2B911" w14:textId="43DBAD92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48" w:history="1">
        <w:r w:rsidR="00FF7953" w:rsidRPr="002F3ED8">
          <w:rPr>
            <w:rStyle w:val="Hyperlink"/>
          </w:rPr>
          <w:t>Draft</w:t>
        </w:r>
        <w:r w:rsidR="007741BD">
          <w:rPr>
            <w:rStyle w:val="Hyperlink"/>
          </w:rPr>
          <w:t>….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_Toc194058748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10</w:t>
        </w:r>
        <w:r w:rsidR="00FF7953">
          <w:rPr>
            <w:webHidden/>
          </w:rPr>
          <w:fldChar w:fldCharType="end"/>
        </w:r>
      </w:hyperlink>
    </w:p>
    <w:p w14:paraId="75728DD3" w14:textId="0430CE3E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49" w:history="1">
        <w:r w:rsidR="00FF7953" w:rsidRPr="002F3ED8">
          <w:rPr>
            <w:rStyle w:val="Hyperlink"/>
          </w:rPr>
          <w:t>Public consultation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_Toc194058749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10</w:t>
        </w:r>
        <w:r w:rsidR="00FF7953">
          <w:rPr>
            <w:webHidden/>
          </w:rPr>
          <w:fldChar w:fldCharType="end"/>
        </w:r>
      </w:hyperlink>
    </w:p>
    <w:p w14:paraId="46B7D0E3" w14:textId="00214C8C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50" w:history="1">
        <w:r w:rsidR="00FF7953" w:rsidRPr="002F3ED8">
          <w:rPr>
            <w:rStyle w:val="Hyperlink"/>
          </w:rPr>
          <w:t>Approve and publish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_Toc194058750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11</w:t>
        </w:r>
        <w:r w:rsidR="00FF7953">
          <w:rPr>
            <w:webHidden/>
          </w:rPr>
          <w:fldChar w:fldCharType="end"/>
        </w:r>
      </w:hyperlink>
    </w:p>
    <w:p w14:paraId="14D56A69" w14:textId="77759C10" w:rsidR="00FF7953" w:rsidRDefault="00000000">
      <w:pPr>
        <w:pStyle w:val="TOC2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lang w:eastAsia="en-AU"/>
          <w14:ligatures w14:val="standardContextual"/>
        </w:rPr>
      </w:pPr>
      <w:hyperlink w:anchor="_Toc194058751" w:history="1">
        <w:r w:rsidR="00FF7953" w:rsidRPr="002F3ED8">
          <w:rPr>
            <w:rStyle w:val="Hyperlink"/>
          </w:rPr>
          <w:t>6</w:t>
        </w:r>
        <w:r w:rsidR="00FF7953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lang w:eastAsia="en-AU"/>
            <w14:ligatures w14:val="standardContextual"/>
          </w:rPr>
          <w:tab/>
        </w:r>
        <w:r w:rsidR="00FF7953" w:rsidRPr="002F3ED8">
          <w:rPr>
            <w:rStyle w:val="Hyperlink"/>
          </w:rPr>
          <w:t>Implementing a Disability Access and Inclusion Plan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_Toc194058751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11</w:t>
        </w:r>
        <w:r w:rsidR="00FF7953">
          <w:rPr>
            <w:webHidden/>
          </w:rPr>
          <w:fldChar w:fldCharType="end"/>
        </w:r>
      </w:hyperlink>
    </w:p>
    <w:p w14:paraId="5A5FFEBB" w14:textId="41F570FF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52" w:history="1">
        <w:r w:rsidR="00FF7953" w:rsidRPr="002F3ED8">
          <w:rPr>
            <w:rStyle w:val="Hyperlink"/>
          </w:rPr>
          <w:t>Implementing enablers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_Toc194058752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11</w:t>
        </w:r>
        <w:r w:rsidR="00FF7953">
          <w:rPr>
            <w:webHidden/>
          </w:rPr>
          <w:fldChar w:fldCharType="end"/>
        </w:r>
      </w:hyperlink>
    </w:p>
    <w:p w14:paraId="2FBC3BCE" w14:textId="142B28B0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53" w:history="1">
        <w:r w:rsidR="00FF7953" w:rsidRPr="002F3ED8">
          <w:rPr>
            <w:rStyle w:val="Hyperlink"/>
          </w:rPr>
          <w:t>Internal communications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_Toc194058753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12</w:t>
        </w:r>
        <w:r w:rsidR="00FF7953">
          <w:rPr>
            <w:webHidden/>
          </w:rPr>
          <w:fldChar w:fldCharType="end"/>
        </w:r>
      </w:hyperlink>
    </w:p>
    <w:p w14:paraId="634F0894" w14:textId="5870D1A4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54" w:history="1">
        <w:r w:rsidR="00FF7953" w:rsidRPr="002F3ED8">
          <w:rPr>
            <w:rStyle w:val="Hyperlink"/>
          </w:rPr>
          <w:t>Evaluate and monitor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_Toc194058754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12</w:t>
        </w:r>
        <w:r w:rsidR="00FF7953">
          <w:rPr>
            <w:webHidden/>
          </w:rPr>
          <w:fldChar w:fldCharType="end"/>
        </w:r>
      </w:hyperlink>
    </w:p>
    <w:p w14:paraId="6A08FF30" w14:textId="026CEBBC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55" w:history="1">
        <w:r w:rsidR="00FF7953" w:rsidRPr="002F3ED8">
          <w:rPr>
            <w:rStyle w:val="Hyperlink"/>
          </w:rPr>
          <w:t>Promote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_Toc194058755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13</w:t>
        </w:r>
        <w:r w:rsidR="00FF7953">
          <w:rPr>
            <w:webHidden/>
          </w:rPr>
          <w:fldChar w:fldCharType="end"/>
        </w:r>
      </w:hyperlink>
    </w:p>
    <w:p w14:paraId="7632C414" w14:textId="1F014663" w:rsidR="00FF7953" w:rsidRDefault="00000000">
      <w:pPr>
        <w:pStyle w:val="TOC2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lang w:eastAsia="en-AU"/>
          <w14:ligatures w14:val="standardContextual"/>
        </w:rPr>
      </w:pPr>
      <w:hyperlink w:anchor="_Toc194058756" w:history="1">
        <w:r w:rsidR="00FF7953" w:rsidRPr="002F3ED8">
          <w:rPr>
            <w:rStyle w:val="Hyperlink"/>
          </w:rPr>
          <w:t>7</w:t>
        </w:r>
        <w:r w:rsidR="00FF7953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lang w:eastAsia="en-AU"/>
            <w14:ligatures w14:val="standardContextual"/>
          </w:rPr>
          <w:tab/>
        </w:r>
        <w:r w:rsidR="00FF7953" w:rsidRPr="002F3ED8">
          <w:rPr>
            <w:rStyle w:val="Hyperlink"/>
          </w:rPr>
          <w:t>Disability Access and Inclusion Plan reporting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_Toc194058756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13</w:t>
        </w:r>
        <w:r w:rsidR="00FF7953">
          <w:rPr>
            <w:webHidden/>
          </w:rPr>
          <w:fldChar w:fldCharType="end"/>
        </w:r>
      </w:hyperlink>
    </w:p>
    <w:p w14:paraId="149925D5" w14:textId="4EFCB708" w:rsidR="00FF7953" w:rsidRDefault="00000000">
      <w:pPr>
        <w:pStyle w:val="TOC2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lang w:eastAsia="en-AU"/>
          <w14:ligatures w14:val="standardContextual"/>
        </w:rPr>
      </w:pPr>
      <w:hyperlink w:anchor="_Toc194058757" w:history="1">
        <w:r w:rsidR="00FF7953" w:rsidRPr="002F3ED8">
          <w:rPr>
            <w:rStyle w:val="Hyperlink"/>
          </w:rPr>
          <w:t>8</w:t>
        </w:r>
        <w:r w:rsidR="00FF7953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lang w:eastAsia="en-AU"/>
            <w14:ligatures w14:val="standardContextual"/>
          </w:rPr>
          <w:tab/>
        </w:r>
        <w:r w:rsidR="00FF7953" w:rsidRPr="002F3ED8">
          <w:rPr>
            <w:rStyle w:val="Hyperlink"/>
          </w:rPr>
          <w:t>Support and resources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_Toc194058757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13</w:t>
        </w:r>
        <w:r w:rsidR="00FF7953">
          <w:rPr>
            <w:webHidden/>
          </w:rPr>
          <w:fldChar w:fldCharType="end"/>
        </w:r>
      </w:hyperlink>
    </w:p>
    <w:p w14:paraId="524D2BE1" w14:textId="24C9FAE9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58" w:history="1">
        <w:r w:rsidR="00FF7953" w:rsidRPr="002F3ED8">
          <w:rPr>
            <w:rStyle w:val="Hyperlink"/>
          </w:rPr>
          <w:t>References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_Toc194058758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14</w:t>
        </w:r>
        <w:r w:rsidR="00FF7953">
          <w:rPr>
            <w:webHidden/>
          </w:rPr>
          <w:fldChar w:fldCharType="end"/>
        </w:r>
      </w:hyperlink>
    </w:p>
    <w:p w14:paraId="759925DC" w14:textId="636CC18F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59" w:history="1">
        <w:r w:rsidR="00FF7953" w:rsidRPr="002F3ED8">
          <w:rPr>
            <w:rStyle w:val="Hyperlink"/>
          </w:rPr>
          <w:t>Appendices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_Toc194058759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15</w:t>
        </w:r>
        <w:r w:rsidR="00FF7953">
          <w:rPr>
            <w:webHidden/>
          </w:rPr>
          <w:fldChar w:fldCharType="end"/>
        </w:r>
      </w:hyperlink>
    </w:p>
    <w:p w14:paraId="0F4E61EF" w14:textId="35E5D298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60" w:history="1">
        <w:r w:rsidR="00FF7953" w:rsidRPr="002F3ED8">
          <w:rPr>
            <w:rStyle w:val="Hyperlink"/>
          </w:rPr>
          <w:t>Appendix 1: Disability Access and Inclusion Plans: seven outcomes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_Toc194058760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15</w:t>
        </w:r>
        <w:r w:rsidR="00FF7953">
          <w:rPr>
            <w:webHidden/>
          </w:rPr>
          <w:fldChar w:fldCharType="end"/>
        </w:r>
      </w:hyperlink>
    </w:p>
    <w:p w14:paraId="4D0FCEC9" w14:textId="19D78725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61" w:history="1">
        <w:r w:rsidR="00FF7953" w:rsidRPr="002F3ED8">
          <w:rPr>
            <w:rStyle w:val="Hyperlink"/>
          </w:rPr>
          <w:t>Appendix 2: Stakeholder engagement model example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_Toc194058761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16</w:t>
        </w:r>
        <w:r w:rsidR="00FF7953">
          <w:rPr>
            <w:webHidden/>
          </w:rPr>
          <w:fldChar w:fldCharType="end"/>
        </w:r>
      </w:hyperlink>
    </w:p>
    <w:p w14:paraId="727CE15D" w14:textId="2D680AED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62" w:history="1">
        <w:r w:rsidR="00FF7953" w:rsidRPr="002F3ED8">
          <w:rPr>
            <w:rStyle w:val="Hyperlink"/>
          </w:rPr>
          <w:t>Appendix 3: What to include in a Disability Access and Inclusion Plan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_Toc194058762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17</w:t>
        </w:r>
        <w:r w:rsidR="00FF7953">
          <w:rPr>
            <w:webHidden/>
          </w:rPr>
          <w:fldChar w:fldCharType="end"/>
        </w:r>
      </w:hyperlink>
    </w:p>
    <w:p w14:paraId="3BDE9FA7" w14:textId="5C797E58" w:rsidR="00FF7953" w:rsidRDefault="00000000">
      <w:pPr>
        <w:pStyle w:val="TOC4"/>
        <w:rPr>
          <w:rFonts w:asciiTheme="minorHAnsi" w:eastAsiaTheme="minorEastAsia" w:hAnsiTheme="minorHAnsi" w:cstheme="minorBidi"/>
          <w:kern w:val="2"/>
          <w:lang w:eastAsia="en-AU"/>
          <w14:ligatures w14:val="standardContextual"/>
        </w:rPr>
      </w:pPr>
      <w:hyperlink w:anchor="_Toc194058763" w:history="1">
        <w:r w:rsidR="00FF7953" w:rsidRPr="002F3ED8">
          <w:rPr>
            <w:rStyle w:val="Hyperlink"/>
          </w:rPr>
          <w:t>Appendix 4: Roles and responsibilities</w:t>
        </w:r>
        <w:r w:rsidR="00FF7953">
          <w:rPr>
            <w:webHidden/>
          </w:rPr>
          <w:tab/>
        </w:r>
        <w:r w:rsidR="00FF7953">
          <w:rPr>
            <w:webHidden/>
          </w:rPr>
          <w:fldChar w:fldCharType="begin"/>
        </w:r>
        <w:r w:rsidR="00FF7953">
          <w:rPr>
            <w:webHidden/>
          </w:rPr>
          <w:instrText xml:space="preserve"> PAGEREF _Toc194058763 \h </w:instrText>
        </w:r>
        <w:r w:rsidR="00FF7953">
          <w:rPr>
            <w:webHidden/>
          </w:rPr>
        </w:r>
        <w:r w:rsidR="00FF7953">
          <w:rPr>
            <w:webHidden/>
          </w:rPr>
          <w:fldChar w:fldCharType="separate"/>
        </w:r>
        <w:r w:rsidR="00FF7953">
          <w:rPr>
            <w:webHidden/>
          </w:rPr>
          <w:t>18</w:t>
        </w:r>
        <w:r w:rsidR="00FF7953">
          <w:rPr>
            <w:webHidden/>
          </w:rPr>
          <w:fldChar w:fldCharType="end"/>
        </w:r>
      </w:hyperlink>
    </w:p>
    <w:p w14:paraId="669F8EAD" w14:textId="5D9E942D" w:rsidR="00FF7953" w:rsidRDefault="00000000">
      <w:pPr>
        <w:pStyle w:val="TOC3"/>
        <w:rPr>
          <w:rFonts w:asciiTheme="minorHAnsi" w:eastAsiaTheme="minorEastAsia" w:hAnsiTheme="minorHAnsi" w:cstheme="minorBidi"/>
          <w:b w:val="0"/>
          <w:color w:val="auto"/>
          <w:kern w:val="2"/>
          <w:lang w:eastAsia="en-AU"/>
          <w14:ligatures w14:val="standardContextual"/>
        </w:rPr>
      </w:pPr>
      <w:hyperlink w:anchor="_Toc194058764" w:history="1">
        <w:r w:rsidR="00FF7953">
          <w:rPr>
            <w:webHidden/>
          </w:rPr>
          <w:tab/>
        </w:r>
      </w:hyperlink>
    </w:p>
    <w:p w14:paraId="6790CE75" w14:textId="123167DB" w:rsidR="006E12FE" w:rsidRDefault="004A7973" w:rsidP="00EC5FFB">
      <w:pPr>
        <w:pStyle w:val="TOC3"/>
      </w:pPr>
      <w:r>
        <w:rPr>
          <w:b w:val="0"/>
          <w:caps/>
          <w:sz w:val="28"/>
        </w:rPr>
        <w:fldChar w:fldCharType="end"/>
      </w:r>
    </w:p>
    <w:p w14:paraId="15BA31B8" w14:textId="77777777" w:rsidR="006E12FE" w:rsidRDefault="006E12FE">
      <w:pPr>
        <w:spacing w:after="0" w:line="240" w:lineRule="auto"/>
        <w:rPr>
          <w:rFonts w:cs="Arial"/>
          <w:lang w:val="en-GB"/>
        </w:rPr>
      </w:pPr>
      <w:r>
        <w:br w:type="page"/>
      </w:r>
    </w:p>
    <w:p w14:paraId="3AF10697" w14:textId="77777777" w:rsidR="00857F23" w:rsidRPr="00857F23" w:rsidRDefault="00857F23" w:rsidP="00857F23">
      <w:pPr>
        <w:pStyle w:val="ControlHeading"/>
      </w:pPr>
      <w:bookmarkStart w:id="0" w:name="_Hlk504552460"/>
      <w:r w:rsidRPr="00857F23">
        <w:lastRenderedPageBreak/>
        <w:t>Document control</w:t>
      </w:r>
    </w:p>
    <w:tbl>
      <w:tblPr>
        <w:tblStyle w:val="TableStyle"/>
        <w:tblW w:w="9622" w:type="dxa"/>
        <w:tblLook w:val="04A0" w:firstRow="1" w:lastRow="0" w:firstColumn="1" w:lastColumn="0" w:noHBand="0" w:noVBand="1"/>
        <w:tblCaption w:val="Document control "/>
        <w:tblDescription w:val="Document publication date, review date, owner and custodian information"/>
      </w:tblPr>
      <w:tblGrid>
        <w:gridCol w:w="2263"/>
        <w:gridCol w:w="7359"/>
      </w:tblGrid>
      <w:tr w:rsidR="00857F23" w14:paraId="7DFB6BDA" w14:textId="77777777" w:rsidTr="006B4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 w:val="0"/>
        </w:trPr>
        <w:tc>
          <w:tcPr>
            <w:tcW w:w="2263" w:type="dxa"/>
            <w:tcBorders>
              <w:bottom w:val="single" w:sz="4" w:space="0" w:color="BFBFBF" w:themeColor="background1" w:themeShade="BF"/>
            </w:tcBorders>
          </w:tcPr>
          <w:p w14:paraId="4B969609" w14:textId="77777777" w:rsidR="00857F23" w:rsidRPr="00240EE5" w:rsidRDefault="00857F23" w:rsidP="006B4520">
            <w:pPr>
              <w:pStyle w:val="TableContent"/>
            </w:pPr>
            <w:r w:rsidRPr="00BE6B0A">
              <w:t>Publication</w:t>
            </w:r>
            <w:r w:rsidRPr="00240EE5">
              <w:t xml:space="preserve"> date</w:t>
            </w:r>
          </w:p>
        </w:tc>
        <w:tc>
          <w:tcPr>
            <w:tcW w:w="7359" w:type="dxa"/>
            <w:shd w:val="clear" w:color="auto" w:fill="auto"/>
          </w:tcPr>
          <w:p w14:paraId="6B06C689" w14:textId="1B1E0BC4" w:rsidR="00857F23" w:rsidRPr="00BB7089" w:rsidRDefault="00980E5E" w:rsidP="006B4520">
            <w:pPr>
              <w:pStyle w:val="TableContent"/>
              <w:rPr>
                <w:b w:val="0"/>
                <w:bCs/>
              </w:rPr>
            </w:pPr>
            <w:r>
              <w:rPr>
                <w:b w:val="0"/>
                <w:bCs/>
              </w:rPr>
              <w:t>March, 2025</w:t>
            </w:r>
          </w:p>
        </w:tc>
      </w:tr>
      <w:tr w:rsidR="00857F23" w14:paraId="6B40A5F5" w14:textId="77777777" w:rsidTr="006B4520">
        <w:trPr>
          <w:trHeight w:val="567"/>
        </w:trPr>
        <w:tc>
          <w:tcPr>
            <w:tcW w:w="2263" w:type="dxa"/>
            <w:shd w:val="clear" w:color="auto" w:fill="D9D9D9" w:themeFill="background1" w:themeFillShade="D9"/>
          </w:tcPr>
          <w:p w14:paraId="31659497" w14:textId="77777777" w:rsidR="00857F23" w:rsidRPr="00240EE5" w:rsidRDefault="00857F23" w:rsidP="006B4520">
            <w:pPr>
              <w:pStyle w:val="TableHeading"/>
            </w:pPr>
            <w:r w:rsidRPr="00240EE5">
              <w:t>Review date</w:t>
            </w:r>
          </w:p>
        </w:tc>
        <w:tc>
          <w:tcPr>
            <w:tcW w:w="7359" w:type="dxa"/>
          </w:tcPr>
          <w:p w14:paraId="21022B37" w14:textId="277D1866" w:rsidR="00857F23" w:rsidRPr="00240EE5" w:rsidRDefault="00980E5E" w:rsidP="006B4520">
            <w:pPr>
              <w:pStyle w:val="TableContent"/>
            </w:pPr>
            <w:r>
              <w:t>March 2026</w:t>
            </w:r>
          </w:p>
        </w:tc>
      </w:tr>
      <w:tr w:rsidR="00857F23" w14:paraId="1E4B3FF4" w14:textId="77777777" w:rsidTr="006B4520">
        <w:trPr>
          <w:trHeight w:val="567"/>
        </w:trPr>
        <w:tc>
          <w:tcPr>
            <w:tcW w:w="2263" w:type="dxa"/>
            <w:shd w:val="clear" w:color="auto" w:fill="D9D9D9" w:themeFill="background1" w:themeFillShade="D9"/>
          </w:tcPr>
          <w:p w14:paraId="2A2BA510" w14:textId="77777777" w:rsidR="00857F23" w:rsidRPr="00240EE5" w:rsidRDefault="00857F23" w:rsidP="006B4520">
            <w:pPr>
              <w:pStyle w:val="TableHeading"/>
            </w:pPr>
            <w:r w:rsidRPr="00240EE5">
              <w:t>Owner</w:t>
            </w:r>
          </w:p>
        </w:tc>
        <w:tc>
          <w:tcPr>
            <w:tcW w:w="7359" w:type="dxa"/>
          </w:tcPr>
          <w:p w14:paraId="6768106E" w14:textId="376495BC" w:rsidR="00857F23" w:rsidRPr="00240EE5" w:rsidRDefault="00980E5E" w:rsidP="006B4520">
            <w:pPr>
              <w:pStyle w:val="TableContent"/>
            </w:pPr>
            <w:r>
              <w:t>A/</w:t>
            </w:r>
            <w:r w:rsidR="00857F23" w:rsidRPr="00240EE5">
              <w:t xml:space="preserve">Executive Director – </w:t>
            </w:r>
            <w:r>
              <w:t>Richard Slattery</w:t>
            </w:r>
          </w:p>
        </w:tc>
      </w:tr>
      <w:tr w:rsidR="00857F23" w14:paraId="662D775E" w14:textId="77777777" w:rsidTr="006B4520">
        <w:trPr>
          <w:trHeight w:val="567"/>
        </w:trPr>
        <w:tc>
          <w:tcPr>
            <w:tcW w:w="2263" w:type="dxa"/>
            <w:shd w:val="clear" w:color="auto" w:fill="D9D9D9" w:themeFill="background1" w:themeFillShade="D9"/>
          </w:tcPr>
          <w:p w14:paraId="47E12E02" w14:textId="77777777" w:rsidR="00857F23" w:rsidRPr="00240EE5" w:rsidRDefault="00857F23" w:rsidP="006B4520">
            <w:pPr>
              <w:pStyle w:val="TableHeading"/>
            </w:pPr>
            <w:r w:rsidRPr="00240EE5">
              <w:t>Custodian</w:t>
            </w:r>
          </w:p>
        </w:tc>
        <w:tc>
          <w:tcPr>
            <w:tcW w:w="7359" w:type="dxa"/>
          </w:tcPr>
          <w:p w14:paraId="24AEEFAD" w14:textId="4BA11720" w:rsidR="00857F23" w:rsidRPr="00240EE5" w:rsidRDefault="00980E5E" w:rsidP="006B4520">
            <w:pPr>
              <w:pStyle w:val="TableContent"/>
            </w:pPr>
            <w:r>
              <w:t>Disability Division, Christine Smart</w:t>
            </w:r>
            <w:r w:rsidR="00BD5B57">
              <w:t>, Manager Strategic Policy</w:t>
            </w:r>
          </w:p>
        </w:tc>
      </w:tr>
    </w:tbl>
    <w:p w14:paraId="794941D6" w14:textId="77777777" w:rsidR="00857F23" w:rsidRDefault="00857F23" w:rsidP="00857F23">
      <w:pPr>
        <w:pStyle w:val="ControlHeading"/>
      </w:pPr>
      <w:bookmarkStart w:id="1" w:name="_Toc433277935"/>
      <w:bookmarkStart w:id="2" w:name="_Toc170270924"/>
      <w:r w:rsidRPr="00240EE5">
        <w:t>Amendments</w:t>
      </w:r>
      <w:bookmarkEnd w:id="1"/>
      <w:bookmarkEnd w:id="2"/>
    </w:p>
    <w:tbl>
      <w:tblPr>
        <w:tblStyle w:val="TableStyle"/>
        <w:tblW w:w="0" w:type="auto"/>
        <w:tblLook w:val="04A0" w:firstRow="1" w:lastRow="0" w:firstColumn="1" w:lastColumn="0" w:noHBand="0" w:noVBand="1"/>
        <w:tblCaption w:val="Amendments"/>
        <w:tblDescription w:val="Document amendments - version, date, author and description of changes"/>
      </w:tblPr>
      <w:tblGrid>
        <w:gridCol w:w="2405"/>
        <w:gridCol w:w="2405"/>
        <w:gridCol w:w="2406"/>
        <w:gridCol w:w="2406"/>
      </w:tblGrid>
      <w:tr w:rsidR="00857F23" w14:paraId="1BC853A3" w14:textId="77777777" w:rsidTr="006B4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405" w:type="dxa"/>
          </w:tcPr>
          <w:p w14:paraId="0A6FB624" w14:textId="77777777" w:rsidR="00857F23" w:rsidRPr="00240EE5" w:rsidRDefault="00857F23" w:rsidP="006B4520">
            <w:pPr>
              <w:pStyle w:val="TableContent"/>
            </w:pPr>
            <w:r w:rsidRPr="00240EE5">
              <w:t>Version</w:t>
            </w:r>
          </w:p>
        </w:tc>
        <w:tc>
          <w:tcPr>
            <w:tcW w:w="2405" w:type="dxa"/>
          </w:tcPr>
          <w:p w14:paraId="7AAB3F3E" w14:textId="77777777" w:rsidR="00857F23" w:rsidRPr="00240EE5" w:rsidRDefault="00857F23" w:rsidP="006B4520">
            <w:pPr>
              <w:pStyle w:val="TableContent"/>
            </w:pPr>
            <w:r w:rsidRPr="00240EE5">
              <w:t>Date</w:t>
            </w:r>
          </w:p>
        </w:tc>
        <w:tc>
          <w:tcPr>
            <w:tcW w:w="2406" w:type="dxa"/>
          </w:tcPr>
          <w:p w14:paraId="16A62842" w14:textId="77777777" w:rsidR="00857F23" w:rsidRPr="00240EE5" w:rsidRDefault="00857F23" w:rsidP="006B4520">
            <w:pPr>
              <w:pStyle w:val="TableContent"/>
            </w:pPr>
            <w:r w:rsidRPr="00240EE5">
              <w:t>Author</w:t>
            </w:r>
          </w:p>
        </w:tc>
        <w:tc>
          <w:tcPr>
            <w:tcW w:w="2406" w:type="dxa"/>
          </w:tcPr>
          <w:p w14:paraId="7F6333D4" w14:textId="77777777" w:rsidR="00857F23" w:rsidRPr="00240EE5" w:rsidRDefault="00857F23" w:rsidP="006B4520">
            <w:pPr>
              <w:pStyle w:val="TableContent"/>
            </w:pPr>
            <w:r w:rsidRPr="00240EE5">
              <w:t>Description</w:t>
            </w:r>
          </w:p>
        </w:tc>
      </w:tr>
      <w:tr w:rsidR="00857F23" w14:paraId="1D2E0742" w14:textId="77777777" w:rsidTr="006B4520">
        <w:trPr>
          <w:trHeight w:val="567"/>
        </w:trPr>
        <w:tc>
          <w:tcPr>
            <w:tcW w:w="2405" w:type="dxa"/>
          </w:tcPr>
          <w:p w14:paraId="6F3D655C" w14:textId="77777777" w:rsidR="00857F23" w:rsidRPr="00240EE5" w:rsidRDefault="00857F23" w:rsidP="006B4520">
            <w:pPr>
              <w:pStyle w:val="TableContent"/>
            </w:pPr>
            <w:r w:rsidRPr="00240EE5">
              <w:t>1</w:t>
            </w:r>
          </w:p>
        </w:tc>
        <w:tc>
          <w:tcPr>
            <w:tcW w:w="2405" w:type="dxa"/>
          </w:tcPr>
          <w:p w14:paraId="21666FC3" w14:textId="53DC3ADC" w:rsidR="00857F23" w:rsidRPr="00240EE5" w:rsidRDefault="00D84419" w:rsidP="006B4520">
            <w:pPr>
              <w:pStyle w:val="TableContent"/>
            </w:pPr>
            <w:r>
              <w:t>March 2025</w:t>
            </w:r>
          </w:p>
        </w:tc>
        <w:tc>
          <w:tcPr>
            <w:tcW w:w="2406" w:type="dxa"/>
          </w:tcPr>
          <w:p w14:paraId="71DA50B2" w14:textId="337D9094" w:rsidR="00857F23" w:rsidRPr="00240EE5" w:rsidRDefault="00BD5B57" w:rsidP="006B4520">
            <w:pPr>
              <w:pStyle w:val="TableContent"/>
              <w:rPr>
                <w:szCs w:val="22"/>
              </w:rPr>
            </w:pPr>
            <w:r>
              <w:rPr>
                <w:szCs w:val="22"/>
              </w:rPr>
              <w:t>Senior Policy Officer</w:t>
            </w:r>
          </w:p>
        </w:tc>
        <w:tc>
          <w:tcPr>
            <w:tcW w:w="2406" w:type="dxa"/>
          </w:tcPr>
          <w:p w14:paraId="5F56BA18" w14:textId="77777777" w:rsidR="00857F23" w:rsidRDefault="00857F23" w:rsidP="006B4520">
            <w:pPr>
              <w:pStyle w:val="TableContent"/>
            </w:pPr>
          </w:p>
        </w:tc>
      </w:tr>
      <w:tr w:rsidR="00857F23" w14:paraId="42E29A06" w14:textId="77777777" w:rsidTr="006B4520">
        <w:trPr>
          <w:trHeight w:val="567"/>
        </w:trPr>
        <w:tc>
          <w:tcPr>
            <w:tcW w:w="2405" w:type="dxa"/>
          </w:tcPr>
          <w:p w14:paraId="09D92EF8" w14:textId="77777777" w:rsidR="00857F23" w:rsidRPr="00240EE5" w:rsidRDefault="00857F23" w:rsidP="006B4520">
            <w:pPr>
              <w:pStyle w:val="TableContent"/>
            </w:pPr>
            <w:r w:rsidRPr="00240EE5">
              <w:t>2</w:t>
            </w:r>
          </w:p>
        </w:tc>
        <w:tc>
          <w:tcPr>
            <w:tcW w:w="2405" w:type="dxa"/>
          </w:tcPr>
          <w:p w14:paraId="6BEB9836" w14:textId="4B021B93" w:rsidR="00857F23" w:rsidRPr="00240EE5" w:rsidRDefault="00857F23" w:rsidP="006B4520">
            <w:pPr>
              <w:pStyle w:val="TableContent"/>
            </w:pPr>
          </w:p>
        </w:tc>
        <w:tc>
          <w:tcPr>
            <w:tcW w:w="2406" w:type="dxa"/>
          </w:tcPr>
          <w:p w14:paraId="483B51B1" w14:textId="7572AA74" w:rsidR="00857F23" w:rsidRPr="00240EE5" w:rsidRDefault="00857F23" w:rsidP="006B4520">
            <w:pPr>
              <w:pStyle w:val="TableContent"/>
              <w:rPr>
                <w:szCs w:val="22"/>
              </w:rPr>
            </w:pPr>
          </w:p>
        </w:tc>
        <w:tc>
          <w:tcPr>
            <w:tcW w:w="2406" w:type="dxa"/>
          </w:tcPr>
          <w:p w14:paraId="26B9D9BB" w14:textId="77777777" w:rsidR="00857F23" w:rsidRDefault="00857F23" w:rsidP="006B4520">
            <w:pPr>
              <w:pStyle w:val="TableContent"/>
            </w:pPr>
          </w:p>
        </w:tc>
      </w:tr>
      <w:tr w:rsidR="00857F23" w14:paraId="73F76ADB" w14:textId="77777777" w:rsidTr="006B4520">
        <w:trPr>
          <w:trHeight w:val="567"/>
        </w:trPr>
        <w:tc>
          <w:tcPr>
            <w:tcW w:w="2405" w:type="dxa"/>
          </w:tcPr>
          <w:p w14:paraId="0A3BAFC6" w14:textId="77777777" w:rsidR="00857F23" w:rsidRPr="00240EE5" w:rsidRDefault="00857F23" w:rsidP="006B4520">
            <w:pPr>
              <w:pStyle w:val="TableContent"/>
            </w:pPr>
            <w:r>
              <w:t>3</w:t>
            </w:r>
          </w:p>
        </w:tc>
        <w:tc>
          <w:tcPr>
            <w:tcW w:w="2405" w:type="dxa"/>
          </w:tcPr>
          <w:p w14:paraId="2ED2FF5F" w14:textId="3ED76880" w:rsidR="00857F23" w:rsidRPr="00240EE5" w:rsidRDefault="00857F23" w:rsidP="006B4520">
            <w:pPr>
              <w:pStyle w:val="TableContent"/>
            </w:pPr>
          </w:p>
        </w:tc>
        <w:tc>
          <w:tcPr>
            <w:tcW w:w="2406" w:type="dxa"/>
          </w:tcPr>
          <w:p w14:paraId="6F9B9B14" w14:textId="2AE8C4EC" w:rsidR="00857F23" w:rsidRPr="00240EE5" w:rsidRDefault="00857F23" w:rsidP="006B4520">
            <w:pPr>
              <w:pStyle w:val="TableContent"/>
              <w:rPr>
                <w:szCs w:val="22"/>
              </w:rPr>
            </w:pPr>
          </w:p>
        </w:tc>
        <w:tc>
          <w:tcPr>
            <w:tcW w:w="2406" w:type="dxa"/>
          </w:tcPr>
          <w:p w14:paraId="3F99379D" w14:textId="77777777" w:rsidR="00857F23" w:rsidRDefault="00857F23" w:rsidP="006B4520">
            <w:pPr>
              <w:pStyle w:val="TableContent"/>
            </w:pPr>
          </w:p>
        </w:tc>
      </w:tr>
      <w:tr w:rsidR="00857F23" w14:paraId="37D7D2F7" w14:textId="77777777" w:rsidTr="006B4520">
        <w:trPr>
          <w:trHeight w:val="567"/>
        </w:trPr>
        <w:tc>
          <w:tcPr>
            <w:tcW w:w="2405" w:type="dxa"/>
          </w:tcPr>
          <w:p w14:paraId="75CB582E" w14:textId="77777777" w:rsidR="00857F23" w:rsidRPr="00240EE5" w:rsidRDefault="00857F23" w:rsidP="006B4520">
            <w:pPr>
              <w:pStyle w:val="TableContent"/>
            </w:pPr>
            <w:r>
              <w:t>4</w:t>
            </w:r>
          </w:p>
        </w:tc>
        <w:tc>
          <w:tcPr>
            <w:tcW w:w="2405" w:type="dxa"/>
          </w:tcPr>
          <w:p w14:paraId="1502CA09" w14:textId="2FC994C7" w:rsidR="00857F23" w:rsidRPr="00240EE5" w:rsidRDefault="00857F23" w:rsidP="006B4520">
            <w:pPr>
              <w:pStyle w:val="TableContent"/>
            </w:pPr>
          </w:p>
        </w:tc>
        <w:tc>
          <w:tcPr>
            <w:tcW w:w="2406" w:type="dxa"/>
          </w:tcPr>
          <w:p w14:paraId="270D6F59" w14:textId="68D0DD60" w:rsidR="00857F23" w:rsidRPr="00240EE5" w:rsidRDefault="00857F23" w:rsidP="006B4520">
            <w:pPr>
              <w:pStyle w:val="TableContent"/>
              <w:rPr>
                <w:szCs w:val="22"/>
              </w:rPr>
            </w:pPr>
          </w:p>
        </w:tc>
        <w:tc>
          <w:tcPr>
            <w:tcW w:w="2406" w:type="dxa"/>
          </w:tcPr>
          <w:p w14:paraId="49756606" w14:textId="77777777" w:rsidR="00857F23" w:rsidRDefault="00857F23" w:rsidP="006B4520">
            <w:pPr>
              <w:pStyle w:val="TableContent"/>
            </w:pPr>
          </w:p>
        </w:tc>
      </w:tr>
      <w:tr w:rsidR="00857F23" w14:paraId="707B0559" w14:textId="77777777" w:rsidTr="006B4520">
        <w:trPr>
          <w:trHeight w:val="567"/>
        </w:trPr>
        <w:tc>
          <w:tcPr>
            <w:tcW w:w="2405" w:type="dxa"/>
          </w:tcPr>
          <w:p w14:paraId="6DC51EF3" w14:textId="77777777" w:rsidR="00857F23" w:rsidRPr="00240EE5" w:rsidRDefault="00857F23" w:rsidP="006B4520">
            <w:pPr>
              <w:pStyle w:val="TableContent"/>
            </w:pPr>
            <w:r>
              <w:t>5</w:t>
            </w:r>
          </w:p>
        </w:tc>
        <w:tc>
          <w:tcPr>
            <w:tcW w:w="2405" w:type="dxa"/>
          </w:tcPr>
          <w:p w14:paraId="3E414C95" w14:textId="0E98C896" w:rsidR="00857F23" w:rsidRPr="00240EE5" w:rsidRDefault="00857F23" w:rsidP="006B4520">
            <w:pPr>
              <w:pStyle w:val="TableContent"/>
            </w:pPr>
          </w:p>
        </w:tc>
        <w:tc>
          <w:tcPr>
            <w:tcW w:w="2406" w:type="dxa"/>
          </w:tcPr>
          <w:p w14:paraId="6A23D727" w14:textId="635D5528" w:rsidR="00857F23" w:rsidRPr="00240EE5" w:rsidRDefault="00857F23" w:rsidP="006B4520">
            <w:pPr>
              <w:pStyle w:val="TableContent"/>
              <w:rPr>
                <w:szCs w:val="22"/>
              </w:rPr>
            </w:pPr>
          </w:p>
        </w:tc>
        <w:tc>
          <w:tcPr>
            <w:tcW w:w="2406" w:type="dxa"/>
          </w:tcPr>
          <w:p w14:paraId="7C01EA00" w14:textId="77777777" w:rsidR="00857F23" w:rsidRDefault="00857F23" w:rsidP="006B4520">
            <w:pPr>
              <w:pStyle w:val="TableContent"/>
            </w:pPr>
          </w:p>
        </w:tc>
      </w:tr>
    </w:tbl>
    <w:p w14:paraId="3A891135" w14:textId="7648F057" w:rsidR="00857F23" w:rsidRDefault="00857F23" w:rsidP="00857F23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52F7A792" w14:textId="4B37758E" w:rsidR="00857F23" w:rsidRPr="00240EE5" w:rsidRDefault="00B42EAD" w:rsidP="00223113">
      <w:pPr>
        <w:pStyle w:val="Heading2"/>
        <w:ind w:left="709" w:hanging="709"/>
      </w:pPr>
      <w:bookmarkStart w:id="3" w:name="_Toc194058740"/>
      <w:bookmarkStart w:id="4" w:name="_Toc80696555"/>
      <w:r>
        <w:lastRenderedPageBreak/>
        <w:t>Introduction</w:t>
      </w:r>
      <w:bookmarkEnd w:id="3"/>
      <w:r w:rsidR="00857F23">
        <w:t xml:space="preserve"> </w:t>
      </w:r>
      <w:bookmarkEnd w:id="4"/>
    </w:p>
    <w:p w14:paraId="21C25590" w14:textId="0966AB83" w:rsidR="00A6540D" w:rsidRDefault="00B42EAD" w:rsidP="00B42EAD">
      <w:pPr>
        <w:pStyle w:val="BodyText"/>
      </w:pPr>
      <w:r w:rsidRPr="002C5566">
        <w:t xml:space="preserve">People with disability are </w:t>
      </w:r>
      <w:r w:rsidR="00633C7F" w:rsidRPr="002C5566">
        <w:t xml:space="preserve">diverse and </w:t>
      </w:r>
      <w:r w:rsidRPr="002C5566">
        <w:t xml:space="preserve">active contributors </w:t>
      </w:r>
      <w:r w:rsidR="00633C7F" w:rsidRPr="002C5566">
        <w:t>to communities across W</w:t>
      </w:r>
      <w:r w:rsidR="00A52C99">
        <w:t>estern Australia (W</w:t>
      </w:r>
      <w:r w:rsidR="00633C7F" w:rsidRPr="002C5566">
        <w:t>A</w:t>
      </w:r>
      <w:r w:rsidR="00A52C99">
        <w:t>)</w:t>
      </w:r>
      <w:r w:rsidR="00922A50" w:rsidRPr="002C5566">
        <w:t xml:space="preserve">, </w:t>
      </w:r>
      <w:r w:rsidR="008F6CF0" w:rsidRPr="002C5566">
        <w:t>however, the</w:t>
      </w:r>
      <w:r w:rsidR="009270C8">
        <w:t>y</w:t>
      </w:r>
      <w:r w:rsidR="008F6CF0" w:rsidRPr="002C5566">
        <w:t xml:space="preserve"> continue to </w:t>
      </w:r>
      <w:r w:rsidR="006F1B7B">
        <w:t>experience barriers that limit their choices</w:t>
      </w:r>
      <w:r w:rsidR="00557C7D">
        <w:t>,</w:t>
      </w:r>
      <w:r w:rsidR="00B1064E">
        <w:t xml:space="preserve"> </w:t>
      </w:r>
      <w:r w:rsidR="006F1B7B">
        <w:t>a</w:t>
      </w:r>
      <w:r w:rsidR="00557C7D">
        <w:t xml:space="preserve">nd their social and </w:t>
      </w:r>
      <w:r w:rsidR="00B1064E">
        <w:t>economic participation</w:t>
      </w:r>
      <w:r w:rsidR="00373B6F">
        <w:t xml:space="preserve"> in society</w:t>
      </w:r>
      <w:r w:rsidR="006F1B7B">
        <w:t>.</w:t>
      </w:r>
      <w:r w:rsidR="00B1064E">
        <w:t xml:space="preserve"> </w:t>
      </w:r>
      <w:r w:rsidR="006F1B7B">
        <w:t>This</w:t>
      </w:r>
      <w:r w:rsidR="00A457CF">
        <w:t xml:space="preserve"> </w:t>
      </w:r>
      <w:r w:rsidR="00373B6F">
        <w:t xml:space="preserve">diminishes </w:t>
      </w:r>
      <w:r w:rsidR="00A457CF">
        <w:t xml:space="preserve">the wellbeing of </w:t>
      </w:r>
      <w:r w:rsidR="00373B6F">
        <w:t xml:space="preserve">the </w:t>
      </w:r>
      <w:r w:rsidR="00A457CF">
        <w:t xml:space="preserve">entire community. </w:t>
      </w:r>
    </w:p>
    <w:p w14:paraId="05BC9E87" w14:textId="5B27B368" w:rsidR="00EB1FFC" w:rsidRDefault="004770AA" w:rsidP="00B42EAD">
      <w:pPr>
        <w:pStyle w:val="BodyText"/>
      </w:pPr>
      <w:r>
        <w:t>Since the</w:t>
      </w:r>
      <w:r w:rsidR="006C3756">
        <w:t xml:space="preserve"> introduction of the </w:t>
      </w:r>
      <w:r w:rsidR="006C3756" w:rsidRPr="00D30E38">
        <w:rPr>
          <w:i/>
          <w:iCs/>
        </w:rPr>
        <w:t xml:space="preserve">Disability Services Act 1993 </w:t>
      </w:r>
      <w:r w:rsidR="002B3F38" w:rsidRPr="002B3F38">
        <w:t>(</w:t>
      </w:r>
      <w:r w:rsidR="006C3756" w:rsidRPr="002B3F38">
        <w:t>WA</w:t>
      </w:r>
      <w:r w:rsidR="002B3F38">
        <w:t>)</w:t>
      </w:r>
      <w:r w:rsidR="00326CE3" w:rsidRPr="002B3F38">
        <w:t>,</w:t>
      </w:r>
      <w:r w:rsidR="00326CE3">
        <w:t xml:space="preserve"> public authorities have been con</w:t>
      </w:r>
      <w:r w:rsidR="008C55C4">
        <w:t xml:space="preserve">sistently </w:t>
      </w:r>
      <w:r w:rsidR="002D3FA9">
        <w:t xml:space="preserve">and collectively </w:t>
      </w:r>
      <w:r w:rsidR="00326CE3">
        <w:t>work</w:t>
      </w:r>
      <w:r w:rsidR="00330558">
        <w:t>ing</w:t>
      </w:r>
      <w:r w:rsidR="00326CE3">
        <w:t xml:space="preserve"> to improve the way they </w:t>
      </w:r>
      <w:r w:rsidR="00912CBD">
        <w:t xml:space="preserve">collaborate with and </w:t>
      </w:r>
      <w:r w:rsidR="00326CE3">
        <w:t>support people with disabilit</w:t>
      </w:r>
      <w:r w:rsidR="002D3FA9">
        <w:t xml:space="preserve">y </w:t>
      </w:r>
      <w:r w:rsidR="00912CBD">
        <w:t>to enjoy an accessible, inclusive and welcoming State.</w:t>
      </w:r>
    </w:p>
    <w:p w14:paraId="038295A8" w14:textId="2D072253" w:rsidR="00B42EAD" w:rsidRDefault="00B42EAD" w:rsidP="00B42EAD">
      <w:pPr>
        <w:pStyle w:val="BodyText"/>
      </w:pPr>
      <w:r>
        <w:t>This guide for public authorities covers:</w:t>
      </w:r>
    </w:p>
    <w:p w14:paraId="43B41237" w14:textId="43605842" w:rsidR="00B42EAD" w:rsidRPr="00BC46D6" w:rsidRDefault="00B42EAD" w:rsidP="004F5E73">
      <w:pPr>
        <w:pStyle w:val="BodyText"/>
        <w:numPr>
          <w:ilvl w:val="0"/>
          <w:numId w:val="6"/>
        </w:numPr>
      </w:pPr>
      <w:r w:rsidRPr="00BC46D6">
        <w:t xml:space="preserve">What </w:t>
      </w:r>
      <w:r w:rsidR="00700589">
        <w:t>is a</w:t>
      </w:r>
      <w:r w:rsidR="00700589" w:rsidRPr="00BC46D6">
        <w:t xml:space="preserve"> </w:t>
      </w:r>
      <w:r w:rsidRPr="00BC46D6">
        <w:t>Disability Access and Inclusion Plan?</w:t>
      </w:r>
    </w:p>
    <w:p w14:paraId="6E2BAD0E" w14:textId="69A414CE" w:rsidR="00B42EAD" w:rsidRDefault="00B42EAD" w:rsidP="004F5E73">
      <w:pPr>
        <w:pStyle w:val="BodyText"/>
        <w:numPr>
          <w:ilvl w:val="0"/>
          <w:numId w:val="6"/>
        </w:numPr>
      </w:pPr>
      <w:r w:rsidRPr="00BC46D6">
        <w:t xml:space="preserve">Why </w:t>
      </w:r>
      <w:r w:rsidR="009E08F5">
        <w:t>have</w:t>
      </w:r>
      <w:r w:rsidR="00700589" w:rsidRPr="00BC46D6">
        <w:t xml:space="preserve"> </w:t>
      </w:r>
      <w:r w:rsidRPr="00BC46D6">
        <w:t>a Disability Access and Inclusion Plan?</w:t>
      </w:r>
    </w:p>
    <w:p w14:paraId="1C9AF391" w14:textId="5D288A5E" w:rsidR="00B42EAD" w:rsidRPr="00BC46D6" w:rsidRDefault="00B42EAD" w:rsidP="004F5E73">
      <w:pPr>
        <w:pStyle w:val="BodyText"/>
        <w:numPr>
          <w:ilvl w:val="0"/>
          <w:numId w:val="6"/>
        </w:numPr>
      </w:pPr>
      <w:r w:rsidRPr="00BC46D6">
        <w:t xml:space="preserve">Developing a </w:t>
      </w:r>
      <w:r>
        <w:t>Disability Access and Inclusion Plan</w:t>
      </w:r>
      <w:r w:rsidR="00E032BB">
        <w:t>.</w:t>
      </w:r>
    </w:p>
    <w:p w14:paraId="7F7EB05A" w14:textId="3B57C6D4" w:rsidR="00B42EAD" w:rsidRPr="00BC46D6" w:rsidRDefault="00B42EAD" w:rsidP="004F5E73">
      <w:pPr>
        <w:pStyle w:val="BodyText"/>
        <w:numPr>
          <w:ilvl w:val="0"/>
          <w:numId w:val="6"/>
        </w:numPr>
      </w:pPr>
      <w:r w:rsidRPr="00BC46D6">
        <w:t>Implementing a D</w:t>
      </w:r>
      <w:r>
        <w:t>isability Access and Inclusion Plan</w:t>
      </w:r>
      <w:r w:rsidR="00E032BB">
        <w:t>.</w:t>
      </w:r>
    </w:p>
    <w:p w14:paraId="2686C917" w14:textId="6440521F" w:rsidR="000B2D68" w:rsidRDefault="00B42EAD" w:rsidP="00912CBD">
      <w:pPr>
        <w:pStyle w:val="BodyText"/>
        <w:numPr>
          <w:ilvl w:val="0"/>
          <w:numId w:val="6"/>
        </w:numPr>
        <w:spacing w:after="0" w:line="240" w:lineRule="auto"/>
      </w:pPr>
      <w:r w:rsidRPr="00BC46D6">
        <w:t>D</w:t>
      </w:r>
      <w:r>
        <w:t xml:space="preserve">isability Access and Inclusion Plan </w:t>
      </w:r>
      <w:r w:rsidRPr="00BC46D6">
        <w:t>reporting</w:t>
      </w:r>
      <w:r w:rsidR="00E032BB">
        <w:t>.</w:t>
      </w:r>
      <w:bookmarkStart w:id="5" w:name="_Toc80696556"/>
    </w:p>
    <w:bookmarkStart w:id="6" w:name="_Toc194058741"/>
    <w:p w14:paraId="02C792C1" w14:textId="14F10233" w:rsidR="00FD2711" w:rsidRPr="00FF7953" w:rsidRDefault="00912CBD" w:rsidP="00912CBD">
      <w:pPr>
        <w:pStyle w:val="Heading4"/>
        <w:spacing w:before="480"/>
        <w:rPr>
          <w:sz w:val="24"/>
        </w:rPr>
      </w:pPr>
      <w:r w:rsidRPr="00FF7953">
        <w:rPr>
          <w:sz w:val="24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F670E51" wp14:editId="0B340DA9">
                <wp:simplePos x="0" y="0"/>
                <wp:positionH relativeFrom="margin">
                  <wp:posOffset>50800</wp:posOffset>
                </wp:positionH>
                <wp:positionV relativeFrom="paragraph">
                  <wp:posOffset>160020</wp:posOffset>
                </wp:positionV>
                <wp:extent cx="6115050" cy="9525"/>
                <wp:effectExtent l="0" t="0" r="19050" b="28575"/>
                <wp:wrapNone/>
                <wp:docPr id="797098128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52307" id="Straight Connector 4" o:spid="_x0000_s1026" alt="&quot;&quot;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pt,12.6pt" to="485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" strokecolor="black [3213]" strokeweight="1.5pt">
                <w10:wrap anchorx="margin"/>
              </v:line>
            </w:pict>
          </mc:Fallback>
        </mc:AlternateContent>
      </w:r>
      <w:r w:rsidR="00FD2711" w:rsidRPr="00FF7953">
        <w:rPr>
          <w:sz w:val="24"/>
        </w:rPr>
        <w:t>In 2022</w:t>
      </w:r>
      <w:r w:rsidRPr="00FF7953">
        <w:rPr>
          <w:rStyle w:val="FootnoteReference"/>
          <w:sz w:val="24"/>
        </w:rPr>
        <w:footnoteReference w:id="1"/>
      </w:r>
      <w:bookmarkEnd w:id="6"/>
    </w:p>
    <w:p w14:paraId="1970F14A" w14:textId="1A54CA34" w:rsidR="00E639F3" w:rsidRDefault="00B310B6" w:rsidP="00E639F3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709952" behindDoc="0" locked="0" layoutInCell="1" allowOverlap="1" wp14:anchorId="50F08824" wp14:editId="7EACCCA8">
            <wp:simplePos x="0" y="0"/>
            <wp:positionH relativeFrom="column">
              <wp:posOffset>5290185</wp:posOffset>
            </wp:positionH>
            <wp:positionV relativeFrom="paragraph">
              <wp:posOffset>49182</wp:posOffset>
            </wp:positionV>
            <wp:extent cx="950397" cy="684675"/>
            <wp:effectExtent l="0" t="0" r="2540" b="1270"/>
            <wp:wrapNone/>
            <wp:docPr id="30035885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5885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397" cy="68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BC5A4" w14:textId="439D5DE2" w:rsidR="000B380B" w:rsidRDefault="00B310B6" w:rsidP="00B310B6">
      <w:pPr>
        <w:pStyle w:val="BlockText"/>
      </w:pPr>
      <w:r>
        <w:t>1 in 5 Western Australians, or 515,600 people living in WA, had disability</w:t>
      </w:r>
      <w:r w:rsidR="00CC7693">
        <w:t>.</w:t>
      </w:r>
    </w:p>
    <w:p w14:paraId="7BFBF247" w14:textId="6FBE27E1" w:rsidR="00B310B6" w:rsidRDefault="00B310B6" w:rsidP="009D1FC5">
      <w:pPr>
        <w:spacing w:after="240"/>
      </w:pPr>
      <w:r>
        <w:rPr>
          <w:noProof/>
        </w:rPr>
        <w:drawing>
          <wp:anchor distT="0" distB="0" distL="114300" distR="114300" simplePos="0" relativeHeight="251710976" behindDoc="0" locked="0" layoutInCell="1" allowOverlap="1" wp14:anchorId="49C38AC3" wp14:editId="0CC1BD8E">
            <wp:simplePos x="0" y="0"/>
            <wp:positionH relativeFrom="column">
              <wp:posOffset>5290488</wp:posOffset>
            </wp:positionH>
            <wp:positionV relativeFrom="paragraph">
              <wp:posOffset>144092</wp:posOffset>
            </wp:positionV>
            <wp:extent cx="967105" cy="966248"/>
            <wp:effectExtent l="0" t="0" r="4445" b="5715"/>
            <wp:wrapNone/>
            <wp:docPr id="214580973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0973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32" cy="968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3B09D" w14:textId="0727715C" w:rsidR="00E639F3" w:rsidRDefault="00B310B6" w:rsidP="00B310B6">
      <w:pPr>
        <w:pStyle w:val="BlockText"/>
      </w:pPr>
      <w:r>
        <w:t>1 in 10 Western Australians aged 0-64 years had disability</w:t>
      </w:r>
      <w:r w:rsidR="00CC7693">
        <w:t>.</w:t>
      </w:r>
    </w:p>
    <w:p w14:paraId="0DD7E366" w14:textId="33C3EE72" w:rsidR="00B310B6" w:rsidRDefault="00557FA4" w:rsidP="009D1FC5">
      <w:pPr>
        <w:spacing w:after="240"/>
      </w:pPr>
      <w:r>
        <w:rPr>
          <w:noProof/>
        </w:rPr>
        <w:drawing>
          <wp:anchor distT="0" distB="0" distL="114300" distR="114300" simplePos="0" relativeHeight="251712000" behindDoc="0" locked="0" layoutInCell="1" allowOverlap="1" wp14:anchorId="1760B8D3" wp14:editId="3EE8041D">
            <wp:simplePos x="0" y="0"/>
            <wp:positionH relativeFrom="column">
              <wp:posOffset>5313482</wp:posOffset>
            </wp:positionH>
            <wp:positionV relativeFrom="paragraph">
              <wp:posOffset>241539</wp:posOffset>
            </wp:positionV>
            <wp:extent cx="989550" cy="995939"/>
            <wp:effectExtent l="0" t="0" r="1270" b="0"/>
            <wp:wrapNone/>
            <wp:docPr id="21227518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7518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550" cy="995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09751" w14:textId="0F348A20" w:rsidR="00B310B6" w:rsidRDefault="00B310B6" w:rsidP="00B310B6">
      <w:pPr>
        <w:pStyle w:val="BlockText"/>
      </w:pPr>
      <w:r>
        <w:t>1 in 10 Western Australians with disability reported a schooling or                         employment restriction</w:t>
      </w:r>
      <w:r w:rsidR="00CC7693">
        <w:t>.</w:t>
      </w:r>
    </w:p>
    <w:p w14:paraId="020C7A7E" w14:textId="77777777" w:rsidR="00557FA4" w:rsidRDefault="00557FA4">
      <w:pPr>
        <w:spacing w:after="0" w:line="240" w:lineRule="auto"/>
      </w:pPr>
    </w:p>
    <w:p w14:paraId="3BC854F5" w14:textId="6CCFFC3C" w:rsidR="00557FA4" w:rsidRDefault="00557FA4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713024" behindDoc="0" locked="0" layoutInCell="1" allowOverlap="1" wp14:anchorId="7AAB955D" wp14:editId="51E611FC">
            <wp:simplePos x="0" y="0"/>
            <wp:positionH relativeFrom="column">
              <wp:posOffset>5313680</wp:posOffset>
            </wp:positionH>
            <wp:positionV relativeFrom="paragraph">
              <wp:posOffset>75674</wp:posOffset>
            </wp:positionV>
            <wp:extent cx="1000562" cy="955170"/>
            <wp:effectExtent l="0" t="0" r="9525" b="0"/>
            <wp:wrapNone/>
            <wp:docPr id="127150497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50497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562" cy="95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E2C35" w14:textId="6DA3ADD6" w:rsidR="001646E4" w:rsidRDefault="00557FA4" w:rsidP="00557FA4">
      <w:pPr>
        <w:pStyle w:val="BlockText"/>
        <w:rPr>
          <w:rFonts w:cs="Arial"/>
          <w:b/>
          <w:noProof/>
          <w:color w:val="2C5C86"/>
          <w:sz w:val="40"/>
          <w:szCs w:val="40"/>
          <w:lang w:eastAsia="en-AU"/>
        </w:rPr>
      </w:pPr>
      <w:r>
        <w:t>1 in 9 Western Australians with disability experienced discrimination                              in the past 12 months</w:t>
      </w:r>
      <w:r w:rsidR="00CC7693">
        <w:t>.</w:t>
      </w:r>
      <w:r w:rsidR="001646E4">
        <w:br w:type="page"/>
      </w:r>
    </w:p>
    <w:p w14:paraId="1F5E1A9E" w14:textId="0CA81945" w:rsidR="00857F23" w:rsidRPr="00240EE5" w:rsidRDefault="004C5F9F" w:rsidP="00223113">
      <w:pPr>
        <w:pStyle w:val="Heading2"/>
        <w:ind w:left="709" w:hanging="709"/>
      </w:pPr>
      <w:bookmarkStart w:id="7" w:name="_Toc194058742"/>
      <w:r>
        <w:lastRenderedPageBreak/>
        <w:t xml:space="preserve">What </w:t>
      </w:r>
      <w:r w:rsidR="00751E75">
        <w:t>is a</w:t>
      </w:r>
      <w:r>
        <w:t xml:space="preserve"> Disability Access and Inclusion Plan?</w:t>
      </w:r>
      <w:bookmarkEnd w:id="5"/>
      <w:bookmarkEnd w:id="7"/>
    </w:p>
    <w:p w14:paraId="294CEC31" w14:textId="71CEC6D1" w:rsidR="00763D21" w:rsidRDefault="00700589" w:rsidP="00763D21">
      <w:pPr>
        <w:pStyle w:val="BodyText"/>
      </w:pPr>
      <w:r w:rsidRPr="00CB2FA3">
        <w:t xml:space="preserve">A </w:t>
      </w:r>
      <w:r w:rsidR="00763D21" w:rsidRPr="00CB2FA3">
        <w:t>D</w:t>
      </w:r>
      <w:r w:rsidR="00BF0F09" w:rsidRPr="00CB2FA3">
        <w:t>isability Access and Inclusion Plan (DAIP)</w:t>
      </w:r>
      <w:r w:rsidR="00763D21" w:rsidRPr="00CB2FA3">
        <w:t xml:space="preserve"> </w:t>
      </w:r>
      <w:r w:rsidRPr="00CB2FA3">
        <w:t>is</w:t>
      </w:r>
      <w:r w:rsidR="00763D21" w:rsidRPr="00CB2FA3">
        <w:t xml:space="preserve"> a </w:t>
      </w:r>
      <w:r w:rsidR="00D54A89" w:rsidRPr="00CB2FA3">
        <w:t>critical driver of positive change</w:t>
      </w:r>
      <w:r w:rsidR="00763D21" w:rsidRPr="00CB2FA3">
        <w:t xml:space="preserve"> for public authorities to:</w:t>
      </w:r>
      <w:r w:rsidR="00763D21">
        <w:t xml:space="preserve"> </w:t>
      </w:r>
    </w:p>
    <w:p w14:paraId="070DEE2B" w14:textId="3002EA7B" w:rsidR="00763D21" w:rsidRPr="00D5286C" w:rsidRDefault="00763D21" w:rsidP="004F5E73">
      <w:pPr>
        <w:pStyle w:val="BodyText"/>
        <w:numPr>
          <w:ilvl w:val="0"/>
          <w:numId w:val="7"/>
        </w:numPr>
      </w:pPr>
      <w:r w:rsidRPr="00D5286C">
        <w:t>eliminat</w:t>
      </w:r>
      <w:r w:rsidR="00D466AF">
        <w:t>e</w:t>
      </w:r>
      <w:r w:rsidRPr="00D5286C">
        <w:t xml:space="preserve"> discrimination against people with disability</w:t>
      </w:r>
      <w:r w:rsidR="00E032BB">
        <w:t>.</w:t>
      </w:r>
    </w:p>
    <w:p w14:paraId="3C769D58" w14:textId="3E04BC0D" w:rsidR="00763D21" w:rsidRDefault="00763D21" w:rsidP="004F5E73">
      <w:pPr>
        <w:pStyle w:val="BodyText"/>
        <w:numPr>
          <w:ilvl w:val="0"/>
          <w:numId w:val="7"/>
        </w:numPr>
      </w:pPr>
      <w:r>
        <w:t>provi</w:t>
      </w:r>
      <w:r w:rsidR="00700589">
        <w:t>d</w:t>
      </w:r>
      <w:r w:rsidR="00D466AF">
        <w:t>e</w:t>
      </w:r>
      <w:r>
        <w:t xml:space="preserve"> </w:t>
      </w:r>
      <w:r w:rsidRPr="00D5286C">
        <w:t xml:space="preserve">inclusive and accessible facilities, </w:t>
      </w:r>
      <w:r>
        <w:t>information</w:t>
      </w:r>
      <w:r w:rsidRPr="00D5286C">
        <w:t xml:space="preserve">, services and workplaces. </w:t>
      </w:r>
    </w:p>
    <w:p w14:paraId="22711BE3" w14:textId="7796739E" w:rsidR="0066237A" w:rsidRDefault="00763D21" w:rsidP="00763D21">
      <w:pPr>
        <w:pStyle w:val="BodyText"/>
      </w:pPr>
      <w:r w:rsidRPr="00763D21">
        <w:t xml:space="preserve">A DAIP </w:t>
      </w:r>
      <w:r w:rsidR="004C66FA">
        <w:t xml:space="preserve">is a clearly written document that </w:t>
      </w:r>
      <w:r w:rsidR="00D45532">
        <w:t>demonstrates</w:t>
      </w:r>
      <w:r w:rsidR="006277B3">
        <w:t xml:space="preserve"> a </w:t>
      </w:r>
      <w:r w:rsidR="00C40AA1">
        <w:t xml:space="preserve">public </w:t>
      </w:r>
      <w:r w:rsidRPr="00763D21">
        <w:t>authorit</w:t>
      </w:r>
      <w:r w:rsidR="006277B3">
        <w:t>y’s</w:t>
      </w:r>
      <w:r w:rsidR="00D45532">
        <w:t xml:space="preserve"> commitment to access and inclusion</w:t>
      </w:r>
      <w:r w:rsidR="00D64667">
        <w:t xml:space="preserve">. The </w:t>
      </w:r>
      <w:r w:rsidR="003C720D">
        <w:t>DAIP</w:t>
      </w:r>
      <w:r w:rsidR="00D45532">
        <w:t xml:space="preserve"> </w:t>
      </w:r>
      <w:r w:rsidR="00F752C1">
        <w:t xml:space="preserve">outlines </w:t>
      </w:r>
      <w:r w:rsidR="00763740">
        <w:t xml:space="preserve">the </w:t>
      </w:r>
      <w:r w:rsidR="00B55871">
        <w:t>strategies</w:t>
      </w:r>
      <w:r w:rsidR="00CD5A9D">
        <w:t xml:space="preserve"> and actions</w:t>
      </w:r>
      <w:r w:rsidR="00B55871">
        <w:t xml:space="preserve"> </w:t>
      </w:r>
      <w:r w:rsidR="00EA660A">
        <w:t>t</w:t>
      </w:r>
      <w:r w:rsidR="00C33127">
        <w:t>hat will</w:t>
      </w:r>
      <w:r w:rsidR="00B55871">
        <w:t xml:space="preserve"> be implemented to </w:t>
      </w:r>
      <w:r w:rsidR="00320829">
        <w:t>achieve equitable outcomes for people with disability.</w:t>
      </w:r>
      <w:r w:rsidR="00B51000">
        <w:t xml:space="preserve"> </w:t>
      </w:r>
      <w:r w:rsidR="00CB2FA3">
        <w:t>Through a DAIP</w:t>
      </w:r>
      <w:r w:rsidR="00CD5A9D">
        <w:t>,</w:t>
      </w:r>
      <w:r w:rsidR="00CB2FA3">
        <w:t xml:space="preserve"> public authorities </w:t>
      </w:r>
      <w:r w:rsidR="00824755">
        <w:t xml:space="preserve">demonstrate their </w:t>
      </w:r>
      <w:r w:rsidR="00CB2FA3">
        <w:t xml:space="preserve">leadership role in creating an inclusive </w:t>
      </w:r>
      <w:r w:rsidR="00EA660A">
        <w:t>WA where everyone belongs.</w:t>
      </w:r>
    </w:p>
    <w:p w14:paraId="005D313A" w14:textId="1EE28076" w:rsidR="00763D21" w:rsidRDefault="003C720D" w:rsidP="00763D21">
      <w:pPr>
        <w:pStyle w:val="BodyText"/>
      </w:pPr>
      <w:r>
        <w:t>DAIPs</w:t>
      </w:r>
      <w:r w:rsidR="00763D21" w:rsidRPr="005B4611">
        <w:t xml:space="preserve"> vary according to</w:t>
      </w:r>
      <w:r w:rsidR="006767DF">
        <w:t xml:space="preserve"> individual authorities’</w:t>
      </w:r>
      <w:r w:rsidR="00426D10">
        <w:t xml:space="preserve"> </w:t>
      </w:r>
      <w:r w:rsidR="0062525D">
        <w:t>size and function</w:t>
      </w:r>
      <w:r w:rsidR="00763D21">
        <w:t>,</w:t>
      </w:r>
      <w:r w:rsidR="00763D21" w:rsidRPr="005B4611">
        <w:t xml:space="preserve"> and the </w:t>
      </w:r>
      <w:r w:rsidR="003D24F9">
        <w:t>residents and service users</w:t>
      </w:r>
      <w:r w:rsidR="009061BE">
        <w:t>’</w:t>
      </w:r>
      <w:r w:rsidR="003D24F9">
        <w:t xml:space="preserve"> needs. </w:t>
      </w:r>
    </w:p>
    <w:p w14:paraId="6E179991" w14:textId="747B3E7D" w:rsidR="0020195C" w:rsidRDefault="00AF7B66" w:rsidP="00B035ED">
      <w:pPr>
        <w:pStyle w:val="BodyText"/>
      </w:pPr>
      <w:r w:rsidRPr="00AF7B66">
        <w:t xml:space="preserve">Since the introduction of </w:t>
      </w:r>
      <w:r>
        <w:t>mandatory DAIPs for WA public authorities</w:t>
      </w:r>
      <w:r w:rsidR="00E4376E">
        <w:t xml:space="preserve"> in </w:t>
      </w:r>
      <w:r w:rsidR="00794927">
        <w:t>1993</w:t>
      </w:r>
      <w:r>
        <w:t xml:space="preserve">, </w:t>
      </w:r>
      <w:r w:rsidR="00763D21" w:rsidRPr="00763D21">
        <w:t xml:space="preserve">approaches to access and inclusion </w:t>
      </w:r>
      <w:r w:rsidR="005A2180">
        <w:t xml:space="preserve">planning </w:t>
      </w:r>
      <w:r w:rsidR="00763D21" w:rsidRPr="00763D21">
        <w:t>have changed</w:t>
      </w:r>
      <w:r w:rsidR="005A2180">
        <w:t xml:space="preserve">. </w:t>
      </w:r>
      <w:r w:rsidR="00E4376E">
        <w:t>Communities</w:t>
      </w:r>
      <w:r w:rsidR="000847CA">
        <w:t>’</w:t>
      </w:r>
      <w:r w:rsidR="00E4376E">
        <w:t xml:space="preserve"> expectations have changed, s</w:t>
      </w:r>
      <w:r w:rsidR="005A2180">
        <w:t xml:space="preserve">takeholder </w:t>
      </w:r>
      <w:r w:rsidR="00763D21" w:rsidRPr="00763D21">
        <w:t>engagement methods</w:t>
      </w:r>
      <w:r w:rsidR="005A2180">
        <w:t xml:space="preserve"> have evolved,</w:t>
      </w:r>
      <w:r w:rsidR="00763D21" w:rsidRPr="00763D21">
        <w:t xml:space="preserve"> whole-of-community inclusion plannin</w:t>
      </w:r>
      <w:r w:rsidR="0059752A">
        <w:t>g</w:t>
      </w:r>
      <w:r w:rsidR="005A2180">
        <w:t xml:space="preserve"> has been introduced</w:t>
      </w:r>
      <w:r w:rsidR="0059752A">
        <w:t>,</w:t>
      </w:r>
      <w:r w:rsidR="00193A7D">
        <w:t xml:space="preserve"> </w:t>
      </w:r>
      <w:r w:rsidR="005A2180">
        <w:t xml:space="preserve">and some public authorities have </w:t>
      </w:r>
      <w:r w:rsidR="000265A2">
        <w:t xml:space="preserve">introduced </w:t>
      </w:r>
      <w:r w:rsidR="00DC3371">
        <w:t>additional</w:t>
      </w:r>
      <w:r w:rsidR="001B792B">
        <w:t xml:space="preserve"> outcome</w:t>
      </w:r>
      <w:r w:rsidR="00DC3371">
        <w:t>s</w:t>
      </w:r>
      <w:r w:rsidR="008021B4">
        <w:t>.</w:t>
      </w:r>
      <w:r w:rsidR="00D20CBC">
        <w:t xml:space="preserve"> The key themes </w:t>
      </w:r>
      <w:r w:rsidR="0016170D">
        <w:t xml:space="preserve">of </w:t>
      </w:r>
      <w:r w:rsidR="00D20CBC">
        <w:t>additional outcome</w:t>
      </w:r>
      <w:r w:rsidR="0016170D">
        <w:t>s</w:t>
      </w:r>
      <w:r w:rsidR="00D20CBC">
        <w:t xml:space="preserve"> are advocacy and capacity building</w:t>
      </w:r>
      <w:r w:rsidR="00D547F0">
        <w:t>, particularly building</w:t>
      </w:r>
      <w:r w:rsidR="00374914">
        <w:t xml:space="preserve"> </w:t>
      </w:r>
      <w:r w:rsidR="00AB1622">
        <w:t>awareness and capacity of</w:t>
      </w:r>
      <w:r w:rsidR="0059752A">
        <w:t xml:space="preserve"> business </w:t>
      </w:r>
      <w:r w:rsidR="00EC214F">
        <w:t xml:space="preserve">to </w:t>
      </w:r>
      <w:r w:rsidR="00AB1622">
        <w:t>incorporate access and inclusion into their day-to-day operations</w:t>
      </w:r>
      <w:r w:rsidR="00193A7D">
        <w:t>.</w:t>
      </w:r>
      <w:r w:rsidR="00763D21" w:rsidRPr="00763D21">
        <w:t xml:space="preserve"> </w:t>
      </w:r>
    </w:p>
    <w:p w14:paraId="6BFFD987" w14:textId="3DDAAF33" w:rsidR="00281965" w:rsidRDefault="00763D21" w:rsidP="00B035ED">
      <w:pPr>
        <w:pStyle w:val="BodyText"/>
      </w:pPr>
      <w:r w:rsidRPr="00763D21">
        <w:t xml:space="preserve">While </w:t>
      </w:r>
      <w:r w:rsidR="006B6C1F">
        <w:t>DAIP</w:t>
      </w:r>
      <w:r w:rsidRPr="00763D21">
        <w:t xml:space="preserve"> structures and strategic approaches may </w:t>
      </w:r>
      <w:r w:rsidR="006F1B7B">
        <w:t>vary</w:t>
      </w:r>
      <w:r w:rsidRPr="00763D21">
        <w:t xml:space="preserve">, at </w:t>
      </w:r>
      <w:r w:rsidR="00EB1EA7">
        <w:t>the very least</w:t>
      </w:r>
      <w:r w:rsidR="00426D10">
        <w:t xml:space="preserve"> </w:t>
      </w:r>
      <w:r w:rsidRPr="00763D21">
        <w:t xml:space="preserve">the Act requires the implementation of actions that contribute to </w:t>
      </w:r>
      <w:r w:rsidR="005A2180">
        <w:t xml:space="preserve">positive </w:t>
      </w:r>
      <w:r w:rsidRPr="00763D21">
        <w:t xml:space="preserve">change across </w:t>
      </w:r>
      <w:r w:rsidR="00B33C82">
        <w:t xml:space="preserve">the </w:t>
      </w:r>
      <w:r w:rsidRPr="00763D21">
        <w:t>seven outcome areas</w:t>
      </w:r>
      <w:r w:rsidR="007C574F">
        <w:t xml:space="preserve"> set out in the Act</w:t>
      </w:r>
      <w:r w:rsidR="003F5360">
        <w:t>. R</w:t>
      </w:r>
      <w:r w:rsidR="00F544A8">
        <w:t xml:space="preserve">efer </w:t>
      </w:r>
      <w:r w:rsidR="001D0F04">
        <w:t xml:space="preserve">to </w:t>
      </w:r>
      <w:hyperlink w:anchor="_Appendix_1:_Disability" w:history="1">
        <w:r w:rsidR="00F544A8" w:rsidRPr="00CE186C">
          <w:rPr>
            <w:rStyle w:val="Hyperlink"/>
          </w:rPr>
          <w:t xml:space="preserve">Appendix 1: </w:t>
        </w:r>
        <w:r w:rsidR="005B1EAC" w:rsidRPr="00CE186C">
          <w:rPr>
            <w:rStyle w:val="Hyperlink"/>
          </w:rPr>
          <w:t>DAIPs: s</w:t>
        </w:r>
        <w:r w:rsidR="00F544A8" w:rsidRPr="00CE186C">
          <w:rPr>
            <w:rStyle w:val="Hyperlink"/>
          </w:rPr>
          <w:t>even outcomes</w:t>
        </w:r>
      </w:hyperlink>
      <w:r w:rsidR="001D0F04">
        <w:t>).</w:t>
      </w:r>
    </w:p>
    <w:p w14:paraId="5347A856" w14:textId="64FAB1E1" w:rsidR="00281965" w:rsidRDefault="00E35AED" w:rsidP="00611BDC">
      <w:pPr>
        <w:spacing w:after="0" w:line="240" w:lineRule="auto"/>
        <w:jc w:val="center"/>
        <w:rPr>
          <w:rFonts w:cs="Arial"/>
        </w:rPr>
      </w:pPr>
      <w:r w:rsidRPr="00E35AED">
        <w:rPr>
          <w:noProof/>
        </w:rPr>
        <w:drawing>
          <wp:inline distT="0" distB="0" distL="0" distR="0" wp14:anchorId="3E80F348" wp14:editId="052C8354">
            <wp:extent cx="4057650" cy="3255136"/>
            <wp:effectExtent l="0" t="0" r="0" b="2540"/>
            <wp:docPr id="135140778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0778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03994" cy="329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1965">
        <w:br w:type="page"/>
      </w:r>
    </w:p>
    <w:p w14:paraId="510F3FFF" w14:textId="428BDC13" w:rsidR="00281965" w:rsidRDefault="00281965" w:rsidP="00223113">
      <w:pPr>
        <w:pStyle w:val="Heading2"/>
        <w:ind w:left="709" w:hanging="709"/>
      </w:pPr>
      <w:bookmarkStart w:id="8" w:name="_Toc194058743"/>
      <w:r>
        <w:lastRenderedPageBreak/>
        <w:t>Why have a Disability Access and Inclusion Plan?</w:t>
      </w:r>
      <w:bookmarkEnd w:id="8"/>
    </w:p>
    <w:p w14:paraId="1C8ED6D1" w14:textId="05AF222B" w:rsidR="00C81A95" w:rsidRPr="00C47C78" w:rsidRDefault="00B324EE" w:rsidP="00C47C78">
      <w:pPr>
        <w:pStyle w:val="BodyText"/>
      </w:pPr>
      <w:r>
        <w:t xml:space="preserve">Access and inclusion </w:t>
      </w:r>
      <w:r w:rsidR="005660E3">
        <w:t>are</w:t>
      </w:r>
      <w:r>
        <w:t xml:space="preserve"> as valuable to our broader community as </w:t>
      </w:r>
      <w:r w:rsidR="005660E3">
        <w:t>they are</w:t>
      </w:r>
      <w:r>
        <w:t xml:space="preserve"> for people with disability. </w:t>
      </w:r>
      <w:r w:rsidR="00C81A95">
        <w:t>People with disability contribute in big and small ways to our community each and every day</w:t>
      </w:r>
      <w:r w:rsidR="00AA4C56">
        <w:t xml:space="preserve"> – </w:t>
      </w:r>
      <w:r w:rsidR="00C81A95">
        <w:t>as our teachers, our colleagues, local business owners, community leaders, our friends and family members.</w:t>
      </w:r>
      <w:r w:rsidR="002F6814">
        <w:t xml:space="preserve"> Every person’s experience is unique to their individual circumstances.</w:t>
      </w:r>
      <w:r w:rsidR="00252335">
        <w:t xml:space="preserve"> </w:t>
      </w:r>
    </w:p>
    <w:p w14:paraId="334A18E1" w14:textId="0D534C82" w:rsidR="00B17D9E" w:rsidRDefault="00B00319" w:rsidP="00B00319">
      <w:pPr>
        <w:pStyle w:val="BodyText"/>
      </w:pPr>
      <w:r w:rsidRPr="00C47C78">
        <w:t xml:space="preserve">Public authorities play an important role in the well-being of our community by providing the </w:t>
      </w:r>
      <w:r w:rsidR="00DD5EA9">
        <w:t>events, facilities, information,</w:t>
      </w:r>
      <w:r w:rsidRPr="00C47C78">
        <w:t xml:space="preserve"> services, and </w:t>
      </w:r>
      <w:r w:rsidR="00DD5EA9">
        <w:t xml:space="preserve">workplaces we </w:t>
      </w:r>
      <w:r w:rsidR="00330558">
        <w:t>enjoy</w:t>
      </w:r>
      <w:r w:rsidR="00DD5EA9">
        <w:t xml:space="preserve"> on a daily basis. </w:t>
      </w:r>
      <w:r w:rsidR="00B1064E">
        <w:t xml:space="preserve">Developing and implementing a DAIP reinforces the </w:t>
      </w:r>
      <w:r w:rsidR="00B1064E" w:rsidRPr="002218B2">
        <w:t>social model of disability</w:t>
      </w:r>
      <w:r w:rsidR="00FE6F82" w:rsidRPr="002218B2">
        <w:rPr>
          <w:rStyle w:val="FootnoteReference"/>
        </w:rPr>
        <w:footnoteReference w:id="2"/>
      </w:r>
      <w:r w:rsidR="00B1064E" w:rsidRPr="002218B2">
        <w:t xml:space="preserve"> by</w:t>
      </w:r>
      <w:r w:rsidR="00B1064E">
        <w:t xml:space="preserve"> addressing the social attitudes, practices and structures that limit and prevent people with disability from living a life </w:t>
      </w:r>
      <w:r w:rsidR="00B17D9E">
        <w:t>of choice and control.</w:t>
      </w:r>
    </w:p>
    <w:p w14:paraId="72C059FD" w14:textId="35814C5B" w:rsidR="00135218" w:rsidRPr="006F1B7B" w:rsidRDefault="00B17D9E" w:rsidP="00C47C78">
      <w:pPr>
        <w:pStyle w:val="BodyText"/>
      </w:pPr>
      <w:r>
        <w:t xml:space="preserve">DAIPs recognise and </w:t>
      </w:r>
      <w:r w:rsidR="00EF2A89">
        <w:t>assist</w:t>
      </w:r>
      <w:r>
        <w:t xml:space="preserve"> people of all abilities,</w:t>
      </w:r>
      <w:r w:rsidR="00B00319" w:rsidRPr="00C47C78">
        <w:t xml:space="preserve"> </w:t>
      </w:r>
      <w:r w:rsidR="00EA416E">
        <w:t>support</w:t>
      </w:r>
      <w:r w:rsidR="00735CED">
        <w:t>ing</w:t>
      </w:r>
      <w:r w:rsidR="00EA416E">
        <w:t xml:space="preserve"> </w:t>
      </w:r>
      <w:r>
        <w:t>their</w:t>
      </w:r>
      <w:r w:rsidR="00B00319" w:rsidRPr="00C47C78">
        <w:t xml:space="preserve"> human rights and dignity, </w:t>
      </w:r>
      <w:r>
        <w:t>and unlock</w:t>
      </w:r>
      <w:r w:rsidR="00735CED">
        <w:t>ing</w:t>
      </w:r>
      <w:r w:rsidR="00B00319" w:rsidRPr="00C47C78">
        <w:t xml:space="preserve"> the skills and talent our economy and workplaces</w:t>
      </w:r>
      <w:r w:rsidR="00B33C82">
        <w:t xml:space="preserve"> need</w:t>
      </w:r>
      <w:r w:rsidR="00B00319" w:rsidRPr="00C47C78">
        <w:t xml:space="preserve"> to thrive. </w:t>
      </w:r>
      <w:r w:rsidR="00B1064E">
        <w:t>A DAIP delivers</w:t>
      </w:r>
      <w:r w:rsidR="00135218">
        <w:t xml:space="preserve"> many benefits for individuals, your public </w:t>
      </w:r>
      <w:r w:rsidR="00135218" w:rsidRPr="006F1B7B">
        <w:t xml:space="preserve">authority, your workplace and the broader community. </w:t>
      </w:r>
    </w:p>
    <w:p w14:paraId="35307638" w14:textId="2FF029BB" w:rsidR="00C25DBF" w:rsidRPr="006F1B7B" w:rsidRDefault="00AC4550" w:rsidP="007741BD">
      <w:pPr>
        <w:pStyle w:val="BodyText"/>
        <w:numPr>
          <w:ilvl w:val="0"/>
          <w:numId w:val="30"/>
        </w:numPr>
      </w:pPr>
      <w:r w:rsidRPr="006F1B7B">
        <w:t>A</w:t>
      </w:r>
      <w:r w:rsidR="003973D6" w:rsidRPr="006F1B7B">
        <w:t xml:space="preserve"> DAIP</w:t>
      </w:r>
      <w:r w:rsidRPr="006F1B7B">
        <w:t xml:space="preserve"> can help a public authority’s employees and service users understand </w:t>
      </w:r>
      <w:r w:rsidR="002528E3" w:rsidRPr="006F1B7B">
        <w:t xml:space="preserve">how </w:t>
      </w:r>
      <w:r w:rsidR="006F1B7B" w:rsidRPr="006F1B7B">
        <w:t>the authority</w:t>
      </w:r>
      <w:r w:rsidR="002528E3" w:rsidRPr="006F1B7B">
        <w:t xml:space="preserve"> is working to </w:t>
      </w:r>
      <w:r w:rsidR="001A1F17" w:rsidRPr="006F1B7B">
        <w:t>make</w:t>
      </w:r>
      <w:r w:rsidR="00AE1557" w:rsidRPr="006F1B7B">
        <w:t xml:space="preserve"> the</w:t>
      </w:r>
      <w:r w:rsidR="00D87A8B" w:rsidRPr="006F1B7B">
        <w:t xml:space="preserve"> community more accessible, inclusive and welcoming for </w:t>
      </w:r>
      <w:r w:rsidR="002F4089" w:rsidRPr="006F1B7B">
        <w:t>people of all abilities</w:t>
      </w:r>
      <w:r w:rsidR="004E6672" w:rsidRPr="006F1B7B">
        <w:rPr>
          <w:rStyle w:val="FootnoteReference"/>
        </w:rPr>
        <w:footnoteReference w:id="3"/>
      </w:r>
      <w:r w:rsidR="002F4089" w:rsidRPr="006F1B7B">
        <w:t>.</w:t>
      </w:r>
      <w:r w:rsidR="00D87A8B" w:rsidRPr="006F1B7B">
        <w:t xml:space="preserve"> </w:t>
      </w:r>
      <w:r w:rsidR="003973D6" w:rsidRPr="006F1B7B">
        <w:t xml:space="preserve"> </w:t>
      </w:r>
      <w:r w:rsidR="005406D0" w:rsidRPr="006F1B7B">
        <w:t xml:space="preserve">For people with disability, </w:t>
      </w:r>
      <w:r w:rsidR="00A46394" w:rsidRPr="006F1B7B">
        <w:t xml:space="preserve">DAIP initiatives contribute to increased participation in community life </w:t>
      </w:r>
      <w:r w:rsidR="008433D9" w:rsidRPr="006F1B7B">
        <w:t xml:space="preserve">and </w:t>
      </w:r>
      <w:r w:rsidR="00A46394" w:rsidRPr="006F1B7B">
        <w:t xml:space="preserve">reduced </w:t>
      </w:r>
      <w:r w:rsidR="009E5DC5" w:rsidRPr="006F1B7B">
        <w:t>social isolation and loneliness</w:t>
      </w:r>
      <w:r w:rsidR="008433D9" w:rsidRPr="006F1B7B">
        <w:rPr>
          <w:rStyle w:val="FootnoteReference"/>
        </w:rPr>
        <w:footnoteReference w:id="4"/>
      </w:r>
      <w:r w:rsidR="008433D9" w:rsidRPr="006F1B7B">
        <w:t>.</w:t>
      </w:r>
    </w:p>
    <w:p w14:paraId="626BADB3" w14:textId="32AEF0AD" w:rsidR="0031028D" w:rsidRPr="006F1B7B" w:rsidRDefault="00A912B7" w:rsidP="007741BD">
      <w:pPr>
        <w:pStyle w:val="BodyText"/>
        <w:numPr>
          <w:ilvl w:val="0"/>
          <w:numId w:val="29"/>
        </w:numPr>
      </w:pPr>
      <w:r w:rsidRPr="006F1B7B">
        <w:t xml:space="preserve">People with disability </w:t>
      </w:r>
      <w:r w:rsidR="00E37FA2" w:rsidRPr="006F1B7B">
        <w:t>make up 20</w:t>
      </w:r>
      <w:r w:rsidR="00B33C82">
        <w:t xml:space="preserve"> percent</w:t>
      </w:r>
      <w:r w:rsidR="00B33C82" w:rsidRPr="006F1B7B">
        <w:t xml:space="preserve"> </w:t>
      </w:r>
      <w:r w:rsidR="00E37FA2" w:rsidRPr="006F1B7B">
        <w:t xml:space="preserve">of the population, </w:t>
      </w:r>
      <w:r w:rsidR="006704B0" w:rsidRPr="006F1B7B">
        <w:t xml:space="preserve">equating to one in five of </w:t>
      </w:r>
      <w:r w:rsidR="004A3CE5" w:rsidRPr="006F1B7B">
        <w:t xml:space="preserve">a public authority’s </w:t>
      </w:r>
      <w:r w:rsidR="006704B0" w:rsidRPr="006F1B7B">
        <w:t xml:space="preserve">service users. </w:t>
      </w:r>
      <w:r w:rsidR="00564C85" w:rsidRPr="006F1B7B">
        <w:t xml:space="preserve">As such, </w:t>
      </w:r>
      <w:r w:rsidR="00006C8F" w:rsidRPr="006F1B7B">
        <w:t>a DAIP</w:t>
      </w:r>
      <w:r w:rsidR="00B33C82">
        <w:t xml:space="preserve">’s </w:t>
      </w:r>
      <w:r w:rsidR="00006C8F" w:rsidRPr="006F1B7B">
        <w:t xml:space="preserve">strategies </w:t>
      </w:r>
      <w:r w:rsidR="007B35F8" w:rsidRPr="006F1B7B">
        <w:t xml:space="preserve">can improve </w:t>
      </w:r>
      <w:r w:rsidR="006F1B7B" w:rsidRPr="006F1B7B">
        <w:t xml:space="preserve">a public authority’s </w:t>
      </w:r>
      <w:r w:rsidR="007347E8" w:rsidRPr="006F1B7B">
        <w:t>service</w:t>
      </w:r>
      <w:r w:rsidR="006F1B7B" w:rsidRPr="006F1B7B">
        <w:t xml:space="preserve"> </w:t>
      </w:r>
      <w:r w:rsidR="007347E8" w:rsidRPr="006F1B7B">
        <w:t>usage and organisational reputation</w:t>
      </w:r>
      <w:r w:rsidR="004A13EE" w:rsidRPr="006F1B7B">
        <w:rPr>
          <w:rStyle w:val="FootnoteReference"/>
        </w:rPr>
        <w:footnoteReference w:id="5"/>
      </w:r>
      <w:r w:rsidR="009D0AB0" w:rsidRPr="006F1B7B">
        <w:t xml:space="preserve">. </w:t>
      </w:r>
      <w:r w:rsidR="00684500" w:rsidRPr="006F1B7B">
        <w:t xml:space="preserve"> </w:t>
      </w:r>
      <w:r w:rsidR="009C7729" w:rsidRPr="006F1B7B">
        <w:t xml:space="preserve"> </w:t>
      </w:r>
    </w:p>
    <w:p w14:paraId="023B2EA1" w14:textId="28F9717E" w:rsidR="00D63B64" w:rsidRPr="006F1B7B" w:rsidRDefault="00965999" w:rsidP="007741BD">
      <w:pPr>
        <w:pStyle w:val="BodyText"/>
        <w:numPr>
          <w:ilvl w:val="0"/>
          <w:numId w:val="29"/>
        </w:numPr>
      </w:pPr>
      <w:r w:rsidRPr="006F1B7B">
        <w:t xml:space="preserve">A diverse workforce and inclusive workplace can have benefits </w:t>
      </w:r>
      <w:r w:rsidR="007A043C">
        <w:t>that include</w:t>
      </w:r>
      <w:r w:rsidRPr="006F1B7B">
        <w:t xml:space="preserve"> increased</w:t>
      </w:r>
      <w:r w:rsidR="00904314" w:rsidRPr="006F1B7B">
        <w:t xml:space="preserve"> innovation,</w:t>
      </w:r>
      <w:r w:rsidR="00F67D84" w:rsidRPr="006F1B7B">
        <w:t xml:space="preserve"> </w:t>
      </w:r>
      <w:r w:rsidR="00C11747" w:rsidRPr="006F1B7B">
        <w:t xml:space="preserve">positive impacts on </w:t>
      </w:r>
      <w:r w:rsidR="00F15775" w:rsidRPr="006F1B7B">
        <w:t>staff wellbeing</w:t>
      </w:r>
      <w:r w:rsidR="00861625" w:rsidRPr="006F1B7B">
        <w:t xml:space="preserve">, </w:t>
      </w:r>
      <w:r w:rsidR="000D6EF7" w:rsidRPr="006F1B7B">
        <w:t xml:space="preserve">reduced discrimination and harassment, </w:t>
      </w:r>
      <w:r w:rsidR="00861625" w:rsidRPr="006F1B7B">
        <w:t>and</w:t>
      </w:r>
      <w:r w:rsidR="003A574C" w:rsidRPr="006F1B7B">
        <w:t xml:space="preserve"> improved </w:t>
      </w:r>
      <w:r w:rsidR="0074256A" w:rsidRPr="006F1B7B">
        <w:t xml:space="preserve">customer service and </w:t>
      </w:r>
      <w:r w:rsidR="002216EA" w:rsidRPr="006F1B7B">
        <w:t>performance</w:t>
      </w:r>
      <w:r w:rsidR="00290099" w:rsidRPr="006F1B7B">
        <w:rPr>
          <w:rStyle w:val="FootnoteReference"/>
        </w:rPr>
        <w:footnoteReference w:id="6"/>
      </w:r>
      <w:r w:rsidR="00861625" w:rsidRPr="006F1B7B">
        <w:t xml:space="preserve">. </w:t>
      </w:r>
    </w:p>
    <w:p w14:paraId="37B777A7" w14:textId="724E4F59" w:rsidR="00411A08" w:rsidRDefault="00015CA2" w:rsidP="007741BD">
      <w:pPr>
        <w:pStyle w:val="BodyText"/>
        <w:numPr>
          <w:ilvl w:val="0"/>
          <w:numId w:val="29"/>
        </w:numPr>
      </w:pPr>
      <w:r w:rsidRPr="006F1B7B">
        <w:t>Social i</w:t>
      </w:r>
      <w:r w:rsidR="00EE68B8" w:rsidRPr="006F1B7B">
        <w:t xml:space="preserve">nclusion </w:t>
      </w:r>
      <w:r w:rsidR="00930971" w:rsidRPr="006F1B7B">
        <w:t xml:space="preserve">contributes to improved living standards for everyone </w:t>
      </w:r>
      <w:r w:rsidR="00A30598" w:rsidRPr="006F1B7B">
        <w:t>– better employment and health outcomes,</w:t>
      </w:r>
      <w:r w:rsidR="00930971" w:rsidRPr="006F1B7B">
        <w:t xml:space="preserve"> </w:t>
      </w:r>
      <w:r w:rsidR="00115374" w:rsidRPr="006F1B7B">
        <w:t xml:space="preserve">improved productivity, </w:t>
      </w:r>
      <w:r w:rsidR="00A30598" w:rsidRPr="006F1B7B">
        <w:t xml:space="preserve">and </w:t>
      </w:r>
      <w:r w:rsidR="008F4412" w:rsidRPr="006F1B7B">
        <w:t>economic growth</w:t>
      </w:r>
      <w:r w:rsidR="00582714" w:rsidRPr="006F1B7B">
        <w:rPr>
          <w:rStyle w:val="FootnoteReference"/>
        </w:rPr>
        <w:footnoteReference w:id="7"/>
      </w:r>
      <w:r w:rsidR="008F4412" w:rsidRPr="006F1B7B">
        <w:t>.</w:t>
      </w:r>
    </w:p>
    <w:p w14:paraId="607CCD3B" w14:textId="722973B2" w:rsidR="00857F23" w:rsidRPr="00240EE5" w:rsidRDefault="00C814A6" w:rsidP="00B17D9E">
      <w:pPr>
        <w:pStyle w:val="Heading2"/>
        <w:ind w:left="709" w:hanging="709"/>
      </w:pPr>
      <w:bookmarkStart w:id="9" w:name="_Toc194058744"/>
      <w:r>
        <w:lastRenderedPageBreak/>
        <w:t>Public Authority</w:t>
      </w:r>
      <w:r w:rsidR="005A2180">
        <w:t xml:space="preserve"> obligations</w:t>
      </w:r>
      <w:bookmarkEnd w:id="9"/>
    </w:p>
    <w:p w14:paraId="4C29B248" w14:textId="747ED692" w:rsidR="00FE1FB7" w:rsidRPr="00256852" w:rsidRDefault="00FE1FB7" w:rsidP="00FE1FB7">
      <w:pPr>
        <w:pStyle w:val="BodyText"/>
      </w:pPr>
      <w:r w:rsidRPr="00D5286C">
        <w:t>P</w:t>
      </w:r>
      <w:r w:rsidRPr="00386DD9">
        <w:t xml:space="preserve">ublic authorities </w:t>
      </w:r>
      <w:r w:rsidR="000847CA">
        <w:t>have</w:t>
      </w:r>
      <w:r w:rsidR="000847CA" w:rsidRPr="00386DD9">
        <w:t xml:space="preserve"> </w:t>
      </w:r>
      <w:r w:rsidRPr="00386DD9">
        <w:t xml:space="preserve">a leadership role in </w:t>
      </w:r>
      <w:r w:rsidRPr="00D5286C">
        <w:t>achieving an</w:t>
      </w:r>
      <w:r w:rsidR="005A2180">
        <w:t xml:space="preserve"> accessible and</w:t>
      </w:r>
      <w:r w:rsidRPr="00D5286C">
        <w:t xml:space="preserve"> inclusive community</w:t>
      </w:r>
      <w:r w:rsidR="009F75BA">
        <w:t xml:space="preserve"> </w:t>
      </w:r>
      <w:r w:rsidR="00B13D48">
        <w:t xml:space="preserve">– one </w:t>
      </w:r>
      <w:r w:rsidR="00AB1A47">
        <w:t>that values diversity, promotes equ</w:t>
      </w:r>
      <w:r w:rsidR="00E44EEE">
        <w:t xml:space="preserve">itable participation and provides opportunities </w:t>
      </w:r>
      <w:r w:rsidR="0020195C">
        <w:t xml:space="preserve">for </w:t>
      </w:r>
      <w:r w:rsidR="000825D1">
        <w:t>everyone</w:t>
      </w:r>
      <w:r>
        <w:t>.</w:t>
      </w:r>
      <w:r w:rsidR="00B822FD">
        <w:t xml:space="preserve"> Each public authority </w:t>
      </w:r>
      <w:r w:rsidR="008C0A5A">
        <w:t>must</w:t>
      </w:r>
      <w:r w:rsidR="00B17D9E">
        <w:t xml:space="preserve"> </w:t>
      </w:r>
      <w:r w:rsidR="00B822FD">
        <w:t xml:space="preserve">develop a </w:t>
      </w:r>
      <w:r w:rsidR="006B6C1F">
        <w:t>DAIP</w:t>
      </w:r>
      <w:r w:rsidR="00B822FD">
        <w:t xml:space="preserve"> relevant to its functions, size, and stakeholders, </w:t>
      </w:r>
      <w:r w:rsidR="009A73C5">
        <w:t>including</w:t>
      </w:r>
      <w:r w:rsidR="00B822FD">
        <w:t xml:space="preserve"> people with disability, those who share their lives, disability </w:t>
      </w:r>
      <w:r w:rsidR="009A73C5">
        <w:t>service providers, and the wider community.</w:t>
      </w:r>
    </w:p>
    <w:p w14:paraId="0C5CA266" w14:textId="77777777" w:rsidR="00310AB8" w:rsidRDefault="00FE1FB7" w:rsidP="00FE1FB7">
      <w:pPr>
        <w:pStyle w:val="BodyText"/>
      </w:pPr>
      <w:r w:rsidRPr="00386DD9">
        <w:t>T</w:t>
      </w:r>
      <w:r>
        <w:t xml:space="preserve">he requirement for public authorities to develop and implement a DAIP </w:t>
      </w:r>
      <w:r w:rsidRPr="00386DD9">
        <w:t xml:space="preserve">is set out in the </w:t>
      </w:r>
      <w:r w:rsidRPr="00983D25">
        <w:rPr>
          <w:i/>
          <w:iCs/>
        </w:rPr>
        <w:t>Disability Services Act 1993</w:t>
      </w:r>
      <w:r w:rsidRPr="00386DD9">
        <w:t xml:space="preserve"> (Part 5) and Disability Services Regulations 2004 (Schedules 1-3). </w:t>
      </w:r>
    </w:p>
    <w:p w14:paraId="76A95D94" w14:textId="66880CB6" w:rsidR="00FE1FB7" w:rsidRPr="00386DD9" w:rsidRDefault="00FE1FB7" w:rsidP="00FE1FB7">
      <w:pPr>
        <w:pStyle w:val="BodyText"/>
      </w:pPr>
      <w:r w:rsidRPr="00386DD9">
        <w:t>To comply with the Act, a public authority is required to:</w:t>
      </w:r>
    </w:p>
    <w:p w14:paraId="5A77E668" w14:textId="54398BB4" w:rsidR="00FE1FB7" w:rsidRPr="000F47A9" w:rsidRDefault="001E48AE" w:rsidP="004F5E73">
      <w:pPr>
        <w:pStyle w:val="BodyText"/>
        <w:numPr>
          <w:ilvl w:val="0"/>
          <w:numId w:val="8"/>
        </w:numPr>
      </w:pPr>
      <w:r>
        <w:t>D</w:t>
      </w:r>
      <w:r w:rsidR="00FE1FB7">
        <w:t>evelop, implement and m</w:t>
      </w:r>
      <w:r w:rsidR="00FE1FB7" w:rsidRPr="000F47A9">
        <w:t xml:space="preserve">aintain a current DAIP </w:t>
      </w:r>
      <w:r w:rsidR="00FE1FB7">
        <w:t xml:space="preserve">that reflects </w:t>
      </w:r>
      <w:r w:rsidR="0002524E">
        <w:t xml:space="preserve">the </w:t>
      </w:r>
      <w:r w:rsidR="00FE1FB7">
        <w:t>seven outcome areas (as specified in the Act)</w:t>
      </w:r>
      <w:r w:rsidR="0086345A">
        <w:t>.</w:t>
      </w:r>
    </w:p>
    <w:p w14:paraId="44CF167F" w14:textId="35A65C58" w:rsidR="00FE1FB7" w:rsidRPr="000F47A9" w:rsidRDefault="001E48AE" w:rsidP="004F5E73">
      <w:pPr>
        <w:pStyle w:val="BodyText"/>
        <w:numPr>
          <w:ilvl w:val="0"/>
          <w:numId w:val="8"/>
        </w:numPr>
      </w:pPr>
      <w:r>
        <w:t>U</w:t>
      </w:r>
      <w:r w:rsidR="00FE1FB7" w:rsidRPr="000F47A9">
        <w:t>ndertake and advertise public consultation when preparing, reviewing or amending its DAIP</w:t>
      </w:r>
      <w:r w:rsidR="0086345A">
        <w:t>.</w:t>
      </w:r>
    </w:p>
    <w:p w14:paraId="579EE37F" w14:textId="68646390" w:rsidR="00FE1FB7" w:rsidRPr="000F47A9" w:rsidRDefault="001F785E" w:rsidP="004F5E73">
      <w:pPr>
        <w:pStyle w:val="BodyText"/>
        <w:numPr>
          <w:ilvl w:val="0"/>
          <w:numId w:val="8"/>
        </w:numPr>
      </w:pPr>
      <w:r>
        <w:t>P</w:t>
      </w:r>
      <w:r w:rsidR="00FE1FB7" w:rsidRPr="000F47A9">
        <w:t>ublish</w:t>
      </w:r>
      <w:r>
        <w:t xml:space="preserve"> the</w:t>
      </w:r>
      <w:r w:rsidR="00FE1FB7" w:rsidRPr="000F47A9">
        <w:t xml:space="preserve"> DAIP</w:t>
      </w:r>
      <w:r w:rsidR="00CD0CF6">
        <w:t xml:space="preserve"> on its website and </w:t>
      </w:r>
      <w:r w:rsidR="005662C5">
        <w:t xml:space="preserve">make it </w:t>
      </w:r>
      <w:r w:rsidR="00CD0CF6">
        <w:t>available in alternat</w:t>
      </w:r>
      <w:r w:rsidR="00E51F06">
        <w:t>ive</w:t>
      </w:r>
      <w:r w:rsidR="00CD0CF6">
        <w:t xml:space="preserve"> formats.</w:t>
      </w:r>
    </w:p>
    <w:p w14:paraId="058A656B" w14:textId="2ED2AA60" w:rsidR="00FE1FB7" w:rsidRPr="000F47A9" w:rsidRDefault="001E48AE" w:rsidP="004F5E73">
      <w:pPr>
        <w:pStyle w:val="BodyText"/>
        <w:numPr>
          <w:ilvl w:val="0"/>
          <w:numId w:val="8"/>
        </w:numPr>
      </w:pPr>
      <w:r>
        <w:t>Lo</w:t>
      </w:r>
      <w:r w:rsidR="00FE1FB7" w:rsidRPr="000F47A9">
        <w:t xml:space="preserve">dge amended or new </w:t>
      </w:r>
      <w:r w:rsidR="002F36DB">
        <w:t>DAIP</w:t>
      </w:r>
      <w:r w:rsidR="00FE1FB7" w:rsidRPr="000F47A9">
        <w:t>s with the Department of Communities</w:t>
      </w:r>
      <w:r w:rsidR="001920DB">
        <w:t xml:space="preserve"> </w:t>
      </w:r>
      <w:r w:rsidR="00553DB4">
        <w:t>(Communities)</w:t>
      </w:r>
      <w:r w:rsidR="0086345A">
        <w:t>.</w:t>
      </w:r>
    </w:p>
    <w:p w14:paraId="29616B07" w14:textId="36BAAB7F" w:rsidR="00FE1FB7" w:rsidRPr="000F47A9" w:rsidRDefault="001E48AE" w:rsidP="004F5E73">
      <w:pPr>
        <w:pStyle w:val="BodyText"/>
        <w:numPr>
          <w:ilvl w:val="0"/>
          <w:numId w:val="8"/>
        </w:numPr>
      </w:pPr>
      <w:r>
        <w:t>T</w:t>
      </w:r>
      <w:r w:rsidR="00FE1FB7" w:rsidRPr="000F47A9">
        <w:t xml:space="preserve">ake all practicable measures to ensure the </w:t>
      </w:r>
      <w:r w:rsidR="002F36DB">
        <w:t>DAIP</w:t>
      </w:r>
      <w:r w:rsidR="00FE1FB7" w:rsidRPr="000F47A9">
        <w:t xml:space="preserve"> is implemented</w:t>
      </w:r>
      <w:r w:rsidR="007050D2">
        <w:t xml:space="preserve"> by</w:t>
      </w:r>
      <w:r w:rsidR="00FE1FB7" w:rsidRPr="000F47A9">
        <w:t xml:space="preserve"> its officers, employees, and relevant agents and contractors</w:t>
      </w:r>
      <w:r w:rsidR="0086345A">
        <w:t>.</w:t>
      </w:r>
    </w:p>
    <w:p w14:paraId="1953A504" w14:textId="126C1729" w:rsidR="00FE1FB7" w:rsidRDefault="001E48AE" w:rsidP="004F5E73">
      <w:pPr>
        <w:pStyle w:val="BodyText"/>
        <w:numPr>
          <w:ilvl w:val="0"/>
          <w:numId w:val="8"/>
        </w:numPr>
      </w:pPr>
      <w:r>
        <w:t>R</w:t>
      </w:r>
      <w:r w:rsidR="00FE1FB7" w:rsidRPr="000F47A9">
        <w:t xml:space="preserve">eport annually (in July) to Communities on </w:t>
      </w:r>
      <w:r w:rsidR="00945B30">
        <w:t>its</w:t>
      </w:r>
      <w:r w:rsidR="00945B30" w:rsidRPr="000F47A9">
        <w:t xml:space="preserve"> </w:t>
      </w:r>
      <w:r w:rsidR="00945B30">
        <w:t>DAIP</w:t>
      </w:r>
      <w:r w:rsidR="00945B30" w:rsidRPr="000F47A9">
        <w:t xml:space="preserve"> </w:t>
      </w:r>
      <w:r w:rsidR="00FE1FB7" w:rsidRPr="000F47A9">
        <w:t>progress</w:t>
      </w:r>
      <w:r w:rsidR="0086345A">
        <w:t>.</w:t>
      </w:r>
    </w:p>
    <w:p w14:paraId="38EE4A25" w14:textId="129919B6" w:rsidR="00FE1FB7" w:rsidRPr="000F47A9" w:rsidRDefault="001E48AE" w:rsidP="004F5E73">
      <w:pPr>
        <w:pStyle w:val="BodyText"/>
        <w:numPr>
          <w:ilvl w:val="0"/>
          <w:numId w:val="8"/>
        </w:numPr>
      </w:pPr>
      <w:r>
        <w:t>R</w:t>
      </w:r>
      <w:r w:rsidR="00FE1FB7" w:rsidRPr="000F47A9">
        <w:t xml:space="preserve">eview the </w:t>
      </w:r>
      <w:r w:rsidR="00E53F9E">
        <w:t>DAIP</w:t>
      </w:r>
      <w:r w:rsidR="00FE1FB7" w:rsidRPr="000F47A9">
        <w:t xml:space="preserve"> no less than every five years</w:t>
      </w:r>
      <w:r w:rsidR="00FE1FB7">
        <w:t>.</w:t>
      </w:r>
    </w:p>
    <w:p w14:paraId="289F300E" w14:textId="6A89293B" w:rsidR="00FE1FB7" w:rsidRDefault="00FE1FB7" w:rsidP="00FE1FB7">
      <w:pPr>
        <w:pStyle w:val="BodyText"/>
      </w:pPr>
      <w:r>
        <w:t xml:space="preserve">Public authorities are also subject to Commonwealth laws, </w:t>
      </w:r>
      <w:r w:rsidR="00797D31">
        <w:t>including</w:t>
      </w:r>
      <w:r>
        <w:t>:</w:t>
      </w:r>
    </w:p>
    <w:p w14:paraId="7E034EEA" w14:textId="77777777" w:rsidR="00FE1FB7" w:rsidRPr="002C3D39" w:rsidRDefault="00FE1FB7" w:rsidP="004F5E73">
      <w:pPr>
        <w:pStyle w:val="BodyText"/>
        <w:numPr>
          <w:ilvl w:val="0"/>
          <w:numId w:val="9"/>
        </w:numPr>
        <w:rPr>
          <w:i/>
          <w:iCs/>
        </w:rPr>
      </w:pPr>
      <w:r w:rsidRPr="002C3D39">
        <w:rPr>
          <w:i/>
          <w:iCs/>
        </w:rPr>
        <w:t>Disability Discrimination Act 1992</w:t>
      </w:r>
    </w:p>
    <w:p w14:paraId="5FF7724C" w14:textId="77777777" w:rsidR="00FE1FB7" w:rsidRPr="000F47A9" w:rsidRDefault="00FE1FB7" w:rsidP="004F5E73">
      <w:pPr>
        <w:pStyle w:val="BodyText"/>
        <w:numPr>
          <w:ilvl w:val="0"/>
          <w:numId w:val="9"/>
        </w:numPr>
      </w:pPr>
      <w:r w:rsidRPr="000F47A9">
        <w:t>Disability (Access to Premises – Buildings) Standards 2010</w:t>
      </w:r>
    </w:p>
    <w:p w14:paraId="32E8C13A" w14:textId="77777777" w:rsidR="00FE1FB7" w:rsidRPr="000F47A9" w:rsidRDefault="00FE1FB7" w:rsidP="004F5E73">
      <w:pPr>
        <w:pStyle w:val="BodyText"/>
        <w:numPr>
          <w:ilvl w:val="0"/>
          <w:numId w:val="9"/>
        </w:numPr>
      </w:pPr>
      <w:r w:rsidRPr="000F47A9">
        <w:t>Disability Standards for Accessible Public Transport 2002</w:t>
      </w:r>
    </w:p>
    <w:p w14:paraId="26498BF7" w14:textId="77777777" w:rsidR="00FE1FB7" w:rsidRPr="000F47A9" w:rsidRDefault="00FE1FB7" w:rsidP="004F5E73">
      <w:pPr>
        <w:pStyle w:val="BodyText"/>
        <w:numPr>
          <w:ilvl w:val="0"/>
          <w:numId w:val="9"/>
        </w:numPr>
      </w:pPr>
      <w:r w:rsidRPr="000F47A9">
        <w:t>Disability Standards for Education 2005</w:t>
      </w:r>
    </w:p>
    <w:p w14:paraId="6E8B378D" w14:textId="77777777" w:rsidR="00FE1FB7" w:rsidRPr="002C3D39" w:rsidRDefault="00FE1FB7" w:rsidP="004F5E73">
      <w:pPr>
        <w:pStyle w:val="BodyText"/>
        <w:numPr>
          <w:ilvl w:val="0"/>
          <w:numId w:val="9"/>
        </w:numPr>
        <w:rPr>
          <w:i/>
          <w:iCs/>
        </w:rPr>
      </w:pPr>
      <w:r w:rsidRPr="002C3D39">
        <w:rPr>
          <w:i/>
          <w:iCs/>
        </w:rPr>
        <w:t>Fair Work Act 2009</w:t>
      </w:r>
    </w:p>
    <w:p w14:paraId="6DDF1E98" w14:textId="77777777" w:rsidR="00FE1FB7" w:rsidRPr="000F47A9" w:rsidRDefault="00FE1FB7" w:rsidP="004F5E73">
      <w:pPr>
        <w:pStyle w:val="BodyText"/>
        <w:numPr>
          <w:ilvl w:val="0"/>
          <w:numId w:val="9"/>
        </w:numPr>
      </w:pPr>
      <w:r w:rsidRPr="000F47A9">
        <w:t>National Standards for Disability Services</w:t>
      </w:r>
      <w:r>
        <w:t>.</w:t>
      </w:r>
    </w:p>
    <w:p w14:paraId="0F927362" w14:textId="77777777" w:rsidR="001C1433" w:rsidRDefault="00FE1FB7" w:rsidP="00FE1FB7">
      <w:pPr>
        <w:pStyle w:val="BodyText"/>
      </w:pPr>
      <w:r>
        <w:t>In addition</w:t>
      </w:r>
      <w:r w:rsidR="001C1433">
        <w:t>:</w:t>
      </w:r>
    </w:p>
    <w:p w14:paraId="061E85AE" w14:textId="73E2BEFF" w:rsidR="001C1433" w:rsidRDefault="001E48AE" w:rsidP="007741BD">
      <w:pPr>
        <w:pStyle w:val="BodyText"/>
        <w:numPr>
          <w:ilvl w:val="0"/>
          <w:numId w:val="25"/>
        </w:numPr>
      </w:pPr>
      <w:r>
        <w:t>T</w:t>
      </w:r>
      <w:r w:rsidR="00FE1FB7">
        <w:t xml:space="preserve">he </w:t>
      </w:r>
      <w:r w:rsidR="00FE1FB7" w:rsidRPr="0043097E">
        <w:rPr>
          <w:i/>
          <w:iCs/>
        </w:rPr>
        <w:t>Local Government Act 1995</w:t>
      </w:r>
      <w:r w:rsidR="001C1433">
        <w:t xml:space="preserve"> </w:t>
      </w:r>
      <w:r w:rsidR="00FE1FB7">
        <w:t>requires local government authorities to report on their DAIP in their annual report</w:t>
      </w:r>
      <w:r w:rsidR="005A2180">
        <w:t>.</w:t>
      </w:r>
    </w:p>
    <w:p w14:paraId="23A5AF85" w14:textId="3B49DF2A" w:rsidR="00FE1FB7" w:rsidRDefault="001E48AE" w:rsidP="007741BD">
      <w:pPr>
        <w:pStyle w:val="BodyText"/>
        <w:numPr>
          <w:ilvl w:val="0"/>
          <w:numId w:val="25"/>
        </w:numPr>
      </w:pPr>
      <w:r>
        <w:t>T</w:t>
      </w:r>
      <w:r w:rsidR="004E68E7">
        <w:t xml:space="preserve">he </w:t>
      </w:r>
      <w:r w:rsidR="004E68E7" w:rsidRPr="001C1433">
        <w:rPr>
          <w:i/>
          <w:iCs/>
        </w:rPr>
        <w:t xml:space="preserve">Financial Management Act </w:t>
      </w:r>
      <w:r w:rsidR="001C1433" w:rsidRPr="001C1433">
        <w:rPr>
          <w:i/>
          <w:iCs/>
        </w:rPr>
        <w:t>2006</w:t>
      </w:r>
      <w:r w:rsidR="001C1433">
        <w:t xml:space="preserve"> requires state government authorities to report on their DAIP</w:t>
      </w:r>
      <w:r w:rsidR="005A2180">
        <w:t xml:space="preserve"> in their annual report.</w:t>
      </w:r>
    </w:p>
    <w:p w14:paraId="7649C8F3" w14:textId="77777777" w:rsidR="00041E4A" w:rsidRDefault="00041E4A">
      <w:pPr>
        <w:spacing w:after="0" w:line="240" w:lineRule="auto"/>
        <w:rPr>
          <w:rFonts w:cs="Arial"/>
          <w:b/>
          <w:noProof/>
          <w:color w:val="2C5C86"/>
          <w:sz w:val="40"/>
          <w:szCs w:val="40"/>
          <w:lang w:eastAsia="en-AU"/>
        </w:rPr>
      </w:pPr>
      <w:r>
        <w:br w:type="page"/>
      </w:r>
    </w:p>
    <w:p w14:paraId="1F29B55F" w14:textId="5148F0C6" w:rsidR="00857F23" w:rsidRDefault="004C5F9F" w:rsidP="00CE186C">
      <w:pPr>
        <w:pStyle w:val="Heading2"/>
        <w:ind w:left="709" w:hanging="709"/>
      </w:pPr>
      <w:bookmarkStart w:id="10" w:name="_Toc194058745"/>
      <w:r>
        <w:lastRenderedPageBreak/>
        <w:t>Developing a Disability Access and Inclusion Plan</w:t>
      </w:r>
      <w:bookmarkEnd w:id="10"/>
    </w:p>
    <w:p w14:paraId="31D09510" w14:textId="5310E2FA" w:rsidR="008B68EF" w:rsidRDefault="008B68EF" w:rsidP="003E7BD1">
      <w:pPr>
        <w:pStyle w:val="BodyText"/>
      </w:pPr>
      <w:r>
        <w:t xml:space="preserve">A DAIP </w:t>
      </w:r>
      <w:r w:rsidR="00A52E29">
        <w:t>speci</w:t>
      </w:r>
      <w:r w:rsidR="00A96B05">
        <w:t>fies</w:t>
      </w:r>
      <w:r w:rsidR="00A52E29">
        <w:t xml:space="preserve"> </w:t>
      </w:r>
      <w:r>
        <w:t>the strategies and actions a public authority will undertake over a one-to-five-year period across</w:t>
      </w:r>
      <w:r w:rsidR="00945B30">
        <w:t xml:space="preserve"> </w:t>
      </w:r>
      <w:r>
        <w:t xml:space="preserve">seven </w:t>
      </w:r>
      <w:r w:rsidR="00B17D9E">
        <w:t xml:space="preserve">disability </w:t>
      </w:r>
      <w:r>
        <w:t xml:space="preserve">access and inclusion outcomes. </w:t>
      </w:r>
    </w:p>
    <w:p w14:paraId="67D11158" w14:textId="4B6904F4" w:rsidR="0076588B" w:rsidRDefault="003E7BD1" w:rsidP="003E7BD1">
      <w:pPr>
        <w:pStyle w:val="BodyText"/>
      </w:pPr>
      <w:r>
        <w:t xml:space="preserve">A great DAIP </w:t>
      </w:r>
      <w:r w:rsidR="002D42A0">
        <w:t xml:space="preserve">is well structured, </w:t>
      </w:r>
      <w:r w:rsidR="003766D6">
        <w:t xml:space="preserve">easy to understand and </w:t>
      </w:r>
      <w:r w:rsidR="00945B30">
        <w:t xml:space="preserve">shows </w:t>
      </w:r>
      <w:r w:rsidR="006D3FFB">
        <w:t>how it will work</w:t>
      </w:r>
      <w:r w:rsidR="00E345AE">
        <w:t xml:space="preserve"> – the</w:t>
      </w:r>
      <w:r w:rsidR="002C25F5">
        <w:t xml:space="preserve"> </w:t>
      </w:r>
      <w:r>
        <w:t xml:space="preserve">strategies and actions, delivery timelines, </w:t>
      </w:r>
      <w:r w:rsidR="00245C7E">
        <w:t xml:space="preserve">who’s responsible for what, </w:t>
      </w:r>
      <w:r>
        <w:t>and success indicators to</w:t>
      </w:r>
      <w:r w:rsidR="00916E9B">
        <w:t xml:space="preserve"> </w:t>
      </w:r>
      <w:r w:rsidR="00A21DD7">
        <w:t xml:space="preserve">track the </w:t>
      </w:r>
      <w:r w:rsidR="002F36DB">
        <w:t>DAIP</w:t>
      </w:r>
      <w:r w:rsidR="00A21DD7">
        <w:t>’s performance</w:t>
      </w:r>
      <w:r w:rsidR="00916E9B">
        <w:t>.</w:t>
      </w:r>
      <w:r w:rsidR="007F59F6">
        <w:t xml:space="preserve"> </w:t>
      </w:r>
    </w:p>
    <w:p w14:paraId="68514727" w14:textId="5DC7FDD2" w:rsidR="001A6019" w:rsidRPr="00563C70" w:rsidRDefault="007F59F6" w:rsidP="003E7BD1">
      <w:pPr>
        <w:pStyle w:val="BodyText"/>
      </w:pPr>
      <w:r>
        <w:t xml:space="preserve">Public authorities are encouraged to </w:t>
      </w:r>
      <w:r w:rsidR="00D37D3D">
        <w:t xml:space="preserve">allow approximately 6-12 months for the </w:t>
      </w:r>
      <w:r w:rsidR="00F2680A">
        <w:t xml:space="preserve">review and </w:t>
      </w:r>
      <w:r w:rsidR="00D37D3D">
        <w:t>development of a new DAIP</w:t>
      </w:r>
      <w:r w:rsidR="000F6311">
        <w:t xml:space="preserve">. A new </w:t>
      </w:r>
      <w:r w:rsidR="004329A2">
        <w:t>DAIP</w:t>
      </w:r>
      <w:r w:rsidR="000F6311">
        <w:t xml:space="preserve"> should be endorsed, prior to the existing plan</w:t>
      </w:r>
      <w:r w:rsidR="00945B30">
        <w:t>’s expiry date</w:t>
      </w:r>
      <w:r w:rsidR="000F6311">
        <w:t>.</w:t>
      </w:r>
      <w:r w:rsidR="0050778E">
        <w:t xml:space="preserve"> </w:t>
      </w:r>
      <w:r w:rsidR="00042E11">
        <w:t xml:space="preserve">Best practice access and inclusion </w:t>
      </w:r>
      <w:r w:rsidR="00945B30">
        <w:t xml:space="preserve">has and continues to </w:t>
      </w:r>
      <w:r w:rsidR="007A3F8A">
        <w:t>evolv</w:t>
      </w:r>
      <w:r w:rsidR="00945B30">
        <w:t>e.</w:t>
      </w:r>
      <w:r w:rsidR="00602F43">
        <w:t xml:space="preserve"> </w:t>
      </w:r>
      <w:r w:rsidR="00F2610F">
        <w:t xml:space="preserve">It is recommended public authorities </w:t>
      </w:r>
      <w:r w:rsidR="00023D7D">
        <w:t>connect</w:t>
      </w:r>
      <w:r w:rsidR="00F2610F">
        <w:t xml:space="preserve"> with </w:t>
      </w:r>
      <w:r w:rsidR="00945B30">
        <w:t xml:space="preserve">the Department of </w:t>
      </w:r>
      <w:r w:rsidR="00F2610F">
        <w:t xml:space="preserve">Communities </w:t>
      </w:r>
      <w:r w:rsidR="0050778E">
        <w:t xml:space="preserve">before developing a new </w:t>
      </w:r>
      <w:r w:rsidR="004329A2">
        <w:t>DAIP</w:t>
      </w:r>
      <w:r w:rsidR="00A52433">
        <w:t xml:space="preserve"> and when the draft is complete. </w:t>
      </w:r>
      <w:r w:rsidR="00294761">
        <w:t xml:space="preserve"> </w:t>
      </w:r>
    </w:p>
    <w:p w14:paraId="1B838FCF" w14:textId="58E7DE6A" w:rsidR="0098346C" w:rsidRDefault="0098346C" w:rsidP="00023D7D">
      <w:pPr>
        <w:pStyle w:val="BodyText"/>
      </w:pPr>
      <w:r>
        <w:t xml:space="preserve">How the development of a new DAIP </w:t>
      </w:r>
      <w:r w:rsidR="00D61A78">
        <w:t xml:space="preserve">is approached </w:t>
      </w:r>
      <w:r>
        <w:t>will vary depending on the:</w:t>
      </w:r>
    </w:p>
    <w:p w14:paraId="2130C561" w14:textId="1AB3A9B6" w:rsidR="0098346C" w:rsidRDefault="00723309" w:rsidP="004F5E73">
      <w:pPr>
        <w:pStyle w:val="BodyText"/>
        <w:numPr>
          <w:ilvl w:val="0"/>
          <w:numId w:val="10"/>
        </w:numPr>
      </w:pPr>
      <w:r>
        <w:t>f</w:t>
      </w:r>
      <w:r w:rsidR="0098346C" w:rsidRPr="00B410B1">
        <w:t>unctions of the public authority</w:t>
      </w:r>
    </w:p>
    <w:p w14:paraId="5312965A" w14:textId="79827D76" w:rsidR="00997C22" w:rsidRPr="00B410B1" w:rsidRDefault="00AB4324" w:rsidP="004F5E73">
      <w:pPr>
        <w:pStyle w:val="BodyText"/>
        <w:numPr>
          <w:ilvl w:val="0"/>
          <w:numId w:val="10"/>
        </w:numPr>
      </w:pPr>
      <w:r>
        <w:t>l</w:t>
      </w:r>
      <w:r w:rsidR="003A3788">
        <w:t xml:space="preserve">ocation and </w:t>
      </w:r>
      <w:r w:rsidR="00401299">
        <w:t>size of the public authority</w:t>
      </w:r>
    </w:p>
    <w:p w14:paraId="0B34F135" w14:textId="38FFE009" w:rsidR="0098346C" w:rsidRPr="00343385" w:rsidRDefault="00723309" w:rsidP="00997C22">
      <w:pPr>
        <w:pStyle w:val="BodyText"/>
        <w:numPr>
          <w:ilvl w:val="0"/>
          <w:numId w:val="10"/>
        </w:numPr>
      </w:pPr>
      <w:r>
        <w:t>o</w:t>
      </w:r>
      <w:r w:rsidR="0098346C" w:rsidRPr="00B410B1">
        <w:t>rganisational capability</w:t>
      </w:r>
      <w:r w:rsidR="00997C22">
        <w:t xml:space="preserve"> and </w:t>
      </w:r>
      <w:r w:rsidR="0098346C">
        <w:t>resources</w:t>
      </w:r>
      <w:r w:rsidR="0098346C" w:rsidRPr="00B410B1">
        <w:t xml:space="preserve">, including </w:t>
      </w:r>
      <w:r w:rsidR="00997C22">
        <w:t>staffing and budget</w:t>
      </w:r>
      <w:r w:rsidR="0098346C">
        <w:t>.</w:t>
      </w:r>
    </w:p>
    <w:p w14:paraId="09163388" w14:textId="135E7246" w:rsidR="0098346C" w:rsidRDefault="00D444AC" w:rsidP="00023D7D">
      <w:pPr>
        <w:pStyle w:val="BodyText"/>
      </w:pPr>
      <w:r>
        <w:t xml:space="preserve">The five key phases </w:t>
      </w:r>
      <w:r w:rsidR="005B325E">
        <w:t>in developing a DAIP are:</w:t>
      </w:r>
    </w:p>
    <w:p w14:paraId="45DD41FB" w14:textId="0D871706" w:rsidR="00947D46" w:rsidRDefault="003B5719" w:rsidP="007741BD">
      <w:pPr>
        <w:pStyle w:val="BodyText"/>
        <w:numPr>
          <w:ilvl w:val="0"/>
          <w:numId w:val="26"/>
        </w:numPr>
      </w:pPr>
      <w:r>
        <w:t>r</w:t>
      </w:r>
      <w:r w:rsidR="00947D46">
        <w:t>esearch</w:t>
      </w:r>
      <w:r w:rsidR="00CF606F">
        <w:t xml:space="preserve"> and review</w:t>
      </w:r>
      <w:r w:rsidR="00945B30">
        <w:t xml:space="preserve"> </w:t>
      </w:r>
    </w:p>
    <w:p w14:paraId="4E098805" w14:textId="7A8A83A9" w:rsidR="00947D46" w:rsidRDefault="003B5719" w:rsidP="007741BD">
      <w:pPr>
        <w:pStyle w:val="BodyText"/>
        <w:numPr>
          <w:ilvl w:val="0"/>
          <w:numId w:val="26"/>
        </w:numPr>
      </w:pPr>
      <w:r>
        <w:t>s</w:t>
      </w:r>
      <w:r w:rsidR="00947D46">
        <w:t>takeholder engagement</w:t>
      </w:r>
    </w:p>
    <w:p w14:paraId="222E0461" w14:textId="600A739E" w:rsidR="002B42CD" w:rsidRDefault="003B5719" w:rsidP="007741BD">
      <w:pPr>
        <w:pStyle w:val="BodyText"/>
        <w:numPr>
          <w:ilvl w:val="0"/>
          <w:numId w:val="26"/>
        </w:numPr>
      </w:pPr>
      <w:r>
        <w:t>d</w:t>
      </w:r>
      <w:r w:rsidR="002B42CD">
        <w:t>raft</w:t>
      </w:r>
      <w:r w:rsidR="00337426">
        <w:t>ing</w:t>
      </w:r>
    </w:p>
    <w:p w14:paraId="429EB0FD" w14:textId="5400F7F9" w:rsidR="002B42CD" w:rsidRDefault="003B5719" w:rsidP="007741BD">
      <w:pPr>
        <w:pStyle w:val="BodyText"/>
        <w:numPr>
          <w:ilvl w:val="0"/>
          <w:numId w:val="26"/>
        </w:numPr>
      </w:pPr>
      <w:r>
        <w:t>p</w:t>
      </w:r>
      <w:r w:rsidR="002B42CD">
        <w:t>ublic consul</w:t>
      </w:r>
      <w:r w:rsidR="00337426">
        <w:t>t</w:t>
      </w:r>
      <w:r w:rsidR="002B42CD">
        <w:t>ation</w:t>
      </w:r>
    </w:p>
    <w:p w14:paraId="1937C230" w14:textId="62290C19" w:rsidR="002B42CD" w:rsidRDefault="003B5719" w:rsidP="007741BD">
      <w:pPr>
        <w:pStyle w:val="BodyText"/>
        <w:numPr>
          <w:ilvl w:val="0"/>
          <w:numId w:val="26"/>
        </w:numPr>
      </w:pPr>
      <w:r>
        <w:t>a</w:t>
      </w:r>
      <w:r w:rsidR="002B42CD">
        <w:t>pprov</w:t>
      </w:r>
      <w:r w:rsidR="00337426">
        <w:t>al</w:t>
      </w:r>
      <w:r w:rsidR="002B42CD">
        <w:t xml:space="preserve"> and publi</w:t>
      </w:r>
      <w:r w:rsidR="00337426">
        <w:t>cation.</w:t>
      </w:r>
    </w:p>
    <w:p w14:paraId="1065DCE3" w14:textId="0C24836B" w:rsidR="00665F0A" w:rsidRPr="00681D5F" w:rsidRDefault="00665F0A" w:rsidP="0033462F">
      <w:pPr>
        <w:pStyle w:val="Heading4"/>
        <w:rPr>
          <w:sz w:val="30"/>
          <w:szCs w:val="30"/>
        </w:rPr>
      </w:pPr>
      <w:bookmarkStart w:id="11" w:name="_Toc194058746"/>
      <w:r w:rsidRPr="00681D5F">
        <w:rPr>
          <w:sz w:val="30"/>
          <w:szCs w:val="30"/>
        </w:rPr>
        <w:t xml:space="preserve">Research </w:t>
      </w:r>
      <w:r w:rsidR="00DA0292">
        <w:rPr>
          <w:sz w:val="30"/>
          <w:szCs w:val="30"/>
        </w:rPr>
        <w:t>and review</w:t>
      </w:r>
      <w:bookmarkEnd w:id="11"/>
    </w:p>
    <w:p w14:paraId="28FDC6BB" w14:textId="3C93CDB7" w:rsidR="00AB0236" w:rsidRPr="00CC4550" w:rsidRDefault="00AB0236" w:rsidP="00AB0236">
      <w:pPr>
        <w:pStyle w:val="BodyText"/>
      </w:pPr>
      <w:r w:rsidRPr="00CC4550">
        <w:t>The research</w:t>
      </w:r>
      <w:r w:rsidR="002235DD">
        <w:t xml:space="preserve"> and review</w:t>
      </w:r>
      <w:r w:rsidRPr="00CC4550">
        <w:t xml:space="preserve"> phase </w:t>
      </w:r>
      <w:r>
        <w:t>can</w:t>
      </w:r>
      <w:r w:rsidRPr="00CC4550">
        <w:t xml:space="preserve"> involve:</w:t>
      </w:r>
    </w:p>
    <w:p w14:paraId="2ABDCC93" w14:textId="7CFCBFBC" w:rsidR="00AB0236" w:rsidRDefault="00F22A55" w:rsidP="004F5E73">
      <w:pPr>
        <w:pStyle w:val="BodyText"/>
        <w:numPr>
          <w:ilvl w:val="0"/>
          <w:numId w:val="11"/>
        </w:numPr>
      </w:pPr>
      <w:r>
        <w:t>D</w:t>
      </w:r>
      <w:r w:rsidR="00AB0236" w:rsidRPr="00CC4550">
        <w:t xml:space="preserve">eveloping </w:t>
      </w:r>
      <w:r w:rsidR="00590C94">
        <w:t>your</w:t>
      </w:r>
      <w:r w:rsidR="00AB0236" w:rsidRPr="00CC4550">
        <w:t xml:space="preserve"> community profile</w:t>
      </w:r>
      <w:r w:rsidR="00AB0236">
        <w:t xml:space="preserve"> drawing on local, </w:t>
      </w:r>
      <w:r w:rsidR="003C4B73">
        <w:t>s</w:t>
      </w:r>
      <w:r w:rsidR="00AB0236">
        <w:t xml:space="preserve">tate and </w:t>
      </w:r>
      <w:r w:rsidR="003C4B73">
        <w:t>n</w:t>
      </w:r>
      <w:r w:rsidR="00AB0236">
        <w:t>ational data.</w:t>
      </w:r>
    </w:p>
    <w:p w14:paraId="2E906DF8" w14:textId="4F857087" w:rsidR="00C06FDC" w:rsidRPr="00CC4550" w:rsidRDefault="00F22A55" w:rsidP="004F5E73">
      <w:pPr>
        <w:pStyle w:val="BodyText"/>
        <w:numPr>
          <w:ilvl w:val="0"/>
          <w:numId w:val="11"/>
        </w:numPr>
      </w:pPr>
      <w:r>
        <w:t>R</w:t>
      </w:r>
      <w:r w:rsidR="000563D9">
        <w:t>eading other</w:t>
      </w:r>
      <w:r w:rsidR="00C06FDC">
        <w:t xml:space="preserve"> </w:t>
      </w:r>
      <w:r w:rsidR="006A0C71">
        <w:t>DAIP</w:t>
      </w:r>
      <w:r w:rsidR="00B2117A">
        <w:t>s</w:t>
      </w:r>
      <w:r w:rsidR="006A0C71">
        <w:t xml:space="preserve"> and access and inclusion planning resources</w:t>
      </w:r>
      <w:r w:rsidR="00C06FDC">
        <w:t xml:space="preserve"> to </w:t>
      </w:r>
      <w:r w:rsidR="00B17D9E">
        <w:t xml:space="preserve">better </w:t>
      </w:r>
      <w:r w:rsidR="0042555D">
        <w:t>understand</w:t>
      </w:r>
      <w:r w:rsidR="00B17D9E">
        <w:t xml:space="preserve"> </w:t>
      </w:r>
      <w:r w:rsidR="0042555D">
        <w:t>em</w:t>
      </w:r>
      <w:r w:rsidR="00C37693">
        <w:t xml:space="preserve">erging </w:t>
      </w:r>
      <w:r w:rsidR="00700F18">
        <w:t xml:space="preserve">trends and </w:t>
      </w:r>
      <w:r w:rsidR="0088469F">
        <w:t>varying</w:t>
      </w:r>
      <w:r w:rsidR="0042555D">
        <w:t xml:space="preserve"> </w:t>
      </w:r>
      <w:r w:rsidR="00700F18">
        <w:t>approaches</w:t>
      </w:r>
      <w:r w:rsidR="0088469F">
        <w:t xml:space="preserve"> to DAIPs.</w:t>
      </w:r>
    </w:p>
    <w:p w14:paraId="0619AD17" w14:textId="64C4EB12" w:rsidR="00AB0236" w:rsidRPr="004B32FC" w:rsidRDefault="00F22A55" w:rsidP="004F5E73">
      <w:pPr>
        <w:pStyle w:val="BodyText"/>
        <w:numPr>
          <w:ilvl w:val="0"/>
          <w:numId w:val="11"/>
        </w:numPr>
      </w:pPr>
      <w:r>
        <w:t>C</w:t>
      </w:r>
      <w:r w:rsidR="00AB0236" w:rsidRPr="004B32FC">
        <w:t>ompleting an internal review of</w:t>
      </w:r>
      <w:r w:rsidR="00192ED3">
        <w:t xml:space="preserve"> </w:t>
      </w:r>
      <w:r w:rsidR="00842B33">
        <w:t xml:space="preserve">your </w:t>
      </w:r>
      <w:r w:rsidR="000044D8">
        <w:t xml:space="preserve">current </w:t>
      </w:r>
      <w:r w:rsidR="00AB0236" w:rsidRPr="004B32FC">
        <w:t xml:space="preserve">DAIP actions </w:t>
      </w:r>
      <w:r w:rsidR="00AB0236">
        <w:t>and progress</w:t>
      </w:r>
      <w:r w:rsidR="009A4F60">
        <w:t xml:space="preserve"> </w:t>
      </w:r>
      <w:r w:rsidR="00EC33C4">
        <w:t>achieved</w:t>
      </w:r>
      <w:r w:rsidR="009A4F60">
        <w:t>.</w:t>
      </w:r>
    </w:p>
    <w:p w14:paraId="24C68172" w14:textId="16597ABF" w:rsidR="00AB0236" w:rsidRDefault="00F22A55" w:rsidP="004F5E73">
      <w:pPr>
        <w:pStyle w:val="BodyText"/>
        <w:numPr>
          <w:ilvl w:val="0"/>
          <w:numId w:val="11"/>
        </w:numPr>
      </w:pPr>
      <w:r>
        <w:t>A</w:t>
      </w:r>
      <w:r w:rsidR="00AB0236">
        <w:t>uditing</w:t>
      </w:r>
      <w:r w:rsidR="006829AB">
        <w:t xml:space="preserve"> </w:t>
      </w:r>
      <w:r w:rsidR="00842B33">
        <w:t xml:space="preserve">your </w:t>
      </w:r>
      <w:r w:rsidR="006829AB">
        <w:t>DAIP</w:t>
      </w:r>
      <w:r w:rsidR="00030C57">
        <w:t xml:space="preserve"> tracking</w:t>
      </w:r>
      <w:r w:rsidR="00AB0236" w:rsidRPr="00CC4550">
        <w:t xml:space="preserve"> and monitoring</w:t>
      </w:r>
      <w:r w:rsidR="000E385C">
        <w:t xml:space="preserve"> processes</w:t>
      </w:r>
      <w:r w:rsidR="00AB0236">
        <w:t xml:space="preserve"> (what worked, what did not work).</w:t>
      </w:r>
    </w:p>
    <w:p w14:paraId="7B400456" w14:textId="3D44FD3C" w:rsidR="008D65AC" w:rsidRDefault="00F22A55" w:rsidP="004F5E73">
      <w:pPr>
        <w:pStyle w:val="BodyText"/>
        <w:numPr>
          <w:ilvl w:val="0"/>
          <w:numId w:val="11"/>
        </w:numPr>
      </w:pPr>
      <w:r>
        <w:t>R</w:t>
      </w:r>
      <w:r w:rsidR="008D65AC">
        <w:t>eviewing internal DAIP responsibilities (refer Attachment 4 – Roles and responsibilities).</w:t>
      </w:r>
    </w:p>
    <w:p w14:paraId="0E1EFE1D" w14:textId="707F398A" w:rsidR="00AB0236" w:rsidRPr="00155B2C" w:rsidRDefault="00F02B7D" w:rsidP="004F5E73">
      <w:pPr>
        <w:pStyle w:val="BodyText"/>
        <w:numPr>
          <w:ilvl w:val="0"/>
          <w:numId w:val="11"/>
        </w:numPr>
      </w:pPr>
      <w:r>
        <w:lastRenderedPageBreak/>
        <w:t>R</w:t>
      </w:r>
      <w:r w:rsidR="00AB0236" w:rsidRPr="00CC4550">
        <w:t xml:space="preserve">eviewing </w:t>
      </w:r>
      <w:r w:rsidR="00EA7C80">
        <w:t xml:space="preserve">the effectiveness of your </w:t>
      </w:r>
      <w:r w:rsidR="00956099">
        <w:t xml:space="preserve">DAIP working group </w:t>
      </w:r>
      <w:r w:rsidR="00547BB7">
        <w:t>and/</w:t>
      </w:r>
      <w:r w:rsidR="00956099">
        <w:t xml:space="preserve">or </w:t>
      </w:r>
      <w:r w:rsidR="00AB0236">
        <w:t>advisory group/committee</w:t>
      </w:r>
      <w:r w:rsidR="00AD674D">
        <w:t>. For example</w:t>
      </w:r>
      <w:r w:rsidR="00B22FD0">
        <w:t>, terms of reference and membership</w:t>
      </w:r>
      <w:r w:rsidR="00AB0236">
        <w:t xml:space="preserve">. </w:t>
      </w:r>
      <w:r w:rsidR="00AB0236" w:rsidRPr="00CC4550">
        <w:t xml:space="preserve"> </w:t>
      </w:r>
    </w:p>
    <w:p w14:paraId="07577FC1" w14:textId="6767025F" w:rsidR="00DD6F52" w:rsidRDefault="00AB0236" w:rsidP="00AB0236">
      <w:pPr>
        <w:pStyle w:val="BodyText"/>
      </w:pPr>
      <w:r w:rsidRPr="00CC4550">
        <w:t>The research</w:t>
      </w:r>
      <w:r w:rsidR="00B22FD0">
        <w:t xml:space="preserve"> and review</w:t>
      </w:r>
      <w:r w:rsidRPr="00CC4550">
        <w:t xml:space="preserve"> phase will inform </w:t>
      </w:r>
      <w:r>
        <w:t xml:space="preserve">how the new </w:t>
      </w:r>
      <w:r w:rsidR="009472CC">
        <w:t>DAIP</w:t>
      </w:r>
      <w:r>
        <w:t xml:space="preserve"> is structured</w:t>
      </w:r>
      <w:r w:rsidR="007A3C32">
        <w:t xml:space="preserve">, </w:t>
      </w:r>
      <w:r>
        <w:t xml:space="preserve">how the stakeholder engagement phase is </w:t>
      </w:r>
      <w:r w:rsidR="007A3C32">
        <w:t xml:space="preserve">approached, and provide direction </w:t>
      </w:r>
      <w:r w:rsidR="00AD674D">
        <w:t>on how best to implement the</w:t>
      </w:r>
      <w:r w:rsidR="007A3C32">
        <w:t xml:space="preserve"> </w:t>
      </w:r>
      <w:r w:rsidR="007240CD">
        <w:t>DAIP</w:t>
      </w:r>
      <w:r w:rsidR="007A3C32">
        <w:t xml:space="preserve">. </w:t>
      </w:r>
    </w:p>
    <w:p w14:paraId="67911A18" w14:textId="4D695AFB" w:rsidR="00665F0A" w:rsidRPr="00896525" w:rsidRDefault="00665F0A" w:rsidP="00331249">
      <w:pPr>
        <w:pStyle w:val="Heading4"/>
        <w:rPr>
          <w:sz w:val="30"/>
          <w:szCs w:val="30"/>
        </w:rPr>
      </w:pPr>
      <w:bookmarkStart w:id="12" w:name="_Toc194058747"/>
      <w:r w:rsidRPr="00896525">
        <w:rPr>
          <w:sz w:val="30"/>
          <w:szCs w:val="30"/>
        </w:rPr>
        <w:t xml:space="preserve">Stakeholder </w:t>
      </w:r>
      <w:r w:rsidR="003C4B73" w:rsidRPr="00896525">
        <w:rPr>
          <w:sz w:val="30"/>
          <w:szCs w:val="30"/>
        </w:rPr>
        <w:t>e</w:t>
      </w:r>
      <w:r w:rsidRPr="00896525">
        <w:rPr>
          <w:sz w:val="30"/>
          <w:szCs w:val="30"/>
        </w:rPr>
        <w:t>ngagement</w:t>
      </w:r>
      <w:bookmarkEnd w:id="12"/>
    </w:p>
    <w:p w14:paraId="39315148" w14:textId="5EE0C69F" w:rsidR="00574EAA" w:rsidRDefault="00802572" w:rsidP="00802572">
      <w:pPr>
        <w:pStyle w:val="BodyText"/>
      </w:pPr>
      <w:r w:rsidRPr="00D372E1">
        <w:t xml:space="preserve">Stakeholder engagement </w:t>
      </w:r>
      <w:r w:rsidR="000C6FC3">
        <w:t>is vital</w:t>
      </w:r>
      <w:r w:rsidR="0046432A">
        <w:t>. It</w:t>
      </w:r>
      <w:r w:rsidR="00F847D1">
        <w:t>’s</w:t>
      </w:r>
      <w:r w:rsidR="0046432A">
        <w:t xml:space="preserve"> an </w:t>
      </w:r>
      <w:r w:rsidR="007C07DE">
        <w:t xml:space="preserve">opportunity </w:t>
      </w:r>
      <w:r w:rsidRPr="00D372E1">
        <w:t xml:space="preserve">to </w:t>
      </w:r>
      <w:r w:rsidR="00855127">
        <w:t>listen to</w:t>
      </w:r>
      <w:r w:rsidRPr="00D372E1">
        <w:t xml:space="preserve"> the expertise and needs of the people, groups and organisations who have an interest in or may be impacted by </w:t>
      </w:r>
      <w:r w:rsidR="00D926C0">
        <w:t xml:space="preserve">your DAIP. </w:t>
      </w:r>
      <w:r w:rsidR="00C64278">
        <w:t xml:space="preserve">Stakeholders can include </w:t>
      </w:r>
      <w:r w:rsidR="00343E17">
        <w:t xml:space="preserve">people with disability, carers, family and friends, </w:t>
      </w:r>
      <w:r w:rsidR="00512154">
        <w:t xml:space="preserve">disability service providers, </w:t>
      </w:r>
      <w:r w:rsidR="00574EAA">
        <w:t xml:space="preserve">public authority staff, </w:t>
      </w:r>
      <w:r w:rsidR="001812E4">
        <w:t xml:space="preserve">peak bodies, </w:t>
      </w:r>
      <w:r w:rsidR="00512154">
        <w:t xml:space="preserve">clubs and community facilities, </w:t>
      </w:r>
      <w:r w:rsidR="00574EAA">
        <w:t>and the broader community.</w:t>
      </w:r>
    </w:p>
    <w:p w14:paraId="2A3DDB67" w14:textId="2F11BFE8" w:rsidR="00802572" w:rsidRDefault="00802572" w:rsidP="00802572">
      <w:pPr>
        <w:pStyle w:val="BodyText"/>
      </w:pPr>
      <w:r w:rsidRPr="00D372E1">
        <w:t xml:space="preserve">Effective stakeholder engagement </w:t>
      </w:r>
      <w:r w:rsidR="00F541AD">
        <w:t xml:space="preserve">throughout the </w:t>
      </w:r>
      <w:r w:rsidR="007240CD">
        <w:t>DAIP</w:t>
      </w:r>
      <w:r w:rsidR="009F5503">
        <w:t>’s development</w:t>
      </w:r>
      <w:r w:rsidR="00F541AD">
        <w:t xml:space="preserve"> </w:t>
      </w:r>
      <w:r w:rsidR="000C6FC3">
        <w:t xml:space="preserve">will </w:t>
      </w:r>
      <w:r w:rsidR="00883B40">
        <w:t>positive</w:t>
      </w:r>
      <w:r w:rsidR="00F541AD">
        <w:t xml:space="preserve">ly </w:t>
      </w:r>
      <w:r w:rsidR="0070061E">
        <w:t>impact</w:t>
      </w:r>
      <w:r w:rsidR="000B5015">
        <w:t xml:space="preserve"> </w:t>
      </w:r>
      <w:r w:rsidR="00883B40">
        <w:t xml:space="preserve">implementation. </w:t>
      </w:r>
      <w:r w:rsidR="00472846">
        <w:t>Your st</w:t>
      </w:r>
      <w:r w:rsidRPr="00D372E1">
        <w:t>akeholders</w:t>
      </w:r>
      <w:r w:rsidR="004224C6">
        <w:t xml:space="preserve">, internal and external, </w:t>
      </w:r>
      <w:r w:rsidRPr="00D372E1">
        <w:t>b</w:t>
      </w:r>
      <w:r w:rsidR="007524CE">
        <w:t>ecome</w:t>
      </w:r>
      <w:r w:rsidRPr="00D372E1">
        <w:t xml:space="preserve"> valuable advocates and champions</w:t>
      </w:r>
      <w:r w:rsidR="004224C6">
        <w:t xml:space="preserve"> </w:t>
      </w:r>
      <w:r w:rsidRPr="00D372E1">
        <w:t>for your DAIP and its initiatives.</w:t>
      </w:r>
    </w:p>
    <w:p w14:paraId="4A4EB813" w14:textId="63277F17" w:rsidR="001B01C4" w:rsidRDefault="00264EB1" w:rsidP="001B01C4">
      <w:r>
        <w:t>The</w:t>
      </w:r>
      <w:r w:rsidRPr="00FB6AF8">
        <w:t xml:space="preserve"> </w:t>
      </w:r>
      <w:r w:rsidR="00FB6AF8" w:rsidRPr="00FB6AF8">
        <w:t>Act</w:t>
      </w:r>
      <w:r w:rsidR="001B01C4">
        <w:t xml:space="preserve"> </w:t>
      </w:r>
      <w:r>
        <w:t>require</w:t>
      </w:r>
      <w:r w:rsidR="001B01C4">
        <w:t>s</w:t>
      </w:r>
      <w:r>
        <w:t xml:space="preserve"> public authorities</w:t>
      </w:r>
      <w:r w:rsidR="0048003F">
        <w:t>, as a minimum,</w:t>
      </w:r>
      <w:r>
        <w:t xml:space="preserve"> to u</w:t>
      </w:r>
      <w:r w:rsidRPr="000F47A9">
        <w:t xml:space="preserve">ndertake </w:t>
      </w:r>
      <w:r w:rsidR="001B01C4">
        <w:t>an advertised</w:t>
      </w:r>
      <w:r w:rsidRPr="000F47A9">
        <w:t xml:space="preserve"> public consultation </w:t>
      </w:r>
      <w:r w:rsidR="001B01C4">
        <w:t xml:space="preserve">by calling for submissions on issues of </w:t>
      </w:r>
      <w:r w:rsidR="000C6FC3">
        <w:t xml:space="preserve">specific or </w:t>
      </w:r>
      <w:r w:rsidR="0047642D">
        <w:t xml:space="preserve">of </w:t>
      </w:r>
      <w:r w:rsidR="000C6FC3">
        <w:t xml:space="preserve">individual </w:t>
      </w:r>
      <w:r w:rsidR="001B01C4">
        <w:t xml:space="preserve">concern to people with disability. </w:t>
      </w:r>
      <w:r w:rsidR="000D6D8B">
        <w:t>This</w:t>
      </w:r>
      <w:r w:rsidR="001B01C4">
        <w:t xml:space="preserve"> </w:t>
      </w:r>
      <w:r w:rsidR="00173624">
        <w:t>can</w:t>
      </w:r>
      <w:r w:rsidR="001B01C4">
        <w:t xml:space="preserve"> occur </w:t>
      </w:r>
      <w:r w:rsidR="00C267D0">
        <w:t xml:space="preserve">at any stage </w:t>
      </w:r>
      <w:r w:rsidR="003853E2">
        <w:t xml:space="preserve">in the </w:t>
      </w:r>
      <w:r w:rsidR="000C6FC3">
        <w:t xml:space="preserve">new DAIP </w:t>
      </w:r>
      <w:r w:rsidR="003853E2">
        <w:t xml:space="preserve">development </w:t>
      </w:r>
      <w:r w:rsidR="000C6FC3">
        <w:t>and may occur more than once.</w:t>
      </w:r>
      <w:r w:rsidR="001B01C4">
        <w:t xml:space="preserve"> </w:t>
      </w:r>
    </w:p>
    <w:p w14:paraId="0F25759F" w14:textId="132D3D71" w:rsidR="0045100A" w:rsidRDefault="00F541AD" w:rsidP="001B01C4">
      <w:r>
        <w:t xml:space="preserve">Consultation on its own is limited. </w:t>
      </w:r>
      <w:r w:rsidR="00A63BCF">
        <w:t>Good practice</w:t>
      </w:r>
      <w:r w:rsidR="00135E5F">
        <w:t xml:space="preserve"> stakeholder engagement</w:t>
      </w:r>
      <w:r w:rsidR="00B50601">
        <w:t xml:space="preserve"> </w:t>
      </w:r>
      <w:r w:rsidR="0053680B">
        <w:t>uses a diversity</w:t>
      </w:r>
      <w:r w:rsidR="00DC620D">
        <w:t xml:space="preserve"> </w:t>
      </w:r>
      <w:r w:rsidR="0053680B">
        <w:t xml:space="preserve">of </w:t>
      </w:r>
      <w:r w:rsidR="00DC620D">
        <w:t>engagement</w:t>
      </w:r>
      <w:r w:rsidR="00B50601">
        <w:t xml:space="preserve"> </w:t>
      </w:r>
      <w:r w:rsidR="00852EB4">
        <w:t xml:space="preserve">methods </w:t>
      </w:r>
      <w:r w:rsidR="00B14E76">
        <w:t xml:space="preserve">at different stages in the </w:t>
      </w:r>
      <w:r w:rsidR="007240CD">
        <w:t>DAIP</w:t>
      </w:r>
      <w:r w:rsidR="0053680B">
        <w:t>’s development</w:t>
      </w:r>
      <w:r w:rsidR="00310AB8">
        <w:t>. This ensures</w:t>
      </w:r>
      <w:r w:rsidR="00A63BCF">
        <w:t xml:space="preserve"> </w:t>
      </w:r>
      <w:r w:rsidR="00214EF2">
        <w:t>all parties</w:t>
      </w:r>
      <w:r w:rsidR="003F032B">
        <w:t xml:space="preserve"> </w:t>
      </w:r>
      <w:r w:rsidR="00AB4D8C">
        <w:t xml:space="preserve">have </w:t>
      </w:r>
      <w:r w:rsidR="003F032B">
        <w:t>an opportunity to contribute in a meaningful way</w:t>
      </w:r>
      <w:r w:rsidR="00CC2E62">
        <w:t>. Th</w:t>
      </w:r>
      <w:r w:rsidR="0052305C">
        <w:t xml:space="preserve">e scale of stakeholder engagement </w:t>
      </w:r>
      <w:r w:rsidR="00CC2E62">
        <w:t xml:space="preserve">will </w:t>
      </w:r>
      <w:r w:rsidR="00556B9D">
        <w:t>depend on your public authority’s</w:t>
      </w:r>
      <w:r w:rsidR="00CC2E62">
        <w:t xml:space="preserve"> size and functions.</w:t>
      </w:r>
    </w:p>
    <w:p w14:paraId="0E3B9C07" w14:textId="598F1FA7" w:rsidR="0040016E" w:rsidRPr="00F23FD4" w:rsidRDefault="004F30CC" w:rsidP="00F23FD4">
      <w:pPr>
        <w:pStyle w:val="BodyText"/>
      </w:pPr>
      <w:r>
        <w:t>The stakeholder engagement phase</w:t>
      </w:r>
      <w:r w:rsidR="006A0EE6">
        <w:t xml:space="preserve"> can involve:</w:t>
      </w:r>
    </w:p>
    <w:p w14:paraId="6CB64426" w14:textId="372A1D2B" w:rsidR="00030EDD" w:rsidRPr="0018362A" w:rsidRDefault="00535BF7" w:rsidP="00030EDD">
      <w:pPr>
        <w:pStyle w:val="BodyText"/>
        <w:numPr>
          <w:ilvl w:val="0"/>
          <w:numId w:val="12"/>
        </w:numPr>
      </w:pPr>
      <w:r>
        <w:t>U</w:t>
      </w:r>
      <w:r w:rsidR="00030EDD" w:rsidRPr="004B32FC">
        <w:t xml:space="preserve">ndertaking stakeholder </w:t>
      </w:r>
      <w:r w:rsidR="00030EDD" w:rsidRPr="008671DC">
        <w:t>mapping</w:t>
      </w:r>
      <w:r w:rsidR="002235DD">
        <w:t xml:space="preserve"> to identify </w:t>
      </w:r>
      <w:r w:rsidR="00030EDD">
        <w:t xml:space="preserve">the individuals, </w:t>
      </w:r>
      <w:r w:rsidR="00030EDD" w:rsidRPr="00AB0236">
        <w:t xml:space="preserve">groups and organisations who should </w:t>
      </w:r>
      <w:r w:rsidR="00D37933">
        <w:t>have a say</w:t>
      </w:r>
      <w:r w:rsidR="00030EDD">
        <w:t>.</w:t>
      </w:r>
    </w:p>
    <w:p w14:paraId="1FDD6F3E" w14:textId="554A0C3E" w:rsidR="0040016E" w:rsidRDefault="00535BF7" w:rsidP="004F5E73">
      <w:pPr>
        <w:pStyle w:val="BodyText"/>
        <w:numPr>
          <w:ilvl w:val="0"/>
          <w:numId w:val="12"/>
        </w:numPr>
      </w:pPr>
      <w:r>
        <w:t>C</w:t>
      </w:r>
      <w:r w:rsidR="0040016E" w:rsidRPr="00834225">
        <w:t>larify</w:t>
      </w:r>
      <w:r w:rsidR="0040016E">
        <w:t>ing</w:t>
      </w:r>
      <w:r w:rsidR="0040016E" w:rsidRPr="00834225">
        <w:t xml:space="preserve"> the </w:t>
      </w:r>
      <w:r w:rsidR="00D03587">
        <w:t>aim</w:t>
      </w:r>
      <w:r w:rsidR="0040016E" w:rsidRPr="00834225">
        <w:t xml:space="preserve"> of the engagement process</w:t>
      </w:r>
      <w:r w:rsidR="001302ED">
        <w:t xml:space="preserve"> - w</w:t>
      </w:r>
      <w:r w:rsidR="0096782C">
        <w:t>hat do you want to achieve?</w:t>
      </w:r>
    </w:p>
    <w:p w14:paraId="20FAB16C" w14:textId="514C63A8" w:rsidR="0073139B" w:rsidRPr="00834225" w:rsidRDefault="00535BF7" w:rsidP="0073139B">
      <w:pPr>
        <w:pStyle w:val="BodyText"/>
        <w:numPr>
          <w:ilvl w:val="0"/>
          <w:numId w:val="12"/>
        </w:numPr>
      </w:pPr>
      <w:r>
        <w:t>A</w:t>
      </w:r>
      <w:r w:rsidR="0073139B" w:rsidRPr="00834225">
        <w:t>llocat</w:t>
      </w:r>
      <w:r w:rsidR="0073139B">
        <w:t>ing</w:t>
      </w:r>
      <w:r w:rsidR="0073139B" w:rsidRPr="00834225">
        <w:t xml:space="preserve"> resources, including budget and staffing</w:t>
      </w:r>
      <w:r w:rsidR="0073139B">
        <w:t>.</w:t>
      </w:r>
    </w:p>
    <w:p w14:paraId="0D0167EE" w14:textId="5D5FA801" w:rsidR="0040016E" w:rsidRPr="00834225" w:rsidRDefault="00535BF7" w:rsidP="004F5E73">
      <w:pPr>
        <w:pStyle w:val="BodyText"/>
        <w:numPr>
          <w:ilvl w:val="0"/>
          <w:numId w:val="12"/>
        </w:numPr>
      </w:pPr>
      <w:r>
        <w:t>I</w:t>
      </w:r>
      <w:r w:rsidR="00D25FED">
        <w:t xml:space="preserve">dentifying </w:t>
      </w:r>
      <w:r w:rsidR="00CB4E42">
        <w:t>the</w:t>
      </w:r>
      <w:r w:rsidR="0040016E" w:rsidRPr="00834225">
        <w:t xml:space="preserve"> engagement </w:t>
      </w:r>
      <w:r w:rsidR="00D25FED">
        <w:t>model</w:t>
      </w:r>
      <w:r w:rsidR="000C6FC3">
        <w:t>(s)</w:t>
      </w:r>
      <w:r w:rsidR="00D25FED">
        <w:t xml:space="preserve"> </w:t>
      </w:r>
      <w:r w:rsidR="00CB4E42">
        <w:t>to</w:t>
      </w:r>
      <w:r w:rsidR="0040016E" w:rsidRPr="00834225">
        <w:t xml:space="preserve"> be use</w:t>
      </w:r>
      <w:r w:rsidR="00F541AD">
        <w:t>d</w:t>
      </w:r>
      <w:r w:rsidR="00BA7AE4">
        <w:t xml:space="preserve">. For example, will you be </w:t>
      </w:r>
      <w:r w:rsidR="00465737">
        <w:t>consulting</w:t>
      </w:r>
      <w:r w:rsidR="00BA7AE4">
        <w:t xml:space="preserve"> or collaborating with stakeholders?</w:t>
      </w:r>
    </w:p>
    <w:p w14:paraId="09FCD71A" w14:textId="4C6D3C9F" w:rsidR="0040016E" w:rsidRPr="00834225" w:rsidRDefault="00535BF7" w:rsidP="004F5E73">
      <w:pPr>
        <w:pStyle w:val="BodyText"/>
        <w:numPr>
          <w:ilvl w:val="0"/>
          <w:numId w:val="12"/>
        </w:numPr>
      </w:pPr>
      <w:r>
        <w:t>D</w:t>
      </w:r>
      <w:r w:rsidR="0040016E" w:rsidRPr="00834225">
        <w:t>etermin</w:t>
      </w:r>
      <w:r w:rsidR="0040016E">
        <w:t>ing</w:t>
      </w:r>
      <w:r w:rsidR="0040016E" w:rsidRPr="00834225">
        <w:t xml:space="preserve"> the engagement methods to be used</w:t>
      </w:r>
      <w:r w:rsidR="00FB6AF8">
        <w:t>.</w:t>
      </w:r>
      <w:r w:rsidR="00C14B8D">
        <w:t xml:space="preserve"> For example, will you use surveys, focus groups, </w:t>
      </w:r>
      <w:r w:rsidR="001302ED">
        <w:t>workshops</w:t>
      </w:r>
      <w:r w:rsidR="00F541AD">
        <w:t xml:space="preserve"> and</w:t>
      </w:r>
      <w:r w:rsidR="000C6FC3">
        <w:t>/</w:t>
      </w:r>
      <w:r w:rsidR="00F541AD">
        <w:t>or co-design sessions</w:t>
      </w:r>
      <w:r w:rsidR="001302ED">
        <w:t>?</w:t>
      </w:r>
    </w:p>
    <w:p w14:paraId="43D4B86B" w14:textId="521B52CD" w:rsidR="0040016E" w:rsidRPr="00834225" w:rsidRDefault="00535BF7" w:rsidP="004F5E73">
      <w:pPr>
        <w:pStyle w:val="BodyText"/>
        <w:numPr>
          <w:ilvl w:val="0"/>
          <w:numId w:val="12"/>
        </w:numPr>
      </w:pPr>
      <w:r>
        <w:t>S</w:t>
      </w:r>
      <w:r w:rsidR="009946BA">
        <w:t>cheduling and promoting</w:t>
      </w:r>
      <w:r w:rsidR="006D375F">
        <w:t xml:space="preserve"> </w:t>
      </w:r>
      <w:r w:rsidR="00DF1CF9">
        <w:t xml:space="preserve">stakeholder </w:t>
      </w:r>
      <w:r w:rsidR="0040016E">
        <w:t xml:space="preserve">engagement </w:t>
      </w:r>
      <w:r w:rsidR="0040016E" w:rsidRPr="00834225">
        <w:t>activitie</w:t>
      </w:r>
      <w:r w:rsidR="00C8551F">
        <w:t>s</w:t>
      </w:r>
      <w:r w:rsidR="00F73E44">
        <w:t xml:space="preserve"> to maximise </w:t>
      </w:r>
      <w:r w:rsidR="00E606AB">
        <w:t>involvement.</w:t>
      </w:r>
    </w:p>
    <w:p w14:paraId="774BEB5F" w14:textId="0734A0F2" w:rsidR="0040016E" w:rsidRPr="00834225" w:rsidRDefault="00535BF7" w:rsidP="004F5E73">
      <w:pPr>
        <w:pStyle w:val="BodyText"/>
        <w:numPr>
          <w:ilvl w:val="0"/>
          <w:numId w:val="12"/>
        </w:numPr>
      </w:pPr>
      <w:r>
        <w:t>D</w:t>
      </w:r>
      <w:r w:rsidR="0040016E" w:rsidRPr="00834225">
        <w:t>eliver</w:t>
      </w:r>
      <w:r w:rsidR="0040016E">
        <w:t>ing</w:t>
      </w:r>
      <w:r w:rsidR="0040016E" w:rsidRPr="00834225">
        <w:t xml:space="preserve"> </w:t>
      </w:r>
      <w:r w:rsidR="0040016E">
        <w:t>stakeholder engagement activities</w:t>
      </w:r>
      <w:r w:rsidR="00823CCA">
        <w:t xml:space="preserve"> and collating the findings</w:t>
      </w:r>
      <w:r w:rsidR="00FB6AF8">
        <w:t>.</w:t>
      </w:r>
    </w:p>
    <w:p w14:paraId="0BC784F4" w14:textId="22B0ACA0" w:rsidR="0040016E" w:rsidRPr="00834225" w:rsidRDefault="00535BF7" w:rsidP="004F5E73">
      <w:pPr>
        <w:pStyle w:val="BodyText"/>
        <w:numPr>
          <w:ilvl w:val="0"/>
          <w:numId w:val="12"/>
        </w:numPr>
      </w:pPr>
      <w:r>
        <w:t>C</w:t>
      </w:r>
      <w:r w:rsidR="006028AB">
        <w:t>ommunicating the</w:t>
      </w:r>
      <w:r w:rsidR="00EC1B64">
        <w:t xml:space="preserve"> </w:t>
      </w:r>
      <w:r w:rsidR="0040016E" w:rsidRPr="00834225">
        <w:t>findings to</w:t>
      </w:r>
      <w:r w:rsidR="006028AB">
        <w:t xml:space="preserve"> </w:t>
      </w:r>
      <w:r w:rsidR="00BB7BCD">
        <w:t>the people and organisations that participated.</w:t>
      </w:r>
    </w:p>
    <w:p w14:paraId="3CB87C49" w14:textId="77777777" w:rsidR="00F02B7D" w:rsidRDefault="00F02B7D" w:rsidP="00F23FD4">
      <w:pPr>
        <w:pStyle w:val="BodyText"/>
      </w:pPr>
    </w:p>
    <w:p w14:paraId="0044436F" w14:textId="5BCF59E5" w:rsidR="0040016E" w:rsidRPr="00F23FD4" w:rsidRDefault="0040016E" w:rsidP="00F23FD4">
      <w:pPr>
        <w:pStyle w:val="BodyText"/>
      </w:pPr>
      <w:r w:rsidRPr="00F23FD4">
        <w:lastRenderedPageBreak/>
        <w:t xml:space="preserve">It is important </w:t>
      </w:r>
      <w:r w:rsidR="003C4B73">
        <w:t xml:space="preserve">that </w:t>
      </w:r>
      <w:r w:rsidRPr="00F23FD4">
        <w:t>stakeholders understand:</w:t>
      </w:r>
    </w:p>
    <w:p w14:paraId="55DBB50B" w14:textId="4BBB3167" w:rsidR="0040016E" w:rsidRPr="00244D84" w:rsidRDefault="00DA4C8F" w:rsidP="004F5E73">
      <w:pPr>
        <w:pStyle w:val="BodyText"/>
        <w:numPr>
          <w:ilvl w:val="0"/>
          <w:numId w:val="13"/>
        </w:numPr>
      </w:pPr>
      <w:r>
        <w:t>W</w:t>
      </w:r>
      <w:r w:rsidR="0040016E" w:rsidRPr="00244D84">
        <w:t xml:space="preserve">hat </w:t>
      </w:r>
      <w:r w:rsidR="00DD324A">
        <w:t>the stakeholder engagement is</w:t>
      </w:r>
      <w:r w:rsidR="00D52C8D">
        <w:t xml:space="preserve"> </w:t>
      </w:r>
      <w:r w:rsidR="0040016E" w:rsidRPr="00244D84">
        <w:t>aiming to achieve</w:t>
      </w:r>
      <w:r w:rsidR="00FB6AF8">
        <w:t>.</w:t>
      </w:r>
    </w:p>
    <w:p w14:paraId="68BD37EB" w14:textId="78CC0F5B" w:rsidR="0040016E" w:rsidRPr="00244D84" w:rsidRDefault="00DA4C8F" w:rsidP="004F5E73">
      <w:pPr>
        <w:pStyle w:val="BodyText"/>
        <w:numPr>
          <w:ilvl w:val="0"/>
          <w:numId w:val="13"/>
        </w:numPr>
      </w:pPr>
      <w:r>
        <w:t>H</w:t>
      </w:r>
      <w:r w:rsidR="0040016E" w:rsidRPr="00244D84">
        <w:t>ow their input will be used in the</w:t>
      </w:r>
      <w:r w:rsidR="003B2E63">
        <w:t xml:space="preserve"> DAIP</w:t>
      </w:r>
      <w:r w:rsidR="002F60A6">
        <w:t>’s</w:t>
      </w:r>
      <w:r w:rsidR="000C6FC3" w:rsidRPr="00244D84">
        <w:t xml:space="preserve"> </w:t>
      </w:r>
      <w:r w:rsidR="0040016E" w:rsidRPr="00244D84">
        <w:t>development</w:t>
      </w:r>
      <w:r w:rsidR="00FB6AF8">
        <w:t>.</w:t>
      </w:r>
    </w:p>
    <w:p w14:paraId="3E172131" w14:textId="1E4508B7" w:rsidR="0040016E" w:rsidRDefault="00DA4C8F" w:rsidP="004F5E73">
      <w:pPr>
        <w:pStyle w:val="BodyText"/>
        <w:numPr>
          <w:ilvl w:val="0"/>
          <w:numId w:val="13"/>
        </w:numPr>
      </w:pPr>
      <w:r>
        <w:t>H</w:t>
      </w:r>
      <w:r w:rsidR="0040016E" w:rsidRPr="00244D84">
        <w:t xml:space="preserve">ow decision making on </w:t>
      </w:r>
      <w:r w:rsidR="00A96663">
        <w:t xml:space="preserve">final </w:t>
      </w:r>
      <w:r w:rsidR="0040016E" w:rsidRPr="00244D84">
        <w:t>DAIP actions will be determined.</w:t>
      </w:r>
    </w:p>
    <w:p w14:paraId="25FE6234" w14:textId="4567A95D" w:rsidR="00017B4C" w:rsidRDefault="0044051B" w:rsidP="00BA46BC">
      <w:pPr>
        <w:pStyle w:val="BodyText"/>
      </w:pPr>
      <w:r>
        <w:t>Some</w:t>
      </w:r>
      <w:r w:rsidR="003F26A0">
        <w:t xml:space="preserve"> public authorit</w:t>
      </w:r>
      <w:r>
        <w:t>ies</w:t>
      </w:r>
      <w:r w:rsidR="003F26A0">
        <w:t xml:space="preserve"> may have</w:t>
      </w:r>
      <w:r w:rsidR="00FC221C">
        <w:t xml:space="preserve"> an existing corporate community </w:t>
      </w:r>
      <w:r w:rsidR="008155D1">
        <w:t xml:space="preserve">engagement </w:t>
      </w:r>
      <w:r w:rsidR="00FC221C">
        <w:t>framework or guide</w:t>
      </w:r>
      <w:r w:rsidR="00272C24">
        <w:t>. For those that do</w:t>
      </w:r>
      <w:r w:rsidR="000C6FC3">
        <w:t>n’t</w:t>
      </w:r>
      <w:r w:rsidR="00272C24">
        <w:t xml:space="preserve">, </w:t>
      </w:r>
      <w:r w:rsidR="007951D3">
        <w:t xml:space="preserve">there are </w:t>
      </w:r>
      <w:r w:rsidR="00F541AD">
        <w:t>several</w:t>
      </w:r>
      <w:r w:rsidR="00CF1B23">
        <w:t xml:space="preserve"> engagement models that can help </w:t>
      </w:r>
      <w:r w:rsidR="00CB286A">
        <w:t>you</w:t>
      </w:r>
      <w:r w:rsidR="00272C24">
        <w:t xml:space="preserve"> determine </w:t>
      </w:r>
      <w:r w:rsidR="001C3B9B">
        <w:t>your approach</w:t>
      </w:r>
      <w:r w:rsidR="006D5BDB">
        <w:t xml:space="preserve"> and </w:t>
      </w:r>
      <w:r w:rsidR="000D6642">
        <w:t xml:space="preserve">the </w:t>
      </w:r>
      <w:r w:rsidR="009A28D9">
        <w:t xml:space="preserve">engagement </w:t>
      </w:r>
      <w:r w:rsidR="006D5BDB">
        <w:t>methods</w:t>
      </w:r>
      <w:r w:rsidR="000D6642">
        <w:t xml:space="preserve"> to use</w:t>
      </w:r>
      <w:r w:rsidR="001C3B9B">
        <w:t xml:space="preserve">. </w:t>
      </w:r>
      <w:r w:rsidR="00134CDA">
        <w:t xml:space="preserve">Refer </w:t>
      </w:r>
      <w:r w:rsidR="00802572" w:rsidRPr="00802572">
        <w:t xml:space="preserve">to </w:t>
      </w:r>
      <w:hyperlink w:anchor="_Appendix_2:_Stakeholder" w:history="1">
        <w:r w:rsidR="00910A3C" w:rsidRPr="00061912">
          <w:rPr>
            <w:rStyle w:val="Hyperlink"/>
          </w:rPr>
          <w:t xml:space="preserve">Appendix 2: </w:t>
        </w:r>
        <w:r w:rsidR="00802572" w:rsidRPr="00061912">
          <w:rPr>
            <w:rStyle w:val="Hyperlink"/>
          </w:rPr>
          <w:t>Stakeholder Engagement mode</w:t>
        </w:r>
        <w:r w:rsidR="00A825C3" w:rsidRPr="00061912">
          <w:rPr>
            <w:rStyle w:val="Hyperlink"/>
          </w:rPr>
          <w:t>l</w:t>
        </w:r>
        <w:r w:rsidR="00802572" w:rsidRPr="00061912">
          <w:rPr>
            <w:rStyle w:val="Hyperlink"/>
          </w:rPr>
          <w:t xml:space="preserve"> example</w:t>
        </w:r>
        <w:r w:rsidR="00E47BE9" w:rsidRPr="00061912">
          <w:rPr>
            <w:rStyle w:val="Hyperlink"/>
          </w:rPr>
          <w:t xml:space="preserve"> and useful links</w:t>
        </w:r>
      </w:hyperlink>
      <w:r w:rsidR="00E47BE9">
        <w:t>.</w:t>
      </w:r>
    </w:p>
    <w:p w14:paraId="386C4C3B" w14:textId="0B2F3CB0" w:rsidR="00905F93" w:rsidRPr="00DA26C5" w:rsidRDefault="001C3B9B" w:rsidP="00905F93">
      <w:pPr>
        <w:pStyle w:val="Heading4"/>
        <w:rPr>
          <w:sz w:val="30"/>
          <w:szCs w:val="30"/>
        </w:rPr>
      </w:pPr>
      <w:bookmarkStart w:id="13" w:name="_Toc180747524"/>
      <w:bookmarkStart w:id="14" w:name="_Toc194058748"/>
      <w:r>
        <w:rPr>
          <w:sz w:val="30"/>
          <w:szCs w:val="30"/>
        </w:rPr>
        <w:t>Draft</w:t>
      </w:r>
      <w:bookmarkEnd w:id="13"/>
      <w:bookmarkEnd w:id="14"/>
    </w:p>
    <w:p w14:paraId="2DB53273" w14:textId="2E37F166" w:rsidR="00905F93" w:rsidRPr="00C967C5" w:rsidRDefault="00905F93" w:rsidP="00905F93">
      <w:pPr>
        <w:pStyle w:val="BodyText"/>
      </w:pPr>
      <w:r w:rsidRPr="00C967C5">
        <w:t>The draft phase can involve:</w:t>
      </w:r>
    </w:p>
    <w:p w14:paraId="1B5D3667" w14:textId="259318F7" w:rsidR="00905F93" w:rsidRPr="00E061A4" w:rsidRDefault="00DA4C8F" w:rsidP="004F5E73">
      <w:pPr>
        <w:pStyle w:val="BodyText"/>
        <w:numPr>
          <w:ilvl w:val="0"/>
          <w:numId w:val="14"/>
        </w:numPr>
      </w:pPr>
      <w:r>
        <w:t>A</w:t>
      </w:r>
      <w:r w:rsidR="00905F93">
        <w:t>nalys</w:t>
      </w:r>
      <w:r w:rsidR="003C4B73">
        <w:t>ing</w:t>
      </w:r>
      <w:r w:rsidR="00905F93">
        <w:t xml:space="preserve"> the</w:t>
      </w:r>
      <w:r w:rsidR="00905F93" w:rsidRPr="00E061A4">
        <w:t xml:space="preserve"> research</w:t>
      </w:r>
      <w:r w:rsidR="006A48DF">
        <w:t xml:space="preserve"> and </w:t>
      </w:r>
      <w:r w:rsidR="00905F93" w:rsidRPr="00E061A4">
        <w:t>review</w:t>
      </w:r>
      <w:r w:rsidR="006A48DF">
        <w:t xml:space="preserve"> phase,</w:t>
      </w:r>
      <w:r w:rsidR="00905F93" w:rsidRPr="00E061A4">
        <w:t xml:space="preserve"> and </w:t>
      </w:r>
      <w:r w:rsidR="00A825C3">
        <w:t>stakeholder</w:t>
      </w:r>
      <w:r w:rsidR="00905F93" w:rsidRPr="00E061A4">
        <w:t xml:space="preserve"> engagement findings</w:t>
      </w:r>
      <w:r w:rsidR="00FB6AF8">
        <w:t>.</w:t>
      </w:r>
    </w:p>
    <w:p w14:paraId="3B104561" w14:textId="5FC60771" w:rsidR="00905F93" w:rsidRDefault="00DA4C8F" w:rsidP="004F5E73">
      <w:pPr>
        <w:pStyle w:val="BodyText"/>
        <w:numPr>
          <w:ilvl w:val="0"/>
          <w:numId w:val="14"/>
        </w:numPr>
      </w:pPr>
      <w:r>
        <w:t>C</w:t>
      </w:r>
      <w:r w:rsidR="00905F93">
        <w:t xml:space="preserve">onfirming governance </w:t>
      </w:r>
      <w:r w:rsidR="001169FC">
        <w:t>and accountability</w:t>
      </w:r>
      <w:r w:rsidR="007F4BE5">
        <w:t xml:space="preserve"> arrangements</w:t>
      </w:r>
      <w:r w:rsidR="00FB6AF8">
        <w:t>.</w:t>
      </w:r>
    </w:p>
    <w:p w14:paraId="4AC9A3AF" w14:textId="08977891" w:rsidR="001169FC" w:rsidRDefault="00DA4C8F" w:rsidP="001169FC">
      <w:pPr>
        <w:pStyle w:val="BodyText"/>
        <w:numPr>
          <w:ilvl w:val="0"/>
          <w:numId w:val="14"/>
        </w:numPr>
      </w:pPr>
      <w:r>
        <w:t>P</w:t>
      </w:r>
      <w:r w:rsidR="001169FC">
        <w:t>rioritising DAIP actions for implementation</w:t>
      </w:r>
      <w:r w:rsidR="00FB6AF8">
        <w:t xml:space="preserve"> based on </w:t>
      </w:r>
      <w:r w:rsidR="000D6642">
        <w:t xml:space="preserve">your </w:t>
      </w:r>
      <w:r w:rsidR="00FB6AF8">
        <w:t>context and capacity</w:t>
      </w:r>
      <w:r w:rsidR="001169FC">
        <w:t xml:space="preserve">. </w:t>
      </w:r>
    </w:p>
    <w:p w14:paraId="59E96EBA" w14:textId="5B8E1AAA" w:rsidR="007358FD" w:rsidRDefault="00DA4C8F" w:rsidP="004F5E73">
      <w:pPr>
        <w:pStyle w:val="BodyText"/>
        <w:numPr>
          <w:ilvl w:val="0"/>
          <w:numId w:val="14"/>
        </w:numPr>
      </w:pPr>
      <w:r>
        <w:t>D</w:t>
      </w:r>
      <w:r w:rsidR="004762C0">
        <w:t>eciding</w:t>
      </w:r>
      <w:r w:rsidR="00A209FE">
        <w:t xml:space="preserve"> </w:t>
      </w:r>
      <w:r w:rsidR="001F13E3">
        <w:t xml:space="preserve">on </w:t>
      </w:r>
      <w:r w:rsidR="00A209FE">
        <w:t>an</w:t>
      </w:r>
      <w:r w:rsidR="007358FD">
        <w:t xml:space="preserve"> evaluation </w:t>
      </w:r>
      <w:r w:rsidR="00F37B78">
        <w:t xml:space="preserve">approach </w:t>
      </w:r>
      <w:r w:rsidR="00A209FE">
        <w:t xml:space="preserve">and </w:t>
      </w:r>
      <w:r w:rsidR="00213398">
        <w:t xml:space="preserve">internal </w:t>
      </w:r>
      <w:r w:rsidR="00A209FE">
        <w:t>reporting strategy</w:t>
      </w:r>
      <w:r w:rsidR="00A825C3">
        <w:t>.</w:t>
      </w:r>
    </w:p>
    <w:p w14:paraId="7A4260BE" w14:textId="1BCC751F" w:rsidR="00905F93" w:rsidRDefault="00DA4C8F" w:rsidP="004F5E73">
      <w:pPr>
        <w:pStyle w:val="BodyText"/>
        <w:numPr>
          <w:ilvl w:val="0"/>
          <w:numId w:val="14"/>
        </w:numPr>
      </w:pPr>
      <w:r>
        <w:t>D</w:t>
      </w:r>
      <w:r w:rsidR="007655FD">
        <w:t xml:space="preserve">etermining the plan structure and </w:t>
      </w:r>
      <w:r w:rsidR="003C4B73">
        <w:t>d</w:t>
      </w:r>
      <w:r w:rsidR="00905F93">
        <w:t xml:space="preserve">rafting the content (refer </w:t>
      </w:r>
      <w:r w:rsidR="003C4B73">
        <w:t xml:space="preserve">to </w:t>
      </w:r>
      <w:hyperlink w:anchor="_Appendix_3:_What" w:history="1">
        <w:r w:rsidR="00905F93" w:rsidRPr="007B28DA">
          <w:rPr>
            <w:rStyle w:val="Hyperlink"/>
          </w:rPr>
          <w:t xml:space="preserve">Appendix </w:t>
        </w:r>
        <w:r w:rsidR="007B273B" w:rsidRPr="007B28DA">
          <w:rPr>
            <w:rStyle w:val="Hyperlink"/>
          </w:rPr>
          <w:t xml:space="preserve">3: </w:t>
        </w:r>
        <w:r w:rsidR="00905F93" w:rsidRPr="007B28DA">
          <w:rPr>
            <w:rStyle w:val="Hyperlink"/>
          </w:rPr>
          <w:t>What to include in a DAIP</w:t>
        </w:r>
      </w:hyperlink>
      <w:r w:rsidR="00905F93">
        <w:t>)</w:t>
      </w:r>
      <w:r w:rsidR="00A825C3">
        <w:t>.</w:t>
      </w:r>
    </w:p>
    <w:p w14:paraId="5F86564D" w14:textId="0E1D460B" w:rsidR="00905F93" w:rsidRDefault="00DA4C8F" w:rsidP="004F5E73">
      <w:pPr>
        <w:pStyle w:val="BodyText"/>
        <w:numPr>
          <w:ilvl w:val="0"/>
          <w:numId w:val="14"/>
        </w:numPr>
      </w:pPr>
      <w:r>
        <w:t>C</w:t>
      </w:r>
      <w:r w:rsidR="00905F93">
        <w:t>onfirming internal responsibilities and budget allocations</w:t>
      </w:r>
      <w:r w:rsidR="00A825C3">
        <w:t>.</w:t>
      </w:r>
    </w:p>
    <w:p w14:paraId="3FA9BCC9" w14:textId="7E1828E6" w:rsidR="00905F93" w:rsidRDefault="00DA4C8F" w:rsidP="004F5E73">
      <w:pPr>
        <w:pStyle w:val="BodyText"/>
        <w:numPr>
          <w:ilvl w:val="0"/>
          <w:numId w:val="14"/>
        </w:numPr>
      </w:pPr>
      <w:r>
        <w:t>D</w:t>
      </w:r>
      <w:r w:rsidR="00905F93">
        <w:t xml:space="preserve">rafting </w:t>
      </w:r>
      <w:r w:rsidR="009F6B2A">
        <w:t>an</w:t>
      </w:r>
      <w:r w:rsidR="00905F93">
        <w:t xml:space="preserve"> implementation plan</w:t>
      </w:r>
      <w:r w:rsidR="006F45EE">
        <w:t xml:space="preserve"> to </w:t>
      </w:r>
      <w:r w:rsidR="009F6B2A">
        <w:t xml:space="preserve">clarify </w:t>
      </w:r>
      <w:r w:rsidR="004B20F9">
        <w:t>actions, timelines, success measures and key responsibilities.</w:t>
      </w:r>
    </w:p>
    <w:p w14:paraId="6DBC4BAD" w14:textId="1FD13EC9" w:rsidR="00905F93" w:rsidRDefault="00DA4C8F" w:rsidP="004F5E73">
      <w:pPr>
        <w:pStyle w:val="BodyText"/>
        <w:numPr>
          <w:ilvl w:val="0"/>
          <w:numId w:val="14"/>
        </w:numPr>
      </w:pPr>
      <w:r>
        <w:t>R</w:t>
      </w:r>
      <w:r w:rsidR="00905F93">
        <w:t>eview</w:t>
      </w:r>
      <w:r w:rsidR="001C0446">
        <w:t>ing the</w:t>
      </w:r>
      <w:r w:rsidR="00905F93">
        <w:t xml:space="preserve"> </w:t>
      </w:r>
      <w:r w:rsidR="007B28DA">
        <w:t>DAIP</w:t>
      </w:r>
      <w:r w:rsidR="00905F93">
        <w:t xml:space="preserve"> to ensure the language is inclusive</w:t>
      </w:r>
      <w:r w:rsidR="00A825C3">
        <w:t>.</w:t>
      </w:r>
    </w:p>
    <w:p w14:paraId="5CA8ADBB" w14:textId="73472D19" w:rsidR="00905F93" w:rsidRDefault="00DA4C8F" w:rsidP="004F5E73">
      <w:pPr>
        <w:pStyle w:val="BodyText"/>
        <w:numPr>
          <w:ilvl w:val="0"/>
          <w:numId w:val="14"/>
        </w:numPr>
      </w:pPr>
      <w:r>
        <w:t>C</w:t>
      </w:r>
      <w:r w:rsidR="00905F93">
        <w:t>hecking the document’s accessibility</w:t>
      </w:r>
      <w:r w:rsidR="0048003F">
        <w:t xml:space="preserve"> and developing alternat</w:t>
      </w:r>
      <w:r w:rsidR="003C5462">
        <w:t>ive</w:t>
      </w:r>
      <w:r w:rsidR="0048003F">
        <w:t xml:space="preserve"> formats.</w:t>
      </w:r>
      <w:r w:rsidR="00905F93">
        <w:t xml:space="preserve"> </w:t>
      </w:r>
    </w:p>
    <w:p w14:paraId="699F8525" w14:textId="19A9D8E3" w:rsidR="004762C0" w:rsidRDefault="00DA4C8F" w:rsidP="004F5E73">
      <w:pPr>
        <w:pStyle w:val="BodyText"/>
        <w:numPr>
          <w:ilvl w:val="0"/>
          <w:numId w:val="14"/>
        </w:numPr>
      </w:pPr>
      <w:r>
        <w:t>C</w:t>
      </w:r>
      <w:r w:rsidR="004762C0">
        <w:t xml:space="preserve">onsidering how people can access the </w:t>
      </w:r>
      <w:r w:rsidR="007B28DA">
        <w:t>DAIP</w:t>
      </w:r>
      <w:r w:rsidR="004762C0">
        <w:t xml:space="preserve"> and how it will be </w:t>
      </w:r>
      <w:r w:rsidR="00784A1F">
        <w:t>promoted.</w:t>
      </w:r>
    </w:p>
    <w:p w14:paraId="33602110" w14:textId="304B82B1" w:rsidR="00DA3AF4" w:rsidRDefault="007655FD" w:rsidP="00DA3AF4">
      <w:pPr>
        <w:pStyle w:val="BodyText"/>
      </w:pPr>
      <w:r>
        <w:t xml:space="preserve">Public authorities </w:t>
      </w:r>
      <w:r w:rsidR="00C65569">
        <w:t xml:space="preserve">can </w:t>
      </w:r>
      <w:r w:rsidR="00756FD4">
        <w:t>include</w:t>
      </w:r>
      <w:r w:rsidR="00C65569">
        <w:t xml:space="preserve"> </w:t>
      </w:r>
      <w:r w:rsidR="003C5462">
        <w:t>an</w:t>
      </w:r>
      <w:r>
        <w:t xml:space="preserve"> implementation plan in their published DAIP</w:t>
      </w:r>
      <w:r w:rsidR="00C65569">
        <w:t xml:space="preserve"> or </w:t>
      </w:r>
      <w:r w:rsidR="00D43A26">
        <w:t xml:space="preserve">keep </w:t>
      </w:r>
      <w:r w:rsidR="00322365">
        <w:t>it</w:t>
      </w:r>
      <w:r w:rsidR="00D43A26">
        <w:t xml:space="preserve"> as </w:t>
      </w:r>
      <w:r w:rsidR="001A5B86">
        <w:t xml:space="preserve">an </w:t>
      </w:r>
      <w:r w:rsidR="00D43A26">
        <w:t xml:space="preserve">internal operational document.  </w:t>
      </w:r>
      <w:r>
        <w:t xml:space="preserve"> </w:t>
      </w:r>
    </w:p>
    <w:p w14:paraId="4E1DD64B" w14:textId="03742FE6" w:rsidR="00905F93" w:rsidRPr="00871D83" w:rsidRDefault="0048003F" w:rsidP="00905F93">
      <w:pPr>
        <w:pStyle w:val="Heading4"/>
        <w:rPr>
          <w:sz w:val="30"/>
          <w:szCs w:val="30"/>
        </w:rPr>
      </w:pPr>
      <w:bookmarkStart w:id="15" w:name="_Toc194058749"/>
      <w:r>
        <w:rPr>
          <w:sz w:val="30"/>
          <w:szCs w:val="30"/>
        </w:rPr>
        <w:t xml:space="preserve">Public </w:t>
      </w:r>
      <w:r w:rsidR="009D01B0">
        <w:rPr>
          <w:sz w:val="30"/>
          <w:szCs w:val="30"/>
        </w:rPr>
        <w:t>c</w:t>
      </w:r>
      <w:r w:rsidR="00905F93" w:rsidRPr="00871D83">
        <w:rPr>
          <w:sz w:val="30"/>
          <w:szCs w:val="30"/>
        </w:rPr>
        <w:t>onsult</w:t>
      </w:r>
      <w:r>
        <w:rPr>
          <w:sz w:val="30"/>
          <w:szCs w:val="30"/>
        </w:rPr>
        <w:t>ation</w:t>
      </w:r>
      <w:bookmarkEnd w:id="15"/>
    </w:p>
    <w:p w14:paraId="73297555" w14:textId="6D1EB649" w:rsidR="005B15A1" w:rsidRDefault="00E52DC0" w:rsidP="00905F93">
      <w:pPr>
        <w:pStyle w:val="BodyText"/>
      </w:pPr>
      <w:r>
        <w:t>Pu</w:t>
      </w:r>
      <w:r w:rsidR="0059600E">
        <w:t xml:space="preserve">tting the draft </w:t>
      </w:r>
      <w:r w:rsidR="0073217B">
        <w:t>DAIP</w:t>
      </w:r>
      <w:r w:rsidR="0059600E">
        <w:t xml:space="preserve"> out for a public consultation period is good practice</w:t>
      </w:r>
      <w:r w:rsidR="00A8564F">
        <w:t xml:space="preserve"> </w:t>
      </w:r>
      <w:r w:rsidR="005B15A1">
        <w:t>because it</w:t>
      </w:r>
      <w:r w:rsidR="00BB2AD5">
        <w:t xml:space="preserve"> </w:t>
      </w:r>
      <w:r w:rsidR="004762C0">
        <w:t xml:space="preserve">enables </w:t>
      </w:r>
      <w:r w:rsidR="00BB2AD5">
        <w:t>stakeholders:</w:t>
      </w:r>
    </w:p>
    <w:p w14:paraId="5CBAFF78" w14:textId="5B452D4D" w:rsidR="005B15A1" w:rsidRDefault="008E3188" w:rsidP="007741BD">
      <w:pPr>
        <w:pStyle w:val="BodyText"/>
        <w:numPr>
          <w:ilvl w:val="0"/>
          <w:numId w:val="28"/>
        </w:numPr>
      </w:pPr>
      <w:r>
        <w:t>W</w:t>
      </w:r>
      <w:r w:rsidR="00A8564F">
        <w:t xml:space="preserve">ho have been involved in the development </w:t>
      </w:r>
      <w:r w:rsidR="005B15A1">
        <w:t xml:space="preserve">phase to </w:t>
      </w:r>
      <w:r w:rsidR="00A8564F">
        <w:t xml:space="preserve">provide feedback </w:t>
      </w:r>
      <w:r w:rsidR="00BB2AD5">
        <w:t>on the draft</w:t>
      </w:r>
      <w:r>
        <w:t>.</w:t>
      </w:r>
    </w:p>
    <w:p w14:paraId="6283ED2F" w14:textId="3A76C8C9" w:rsidR="00BB2AD5" w:rsidRDefault="00617377" w:rsidP="007741BD">
      <w:pPr>
        <w:pStyle w:val="BodyText"/>
        <w:numPr>
          <w:ilvl w:val="0"/>
          <w:numId w:val="28"/>
        </w:numPr>
      </w:pPr>
      <w:r>
        <w:t>W</w:t>
      </w:r>
      <w:r w:rsidR="00CD2A62">
        <w:t>ho have not been involved in the development phase to review the draft and comment</w:t>
      </w:r>
      <w:r>
        <w:t>.</w:t>
      </w:r>
    </w:p>
    <w:p w14:paraId="396A5D16" w14:textId="28770CC6" w:rsidR="00CD2A62" w:rsidRPr="0029489D" w:rsidRDefault="00617377" w:rsidP="007741BD">
      <w:pPr>
        <w:pStyle w:val="BodyText"/>
        <w:numPr>
          <w:ilvl w:val="0"/>
          <w:numId w:val="28"/>
        </w:numPr>
      </w:pPr>
      <w:r>
        <w:t>T</w:t>
      </w:r>
      <w:r w:rsidR="00D6160F" w:rsidRPr="0029489D">
        <w:t xml:space="preserve">o </w:t>
      </w:r>
      <w:r w:rsidR="00695E5C" w:rsidRPr="0029489D">
        <w:t xml:space="preserve">stay </w:t>
      </w:r>
      <w:r w:rsidR="0029489D" w:rsidRPr="0029489D">
        <w:t>informed and engaged in each phase of your DAIP</w:t>
      </w:r>
      <w:r w:rsidR="004762C0">
        <w:t>’s</w:t>
      </w:r>
      <w:r w:rsidR="004762C0" w:rsidRPr="004762C0">
        <w:t xml:space="preserve"> </w:t>
      </w:r>
      <w:r w:rsidR="004762C0" w:rsidRPr="0029489D">
        <w:t>develop</w:t>
      </w:r>
      <w:r w:rsidR="004762C0">
        <w:t>ment.</w:t>
      </w:r>
    </w:p>
    <w:p w14:paraId="6412FF94" w14:textId="77777777" w:rsidR="00140C9F" w:rsidRDefault="00140C9F" w:rsidP="00905F93">
      <w:pPr>
        <w:pStyle w:val="BodyText"/>
      </w:pPr>
    </w:p>
    <w:p w14:paraId="69B2E2A5" w14:textId="66EB1860" w:rsidR="00905F93" w:rsidRDefault="00905F93" w:rsidP="00905F93">
      <w:pPr>
        <w:pStyle w:val="BodyText"/>
      </w:pPr>
      <w:r>
        <w:lastRenderedPageBreak/>
        <w:t xml:space="preserve">The </w:t>
      </w:r>
      <w:r w:rsidR="00021949">
        <w:t>public consultation</w:t>
      </w:r>
      <w:r>
        <w:t xml:space="preserve"> phase can involve:</w:t>
      </w:r>
    </w:p>
    <w:p w14:paraId="0EADC742" w14:textId="0A16008E" w:rsidR="00905F93" w:rsidRPr="005855A8" w:rsidRDefault="00140C9F" w:rsidP="004F5E73">
      <w:pPr>
        <w:pStyle w:val="BodyText"/>
        <w:numPr>
          <w:ilvl w:val="0"/>
          <w:numId w:val="15"/>
        </w:numPr>
      </w:pPr>
      <w:r>
        <w:t>M</w:t>
      </w:r>
      <w:r w:rsidR="00905F93" w:rsidRPr="005855A8">
        <w:t xml:space="preserve">aking the draft </w:t>
      </w:r>
      <w:r w:rsidR="0073217B">
        <w:t>DAIP</w:t>
      </w:r>
      <w:r w:rsidR="00905F93" w:rsidRPr="005855A8">
        <w:t xml:space="preserve"> available for public consultation</w:t>
      </w:r>
      <w:r w:rsidR="003B7794">
        <w:t xml:space="preserve"> online and in hardcopy.</w:t>
      </w:r>
    </w:p>
    <w:p w14:paraId="3BC1F75C" w14:textId="4FBDB59B" w:rsidR="00905F93" w:rsidRPr="005855A8" w:rsidRDefault="00140C9F" w:rsidP="004F5E73">
      <w:pPr>
        <w:pStyle w:val="BodyText"/>
        <w:numPr>
          <w:ilvl w:val="0"/>
          <w:numId w:val="15"/>
        </w:numPr>
      </w:pPr>
      <w:r>
        <w:t>A</w:t>
      </w:r>
      <w:r w:rsidR="00905F93" w:rsidRPr="005855A8">
        <w:t>dvertising the public consultation period</w:t>
      </w:r>
      <w:r w:rsidR="005E25F3">
        <w:t>, and how and where to have a say.</w:t>
      </w:r>
    </w:p>
    <w:p w14:paraId="1B3B49BC" w14:textId="06557484" w:rsidR="00905F93" w:rsidRDefault="00140C9F" w:rsidP="004F5E73">
      <w:pPr>
        <w:pStyle w:val="BodyText"/>
        <w:numPr>
          <w:ilvl w:val="0"/>
          <w:numId w:val="15"/>
        </w:numPr>
      </w:pPr>
      <w:r>
        <w:t>P</w:t>
      </w:r>
      <w:r w:rsidR="00905F93" w:rsidRPr="005855A8">
        <w:t xml:space="preserve">romoting the public consultation to </w:t>
      </w:r>
      <w:r w:rsidR="00DD347A">
        <w:t xml:space="preserve">those </w:t>
      </w:r>
      <w:r w:rsidR="00987204">
        <w:t>who attended</w:t>
      </w:r>
      <w:r w:rsidR="00905F93" w:rsidRPr="005855A8">
        <w:t xml:space="preserve"> engagement activities</w:t>
      </w:r>
      <w:r w:rsidR="007655FD">
        <w:t>.</w:t>
      </w:r>
    </w:p>
    <w:p w14:paraId="4C886572" w14:textId="65AE3C33" w:rsidR="00905F93" w:rsidRPr="005855A8" w:rsidRDefault="00140C9F" w:rsidP="004F5E73">
      <w:pPr>
        <w:pStyle w:val="BodyText"/>
        <w:numPr>
          <w:ilvl w:val="0"/>
          <w:numId w:val="15"/>
        </w:numPr>
      </w:pPr>
      <w:r>
        <w:t>A</w:t>
      </w:r>
      <w:r w:rsidR="00905F93">
        <w:t>nalys</w:t>
      </w:r>
      <w:r w:rsidR="00EE1FF6">
        <w:t>ing</w:t>
      </w:r>
      <w:r w:rsidR="00905F93">
        <w:t xml:space="preserve"> </w:t>
      </w:r>
      <w:r w:rsidR="00987204">
        <w:t xml:space="preserve">the </w:t>
      </w:r>
      <w:r w:rsidR="00B069FC">
        <w:t xml:space="preserve">public consultation </w:t>
      </w:r>
      <w:r w:rsidR="00905F93">
        <w:t xml:space="preserve">feedback and </w:t>
      </w:r>
      <w:r w:rsidR="00E0392E">
        <w:t xml:space="preserve">making </w:t>
      </w:r>
      <w:r w:rsidR="00905F93">
        <w:t>amendment</w:t>
      </w:r>
      <w:r w:rsidR="00B069FC">
        <w:t>s</w:t>
      </w:r>
      <w:r w:rsidR="00905F93">
        <w:t xml:space="preserve"> to the DAIP.</w:t>
      </w:r>
    </w:p>
    <w:p w14:paraId="27A8B070" w14:textId="77777777" w:rsidR="00905F93" w:rsidRPr="00871D83" w:rsidRDefault="00905F93" w:rsidP="00905F93">
      <w:pPr>
        <w:pStyle w:val="Heading4"/>
        <w:rPr>
          <w:sz w:val="30"/>
          <w:szCs w:val="30"/>
        </w:rPr>
      </w:pPr>
      <w:bookmarkStart w:id="16" w:name="_Toc194058750"/>
      <w:r w:rsidRPr="00871D83">
        <w:rPr>
          <w:sz w:val="30"/>
          <w:szCs w:val="30"/>
        </w:rPr>
        <w:t>Approve and publish</w:t>
      </w:r>
      <w:bookmarkEnd w:id="16"/>
    </w:p>
    <w:p w14:paraId="0D85935B" w14:textId="77777777" w:rsidR="00905F93" w:rsidRPr="00FB6657" w:rsidRDefault="00905F93" w:rsidP="00905F93">
      <w:pPr>
        <w:pStyle w:val="BodyText"/>
      </w:pPr>
      <w:r>
        <w:t>The approve and publish phase can involve:</w:t>
      </w:r>
    </w:p>
    <w:p w14:paraId="5872B54B" w14:textId="3870C8C9" w:rsidR="00905F93" w:rsidRPr="006B1B6D" w:rsidRDefault="00140C9F" w:rsidP="004F5E73">
      <w:pPr>
        <w:pStyle w:val="BodyText"/>
        <w:numPr>
          <w:ilvl w:val="0"/>
          <w:numId w:val="16"/>
        </w:numPr>
      </w:pPr>
      <w:r>
        <w:t>F</w:t>
      </w:r>
      <w:r w:rsidR="00905F93" w:rsidRPr="006B1B6D">
        <w:t>inalis</w:t>
      </w:r>
      <w:r w:rsidR="00905F93">
        <w:t>ing the</w:t>
      </w:r>
      <w:r w:rsidR="00E0392E">
        <w:t xml:space="preserve"> DAIP</w:t>
      </w:r>
      <w:r w:rsidR="00905F93" w:rsidRPr="006B1B6D">
        <w:t xml:space="preserve"> </w:t>
      </w:r>
      <w:r w:rsidR="00AE3761">
        <w:t xml:space="preserve">and accompanying </w:t>
      </w:r>
      <w:r w:rsidR="00905F93">
        <w:t>implementation plan</w:t>
      </w:r>
      <w:r w:rsidR="00E0392E">
        <w:t>.</w:t>
      </w:r>
    </w:p>
    <w:p w14:paraId="31CF0278" w14:textId="19B0822C" w:rsidR="00905F93" w:rsidRPr="008C776C" w:rsidRDefault="00140C9F" w:rsidP="004F5E73">
      <w:pPr>
        <w:pStyle w:val="BodyText"/>
        <w:numPr>
          <w:ilvl w:val="0"/>
          <w:numId w:val="16"/>
        </w:numPr>
      </w:pPr>
      <w:r>
        <w:t>S</w:t>
      </w:r>
      <w:r w:rsidR="00EE1FF6">
        <w:t>eeking f</w:t>
      </w:r>
      <w:r w:rsidR="00905F93" w:rsidRPr="008C776C">
        <w:t>inal endorsement</w:t>
      </w:r>
      <w:r w:rsidR="00D86A57">
        <w:t xml:space="preserve"> of the </w:t>
      </w:r>
      <w:r w:rsidR="00B45E02">
        <w:t>DAIP</w:t>
      </w:r>
      <w:r w:rsidR="002F33F2">
        <w:t xml:space="preserve"> </w:t>
      </w:r>
      <w:r w:rsidR="008F1B26">
        <w:t>from</w:t>
      </w:r>
      <w:r w:rsidR="002F33F2">
        <w:t xml:space="preserve"> the appropriate delegated authority in your organisation. This will vary by public authority.</w:t>
      </w:r>
    </w:p>
    <w:p w14:paraId="6D9E80F8" w14:textId="77638235" w:rsidR="00905F93" w:rsidRPr="006B1B6D" w:rsidRDefault="00140C9F" w:rsidP="004F5E73">
      <w:pPr>
        <w:pStyle w:val="BodyText"/>
        <w:numPr>
          <w:ilvl w:val="0"/>
          <w:numId w:val="16"/>
        </w:numPr>
      </w:pPr>
      <w:r>
        <w:t>P</w:t>
      </w:r>
      <w:r w:rsidR="00905F93" w:rsidRPr="006B1B6D">
        <w:t>ublish</w:t>
      </w:r>
      <w:r w:rsidR="00905F93">
        <w:t>ing</w:t>
      </w:r>
      <w:r w:rsidR="00905F93" w:rsidRPr="006B1B6D">
        <w:t xml:space="preserve"> the </w:t>
      </w:r>
      <w:r w:rsidR="0073217B">
        <w:t>DAIP</w:t>
      </w:r>
      <w:r w:rsidR="00905F93" w:rsidRPr="006B1B6D">
        <w:t xml:space="preserve"> on your website</w:t>
      </w:r>
      <w:r w:rsidR="00E0392E">
        <w:t>.</w:t>
      </w:r>
    </w:p>
    <w:p w14:paraId="68EBF362" w14:textId="5B7FBE00" w:rsidR="00802572" w:rsidRPr="00802572" w:rsidRDefault="00140C9F" w:rsidP="004F5E73">
      <w:pPr>
        <w:pStyle w:val="BodyText"/>
        <w:numPr>
          <w:ilvl w:val="0"/>
          <w:numId w:val="16"/>
        </w:numPr>
      </w:pPr>
      <w:r>
        <w:t>S</w:t>
      </w:r>
      <w:r w:rsidR="00905F93" w:rsidRPr="006B1B6D">
        <w:t>ubmit</w:t>
      </w:r>
      <w:r w:rsidR="00905F93">
        <w:t>ting</w:t>
      </w:r>
      <w:r w:rsidR="00905F93" w:rsidRPr="006B1B6D">
        <w:t xml:space="preserve"> a copy of the approved </w:t>
      </w:r>
      <w:r w:rsidR="0073217B">
        <w:t>DAIP</w:t>
      </w:r>
      <w:r w:rsidR="00905F93" w:rsidRPr="006B1B6D">
        <w:t xml:space="preserve"> to</w:t>
      </w:r>
      <w:r w:rsidR="00845817">
        <w:t xml:space="preserve"> </w:t>
      </w:r>
      <w:r w:rsidR="004762C0">
        <w:t xml:space="preserve">the Department of </w:t>
      </w:r>
      <w:r w:rsidR="00905F93" w:rsidRPr="006B1B6D">
        <w:t>Communities</w:t>
      </w:r>
      <w:r w:rsidR="00905F93">
        <w:t>.</w:t>
      </w:r>
    </w:p>
    <w:p w14:paraId="13EBD42D" w14:textId="514E571F" w:rsidR="00857F23" w:rsidRPr="00240EE5" w:rsidRDefault="004C5F9F" w:rsidP="00223113">
      <w:pPr>
        <w:pStyle w:val="Heading2"/>
        <w:ind w:left="709" w:hanging="709"/>
      </w:pPr>
      <w:bookmarkStart w:id="17" w:name="_Toc194058751"/>
      <w:r>
        <w:t>Implementing a Disability Access and Inclusion Plan</w:t>
      </w:r>
      <w:bookmarkEnd w:id="17"/>
    </w:p>
    <w:p w14:paraId="43D01B1B" w14:textId="39793321" w:rsidR="00735AD1" w:rsidRDefault="00735AD1" w:rsidP="00283B85">
      <w:pPr>
        <w:pStyle w:val="BodyText"/>
      </w:pPr>
      <w:r>
        <w:t xml:space="preserve">Key factors influencing </w:t>
      </w:r>
      <w:r w:rsidR="005872D1">
        <w:t xml:space="preserve">a DAIP’s </w:t>
      </w:r>
      <w:r>
        <w:t>success</w:t>
      </w:r>
      <w:r w:rsidR="005872D1">
        <w:t xml:space="preserve">ful </w:t>
      </w:r>
      <w:r w:rsidR="004762C0">
        <w:t xml:space="preserve">implementation </w:t>
      </w:r>
      <w:r>
        <w:t>are</w:t>
      </w:r>
      <w:r w:rsidR="0000721E">
        <w:t xml:space="preserve"> organisational commitment, staff buy-in, </w:t>
      </w:r>
      <w:r w:rsidR="004762C0">
        <w:t>having</w:t>
      </w:r>
      <w:r w:rsidR="0000721E">
        <w:t xml:space="preserve"> clear monitoring and evaluation processes, and ongoing engagement with stakeholders. </w:t>
      </w:r>
    </w:p>
    <w:p w14:paraId="08D1D3A2" w14:textId="01000379" w:rsidR="007F0D57" w:rsidRDefault="00BA46BC" w:rsidP="00283B85">
      <w:pPr>
        <w:pStyle w:val="BodyText"/>
      </w:pPr>
      <w:r>
        <w:rPr>
          <w:noProof/>
        </w:rPr>
        <w:t>A good practice guide to implementing a</w:t>
      </w:r>
      <w:r w:rsidR="00735AD1">
        <w:t xml:space="preserve"> DAI</w:t>
      </w:r>
      <w:r w:rsidR="00EE1FF6">
        <w:t>P</w:t>
      </w:r>
      <w:r w:rsidR="00735AD1">
        <w:t xml:space="preserve"> involves</w:t>
      </w:r>
      <w:r w:rsidR="001C2312">
        <w:t>:</w:t>
      </w:r>
    </w:p>
    <w:p w14:paraId="5B696EAF" w14:textId="7B154E77" w:rsidR="001F78EB" w:rsidRDefault="00140C9F" w:rsidP="007741BD">
      <w:pPr>
        <w:pStyle w:val="BodyText"/>
        <w:numPr>
          <w:ilvl w:val="0"/>
          <w:numId w:val="27"/>
        </w:numPr>
      </w:pPr>
      <w:r>
        <w:t>i</w:t>
      </w:r>
      <w:r w:rsidR="00585497">
        <w:t>mplementing enablers</w:t>
      </w:r>
    </w:p>
    <w:p w14:paraId="10836AFB" w14:textId="18B2397C" w:rsidR="001F78EB" w:rsidRDefault="00140C9F" w:rsidP="007741BD">
      <w:pPr>
        <w:pStyle w:val="BodyText"/>
        <w:numPr>
          <w:ilvl w:val="0"/>
          <w:numId w:val="27"/>
        </w:numPr>
      </w:pPr>
      <w:r>
        <w:t>i</w:t>
      </w:r>
      <w:r w:rsidR="002801E7">
        <w:t>nternal communications</w:t>
      </w:r>
    </w:p>
    <w:p w14:paraId="3FF65EA5" w14:textId="1CBE267D" w:rsidR="001F78EB" w:rsidRDefault="00140C9F" w:rsidP="007741BD">
      <w:pPr>
        <w:pStyle w:val="BodyText"/>
        <w:numPr>
          <w:ilvl w:val="0"/>
          <w:numId w:val="27"/>
        </w:numPr>
      </w:pPr>
      <w:r>
        <w:t>e</w:t>
      </w:r>
      <w:r w:rsidR="001F78EB">
        <w:t xml:space="preserve">valuating and </w:t>
      </w:r>
      <w:r w:rsidR="009C199E">
        <w:t>monitoring</w:t>
      </w:r>
    </w:p>
    <w:p w14:paraId="15E77CB2" w14:textId="6A310BB2" w:rsidR="009C199E" w:rsidRPr="00283B85" w:rsidRDefault="00140C9F" w:rsidP="007741BD">
      <w:pPr>
        <w:pStyle w:val="BodyText"/>
        <w:numPr>
          <w:ilvl w:val="0"/>
          <w:numId w:val="27"/>
        </w:numPr>
      </w:pPr>
      <w:r>
        <w:t>p</w:t>
      </w:r>
      <w:r w:rsidR="009C199E">
        <w:t>romoting DAIP successes</w:t>
      </w:r>
      <w:r>
        <w:t>.</w:t>
      </w:r>
    </w:p>
    <w:p w14:paraId="07EDF353" w14:textId="5E50375D" w:rsidR="00283B85" w:rsidRPr="003441AF" w:rsidRDefault="00B062B2" w:rsidP="001C2312">
      <w:pPr>
        <w:pStyle w:val="Heading4"/>
        <w:rPr>
          <w:sz w:val="30"/>
          <w:szCs w:val="30"/>
        </w:rPr>
      </w:pPr>
      <w:bookmarkStart w:id="18" w:name="_Toc194058752"/>
      <w:r>
        <w:rPr>
          <w:sz w:val="30"/>
          <w:szCs w:val="30"/>
        </w:rPr>
        <w:t>Implement</w:t>
      </w:r>
      <w:r w:rsidR="004762C0">
        <w:rPr>
          <w:sz w:val="30"/>
          <w:szCs w:val="30"/>
        </w:rPr>
        <w:t>ing</w:t>
      </w:r>
      <w:r w:rsidR="00283B85" w:rsidRPr="003441AF">
        <w:rPr>
          <w:sz w:val="30"/>
          <w:szCs w:val="30"/>
        </w:rPr>
        <w:t xml:space="preserve"> </w:t>
      </w:r>
      <w:r w:rsidR="00EE1FF6" w:rsidRPr="003441AF">
        <w:rPr>
          <w:sz w:val="30"/>
          <w:szCs w:val="30"/>
        </w:rPr>
        <w:t>e</w:t>
      </w:r>
      <w:r w:rsidR="00283B85" w:rsidRPr="003441AF">
        <w:rPr>
          <w:sz w:val="30"/>
          <w:szCs w:val="30"/>
        </w:rPr>
        <w:t>nablers</w:t>
      </w:r>
      <w:bookmarkEnd w:id="18"/>
    </w:p>
    <w:p w14:paraId="4E9C7D5C" w14:textId="27B401D7" w:rsidR="00283B85" w:rsidRPr="00415276" w:rsidRDefault="0008572F" w:rsidP="001C2312">
      <w:pPr>
        <w:pStyle w:val="BodyText"/>
      </w:pPr>
      <w:r>
        <w:t xml:space="preserve">Enablers are </w:t>
      </w:r>
      <w:r w:rsidR="006B5390">
        <w:t xml:space="preserve">the resources, processes, tools and people that </w:t>
      </w:r>
      <w:r w:rsidR="005965EC">
        <w:t>contribute to the successful delivery of your DAIP.</w:t>
      </w:r>
      <w:r w:rsidR="008066B5">
        <w:t xml:space="preserve"> </w:t>
      </w:r>
      <w:r w:rsidR="00283B85">
        <w:t>The</w:t>
      </w:r>
      <w:r w:rsidR="00E6248E">
        <w:t xml:space="preserve"> implementing</w:t>
      </w:r>
      <w:r w:rsidR="00283B85">
        <w:t xml:space="preserve"> enablers phase can involve:</w:t>
      </w:r>
    </w:p>
    <w:p w14:paraId="648213D4" w14:textId="2641BB03" w:rsidR="00283B85" w:rsidRPr="00415276" w:rsidRDefault="00140C9F" w:rsidP="007741BD">
      <w:pPr>
        <w:pStyle w:val="BodyText"/>
        <w:numPr>
          <w:ilvl w:val="0"/>
          <w:numId w:val="19"/>
        </w:numPr>
      </w:pPr>
      <w:r>
        <w:t>I</w:t>
      </w:r>
      <w:r w:rsidR="00283B85">
        <w:t xml:space="preserve">dentifying and supporting DAIP </w:t>
      </w:r>
      <w:r w:rsidR="006C4854">
        <w:t>c</w:t>
      </w:r>
      <w:r w:rsidR="00283B85" w:rsidRPr="00415276">
        <w:t>hampions</w:t>
      </w:r>
      <w:r w:rsidR="007A7AA4">
        <w:t xml:space="preserve"> who will </w:t>
      </w:r>
      <w:r w:rsidR="00D0311E">
        <w:t xml:space="preserve">advocate for </w:t>
      </w:r>
      <w:r w:rsidR="000C02DD">
        <w:t>your</w:t>
      </w:r>
      <w:r w:rsidR="00D0311E">
        <w:t xml:space="preserve"> </w:t>
      </w:r>
      <w:r w:rsidR="008961FD">
        <w:t>DAIP</w:t>
      </w:r>
      <w:r w:rsidR="000C02DD">
        <w:t>,</w:t>
      </w:r>
      <w:r w:rsidR="00D0311E">
        <w:t xml:space="preserve"> its actions</w:t>
      </w:r>
      <w:r w:rsidR="000C02DD">
        <w:t>, and successes</w:t>
      </w:r>
      <w:r w:rsidR="00283B85">
        <w:t xml:space="preserve">. </w:t>
      </w:r>
      <w:r w:rsidR="00926056">
        <w:t>Champions can</w:t>
      </w:r>
      <w:r w:rsidR="004762C0">
        <w:t xml:space="preserve"> be anyone, including</w:t>
      </w:r>
      <w:r w:rsidR="00926056">
        <w:t xml:space="preserve"> people with disability,</w:t>
      </w:r>
      <w:r w:rsidR="00283B85">
        <w:t xml:space="preserve"> councillors, executive</w:t>
      </w:r>
      <w:r w:rsidR="00283B85" w:rsidRPr="00415276">
        <w:t xml:space="preserve"> and staff</w:t>
      </w:r>
      <w:r w:rsidR="00283B85">
        <w:t>, and community</w:t>
      </w:r>
      <w:r w:rsidR="008F1B26">
        <w:t xml:space="preserve"> members</w:t>
      </w:r>
      <w:r w:rsidR="00283B85">
        <w:t>.</w:t>
      </w:r>
      <w:r w:rsidR="005A6C22">
        <w:t xml:space="preserve"> </w:t>
      </w:r>
    </w:p>
    <w:p w14:paraId="6D3F8AF3" w14:textId="0AE1614E" w:rsidR="00283B85" w:rsidRDefault="00140C9F" w:rsidP="007741BD">
      <w:pPr>
        <w:pStyle w:val="BodyText"/>
        <w:numPr>
          <w:ilvl w:val="0"/>
          <w:numId w:val="19"/>
        </w:numPr>
      </w:pPr>
      <w:r>
        <w:t>C</w:t>
      </w:r>
      <w:r w:rsidR="00283B85">
        <w:t xml:space="preserve">larifying </w:t>
      </w:r>
      <w:r w:rsidR="002B279A">
        <w:t xml:space="preserve">who needs to do what </w:t>
      </w:r>
      <w:r w:rsidR="00F40281">
        <w:t xml:space="preserve">to successfully deliver the </w:t>
      </w:r>
      <w:r w:rsidR="000078DF">
        <w:t>DAIP</w:t>
      </w:r>
      <w:r w:rsidR="00F40281">
        <w:t xml:space="preserve"> (</w:t>
      </w:r>
      <w:r w:rsidR="00283B85" w:rsidRPr="00415276">
        <w:t xml:space="preserve">roles </w:t>
      </w:r>
      <w:r w:rsidR="00283B85">
        <w:t>and</w:t>
      </w:r>
      <w:r w:rsidR="00283B85" w:rsidRPr="00415276">
        <w:t xml:space="preserve"> responsibilities</w:t>
      </w:r>
      <w:r w:rsidR="00F40281">
        <w:t>)</w:t>
      </w:r>
      <w:r w:rsidR="005A6C22">
        <w:t xml:space="preserve">, and clearly communicating </w:t>
      </w:r>
      <w:r w:rsidR="00960817">
        <w:t xml:space="preserve">what is expected of </w:t>
      </w:r>
      <w:r w:rsidR="002B2A26">
        <w:t>those involved</w:t>
      </w:r>
      <w:r w:rsidR="00283B85">
        <w:t xml:space="preserve">. Refer </w:t>
      </w:r>
      <w:r w:rsidR="00EE1FF6">
        <w:t xml:space="preserve">to </w:t>
      </w:r>
      <w:hyperlink w:anchor="_Appendix_4:_Roles" w:history="1">
        <w:r w:rsidR="00283B85" w:rsidRPr="00061912">
          <w:rPr>
            <w:rStyle w:val="Hyperlink"/>
          </w:rPr>
          <w:t xml:space="preserve">Appendix 4: Roles and </w:t>
        </w:r>
        <w:r w:rsidR="00EE1FF6" w:rsidRPr="00061912">
          <w:rPr>
            <w:rStyle w:val="Hyperlink"/>
          </w:rPr>
          <w:t>r</w:t>
        </w:r>
        <w:r w:rsidR="00283B85" w:rsidRPr="00061912">
          <w:rPr>
            <w:rStyle w:val="Hyperlink"/>
          </w:rPr>
          <w:t>esponsibilities</w:t>
        </w:r>
      </w:hyperlink>
      <w:r w:rsidR="00021949">
        <w:t>.</w:t>
      </w:r>
    </w:p>
    <w:p w14:paraId="39C26B70" w14:textId="67F35A16" w:rsidR="00283B85" w:rsidRDefault="00D3751A" w:rsidP="007741BD">
      <w:pPr>
        <w:pStyle w:val="BodyText"/>
        <w:numPr>
          <w:ilvl w:val="0"/>
          <w:numId w:val="19"/>
        </w:numPr>
      </w:pPr>
      <w:r>
        <w:lastRenderedPageBreak/>
        <w:t>E</w:t>
      </w:r>
      <w:r w:rsidR="00283B85">
        <w:t>stablishing an internal staff working group</w:t>
      </w:r>
      <w:r w:rsidR="00927FC4">
        <w:t xml:space="preserve"> to champion the DAIP</w:t>
      </w:r>
      <w:r w:rsidR="00594A00">
        <w:t xml:space="preserve"> across your organisation</w:t>
      </w:r>
      <w:r w:rsidR="00927FC4">
        <w:t xml:space="preserve">, </w:t>
      </w:r>
      <w:r w:rsidR="00E9639D">
        <w:t>support delivery of actions</w:t>
      </w:r>
      <w:r w:rsidR="004536F8">
        <w:t>,</w:t>
      </w:r>
      <w:r w:rsidR="00E9639D">
        <w:t xml:space="preserve"> and </w:t>
      </w:r>
      <w:r w:rsidR="00927FC4">
        <w:t>monitor its progress</w:t>
      </w:r>
      <w:r w:rsidR="00021949">
        <w:t>.</w:t>
      </w:r>
    </w:p>
    <w:p w14:paraId="42D32FE1" w14:textId="12221195" w:rsidR="009920C6" w:rsidRPr="00415276" w:rsidRDefault="00D3751A" w:rsidP="007741BD">
      <w:pPr>
        <w:pStyle w:val="BodyText"/>
        <w:numPr>
          <w:ilvl w:val="0"/>
          <w:numId w:val="19"/>
        </w:numPr>
      </w:pPr>
      <w:r>
        <w:t>S</w:t>
      </w:r>
      <w:r w:rsidR="009920C6">
        <w:t xml:space="preserve">etting up </w:t>
      </w:r>
      <w:r w:rsidR="00947FA8">
        <w:t xml:space="preserve">internal </w:t>
      </w:r>
      <w:r w:rsidR="00293B82">
        <w:t>tools</w:t>
      </w:r>
      <w:r w:rsidR="000767E1">
        <w:t xml:space="preserve"> for staff </w:t>
      </w:r>
      <w:r w:rsidR="00293B82">
        <w:t>to easily report on the</w:t>
      </w:r>
      <w:r w:rsidR="00B4188A">
        <w:t>ir DAIP actions</w:t>
      </w:r>
      <w:r w:rsidR="00293B82">
        <w:t xml:space="preserve"> </w:t>
      </w:r>
      <w:r w:rsidR="00D832E3">
        <w:t>and</w:t>
      </w:r>
      <w:r w:rsidR="00B4188A">
        <w:t xml:space="preserve"> </w:t>
      </w:r>
      <w:r w:rsidR="00B02823">
        <w:t xml:space="preserve">opportunities to </w:t>
      </w:r>
      <w:r w:rsidR="0053680B">
        <w:t>discuss their</w:t>
      </w:r>
      <w:r w:rsidR="00D832E3">
        <w:t xml:space="preserve"> challenges and successes</w:t>
      </w:r>
      <w:r w:rsidR="00347B56">
        <w:t>. F</w:t>
      </w:r>
      <w:r w:rsidR="00D832E3">
        <w:t xml:space="preserve">or example, a </w:t>
      </w:r>
      <w:r w:rsidR="0053680B">
        <w:t>T</w:t>
      </w:r>
      <w:r w:rsidR="00D832E3">
        <w:t>eams group.</w:t>
      </w:r>
    </w:p>
    <w:p w14:paraId="72A07589" w14:textId="68535D86" w:rsidR="00283B85" w:rsidRPr="00415276" w:rsidRDefault="00D3751A" w:rsidP="007741BD">
      <w:pPr>
        <w:pStyle w:val="BodyText"/>
        <w:numPr>
          <w:ilvl w:val="0"/>
          <w:numId w:val="19"/>
        </w:numPr>
      </w:pPr>
      <w:r>
        <w:t>E</w:t>
      </w:r>
      <w:r w:rsidR="00283B85">
        <w:t>stablishing a r</w:t>
      </w:r>
      <w:r w:rsidR="00283B85" w:rsidRPr="00415276">
        <w:t>eference</w:t>
      </w:r>
      <w:r w:rsidR="00283B85">
        <w:t xml:space="preserve"> or advisory gr</w:t>
      </w:r>
      <w:r w:rsidR="00283B85" w:rsidRPr="00415276">
        <w:t>oup</w:t>
      </w:r>
      <w:r w:rsidR="00283B85">
        <w:t>/</w:t>
      </w:r>
      <w:r w:rsidR="00283B85" w:rsidRPr="00415276">
        <w:t>committee</w:t>
      </w:r>
      <w:r w:rsidR="00E9639D">
        <w:t xml:space="preserve"> comprising </w:t>
      </w:r>
      <w:r w:rsidR="00BD757F">
        <w:t>people with lived experience of disability and other key stakeholders to</w:t>
      </w:r>
      <w:r w:rsidR="002F1601">
        <w:t xml:space="preserve"> provide guidance on implementation </w:t>
      </w:r>
      <w:r w:rsidR="002D7395">
        <w:t xml:space="preserve">and a sounding board for </w:t>
      </w:r>
      <w:r w:rsidR="00F44B68">
        <w:t>staff</w:t>
      </w:r>
      <w:r w:rsidR="005D542D">
        <w:t xml:space="preserve"> with DAIP responsibilities.</w:t>
      </w:r>
    </w:p>
    <w:p w14:paraId="10C9FE69" w14:textId="34511AEB" w:rsidR="00283B85" w:rsidRDefault="00D3751A" w:rsidP="007741BD">
      <w:pPr>
        <w:pStyle w:val="BodyText"/>
        <w:numPr>
          <w:ilvl w:val="0"/>
          <w:numId w:val="19"/>
        </w:numPr>
      </w:pPr>
      <w:r>
        <w:t>R</w:t>
      </w:r>
      <w:r w:rsidR="00283B85">
        <w:t xml:space="preserve">eviewing </w:t>
      </w:r>
      <w:r w:rsidR="0053680B">
        <w:t>progress regularly</w:t>
      </w:r>
      <w:r w:rsidR="00283B85">
        <w:t xml:space="preserve"> </w:t>
      </w:r>
      <w:r w:rsidR="00D27898">
        <w:t>and</w:t>
      </w:r>
      <w:r w:rsidR="00283B85">
        <w:t xml:space="preserve"> identify</w:t>
      </w:r>
      <w:r w:rsidR="00D27898">
        <w:t>ing</w:t>
      </w:r>
      <w:r w:rsidR="00283B85">
        <w:t xml:space="preserve"> </w:t>
      </w:r>
      <w:r w:rsidR="00B02823">
        <w:t xml:space="preserve">gaps and </w:t>
      </w:r>
      <w:r w:rsidR="00283B85">
        <w:t xml:space="preserve">strategies to </w:t>
      </w:r>
      <w:r w:rsidR="00B02823">
        <w:t xml:space="preserve">address </w:t>
      </w:r>
      <w:r w:rsidR="0053680B">
        <w:t>any</w:t>
      </w:r>
      <w:r w:rsidR="00283B85">
        <w:t xml:space="preserve"> </w:t>
      </w:r>
      <w:r w:rsidR="00B02823">
        <w:t>issues</w:t>
      </w:r>
      <w:r w:rsidR="00283B85">
        <w:t>.</w:t>
      </w:r>
    </w:p>
    <w:p w14:paraId="3031BC84" w14:textId="7874B9CF" w:rsidR="00283B85" w:rsidRPr="003441AF" w:rsidRDefault="00E84500" w:rsidP="001C2312">
      <w:pPr>
        <w:pStyle w:val="Heading4"/>
        <w:rPr>
          <w:sz w:val="30"/>
          <w:szCs w:val="30"/>
        </w:rPr>
      </w:pPr>
      <w:bookmarkStart w:id="19" w:name="_Toc194058753"/>
      <w:r>
        <w:rPr>
          <w:sz w:val="30"/>
          <w:szCs w:val="30"/>
        </w:rPr>
        <w:t>Internal communications</w:t>
      </w:r>
      <w:bookmarkEnd w:id="19"/>
    </w:p>
    <w:p w14:paraId="7F19DA88" w14:textId="67E0BF2B" w:rsidR="00283B85" w:rsidRPr="00FF7936" w:rsidRDefault="00283B85" w:rsidP="001C2312">
      <w:pPr>
        <w:pStyle w:val="BodyText"/>
      </w:pPr>
      <w:r>
        <w:t xml:space="preserve">Growing awareness of your DAIP internally will </w:t>
      </w:r>
      <w:r w:rsidR="008F3D35">
        <w:t>facilitate culture</w:t>
      </w:r>
      <w:r w:rsidR="00166210">
        <w:t xml:space="preserve"> change </w:t>
      </w:r>
      <w:r w:rsidR="002370A4">
        <w:t xml:space="preserve">and maintain </w:t>
      </w:r>
      <w:r w:rsidR="00C52BB8">
        <w:t>the</w:t>
      </w:r>
      <w:r w:rsidR="002370A4">
        <w:t xml:space="preserve"> spotlight on </w:t>
      </w:r>
      <w:r w:rsidR="00D377F1">
        <w:t>DAIP initiatives</w:t>
      </w:r>
      <w:r>
        <w:t xml:space="preserve">. The </w:t>
      </w:r>
      <w:r w:rsidR="00E84500">
        <w:t>internal communications</w:t>
      </w:r>
      <w:r>
        <w:t xml:space="preserve"> phase can involve</w:t>
      </w:r>
      <w:r w:rsidRPr="00FF7936">
        <w:t>:</w:t>
      </w:r>
    </w:p>
    <w:p w14:paraId="1DE197A8" w14:textId="74306B7B" w:rsidR="00283B85" w:rsidRDefault="00D3751A" w:rsidP="007741BD">
      <w:pPr>
        <w:pStyle w:val="BodyText"/>
        <w:numPr>
          <w:ilvl w:val="0"/>
          <w:numId w:val="20"/>
        </w:numPr>
      </w:pPr>
      <w:r>
        <w:t>D</w:t>
      </w:r>
      <w:r w:rsidR="00283B85">
        <w:t>evelop</w:t>
      </w:r>
      <w:r w:rsidR="00EE1FF6">
        <w:t>ing</w:t>
      </w:r>
      <w:r w:rsidR="00283B85">
        <w:t xml:space="preserve"> a communications plan for promotions across available internal platforms, such as </w:t>
      </w:r>
      <w:r w:rsidR="00EE1FF6">
        <w:t xml:space="preserve">a </w:t>
      </w:r>
      <w:r w:rsidR="00283B85">
        <w:t>staff portal, staff news, Viva Engage (Yammer), and</w:t>
      </w:r>
      <w:r w:rsidR="00BE4B9B">
        <w:t xml:space="preserve"> other</w:t>
      </w:r>
      <w:r w:rsidR="00283B85">
        <w:t xml:space="preserve"> social </w:t>
      </w:r>
      <w:r w:rsidR="00BE4B9B">
        <w:t xml:space="preserve">media </w:t>
      </w:r>
      <w:r w:rsidR="00283B85">
        <w:t>groups</w:t>
      </w:r>
      <w:r w:rsidR="00021949">
        <w:t>.</w:t>
      </w:r>
    </w:p>
    <w:p w14:paraId="7283D26F" w14:textId="6D2D5801" w:rsidR="00283B85" w:rsidRDefault="00D3751A" w:rsidP="007741BD">
      <w:pPr>
        <w:pStyle w:val="BodyText"/>
        <w:numPr>
          <w:ilvl w:val="0"/>
          <w:numId w:val="20"/>
        </w:numPr>
      </w:pPr>
      <w:r>
        <w:t>H</w:t>
      </w:r>
      <w:r w:rsidR="00283B85">
        <w:t>osting all</w:t>
      </w:r>
      <w:r w:rsidR="00C52BB8">
        <w:t>-s</w:t>
      </w:r>
      <w:r w:rsidR="00283B85">
        <w:t>taff</w:t>
      </w:r>
      <w:r w:rsidR="00283B85" w:rsidRPr="00701E19">
        <w:t xml:space="preserve"> DAIP information sessions</w:t>
      </w:r>
      <w:r w:rsidR="00283B85">
        <w:t>, pop-up events,</w:t>
      </w:r>
      <w:r w:rsidR="00BE4B9B">
        <w:t xml:space="preserve"> and</w:t>
      </w:r>
      <w:r w:rsidR="00283B85">
        <w:t xml:space="preserve"> lunch and learn sessions</w:t>
      </w:r>
      <w:r w:rsidR="00021949">
        <w:t>.</w:t>
      </w:r>
    </w:p>
    <w:p w14:paraId="462CD453" w14:textId="3A1A40AD" w:rsidR="00283B85" w:rsidRDefault="00D3751A" w:rsidP="007741BD">
      <w:pPr>
        <w:pStyle w:val="BodyText"/>
        <w:numPr>
          <w:ilvl w:val="0"/>
          <w:numId w:val="20"/>
        </w:numPr>
      </w:pPr>
      <w:r>
        <w:t>D</w:t>
      </w:r>
      <w:r w:rsidR="00283B85">
        <w:t>elivering</w:t>
      </w:r>
      <w:r w:rsidR="00283B85" w:rsidRPr="00701E19">
        <w:t xml:space="preserve"> disability awareness sessions </w:t>
      </w:r>
      <w:r w:rsidR="00283B85">
        <w:t>and activities</w:t>
      </w:r>
      <w:r w:rsidR="00021949">
        <w:t>.</w:t>
      </w:r>
    </w:p>
    <w:p w14:paraId="40DA527D" w14:textId="49BED068" w:rsidR="00283B85" w:rsidRDefault="00D3751A" w:rsidP="007741BD">
      <w:pPr>
        <w:pStyle w:val="BodyText"/>
        <w:numPr>
          <w:ilvl w:val="0"/>
          <w:numId w:val="20"/>
        </w:numPr>
      </w:pPr>
      <w:r>
        <w:t>C</w:t>
      </w:r>
      <w:r w:rsidR="00283B85">
        <w:t>elebrating successes</w:t>
      </w:r>
      <w:r w:rsidR="00234AEB">
        <w:t xml:space="preserve">. For example, </w:t>
      </w:r>
      <w:r w:rsidR="00A210CB">
        <w:t>set up a</w:t>
      </w:r>
      <w:r w:rsidR="00404087">
        <w:t xml:space="preserve"> </w:t>
      </w:r>
      <w:r w:rsidR="003D6643">
        <w:t xml:space="preserve">rotating </w:t>
      </w:r>
      <w:r w:rsidR="00404087">
        <w:t xml:space="preserve">DAIP </w:t>
      </w:r>
      <w:r w:rsidR="003D6643">
        <w:t>award</w:t>
      </w:r>
      <w:r w:rsidR="00BB4FFE">
        <w:t xml:space="preserve">, </w:t>
      </w:r>
      <w:r w:rsidR="00356927">
        <w:t>nomina</w:t>
      </w:r>
      <w:r w:rsidR="008F1B26">
        <w:t>te</w:t>
      </w:r>
      <w:r w:rsidR="00356927">
        <w:t xml:space="preserve"> staff </w:t>
      </w:r>
      <w:r w:rsidR="004046FD">
        <w:t>who have DAIP responsibilities</w:t>
      </w:r>
      <w:r w:rsidR="00356927">
        <w:t xml:space="preserve"> for </w:t>
      </w:r>
      <w:r w:rsidR="00380FAD">
        <w:t>internal</w:t>
      </w:r>
      <w:r w:rsidR="00CD5A98">
        <w:t xml:space="preserve"> awards, </w:t>
      </w:r>
      <w:r w:rsidR="00BB4FFE">
        <w:t>create a photo display</w:t>
      </w:r>
      <w:r w:rsidR="00C1220F">
        <w:t xml:space="preserve"> in the lunchroom, </w:t>
      </w:r>
      <w:r w:rsidR="00684130">
        <w:t xml:space="preserve">promote </w:t>
      </w:r>
      <w:r w:rsidR="0071773F">
        <w:t>success stories in staff newsletters</w:t>
      </w:r>
      <w:r w:rsidR="00FD61C2">
        <w:t xml:space="preserve"> </w:t>
      </w:r>
      <w:r w:rsidR="008F1B26">
        <w:t xml:space="preserve">and </w:t>
      </w:r>
      <w:r w:rsidR="00FD61C2">
        <w:t>social media</w:t>
      </w:r>
      <w:r w:rsidR="008B1B88">
        <w:t xml:space="preserve">, </w:t>
      </w:r>
      <w:r w:rsidR="00FD61C2">
        <w:t xml:space="preserve">and </w:t>
      </w:r>
      <w:r w:rsidR="008B1B88">
        <w:t>add ‘little wins’ to the advisory group agenda.</w:t>
      </w:r>
    </w:p>
    <w:p w14:paraId="5A9DCB8D" w14:textId="426E718A" w:rsidR="007E16BA" w:rsidRPr="00B9692D" w:rsidRDefault="00752A64" w:rsidP="00A72D31">
      <w:pPr>
        <w:pStyle w:val="Heading4"/>
        <w:rPr>
          <w:sz w:val="30"/>
          <w:szCs w:val="30"/>
        </w:rPr>
      </w:pPr>
      <w:bookmarkStart w:id="20" w:name="_Toc194058754"/>
      <w:r w:rsidRPr="00B9692D">
        <w:rPr>
          <w:sz w:val="30"/>
          <w:szCs w:val="30"/>
        </w:rPr>
        <w:t xml:space="preserve">Evaluate and </w:t>
      </w:r>
      <w:r w:rsidR="00EE1FF6" w:rsidRPr="00B9692D">
        <w:rPr>
          <w:sz w:val="30"/>
          <w:szCs w:val="30"/>
        </w:rPr>
        <w:t>m</w:t>
      </w:r>
      <w:r w:rsidR="007E16BA" w:rsidRPr="00B9692D">
        <w:rPr>
          <w:sz w:val="30"/>
          <w:szCs w:val="30"/>
        </w:rPr>
        <w:t>onitor</w:t>
      </w:r>
      <w:bookmarkEnd w:id="20"/>
    </w:p>
    <w:p w14:paraId="4E2529F0" w14:textId="5FD2F188" w:rsidR="003F5291" w:rsidRDefault="002C08C0" w:rsidP="00A72D31">
      <w:pPr>
        <w:pStyle w:val="BodyText"/>
      </w:pPr>
      <w:r>
        <w:t xml:space="preserve">The </w:t>
      </w:r>
      <w:r w:rsidR="0066700F">
        <w:t>DAIP</w:t>
      </w:r>
      <w:r>
        <w:t xml:space="preserve"> </w:t>
      </w:r>
      <w:r w:rsidR="00F6115C">
        <w:t xml:space="preserve">should </w:t>
      </w:r>
      <w:r w:rsidR="00297A54">
        <w:t xml:space="preserve">outline how </w:t>
      </w:r>
      <w:r w:rsidR="00B24852">
        <w:t>your</w:t>
      </w:r>
      <w:r w:rsidR="00297A54">
        <w:t xml:space="preserve"> public authority will </w:t>
      </w:r>
      <w:r w:rsidR="007B5AFA">
        <w:t xml:space="preserve">track and </w:t>
      </w:r>
      <w:r w:rsidR="003F2ADA">
        <w:t xml:space="preserve">measure the success of your </w:t>
      </w:r>
      <w:r w:rsidR="00FB029A">
        <w:t>DAIP</w:t>
      </w:r>
      <w:r w:rsidR="003F2ADA">
        <w:t>.</w:t>
      </w:r>
      <w:r w:rsidR="00441F92">
        <w:t xml:space="preserve"> T</w:t>
      </w:r>
      <w:r w:rsidR="00B71CF2">
        <w:t>he evaluat</w:t>
      </w:r>
      <w:r w:rsidR="00F2703B">
        <w:t xml:space="preserve">e </w:t>
      </w:r>
      <w:r w:rsidR="00B71CF2">
        <w:t>and monitor phase can involve:</w:t>
      </w:r>
    </w:p>
    <w:p w14:paraId="450E0C65" w14:textId="3DF04E84" w:rsidR="007D7E8E" w:rsidRDefault="00D3751A" w:rsidP="007741BD">
      <w:pPr>
        <w:pStyle w:val="BodyText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C</w:t>
      </w:r>
      <w:r w:rsidR="00C51B69" w:rsidRPr="00646EAC">
        <w:rPr>
          <w:color w:val="000000" w:themeColor="text1"/>
        </w:rPr>
        <w:t xml:space="preserve">onfirming </w:t>
      </w:r>
      <w:r w:rsidR="00847E4F" w:rsidRPr="00646EAC">
        <w:rPr>
          <w:color w:val="000000" w:themeColor="text1"/>
        </w:rPr>
        <w:t xml:space="preserve">data collection </w:t>
      </w:r>
      <w:r w:rsidR="00482BA6" w:rsidRPr="00646EAC">
        <w:rPr>
          <w:color w:val="000000" w:themeColor="text1"/>
        </w:rPr>
        <w:t xml:space="preserve">processes </w:t>
      </w:r>
      <w:r w:rsidR="0053680B">
        <w:rPr>
          <w:color w:val="000000" w:themeColor="text1"/>
        </w:rPr>
        <w:t>for the</w:t>
      </w:r>
      <w:r w:rsidR="00646EAC" w:rsidRPr="00646EAC">
        <w:rPr>
          <w:color w:val="000000" w:themeColor="text1"/>
        </w:rPr>
        <w:t xml:space="preserve"> DAIP evaluation.</w:t>
      </w:r>
    </w:p>
    <w:p w14:paraId="01AE0046" w14:textId="07DEFE93" w:rsidR="008F1B26" w:rsidRDefault="00D3751A" w:rsidP="007741BD">
      <w:pPr>
        <w:pStyle w:val="BodyText"/>
        <w:numPr>
          <w:ilvl w:val="0"/>
          <w:numId w:val="22"/>
        </w:numPr>
      </w:pPr>
      <w:r>
        <w:t>S</w:t>
      </w:r>
      <w:r w:rsidR="008F1B26">
        <w:t xml:space="preserve">upporting staff to set up data collection processes. </w:t>
      </w:r>
    </w:p>
    <w:p w14:paraId="61C13C69" w14:textId="6E293EBF" w:rsidR="00454281" w:rsidRPr="007A241A" w:rsidRDefault="00D3751A" w:rsidP="007741BD">
      <w:pPr>
        <w:pStyle w:val="BodyText"/>
        <w:numPr>
          <w:ilvl w:val="0"/>
          <w:numId w:val="22"/>
        </w:numPr>
      </w:pPr>
      <w:r>
        <w:t>D</w:t>
      </w:r>
      <w:r w:rsidR="00454281">
        <w:t>eveloping a</w:t>
      </w:r>
      <w:r w:rsidR="003A6374">
        <w:t xml:space="preserve"> regular</w:t>
      </w:r>
      <w:r w:rsidR="00454281">
        <w:t xml:space="preserve"> internal reporting mechanism.</w:t>
      </w:r>
    </w:p>
    <w:p w14:paraId="791417AF" w14:textId="585D5689" w:rsidR="00B24852" w:rsidRDefault="00D3751A" w:rsidP="007741BD">
      <w:pPr>
        <w:pStyle w:val="BodyText"/>
        <w:numPr>
          <w:ilvl w:val="0"/>
          <w:numId w:val="22"/>
        </w:numPr>
      </w:pPr>
      <w:r>
        <w:t>C</w:t>
      </w:r>
      <w:r w:rsidR="00B24852">
        <w:t xml:space="preserve">reating a check-in and monitoring process to support staff responsible for </w:t>
      </w:r>
      <w:r w:rsidR="00B02823">
        <w:t>delivering actions and strategies</w:t>
      </w:r>
      <w:r w:rsidR="00021949">
        <w:t>.</w:t>
      </w:r>
    </w:p>
    <w:p w14:paraId="2589A8A6" w14:textId="62EBE1BE" w:rsidR="00DC2809" w:rsidRDefault="00D3751A" w:rsidP="007741BD">
      <w:pPr>
        <w:pStyle w:val="BodyText"/>
        <w:numPr>
          <w:ilvl w:val="0"/>
          <w:numId w:val="22"/>
        </w:numPr>
      </w:pPr>
      <w:r>
        <w:t>C</w:t>
      </w:r>
      <w:r w:rsidR="00C71342">
        <w:t xml:space="preserve">ollating success measures and </w:t>
      </w:r>
      <w:r w:rsidR="003404BC">
        <w:t xml:space="preserve">evaluation results. </w:t>
      </w:r>
    </w:p>
    <w:p w14:paraId="755034F4" w14:textId="6F599018" w:rsidR="007E16BA" w:rsidRPr="007E16BA" w:rsidRDefault="00D3751A" w:rsidP="007741BD">
      <w:pPr>
        <w:pStyle w:val="BodyText"/>
        <w:numPr>
          <w:ilvl w:val="0"/>
          <w:numId w:val="22"/>
        </w:numPr>
      </w:pPr>
      <w:r>
        <w:t>H</w:t>
      </w:r>
      <w:r w:rsidR="007165A9">
        <w:t>ostin</w:t>
      </w:r>
      <w:r w:rsidR="00810CF1">
        <w:t xml:space="preserve">g </w:t>
      </w:r>
      <w:r w:rsidR="007E16BA" w:rsidRPr="007E16BA">
        <w:t>progress meetings</w:t>
      </w:r>
      <w:r w:rsidR="004E167E">
        <w:t xml:space="preserve"> for stakeholders</w:t>
      </w:r>
      <w:r w:rsidR="00021949">
        <w:t>.</w:t>
      </w:r>
    </w:p>
    <w:p w14:paraId="6180CD77" w14:textId="77777777" w:rsidR="00D3751A" w:rsidRDefault="00D3751A" w:rsidP="00A72D31">
      <w:pPr>
        <w:pStyle w:val="Heading4"/>
        <w:rPr>
          <w:sz w:val="30"/>
          <w:szCs w:val="30"/>
        </w:rPr>
      </w:pPr>
    </w:p>
    <w:p w14:paraId="061F6144" w14:textId="59F9DC2F" w:rsidR="007E16BA" w:rsidRPr="00055D1F" w:rsidRDefault="007E16BA" w:rsidP="00A72D31">
      <w:pPr>
        <w:pStyle w:val="Heading4"/>
        <w:rPr>
          <w:sz w:val="30"/>
          <w:szCs w:val="30"/>
        </w:rPr>
      </w:pPr>
      <w:bookmarkStart w:id="21" w:name="_Toc194058755"/>
      <w:r w:rsidRPr="00055D1F">
        <w:rPr>
          <w:sz w:val="30"/>
          <w:szCs w:val="30"/>
        </w:rPr>
        <w:lastRenderedPageBreak/>
        <w:t>Promote</w:t>
      </w:r>
      <w:bookmarkEnd w:id="21"/>
    </w:p>
    <w:p w14:paraId="7CE325AC" w14:textId="7D6AADB4" w:rsidR="007E16BA" w:rsidRDefault="00EC3D2B" w:rsidP="004F7F10">
      <w:pPr>
        <w:pStyle w:val="BodyText"/>
      </w:pPr>
      <w:r w:rsidRPr="005A6612">
        <w:t xml:space="preserve">Promoting the DAIP and its achievements to the broader community </w:t>
      </w:r>
      <w:r w:rsidR="00865E60">
        <w:t>can</w:t>
      </w:r>
      <w:r w:rsidRPr="005A6612">
        <w:t xml:space="preserve"> </w:t>
      </w:r>
      <w:r w:rsidR="005A6612">
        <w:t xml:space="preserve">boost </w:t>
      </w:r>
      <w:r w:rsidR="007463EB" w:rsidRPr="005A6612">
        <w:t>internal</w:t>
      </w:r>
      <w:r w:rsidR="00A945FF" w:rsidRPr="005A6612">
        <w:t xml:space="preserve"> momentum</w:t>
      </w:r>
      <w:r w:rsidR="00AC3370">
        <w:t xml:space="preserve"> and attract additional support</w:t>
      </w:r>
      <w:r w:rsidR="0053680B">
        <w:t xml:space="preserve"> for your DAIP</w:t>
      </w:r>
      <w:r w:rsidR="00AC3370">
        <w:t>.</w:t>
      </w:r>
      <w:r w:rsidR="005A6612">
        <w:t xml:space="preserve"> </w:t>
      </w:r>
      <w:r w:rsidR="00B865FC">
        <w:t>The promote phase can involve:</w:t>
      </w:r>
    </w:p>
    <w:p w14:paraId="6812FEEE" w14:textId="2A07EFD7" w:rsidR="00B865FC" w:rsidRDefault="00376D37" w:rsidP="007741BD">
      <w:pPr>
        <w:pStyle w:val="BodyText"/>
        <w:numPr>
          <w:ilvl w:val="0"/>
          <w:numId w:val="23"/>
        </w:numPr>
      </w:pPr>
      <w:r>
        <w:t>D</w:t>
      </w:r>
      <w:r w:rsidR="00FC1696">
        <w:t>eveloping a</w:t>
      </w:r>
      <w:r w:rsidR="0068741D">
        <w:t>n annual promotional plan</w:t>
      </w:r>
      <w:r w:rsidR="00021949">
        <w:t>.</w:t>
      </w:r>
    </w:p>
    <w:p w14:paraId="45567E46" w14:textId="58118618" w:rsidR="00B43A47" w:rsidRDefault="00376D37" w:rsidP="007741BD">
      <w:pPr>
        <w:pStyle w:val="BodyText"/>
        <w:numPr>
          <w:ilvl w:val="0"/>
          <w:numId w:val="23"/>
        </w:numPr>
      </w:pPr>
      <w:r>
        <w:t>C</w:t>
      </w:r>
      <w:r w:rsidR="0068741D">
        <w:t xml:space="preserve">elebrating DAIP successes via </w:t>
      </w:r>
      <w:r w:rsidR="00116E51">
        <w:t xml:space="preserve">the authority’s </w:t>
      </w:r>
      <w:r w:rsidR="003E03C4">
        <w:t xml:space="preserve">website, </w:t>
      </w:r>
      <w:r w:rsidR="00B43A47">
        <w:t>social media and other online platforms</w:t>
      </w:r>
      <w:r w:rsidR="00021949">
        <w:t>.</w:t>
      </w:r>
    </w:p>
    <w:p w14:paraId="0CED7B6F" w14:textId="58F94AFA" w:rsidR="00B43A47" w:rsidRDefault="00376D37" w:rsidP="007741BD">
      <w:pPr>
        <w:pStyle w:val="BodyText"/>
        <w:numPr>
          <w:ilvl w:val="0"/>
          <w:numId w:val="23"/>
        </w:numPr>
      </w:pPr>
      <w:r>
        <w:t>R</w:t>
      </w:r>
      <w:r w:rsidR="000814B7">
        <w:t>eleasing stories</w:t>
      </w:r>
      <w:r w:rsidR="00B43A47">
        <w:t xml:space="preserve"> for local media</w:t>
      </w:r>
      <w:r w:rsidR="00347B56">
        <w:t>. F</w:t>
      </w:r>
      <w:r w:rsidR="0053680B">
        <w:t>or example</w:t>
      </w:r>
      <w:r w:rsidR="00347B56">
        <w:t>,</w:t>
      </w:r>
      <w:r w:rsidR="0053680B">
        <w:t xml:space="preserve"> newspapers and radio.</w:t>
      </w:r>
    </w:p>
    <w:p w14:paraId="069A7277" w14:textId="3705B3F7" w:rsidR="00560700" w:rsidRPr="001F19A0" w:rsidRDefault="00376D37" w:rsidP="007741BD">
      <w:pPr>
        <w:pStyle w:val="Default"/>
        <w:numPr>
          <w:ilvl w:val="0"/>
          <w:numId w:val="23"/>
        </w:numPr>
        <w:spacing w:after="120"/>
      </w:pPr>
      <w:r>
        <w:t>P</w:t>
      </w:r>
      <w:r w:rsidR="00481583" w:rsidRPr="001F19A0">
        <w:t>ublishing a DAIP report card on your website</w:t>
      </w:r>
      <w:r w:rsidR="00021949">
        <w:t>.</w:t>
      </w:r>
    </w:p>
    <w:p w14:paraId="37DA5271" w14:textId="553EEE49" w:rsidR="00B43A47" w:rsidRDefault="00376D37" w:rsidP="007741BD">
      <w:pPr>
        <w:pStyle w:val="Default"/>
        <w:numPr>
          <w:ilvl w:val="0"/>
          <w:numId w:val="23"/>
        </w:numPr>
        <w:spacing w:after="120"/>
      </w:pPr>
      <w:r>
        <w:t>C</w:t>
      </w:r>
      <w:r w:rsidR="001644EE">
        <w:t>reating videos</w:t>
      </w:r>
      <w:r w:rsidR="00A44C89">
        <w:t xml:space="preserve"> </w:t>
      </w:r>
      <w:r w:rsidR="0039669F">
        <w:t xml:space="preserve">featuring DAIP successes and interviews with </w:t>
      </w:r>
      <w:r w:rsidR="007C643C">
        <w:t xml:space="preserve">community members who have benefited from </w:t>
      </w:r>
      <w:r w:rsidR="00AC3370">
        <w:t>initiatives</w:t>
      </w:r>
      <w:r w:rsidR="00021949">
        <w:t>.</w:t>
      </w:r>
    </w:p>
    <w:p w14:paraId="0FAF5285" w14:textId="700AE467" w:rsidR="007F1D77" w:rsidRDefault="00376D37" w:rsidP="007741BD">
      <w:pPr>
        <w:pStyle w:val="Default"/>
        <w:numPr>
          <w:ilvl w:val="0"/>
          <w:numId w:val="23"/>
        </w:numPr>
        <w:spacing w:after="120"/>
      </w:pPr>
      <w:r>
        <w:t>H</w:t>
      </w:r>
      <w:r w:rsidR="007F1D77">
        <w:t>osting a podcast featuring community members and/or staff.</w:t>
      </w:r>
    </w:p>
    <w:p w14:paraId="0BC01FC5" w14:textId="4A5A56E9" w:rsidR="00E96174" w:rsidRDefault="004C5F9F" w:rsidP="002B6D96">
      <w:pPr>
        <w:pStyle w:val="Heading2"/>
        <w:ind w:left="709" w:hanging="709"/>
      </w:pPr>
      <w:bookmarkStart w:id="22" w:name="_Toc194058756"/>
      <w:r>
        <w:t>Disability Access and Inclusion Plan reporting</w:t>
      </w:r>
      <w:bookmarkEnd w:id="22"/>
    </w:p>
    <w:p w14:paraId="58823299" w14:textId="35490EB1" w:rsidR="00563C70" w:rsidRDefault="00563C70" w:rsidP="00563C70">
      <w:pPr>
        <w:pStyle w:val="BodyText"/>
      </w:pPr>
      <w:r w:rsidRPr="00563C70">
        <w:t xml:space="preserve">The </w:t>
      </w:r>
      <w:r w:rsidR="00E0392E">
        <w:t>Act</w:t>
      </w:r>
      <w:r w:rsidRPr="00563C70">
        <w:t xml:space="preserve"> requires </w:t>
      </w:r>
      <w:r w:rsidR="000232AE">
        <w:t>p</w:t>
      </w:r>
      <w:r w:rsidRPr="00563C70">
        <w:t xml:space="preserve">ublic </w:t>
      </w:r>
      <w:r w:rsidR="000232AE">
        <w:t>a</w:t>
      </w:r>
      <w:r w:rsidRPr="00563C70">
        <w:t xml:space="preserve">uthorities to report annually on </w:t>
      </w:r>
      <w:r w:rsidR="00301884">
        <w:t>their</w:t>
      </w:r>
      <w:r w:rsidRPr="00563C70">
        <w:t xml:space="preserve"> DAIP. These reports are used </w:t>
      </w:r>
      <w:r w:rsidR="00A83A34">
        <w:t>to inform the</w:t>
      </w:r>
      <w:r w:rsidRPr="00563C70">
        <w:t xml:space="preserve"> Minister</w:t>
      </w:r>
      <w:r w:rsidR="00B02823">
        <w:t xml:space="preserve"> for Disability Services</w:t>
      </w:r>
      <w:r w:rsidRPr="00563C70">
        <w:t xml:space="preserve"> </w:t>
      </w:r>
      <w:r w:rsidR="005C4FA9">
        <w:t xml:space="preserve">DAIP </w:t>
      </w:r>
      <w:r w:rsidRPr="00563C70">
        <w:t>Progress Report</w:t>
      </w:r>
      <w:r w:rsidR="00F310E5">
        <w:t>,</w:t>
      </w:r>
      <w:r w:rsidRPr="00563C70">
        <w:t xml:space="preserve"> </w:t>
      </w:r>
      <w:r w:rsidR="004C7217">
        <w:t xml:space="preserve">which </w:t>
      </w:r>
      <w:r w:rsidRPr="00563C70">
        <w:t>is tabled in the W</w:t>
      </w:r>
      <w:r w:rsidR="00E0392E">
        <w:t xml:space="preserve">A </w:t>
      </w:r>
      <w:r w:rsidRPr="00563C70">
        <w:t>Parliament</w:t>
      </w:r>
      <w:r w:rsidR="008738C0">
        <w:t xml:space="preserve"> each year</w:t>
      </w:r>
      <w:r w:rsidRPr="00563C70">
        <w:t>.</w:t>
      </w:r>
      <w:r w:rsidR="00211E1E">
        <w:t xml:space="preserve"> </w:t>
      </w:r>
    </w:p>
    <w:p w14:paraId="79DDC0C1" w14:textId="45735E7A" w:rsidR="003B7794" w:rsidRPr="00563C70" w:rsidRDefault="00234183" w:rsidP="00563C70">
      <w:pPr>
        <w:pStyle w:val="BodyText"/>
      </w:pPr>
      <w:r>
        <w:t xml:space="preserve">The </w:t>
      </w:r>
      <w:r w:rsidR="00A67B97">
        <w:t>DAIP Progress Report</w:t>
      </w:r>
      <w:r w:rsidR="003D4EDC">
        <w:t xml:space="preserve"> requests</w:t>
      </w:r>
      <w:r w:rsidR="00E94030">
        <w:t xml:space="preserve"> key information</w:t>
      </w:r>
      <w:r w:rsidR="00F310E5">
        <w:t>,</w:t>
      </w:r>
      <w:r w:rsidR="003D4EDC">
        <w:t xml:space="preserve"> including lodgement date, </w:t>
      </w:r>
      <w:r w:rsidR="00A7624B">
        <w:t xml:space="preserve">where </w:t>
      </w:r>
      <w:r w:rsidR="00360E54">
        <w:t xml:space="preserve">the DAIP is </w:t>
      </w:r>
      <w:r w:rsidR="00A7624B">
        <w:t>published, status update on all actions</w:t>
      </w:r>
      <w:r w:rsidR="003C376C">
        <w:t>, an</w:t>
      </w:r>
      <w:r w:rsidR="00E94030">
        <w:t xml:space="preserve">d </w:t>
      </w:r>
      <w:r w:rsidR="006C7EDF">
        <w:t xml:space="preserve">a concise overview of </w:t>
      </w:r>
      <w:r>
        <w:t>DAIP</w:t>
      </w:r>
      <w:r w:rsidR="00921B45">
        <w:t xml:space="preserve"> </w:t>
      </w:r>
      <w:r w:rsidR="006C7EDF">
        <w:t>achievements</w:t>
      </w:r>
      <w:r w:rsidR="0098469A">
        <w:t xml:space="preserve">.  </w:t>
      </w:r>
      <w:r w:rsidR="00360E54">
        <w:t xml:space="preserve">DAIP Progress Reports are </w:t>
      </w:r>
      <w:r w:rsidR="000D0697">
        <w:t xml:space="preserve">submitted to </w:t>
      </w:r>
      <w:r w:rsidR="00B02823">
        <w:t xml:space="preserve">the Department of </w:t>
      </w:r>
      <w:r w:rsidR="000D0697">
        <w:t xml:space="preserve">Communities </w:t>
      </w:r>
      <w:r w:rsidR="0099691D">
        <w:t>in</w:t>
      </w:r>
      <w:r w:rsidR="00360E54">
        <w:t xml:space="preserve"> July annually</w:t>
      </w:r>
      <w:r w:rsidR="000D0697">
        <w:t>.</w:t>
      </w:r>
    </w:p>
    <w:p w14:paraId="3883B8F6" w14:textId="6A129F91" w:rsidR="00851953" w:rsidRDefault="00D92FDC" w:rsidP="002B6D96">
      <w:pPr>
        <w:pStyle w:val="Heading2"/>
        <w:ind w:left="709" w:hanging="709"/>
      </w:pPr>
      <w:bookmarkStart w:id="23" w:name="_Toc194058757"/>
      <w:r>
        <w:t>Support</w:t>
      </w:r>
      <w:r w:rsidR="00F9292D">
        <w:t xml:space="preserve"> and resources</w:t>
      </w:r>
      <w:bookmarkEnd w:id="23"/>
    </w:p>
    <w:p w14:paraId="21CFFB3F" w14:textId="34CE789D" w:rsidR="00792618" w:rsidRDefault="00B02823" w:rsidP="00792618">
      <w:pPr>
        <w:pStyle w:val="BodyText"/>
      </w:pPr>
      <w:r>
        <w:t xml:space="preserve">The Department of </w:t>
      </w:r>
      <w:r w:rsidR="00792618">
        <w:t>Communities, as the custodian of the Act, works to:</w:t>
      </w:r>
    </w:p>
    <w:p w14:paraId="42E660B3" w14:textId="141275F5" w:rsidR="00792618" w:rsidRDefault="00F310E5" w:rsidP="007741BD">
      <w:pPr>
        <w:pStyle w:val="BodyText"/>
        <w:numPr>
          <w:ilvl w:val="0"/>
          <w:numId w:val="18"/>
        </w:numPr>
      </w:pPr>
      <w:r>
        <w:t>s</w:t>
      </w:r>
      <w:r w:rsidR="00792618">
        <w:t xml:space="preserve">upport </w:t>
      </w:r>
      <w:r w:rsidR="00D310DC">
        <w:t>public authorities with</w:t>
      </w:r>
      <w:r w:rsidR="00792618">
        <w:t xml:space="preserve"> </w:t>
      </w:r>
      <w:r w:rsidR="006A7F97">
        <w:t>DAIP</w:t>
      </w:r>
      <w:r w:rsidR="00792618">
        <w:t xml:space="preserve"> </w:t>
      </w:r>
      <w:r w:rsidR="00E122FB">
        <w:t>development</w:t>
      </w:r>
    </w:p>
    <w:p w14:paraId="1B189171" w14:textId="02FD9935" w:rsidR="00792618" w:rsidRDefault="00F310E5" w:rsidP="007741BD">
      <w:pPr>
        <w:pStyle w:val="BodyText"/>
        <w:numPr>
          <w:ilvl w:val="0"/>
          <w:numId w:val="18"/>
        </w:numPr>
      </w:pPr>
      <w:r>
        <w:t>m</w:t>
      </w:r>
      <w:r w:rsidR="00792618">
        <w:t xml:space="preserve">onitor the lodgement and currency of </w:t>
      </w:r>
      <w:r>
        <w:t xml:space="preserve">a </w:t>
      </w:r>
      <w:r w:rsidR="00792618">
        <w:t>DAIP</w:t>
      </w:r>
    </w:p>
    <w:p w14:paraId="18904A6F" w14:textId="55EB4531" w:rsidR="00792618" w:rsidRDefault="00F310E5" w:rsidP="007741BD">
      <w:pPr>
        <w:pStyle w:val="BodyText"/>
        <w:numPr>
          <w:ilvl w:val="0"/>
          <w:numId w:val="18"/>
        </w:numPr>
      </w:pPr>
      <w:r>
        <w:t>p</w:t>
      </w:r>
      <w:r w:rsidR="00792618">
        <w:t>rovide</w:t>
      </w:r>
      <w:r w:rsidR="00D42595">
        <w:t xml:space="preserve"> feedback </w:t>
      </w:r>
      <w:r w:rsidR="00792618">
        <w:t xml:space="preserve">on </w:t>
      </w:r>
      <w:r w:rsidR="001D5E11">
        <w:t>DAIP</w:t>
      </w:r>
      <w:r w:rsidR="00D310DC">
        <w:t>s</w:t>
      </w:r>
      <w:r w:rsidR="00792618">
        <w:t xml:space="preserve"> in line with the intent and provisions of the legislation</w:t>
      </w:r>
    </w:p>
    <w:p w14:paraId="4F6F7301" w14:textId="1D88A4BD" w:rsidR="009C477D" w:rsidRDefault="001D5E11" w:rsidP="007741BD">
      <w:pPr>
        <w:pStyle w:val="BodyText"/>
        <w:numPr>
          <w:ilvl w:val="0"/>
          <w:numId w:val="18"/>
        </w:numPr>
      </w:pPr>
      <w:r>
        <w:t>c</w:t>
      </w:r>
      <w:r w:rsidR="00AC2E27">
        <w:t>oordinate</w:t>
      </w:r>
      <w:r w:rsidR="00792618">
        <w:t xml:space="preserve"> the annual DAIP Progress Reporting process</w:t>
      </w:r>
      <w:r w:rsidR="008429FE">
        <w:t>.</w:t>
      </w:r>
    </w:p>
    <w:p w14:paraId="7B00048E" w14:textId="5C85F92A" w:rsidR="00A529E9" w:rsidRDefault="00A529E9" w:rsidP="00716CCA">
      <w:pPr>
        <w:pStyle w:val="BodyText"/>
        <w:sectPr w:rsidR="00A529E9" w:rsidSect="006E12FE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0" w:h="16840" w:code="9"/>
          <w:pgMar w:top="1418" w:right="1134" w:bottom="1134" w:left="1134" w:header="0" w:footer="0" w:gutter="0"/>
          <w:pgNumType w:start="1"/>
          <w:cols w:space="567"/>
          <w:titlePg/>
          <w:docGrid w:linePitch="326"/>
        </w:sectPr>
      </w:pPr>
    </w:p>
    <w:p w14:paraId="706EFE56" w14:textId="2763F34E" w:rsidR="00921B45" w:rsidRDefault="00D310DC" w:rsidP="00716CCA">
      <w:pPr>
        <w:pStyle w:val="BodyText"/>
      </w:pPr>
      <w:r>
        <w:t>I</w:t>
      </w:r>
      <w:r w:rsidR="009665A3">
        <w:t>n addition to this guide,</w:t>
      </w:r>
      <w:r w:rsidR="009B5374">
        <w:t xml:space="preserve"> </w:t>
      </w:r>
      <w:r>
        <w:t>a suite of resources is available</w:t>
      </w:r>
      <w:r w:rsidR="009665A3">
        <w:t>:</w:t>
      </w:r>
    </w:p>
    <w:p w14:paraId="49871981" w14:textId="77777777" w:rsidR="006A7F97" w:rsidRDefault="006A7F97" w:rsidP="007741BD">
      <w:pPr>
        <w:pStyle w:val="BodyText"/>
        <w:numPr>
          <w:ilvl w:val="0"/>
          <w:numId w:val="24"/>
        </w:numPr>
        <w:sectPr w:rsidR="006A7F97" w:rsidSect="00A529E9">
          <w:type w:val="continuous"/>
          <w:pgSz w:w="11900" w:h="16840" w:code="9"/>
          <w:pgMar w:top="1418" w:right="1134" w:bottom="1134" w:left="1134" w:header="0" w:footer="0" w:gutter="0"/>
          <w:pgNumType w:start="1"/>
          <w:cols w:space="567"/>
          <w:titlePg/>
          <w:docGrid w:linePitch="326"/>
        </w:sectPr>
      </w:pPr>
    </w:p>
    <w:p w14:paraId="074F7914" w14:textId="5C74CB6E" w:rsidR="009665A3" w:rsidRDefault="008B68EF" w:rsidP="007741BD">
      <w:pPr>
        <w:pStyle w:val="BodyText"/>
        <w:numPr>
          <w:ilvl w:val="0"/>
          <w:numId w:val="24"/>
        </w:numPr>
      </w:pPr>
      <w:r>
        <w:t xml:space="preserve">Outcome 1: </w:t>
      </w:r>
      <w:r w:rsidR="005E6851">
        <w:t>Events and Services</w:t>
      </w:r>
    </w:p>
    <w:p w14:paraId="247B38CF" w14:textId="07AD2B95" w:rsidR="009665A3" w:rsidRDefault="008B68EF" w:rsidP="007741BD">
      <w:pPr>
        <w:pStyle w:val="BodyText"/>
        <w:numPr>
          <w:ilvl w:val="0"/>
          <w:numId w:val="24"/>
        </w:numPr>
      </w:pPr>
      <w:r>
        <w:t>Out</w:t>
      </w:r>
      <w:r w:rsidR="005E6851">
        <w:t xml:space="preserve">come 2: </w:t>
      </w:r>
      <w:r w:rsidR="002A3FA0">
        <w:t xml:space="preserve">Buildings and </w:t>
      </w:r>
      <w:r w:rsidR="00737315">
        <w:t xml:space="preserve">Facilities </w:t>
      </w:r>
    </w:p>
    <w:p w14:paraId="7AA152D0" w14:textId="01DEC24A" w:rsidR="00737315" w:rsidRDefault="005E6851" w:rsidP="007741BD">
      <w:pPr>
        <w:pStyle w:val="BodyText"/>
        <w:numPr>
          <w:ilvl w:val="0"/>
          <w:numId w:val="24"/>
        </w:numPr>
      </w:pPr>
      <w:r>
        <w:t>Outcome 3:</w:t>
      </w:r>
      <w:r w:rsidR="00737315">
        <w:t xml:space="preserve"> Information</w:t>
      </w:r>
    </w:p>
    <w:p w14:paraId="55C80C1C" w14:textId="4B236FC0" w:rsidR="00737315" w:rsidRDefault="005E6851" w:rsidP="007741BD">
      <w:pPr>
        <w:pStyle w:val="BodyText"/>
        <w:numPr>
          <w:ilvl w:val="0"/>
          <w:numId w:val="24"/>
        </w:numPr>
      </w:pPr>
      <w:r>
        <w:t xml:space="preserve">Outcome 4: </w:t>
      </w:r>
      <w:r w:rsidR="00E0392E">
        <w:t xml:space="preserve">Quality </w:t>
      </w:r>
      <w:r>
        <w:t>service</w:t>
      </w:r>
    </w:p>
    <w:p w14:paraId="64B75FC2" w14:textId="137E6EFC" w:rsidR="00737315" w:rsidRDefault="005E6851" w:rsidP="007741BD">
      <w:pPr>
        <w:pStyle w:val="BodyText"/>
        <w:numPr>
          <w:ilvl w:val="0"/>
          <w:numId w:val="24"/>
        </w:numPr>
      </w:pPr>
      <w:r>
        <w:t xml:space="preserve">Outcome 5: </w:t>
      </w:r>
      <w:r w:rsidR="00737315">
        <w:t xml:space="preserve">Complaints </w:t>
      </w:r>
    </w:p>
    <w:p w14:paraId="0F420A44" w14:textId="7602E9CE" w:rsidR="006A7F97" w:rsidRDefault="00B4440A" w:rsidP="007741BD">
      <w:pPr>
        <w:pStyle w:val="BodyText"/>
        <w:numPr>
          <w:ilvl w:val="0"/>
          <w:numId w:val="24"/>
        </w:numPr>
      </w:pPr>
      <w:r>
        <w:t>Outcome 6: Consultation</w:t>
      </w:r>
    </w:p>
    <w:p w14:paraId="3874F8D7" w14:textId="540DF1A5" w:rsidR="006A7F97" w:rsidRDefault="00B4440A" w:rsidP="007741BD">
      <w:pPr>
        <w:pStyle w:val="BodyText"/>
        <w:numPr>
          <w:ilvl w:val="0"/>
          <w:numId w:val="24"/>
        </w:numPr>
      </w:pPr>
      <w:r>
        <w:t>Outcome 7: Employment</w:t>
      </w:r>
    </w:p>
    <w:p w14:paraId="5EEA4BDE" w14:textId="03E1952A" w:rsidR="00A20D24" w:rsidRPr="00E96415" w:rsidRDefault="00A20D24" w:rsidP="007741BD">
      <w:pPr>
        <w:pStyle w:val="BodyText"/>
        <w:numPr>
          <w:ilvl w:val="0"/>
          <w:numId w:val="24"/>
        </w:numPr>
        <w:sectPr w:rsidR="00A20D24" w:rsidRPr="00E96415" w:rsidSect="006A7F97">
          <w:type w:val="continuous"/>
          <w:pgSz w:w="11900" w:h="16840" w:code="9"/>
          <w:pgMar w:top="1418" w:right="1134" w:bottom="1134" w:left="1134" w:header="0" w:footer="0" w:gutter="0"/>
          <w:pgNumType w:start="1"/>
          <w:cols w:num="2" w:space="567"/>
          <w:titlePg/>
          <w:docGrid w:linePitch="326"/>
        </w:sectPr>
      </w:pPr>
      <w:r>
        <w:t xml:space="preserve">Agents and Contractors </w:t>
      </w:r>
    </w:p>
    <w:p w14:paraId="77D4E574" w14:textId="5336CA8D" w:rsidR="00940E24" w:rsidRDefault="00EE72DA" w:rsidP="0099691D">
      <w:pPr>
        <w:pStyle w:val="BodyText"/>
        <w:rPr>
          <w:rStyle w:val="Hyperlink"/>
        </w:rPr>
      </w:pPr>
      <w:r>
        <w:t xml:space="preserve">For further information, please </w:t>
      </w:r>
      <w:r w:rsidR="007559F0">
        <w:t>email</w:t>
      </w:r>
      <w:r w:rsidR="00234E45">
        <w:t xml:space="preserve">: </w:t>
      </w:r>
      <w:hyperlink r:id="rId22" w:history="1">
        <w:r w:rsidR="001E18AE">
          <w:rPr>
            <w:rStyle w:val="Hyperlink"/>
          </w:rPr>
          <w:t>S</w:t>
        </w:r>
        <w:r w:rsidR="0097653E">
          <w:rPr>
            <w:rStyle w:val="Hyperlink"/>
          </w:rPr>
          <w:t>tate</w:t>
        </w:r>
        <w:r w:rsidR="001E18AE">
          <w:rPr>
            <w:rStyle w:val="Hyperlink"/>
          </w:rPr>
          <w:t>D</w:t>
        </w:r>
        <w:r w:rsidR="0097653E">
          <w:rPr>
            <w:rStyle w:val="Hyperlink"/>
          </w:rPr>
          <w:t>isability</w:t>
        </w:r>
        <w:r w:rsidR="001E18AE">
          <w:rPr>
            <w:rStyle w:val="Hyperlink"/>
          </w:rPr>
          <w:t>S</w:t>
        </w:r>
        <w:r w:rsidR="00234E45" w:rsidRPr="00B25687">
          <w:rPr>
            <w:rStyle w:val="Hyperlink"/>
          </w:rPr>
          <w:t>trategy@communities.wa.gov.au</w:t>
        </w:r>
      </w:hyperlink>
      <w:r w:rsidR="00940E24">
        <w:rPr>
          <w:rStyle w:val="Hyperlink"/>
        </w:rPr>
        <w:br w:type="page"/>
      </w:r>
    </w:p>
    <w:p w14:paraId="6C426BDB" w14:textId="7697D784" w:rsidR="00940E24" w:rsidRDefault="00940E24" w:rsidP="001446EF">
      <w:pPr>
        <w:pStyle w:val="Heading4"/>
      </w:pPr>
      <w:bookmarkStart w:id="24" w:name="_Toc194058758"/>
      <w:r w:rsidRPr="001446EF">
        <w:lastRenderedPageBreak/>
        <w:t>References</w:t>
      </w:r>
      <w:bookmarkEnd w:id="24"/>
    </w:p>
    <w:p w14:paraId="7343BB50" w14:textId="77777777" w:rsidR="00E032BB" w:rsidRPr="00E032BB" w:rsidRDefault="00E032BB" w:rsidP="00E032BB">
      <w:pPr>
        <w:rPr>
          <w:lang w:eastAsia="en-AU"/>
        </w:rPr>
      </w:pPr>
    </w:p>
    <w:p w14:paraId="25E6F1EC" w14:textId="1021130A" w:rsidR="001446EF" w:rsidRPr="001446EF" w:rsidRDefault="001446EF" w:rsidP="006A7F97">
      <w:pPr>
        <w:pStyle w:val="BodyText"/>
      </w:pPr>
      <w:r w:rsidRPr="001446EF">
        <w:t>Australian Bureau of Statistics, 20</w:t>
      </w:r>
      <w:r w:rsidR="00F548DE">
        <w:t>22</w:t>
      </w:r>
      <w:r w:rsidRPr="001446EF">
        <w:t xml:space="preserve">, </w:t>
      </w:r>
      <w:hyperlink r:id="rId23" w:history="1">
        <w:r w:rsidRPr="001446EF">
          <w:rPr>
            <w:rStyle w:val="Hyperlink"/>
          </w:rPr>
          <w:t>Disability, Ageing and Carers, Australia: Summary of Findings, 2018 | Australian Bureau of Statistics (abs.gov.au)</w:t>
        </w:r>
      </w:hyperlink>
      <w:r w:rsidRPr="001446EF">
        <w:t xml:space="preserve"> (</w:t>
      </w:r>
      <w:r w:rsidR="0090215D">
        <w:t xml:space="preserve">accessed </w:t>
      </w:r>
      <w:r w:rsidRPr="001446EF">
        <w:t>27 May 2024)</w:t>
      </w:r>
      <w:r w:rsidR="00FA0B8A">
        <w:t>.</w:t>
      </w:r>
    </w:p>
    <w:p w14:paraId="25E2FBA0" w14:textId="1C71A802" w:rsidR="00940E24" w:rsidRDefault="00940E24" w:rsidP="006A7F97">
      <w:pPr>
        <w:pStyle w:val="BodyText"/>
      </w:pPr>
      <w:r>
        <w:t xml:space="preserve">Australian Local Government Association (ALGA), 2016, Disability Inclusion Planning: A guide for local government, ALGA, </w:t>
      </w:r>
      <w:hyperlink r:id="rId24" w:history="1">
        <w:r>
          <w:rPr>
            <w:rStyle w:val="Hyperlink"/>
          </w:rPr>
          <w:t>Disability Inclusion Action Plan (scia.org.au)</w:t>
        </w:r>
      </w:hyperlink>
      <w:r>
        <w:t xml:space="preserve"> </w:t>
      </w:r>
      <w:r w:rsidR="001446EF">
        <w:t>(</w:t>
      </w:r>
      <w:r w:rsidR="001E18AE">
        <w:t xml:space="preserve">accessed </w:t>
      </w:r>
      <w:r w:rsidR="001446EF">
        <w:t>10 May 2024)</w:t>
      </w:r>
      <w:r w:rsidR="00FA0B8A">
        <w:t>.</w:t>
      </w:r>
    </w:p>
    <w:p w14:paraId="36FFC16C" w14:textId="4F6DF774" w:rsidR="001446EF" w:rsidRDefault="001446EF" w:rsidP="006A7F97">
      <w:pPr>
        <w:pStyle w:val="BodyText"/>
      </w:pPr>
      <w:r>
        <w:t xml:space="preserve">Australian Human Rights Commission (AHRC), 2021, Disability Action Plan: Guide, AHRC, </w:t>
      </w:r>
      <w:hyperlink r:id="rId25" w:history="1">
        <w:r>
          <w:rPr>
            <w:rStyle w:val="Hyperlink"/>
          </w:rPr>
          <w:t>Disability Action Plan Guide (2021) | Australian Human Rights Commission</w:t>
        </w:r>
      </w:hyperlink>
      <w:r>
        <w:t xml:space="preserve"> (</w:t>
      </w:r>
      <w:r w:rsidR="0090215D">
        <w:t xml:space="preserve">accessed </w:t>
      </w:r>
      <w:r>
        <w:t>10 May 2024)</w:t>
      </w:r>
      <w:r w:rsidR="00FA0B8A">
        <w:t>.</w:t>
      </w:r>
    </w:p>
    <w:p w14:paraId="49FF366B" w14:textId="48BAED2A" w:rsidR="007537AB" w:rsidRDefault="007537AB" w:rsidP="006A7F97">
      <w:pPr>
        <w:pStyle w:val="BodyText"/>
      </w:pPr>
      <w:r>
        <w:t>Austr</w:t>
      </w:r>
      <w:r w:rsidR="00F12A8A">
        <w:t xml:space="preserve">alian Institute of Health and Welfare, 2024, </w:t>
      </w:r>
      <w:hyperlink r:id="rId26" w:history="1">
        <w:r w:rsidR="00F12A8A" w:rsidRPr="00D213B5">
          <w:rPr>
            <w:rStyle w:val="Hyperlink"/>
          </w:rPr>
          <w:t>People with disability in Australia, Social inclusion and community support</w:t>
        </w:r>
      </w:hyperlink>
      <w:r w:rsidR="004809AB">
        <w:t>,</w:t>
      </w:r>
      <w:r w:rsidR="00C36010">
        <w:t xml:space="preserve"> </w:t>
      </w:r>
      <w:r w:rsidR="00114666">
        <w:t xml:space="preserve">(accessed </w:t>
      </w:r>
      <w:r w:rsidR="002B1B4D">
        <w:t>3 December 2024)</w:t>
      </w:r>
      <w:r w:rsidR="00FA0B8A">
        <w:t>.</w:t>
      </w:r>
    </w:p>
    <w:p w14:paraId="4D2A9DB1" w14:textId="7D4AF69E" w:rsidR="008D4123" w:rsidRDefault="008D4123" w:rsidP="006A7F97">
      <w:pPr>
        <w:pStyle w:val="BodyText"/>
      </w:pPr>
      <w:r>
        <w:t>De</w:t>
      </w:r>
      <w:r w:rsidR="004D50FC">
        <w:t xml:space="preserve">liotte Access Economics, 2019, </w:t>
      </w:r>
      <w:hyperlink r:id="rId27" w:history="1">
        <w:r w:rsidR="004D50FC" w:rsidRPr="00910D09">
          <w:rPr>
            <w:rStyle w:val="Hyperlink"/>
          </w:rPr>
          <w:t xml:space="preserve">The economic benefits of improving social inclusion, </w:t>
        </w:r>
        <w:r w:rsidR="00715266" w:rsidRPr="00910D09">
          <w:rPr>
            <w:rStyle w:val="Hyperlink"/>
          </w:rPr>
          <w:t>A report for SBS</w:t>
        </w:r>
      </w:hyperlink>
      <w:r w:rsidR="00910D09">
        <w:t>,</w:t>
      </w:r>
      <w:r w:rsidR="00715266">
        <w:t xml:space="preserve"> (accessed 11 December 2024).</w:t>
      </w:r>
    </w:p>
    <w:p w14:paraId="127526A2" w14:textId="46293DCC" w:rsidR="002B1B4D" w:rsidRDefault="002B1B4D" w:rsidP="006A7F97">
      <w:pPr>
        <w:pStyle w:val="BodyText"/>
      </w:pPr>
      <w:r>
        <w:t xml:space="preserve">Diversity Council of Australia, 2023, </w:t>
      </w:r>
      <w:hyperlink r:id="rId28" w:history="1">
        <w:r w:rsidR="008D4123" w:rsidRPr="00872C4A">
          <w:rPr>
            <w:rStyle w:val="Hyperlink"/>
          </w:rPr>
          <w:t>The Case for Inclusion@Work 2023-2024</w:t>
        </w:r>
      </w:hyperlink>
      <w:r w:rsidR="00872C4A">
        <w:t>,</w:t>
      </w:r>
      <w:r w:rsidR="008D4123">
        <w:t xml:space="preserve"> (accessed 11 December 2024)</w:t>
      </w:r>
      <w:r w:rsidR="00FA0B8A">
        <w:t>.</w:t>
      </w:r>
    </w:p>
    <w:p w14:paraId="74A78123" w14:textId="37349746" w:rsidR="007537AB" w:rsidRDefault="001446EF" w:rsidP="006A7F97">
      <w:pPr>
        <w:pStyle w:val="BodyText"/>
      </w:pPr>
      <w:r w:rsidRPr="00DC0A72">
        <w:t>I</w:t>
      </w:r>
      <w:r>
        <w:t>nternational Association of Public Participation (IAP2), 2018,</w:t>
      </w:r>
      <w:r w:rsidR="00FA0B8A">
        <w:t xml:space="preserve"> </w:t>
      </w:r>
      <w:hyperlink r:id="rId29" w:history="1">
        <w:r w:rsidR="00FA0B8A">
          <w:rPr>
            <w:rStyle w:val="Hyperlink"/>
          </w:rPr>
          <w:t>IAP2 IAP2 Public Participation Spectrum - IAP2 Australasia</w:t>
        </w:r>
      </w:hyperlink>
      <w:r w:rsidR="00FD551A">
        <w:t>,</w:t>
      </w:r>
      <w:r w:rsidRPr="001446EF">
        <w:t xml:space="preserve"> </w:t>
      </w:r>
      <w:r>
        <w:t>(</w:t>
      </w:r>
      <w:r w:rsidR="0090215D">
        <w:t xml:space="preserve">accessed </w:t>
      </w:r>
      <w:r>
        <w:t>22 May 2024)</w:t>
      </w:r>
      <w:r w:rsidR="00FA0B8A">
        <w:t>.</w:t>
      </w:r>
    </w:p>
    <w:p w14:paraId="2FC241EC" w14:textId="3FE4108C" w:rsidR="007C692F" w:rsidRDefault="007C692F" w:rsidP="007537AB">
      <w:pPr>
        <w:pStyle w:val="BodyText"/>
        <w:rPr>
          <w:b/>
          <w:noProof/>
          <w:color w:val="2C5C86"/>
          <w:sz w:val="26"/>
          <w:lang w:eastAsia="en-AU"/>
        </w:rPr>
      </w:pPr>
      <w:r>
        <w:br w:type="page"/>
      </w:r>
    </w:p>
    <w:p w14:paraId="54C22813" w14:textId="4FFF03A1" w:rsidR="00384EEF" w:rsidRPr="009C3A2A" w:rsidRDefault="00384EEF" w:rsidP="00B35241">
      <w:pPr>
        <w:pStyle w:val="Heading4"/>
      </w:pPr>
      <w:bookmarkStart w:id="25" w:name="_Toc194058759"/>
      <w:r w:rsidRPr="009C3A2A">
        <w:lastRenderedPageBreak/>
        <w:t>Appendices</w:t>
      </w:r>
      <w:bookmarkEnd w:id="25"/>
    </w:p>
    <w:p w14:paraId="1175BF53" w14:textId="0B245FA4" w:rsidR="00F544A8" w:rsidRPr="00B35241" w:rsidRDefault="00D80009" w:rsidP="00B35241">
      <w:pPr>
        <w:pStyle w:val="Heading4"/>
      </w:pPr>
      <w:bookmarkStart w:id="26" w:name="_Appendix_1:_Disability"/>
      <w:bookmarkStart w:id="27" w:name="_Toc194058760"/>
      <w:bookmarkEnd w:id="26"/>
      <w:r w:rsidRPr="00B35241">
        <w:t>Appendix 1:</w:t>
      </w:r>
      <w:r w:rsidR="008C2CBA">
        <w:t xml:space="preserve"> Disability Access and Inclusion Plans: s</w:t>
      </w:r>
      <w:r w:rsidR="00F544A8" w:rsidRPr="00B35241">
        <w:t>even outcomes</w:t>
      </w:r>
      <w:bookmarkEnd w:id="27"/>
      <w:r w:rsidR="00F544A8" w:rsidRPr="00B35241">
        <w:t xml:space="preserve"> </w:t>
      </w:r>
    </w:p>
    <w:p w14:paraId="4908932D" w14:textId="098D2B31" w:rsidR="00447256" w:rsidRDefault="00447256" w:rsidP="00447256">
      <w:pPr>
        <w:rPr>
          <w:lang w:eastAsia="en-AU"/>
        </w:rPr>
      </w:pPr>
    </w:p>
    <w:p w14:paraId="31809792" w14:textId="7EADD107" w:rsidR="00447256" w:rsidRDefault="00E75BE9" w:rsidP="00447256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80340" simplePos="0" relativeHeight="251691520" behindDoc="0" locked="0" layoutInCell="1" allowOverlap="1" wp14:anchorId="48739F15" wp14:editId="25AC906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687600" cy="687600"/>
            <wp:effectExtent l="0" t="0" r="0" b="0"/>
            <wp:wrapSquare wrapText="bothSides"/>
            <wp:docPr id="34" name="Graphic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phic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6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256">
        <w:rPr>
          <w:lang w:eastAsia="en-AU"/>
        </w:rPr>
        <w:t xml:space="preserve">Outcome 1: </w:t>
      </w:r>
      <w:r w:rsidR="009E12FB">
        <w:rPr>
          <w:lang w:eastAsia="en-AU"/>
        </w:rPr>
        <w:t>Events and services</w:t>
      </w:r>
    </w:p>
    <w:p w14:paraId="76A7DE3A" w14:textId="15F1ED96" w:rsidR="00447256" w:rsidRDefault="00447256" w:rsidP="00447256">
      <w:pPr>
        <w:rPr>
          <w:lang w:eastAsia="en-AU"/>
        </w:rPr>
      </w:pPr>
      <w:r>
        <w:rPr>
          <w:lang w:eastAsia="en-AU"/>
        </w:rPr>
        <w:t xml:space="preserve">People with disability have the same opportunities as other people to access the services </w:t>
      </w:r>
      <w:r w:rsidR="00495B36">
        <w:rPr>
          <w:lang w:eastAsia="en-AU"/>
        </w:rPr>
        <w:t>and</w:t>
      </w:r>
      <w:r>
        <w:rPr>
          <w:lang w:eastAsia="en-AU"/>
        </w:rPr>
        <w:t xml:space="preserve"> events</w:t>
      </w:r>
      <w:r w:rsidR="00930671">
        <w:rPr>
          <w:lang w:eastAsia="en-AU"/>
        </w:rPr>
        <w:t xml:space="preserve"> of </w:t>
      </w:r>
      <w:r>
        <w:rPr>
          <w:lang w:eastAsia="en-AU"/>
        </w:rPr>
        <w:t>a public authority.</w:t>
      </w:r>
    </w:p>
    <w:p w14:paraId="49662414" w14:textId="2A465801" w:rsidR="00B35241" w:rsidRDefault="00B35241" w:rsidP="00447256">
      <w:pPr>
        <w:rPr>
          <w:lang w:eastAsia="en-AU"/>
        </w:rPr>
      </w:pPr>
    </w:p>
    <w:p w14:paraId="5F4F529E" w14:textId="3E16E308" w:rsidR="00B35241" w:rsidRDefault="00E75BE9" w:rsidP="00447256">
      <w:pPr>
        <w:rPr>
          <w:lang w:eastAsia="en-AU"/>
        </w:rPr>
      </w:pPr>
      <w:r w:rsidRPr="00E75BE9">
        <w:rPr>
          <w:noProof/>
          <w:lang w:eastAsia="en-AU"/>
        </w:rPr>
        <w:drawing>
          <wp:anchor distT="0" distB="0" distL="144145" distR="187325" simplePos="0" relativeHeight="251695616" behindDoc="0" locked="0" layoutInCell="1" allowOverlap="1" wp14:anchorId="1C1372D4" wp14:editId="682B9B19">
            <wp:simplePos x="0" y="0"/>
            <wp:positionH relativeFrom="margin">
              <wp:posOffset>-9525</wp:posOffset>
            </wp:positionH>
            <wp:positionV relativeFrom="paragraph">
              <wp:posOffset>38735</wp:posOffset>
            </wp:positionV>
            <wp:extent cx="676800" cy="622800"/>
            <wp:effectExtent l="0" t="0" r="0" b="6350"/>
            <wp:wrapSquare wrapText="bothSides"/>
            <wp:docPr id="53" name="Picture 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6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241">
        <w:rPr>
          <w:lang w:eastAsia="en-AU"/>
        </w:rPr>
        <w:t xml:space="preserve">Outcome 2: </w:t>
      </w:r>
      <w:r w:rsidR="009E12FB">
        <w:rPr>
          <w:lang w:eastAsia="en-AU"/>
        </w:rPr>
        <w:t>Buildings and facilities</w:t>
      </w:r>
    </w:p>
    <w:p w14:paraId="429B047B" w14:textId="56DE5A5C" w:rsidR="00B35241" w:rsidRDefault="00B35241" w:rsidP="00447256">
      <w:pPr>
        <w:rPr>
          <w:lang w:eastAsia="en-AU"/>
        </w:rPr>
      </w:pPr>
      <w:r>
        <w:rPr>
          <w:lang w:eastAsia="en-AU"/>
        </w:rPr>
        <w:t>People with disability have the same opportunities as other people to access the buildings and other facilities of a public authority.</w:t>
      </w:r>
    </w:p>
    <w:p w14:paraId="07DDB26A" w14:textId="46E78D55" w:rsidR="00B35241" w:rsidRDefault="00B35241" w:rsidP="00447256">
      <w:pPr>
        <w:rPr>
          <w:lang w:eastAsia="en-AU"/>
        </w:rPr>
      </w:pPr>
    </w:p>
    <w:p w14:paraId="57E3129A" w14:textId="3C25C468" w:rsidR="00B35241" w:rsidRDefault="00E75BE9" w:rsidP="00447256">
      <w:pPr>
        <w:rPr>
          <w:lang w:eastAsia="en-AU"/>
        </w:rPr>
      </w:pPr>
      <w:r w:rsidRPr="00E75BE9">
        <w:rPr>
          <w:noProof/>
          <w:lang w:eastAsia="en-AU"/>
        </w:rPr>
        <w:drawing>
          <wp:anchor distT="0" distB="107950" distL="107950" distR="187325" simplePos="0" relativeHeight="251696640" behindDoc="0" locked="0" layoutInCell="1" allowOverlap="1" wp14:anchorId="740EF95D" wp14:editId="6BEA0152">
            <wp:simplePos x="0" y="0"/>
            <wp:positionH relativeFrom="margin">
              <wp:posOffset>0</wp:posOffset>
            </wp:positionH>
            <wp:positionV relativeFrom="paragraph">
              <wp:posOffset>130175</wp:posOffset>
            </wp:positionV>
            <wp:extent cx="637200" cy="691200"/>
            <wp:effectExtent l="0" t="0" r="0" b="0"/>
            <wp:wrapSquare wrapText="bothSides"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10" r="6067"/>
                    <a:stretch/>
                  </pic:blipFill>
                  <pic:spPr bwMode="auto">
                    <a:xfrm>
                      <a:off x="0" y="0"/>
                      <a:ext cx="637200" cy="69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241">
        <w:rPr>
          <w:lang w:eastAsia="en-AU"/>
        </w:rPr>
        <w:t>Outcome 3: Information</w:t>
      </w:r>
    </w:p>
    <w:p w14:paraId="349D1AA0" w14:textId="335FBBF6" w:rsidR="00B35241" w:rsidRDefault="00B35241" w:rsidP="00447256">
      <w:pPr>
        <w:rPr>
          <w:lang w:eastAsia="en-AU"/>
        </w:rPr>
      </w:pPr>
      <w:r>
        <w:rPr>
          <w:lang w:eastAsia="en-AU"/>
        </w:rPr>
        <w:t xml:space="preserve">People with disability receive information from a public authority in a format that </w:t>
      </w:r>
      <w:r w:rsidR="00930671">
        <w:rPr>
          <w:lang w:eastAsia="en-AU"/>
        </w:rPr>
        <w:t>enables</w:t>
      </w:r>
      <w:r>
        <w:rPr>
          <w:lang w:eastAsia="en-AU"/>
        </w:rPr>
        <w:t xml:space="preserve"> them to access the information as readily as other peopl</w:t>
      </w:r>
      <w:r w:rsidR="009832AC">
        <w:rPr>
          <w:lang w:eastAsia="en-AU"/>
        </w:rPr>
        <w:t>e</w:t>
      </w:r>
      <w:r>
        <w:rPr>
          <w:lang w:eastAsia="en-AU"/>
        </w:rPr>
        <w:t>.</w:t>
      </w:r>
    </w:p>
    <w:p w14:paraId="2594E29B" w14:textId="298D00A7" w:rsidR="00B35241" w:rsidRDefault="00B35241" w:rsidP="00447256">
      <w:pPr>
        <w:rPr>
          <w:lang w:eastAsia="en-AU"/>
        </w:rPr>
      </w:pPr>
    </w:p>
    <w:p w14:paraId="5AC03DAE" w14:textId="7C3C0C1C" w:rsidR="00B35241" w:rsidRDefault="00A85D00" w:rsidP="00447256">
      <w:pPr>
        <w:rPr>
          <w:lang w:eastAsia="en-AU"/>
        </w:rPr>
      </w:pPr>
      <w:r w:rsidRPr="00A85D00">
        <w:rPr>
          <w:noProof/>
          <w:lang w:eastAsia="en-AU"/>
        </w:rPr>
        <w:drawing>
          <wp:anchor distT="0" distB="0" distL="114300" distR="187325" simplePos="0" relativeHeight="251700736" behindDoc="0" locked="0" layoutInCell="1" allowOverlap="1" wp14:anchorId="13607260" wp14:editId="1F5E365A">
            <wp:simplePos x="0" y="0"/>
            <wp:positionH relativeFrom="margin">
              <wp:posOffset>0</wp:posOffset>
            </wp:positionH>
            <wp:positionV relativeFrom="paragraph">
              <wp:posOffset>107950</wp:posOffset>
            </wp:positionV>
            <wp:extent cx="637200" cy="651600"/>
            <wp:effectExtent l="0" t="0" r="0" b="0"/>
            <wp:wrapSquare wrapText="bothSides"/>
            <wp:docPr id="57" name="Picture 5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65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241">
        <w:rPr>
          <w:lang w:eastAsia="en-AU"/>
        </w:rPr>
        <w:t>Outcome 4: Service quality</w:t>
      </w:r>
    </w:p>
    <w:p w14:paraId="025FFBAD" w14:textId="7175931E" w:rsidR="00B35241" w:rsidRDefault="00B35241" w:rsidP="00447256">
      <w:pPr>
        <w:rPr>
          <w:lang w:eastAsia="en-AU"/>
        </w:rPr>
      </w:pPr>
      <w:r>
        <w:rPr>
          <w:lang w:eastAsia="en-AU"/>
        </w:rPr>
        <w:t>People with disability receive the same level and quality of service from the staff of a public authority as other people receive.</w:t>
      </w:r>
    </w:p>
    <w:p w14:paraId="5D43D42D" w14:textId="77777777" w:rsidR="00B35241" w:rsidRDefault="00B35241" w:rsidP="00447256">
      <w:pPr>
        <w:rPr>
          <w:lang w:eastAsia="en-AU"/>
        </w:rPr>
      </w:pPr>
    </w:p>
    <w:p w14:paraId="55D214BA" w14:textId="5023436E" w:rsidR="00B35241" w:rsidRDefault="00A85D00" w:rsidP="00447256">
      <w:pPr>
        <w:rPr>
          <w:lang w:eastAsia="en-AU"/>
        </w:rPr>
      </w:pPr>
      <w:r w:rsidRPr="00E75BE9">
        <w:rPr>
          <w:noProof/>
          <w:lang w:eastAsia="en-AU"/>
        </w:rPr>
        <w:drawing>
          <wp:anchor distT="0" distB="0" distL="114300" distR="187325" simplePos="0" relativeHeight="251699712" behindDoc="0" locked="0" layoutInCell="1" allowOverlap="1" wp14:anchorId="73DEB650" wp14:editId="7C57E3F9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604800" cy="590400"/>
            <wp:effectExtent l="0" t="0" r="5080" b="635"/>
            <wp:wrapSquare wrapText="bothSides"/>
            <wp:docPr id="56" name="Picture 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241">
        <w:rPr>
          <w:lang w:eastAsia="en-AU"/>
        </w:rPr>
        <w:t>Outcome 5: Complaints</w:t>
      </w:r>
    </w:p>
    <w:p w14:paraId="355D693E" w14:textId="5B38C667" w:rsidR="00B35241" w:rsidRDefault="00B35241" w:rsidP="00447256">
      <w:pPr>
        <w:rPr>
          <w:lang w:eastAsia="en-AU"/>
        </w:rPr>
      </w:pPr>
      <w:r>
        <w:rPr>
          <w:lang w:eastAsia="en-AU"/>
        </w:rPr>
        <w:t>People with disability have the same opportunities as other people to make complaints to a public authority.</w:t>
      </w:r>
    </w:p>
    <w:p w14:paraId="6FC5D92A" w14:textId="5EE7A4FB" w:rsidR="00B35241" w:rsidRDefault="00B35241" w:rsidP="00447256">
      <w:pPr>
        <w:rPr>
          <w:lang w:eastAsia="en-AU"/>
        </w:rPr>
      </w:pPr>
    </w:p>
    <w:p w14:paraId="08424708" w14:textId="77B11AAE" w:rsidR="00B35241" w:rsidRDefault="00A85D00" w:rsidP="00447256">
      <w:pPr>
        <w:rPr>
          <w:lang w:eastAsia="en-AU"/>
        </w:rPr>
      </w:pPr>
      <w:r w:rsidRPr="00A85D00">
        <w:rPr>
          <w:noProof/>
          <w:lang w:eastAsia="en-AU"/>
        </w:rPr>
        <w:drawing>
          <wp:anchor distT="0" distB="36195" distL="114300" distR="187325" simplePos="0" relativeHeight="251701760" behindDoc="0" locked="0" layoutInCell="1" allowOverlap="1" wp14:anchorId="5AA83FE7" wp14:editId="52D1BA06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579600" cy="608400"/>
            <wp:effectExtent l="0" t="0" r="0" b="1270"/>
            <wp:wrapSquare wrapText="bothSides"/>
            <wp:docPr id="58" name="Picture 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r="11688"/>
                    <a:stretch/>
                  </pic:blipFill>
                  <pic:spPr bwMode="auto">
                    <a:xfrm>
                      <a:off x="0" y="0"/>
                      <a:ext cx="579600" cy="60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241">
        <w:rPr>
          <w:lang w:eastAsia="en-AU"/>
        </w:rPr>
        <w:t>Outcome 6: Consultation</w:t>
      </w:r>
    </w:p>
    <w:p w14:paraId="307A8411" w14:textId="1F24D75F" w:rsidR="00B35241" w:rsidRDefault="00B35241" w:rsidP="00447256">
      <w:pPr>
        <w:rPr>
          <w:lang w:eastAsia="en-AU"/>
        </w:rPr>
      </w:pPr>
      <w:r>
        <w:rPr>
          <w:lang w:eastAsia="en-AU"/>
        </w:rPr>
        <w:t>People with disability have the same opportunities as other people to participate in any public consultation by a public authority.</w:t>
      </w:r>
    </w:p>
    <w:p w14:paraId="02EC7FC9" w14:textId="0605AD5C" w:rsidR="00B35241" w:rsidRDefault="002B0B00" w:rsidP="00447256">
      <w:pPr>
        <w:rPr>
          <w:lang w:eastAsia="en-AU"/>
        </w:rPr>
      </w:pPr>
      <w:r w:rsidRPr="002B0B00">
        <w:rPr>
          <w:noProof/>
          <w:lang w:eastAsia="en-AU"/>
        </w:rPr>
        <w:drawing>
          <wp:anchor distT="0" distB="0" distL="114300" distR="180340" simplePos="0" relativeHeight="251702784" behindDoc="0" locked="0" layoutInCell="1" allowOverlap="1" wp14:anchorId="21E2D0DC" wp14:editId="52DA47AE">
            <wp:simplePos x="0" y="0"/>
            <wp:positionH relativeFrom="margin">
              <wp:align>left</wp:align>
            </wp:positionH>
            <wp:positionV relativeFrom="paragraph">
              <wp:posOffset>280035</wp:posOffset>
            </wp:positionV>
            <wp:extent cx="596265" cy="704850"/>
            <wp:effectExtent l="0" t="0" r="0" b="0"/>
            <wp:wrapSquare wrapText="bothSides"/>
            <wp:docPr id="59" name="Picture 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6"/>
                    <a:stretch/>
                  </pic:blipFill>
                  <pic:spPr bwMode="auto">
                    <a:xfrm>
                      <a:off x="0" y="0"/>
                      <a:ext cx="59626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BC718" w14:textId="45451364" w:rsidR="00B35241" w:rsidRDefault="00B35241" w:rsidP="00447256">
      <w:pPr>
        <w:rPr>
          <w:lang w:eastAsia="en-AU"/>
        </w:rPr>
      </w:pPr>
      <w:r>
        <w:rPr>
          <w:lang w:eastAsia="en-AU"/>
        </w:rPr>
        <w:t>Outcome 7: Employment</w:t>
      </w:r>
    </w:p>
    <w:p w14:paraId="50169685" w14:textId="3285DB78" w:rsidR="00B433DB" w:rsidRDefault="00B35241" w:rsidP="00B433DB">
      <w:pPr>
        <w:rPr>
          <w:lang w:eastAsia="en-AU"/>
        </w:rPr>
      </w:pPr>
      <w:r>
        <w:rPr>
          <w:lang w:eastAsia="en-AU"/>
        </w:rPr>
        <w:t>People with</w:t>
      </w:r>
      <w:r w:rsidR="00DD5303">
        <w:rPr>
          <w:lang w:eastAsia="en-AU"/>
        </w:rPr>
        <w:t xml:space="preserve"> disability have the same opportunities as other people to obtain and maintain employment with a public authority</w:t>
      </w:r>
      <w:r>
        <w:rPr>
          <w:lang w:eastAsia="en-AU"/>
        </w:rPr>
        <w:t>.</w:t>
      </w:r>
    </w:p>
    <w:p w14:paraId="4E7283B1" w14:textId="70678599" w:rsidR="00B433DB" w:rsidRDefault="00B433DB" w:rsidP="00B433DB">
      <w:pPr>
        <w:rPr>
          <w:lang w:eastAsia="en-AU"/>
        </w:rPr>
      </w:pPr>
    </w:p>
    <w:p w14:paraId="300F13F3" w14:textId="707DC7DD" w:rsidR="00B433DB" w:rsidRDefault="00B433DB" w:rsidP="00B433DB">
      <w:pPr>
        <w:rPr>
          <w:lang w:eastAsia="en-AU"/>
        </w:rPr>
      </w:pPr>
    </w:p>
    <w:p w14:paraId="6E4D91B9" w14:textId="77777777" w:rsidR="00317250" w:rsidRDefault="00317250">
      <w:pPr>
        <w:spacing w:after="0" w:line="240" w:lineRule="auto"/>
        <w:rPr>
          <w:rFonts w:cs="Arial"/>
          <w:b/>
          <w:noProof/>
          <w:color w:val="2C5C86"/>
          <w:sz w:val="26"/>
          <w:lang w:eastAsia="en-AU"/>
        </w:rPr>
      </w:pPr>
      <w:r>
        <w:br w:type="page"/>
      </w:r>
    </w:p>
    <w:p w14:paraId="70CA667B" w14:textId="2CC72119" w:rsidR="00384EEF" w:rsidRPr="00B35241" w:rsidRDefault="00D80009" w:rsidP="00B35241">
      <w:pPr>
        <w:pStyle w:val="Heading4"/>
      </w:pPr>
      <w:bookmarkStart w:id="28" w:name="_Appendix_2:_Stakeholder"/>
      <w:bookmarkStart w:id="29" w:name="_Toc194058761"/>
      <w:bookmarkEnd w:id="28"/>
      <w:r w:rsidRPr="00B35241">
        <w:lastRenderedPageBreak/>
        <w:t xml:space="preserve">Appendix 2: </w:t>
      </w:r>
      <w:r w:rsidR="00384EEF" w:rsidRPr="00B35241">
        <w:t xml:space="preserve">Stakeholder </w:t>
      </w:r>
      <w:r w:rsidR="007559F0" w:rsidRPr="00B35241">
        <w:t>e</w:t>
      </w:r>
      <w:r w:rsidR="00384EEF" w:rsidRPr="00B35241">
        <w:t xml:space="preserve">ngagement </w:t>
      </w:r>
      <w:r w:rsidR="007559F0" w:rsidRPr="00B35241">
        <w:t>m</w:t>
      </w:r>
      <w:r w:rsidR="00384EEF" w:rsidRPr="00B35241">
        <w:t xml:space="preserve">odel </w:t>
      </w:r>
      <w:r w:rsidR="007559F0" w:rsidRPr="00B35241">
        <w:t>e</w:t>
      </w:r>
      <w:r w:rsidR="00384EEF" w:rsidRPr="00B35241">
        <w:t>xample</w:t>
      </w:r>
      <w:bookmarkEnd w:id="29"/>
    </w:p>
    <w:p w14:paraId="35540BBA" w14:textId="2AD1D583" w:rsidR="00384EEF" w:rsidRPr="009C6312" w:rsidRDefault="00C671DC" w:rsidP="00384EEF">
      <w:pPr>
        <w:pStyle w:val="BodyText"/>
      </w:pPr>
      <w:r w:rsidRPr="009C6312">
        <w:t>The Public Participation Spectrum</w:t>
      </w:r>
      <w:r>
        <w:t xml:space="preserve"> developed by the Institute of Public Participation </w:t>
      </w:r>
      <w:r w:rsidR="00384EEF" w:rsidRPr="009C6312">
        <w:t xml:space="preserve">is </w:t>
      </w:r>
      <w:r w:rsidR="00E70115">
        <w:t xml:space="preserve">an example of a stakeholder engagement model. </w:t>
      </w:r>
      <w:r w:rsidR="00384EEF" w:rsidRPr="009C6312">
        <w:t xml:space="preserve"> The spectrum identifies five stages of engagement including:</w:t>
      </w:r>
    </w:p>
    <w:p w14:paraId="7452BFD3" w14:textId="7E9D22E1" w:rsidR="00384EEF" w:rsidRPr="001F1E49" w:rsidRDefault="00384EEF" w:rsidP="007741BD">
      <w:pPr>
        <w:pStyle w:val="BodyText"/>
        <w:numPr>
          <w:ilvl w:val="0"/>
          <w:numId w:val="17"/>
        </w:numPr>
      </w:pPr>
      <w:r w:rsidRPr="001F1E49">
        <w:t xml:space="preserve">Informing – sharing information or educating stakeholders about the </w:t>
      </w:r>
      <w:r w:rsidR="009406C6">
        <w:t>DAIP</w:t>
      </w:r>
      <w:r w:rsidRPr="001F1E49">
        <w:t>. No feedback required.</w:t>
      </w:r>
    </w:p>
    <w:p w14:paraId="2595F904" w14:textId="228901D3" w:rsidR="00384EEF" w:rsidRPr="001F1E49" w:rsidRDefault="00384EEF" w:rsidP="007741BD">
      <w:pPr>
        <w:pStyle w:val="BodyText"/>
        <w:numPr>
          <w:ilvl w:val="0"/>
          <w:numId w:val="17"/>
        </w:numPr>
      </w:pPr>
      <w:r w:rsidRPr="001F1E49">
        <w:t xml:space="preserve">Consulting – </w:t>
      </w:r>
      <w:r w:rsidR="009406C6">
        <w:t xml:space="preserve">conducting a survey prior to drafting the DAIP or </w:t>
      </w:r>
      <w:r w:rsidRPr="001F1E49">
        <w:t xml:space="preserve">gathering </w:t>
      </w:r>
      <w:r w:rsidR="009406C6">
        <w:t>public comment</w:t>
      </w:r>
      <w:r w:rsidRPr="001F1E49">
        <w:t xml:space="preserve"> on the draft </w:t>
      </w:r>
      <w:r w:rsidR="009406C6">
        <w:t>DAIP</w:t>
      </w:r>
      <w:r w:rsidRPr="001F1E49">
        <w:t>. Final decision maker is the public authority.</w:t>
      </w:r>
    </w:p>
    <w:p w14:paraId="057ECF92" w14:textId="79646050" w:rsidR="00384EEF" w:rsidRPr="001F1E49" w:rsidRDefault="00384EEF" w:rsidP="007741BD">
      <w:pPr>
        <w:pStyle w:val="BodyText"/>
        <w:numPr>
          <w:ilvl w:val="0"/>
          <w:numId w:val="17"/>
        </w:numPr>
      </w:pPr>
      <w:r w:rsidRPr="001F1E49">
        <w:t>Involving – working with stakeholders to identify the issues and develop actions</w:t>
      </w:r>
      <w:r w:rsidR="009406C6">
        <w:t xml:space="preserve"> to be delivered through the DAIP</w:t>
      </w:r>
      <w:r w:rsidRPr="001F1E49">
        <w:t>. Final decision maker is the public authority.</w:t>
      </w:r>
    </w:p>
    <w:p w14:paraId="6CEDC198" w14:textId="13D5AB5B" w:rsidR="00384EEF" w:rsidRPr="001F1E49" w:rsidRDefault="00384EEF" w:rsidP="007741BD">
      <w:pPr>
        <w:pStyle w:val="BodyText"/>
        <w:numPr>
          <w:ilvl w:val="0"/>
          <w:numId w:val="17"/>
        </w:numPr>
      </w:pPr>
      <w:r w:rsidRPr="001F1E49">
        <w:t xml:space="preserve">Collaborating – working with stakeholders to identify the issues, develop actions and </w:t>
      </w:r>
      <w:r w:rsidR="0093167F">
        <w:t>deciding together</w:t>
      </w:r>
      <w:r w:rsidRPr="001F1E49">
        <w:t xml:space="preserve"> what is in the draft </w:t>
      </w:r>
      <w:r w:rsidR="009406C6">
        <w:t>DAIP</w:t>
      </w:r>
      <w:r w:rsidRPr="001F1E49">
        <w:t xml:space="preserve">. </w:t>
      </w:r>
    </w:p>
    <w:p w14:paraId="5093FA3A" w14:textId="61C439AE" w:rsidR="00384EEF" w:rsidRPr="009C6312" w:rsidRDefault="00384EEF" w:rsidP="007741BD">
      <w:pPr>
        <w:pStyle w:val="BodyText"/>
        <w:numPr>
          <w:ilvl w:val="0"/>
          <w:numId w:val="17"/>
        </w:numPr>
      </w:pPr>
      <w:r w:rsidRPr="001F1E49">
        <w:t>Empowering – working with stakeholders to identify the issues, develop actions</w:t>
      </w:r>
      <w:r w:rsidR="009406C6">
        <w:t xml:space="preserve"> and prioritise actions for the </w:t>
      </w:r>
      <w:r w:rsidR="000C398D">
        <w:t>DAIP</w:t>
      </w:r>
      <w:r w:rsidRPr="001F1E49">
        <w:t>. Final decision-making sits with stakeholders</w:t>
      </w:r>
      <w:r>
        <w:rPr>
          <w:rStyle w:val="FootnoteReference"/>
        </w:rPr>
        <w:footnoteReference w:id="8"/>
      </w:r>
      <w:r w:rsidRPr="001F1E49">
        <w:t>.</w:t>
      </w:r>
    </w:p>
    <w:p w14:paraId="57F3611B" w14:textId="4EF8CEDE" w:rsidR="00384EEF" w:rsidRPr="009C6312" w:rsidRDefault="00384EEF" w:rsidP="00384EEF">
      <w:pPr>
        <w:pStyle w:val="BodyText"/>
      </w:pPr>
      <w:r w:rsidRPr="009C6312">
        <w:t>Methods of engagement might include:</w:t>
      </w:r>
    </w:p>
    <w:tbl>
      <w:tblPr>
        <w:tblStyle w:val="TableGridLight"/>
        <w:tblW w:w="9781" w:type="dxa"/>
        <w:tblInd w:w="-147" w:type="dxa"/>
        <w:tblLayout w:type="fixed"/>
        <w:tblLook w:val="04A0" w:firstRow="1" w:lastRow="0" w:firstColumn="1" w:lastColumn="0" w:noHBand="0" w:noVBand="1"/>
        <w:tblCaption w:val="Public participation spectrum activity types"/>
        <w:tblDescription w:val="Five column-two row table. Inform: activities include advertising, briefings, event pop-ups, factsheets, info sessions newsletters websites. Consult: activities include focus groups, call for feedback, polls, public meetings, surveys, workshops. Involve: activities include advisory groups, future search, graphic recording, story dialogue, world cafes. Collaborate - activities include charrettes, citizens' panels, co-design, working groups. Empower - activities include co-design, working groups."/>
      </w:tblPr>
      <w:tblGrid>
        <w:gridCol w:w="1843"/>
        <w:gridCol w:w="1985"/>
        <w:gridCol w:w="2268"/>
        <w:gridCol w:w="1984"/>
        <w:gridCol w:w="1701"/>
      </w:tblGrid>
      <w:tr w:rsidR="00384EEF" w14:paraId="27B41AEB" w14:textId="77777777" w:rsidTr="009F26F5">
        <w:trPr>
          <w:trHeight w:val="397"/>
        </w:trPr>
        <w:tc>
          <w:tcPr>
            <w:tcW w:w="1843" w:type="dxa"/>
          </w:tcPr>
          <w:p w14:paraId="55FB4B3E" w14:textId="77777777" w:rsidR="00384EEF" w:rsidRPr="00321FBC" w:rsidRDefault="00384EEF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b/>
                <w:bCs/>
                <w:color w:val="444444"/>
              </w:rPr>
            </w:pPr>
            <w:r w:rsidRPr="00321FBC">
              <w:rPr>
                <w:rFonts w:ascii="Arial" w:hAnsi="Arial" w:cs="Arial"/>
                <w:color w:val="444444"/>
              </w:rPr>
              <w:t>Inform</w:t>
            </w:r>
          </w:p>
        </w:tc>
        <w:tc>
          <w:tcPr>
            <w:tcW w:w="1985" w:type="dxa"/>
          </w:tcPr>
          <w:p w14:paraId="24827BCB" w14:textId="77777777" w:rsidR="00384EEF" w:rsidRPr="00321FBC" w:rsidRDefault="00384EEF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b/>
                <w:bCs/>
                <w:color w:val="444444"/>
              </w:rPr>
            </w:pPr>
            <w:r w:rsidRPr="00321FBC">
              <w:rPr>
                <w:rFonts w:ascii="Arial" w:hAnsi="Arial" w:cs="Arial"/>
                <w:color w:val="444444"/>
              </w:rPr>
              <w:t>Consult</w:t>
            </w:r>
          </w:p>
        </w:tc>
        <w:tc>
          <w:tcPr>
            <w:tcW w:w="2268" w:type="dxa"/>
          </w:tcPr>
          <w:p w14:paraId="3CD3CE4C" w14:textId="77777777" w:rsidR="00384EEF" w:rsidRPr="00321FBC" w:rsidRDefault="00384EEF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b/>
                <w:bCs/>
                <w:color w:val="444444"/>
              </w:rPr>
            </w:pPr>
            <w:r w:rsidRPr="00321FBC">
              <w:rPr>
                <w:rFonts w:ascii="Arial" w:hAnsi="Arial" w:cs="Arial"/>
                <w:color w:val="444444"/>
              </w:rPr>
              <w:t>Involve</w:t>
            </w:r>
          </w:p>
        </w:tc>
        <w:tc>
          <w:tcPr>
            <w:tcW w:w="1984" w:type="dxa"/>
          </w:tcPr>
          <w:p w14:paraId="249E1240" w14:textId="77777777" w:rsidR="00384EEF" w:rsidRPr="00321FBC" w:rsidRDefault="00384EEF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b/>
                <w:bCs/>
                <w:color w:val="444444"/>
              </w:rPr>
            </w:pPr>
            <w:r w:rsidRPr="00321FBC">
              <w:rPr>
                <w:rFonts w:ascii="Arial" w:hAnsi="Arial" w:cs="Arial"/>
                <w:color w:val="444444"/>
              </w:rPr>
              <w:t>Collaborate</w:t>
            </w:r>
          </w:p>
        </w:tc>
        <w:tc>
          <w:tcPr>
            <w:tcW w:w="1701" w:type="dxa"/>
          </w:tcPr>
          <w:p w14:paraId="5F2EF684" w14:textId="77777777" w:rsidR="00384EEF" w:rsidRPr="00321FBC" w:rsidRDefault="00384EEF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b/>
                <w:bCs/>
                <w:color w:val="444444"/>
              </w:rPr>
            </w:pPr>
            <w:r w:rsidRPr="00321FBC">
              <w:rPr>
                <w:rFonts w:ascii="Arial" w:hAnsi="Arial" w:cs="Arial"/>
                <w:color w:val="444444"/>
              </w:rPr>
              <w:t>Empower</w:t>
            </w:r>
          </w:p>
        </w:tc>
      </w:tr>
      <w:tr w:rsidR="009406C6" w14:paraId="0409E739" w14:textId="77777777" w:rsidTr="009F26F5">
        <w:trPr>
          <w:trHeight w:val="1692"/>
        </w:trPr>
        <w:tc>
          <w:tcPr>
            <w:tcW w:w="1843" w:type="dxa"/>
          </w:tcPr>
          <w:p w14:paraId="4379719A" w14:textId="77777777" w:rsidR="00384EEF" w:rsidRDefault="00384EEF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 w:rsidRPr="00463EFF">
              <w:rPr>
                <w:rFonts w:ascii="Arial" w:hAnsi="Arial" w:cs="Arial"/>
                <w:color w:val="444444"/>
              </w:rPr>
              <w:t>Advertising</w:t>
            </w:r>
          </w:p>
          <w:p w14:paraId="2507FEAF" w14:textId="77777777" w:rsidR="00384EEF" w:rsidRDefault="00384EEF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Briefings</w:t>
            </w:r>
          </w:p>
          <w:p w14:paraId="3EC23BF8" w14:textId="39A8C5FC" w:rsidR="00384EEF" w:rsidRPr="00463EFF" w:rsidRDefault="00384EEF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b/>
                <w:bCs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Event</w:t>
            </w:r>
            <w:r w:rsidR="001C4BB8">
              <w:rPr>
                <w:rFonts w:ascii="Arial" w:hAnsi="Arial" w:cs="Arial"/>
                <w:color w:val="444444"/>
              </w:rPr>
              <w:t>s</w:t>
            </w:r>
          </w:p>
          <w:p w14:paraId="3C835C01" w14:textId="77777777" w:rsidR="00384EEF" w:rsidRPr="00CD020D" w:rsidRDefault="00384EEF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Factsheets</w:t>
            </w:r>
          </w:p>
          <w:p w14:paraId="000AAAFD" w14:textId="74DF1DE6" w:rsidR="00384EEF" w:rsidRPr="009F26F5" w:rsidRDefault="00384EEF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b/>
                <w:bCs/>
                <w:color w:val="444444"/>
              </w:rPr>
            </w:pPr>
            <w:r w:rsidRPr="00463EFF">
              <w:rPr>
                <w:rFonts w:ascii="Arial" w:hAnsi="Arial" w:cs="Arial"/>
                <w:color w:val="444444"/>
              </w:rPr>
              <w:t>Info</w:t>
            </w:r>
            <w:r>
              <w:rPr>
                <w:rFonts w:ascii="Arial" w:hAnsi="Arial" w:cs="Arial"/>
                <w:color w:val="444444"/>
              </w:rPr>
              <w:t xml:space="preserve"> </w:t>
            </w:r>
            <w:r w:rsidRPr="00463EFF">
              <w:rPr>
                <w:rFonts w:ascii="Arial" w:hAnsi="Arial" w:cs="Arial"/>
                <w:color w:val="444444"/>
              </w:rPr>
              <w:t>sessions Newsletters</w:t>
            </w:r>
          </w:p>
        </w:tc>
        <w:tc>
          <w:tcPr>
            <w:tcW w:w="1985" w:type="dxa"/>
          </w:tcPr>
          <w:p w14:paraId="344E5439" w14:textId="77777777" w:rsidR="00384EEF" w:rsidRDefault="00384EEF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Focus groups</w:t>
            </w:r>
          </w:p>
          <w:p w14:paraId="3C01DDE8" w14:textId="64E3E171" w:rsidR="00384EEF" w:rsidRDefault="00E70115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Public</w:t>
            </w:r>
            <w:r w:rsidR="009406C6">
              <w:rPr>
                <w:rFonts w:ascii="Arial" w:hAnsi="Arial" w:cs="Arial"/>
                <w:color w:val="444444"/>
              </w:rPr>
              <w:t xml:space="preserve"> comment</w:t>
            </w:r>
          </w:p>
          <w:p w14:paraId="2EAAF489" w14:textId="0265DAE1" w:rsidR="00384EEF" w:rsidRDefault="00D23CAA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Round tables</w:t>
            </w:r>
          </w:p>
          <w:p w14:paraId="6F73EAC8" w14:textId="77777777" w:rsidR="00384EEF" w:rsidRDefault="00384EEF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Public meetings</w:t>
            </w:r>
          </w:p>
          <w:p w14:paraId="4D02F1A4" w14:textId="77777777" w:rsidR="00384EEF" w:rsidRDefault="00384EEF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Surveys</w:t>
            </w:r>
          </w:p>
          <w:p w14:paraId="7AAF0F0E" w14:textId="02A05621" w:rsidR="00384EEF" w:rsidRDefault="009F26F5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Pop-ups</w:t>
            </w:r>
          </w:p>
        </w:tc>
        <w:tc>
          <w:tcPr>
            <w:tcW w:w="2268" w:type="dxa"/>
          </w:tcPr>
          <w:p w14:paraId="78E54BF5" w14:textId="77777777" w:rsidR="001C4BB8" w:rsidRDefault="001C4BB8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Advisory groups</w:t>
            </w:r>
          </w:p>
          <w:p w14:paraId="0F9FEA12" w14:textId="77777777" w:rsidR="001C4BB8" w:rsidRDefault="001C4BB8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Deliberative polling</w:t>
            </w:r>
          </w:p>
          <w:p w14:paraId="04E375F5" w14:textId="77777777" w:rsidR="001C4BB8" w:rsidRDefault="001C4BB8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Digital storytelling</w:t>
            </w:r>
          </w:p>
          <w:p w14:paraId="2530DB13" w14:textId="77777777" w:rsidR="001C4BB8" w:rsidRDefault="001C4BB8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Graphic recording</w:t>
            </w:r>
          </w:p>
          <w:p w14:paraId="5E511BAD" w14:textId="77777777" w:rsidR="001C4BB8" w:rsidRDefault="001C4BB8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Open idea walls</w:t>
            </w:r>
          </w:p>
          <w:p w14:paraId="335CE031" w14:textId="3597AAD1" w:rsidR="00D23CAA" w:rsidRDefault="001C4BB8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Workshops</w:t>
            </w:r>
          </w:p>
        </w:tc>
        <w:tc>
          <w:tcPr>
            <w:tcW w:w="1984" w:type="dxa"/>
          </w:tcPr>
          <w:p w14:paraId="5A01D13F" w14:textId="77777777" w:rsidR="001C4BB8" w:rsidRDefault="001C4BB8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Charrettes</w:t>
            </w:r>
          </w:p>
          <w:p w14:paraId="12C53CC0" w14:textId="77777777" w:rsidR="001C4BB8" w:rsidRDefault="001C4BB8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Citizens’ panels </w:t>
            </w:r>
          </w:p>
          <w:p w14:paraId="33B84394" w14:textId="77777777" w:rsidR="001C4BB8" w:rsidRDefault="001C4BB8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Co-design</w:t>
            </w:r>
          </w:p>
          <w:p w14:paraId="3F055696" w14:textId="77777777" w:rsidR="001C4BB8" w:rsidRDefault="001C4BB8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Participatory editing</w:t>
            </w:r>
          </w:p>
          <w:p w14:paraId="0578DADC" w14:textId="1D548DD3" w:rsidR="00384EEF" w:rsidRDefault="001C4BB8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Working groups</w:t>
            </w:r>
          </w:p>
        </w:tc>
        <w:tc>
          <w:tcPr>
            <w:tcW w:w="1701" w:type="dxa"/>
          </w:tcPr>
          <w:p w14:paraId="034B03DF" w14:textId="77777777" w:rsidR="001C4BB8" w:rsidRDefault="001C4BB8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Citizens’ juries</w:t>
            </w:r>
          </w:p>
          <w:p w14:paraId="6FE02A8C" w14:textId="77777777" w:rsidR="001C4BB8" w:rsidRDefault="001C4BB8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Co-design</w:t>
            </w:r>
          </w:p>
          <w:p w14:paraId="05CD20F8" w14:textId="77777777" w:rsidR="001C4BB8" w:rsidRDefault="001C4BB8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Participatory budgeting</w:t>
            </w:r>
          </w:p>
          <w:p w14:paraId="1E036A18" w14:textId="77777777" w:rsidR="00384EEF" w:rsidRDefault="00384EEF" w:rsidP="009943A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444444"/>
              </w:rPr>
            </w:pPr>
          </w:p>
        </w:tc>
      </w:tr>
    </w:tbl>
    <w:p w14:paraId="421E2AD7" w14:textId="77777777" w:rsidR="005F7F92" w:rsidRDefault="005F7F92">
      <w:pPr>
        <w:spacing w:after="0" w:line="240" w:lineRule="auto"/>
      </w:pPr>
    </w:p>
    <w:p w14:paraId="1471D103" w14:textId="5199DEDB" w:rsidR="00E218FA" w:rsidRDefault="00384EEF" w:rsidP="00384EEF">
      <w:pPr>
        <w:spacing w:line="240" w:lineRule="auto"/>
        <w:rPr>
          <w:rFonts w:cs="Arial"/>
        </w:rPr>
      </w:pPr>
      <w:r w:rsidRPr="005F7F92">
        <w:rPr>
          <w:rFonts w:cs="Arial"/>
        </w:rPr>
        <w:t>Useful link</w:t>
      </w:r>
      <w:r w:rsidR="00E70115">
        <w:rPr>
          <w:rFonts w:cs="Arial"/>
        </w:rPr>
        <w:t>s</w:t>
      </w:r>
      <w:r w:rsidRPr="005F7F92">
        <w:rPr>
          <w:rFonts w:cs="Arial"/>
        </w:rPr>
        <w:t>:</w:t>
      </w:r>
    </w:p>
    <w:p w14:paraId="350F92EA" w14:textId="4E428AFE" w:rsidR="000C398D" w:rsidRDefault="000C398D" w:rsidP="00C7400F">
      <w:pPr>
        <w:spacing w:after="80" w:line="240" w:lineRule="auto"/>
        <w:rPr>
          <w:rStyle w:val="Hyperlink"/>
        </w:rPr>
      </w:pPr>
      <w:r>
        <w:t xml:space="preserve">Mental Health Commission has a stakeholder engagement framework and toolkit at </w:t>
      </w:r>
      <w:hyperlink r:id="rId38" w:history="1">
        <w:r>
          <w:rPr>
            <w:rStyle w:val="Hyperlink"/>
          </w:rPr>
          <w:t>Stakeholder Engagement (mhc.wa.gov.au)</w:t>
        </w:r>
      </w:hyperlink>
    </w:p>
    <w:p w14:paraId="120BEEFE" w14:textId="275C4E9C" w:rsidR="00AF7B08" w:rsidRPr="00F26EEF" w:rsidRDefault="00AF7B08" w:rsidP="00C7400F">
      <w:pPr>
        <w:spacing w:after="80" w:line="240" w:lineRule="auto"/>
      </w:pPr>
      <w:r w:rsidRPr="00F26EEF">
        <w:t>WACOSS’ Lived Experience Framework outlines principles and prac</w:t>
      </w:r>
      <w:r w:rsidR="00356EA4" w:rsidRPr="00F26EEF">
        <w:t xml:space="preserve">tices for Lived Experience </w:t>
      </w:r>
      <w:r w:rsidR="00F26EEF">
        <w:t>p</w:t>
      </w:r>
      <w:r w:rsidR="00356EA4" w:rsidRPr="00F26EEF">
        <w:t>ar</w:t>
      </w:r>
      <w:r w:rsidR="00F26EEF">
        <w:t>tn</w:t>
      </w:r>
      <w:r w:rsidR="00356EA4" w:rsidRPr="00F26EEF">
        <w:t>er</w:t>
      </w:r>
      <w:r w:rsidR="00F26EEF">
        <w:t>s</w:t>
      </w:r>
      <w:r w:rsidR="00356EA4" w:rsidRPr="00F26EEF">
        <w:t>hips.</w:t>
      </w:r>
    </w:p>
    <w:p w14:paraId="2B271AD1" w14:textId="67EFA84A" w:rsidR="00356EA4" w:rsidRPr="001904F2" w:rsidRDefault="00000000" w:rsidP="00C7400F">
      <w:pPr>
        <w:spacing w:after="80" w:line="240" w:lineRule="auto"/>
        <w:rPr>
          <w:rStyle w:val="Hyperlink"/>
          <w:rFonts w:cs="Arial"/>
        </w:rPr>
      </w:pPr>
      <w:hyperlink r:id="rId39" w:history="1">
        <w:r w:rsidR="00F26EEF" w:rsidRPr="001904F2">
          <w:rPr>
            <w:rStyle w:val="Hyperlink"/>
            <w:rFonts w:cs="Arial"/>
          </w:rPr>
          <w:t xml:space="preserve">Lived Experience Framework – Principles and Practices for Lived Experience Partnerships </w:t>
        </w:r>
      </w:hyperlink>
    </w:p>
    <w:p w14:paraId="456BC23B" w14:textId="426CE393" w:rsidR="00384EEF" w:rsidRPr="005F7F92" w:rsidRDefault="000C398D" w:rsidP="00C7400F">
      <w:pPr>
        <w:spacing w:after="80" w:line="240" w:lineRule="auto"/>
        <w:rPr>
          <w:rStyle w:val="Hyperlink"/>
          <w:rFonts w:cs="Arial"/>
        </w:rPr>
      </w:pPr>
      <w:r>
        <w:t xml:space="preserve">Disability Gateway has a guideline to support engagement of people with disability at </w:t>
      </w:r>
      <w:hyperlink r:id="rId40" w:history="1">
        <w:r w:rsidR="00384EEF" w:rsidRPr="0092580A">
          <w:rPr>
            <w:rStyle w:val="Hyperlink"/>
            <w:rFonts w:cs="Arial"/>
          </w:rPr>
          <w:t>Good Practice Guidelines for Engaging with People with Disability | Disability Gateway</w:t>
        </w:r>
      </w:hyperlink>
    </w:p>
    <w:p w14:paraId="3CBDC72A" w14:textId="77777777" w:rsidR="00BE0D7D" w:rsidRDefault="00000000" w:rsidP="00C7400F">
      <w:pPr>
        <w:spacing w:after="80" w:line="240" w:lineRule="auto"/>
      </w:pPr>
      <w:hyperlink w:history="1"/>
      <w:r w:rsidR="00BE0D7D">
        <w:t>The Tamarack Institute has an index of community engagement techniques at</w:t>
      </w:r>
    </w:p>
    <w:p w14:paraId="51AF11EF" w14:textId="77777777" w:rsidR="006E3CA2" w:rsidRDefault="00000000" w:rsidP="00C7400F">
      <w:pPr>
        <w:spacing w:after="80" w:line="240" w:lineRule="auto"/>
        <w:rPr>
          <w:rStyle w:val="Hyperlink"/>
        </w:rPr>
      </w:pPr>
      <w:hyperlink r:id="rId41" w:history="1">
        <w:r w:rsidR="00BE0D7D">
          <w:rPr>
            <w:rStyle w:val="Hyperlink"/>
          </w:rPr>
          <w:t>TOOL | Index of Community Engagement Techniques (tamarackcommunity.ca)</w:t>
        </w:r>
      </w:hyperlink>
    </w:p>
    <w:p w14:paraId="03AD5A4D" w14:textId="31317977" w:rsidR="00AF7B08" w:rsidRDefault="006E3CA2" w:rsidP="00C7400F">
      <w:pPr>
        <w:spacing w:after="80" w:line="240" w:lineRule="auto"/>
      </w:pPr>
      <w:r w:rsidRPr="007B2451">
        <w:rPr>
          <w:rStyle w:val="Hyperlink"/>
          <w:color w:val="auto"/>
          <w:u w:val="none"/>
        </w:rPr>
        <w:t>Word Health Organisation</w:t>
      </w:r>
      <w:r w:rsidR="0024466A">
        <w:rPr>
          <w:rStyle w:val="Hyperlink"/>
          <w:color w:val="auto"/>
          <w:u w:val="none"/>
        </w:rPr>
        <w:t>’s guide</w:t>
      </w:r>
      <w:r w:rsidR="00AF7B08">
        <w:t xml:space="preserve"> outlines the</w:t>
      </w:r>
      <w:r w:rsidR="002C26CF">
        <w:t xml:space="preserve"> different </w:t>
      </w:r>
      <w:r w:rsidR="00AF7B08">
        <w:t xml:space="preserve">engagement </w:t>
      </w:r>
      <w:r w:rsidR="002C26CF">
        <w:t>levels and how they determine the type</w:t>
      </w:r>
      <w:r w:rsidR="00AF7B08">
        <w:t xml:space="preserve">s </w:t>
      </w:r>
      <w:r w:rsidR="002C26CF">
        <w:t xml:space="preserve">and degree of </w:t>
      </w:r>
      <w:r w:rsidR="00AF7B08">
        <w:t>engagement</w:t>
      </w:r>
      <w:r w:rsidR="0024466A">
        <w:t>.</w:t>
      </w:r>
    </w:p>
    <w:p w14:paraId="00095B83" w14:textId="0A4E94C1" w:rsidR="00694BC7" w:rsidRPr="007B2451" w:rsidRDefault="00000000" w:rsidP="00C7400F">
      <w:pPr>
        <w:spacing w:after="80" w:line="240" w:lineRule="auto"/>
      </w:pPr>
      <w:hyperlink r:id="rId42" w:history="1">
        <w:r w:rsidR="00B34E31">
          <w:rPr>
            <w:rStyle w:val="Hyperlink"/>
          </w:rPr>
          <w:t xml:space="preserve">Community engagement: a health promotion guide for universal health coverage in the hands of the people </w:t>
        </w:r>
        <w:r w:rsidR="00B34E31">
          <w:rPr>
            <w:rStyle w:val="Hyperlink"/>
            <w:rFonts w:ascii="Tahoma" w:hAnsi="Tahoma" w:cs="Tahoma"/>
          </w:rPr>
          <w:t>﻿</w:t>
        </w:r>
      </w:hyperlink>
      <w:r w:rsidR="00694BC7" w:rsidRPr="007B2451">
        <w:br w:type="page"/>
      </w:r>
    </w:p>
    <w:p w14:paraId="7393BD99" w14:textId="77777777" w:rsidR="00384EEF" w:rsidRPr="00B35241" w:rsidRDefault="00D80009" w:rsidP="00B35241">
      <w:pPr>
        <w:pStyle w:val="Heading4"/>
      </w:pPr>
      <w:bookmarkStart w:id="30" w:name="_Appendix_3:_What"/>
      <w:bookmarkStart w:id="31" w:name="_Toc194058762"/>
      <w:bookmarkEnd w:id="30"/>
      <w:r w:rsidRPr="00B35241">
        <w:lastRenderedPageBreak/>
        <w:t xml:space="preserve">Appendix 3: </w:t>
      </w:r>
      <w:r w:rsidR="00384EEF" w:rsidRPr="00B35241">
        <w:t>What to include in a Disability Access and Inclusion Plan</w:t>
      </w:r>
      <w:bookmarkEnd w:id="31"/>
    </w:p>
    <w:p w14:paraId="05DD8E79" w14:textId="09AF931A" w:rsidR="00384EEF" w:rsidRPr="00563C70" w:rsidRDefault="00D302BC" w:rsidP="00384EEF">
      <w:pPr>
        <w:pStyle w:val="BodyText"/>
      </w:pPr>
      <w:r>
        <w:t>A great DAIP demonstrates its workability</w:t>
      </w:r>
      <w:r w:rsidR="007C4354">
        <w:t xml:space="preserve">. This includes key </w:t>
      </w:r>
      <w:r w:rsidR="00E1427B">
        <w:t>priorit</w:t>
      </w:r>
      <w:r w:rsidR="00C06278">
        <w:t>ies</w:t>
      </w:r>
      <w:r w:rsidR="00D819FE">
        <w:t xml:space="preserve"> articulated as</w:t>
      </w:r>
      <w:r w:rsidR="00C06278">
        <w:t xml:space="preserve"> strategies and actions</w:t>
      </w:r>
      <w:r w:rsidR="005418F0">
        <w:t xml:space="preserve">, allocation of </w:t>
      </w:r>
      <w:r w:rsidR="00D819FE">
        <w:t xml:space="preserve">delivery </w:t>
      </w:r>
      <w:r w:rsidR="005418F0">
        <w:t>timelines</w:t>
      </w:r>
      <w:r w:rsidR="009253BF">
        <w:t>, and success indicators</w:t>
      </w:r>
      <w:r w:rsidR="00F83505">
        <w:t>.</w:t>
      </w:r>
    </w:p>
    <w:p w14:paraId="1FAF5D0D" w14:textId="77777777" w:rsidR="00384EEF" w:rsidRDefault="00384EEF" w:rsidP="00384EEF">
      <w:pPr>
        <w:spacing w:after="0" w:line="240" w:lineRule="auto"/>
      </w:pPr>
    </w:p>
    <w:tbl>
      <w:tblPr>
        <w:tblStyle w:val="TableGrid"/>
        <w:tblW w:w="9776" w:type="dxa"/>
        <w:tblLook w:val="04A0" w:firstRow="1" w:lastRow="0" w:firstColumn="1" w:lastColumn="0" w:noHBand="0" w:noVBand="1"/>
        <w:tblCaption w:val="DAIP Content, what to include and description"/>
      </w:tblPr>
      <w:tblGrid>
        <w:gridCol w:w="2972"/>
        <w:gridCol w:w="6804"/>
      </w:tblGrid>
      <w:tr w:rsidR="00384EEF" w:rsidRPr="00784709" w14:paraId="47C9E5D6" w14:textId="77777777" w:rsidTr="004E2B9D">
        <w:tc>
          <w:tcPr>
            <w:tcW w:w="2972" w:type="dxa"/>
            <w:vAlign w:val="center"/>
          </w:tcPr>
          <w:p w14:paraId="25916BD4" w14:textId="77777777" w:rsidR="00384EEF" w:rsidRPr="00784709" w:rsidRDefault="00384EEF" w:rsidP="004E2B9D">
            <w:pPr>
              <w:pStyle w:val="TableCaption"/>
              <w:spacing w:before="80" w:after="80"/>
              <w:ind w:left="227" w:right="227"/>
              <w:rPr>
                <w:szCs w:val="24"/>
              </w:rPr>
            </w:pPr>
            <w:r>
              <w:t>What to include</w:t>
            </w:r>
          </w:p>
        </w:tc>
        <w:tc>
          <w:tcPr>
            <w:tcW w:w="6804" w:type="dxa"/>
            <w:vAlign w:val="center"/>
          </w:tcPr>
          <w:p w14:paraId="56E26F05" w14:textId="77777777" w:rsidR="00384EEF" w:rsidRPr="00784709" w:rsidRDefault="00384EEF" w:rsidP="004E2B9D">
            <w:pPr>
              <w:pStyle w:val="TableCaption"/>
              <w:spacing w:before="80" w:after="80"/>
              <w:ind w:left="227" w:right="227"/>
              <w:rPr>
                <w:szCs w:val="24"/>
              </w:rPr>
            </w:pPr>
            <w:r>
              <w:t>Description</w:t>
            </w:r>
          </w:p>
        </w:tc>
      </w:tr>
      <w:tr w:rsidR="00384EEF" w:rsidRPr="00784709" w14:paraId="4059986E" w14:textId="77777777" w:rsidTr="004E2B9D">
        <w:tc>
          <w:tcPr>
            <w:tcW w:w="2972" w:type="dxa"/>
            <w:vAlign w:val="center"/>
          </w:tcPr>
          <w:p w14:paraId="27832679" w14:textId="5F2AB7B1" w:rsidR="00384EEF" w:rsidRPr="00784709" w:rsidRDefault="007C5116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Organisation overview</w:t>
            </w:r>
          </w:p>
        </w:tc>
        <w:tc>
          <w:tcPr>
            <w:tcW w:w="6804" w:type="dxa"/>
            <w:vAlign w:val="center"/>
          </w:tcPr>
          <w:p w14:paraId="6D67C0BA" w14:textId="50C81E67" w:rsidR="00384EEF" w:rsidRPr="00784709" w:rsidRDefault="002A50E3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Summary of </w:t>
            </w:r>
            <w:r w:rsidR="009573E2">
              <w:rPr>
                <w:rFonts w:cs="Arial"/>
                <w:sz w:val="24"/>
              </w:rPr>
              <w:t>public authority</w:t>
            </w:r>
            <w:r w:rsidR="005305B5">
              <w:rPr>
                <w:rFonts w:cs="Arial"/>
                <w:sz w:val="24"/>
              </w:rPr>
              <w:t xml:space="preserve"> </w:t>
            </w:r>
            <w:r w:rsidR="00FD06CA">
              <w:rPr>
                <w:rFonts w:cs="Arial"/>
                <w:sz w:val="24"/>
              </w:rPr>
              <w:t>that</w:t>
            </w:r>
            <w:r w:rsidR="005305B5">
              <w:rPr>
                <w:rFonts w:cs="Arial"/>
                <w:sz w:val="24"/>
              </w:rPr>
              <w:t xml:space="preserve"> may include vision, mission, community profile, </w:t>
            </w:r>
            <w:r w:rsidR="006E4E90">
              <w:rPr>
                <w:rFonts w:cs="Arial"/>
                <w:sz w:val="24"/>
              </w:rPr>
              <w:t xml:space="preserve">and </w:t>
            </w:r>
            <w:r w:rsidR="00D3024E">
              <w:rPr>
                <w:rFonts w:cs="Arial"/>
                <w:sz w:val="24"/>
              </w:rPr>
              <w:t xml:space="preserve">relevant </w:t>
            </w:r>
            <w:r w:rsidR="006E4E90">
              <w:rPr>
                <w:rFonts w:cs="Arial"/>
                <w:sz w:val="24"/>
              </w:rPr>
              <w:t>working groups.</w:t>
            </w:r>
          </w:p>
        </w:tc>
      </w:tr>
      <w:tr w:rsidR="00384EEF" w:rsidRPr="00784709" w14:paraId="4001C07D" w14:textId="77777777" w:rsidTr="004E2B9D">
        <w:tc>
          <w:tcPr>
            <w:tcW w:w="2972" w:type="dxa"/>
            <w:vAlign w:val="center"/>
          </w:tcPr>
          <w:p w14:paraId="48398D5A" w14:textId="77777777" w:rsidR="00384EEF" w:rsidRPr="00784709" w:rsidRDefault="00384EEF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 w:rsidRPr="00784709">
              <w:rPr>
                <w:rFonts w:cs="Arial"/>
                <w:sz w:val="24"/>
              </w:rPr>
              <w:t>Policy statement</w:t>
            </w:r>
          </w:p>
        </w:tc>
        <w:tc>
          <w:tcPr>
            <w:tcW w:w="6804" w:type="dxa"/>
            <w:vAlign w:val="center"/>
          </w:tcPr>
          <w:p w14:paraId="62F083EB" w14:textId="68F9E991" w:rsidR="00384EEF" w:rsidRPr="00784709" w:rsidRDefault="004A07A7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</w:t>
            </w:r>
            <w:r w:rsidR="009F566A">
              <w:rPr>
                <w:rFonts w:cs="Arial"/>
                <w:sz w:val="24"/>
              </w:rPr>
              <w:t>ommitment</w:t>
            </w:r>
            <w:r w:rsidR="00384EEF" w:rsidRPr="00784709">
              <w:rPr>
                <w:rFonts w:cs="Arial"/>
                <w:sz w:val="24"/>
              </w:rPr>
              <w:t xml:space="preserve"> to </w:t>
            </w:r>
            <w:r w:rsidR="00064A56">
              <w:rPr>
                <w:rFonts w:cs="Arial"/>
                <w:sz w:val="24"/>
              </w:rPr>
              <w:t xml:space="preserve">access and inclusion </w:t>
            </w:r>
            <w:r w:rsidR="00A67694">
              <w:rPr>
                <w:rFonts w:cs="Arial"/>
                <w:sz w:val="24"/>
              </w:rPr>
              <w:t xml:space="preserve">for people with disability, </w:t>
            </w:r>
            <w:r w:rsidR="001D61DE">
              <w:rPr>
                <w:rFonts w:cs="Arial"/>
                <w:sz w:val="24"/>
              </w:rPr>
              <w:t>and those who share their lives</w:t>
            </w:r>
            <w:r w:rsidR="00A67694">
              <w:rPr>
                <w:rFonts w:cs="Arial"/>
                <w:sz w:val="24"/>
              </w:rPr>
              <w:t>.</w:t>
            </w:r>
          </w:p>
        </w:tc>
      </w:tr>
      <w:tr w:rsidR="00384EEF" w:rsidRPr="00784709" w14:paraId="3AB7365A" w14:textId="77777777" w:rsidTr="004E2B9D">
        <w:tc>
          <w:tcPr>
            <w:tcW w:w="2972" w:type="dxa"/>
            <w:vAlign w:val="center"/>
          </w:tcPr>
          <w:p w14:paraId="1E424764" w14:textId="77777777" w:rsidR="00384EEF" w:rsidRPr="00784709" w:rsidRDefault="00384EEF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Strategic alignment</w:t>
            </w:r>
          </w:p>
        </w:tc>
        <w:tc>
          <w:tcPr>
            <w:tcW w:w="6804" w:type="dxa"/>
            <w:vAlign w:val="center"/>
          </w:tcPr>
          <w:p w14:paraId="6FB981D8" w14:textId="23455A61" w:rsidR="00384EEF" w:rsidRPr="00784709" w:rsidRDefault="00384EEF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DAIP’s relationship with </w:t>
            </w:r>
            <w:r w:rsidR="0018022C">
              <w:rPr>
                <w:rFonts w:cs="Arial"/>
                <w:sz w:val="24"/>
              </w:rPr>
              <w:t>other organisational plan</w:t>
            </w:r>
            <w:r w:rsidR="001349AE">
              <w:rPr>
                <w:rFonts w:cs="Arial"/>
                <w:sz w:val="24"/>
              </w:rPr>
              <w:t>s</w:t>
            </w:r>
            <w:r w:rsidR="009C3E9D">
              <w:rPr>
                <w:rFonts w:cs="Arial"/>
                <w:sz w:val="24"/>
              </w:rPr>
              <w:t xml:space="preserve"> (</w:t>
            </w:r>
            <w:r w:rsidR="00D3024E">
              <w:rPr>
                <w:rFonts w:cs="Arial"/>
                <w:sz w:val="24"/>
              </w:rPr>
              <w:t>Corporate Plan</w:t>
            </w:r>
            <w:r w:rsidR="009C3E9D">
              <w:rPr>
                <w:rFonts w:cs="Arial"/>
                <w:sz w:val="24"/>
              </w:rPr>
              <w:t xml:space="preserve">, </w:t>
            </w:r>
            <w:r w:rsidR="001349AE">
              <w:rPr>
                <w:rFonts w:cs="Arial"/>
                <w:sz w:val="24"/>
              </w:rPr>
              <w:t>Community Strategic Plan</w:t>
            </w:r>
            <w:r w:rsidR="00FD06CA">
              <w:rPr>
                <w:rFonts w:cs="Arial"/>
                <w:sz w:val="24"/>
              </w:rPr>
              <w:t>, etc</w:t>
            </w:r>
            <w:r w:rsidR="009C3E9D">
              <w:rPr>
                <w:rFonts w:cs="Arial"/>
                <w:sz w:val="24"/>
              </w:rPr>
              <w:t>), A Western Australia for Everyone: State Disability Strategy 2020-2030</w:t>
            </w:r>
            <w:r w:rsidR="00BF7E52">
              <w:rPr>
                <w:rFonts w:cs="Arial"/>
                <w:sz w:val="24"/>
              </w:rPr>
              <w:t xml:space="preserve"> and </w:t>
            </w:r>
            <w:r w:rsidR="009C3E9D">
              <w:rPr>
                <w:rFonts w:cs="Arial"/>
                <w:sz w:val="24"/>
              </w:rPr>
              <w:t>Australia’s Disability Strategy</w:t>
            </w:r>
            <w:r w:rsidR="0091481A">
              <w:rPr>
                <w:rFonts w:cs="Arial"/>
                <w:sz w:val="24"/>
              </w:rPr>
              <w:t xml:space="preserve"> 2021-2031.</w:t>
            </w:r>
          </w:p>
        </w:tc>
      </w:tr>
      <w:tr w:rsidR="00384EEF" w:rsidRPr="00784709" w14:paraId="76F9878F" w14:textId="77777777" w:rsidTr="004E2B9D">
        <w:tc>
          <w:tcPr>
            <w:tcW w:w="2972" w:type="dxa"/>
            <w:vAlign w:val="center"/>
          </w:tcPr>
          <w:p w14:paraId="21ACF057" w14:textId="7D7F028A" w:rsidR="00384EEF" w:rsidRPr="00784709" w:rsidRDefault="005407E7" w:rsidP="004E2B9D">
            <w:pPr>
              <w:spacing w:before="80" w:after="80"/>
              <w:ind w:left="227" w:right="227"/>
              <w:rPr>
                <w:rFonts w:cs="Arial"/>
              </w:rPr>
            </w:pPr>
            <w:r w:rsidRPr="005407E7">
              <w:rPr>
                <w:rFonts w:cs="Arial"/>
                <w:sz w:val="24"/>
              </w:rPr>
              <w:t>Achievements</w:t>
            </w:r>
          </w:p>
        </w:tc>
        <w:tc>
          <w:tcPr>
            <w:tcW w:w="6804" w:type="dxa"/>
            <w:vAlign w:val="center"/>
          </w:tcPr>
          <w:p w14:paraId="028D04B0" w14:textId="3EE25FEA" w:rsidR="00384EEF" w:rsidRPr="00784709" w:rsidRDefault="00384EEF" w:rsidP="004E2B9D">
            <w:pPr>
              <w:spacing w:before="80" w:after="80"/>
              <w:ind w:left="227" w:right="227"/>
              <w:rPr>
                <w:rFonts w:cs="Arial"/>
              </w:rPr>
            </w:pPr>
            <w:r w:rsidRPr="00784709">
              <w:rPr>
                <w:rFonts w:cs="Arial"/>
                <w:sz w:val="24"/>
              </w:rPr>
              <w:t>O</w:t>
            </w:r>
            <w:r w:rsidR="00FD06CA">
              <w:rPr>
                <w:rFonts w:cs="Arial"/>
                <w:sz w:val="24"/>
              </w:rPr>
              <w:t xml:space="preserve">verview of </w:t>
            </w:r>
            <w:r w:rsidRPr="00784709">
              <w:rPr>
                <w:rFonts w:cs="Arial"/>
                <w:sz w:val="24"/>
              </w:rPr>
              <w:t xml:space="preserve">previous </w:t>
            </w:r>
            <w:r w:rsidR="005407E7">
              <w:rPr>
                <w:rFonts w:cs="Arial"/>
                <w:sz w:val="24"/>
              </w:rPr>
              <w:t xml:space="preserve">access and inclusion </w:t>
            </w:r>
            <w:r w:rsidRPr="00784709">
              <w:rPr>
                <w:rFonts w:cs="Arial"/>
                <w:sz w:val="24"/>
              </w:rPr>
              <w:t>achievements</w:t>
            </w:r>
            <w:r w:rsidR="00D074BD">
              <w:rPr>
                <w:rFonts w:cs="Arial"/>
                <w:sz w:val="24"/>
              </w:rPr>
              <w:t>.</w:t>
            </w:r>
          </w:p>
        </w:tc>
      </w:tr>
      <w:tr w:rsidR="00384EEF" w:rsidRPr="00784709" w14:paraId="3943A93F" w14:textId="77777777" w:rsidTr="004E2B9D">
        <w:tc>
          <w:tcPr>
            <w:tcW w:w="2972" w:type="dxa"/>
            <w:vAlign w:val="center"/>
          </w:tcPr>
          <w:p w14:paraId="5DD27EEC" w14:textId="37A79F61" w:rsidR="00384EEF" w:rsidRPr="00784709" w:rsidRDefault="00EC480D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Community Engagement and consultation</w:t>
            </w:r>
          </w:p>
        </w:tc>
        <w:tc>
          <w:tcPr>
            <w:tcW w:w="6804" w:type="dxa"/>
            <w:vAlign w:val="center"/>
          </w:tcPr>
          <w:p w14:paraId="6F5C0BF5" w14:textId="4DE23A86" w:rsidR="00384EEF" w:rsidRPr="00784709" w:rsidRDefault="000E0471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 w:rsidRPr="00C94AAA">
              <w:rPr>
                <w:rFonts w:cs="Arial"/>
                <w:sz w:val="24"/>
              </w:rPr>
              <w:t>Summary of</w:t>
            </w:r>
            <w:r w:rsidR="00EC480D">
              <w:rPr>
                <w:rFonts w:cs="Arial"/>
                <w:sz w:val="24"/>
              </w:rPr>
              <w:t xml:space="preserve"> engagement and</w:t>
            </w:r>
            <w:r w:rsidRPr="00C94AAA">
              <w:rPr>
                <w:rFonts w:cs="Arial"/>
                <w:sz w:val="24"/>
              </w:rPr>
              <w:t xml:space="preserve"> consultation undertaken</w:t>
            </w:r>
            <w:r w:rsidR="00EC480D">
              <w:rPr>
                <w:rFonts w:cs="Arial"/>
                <w:sz w:val="24"/>
              </w:rPr>
              <w:t xml:space="preserve">, </w:t>
            </w:r>
            <w:r w:rsidR="00C94AAA" w:rsidRPr="00C94AAA">
              <w:rPr>
                <w:rFonts w:cs="Arial"/>
                <w:sz w:val="24"/>
              </w:rPr>
              <w:t>how it was promoted</w:t>
            </w:r>
            <w:r w:rsidR="00444662">
              <w:rPr>
                <w:rFonts w:cs="Arial"/>
                <w:sz w:val="24"/>
              </w:rPr>
              <w:t>, and the findings.</w:t>
            </w:r>
          </w:p>
        </w:tc>
      </w:tr>
      <w:tr w:rsidR="00384EEF" w:rsidRPr="00784709" w14:paraId="17632EEC" w14:textId="77777777" w:rsidTr="004E2B9D">
        <w:tc>
          <w:tcPr>
            <w:tcW w:w="2972" w:type="dxa"/>
            <w:vAlign w:val="center"/>
          </w:tcPr>
          <w:p w14:paraId="03F83848" w14:textId="77777777" w:rsidR="00384EEF" w:rsidRPr="00784709" w:rsidRDefault="00384EEF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 w:rsidRPr="00784709">
              <w:rPr>
                <w:rFonts w:cs="Arial"/>
                <w:sz w:val="24"/>
              </w:rPr>
              <w:t>DAIP outcomes</w:t>
            </w:r>
          </w:p>
        </w:tc>
        <w:tc>
          <w:tcPr>
            <w:tcW w:w="6804" w:type="dxa"/>
            <w:vAlign w:val="center"/>
          </w:tcPr>
          <w:p w14:paraId="6493DBC6" w14:textId="2236D33B" w:rsidR="00384EEF" w:rsidRPr="00784709" w:rsidRDefault="00FD06CA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Strategies and actions for implementation to progress the seven DAIP outcomes.</w:t>
            </w:r>
          </w:p>
        </w:tc>
      </w:tr>
      <w:tr w:rsidR="00384EEF" w:rsidRPr="00784709" w14:paraId="0CBEE237" w14:textId="77777777" w:rsidTr="004E2B9D">
        <w:tc>
          <w:tcPr>
            <w:tcW w:w="2972" w:type="dxa"/>
            <w:vAlign w:val="center"/>
          </w:tcPr>
          <w:p w14:paraId="530BCE1A" w14:textId="77777777" w:rsidR="00384EEF" w:rsidRPr="00784709" w:rsidRDefault="00384EEF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 w:rsidRPr="00784709">
              <w:rPr>
                <w:rFonts w:cs="Arial"/>
                <w:sz w:val="24"/>
              </w:rPr>
              <w:t>Timeline</w:t>
            </w:r>
          </w:p>
        </w:tc>
        <w:tc>
          <w:tcPr>
            <w:tcW w:w="6804" w:type="dxa"/>
            <w:vAlign w:val="center"/>
          </w:tcPr>
          <w:p w14:paraId="06EEA865" w14:textId="7F9DF364" w:rsidR="00384EEF" w:rsidRPr="00784709" w:rsidRDefault="00A74AB1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When</w:t>
            </w:r>
            <w:r w:rsidR="00384EEF" w:rsidRPr="00784709">
              <w:rPr>
                <w:rFonts w:cs="Arial"/>
                <w:sz w:val="24"/>
              </w:rPr>
              <w:t xml:space="preserve"> </w:t>
            </w:r>
            <w:r w:rsidR="00FD06CA">
              <w:rPr>
                <w:rFonts w:cs="Arial"/>
                <w:sz w:val="24"/>
              </w:rPr>
              <w:t xml:space="preserve">the </w:t>
            </w:r>
            <w:r w:rsidR="00384EEF" w:rsidRPr="00784709">
              <w:rPr>
                <w:rFonts w:cs="Arial"/>
                <w:sz w:val="24"/>
              </w:rPr>
              <w:t>strategies</w:t>
            </w:r>
            <w:r>
              <w:rPr>
                <w:rFonts w:cs="Arial"/>
                <w:sz w:val="24"/>
              </w:rPr>
              <w:t xml:space="preserve"> and actions will be achieved.</w:t>
            </w:r>
          </w:p>
        </w:tc>
      </w:tr>
      <w:tr w:rsidR="00384EEF" w:rsidRPr="00784709" w14:paraId="07031565" w14:textId="77777777" w:rsidTr="004E2B9D">
        <w:tc>
          <w:tcPr>
            <w:tcW w:w="2972" w:type="dxa"/>
            <w:vAlign w:val="center"/>
          </w:tcPr>
          <w:p w14:paraId="11F92250" w14:textId="77777777" w:rsidR="00384EEF" w:rsidRPr="00784709" w:rsidRDefault="00384EEF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 w:rsidRPr="00784709">
              <w:rPr>
                <w:rFonts w:cs="Arial"/>
                <w:sz w:val="24"/>
              </w:rPr>
              <w:t>Promotion</w:t>
            </w:r>
          </w:p>
        </w:tc>
        <w:tc>
          <w:tcPr>
            <w:tcW w:w="6804" w:type="dxa"/>
            <w:vAlign w:val="center"/>
          </w:tcPr>
          <w:p w14:paraId="1DA611BC" w14:textId="1468E4F4" w:rsidR="00384EEF" w:rsidRPr="00784709" w:rsidRDefault="002E73DF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How the DAIP will be promoted t</w:t>
            </w:r>
            <w:r w:rsidR="00FD06CA">
              <w:rPr>
                <w:rFonts w:cs="Arial"/>
                <w:sz w:val="24"/>
              </w:rPr>
              <w:t>o</w:t>
            </w:r>
            <w:r w:rsidR="001229A4">
              <w:rPr>
                <w:rFonts w:cs="Arial"/>
                <w:sz w:val="24"/>
              </w:rPr>
              <w:t xml:space="preserve"> service users and broader community.</w:t>
            </w:r>
          </w:p>
        </w:tc>
      </w:tr>
      <w:tr w:rsidR="00384EEF" w:rsidRPr="00784709" w14:paraId="25B132CA" w14:textId="77777777" w:rsidTr="004E2B9D">
        <w:tc>
          <w:tcPr>
            <w:tcW w:w="2972" w:type="dxa"/>
            <w:vAlign w:val="center"/>
          </w:tcPr>
          <w:p w14:paraId="1C586ABB" w14:textId="6CFF0640" w:rsidR="00384EEF" w:rsidRPr="00784709" w:rsidRDefault="00384EEF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 w:rsidRPr="00784709">
              <w:rPr>
                <w:rFonts w:cs="Arial"/>
                <w:sz w:val="24"/>
              </w:rPr>
              <w:t>Alternat</w:t>
            </w:r>
            <w:r w:rsidR="00413056">
              <w:rPr>
                <w:rFonts w:cs="Arial"/>
                <w:sz w:val="24"/>
              </w:rPr>
              <w:t>ive</w:t>
            </w:r>
            <w:r w:rsidRPr="00784709">
              <w:rPr>
                <w:rFonts w:cs="Arial"/>
                <w:sz w:val="24"/>
              </w:rPr>
              <w:t xml:space="preserve"> formats</w:t>
            </w:r>
          </w:p>
        </w:tc>
        <w:tc>
          <w:tcPr>
            <w:tcW w:w="6804" w:type="dxa"/>
            <w:vAlign w:val="center"/>
          </w:tcPr>
          <w:p w14:paraId="070353C4" w14:textId="038458AC" w:rsidR="00384EEF" w:rsidRPr="00784709" w:rsidRDefault="00384EEF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 w:rsidRPr="00FC279A">
              <w:rPr>
                <w:rFonts w:cs="Arial"/>
                <w:sz w:val="24"/>
              </w:rPr>
              <w:t xml:space="preserve">Statement confirming the DAIP will be made available in alternative formats and </w:t>
            </w:r>
            <w:r w:rsidR="00FD06CA">
              <w:rPr>
                <w:rFonts w:cs="Arial"/>
                <w:sz w:val="24"/>
              </w:rPr>
              <w:t xml:space="preserve">where to access further </w:t>
            </w:r>
            <w:r w:rsidRPr="00FC279A">
              <w:rPr>
                <w:rFonts w:cs="Arial"/>
                <w:sz w:val="24"/>
              </w:rPr>
              <w:t>assistance</w:t>
            </w:r>
            <w:r w:rsidR="00D074BD" w:rsidRPr="00FC279A">
              <w:rPr>
                <w:rFonts w:cs="Arial"/>
                <w:sz w:val="24"/>
              </w:rPr>
              <w:t>.</w:t>
            </w:r>
          </w:p>
        </w:tc>
      </w:tr>
      <w:tr w:rsidR="00384EEF" w:rsidRPr="00784709" w14:paraId="3CEFFC07" w14:textId="77777777" w:rsidTr="004E2B9D">
        <w:tc>
          <w:tcPr>
            <w:tcW w:w="2972" w:type="dxa"/>
            <w:vAlign w:val="center"/>
          </w:tcPr>
          <w:p w14:paraId="2F2C01CE" w14:textId="77777777" w:rsidR="00384EEF" w:rsidRPr="00784709" w:rsidRDefault="00384EEF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 w:rsidRPr="00784709">
              <w:rPr>
                <w:rFonts w:cs="Arial"/>
                <w:sz w:val="24"/>
              </w:rPr>
              <w:t>Policy for agents and contractors</w:t>
            </w:r>
          </w:p>
        </w:tc>
        <w:tc>
          <w:tcPr>
            <w:tcW w:w="6804" w:type="dxa"/>
            <w:vAlign w:val="center"/>
          </w:tcPr>
          <w:p w14:paraId="464E17B3" w14:textId="3FA4273C" w:rsidR="00384EEF" w:rsidRPr="004C66F9" w:rsidRDefault="00CC5A50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 w:rsidRPr="004C66F9">
              <w:rPr>
                <w:rFonts w:eastAsia="Times New Roman"/>
                <w:sz w:val="24"/>
              </w:rPr>
              <w:t xml:space="preserve">Statement </w:t>
            </w:r>
            <w:r w:rsidR="00FD06CA">
              <w:rPr>
                <w:rFonts w:eastAsia="Times New Roman"/>
                <w:sz w:val="24"/>
              </w:rPr>
              <w:t xml:space="preserve">on </w:t>
            </w:r>
            <w:r w:rsidR="004C66F9" w:rsidRPr="004C66F9">
              <w:rPr>
                <w:rFonts w:eastAsia="Times New Roman"/>
                <w:sz w:val="24"/>
              </w:rPr>
              <w:t>how</w:t>
            </w:r>
            <w:r w:rsidRPr="004C66F9">
              <w:rPr>
                <w:rFonts w:eastAsia="Times New Roman"/>
                <w:sz w:val="24"/>
              </w:rPr>
              <w:t xml:space="preserve"> agents and contractors </w:t>
            </w:r>
            <w:r w:rsidR="004C66F9" w:rsidRPr="004C66F9">
              <w:rPr>
                <w:rFonts w:eastAsia="Times New Roman"/>
                <w:sz w:val="24"/>
              </w:rPr>
              <w:t xml:space="preserve">will be informed of the DAIP and their responsibilities. </w:t>
            </w:r>
          </w:p>
        </w:tc>
      </w:tr>
      <w:tr w:rsidR="00640208" w:rsidRPr="00784709" w14:paraId="738EA09C" w14:textId="77777777" w:rsidTr="004E2B9D">
        <w:tc>
          <w:tcPr>
            <w:tcW w:w="2972" w:type="dxa"/>
            <w:vAlign w:val="center"/>
          </w:tcPr>
          <w:p w14:paraId="1A08D50B" w14:textId="195813DD" w:rsidR="00640208" w:rsidRPr="00784709" w:rsidRDefault="00640208" w:rsidP="004E2B9D">
            <w:pPr>
              <w:spacing w:before="80" w:after="80"/>
              <w:ind w:left="227" w:right="227"/>
              <w:rPr>
                <w:rFonts w:cs="Arial"/>
              </w:rPr>
            </w:pPr>
            <w:r w:rsidRPr="00784709">
              <w:rPr>
                <w:rFonts w:cs="Arial"/>
                <w:sz w:val="24"/>
              </w:rPr>
              <w:t xml:space="preserve">Reporting </w:t>
            </w:r>
          </w:p>
        </w:tc>
        <w:tc>
          <w:tcPr>
            <w:tcW w:w="6804" w:type="dxa"/>
            <w:vAlign w:val="center"/>
          </w:tcPr>
          <w:p w14:paraId="5FE1C6A5" w14:textId="5FF618B2" w:rsidR="00640208" w:rsidRPr="00784709" w:rsidRDefault="00FD06CA" w:rsidP="004E2B9D">
            <w:pPr>
              <w:spacing w:before="80" w:after="80"/>
              <w:ind w:left="227" w:right="227"/>
              <w:rPr>
                <w:rFonts w:cs="Arial"/>
              </w:rPr>
            </w:pPr>
            <w:r>
              <w:rPr>
                <w:rFonts w:cs="Arial"/>
                <w:sz w:val="24"/>
              </w:rPr>
              <w:t>Summary of annual DAIP reporting requirements.</w:t>
            </w:r>
          </w:p>
        </w:tc>
      </w:tr>
      <w:tr w:rsidR="00640208" w:rsidRPr="00784709" w14:paraId="67E352E6" w14:textId="77777777" w:rsidTr="004E2B9D">
        <w:tc>
          <w:tcPr>
            <w:tcW w:w="2972" w:type="dxa"/>
            <w:vAlign w:val="center"/>
          </w:tcPr>
          <w:p w14:paraId="5DA475C1" w14:textId="77777777" w:rsidR="00640208" w:rsidRPr="00784709" w:rsidRDefault="00640208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 w:rsidRPr="00784709">
              <w:rPr>
                <w:rFonts w:cs="Arial"/>
                <w:sz w:val="24"/>
              </w:rPr>
              <w:t>Evaluation</w:t>
            </w:r>
          </w:p>
        </w:tc>
        <w:tc>
          <w:tcPr>
            <w:tcW w:w="6804" w:type="dxa"/>
            <w:vAlign w:val="center"/>
          </w:tcPr>
          <w:p w14:paraId="09464575" w14:textId="029E5106" w:rsidR="00640208" w:rsidRPr="00784709" w:rsidRDefault="00640208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 w:rsidRPr="00784709">
              <w:rPr>
                <w:rFonts w:cs="Arial"/>
                <w:sz w:val="24"/>
              </w:rPr>
              <w:t>Outline</w:t>
            </w:r>
            <w:r w:rsidR="00FD06CA">
              <w:rPr>
                <w:rFonts w:cs="Arial"/>
                <w:sz w:val="24"/>
              </w:rPr>
              <w:t xml:space="preserve"> of</w:t>
            </w:r>
            <w:r w:rsidRPr="00784709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how the DAIP strategies</w:t>
            </w:r>
            <w:r w:rsidR="00F468DD">
              <w:rPr>
                <w:rFonts w:cs="Arial"/>
                <w:sz w:val="24"/>
              </w:rPr>
              <w:t xml:space="preserve"> and </w:t>
            </w:r>
            <w:r>
              <w:rPr>
                <w:rFonts w:cs="Arial"/>
                <w:sz w:val="24"/>
              </w:rPr>
              <w:t xml:space="preserve">actions will be measured and </w:t>
            </w:r>
            <w:r w:rsidR="00956D01">
              <w:rPr>
                <w:rFonts w:cs="Arial"/>
                <w:sz w:val="24"/>
              </w:rPr>
              <w:t>monitored.</w:t>
            </w:r>
          </w:p>
        </w:tc>
      </w:tr>
      <w:tr w:rsidR="00640208" w:rsidRPr="00784709" w14:paraId="2D2F9486" w14:textId="77777777" w:rsidTr="004E2B9D">
        <w:tc>
          <w:tcPr>
            <w:tcW w:w="2972" w:type="dxa"/>
            <w:vAlign w:val="center"/>
          </w:tcPr>
          <w:p w14:paraId="16F020A4" w14:textId="77777777" w:rsidR="00640208" w:rsidRPr="00784709" w:rsidRDefault="00640208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 w:rsidRPr="00784709">
              <w:rPr>
                <w:rFonts w:cs="Arial"/>
                <w:sz w:val="24"/>
              </w:rPr>
              <w:t>Feedback</w:t>
            </w:r>
          </w:p>
        </w:tc>
        <w:tc>
          <w:tcPr>
            <w:tcW w:w="6804" w:type="dxa"/>
            <w:vAlign w:val="center"/>
          </w:tcPr>
          <w:p w14:paraId="1520FA50" w14:textId="525A59F8" w:rsidR="00640208" w:rsidRPr="00784709" w:rsidRDefault="00640208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</w:t>
            </w:r>
            <w:r w:rsidRPr="00784709">
              <w:rPr>
                <w:rFonts w:cs="Arial"/>
                <w:sz w:val="24"/>
              </w:rPr>
              <w:t xml:space="preserve">ow people with disability </w:t>
            </w:r>
            <w:r>
              <w:rPr>
                <w:rFonts w:cs="Arial"/>
                <w:sz w:val="24"/>
              </w:rPr>
              <w:t xml:space="preserve">and other stakeholders </w:t>
            </w:r>
            <w:r w:rsidRPr="00784709">
              <w:rPr>
                <w:rFonts w:cs="Arial"/>
                <w:sz w:val="24"/>
              </w:rPr>
              <w:t>can provide feedback</w:t>
            </w:r>
            <w:r>
              <w:rPr>
                <w:rFonts w:cs="Arial"/>
                <w:sz w:val="24"/>
              </w:rPr>
              <w:t>.</w:t>
            </w:r>
          </w:p>
        </w:tc>
      </w:tr>
      <w:tr w:rsidR="00640208" w:rsidRPr="00784709" w14:paraId="7D5FC8F5" w14:textId="77777777" w:rsidTr="004E2B9D">
        <w:tc>
          <w:tcPr>
            <w:tcW w:w="2972" w:type="dxa"/>
            <w:vAlign w:val="center"/>
          </w:tcPr>
          <w:p w14:paraId="15619AC5" w14:textId="77777777" w:rsidR="00640208" w:rsidRPr="00784709" w:rsidRDefault="00640208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 w:rsidRPr="00784709">
              <w:rPr>
                <w:rFonts w:cs="Arial"/>
                <w:sz w:val="24"/>
              </w:rPr>
              <w:t>Review</w:t>
            </w:r>
          </w:p>
        </w:tc>
        <w:tc>
          <w:tcPr>
            <w:tcW w:w="6804" w:type="dxa"/>
            <w:vAlign w:val="center"/>
          </w:tcPr>
          <w:p w14:paraId="5C7B32FC" w14:textId="73C1A34B" w:rsidR="00640208" w:rsidRPr="00784709" w:rsidRDefault="00640208" w:rsidP="004E2B9D">
            <w:pPr>
              <w:spacing w:before="80" w:after="80"/>
              <w:ind w:left="227" w:right="227"/>
              <w:rPr>
                <w:rFonts w:cs="Arial"/>
                <w:sz w:val="24"/>
              </w:rPr>
            </w:pPr>
            <w:r w:rsidRPr="00784709">
              <w:rPr>
                <w:rFonts w:cs="Arial"/>
                <w:sz w:val="24"/>
              </w:rPr>
              <w:t xml:space="preserve">Statement confirming </w:t>
            </w:r>
            <w:r w:rsidR="007E08DB">
              <w:rPr>
                <w:rFonts w:cs="Arial"/>
                <w:sz w:val="24"/>
              </w:rPr>
              <w:t>when the DAIP will next be reviewed.</w:t>
            </w:r>
          </w:p>
        </w:tc>
      </w:tr>
      <w:bookmarkEnd w:id="0"/>
    </w:tbl>
    <w:p w14:paraId="5EF0983B" w14:textId="77777777" w:rsidR="00EB0021" w:rsidRDefault="00EB0021">
      <w:pPr>
        <w:spacing w:after="0" w:line="240" w:lineRule="auto"/>
        <w:rPr>
          <w:rFonts w:cs="Arial"/>
          <w:b/>
          <w:noProof/>
          <w:color w:val="2C5C86"/>
          <w:sz w:val="26"/>
          <w:lang w:eastAsia="en-AU"/>
        </w:rPr>
      </w:pPr>
      <w:r>
        <w:br w:type="page"/>
      </w:r>
    </w:p>
    <w:p w14:paraId="41D27A11" w14:textId="6420F1FE" w:rsidR="00235FC5" w:rsidRPr="00B35241" w:rsidRDefault="00235FC5" w:rsidP="00B35241">
      <w:pPr>
        <w:pStyle w:val="Heading4"/>
      </w:pPr>
      <w:bookmarkStart w:id="32" w:name="_Appendix_4:_Roles"/>
      <w:bookmarkStart w:id="33" w:name="_Toc194058763"/>
      <w:bookmarkEnd w:id="32"/>
      <w:r w:rsidRPr="00B35241">
        <w:lastRenderedPageBreak/>
        <w:t xml:space="preserve">Appendix 4: </w:t>
      </w:r>
      <w:r w:rsidR="00747B09" w:rsidRPr="00B35241">
        <w:t xml:space="preserve">Roles and </w:t>
      </w:r>
      <w:r w:rsidR="007559F0" w:rsidRPr="00B35241">
        <w:t>r</w:t>
      </w:r>
      <w:r w:rsidR="00747B09" w:rsidRPr="00B35241">
        <w:t>esponsibilities</w:t>
      </w:r>
      <w:bookmarkEnd w:id="33"/>
    </w:p>
    <w:p w14:paraId="1C3C64B5" w14:textId="77777777" w:rsidR="00747B09" w:rsidRDefault="00747B09" w:rsidP="00747B09">
      <w:pPr>
        <w:rPr>
          <w:lang w:eastAsia="en-AU"/>
        </w:rPr>
      </w:pPr>
    </w:p>
    <w:p w14:paraId="42373069" w14:textId="406B8FB7" w:rsidR="00747B09" w:rsidRPr="00747B09" w:rsidRDefault="00747B09" w:rsidP="00747B09">
      <w:pPr>
        <w:rPr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97544B5" wp14:editId="371CE09D">
                <wp:simplePos x="0" y="0"/>
                <wp:positionH relativeFrom="column">
                  <wp:posOffset>870585</wp:posOffset>
                </wp:positionH>
                <wp:positionV relativeFrom="paragraph">
                  <wp:posOffset>21590</wp:posOffset>
                </wp:positionV>
                <wp:extent cx="4457700" cy="1714500"/>
                <wp:effectExtent l="0" t="0" r="19050" b="1905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95DD6" w14:textId="0BB9F081" w:rsidR="00F40082" w:rsidRDefault="00F40082" w:rsidP="00EF55D6">
                            <w:pPr>
                              <w:pStyle w:val="TableCaption"/>
                              <w:jc w:val="center"/>
                            </w:pPr>
                            <w:r>
                              <w:t>Council</w:t>
                            </w:r>
                            <w:r w:rsidR="00387D57">
                              <w:t xml:space="preserve"> / </w:t>
                            </w:r>
                            <w:r>
                              <w:t>Director General</w:t>
                            </w:r>
                            <w:r w:rsidR="00387D57">
                              <w:t xml:space="preserve"> / </w:t>
                            </w:r>
                            <w:r w:rsidR="00886D42">
                              <w:t>CEO</w:t>
                            </w:r>
                          </w:p>
                          <w:p w14:paraId="27C9FDEB" w14:textId="7D755171" w:rsidR="00886D42" w:rsidRDefault="00C83053" w:rsidP="00C83053">
                            <w:r>
                              <w:t>Meeting legislative responsibilities includ</w:t>
                            </w:r>
                            <w:r w:rsidR="00DC7C8E">
                              <w:t>e</w:t>
                            </w:r>
                            <w:r>
                              <w:t>:</w:t>
                            </w:r>
                          </w:p>
                          <w:p w14:paraId="5F284179" w14:textId="6140414F" w:rsidR="00C83053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e</w:t>
                            </w:r>
                            <w:r w:rsidR="00C83053">
                              <w:t xml:space="preserve">nsuring a current DAIP </w:t>
                            </w:r>
                            <w:r w:rsidR="00E7645E">
                              <w:t xml:space="preserve">is </w:t>
                            </w:r>
                            <w:r w:rsidR="00C83053">
                              <w:t>in place</w:t>
                            </w:r>
                          </w:p>
                          <w:p w14:paraId="72D0477D" w14:textId="79166151" w:rsidR="00C83053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e</w:t>
                            </w:r>
                            <w:r w:rsidR="00C83053">
                              <w:t xml:space="preserve">nsuring </w:t>
                            </w:r>
                            <w:r w:rsidR="00E7645E">
                              <w:t>DAIP reporting requirements are being met</w:t>
                            </w:r>
                          </w:p>
                          <w:p w14:paraId="32A52EFD" w14:textId="6AA056A9" w:rsidR="00082AB9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f</w:t>
                            </w:r>
                            <w:r w:rsidR="00082AB9">
                              <w:t>inal endorsement of the DAIP</w:t>
                            </w:r>
                          </w:p>
                          <w:p w14:paraId="03351BD3" w14:textId="61A907B0" w:rsidR="00082AB9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f</w:t>
                            </w:r>
                            <w:r w:rsidR="00082AB9">
                              <w:t>inal endorsement of the DAIP Progress Report.</w:t>
                            </w:r>
                          </w:p>
                          <w:p w14:paraId="5266662B" w14:textId="77777777" w:rsidR="00C83053" w:rsidRDefault="00C83053" w:rsidP="00F40082">
                            <w:pPr>
                              <w:jc w:val="center"/>
                            </w:pPr>
                          </w:p>
                          <w:p w14:paraId="2CD83426" w14:textId="77777777" w:rsidR="00886D42" w:rsidRDefault="00886D42" w:rsidP="00F400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544B5" id="Rectangle 7" o:spid="_x0000_s1026" alt="&quot;&quot;" style="position:absolute;margin-left:68.55pt;margin-top:1.7pt;width:351pt;height:13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" fillcolor="white [3201]" strokecolor="#2c5c86 [3204]" strokeweight="2pt">
                <v:textbox>
                  <w:txbxContent>
                    <w:p w14:paraId="34B95DD6" w14:textId="0BB9F081" w:rsidR="00F40082" w:rsidRDefault="00F40082" w:rsidP="00EF55D6">
                      <w:pPr>
                        <w:pStyle w:val="TableCaption"/>
                        <w:jc w:val="center"/>
                      </w:pPr>
                      <w:r>
                        <w:t>Council</w:t>
                      </w:r>
                      <w:r w:rsidR="00387D57">
                        <w:t xml:space="preserve"> / </w:t>
                      </w:r>
                      <w:r>
                        <w:t>Director General</w:t>
                      </w:r>
                      <w:r w:rsidR="00387D57">
                        <w:t xml:space="preserve"> / </w:t>
                      </w:r>
                      <w:r w:rsidR="00886D42">
                        <w:t>CEO</w:t>
                      </w:r>
                    </w:p>
                    <w:p w14:paraId="27C9FDEB" w14:textId="7D755171" w:rsidR="00886D42" w:rsidRDefault="00C83053" w:rsidP="00C83053">
                      <w:r>
                        <w:t>Meeting legislative responsibilities includ</w:t>
                      </w:r>
                      <w:r w:rsidR="00DC7C8E">
                        <w:t>e</w:t>
                      </w:r>
                      <w:r>
                        <w:t>:</w:t>
                      </w:r>
                    </w:p>
                    <w:p w14:paraId="5F284179" w14:textId="6140414F" w:rsidR="00C83053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e</w:t>
                      </w:r>
                      <w:r w:rsidR="00C83053">
                        <w:t xml:space="preserve">nsuring a current DAIP </w:t>
                      </w:r>
                      <w:r w:rsidR="00E7645E">
                        <w:t xml:space="preserve">is </w:t>
                      </w:r>
                      <w:r w:rsidR="00C83053">
                        <w:t>in place</w:t>
                      </w:r>
                    </w:p>
                    <w:p w14:paraId="72D0477D" w14:textId="79166151" w:rsidR="00C83053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e</w:t>
                      </w:r>
                      <w:r w:rsidR="00C83053">
                        <w:t xml:space="preserve">nsuring </w:t>
                      </w:r>
                      <w:r w:rsidR="00E7645E">
                        <w:t>DAIP reporting requirements are being met</w:t>
                      </w:r>
                    </w:p>
                    <w:p w14:paraId="32A52EFD" w14:textId="6AA056A9" w:rsidR="00082AB9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f</w:t>
                      </w:r>
                      <w:r w:rsidR="00082AB9">
                        <w:t>inal endorsement of the DAIP</w:t>
                      </w:r>
                    </w:p>
                    <w:p w14:paraId="03351BD3" w14:textId="61A907B0" w:rsidR="00082AB9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f</w:t>
                      </w:r>
                      <w:r w:rsidR="00082AB9">
                        <w:t>inal endorsement of the DAIP Progress Report.</w:t>
                      </w:r>
                    </w:p>
                    <w:p w14:paraId="5266662B" w14:textId="77777777" w:rsidR="00C83053" w:rsidRDefault="00C83053" w:rsidP="00F40082">
                      <w:pPr>
                        <w:jc w:val="center"/>
                      </w:pPr>
                    </w:p>
                    <w:p w14:paraId="2CD83426" w14:textId="77777777" w:rsidR="00886D42" w:rsidRDefault="00886D42" w:rsidP="00F400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61A718" w14:textId="48330090" w:rsidR="00235FC5" w:rsidRDefault="00235FC5">
      <w:pPr>
        <w:spacing w:after="0" w:line="240" w:lineRule="auto"/>
        <w:rPr>
          <w:rFonts w:cs="Arial"/>
          <w:b/>
          <w:noProof/>
          <w:color w:val="2C5C86"/>
          <w:sz w:val="30"/>
          <w:szCs w:val="30"/>
          <w:lang w:eastAsia="en-AU"/>
        </w:rPr>
      </w:pPr>
    </w:p>
    <w:bookmarkStart w:id="34" w:name="_Toc167783532"/>
    <w:bookmarkStart w:id="35" w:name="_Toc167783558"/>
    <w:bookmarkStart w:id="36" w:name="_Toc168046703"/>
    <w:bookmarkStart w:id="37" w:name="_Toc168581026"/>
    <w:bookmarkStart w:id="38" w:name="_Toc169525005"/>
    <w:bookmarkStart w:id="39" w:name="_Toc170483806"/>
    <w:bookmarkStart w:id="40" w:name="_Toc180747540"/>
    <w:bookmarkStart w:id="41" w:name="_Toc180747646"/>
    <w:bookmarkStart w:id="42" w:name="_Toc194058764"/>
    <w:p w14:paraId="2F43A3DE" w14:textId="58D3754C" w:rsidR="00573FA5" w:rsidRPr="00857F23" w:rsidRDefault="00765DFA" w:rsidP="0028548D">
      <w:pPr>
        <w:pStyle w:val="Heading3"/>
      </w:pPr>
      <w: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498EE71" wp14:editId="7C12C766">
                <wp:simplePos x="0" y="0"/>
                <wp:positionH relativeFrom="column">
                  <wp:posOffset>4800600</wp:posOffset>
                </wp:positionH>
                <wp:positionV relativeFrom="paragraph">
                  <wp:posOffset>4371975</wp:posOffset>
                </wp:positionV>
                <wp:extent cx="0" cy="542925"/>
                <wp:effectExtent l="95250" t="38100" r="76200" b="85725"/>
                <wp:wrapNone/>
                <wp:docPr id="14" name="Straight Arrow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2C5C86"/>
                          </a:solidFill>
                          <a:prstDash val="solid"/>
                          <a:headEnd type="triangle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5547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alt="&quot;&quot;" style="position:absolute;margin-left:378pt;margin-top:344.25pt;width:0;height:42.7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" strokecolor="#2c5c86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2665840" wp14:editId="5538B8B4">
                <wp:simplePos x="0" y="0"/>
                <wp:positionH relativeFrom="column">
                  <wp:posOffset>1318260</wp:posOffset>
                </wp:positionH>
                <wp:positionV relativeFrom="paragraph">
                  <wp:posOffset>4384040</wp:posOffset>
                </wp:positionV>
                <wp:extent cx="0" cy="542925"/>
                <wp:effectExtent l="95250" t="38100" r="76200" b="85725"/>
                <wp:wrapNone/>
                <wp:docPr id="12" name="Straight Arrow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07B35" id="Straight Arrow Connector 12" o:spid="_x0000_s1026" type="#_x0000_t32" alt="&quot;&quot;" style="position:absolute;margin-left:103.8pt;margin-top:345.2pt;width:0;height:42.7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" strokecolor="#2c5c86 [3204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="002D5A8B"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E834D74" wp14:editId="31138742">
                <wp:simplePos x="0" y="0"/>
                <wp:positionH relativeFrom="column">
                  <wp:posOffset>2956560</wp:posOffset>
                </wp:positionH>
                <wp:positionV relativeFrom="paragraph">
                  <wp:posOffset>1221740</wp:posOffset>
                </wp:positionV>
                <wp:extent cx="0" cy="571500"/>
                <wp:effectExtent l="95250" t="38100" r="76200" b="95250"/>
                <wp:wrapNone/>
                <wp:docPr id="11" name="Straight Arrow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A0B56" id="Straight Arrow Connector 11" o:spid="_x0000_s1026" type="#_x0000_t32" alt="&quot;&quot;" style="position:absolute;margin-left:232.8pt;margin-top:96.2pt;width:0;height:4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" strokecolor="#2c5c86 [3204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="004D43D2"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BDA336D" wp14:editId="64C69373">
                <wp:simplePos x="0" y="0"/>
                <wp:positionH relativeFrom="margin">
                  <wp:posOffset>3449320</wp:posOffset>
                </wp:positionH>
                <wp:positionV relativeFrom="paragraph">
                  <wp:posOffset>4943475</wp:posOffset>
                </wp:positionV>
                <wp:extent cx="2647950" cy="2352675"/>
                <wp:effectExtent l="0" t="0" r="19050" b="2857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35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2C5C8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06FC27" w14:textId="2E10FF27" w:rsidR="005643DC" w:rsidRDefault="00DF0179" w:rsidP="005643DC">
                            <w:pPr>
                              <w:pStyle w:val="TableCaption"/>
                              <w:jc w:val="center"/>
                            </w:pPr>
                            <w:r>
                              <w:t>Contracting/</w:t>
                            </w:r>
                            <w:r w:rsidR="007559F0">
                              <w:t>p</w:t>
                            </w:r>
                            <w:r>
                              <w:t>rocurement/</w:t>
                            </w:r>
                            <w:r w:rsidR="007559F0">
                              <w:t>g</w:t>
                            </w:r>
                            <w:r>
                              <w:t>rants</w:t>
                            </w:r>
                          </w:p>
                          <w:p w14:paraId="36045490" w14:textId="77777777" w:rsidR="005643DC" w:rsidRDefault="005643DC" w:rsidP="005643DC">
                            <w:r>
                              <w:t>Responsibilities include:</w:t>
                            </w:r>
                          </w:p>
                          <w:p w14:paraId="5F2CDD78" w14:textId="219DA241" w:rsidR="005643DC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i</w:t>
                            </w:r>
                            <w:r w:rsidR="00A21CF8">
                              <w:t>nserting DAIP clause of special condition</w:t>
                            </w:r>
                            <w:r w:rsidR="003F20CD">
                              <w:t xml:space="preserve"> of contract into tender and contract documentation</w:t>
                            </w:r>
                          </w:p>
                          <w:p w14:paraId="2B1AF666" w14:textId="7255A9B6" w:rsidR="005643DC" w:rsidRPr="00700C32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m</w:t>
                            </w:r>
                            <w:r w:rsidR="00363064">
                              <w:t>onitoring agent and contractor delivering o</w:t>
                            </w:r>
                            <w:r w:rsidR="00021949">
                              <w:t>f</w:t>
                            </w:r>
                            <w:r w:rsidR="00363064">
                              <w:t xml:space="preserve"> DAIP requirements</w:t>
                            </w:r>
                            <w:r w:rsidR="005643D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A336D" id="Rectangle 10" o:spid="_x0000_s1027" alt="&quot;&quot;" style="position:absolute;margin-left:271.6pt;margin-top:389.25pt;width:208.5pt;height:185.25pt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" fillcolor="window" strokecolor="#2c5c86" strokeweight="2pt">
                <v:textbox>
                  <w:txbxContent>
                    <w:p w14:paraId="5B06FC27" w14:textId="2E10FF27" w:rsidR="005643DC" w:rsidRDefault="00DF0179" w:rsidP="005643DC">
                      <w:pPr>
                        <w:pStyle w:val="TableCaption"/>
                        <w:jc w:val="center"/>
                      </w:pPr>
                      <w:r>
                        <w:t>Contracting/</w:t>
                      </w:r>
                      <w:r w:rsidR="007559F0">
                        <w:t>p</w:t>
                      </w:r>
                      <w:r>
                        <w:t>rocurement/</w:t>
                      </w:r>
                      <w:r w:rsidR="007559F0">
                        <w:t>g</w:t>
                      </w:r>
                      <w:r>
                        <w:t>rants</w:t>
                      </w:r>
                    </w:p>
                    <w:p w14:paraId="36045490" w14:textId="77777777" w:rsidR="005643DC" w:rsidRDefault="005643DC" w:rsidP="005643DC">
                      <w:r>
                        <w:t>Responsibilities include:</w:t>
                      </w:r>
                    </w:p>
                    <w:p w14:paraId="5F2CDD78" w14:textId="219DA241" w:rsidR="005643DC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i</w:t>
                      </w:r>
                      <w:r w:rsidR="00A21CF8">
                        <w:t>nserting DAIP clause of special condition</w:t>
                      </w:r>
                      <w:r w:rsidR="003F20CD">
                        <w:t xml:space="preserve"> of contract into tender and contract documentation</w:t>
                      </w:r>
                    </w:p>
                    <w:p w14:paraId="2B1AF666" w14:textId="7255A9B6" w:rsidR="005643DC" w:rsidRPr="00700C32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m</w:t>
                      </w:r>
                      <w:r w:rsidR="00363064">
                        <w:t>onitoring agent and contractor delivering o</w:t>
                      </w:r>
                      <w:r w:rsidR="00021949">
                        <w:t>f</w:t>
                      </w:r>
                      <w:r w:rsidR="00363064">
                        <w:t xml:space="preserve"> DAIP requirements</w:t>
                      </w:r>
                      <w:r w:rsidR="005643DC"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7D83"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377884E" wp14:editId="1435889C">
                <wp:simplePos x="0" y="0"/>
                <wp:positionH relativeFrom="margin">
                  <wp:posOffset>114300</wp:posOffset>
                </wp:positionH>
                <wp:positionV relativeFrom="paragraph">
                  <wp:posOffset>4943475</wp:posOffset>
                </wp:positionV>
                <wp:extent cx="2647950" cy="2352675"/>
                <wp:effectExtent l="0" t="0" r="19050" b="28575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35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2C5C8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CE7CA8" w14:textId="5D8C89A8" w:rsidR="00D22AD8" w:rsidRDefault="00D22AD8" w:rsidP="005643DC">
                            <w:pPr>
                              <w:pStyle w:val="TableCaption"/>
                              <w:jc w:val="center"/>
                            </w:pPr>
                            <w:r>
                              <w:t>W</w:t>
                            </w:r>
                            <w:r w:rsidR="00E20937">
                              <w:t xml:space="preserve">hole of </w:t>
                            </w:r>
                            <w:r w:rsidR="007559F0">
                              <w:t>p</w:t>
                            </w:r>
                            <w:r w:rsidR="00E20937">
                              <w:t xml:space="preserve">ublic </w:t>
                            </w:r>
                            <w:r w:rsidR="007559F0">
                              <w:t>a</w:t>
                            </w:r>
                            <w:r w:rsidR="00E20937">
                              <w:t>uthority</w:t>
                            </w:r>
                          </w:p>
                          <w:p w14:paraId="2B911113" w14:textId="014E9B78" w:rsidR="00D22AD8" w:rsidRDefault="00E20937" w:rsidP="00D22AD8">
                            <w:r>
                              <w:t>R</w:t>
                            </w:r>
                            <w:r w:rsidR="00D22AD8">
                              <w:t>esponsibilities includ</w:t>
                            </w:r>
                            <w:r>
                              <w:t>e</w:t>
                            </w:r>
                            <w:r w:rsidR="00D22AD8">
                              <w:t>:</w:t>
                            </w:r>
                          </w:p>
                          <w:p w14:paraId="7748C9C9" w14:textId="4CB97E8C" w:rsidR="00D22AD8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d</w:t>
                            </w:r>
                            <w:r w:rsidR="001A5132">
                              <w:t>elivering DAIP actions</w:t>
                            </w:r>
                          </w:p>
                          <w:p w14:paraId="39664D2A" w14:textId="0338A1AC" w:rsidR="00D22AD8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r</w:t>
                            </w:r>
                            <w:r w:rsidR="007239A2">
                              <w:t xml:space="preserve">eporting on </w:t>
                            </w:r>
                            <w:r w:rsidR="00700C32">
                              <w:t>progress of DAIP actions</w:t>
                            </w:r>
                          </w:p>
                          <w:p w14:paraId="0F514743" w14:textId="2E9EEAAC" w:rsidR="00700C32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c</w:t>
                            </w:r>
                            <w:r w:rsidR="00700C32">
                              <w:t>ontributing to awareness raising of the DAIP</w:t>
                            </w:r>
                          </w:p>
                          <w:p w14:paraId="13EEB8E6" w14:textId="319CB1D2" w:rsidR="00700C32" w:rsidRPr="00700C32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p</w:t>
                            </w:r>
                            <w:r w:rsidR="004E3FA8">
                              <w:t>roviding feedback on DAIP actions.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7884E" id="Rectangle 9" o:spid="_x0000_s1028" alt="&quot;&quot;" style="position:absolute;margin-left:9pt;margin-top:389.25pt;width:208.5pt;height:185.25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" fillcolor="window" strokecolor="#2c5c86" strokeweight="2pt">
                <v:textbox>
                  <w:txbxContent>
                    <w:p w14:paraId="2BCE7CA8" w14:textId="5D8C89A8" w:rsidR="00D22AD8" w:rsidRDefault="00D22AD8" w:rsidP="005643DC">
                      <w:pPr>
                        <w:pStyle w:val="TableCaption"/>
                        <w:jc w:val="center"/>
                      </w:pPr>
                      <w:r>
                        <w:t>W</w:t>
                      </w:r>
                      <w:r w:rsidR="00E20937">
                        <w:t xml:space="preserve">hole of </w:t>
                      </w:r>
                      <w:r w:rsidR="007559F0">
                        <w:t>p</w:t>
                      </w:r>
                      <w:r w:rsidR="00E20937">
                        <w:t xml:space="preserve">ublic </w:t>
                      </w:r>
                      <w:r w:rsidR="007559F0">
                        <w:t>a</w:t>
                      </w:r>
                      <w:r w:rsidR="00E20937">
                        <w:t>uthority</w:t>
                      </w:r>
                    </w:p>
                    <w:p w14:paraId="2B911113" w14:textId="014E9B78" w:rsidR="00D22AD8" w:rsidRDefault="00E20937" w:rsidP="00D22AD8">
                      <w:r>
                        <w:t>R</w:t>
                      </w:r>
                      <w:r w:rsidR="00D22AD8">
                        <w:t>esponsibilities includ</w:t>
                      </w:r>
                      <w:r>
                        <w:t>e</w:t>
                      </w:r>
                      <w:r w:rsidR="00D22AD8">
                        <w:t>:</w:t>
                      </w:r>
                    </w:p>
                    <w:p w14:paraId="7748C9C9" w14:textId="4CB97E8C" w:rsidR="00D22AD8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d</w:t>
                      </w:r>
                      <w:r w:rsidR="001A5132">
                        <w:t>elivering DAIP actions</w:t>
                      </w:r>
                    </w:p>
                    <w:p w14:paraId="39664D2A" w14:textId="0338A1AC" w:rsidR="00D22AD8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r</w:t>
                      </w:r>
                      <w:r w:rsidR="007239A2">
                        <w:t xml:space="preserve">eporting on </w:t>
                      </w:r>
                      <w:r w:rsidR="00700C32">
                        <w:t>progress of DAIP actions</w:t>
                      </w:r>
                    </w:p>
                    <w:p w14:paraId="0F514743" w14:textId="2E9EEAAC" w:rsidR="00700C32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c</w:t>
                      </w:r>
                      <w:r w:rsidR="00700C32">
                        <w:t>ontributing to awareness raising of the DAIP</w:t>
                      </w:r>
                    </w:p>
                    <w:p w14:paraId="13EEB8E6" w14:textId="319CB1D2" w:rsidR="00700C32" w:rsidRPr="00700C32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p</w:t>
                      </w:r>
                      <w:r w:rsidR="004E3FA8">
                        <w:t>roviding feedback on DAIP actions.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7D83"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40573FE" wp14:editId="69E1BDA6">
                <wp:simplePos x="0" y="0"/>
                <wp:positionH relativeFrom="column">
                  <wp:posOffset>356235</wp:posOffset>
                </wp:positionH>
                <wp:positionV relativeFrom="paragraph">
                  <wp:posOffset>1793240</wp:posOffset>
                </wp:positionV>
                <wp:extent cx="5486400" cy="2562225"/>
                <wp:effectExtent l="0" t="0" r="19050" b="28575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562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2C5C8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83E5CD" w14:textId="12E1809A" w:rsidR="00EF55D6" w:rsidRDefault="00993C56" w:rsidP="00EF55D6">
                            <w:pPr>
                              <w:pStyle w:val="TableCaption"/>
                              <w:jc w:val="center"/>
                            </w:pPr>
                            <w:r>
                              <w:t>Designated DAIP staff member</w:t>
                            </w:r>
                          </w:p>
                          <w:p w14:paraId="3A13AFAE" w14:textId="200246E8" w:rsidR="00EF55D6" w:rsidRDefault="00753678" w:rsidP="00EF55D6">
                            <w:r>
                              <w:t>R</w:t>
                            </w:r>
                            <w:r w:rsidR="00EF55D6">
                              <w:t>esponsibilities includ</w:t>
                            </w:r>
                            <w:r w:rsidR="00E20937">
                              <w:t>e</w:t>
                            </w:r>
                            <w:r w:rsidR="00EF55D6">
                              <w:t>:</w:t>
                            </w:r>
                          </w:p>
                          <w:p w14:paraId="2047879F" w14:textId="3838934E" w:rsidR="00EF55D6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d</w:t>
                            </w:r>
                            <w:r w:rsidR="00313A88">
                              <w:t>evelopment, implementation and monitoring of</w:t>
                            </w:r>
                            <w:r>
                              <w:t xml:space="preserve"> a</w:t>
                            </w:r>
                            <w:r w:rsidR="00313A88">
                              <w:t xml:space="preserve"> DAIP</w:t>
                            </w:r>
                          </w:p>
                          <w:p w14:paraId="732A9754" w14:textId="6D28F21D" w:rsidR="00EF55D6" w:rsidRDefault="00742418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u</w:t>
                            </w:r>
                            <w:r w:rsidR="00313A88">
                              <w:t>nderstanding</w:t>
                            </w:r>
                            <w:r>
                              <w:t xml:space="preserve"> of</w:t>
                            </w:r>
                            <w:r w:rsidR="000B20AE">
                              <w:t xml:space="preserve"> relevant DAIP legislation</w:t>
                            </w:r>
                          </w:p>
                          <w:p w14:paraId="291F6521" w14:textId="56DD2E48" w:rsidR="000E5FC9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p</w:t>
                            </w:r>
                            <w:r w:rsidR="000B20AE">
                              <w:t xml:space="preserve">roviding contracting/procurement area with </w:t>
                            </w:r>
                            <w:r w:rsidR="000E5FC9">
                              <w:t>DAIP information for agents and contractors</w:t>
                            </w:r>
                          </w:p>
                          <w:p w14:paraId="57C74915" w14:textId="7E4561C9" w:rsidR="00800FF0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m</w:t>
                            </w:r>
                            <w:r w:rsidR="00446465">
                              <w:t xml:space="preserve">onitoring </w:t>
                            </w:r>
                            <w:r w:rsidR="00A04925">
                              <w:t>agent and contractor activity</w:t>
                            </w:r>
                          </w:p>
                          <w:p w14:paraId="7E2BC25C" w14:textId="46C54FDC" w:rsidR="00800FF0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c</w:t>
                            </w:r>
                            <w:r w:rsidR="00800FF0">
                              <w:t>ompleting DAIP reporting</w:t>
                            </w:r>
                          </w:p>
                          <w:p w14:paraId="417A8B6C" w14:textId="4596FECB" w:rsidR="00800FF0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s</w:t>
                            </w:r>
                            <w:r w:rsidR="00D75DFC">
                              <w:t>eeking approval and endorsement for</w:t>
                            </w:r>
                            <w:r w:rsidR="00DB48D9">
                              <w:t xml:space="preserve"> the</w:t>
                            </w:r>
                            <w:r w:rsidR="00D75DFC">
                              <w:t xml:space="preserve"> DAIP Progress Report</w:t>
                            </w:r>
                          </w:p>
                          <w:p w14:paraId="47DD7526" w14:textId="34663F17" w:rsidR="00536BAA" w:rsidRDefault="007559F0" w:rsidP="007741B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s</w:t>
                            </w:r>
                            <w:r w:rsidR="00536BAA">
                              <w:t>ubmitting amended or new DAIPs to Department of Communities</w:t>
                            </w:r>
                            <w:r w:rsidR="00D074BD">
                              <w:t>.</w:t>
                            </w:r>
                          </w:p>
                          <w:p w14:paraId="16653E4A" w14:textId="77777777" w:rsidR="00536BAA" w:rsidRPr="00800FF0" w:rsidRDefault="00536BAA" w:rsidP="00800FF0">
                            <w:pPr>
                              <w:pStyle w:val="BodyText"/>
                            </w:pPr>
                          </w:p>
                          <w:p w14:paraId="1CD3CC53" w14:textId="77777777" w:rsidR="00EF55D6" w:rsidRDefault="00EF55D6" w:rsidP="00EF55D6">
                            <w:pPr>
                              <w:jc w:val="center"/>
                            </w:pPr>
                          </w:p>
                          <w:p w14:paraId="04524660" w14:textId="77777777" w:rsidR="00EF55D6" w:rsidRDefault="00EF55D6" w:rsidP="00EF55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573FE" id="Rectangle 8" o:spid="_x0000_s1029" alt="&quot;&quot;" style="position:absolute;margin-left:28.05pt;margin-top:141.2pt;width:6in;height:201.7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" fillcolor="window" strokecolor="#2c5c86" strokeweight="2pt">
                <v:textbox>
                  <w:txbxContent>
                    <w:p w14:paraId="1783E5CD" w14:textId="12E1809A" w:rsidR="00EF55D6" w:rsidRDefault="00993C56" w:rsidP="00EF55D6">
                      <w:pPr>
                        <w:pStyle w:val="TableCaption"/>
                        <w:jc w:val="center"/>
                      </w:pPr>
                      <w:r>
                        <w:t>Designated DAIP staff member</w:t>
                      </w:r>
                    </w:p>
                    <w:p w14:paraId="3A13AFAE" w14:textId="200246E8" w:rsidR="00EF55D6" w:rsidRDefault="00753678" w:rsidP="00EF55D6">
                      <w:r>
                        <w:t>R</w:t>
                      </w:r>
                      <w:r w:rsidR="00EF55D6">
                        <w:t>esponsibilities includ</w:t>
                      </w:r>
                      <w:r w:rsidR="00E20937">
                        <w:t>e</w:t>
                      </w:r>
                      <w:r w:rsidR="00EF55D6">
                        <w:t>:</w:t>
                      </w:r>
                    </w:p>
                    <w:p w14:paraId="2047879F" w14:textId="3838934E" w:rsidR="00EF55D6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d</w:t>
                      </w:r>
                      <w:r w:rsidR="00313A88">
                        <w:t>evelopment, implementation and monitoring of</w:t>
                      </w:r>
                      <w:r>
                        <w:t xml:space="preserve"> a</w:t>
                      </w:r>
                      <w:r w:rsidR="00313A88">
                        <w:t xml:space="preserve"> DAIP</w:t>
                      </w:r>
                    </w:p>
                    <w:p w14:paraId="732A9754" w14:textId="6D28F21D" w:rsidR="00EF55D6" w:rsidRDefault="00742418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u</w:t>
                      </w:r>
                      <w:r w:rsidR="00313A88">
                        <w:t>nderstanding</w:t>
                      </w:r>
                      <w:r>
                        <w:t xml:space="preserve"> of</w:t>
                      </w:r>
                      <w:r w:rsidR="000B20AE">
                        <w:t xml:space="preserve"> relevant DAIP legislation</w:t>
                      </w:r>
                    </w:p>
                    <w:p w14:paraId="291F6521" w14:textId="56DD2E48" w:rsidR="000E5FC9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p</w:t>
                      </w:r>
                      <w:r w:rsidR="000B20AE">
                        <w:t xml:space="preserve">roviding contracting/procurement area with </w:t>
                      </w:r>
                      <w:r w:rsidR="000E5FC9">
                        <w:t>DAIP information for agents and contractors</w:t>
                      </w:r>
                    </w:p>
                    <w:p w14:paraId="57C74915" w14:textId="7E4561C9" w:rsidR="00800FF0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m</w:t>
                      </w:r>
                      <w:r w:rsidR="00446465">
                        <w:t xml:space="preserve">onitoring </w:t>
                      </w:r>
                      <w:r w:rsidR="00A04925">
                        <w:t>agent and contractor activity</w:t>
                      </w:r>
                    </w:p>
                    <w:p w14:paraId="7E2BC25C" w14:textId="46C54FDC" w:rsidR="00800FF0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c</w:t>
                      </w:r>
                      <w:r w:rsidR="00800FF0">
                        <w:t>ompleting DAIP reporting</w:t>
                      </w:r>
                    </w:p>
                    <w:p w14:paraId="417A8B6C" w14:textId="4596FECB" w:rsidR="00800FF0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s</w:t>
                      </w:r>
                      <w:r w:rsidR="00D75DFC">
                        <w:t>eeking approval and endorsement for</w:t>
                      </w:r>
                      <w:r w:rsidR="00DB48D9">
                        <w:t xml:space="preserve"> the</w:t>
                      </w:r>
                      <w:r w:rsidR="00D75DFC">
                        <w:t xml:space="preserve"> DAIP Progress Report</w:t>
                      </w:r>
                    </w:p>
                    <w:p w14:paraId="47DD7526" w14:textId="34663F17" w:rsidR="00536BAA" w:rsidRDefault="007559F0" w:rsidP="007741B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s</w:t>
                      </w:r>
                      <w:r w:rsidR="00536BAA">
                        <w:t>ubmitting amended or new DAIPs to Department of Communities</w:t>
                      </w:r>
                      <w:r w:rsidR="00D074BD">
                        <w:t>.</w:t>
                      </w:r>
                    </w:p>
                    <w:p w14:paraId="16653E4A" w14:textId="77777777" w:rsidR="00536BAA" w:rsidRPr="00800FF0" w:rsidRDefault="00536BAA" w:rsidP="00800FF0">
                      <w:pPr>
                        <w:pStyle w:val="BodyText"/>
                      </w:pPr>
                    </w:p>
                    <w:p w14:paraId="1CD3CC53" w14:textId="77777777" w:rsidR="00EF55D6" w:rsidRDefault="00EF55D6" w:rsidP="00EF55D6">
                      <w:pPr>
                        <w:jc w:val="center"/>
                      </w:pPr>
                    </w:p>
                    <w:p w14:paraId="04524660" w14:textId="77777777" w:rsidR="00EF55D6" w:rsidRDefault="00EF55D6" w:rsidP="00EF55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sectPr w:rsidR="00573FA5" w:rsidRPr="00857F23" w:rsidSect="00C61CDD">
      <w:type w:val="continuous"/>
      <w:pgSz w:w="11900" w:h="16840" w:code="9"/>
      <w:pgMar w:top="1418" w:right="1134" w:bottom="1134" w:left="1134" w:header="0" w:footer="0" w:gutter="0"/>
      <w:pgNumType w:start="13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247D" w14:textId="77777777" w:rsidR="00D0152F" w:rsidRDefault="00D0152F" w:rsidP="00D41211">
      <w:r>
        <w:separator/>
      </w:r>
    </w:p>
  </w:endnote>
  <w:endnote w:type="continuationSeparator" w:id="0">
    <w:p w14:paraId="4AD758E6" w14:textId="77777777" w:rsidR="00D0152F" w:rsidRDefault="00D0152F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777F" w14:textId="1BC4273C" w:rsidR="006E12FE" w:rsidRDefault="00832AD8" w:rsidP="000F085D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550BE20A" wp14:editId="41B738B9">
          <wp:extent cx="7559996" cy="1438838"/>
          <wp:effectExtent l="0" t="0" r="3175" b="9525"/>
          <wp:docPr id="2110427068" name="Picture 21104270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8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AAEDB" w14:textId="77777777" w:rsidR="00D0152F" w:rsidRDefault="00D0152F" w:rsidP="00D41211">
      <w:r>
        <w:separator/>
      </w:r>
    </w:p>
  </w:footnote>
  <w:footnote w:type="continuationSeparator" w:id="0">
    <w:p w14:paraId="5D540DB2" w14:textId="77777777" w:rsidR="00D0152F" w:rsidRDefault="00D0152F" w:rsidP="00D41211">
      <w:r>
        <w:continuationSeparator/>
      </w:r>
    </w:p>
  </w:footnote>
  <w:footnote w:id="1">
    <w:p w14:paraId="65FFCD6E" w14:textId="4C724F4E" w:rsidR="00912CBD" w:rsidRDefault="00912CBD">
      <w:pPr>
        <w:pStyle w:val="FootnoteText"/>
      </w:pPr>
      <w:r>
        <w:rPr>
          <w:rStyle w:val="FootnoteReference"/>
        </w:rPr>
        <w:footnoteRef/>
      </w:r>
      <w:r>
        <w:t xml:space="preserve"> Australian Bureau of Statistics, 2022, </w:t>
      </w:r>
      <w:hyperlink r:id="rId1" w:history="1">
        <w:r w:rsidRPr="00B21CC3">
          <w:rPr>
            <w:rStyle w:val="Hyperlink"/>
            <w:rFonts w:asciiTheme="minorHAnsi" w:hAnsiTheme="minorHAnsi"/>
            <w:sz w:val="20"/>
          </w:rPr>
          <w:t>Disability, Ageing and Carers, Australia: Summary of Findings, 2022</w:t>
        </w:r>
      </w:hyperlink>
      <w:r>
        <w:t xml:space="preserve"> (accessed 24 November 2024)</w:t>
      </w:r>
    </w:p>
  </w:footnote>
  <w:footnote w:id="2">
    <w:p w14:paraId="4FAAD75D" w14:textId="44DBC07F" w:rsidR="00FE6F82" w:rsidRDefault="00FE6F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15BE8">
        <w:t xml:space="preserve">The social model of disability views disability a result of societal barriers, rather than an individual’s </w:t>
      </w:r>
      <w:r w:rsidR="002218B2">
        <w:t xml:space="preserve">impairment or condition. Refer </w:t>
      </w:r>
      <w:hyperlink r:id="rId2" w:history="1">
        <w:r w:rsidR="002218B2" w:rsidRPr="002218B2">
          <w:rPr>
            <w:rStyle w:val="Hyperlink"/>
            <w:rFonts w:asciiTheme="minorHAnsi" w:hAnsiTheme="minorHAnsi"/>
            <w:sz w:val="20"/>
          </w:rPr>
          <w:t>Social model of disability - People with Disability Australia</w:t>
        </w:r>
      </w:hyperlink>
    </w:p>
  </w:footnote>
  <w:footnote w:id="3">
    <w:p w14:paraId="69603F6C" w14:textId="266F6A00" w:rsidR="004E6672" w:rsidRDefault="004E66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A7BE0" w:rsidRPr="004A13EE">
        <w:t>Australian Human Rights Commission, 202</w:t>
      </w:r>
      <w:r w:rsidR="00820F30" w:rsidRPr="004A13EE">
        <w:t>1</w:t>
      </w:r>
      <w:r w:rsidR="006A7BE0" w:rsidRPr="004A13EE">
        <w:t xml:space="preserve">, </w:t>
      </w:r>
      <w:hyperlink r:id="rId3" w:history="1">
        <w:r w:rsidR="00820F30" w:rsidRPr="004A13EE">
          <w:rPr>
            <w:rStyle w:val="Hyperlink"/>
            <w:sz w:val="20"/>
          </w:rPr>
          <w:t>Disability Action Plan Guide (2021) | Australian Human Rights Commission</w:t>
        </w:r>
      </w:hyperlink>
      <w:r w:rsidR="004A13EE" w:rsidRPr="004A13EE">
        <w:t xml:space="preserve"> (accessed 11 December 2024).</w:t>
      </w:r>
    </w:p>
  </w:footnote>
  <w:footnote w:id="4">
    <w:p w14:paraId="482757D0" w14:textId="6D02C5A4" w:rsidR="008433D9" w:rsidRDefault="008433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5471E" w:rsidRPr="00C1342E">
        <w:t xml:space="preserve">Australian Institute of Health and Welfare, 2024, </w:t>
      </w:r>
      <w:hyperlink r:id="rId4" w:history="1">
        <w:r w:rsidR="00C1342E" w:rsidRPr="00C1342E">
          <w:rPr>
            <w:rStyle w:val="Hyperlink"/>
            <w:sz w:val="20"/>
          </w:rPr>
          <w:t>People with disability in Australia, Social inclusion and community support - Australian Institute of Health and Welfare</w:t>
        </w:r>
      </w:hyperlink>
      <w:r w:rsidR="00C1342E" w:rsidRPr="00C1342E">
        <w:t xml:space="preserve"> (accessed 11 December 2024).</w:t>
      </w:r>
    </w:p>
  </w:footnote>
  <w:footnote w:id="5">
    <w:p w14:paraId="2FCBF55E" w14:textId="3C8CC14D" w:rsidR="004A13EE" w:rsidRDefault="004A13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4CFA">
        <w:t xml:space="preserve">Australian Human Rights Commission, 2021, </w:t>
      </w:r>
      <w:hyperlink r:id="rId5" w:history="1">
        <w:r w:rsidRPr="00AB4CFA">
          <w:rPr>
            <w:rStyle w:val="Hyperlink"/>
            <w:sz w:val="20"/>
          </w:rPr>
          <w:t>Disability Action Plan Guide (2021) | Australian Human Rights Commission</w:t>
        </w:r>
      </w:hyperlink>
      <w:r w:rsidR="00AB4CFA" w:rsidRPr="00AB4CFA">
        <w:t xml:space="preserve"> (accessed 11 December 2024).</w:t>
      </w:r>
    </w:p>
  </w:footnote>
  <w:footnote w:id="6">
    <w:p w14:paraId="4E5F7EB1" w14:textId="3F7911E1" w:rsidR="00290099" w:rsidRDefault="002900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72711" w:rsidRPr="00820F30">
        <w:t xml:space="preserve">Diversity Council of Australia, 2023, </w:t>
      </w:r>
      <w:hyperlink r:id="rId6" w:history="1">
        <w:r w:rsidR="00B86654" w:rsidRPr="00820F30">
          <w:rPr>
            <w:rStyle w:val="Hyperlink"/>
            <w:sz w:val="20"/>
          </w:rPr>
          <w:t>The Case for Inclusion@Work 2023–2024</w:t>
        </w:r>
      </w:hyperlink>
      <w:r w:rsidR="00B86654" w:rsidRPr="00820F30">
        <w:t>, (accessed 11 December 2024)</w:t>
      </w:r>
      <w:r w:rsidR="006A2D26" w:rsidRPr="00820F30">
        <w:t>.</w:t>
      </w:r>
    </w:p>
  </w:footnote>
  <w:footnote w:id="7">
    <w:p w14:paraId="4146FE4C" w14:textId="48512DAE" w:rsidR="00582714" w:rsidRPr="002763DA" w:rsidRDefault="00582714">
      <w:pPr>
        <w:pStyle w:val="FootnoteText"/>
      </w:pPr>
      <w:r w:rsidRPr="002763DA">
        <w:rPr>
          <w:rStyle w:val="FootnoteReference"/>
        </w:rPr>
        <w:footnoteRef/>
      </w:r>
      <w:r w:rsidRPr="002763DA">
        <w:t xml:space="preserve"> </w:t>
      </w:r>
      <w:r w:rsidR="00475082" w:rsidRPr="002763DA">
        <w:t xml:space="preserve">Deloitte Access Economics, 2019, </w:t>
      </w:r>
      <w:hyperlink r:id="rId7" w:history="1">
        <w:r w:rsidR="002763DA" w:rsidRPr="002763DA">
          <w:rPr>
            <w:rStyle w:val="Hyperlink"/>
            <w:sz w:val="20"/>
          </w:rPr>
          <w:t>The economic benefits of improving social inclusion | Deloitte Australia | Deloitte Access Economics, Diversity, TMT</w:t>
        </w:r>
      </w:hyperlink>
      <w:r w:rsidR="002763DA">
        <w:t xml:space="preserve"> (accessed 11 December 2024).</w:t>
      </w:r>
    </w:p>
  </w:footnote>
  <w:footnote w:id="8">
    <w:p w14:paraId="0DBEAEB2" w14:textId="2E704943" w:rsidR="00384EEF" w:rsidRDefault="00384EEF" w:rsidP="00384E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0A72">
        <w:t>I</w:t>
      </w:r>
      <w:r>
        <w:t xml:space="preserve">nternational Association of Public Participation (IAP2), 2018, Public Participation Spectrum, </w:t>
      </w:r>
      <w:hyperlink r:id="rId8" w:history="1">
        <w:r w:rsidRPr="00863ABC">
          <w:rPr>
            <w:rStyle w:val="Hyperlink"/>
            <w:sz w:val="20"/>
          </w:rPr>
          <w:t>IAP2 IAP2 Public Participation Spectrum - IAP2 Australasia</w:t>
        </w:r>
      </w:hyperlink>
      <w:r>
        <w:t xml:space="preserve"> (</w:t>
      </w:r>
      <w:r w:rsidR="00483D14">
        <w:t xml:space="preserve">accessed </w:t>
      </w:r>
      <w:r>
        <w:t>22 May 2024)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A064" w14:textId="64AD4560" w:rsidR="00A52C99" w:rsidRDefault="00A52C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4B6132" wp14:editId="5D28F2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4820207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32CF8" w14:textId="65D0FDE8" w:rsidR="00A52C99" w:rsidRPr="00A52C99" w:rsidRDefault="00A52C99" w:rsidP="00A52C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52C9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B61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25B32CF8" w14:textId="65D0FDE8" w:rsidR="00A52C99" w:rsidRPr="00A52C99" w:rsidRDefault="00A52C99" w:rsidP="00A52C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52C9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29716161" w:rsidR="000F085D" w:rsidRPr="008C68A9" w:rsidRDefault="00A52C99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B191B0" wp14:editId="6FF3FC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206105708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A94CC" w14:textId="062B57F7" w:rsidR="00A52C99" w:rsidRPr="00A52C99" w:rsidRDefault="00A52C99" w:rsidP="00A52C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52C9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191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76FA94CC" w14:textId="062B57F7" w:rsidR="00A52C99" w:rsidRPr="00A52C99" w:rsidRDefault="00A52C99" w:rsidP="00A52C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52C9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6A4F">
      <w:rPr>
        <w:rStyle w:val="Bold"/>
        <w:rFonts w:ascii="Arial" w:hAnsi="Arial" w:cs="Arial"/>
        <w:b w:val="0"/>
        <w:bCs w:val="0"/>
      </w:rPr>
      <w:t>Disability Access and Inclusion Plans: A guide for public authorities</w:t>
    </w:r>
  </w:p>
  <w:p w14:paraId="31774F3F" w14:textId="77777777" w:rsidR="000F085D" w:rsidRPr="00455F4B" w:rsidRDefault="00000000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0ED6" w14:textId="73A3EF92" w:rsidR="006E12FE" w:rsidRDefault="00A52C99" w:rsidP="000F085D">
    <w:pPr>
      <w:pStyle w:val="Header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2AA15B" wp14:editId="14E787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0497894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7877A" w14:textId="36B52093" w:rsidR="00A52C99" w:rsidRPr="00A52C99" w:rsidRDefault="00A52C99" w:rsidP="00A52C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52C9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AA1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1917877A" w14:textId="36B52093" w:rsidR="00A52C99" w:rsidRPr="00A52C99" w:rsidRDefault="00A52C99" w:rsidP="00A52C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52C9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AD8">
      <w:rPr>
        <w:noProof/>
        <w:lang w:eastAsia="en-AU"/>
      </w:rPr>
      <w:drawing>
        <wp:inline distT="0" distB="0" distL="0" distR="0" wp14:anchorId="72B13313" wp14:editId="1BE22EE3">
          <wp:extent cx="7549200" cy="3056208"/>
          <wp:effectExtent l="0" t="0" r="0" b="0"/>
          <wp:docPr id="95785577" name="Picture 95785577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overnment of Western Australia Department of Communiti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3056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7E8"/>
    <w:multiLevelType w:val="hybridMultilevel"/>
    <w:tmpl w:val="6F8E0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04B"/>
    <w:multiLevelType w:val="hybridMultilevel"/>
    <w:tmpl w:val="664E2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F65E6"/>
    <w:multiLevelType w:val="hybridMultilevel"/>
    <w:tmpl w:val="D5444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008C"/>
    <w:multiLevelType w:val="hybridMultilevel"/>
    <w:tmpl w:val="B1163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310A4"/>
    <w:multiLevelType w:val="hybridMultilevel"/>
    <w:tmpl w:val="1B701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852F6"/>
    <w:multiLevelType w:val="hybridMultilevel"/>
    <w:tmpl w:val="FDB6DC08"/>
    <w:lvl w:ilvl="0" w:tplc="10D888B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81864"/>
    <w:multiLevelType w:val="hybridMultilevel"/>
    <w:tmpl w:val="B37E9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06F97"/>
    <w:multiLevelType w:val="hybridMultilevel"/>
    <w:tmpl w:val="76AC0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102C7"/>
    <w:multiLevelType w:val="hybridMultilevel"/>
    <w:tmpl w:val="5CB87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57609"/>
    <w:multiLevelType w:val="hybridMultilevel"/>
    <w:tmpl w:val="EDA2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A77AA"/>
    <w:multiLevelType w:val="hybridMultilevel"/>
    <w:tmpl w:val="F9027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2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4DE45D77"/>
    <w:multiLevelType w:val="hybridMultilevel"/>
    <w:tmpl w:val="EE1C4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1256"/>
    <w:multiLevelType w:val="hybridMultilevel"/>
    <w:tmpl w:val="4F120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6" w15:restartNumberingAfterBreak="0">
    <w:nsid w:val="5797732B"/>
    <w:multiLevelType w:val="hybridMultilevel"/>
    <w:tmpl w:val="2B0E0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C2573"/>
    <w:multiLevelType w:val="hybridMultilevel"/>
    <w:tmpl w:val="DBF4C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317A3"/>
    <w:multiLevelType w:val="hybridMultilevel"/>
    <w:tmpl w:val="DB1AECE0"/>
    <w:lvl w:ilvl="0" w:tplc="C388CB32">
      <w:start w:val="1"/>
      <w:numFmt w:val="decimal"/>
      <w:pStyle w:val="Heading2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F5005"/>
    <w:multiLevelType w:val="hybridMultilevel"/>
    <w:tmpl w:val="278CA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66400"/>
    <w:multiLevelType w:val="hybridMultilevel"/>
    <w:tmpl w:val="426EF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67B90"/>
    <w:multiLevelType w:val="hybridMultilevel"/>
    <w:tmpl w:val="49BC0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C0CE7"/>
    <w:multiLevelType w:val="hybridMultilevel"/>
    <w:tmpl w:val="7C78A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 w15:restartNumberingAfterBreak="0">
    <w:nsid w:val="6E0E5D47"/>
    <w:multiLevelType w:val="hybridMultilevel"/>
    <w:tmpl w:val="6E787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34C9F"/>
    <w:multiLevelType w:val="hybridMultilevel"/>
    <w:tmpl w:val="95A09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93A0D"/>
    <w:multiLevelType w:val="hybridMultilevel"/>
    <w:tmpl w:val="7542D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333DA"/>
    <w:multiLevelType w:val="hybridMultilevel"/>
    <w:tmpl w:val="CCF2F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F5C9E"/>
    <w:multiLevelType w:val="hybridMultilevel"/>
    <w:tmpl w:val="C5166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A1705"/>
    <w:multiLevelType w:val="hybridMultilevel"/>
    <w:tmpl w:val="7C320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282349">
    <w:abstractNumId w:val="15"/>
  </w:num>
  <w:num w:numId="2" w16cid:durableId="422722958">
    <w:abstractNumId w:val="11"/>
  </w:num>
  <w:num w:numId="3" w16cid:durableId="700937042">
    <w:abstractNumId w:val="23"/>
  </w:num>
  <w:num w:numId="4" w16cid:durableId="1070730978">
    <w:abstractNumId w:val="12"/>
  </w:num>
  <w:num w:numId="5" w16cid:durableId="1897933509">
    <w:abstractNumId w:val="18"/>
  </w:num>
  <w:num w:numId="6" w16cid:durableId="1163659900">
    <w:abstractNumId w:val="16"/>
  </w:num>
  <w:num w:numId="7" w16cid:durableId="1737509753">
    <w:abstractNumId w:val="5"/>
  </w:num>
  <w:num w:numId="8" w16cid:durableId="700937395">
    <w:abstractNumId w:val="9"/>
  </w:num>
  <w:num w:numId="9" w16cid:durableId="1298145243">
    <w:abstractNumId w:val="17"/>
  </w:num>
  <w:num w:numId="10" w16cid:durableId="481851027">
    <w:abstractNumId w:val="6"/>
  </w:num>
  <w:num w:numId="11" w16cid:durableId="797140137">
    <w:abstractNumId w:val="25"/>
  </w:num>
  <w:num w:numId="12" w16cid:durableId="416442227">
    <w:abstractNumId w:val="27"/>
  </w:num>
  <w:num w:numId="13" w16cid:durableId="1616715983">
    <w:abstractNumId w:val="20"/>
  </w:num>
  <w:num w:numId="14" w16cid:durableId="945042714">
    <w:abstractNumId w:val="26"/>
  </w:num>
  <w:num w:numId="15" w16cid:durableId="579873496">
    <w:abstractNumId w:val="24"/>
  </w:num>
  <w:num w:numId="16" w16cid:durableId="155657967">
    <w:abstractNumId w:val="21"/>
  </w:num>
  <w:num w:numId="17" w16cid:durableId="586186154">
    <w:abstractNumId w:val="7"/>
  </w:num>
  <w:num w:numId="18" w16cid:durableId="955066656">
    <w:abstractNumId w:val="28"/>
  </w:num>
  <w:num w:numId="19" w16cid:durableId="42103493">
    <w:abstractNumId w:val="13"/>
  </w:num>
  <w:num w:numId="20" w16cid:durableId="414933658">
    <w:abstractNumId w:val="29"/>
  </w:num>
  <w:num w:numId="21" w16cid:durableId="317850420">
    <w:abstractNumId w:val="0"/>
  </w:num>
  <w:num w:numId="22" w16cid:durableId="1797484832">
    <w:abstractNumId w:val="10"/>
  </w:num>
  <w:num w:numId="23" w16cid:durableId="1126267297">
    <w:abstractNumId w:val="19"/>
  </w:num>
  <w:num w:numId="24" w16cid:durableId="1081171489">
    <w:abstractNumId w:val="14"/>
  </w:num>
  <w:num w:numId="25" w16cid:durableId="1754234291">
    <w:abstractNumId w:val="1"/>
  </w:num>
  <w:num w:numId="26" w16cid:durableId="447970123">
    <w:abstractNumId w:val="8"/>
  </w:num>
  <w:num w:numId="27" w16cid:durableId="1611739726">
    <w:abstractNumId w:val="4"/>
  </w:num>
  <w:num w:numId="28" w16cid:durableId="500122027">
    <w:abstractNumId w:val="22"/>
  </w:num>
  <w:num w:numId="29" w16cid:durableId="1798913852">
    <w:abstractNumId w:val="3"/>
  </w:num>
  <w:num w:numId="30" w16cid:durableId="1654719448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0237"/>
    <w:rsid w:val="00000963"/>
    <w:rsid w:val="00000ABE"/>
    <w:rsid w:val="000044D8"/>
    <w:rsid w:val="00006C8F"/>
    <w:rsid w:val="0000721E"/>
    <w:rsid w:val="000078DF"/>
    <w:rsid w:val="0001551A"/>
    <w:rsid w:val="0001557D"/>
    <w:rsid w:val="00015CA2"/>
    <w:rsid w:val="00015EC0"/>
    <w:rsid w:val="00017B4C"/>
    <w:rsid w:val="00017C89"/>
    <w:rsid w:val="000214AD"/>
    <w:rsid w:val="00021949"/>
    <w:rsid w:val="00022D02"/>
    <w:rsid w:val="000232AE"/>
    <w:rsid w:val="00023D7D"/>
    <w:rsid w:val="0002524E"/>
    <w:rsid w:val="00025F3F"/>
    <w:rsid w:val="000265A2"/>
    <w:rsid w:val="00026778"/>
    <w:rsid w:val="00026C9E"/>
    <w:rsid w:val="00030C57"/>
    <w:rsid w:val="00030EDD"/>
    <w:rsid w:val="00030FBD"/>
    <w:rsid w:val="00032119"/>
    <w:rsid w:val="00032A08"/>
    <w:rsid w:val="00032BD7"/>
    <w:rsid w:val="000338B3"/>
    <w:rsid w:val="00034CE5"/>
    <w:rsid w:val="000358EA"/>
    <w:rsid w:val="0004158E"/>
    <w:rsid w:val="00041E4A"/>
    <w:rsid w:val="00042E11"/>
    <w:rsid w:val="00044DBF"/>
    <w:rsid w:val="00046A9E"/>
    <w:rsid w:val="00046EBF"/>
    <w:rsid w:val="00047DD6"/>
    <w:rsid w:val="000505BC"/>
    <w:rsid w:val="0005277B"/>
    <w:rsid w:val="00052C60"/>
    <w:rsid w:val="00054CCE"/>
    <w:rsid w:val="0005512A"/>
    <w:rsid w:val="00055D1F"/>
    <w:rsid w:val="000563D9"/>
    <w:rsid w:val="00056768"/>
    <w:rsid w:val="0005696C"/>
    <w:rsid w:val="00060292"/>
    <w:rsid w:val="00061912"/>
    <w:rsid w:val="00063F98"/>
    <w:rsid w:val="00064337"/>
    <w:rsid w:val="0006459B"/>
    <w:rsid w:val="00064A56"/>
    <w:rsid w:val="00065542"/>
    <w:rsid w:val="00065D8E"/>
    <w:rsid w:val="00065F26"/>
    <w:rsid w:val="00066CCF"/>
    <w:rsid w:val="00067CFC"/>
    <w:rsid w:val="00073FB8"/>
    <w:rsid w:val="00075D15"/>
    <w:rsid w:val="00075F81"/>
    <w:rsid w:val="000767E1"/>
    <w:rsid w:val="00077318"/>
    <w:rsid w:val="000814B7"/>
    <w:rsid w:val="00081A46"/>
    <w:rsid w:val="000825D1"/>
    <w:rsid w:val="00082AB9"/>
    <w:rsid w:val="000837D8"/>
    <w:rsid w:val="00083942"/>
    <w:rsid w:val="00083E84"/>
    <w:rsid w:val="000847CA"/>
    <w:rsid w:val="00084995"/>
    <w:rsid w:val="0008572F"/>
    <w:rsid w:val="0008655E"/>
    <w:rsid w:val="000900B7"/>
    <w:rsid w:val="00091368"/>
    <w:rsid w:val="00092BF4"/>
    <w:rsid w:val="00094D92"/>
    <w:rsid w:val="00094FEF"/>
    <w:rsid w:val="000A1D88"/>
    <w:rsid w:val="000A1DC3"/>
    <w:rsid w:val="000A5296"/>
    <w:rsid w:val="000A7885"/>
    <w:rsid w:val="000B01A3"/>
    <w:rsid w:val="000B1741"/>
    <w:rsid w:val="000B20AE"/>
    <w:rsid w:val="000B2D68"/>
    <w:rsid w:val="000B380B"/>
    <w:rsid w:val="000B3BDE"/>
    <w:rsid w:val="000B5015"/>
    <w:rsid w:val="000B5EC4"/>
    <w:rsid w:val="000B6182"/>
    <w:rsid w:val="000C02DD"/>
    <w:rsid w:val="000C0C96"/>
    <w:rsid w:val="000C398D"/>
    <w:rsid w:val="000C45FC"/>
    <w:rsid w:val="000C5A8B"/>
    <w:rsid w:val="000C5FE2"/>
    <w:rsid w:val="000C66A5"/>
    <w:rsid w:val="000C6FC3"/>
    <w:rsid w:val="000C7E42"/>
    <w:rsid w:val="000D0697"/>
    <w:rsid w:val="000D47E1"/>
    <w:rsid w:val="000D52F8"/>
    <w:rsid w:val="000D6642"/>
    <w:rsid w:val="000D6D8B"/>
    <w:rsid w:val="000D6EF7"/>
    <w:rsid w:val="000D724C"/>
    <w:rsid w:val="000E0471"/>
    <w:rsid w:val="000E336D"/>
    <w:rsid w:val="000E385C"/>
    <w:rsid w:val="000E5FC9"/>
    <w:rsid w:val="000E6745"/>
    <w:rsid w:val="000E6962"/>
    <w:rsid w:val="000E6971"/>
    <w:rsid w:val="000F085D"/>
    <w:rsid w:val="000F32B6"/>
    <w:rsid w:val="000F40E7"/>
    <w:rsid w:val="000F56D4"/>
    <w:rsid w:val="000F6311"/>
    <w:rsid w:val="000F636D"/>
    <w:rsid w:val="00103CF9"/>
    <w:rsid w:val="00104363"/>
    <w:rsid w:val="0010445F"/>
    <w:rsid w:val="00105038"/>
    <w:rsid w:val="00111D6C"/>
    <w:rsid w:val="00112230"/>
    <w:rsid w:val="00114666"/>
    <w:rsid w:val="00114887"/>
    <w:rsid w:val="001149A3"/>
    <w:rsid w:val="00115374"/>
    <w:rsid w:val="001169FC"/>
    <w:rsid w:val="00116BBF"/>
    <w:rsid w:val="00116E51"/>
    <w:rsid w:val="00117824"/>
    <w:rsid w:val="00120C76"/>
    <w:rsid w:val="0012194C"/>
    <w:rsid w:val="001221FC"/>
    <w:rsid w:val="001229A4"/>
    <w:rsid w:val="00123689"/>
    <w:rsid w:val="00123B9E"/>
    <w:rsid w:val="00123CB6"/>
    <w:rsid w:val="00123E91"/>
    <w:rsid w:val="00124E6A"/>
    <w:rsid w:val="001261B1"/>
    <w:rsid w:val="00127199"/>
    <w:rsid w:val="001302ED"/>
    <w:rsid w:val="00130FE2"/>
    <w:rsid w:val="001349AE"/>
    <w:rsid w:val="00134CDA"/>
    <w:rsid w:val="00135218"/>
    <w:rsid w:val="00135E5F"/>
    <w:rsid w:val="00136833"/>
    <w:rsid w:val="001401A0"/>
    <w:rsid w:val="00140C9F"/>
    <w:rsid w:val="00141895"/>
    <w:rsid w:val="0014200A"/>
    <w:rsid w:val="00143826"/>
    <w:rsid w:val="00143D74"/>
    <w:rsid w:val="001446EF"/>
    <w:rsid w:val="00144C2C"/>
    <w:rsid w:val="0015261A"/>
    <w:rsid w:val="00152D10"/>
    <w:rsid w:val="00155DDE"/>
    <w:rsid w:val="0016170D"/>
    <w:rsid w:val="001630E1"/>
    <w:rsid w:val="001644EE"/>
    <w:rsid w:val="001644FE"/>
    <w:rsid w:val="001646E4"/>
    <w:rsid w:val="0016553A"/>
    <w:rsid w:val="00166210"/>
    <w:rsid w:val="00166CA9"/>
    <w:rsid w:val="00167608"/>
    <w:rsid w:val="0017036A"/>
    <w:rsid w:val="00170CC9"/>
    <w:rsid w:val="00171BE1"/>
    <w:rsid w:val="0017217B"/>
    <w:rsid w:val="00172711"/>
    <w:rsid w:val="00172ECF"/>
    <w:rsid w:val="00173624"/>
    <w:rsid w:val="0018022C"/>
    <w:rsid w:val="001812E4"/>
    <w:rsid w:val="00182E8A"/>
    <w:rsid w:val="0018576F"/>
    <w:rsid w:val="001904F2"/>
    <w:rsid w:val="001912CD"/>
    <w:rsid w:val="00191BF6"/>
    <w:rsid w:val="001920DB"/>
    <w:rsid w:val="00192ED3"/>
    <w:rsid w:val="00193A7D"/>
    <w:rsid w:val="001944E7"/>
    <w:rsid w:val="001960AA"/>
    <w:rsid w:val="001960EE"/>
    <w:rsid w:val="00196639"/>
    <w:rsid w:val="001A1F17"/>
    <w:rsid w:val="001A23AF"/>
    <w:rsid w:val="001A26B1"/>
    <w:rsid w:val="001A3B37"/>
    <w:rsid w:val="001A474F"/>
    <w:rsid w:val="001A5132"/>
    <w:rsid w:val="001A5B86"/>
    <w:rsid w:val="001A5FFE"/>
    <w:rsid w:val="001A6019"/>
    <w:rsid w:val="001A7E88"/>
    <w:rsid w:val="001B01C4"/>
    <w:rsid w:val="001B0DBE"/>
    <w:rsid w:val="001B1B3E"/>
    <w:rsid w:val="001B20C1"/>
    <w:rsid w:val="001B4C4E"/>
    <w:rsid w:val="001B5DE1"/>
    <w:rsid w:val="001B792B"/>
    <w:rsid w:val="001C0446"/>
    <w:rsid w:val="001C0602"/>
    <w:rsid w:val="001C0BBE"/>
    <w:rsid w:val="001C1433"/>
    <w:rsid w:val="001C213B"/>
    <w:rsid w:val="001C2312"/>
    <w:rsid w:val="001C3350"/>
    <w:rsid w:val="001C3B9B"/>
    <w:rsid w:val="001C44B8"/>
    <w:rsid w:val="001C4BB8"/>
    <w:rsid w:val="001C59C8"/>
    <w:rsid w:val="001C5A73"/>
    <w:rsid w:val="001C68D3"/>
    <w:rsid w:val="001D0F04"/>
    <w:rsid w:val="001D5E11"/>
    <w:rsid w:val="001D61DE"/>
    <w:rsid w:val="001E0EF3"/>
    <w:rsid w:val="001E18AE"/>
    <w:rsid w:val="001E1BEE"/>
    <w:rsid w:val="001E37D6"/>
    <w:rsid w:val="001E3F01"/>
    <w:rsid w:val="001E48AE"/>
    <w:rsid w:val="001E56DB"/>
    <w:rsid w:val="001E7BE4"/>
    <w:rsid w:val="001F13E3"/>
    <w:rsid w:val="001F19A0"/>
    <w:rsid w:val="001F785E"/>
    <w:rsid w:val="001F78EB"/>
    <w:rsid w:val="00200967"/>
    <w:rsid w:val="0020195C"/>
    <w:rsid w:val="002045F7"/>
    <w:rsid w:val="0020481B"/>
    <w:rsid w:val="00205FE3"/>
    <w:rsid w:val="002063F4"/>
    <w:rsid w:val="00207C74"/>
    <w:rsid w:val="002118FC"/>
    <w:rsid w:val="00211E1E"/>
    <w:rsid w:val="00213398"/>
    <w:rsid w:val="0021469F"/>
    <w:rsid w:val="00214EF2"/>
    <w:rsid w:val="002210B5"/>
    <w:rsid w:val="002216EA"/>
    <w:rsid w:val="002218B2"/>
    <w:rsid w:val="00221944"/>
    <w:rsid w:val="00223113"/>
    <w:rsid w:val="002235DD"/>
    <w:rsid w:val="00223608"/>
    <w:rsid w:val="002239F5"/>
    <w:rsid w:val="00227429"/>
    <w:rsid w:val="00231A11"/>
    <w:rsid w:val="00234183"/>
    <w:rsid w:val="00234AEB"/>
    <w:rsid w:val="00234E45"/>
    <w:rsid w:val="00235096"/>
    <w:rsid w:val="00235FC5"/>
    <w:rsid w:val="00235FFE"/>
    <w:rsid w:val="002370A4"/>
    <w:rsid w:val="00240916"/>
    <w:rsid w:val="00240EE5"/>
    <w:rsid w:val="00242114"/>
    <w:rsid w:val="00244048"/>
    <w:rsid w:val="0024466A"/>
    <w:rsid w:val="002453A0"/>
    <w:rsid w:val="002455F2"/>
    <w:rsid w:val="00245C7E"/>
    <w:rsid w:val="00250BB3"/>
    <w:rsid w:val="00252335"/>
    <w:rsid w:val="002528E3"/>
    <w:rsid w:val="0025755F"/>
    <w:rsid w:val="0026125D"/>
    <w:rsid w:val="00263EDE"/>
    <w:rsid w:val="00264270"/>
    <w:rsid w:val="00264EB1"/>
    <w:rsid w:val="00266868"/>
    <w:rsid w:val="002672F1"/>
    <w:rsid w:val="00267633"/>
    <w:rsid w:val="00267BA9"/>
    <w:rsid w:val="00267C87"/>
    <w:rsid w:val="00272C24"/>
    <w:rsid w:val="00272DFF"/>
    <w:rsid w:val="00273975"/>
    <w:rsid w:val="0027419D"/>
    <w:rsid w:val="00274526"/>
    <w:rsid w:val="002763DA"/>
    <w:rsid w:val="00276A09"/>
    <w:rsid w:val="00276D91"/>
    <w:rsid w:val="00276DC9"/>
    <w:rsid w:val="00277361"/>
    <w:rsid w:val="002800E1"/>
    <w:rsid w:val="002801E7"/>
    <w:rsid w:val="00280D8D"/>
    <w:rsid w:val="00280FA3"/>
    <w:rsid w:val="00281683"/>
    <w:rsid w:val="00281965"/>
    <w:rsid w:val="00283B85"/>
    <w:rsid w:val="0028548D"/>
    <w:rsid w:val="00285D4A"/>
    <w:rsid w:val="00290099"/>
    <w:rsid w:val="00290BFA"/>
    <w:rsid w:val="00291FE9"/>
    <w:rsid w:val="002928EF"/>
    <w:rsid w:val="00292F53"/>
    <w:rsid w:val="00293B82"/>
    <w:rsid w:val="00294761"/>
    <w:rsid w:val="0029489D"/>
    <w:rsid w:val="00297A54"/>
    <w:rsid w:val="00297DAD"/>
    <w:rsid w:val="00297E97"/>
    <w:rsid w:val="002A2AA1"/>
    <w:rsid w:val="002A2B97"/>
    <w:rsid w:val="002A340E"/>
    <w:rsid w:val="002A3FA0"/>
    <w:rsid w:val="002A50E3"/>
    <w:rsid w:val="002A5BCA"/>
    <w:rsid w:val="002B043B"/>
    <w:rsid w:val="002B0B00"/>
    <w:rsid w:val="002B1B4D"/>
    <w:rsid w:val="002B1DC0"/>
    <w:rsid w:val="002B279A"/>
    <w:rsid w:val="002B2A26"/>
    <w:rsid w:val="002B3054"/>
    <w:rsid w:val="002B3F38"/>
    <w:rsid w:val="002B42CD"/>
    <w:rsid w:val="002B49CE"/>
    <w:rsid w:val="002B6126"/>
    <w:rsid w:val="002B6D96"/>
    <w:rsid w:val="002B7C6B"/>
    <w:rsid w:val="002C08C0"/>
    <w:rsid w:val="002C25F5"/>
    <w:rsid w:val="002C26CF"/>
    <w:rsid w:val="002C2CE7"/>
    <w:rsid w:val="002C3D39"/>
    <w:rsid w:val="002C5566"/>
    <w:rsid w:val="002C6CB1"/>
    <w:rsid w:val="002C72A0"/>
    <w:rsid w:val="002D2398"/>
    <w:rsid w:val="002D3FA9"/>
    <w:rsid w:val="002D42A0"/>
    <w:rsid w:val="002D50F7"/>
    <w:rsid w:val="002D57C3"/>
    <w:rsid w:val="002D5A8B"/>
    <w:rsid w:val="002D7395"/>
    <w:rsid w:val="002E2C1E"/>
    <w:rsid w:val="002E73DF"/>
    <w:rsid w:val="002F1601"/>
    <w:rsid w:val="002F33F2"/>
    <w:rsid w:val="002F36DB"/>
    <w:rsid w:val="002F4089"/>
    <w:rsid w:val="002F49F7"/>
    <w:rsid w:val="002F60A6"/>
    <w:rsid w:val="002F6814"/>
    <w:rsid w:val="00301884"/>
    <w:rsid w:val="003033A1"/>
    <w:rsid w:val="0030499D"/>
    <w:rsid w:val="00306AFD"/>
    <w:rsid w:val="00307E26"/>
    <w:rsid w:val="0031028D"/>
    <w:rsid w:val="00310AB8"/>
    <w:rsid w:val="00312D0E"/>
    <w:rsid w:val="00313A88"/>
    <w:rsid w:val="00314A45"/>
    <w:rsid w:val="00314E7D"/>
    <w:rsid w:val="00317250"/>
    <w:rsid w:val="00320829"/>
    <w:rsid w:val="00320B1E"/>
    <w:rsid w:val="00320C12"/>
    <w:rsid w:val="00321FBC"/>
    <w:rsid w:val="00322365"/>
    <w:rsid w:val="003253F1"/>
    <w:rsid w:val="00325EB4"/>
    <w:rsid w:val="00326CE3"/>
    <w:rsid w:val="00330558"/>
    <w:rsid w:val="00331249"/>
    <w:rsid w:val="0033462F"/>
    <w:rsid w:val="003367F8"/>
    <w:rsid w:val="00337426"/>
    <w:rsid w:val="003404BC"/>
    <w:rsid w:val="00343E17"/>
    <w:rsid w:val="003441AF"/>
    <w:rsid w:val="00345BD7"/>
    <w:rsid w:val="00346A69"/>
    <w:rsid w:val="00347B56"/>
    <w:rsid w:val="00351AA3"/>
    <w:rsid w:val="00352E21"/>
    <w:rsid w:val="00353B45"/>
    <w:rsid w:val="00356927"/>
    <w:rsid w:val="00356EA4"/>
    <w:rsid w:val="00360E54"/>
    <w:rsid w:val="00363064"/>
    <w:rsid w:val="003635C1"/>
    <w:rsid w:val="00364156"/>
    <w:rsid w:val="00365795"/>
    <w:rsid w:val="00366CDC"/>
    <w:rsid w:val="00367FD9"/>
    <w:rsid w:val="00373B6F"/>
    <w:rsid w:val="00374914"/>
    <w:rsid w:val="00374E81"/>
    <w:rsid w:val="00375E32"/>
    <w:rsid w:val="003766D6"/>
    <w:rsid w:val="00376D37"/>
    <w:rsid w:val="003775E4"/>
    <w:rsid w:val="00380FAD"/>
    <w:rsid w:val="00383CAD"/>
    <w:rsid w:val="00383DAE"/>
    <w:rsid w:val="003844D5"/>
    <w:rsid w:val="00384EEF"/>
    <w:rsid w:val="003853E2"/>
    <w:rsid w:val="003874E0"/>
    <w:rsid w:val="00387D57"/>
    <w:rsid w:val="003934F8"/>
    <w:rsid w:val="00393B1B"/>
    <w:rsid w:val="00395A21"/>
    <w:rsid w:val="00396418"/>
    <w:rsid w:val="0039669F"/>
    <w:rsid w:val="00397091"/>
    <w:rsid w:val="003973D6"/>
    <w:rsid w:val="003A3788"/>
    <w:rsid w:val="003A574C"/>
    <w:rsid w:val="003A5889"/>
    <w:rsid w:val="003A6374"/>
    <w:rsid w:val="003A77CE"/>
    <w:rsid w:val="003B2E63"/>
    <w:rsid w:val="003B3D56"/>
    <w:rsid w:val="003B5359"/>
    <w:rsid w:val="003B5719"/>
    <w:rsid w:val="003B7794"/>
    <w:rsid w:val="003B7929"/>
    <w:rsid w:val="003B7EC4"/>
    <w:rsid w:val="003B7F2A"/>
    <w:rsid w:val="003C335C"/>
    <w:rsid w:val="003C376C"/>
    <w:rsid w:val="003C4B73"/>
    <w:rsid w:val="003C5462"/>
    <w:rsid w:val="003C720D"/>
    <w:rsid w:val="003D0A2E"/>
    <w:rsid w:val="003D0DA4"/>
    <w:rsid w:val="003D1301"/>
    <w:rsid w:val="003D24F9"/>
    <w:rsid w:val="003D4EDC"/>
    <w:rsid w:val="003D5381"/>
    <w:rsid w:val="003D6643"/>
    <w:rsid w:val="003E03C4"/>
    <w:rsid w:val="003E50E8"/>
    <w:rsid w:val="003E73C5"/>
    <w:rsid w:val="003E7BD1"/>
    <w:rsid w:val="003F032B"/>
    <w:rsid w:val="003F11A5"/>
    <w:rsid w:val="003F20CD"/>
    <w:rsid w:val="003F26A0"/>
    <w:rsid w:val="003F2ADA"/>
    <w:rsid w:val="003F3CB0"/>
    <w:rsid w:val="003F3D30"/>
    <w:rsid w:val="003F3D65"/>
    <w:rsid w:val="003F5291"/>
    <w:rsid w:val="003F5360"/>
    <w:rsid w:val="003F68D9"/>
    <w:rsid w:val="003F79B5"/>
    <w:rsid w:val="003F7EF9"/>
    <w:rsid w:val="0040016E"/>
    <w:rsid w:val="00400C0C"/>
    <w:rsid w:val="00401299"/>
    <w:rsid w:val="00401D09"/>
    <w:rsid w:val="00404087"/>
    <w:rsid w:val="004046FD"/>
    <w:rsid w:val="0040494B"/>
    <w:rsid w:val="0041092E"/>
    <w:rsid w:val="00410A26"/>
    <w:rsid w:val="00410A40"/>
    <w:rsid w:val="00411A08"/>
    <w:rsid w:val="00413056"/>
    <w:rsid w:val="00420B36"/>
    <w:rsid w:val="004224C6"/>
    <w:rsid w:val="0042555D"/>
    <w:rsid w:val="004255F7"/>
    <w:rsid w:val="00426D10"/>
    <w:rsid w:val="004273E1"/>
    <w:rsid w:val="0043097E"/>
    <w:rsid w:val="004329A2"/>
    <w:rsid w:val="00433E81"/>
    <w:rsid w:val="0043482B"/>
    <w:rsid w:val="004351D6"/>
    <w:rsid w:val="00435E89"/>
    <w:rsid w:val="004370A9"/>
    <w:rsid w:val="004402AD"/>
    <w:rsid w:val="0044051B"/>
    <w:rsid w:val="004410B9"/>
    <w:rsid w:val="00441F92"/>
    <w:rsid w:val="00444662"/>
    <w:rsid w:val="00446465"/>
    <w:rsid w:val="00447256"/>
    <w:rsid w:val="00447CB7"/>
    <w:rsid w:val="00450400"/>
    <w:rsid w:val="0045100A"/>
    <w:rsid w:val="00451D26"/>
    <w:rsid w:val="004535F1"/>
    <w:rsid w:val="004536F8"/>
    <w:rsid w:val="00454281"/>
    <w:rsid w:val="004543A7"/>
    <w:rsid w:val="00454BAC"/>
    <w:rsid w:val="00455F4B"/>
    <w:rsid w:val="004561CA"/>
    <w:rsid w:val="0046432A"/>
    <w:rsid w:val="00465381"/>
    <w:rsid w:val="00465737"/>
    <w:rsid w:val="0047160F"/>
    <w:rsid w:val="00472846"/>
    <w:rsid w:val="00473D4A"/>
    <w:rsid w:val="00473FC0"/>
    <w:rsid w:val="00475082"/>
    <w:rsid w:val="00475B6F"/>
    <w:rsid w:val="004762C0"/>
    <w:rsid w:val="0047642D"/>
    <w:rsid w:val="004765D0"/>
    <w:rsid w:val="00476D68"/>
    <w:rsid w:val="004770AA"/>
    <w:rsid w:val="00477332"/>
    <w:rsid w:val="0048003F"/>
    <w:rsid w:val="004808B2"/>
    <w:rsid w:val="004809AB"/>
    <w:rsid w:val="00480F3E"/>
    <w:rsid w:val="00481583"/>
    <w:rsid w:val="00482BA6"/>
    <w:rsid w:val="00483D14"/>
    <w:rsid w:val="004870F8"/>
    <w:rsid w:val="00490701"/>
    <w:rsid w:val="00490918"/>
    <w:rsid w:val="00490E41"/>
    <w:rsid w:val="00491DFE"/>
    <w:rsid w:val="004935A2"/>
    <w:rsid w:val="00493D75"/>
    <w:rsid w:val="00495B36"/>
    <w:rsid w:val="00496F6B"/>
    <w:rsid w:val="004A07A7"/>
    <w:rsid w:val="004A13EE"/>
    <w:rsid w:val="004A185B"/>
    <w:rsid w:val="004A2BA6"/>
    <w:rsid w:val="004A3317"/>
    <w:rsid w:val="004A3CE5"/>
    <w:rsid w:val="004A4094"/>
    <w:rsid w:val="004A779E"/>
    <w:rsid w:val="004A7973"/>
    <w:rsid w:val="004B20F9"/>
    <w:rsid w:val="004B720D"/>
    <w:rsid w:val="004B74BA"/>
    <w:rsid w:val="004C0555"/>
    <w:rsid w:val="004C1870"/>
    <w:rsid w:val="004C2016"/>
    <w:rsid w:val="004C25B7"/>
    <w:rsid w:val="004C3B26"/>
    <w:rsid w:val="004C5F9F"/>
    <w:rsid w:val="004C66F9"/>
    <w:rsid w:val="004C66FA"/>
    <w:rsid w:val="004C7217"/>
    <w:rsid w:val="004C73B9"/>
    <w:rsid w:val="004D0771"/>
    <w:rsid w:val="004D0822"/>
    <w:rsid w:val="004D3CF6"/>
    <w:rsid w:val="004D43D2"/>
    <w:rsid w:val="004D50FC"/>
    <w:rsid w:val="004D546B"/>
    <w:rsid w:val="004E09A0"/>
    <w:rsid w:val="004E1013"/>
    <w:rsid w:val="004E1181"/>
    <w:rsid w:val="004E157A"/>
    <w:rsid w:val="004E167E"/>
    <w:rsid w:val="004E26B1"/>
    <w:rsid w:val="004E2B9D"/>
    <w:rsid w:val="004E3FA8"/>
    <w:rsid w:val="004E5E8F"/>
    <w:rsid w:val="004E6672"/>
    <w:rsid w:val="004E68E7"/>
    <w:rsid w:val="004F27B9"/>
    <w:rsid w:val="004F2E01"/>
    <w:rsid w:val="004F30CC"/>
    <w:rsid w:val="004F5E73"/>
    <w:rsid w:val="004F7F10"/>
    <w:rsid w:val="00501164"/>
    <w:rsid w:val="005013D8"/>
    <w:rsid w:val="00502CE8"/>
    <w:rsid w:val="00504B8A"/>
    <w:rsid w:val="0050778E"/>
    <w:rsid w:val="0051165B"/>
    <w:rsid w:val="005119AA"/>
    <w:rsid w:val="00512154"/>
    <w:rsid w:val="00512C91"/>
    <w:rsid w:val="00512CD6"/>
    <w:rsid w:val="005169F6"/>
    <w:rsid w:val="005177BD"/>
    <w:rsid w:val="0052083F"/>
    <w:rsid w:val="00520B98"/>
    <w:rsid w:val="0052305C"/>
    <w:rsid w:val="005300FC"/>
    <w:rsid w:val="005305B5"/>
    <w:rsid w:val="00530C64"/>
    <w:rsid w:val="0053534C"/>
    <w:rsid w:val="00535BF7"/>
    <w:rsid w:val="0053680B"/>
    <w:rsid w:val="00536BAA"/>
    <w:rsid w:val="00540349"/>
    <w:rsid w:val="005406D0"/>
    <w:rsid w:val="005407E7"/>
    <w:rsid w:val="0054188B"/>
    <w:rsid w:val="005418F0"/>
    <w:rsid w:val="00542208"/>
    <w:rsid w:val="005463CC"/>
    <w:rsid w:val="0054693C"/>
    <w:rsid w:val="00546A4F"/>
    <w:rsid w:val="00547BB7"/>
    <w:rsid w:val="00547F32"/>
    <w:rsid w:val="00552733"/>
    <w:rsid w:val="00553DB4"/>
    <w:rsid w:val="005546C3"/>
    <w:rsid w:val="0055570E"/>
    <w:rsid w:val="005568F7"/>
    <w:rsid w:val="00556B9D"/>
    <w:rsid w:val="00557003"/>
    <w:rsid w:val="00557C7D"/>
    <w:rsid w:val="00557FA4"/>
    <w:rsid w:val="00560700"/>
    <w:rsid w:val="00560B2A"/>
    <w:rsid w:val="005610E2"/>
    <w:rsid w:val="00563C70"/>
    <w:rsid w:val="005643DC"/>
    <w:rsid w:val="00564C85"/>
    <w:rsid w:val="005660E3"/>
    <w:rsid w:val="005662C5"/>
    <w:rsid w:val="00567169"/>
    <w:rsid w:val="005705B7"/>
    <w:rsid w:val="00573FA5"/>
    <w:rsid w:val="00574EAA"/>
    <w:rsid w:val="00575F62"/>
    <w:rsid w:val="00582714"/>
    <w:rsid w:val="00582A3D"/>
    <w:rsid w:val="00584A89"/>
    <w:rsid w:val="00585497"/>
    <w:rsid w:val="00586F33"/>
    <w:rsid w:val="005872D1"/>
    <w:rsid w:val="00590C94"/>
    <w:rsid w:val="00594A00"/>
    <w:rsid w:val="0059600E"/>
    <w:rsid w:val="005965EC"/>
    <w:rsid w:val="0059752A"/>
    <w:rsid w:val="005A18A0"/>
    <w:rsid w:val="005A2180"/>
    <w:rsid w:val="005A3403"/>
    <w:rsid w:val="005A4BB7"/>
    <w:rsid w:val="005A6612"/>
    <w:rsid w:val="005A6C22"/>
    <w:rsid w:val="005B0C0E"/>
    <w:rsid w:val="005B15A1"/>
    <w:rsid w:val="005B179C"/>
    <w:rsid w:val="005B1EAC"/>
    <w:rsid w:val="005B2110"/>
    <w:rsid w:val="005B247C"/>
    <w:rsid w:val="005B25FB"/>
    <w:rsid w:val="005B2C30"/>
    <w:rsid w:val="005B325E"/>
    <w:rsid w:val="005B37C1"/>
    <w:rsid w:val="005B4D81"/>
    <w:rsid w:val="005C4FA9"/>
    <w:rsid w:val="005D0535"/>
    <w:rsid w:val="005D28E0"/>
    <w:rsid w:val="005D4D30"/>
    <w:rsid w:val="005D542D"/>
    <w:rsid w:val="005D5EE7"/>
    <w:rsid w:val="005D65D3"/>
    <w:rsid w:val="005E25F3"/>
    <w:rsid w:val="005E6851"/>
    <w:rsid w:val="005E6C72"/>
    <w:rsid w:val="005F06CA"/>
    <w:rsid w:val="005F34B3"/>
    <w:rsid w:val="005F412C"/>
    <w:rsid w:val="005F46C1"/>
    <w:rsid w:val="005F7F92"/>
    <w:rsid w:val="00601F2F"/>
    <w:rsid w:val="006028AB"/>
    <w:rsid w:val="00602F43"/>
    <w:rsid w:val="0060383E"/>
    <w:rsid w:val="0060463C"/>
    <w:rsid w:val="00605C12"/>
    <w:rsid w:val="00607C2A"/>
    <w:rsid w:val="00611BDC"/>
    <w:rsid w:val="00612F7B"/>
    <w:rsid w:val="006142BB"/>
    <w:rsid w:val="00615617"/>
    <w:rsid w:val="00615945"/>
    <w:rsid w:val="006165BE"/>
    <w:rsid w:val="00616857"/>
    <w:rsid w:val="00617377"/>
    <w:rsid w:val="00617DEA"/>
    <w:rsid w:val="00625105"/>
    <w:rsid w:val="006251E7"/>
    <w:rsid w:val="0062525D"/>
    <w:rsid w:val="00625DC2"/>
    <w:rsid w:val="006277B3"/>
    <w:rsid w:val="00627FB1"/>
    <w:rsid w:val="00633C7F"/>
    <w:rsid w:val="006340A9"/>
    <w:rsid w:val="00637CA0"/>
    <w:rsid w:val="00637FBB"/>
    <w:rsid w:val="00640208"/>
    <w:rsid w:val="00640F29"/>
    <w:rsid w:val="00641588"/>
    <w:rsid w:val="00646EAC"/>
    <w:rsid w:val="0064722D"/>
    <w:rsid w:val="00653107"/>
    <w:rsid w:val="00653601"/>
    <w:rsid w:val="006563EB"/>
    <w:rsid w:val="00661FC6"/>
    <w:rsid w:val="0066237A"/>
    <w:rsid w:val="00664B06"/>
    <w:rsid w:val="00664B53"/>
    <w:rsid w:val="006658B2"/>
    <w:rsid w:val="00665F0A"/>
    <w:rsid w:val="0066700F"/>
    <w:rsid w:val="006704B0"/>
    <w:rsid w:val="006709A3"/>
    <w:rsid w:val="006750FA"/>
    <w:rsid w:val="00675E8A"/>
    <w:rsid w:val="006767DF"/>
    <w:rsid w:val="00681D5F"/>
    <w:rsid w:val="006821F1"/>
    <w:rsid w:val="00682726"/>
    <w:rsid w:val="006829AB"/>
    <w:rsid w:val="00684130"/>
    <w:rsid w:val="0068439E"/>
    <w:rsid w:val="00684500"/>
    <w:rsid w:val="00685C3E"/>
    <w:rsid w:val="0068741D"/>
    <w:rsid w:val="006879B2"/>
    <w:rsid w:val="006927B0"/>
    <w:rsid w:val="00692AB1"/>
    <w:rsid w:val="00693D7A"/>
    <w:rsid w:val="00694BC7"/>
    <w:rsid w:val="00694E3F"/>
    <w:rsid w:val="00695E5C"/>
    <w:rsid w:val="006A0C71"/>
    <w:rsid w:val="006A0EE6"/>
    <w:rsid w:val="006A13CD"/>
    <w:rsid w:val="006A293D"/>
    <w:rsid w:val="006A2D26"/>
    <w:rsid w:val="006A48DF"/>
    <w:rsid w:val="006A4A71"/>
    <w:rsid w:val="006A5AAD"/>
    <w:rsid w:val="006A7BE0"/>
    <w:rsid w:val="006A7F97"/>
    <w:rsid w:val="006B2471"/>
    <w:rsid w:val="006B5390"/>
    <w:rsid w:val="006B5EAF"/>
    <w:rsid w:val="006B6C1F"/>
    <w:rsid w:val="006C36C8"/>
    <w:rsid w:val="006C3756"/>
    <w:rsid w:val="006C4854"/>
    <w:rsid w:val="006C74A3"/>
    <w:rsid w:val="006C7EDF"/>
    <w:rsid w:val="006D1F87"/>
    <w:rsid w:val="006D375F"/>
    <w:rsid w:val="006D3B1F"/>
    <w:rsid w:val="006D3FFB"/>
    <w:rsid w:val="006D574B"/>
    <w:rsid w:val="006D5BDB"/>
    <w:rsid w:val="006D6C8B"/>
    <w:rsid w:val="006E12FE"/>
    <w:rsid w:val="006E187F"/>
    <w:rsid w:val="006E30CC"/>
    <w:rsid w:val="006E36FD"/>
    <w:rsid w:val="006E3CA2"/>
    <w:rsid w:val="006E4E90"/>
    <w:rsid w:val="006E5ADC"/>
    <w:rsid w:val="006E621C"/>
    <w:rsid w:val="006E708E"/>
    <w:rsid w:val="006F0C13"/>
    <w:rsid w:val="006F1B7B"/>
    <w:rsid w:val="006F2AAF"/>
    <w:rsid w:val="006F3489"/>
    <w:rsid w:val="006F390E"/>
    <w:rsid w:val="006F45EE"/>
    <w:rsid w:val="006F73DF"/>
    <w:rsid w:val="006F7711"/>
    <w:rsid w:val="00700589"/>
    <w:rsid w:val="0070061E"/>
    <w:rsid w:val="00700C32"/>
    <w:rsid w:val="00700F18"/>
    <w:rsid w:val="00702A6A"/>
    <w:rsid w:val="00703001"/>
    <w:rsid w:val="007038DC"/>
    <w:rsid w:val="007050D2"/>
    <w:rsid w:val="00707CDD"/>
    <w:rsid w:val="00715266"/>
    <w:rsid w:val="007165A9"/>
    <w:rsid w:val="00716CCA"/>
    <w:rsid w:val="0071773F"/>
    <w:rsid w:val="00723309"/>
    <w:rsid w:val="007239A2"/>
    <w:rsid w:val="007240CD"/>
    <w:rsid w:val="0072647A"/>
    <w:rsid w:val="00727CDD"/>
    <w:rsid w:val="0073139B"/>
    <w:rsid w:val="0073217B"/>
    <w:rsid w:val="00732863"/>
    <w:rsid w:val="007347E8"/>
    <w:rsid w:val="007358FD"/>
    <w:rsid w:val="00735AD1"/>
    <w:rsid w:val="00735CED"/>
    <w:rsid w:val="0073624E"/>
    <w:rsid w:val="00737315"/>
    <w:rsid w:val="00742418"/>
    <w:rsid w:val="0074256A"/>
    <w:rsid w:val="007458AD"/>
    <w:rsid w:val="007463EB"/>
    <w:rsid w:val="00747B09"/>
    <w:rsid w:val="007507D6"/>
    <w:rsid w:val="00751E75"/>
    <w:rsid w:val="00752239"/>
    <w:rsid w:val="007524CE"/>
    <w:rsid w:val="00752A64"/>
    <w:rsid w:val="00753678"/>
    <w:rsid w:val="007537AB"/>
    <w:rsid w:val="007559F0"/>
    <w:rsid w:val="00756C54"/>
    <w:rsid w:val="00756FD4"/>
    <w:rsid w:val="00760C36"/>
    <w:rsid w:val="00760DB5"/>
    <w:rsid w:val="007624B8"/>
    <w:rsid w:val="00763740"/>
    <w:rsid w:val="00763D21"/>
    <w:rsid w:val="00763EFE"/>
    <w:rsid w:val="007655FD"/>
    <w:rsid w:val="0076588B"/>
    <w:rsid w:val="00765DFA"/>
    <w:rsid w:val="007741BD"/>
    <w:rsid w:val="00774E60"/>
    <w:rsid w:val="00775972"/>
    <w:rsid w:val="007805E4"/>
    <w:rsid w:val="00780EBF"/>
    <w:rsid w:val="00782F85"/>
    <w:rsid w:val="00784A1F"/>
    <w:rsid w:val="00787518"/>
    <w:rsid w:val="00787625"/>
    <w:rsid w:val="00791F29"/>
    <w:rsid w:val="00792618"/>
    <w:rsid w:val="00793086"/>
    <w:rsid w:val="00794927"/>
    <w:rsid w:val="007951D3"/>
    <w:rsid w:val="00797D31"/>
    <w:rsid w:val="007A043C"/>
    <w:rsid w:val="007A0499"/>
    <w:rsid w:val="007A0644"/>
    <w:rsid w:val="007A11AD"/>
    <w:rsid w:val="007A241A"/>
    <w:rsid w:val="007A3C32"/>
    <w:rsid w:val="007A3F8A"/>
    <w:rsid w:val="007A593D"/>
    <w:rsid w:val="007A7860"/>
    <w:rsid w:val="007A7AA4"/>
    <w:rsid w:val="007B090C"/>
    <w:rsid w:val="007B2451"/>
    <w:rsid w:val="007B273B"/>
    <w:rsid w:val="007B28DA"/>
    <w:rsid w:val="007B35F8"/>
    <w:rsid w:val="007B5AFA"/>
    <w:rsid w:val="007B6CBD"/>
    <w:rsid w:val="007B6FB6"/>
    <w:rsid w:val="007C07DE"/>
    <w:rsid w:val="007C2DFC"/>
    <w:rsid w:val="007C4354"/>
    <w:rsid w:val="007C5116"/>
    <w:rsid w:val="007C574F"/>
    <w:rsid w:val="007C643C"/>
    <w:rsid w:val="007C692F"/>
    <w:rsid w:val="007D1BA1"/>
    <w:rsid w:val="007D3AD2"/>
    <w:rsid w:val="007D46EA"/>
    <w:rsid w:val="007D7E8E"/>
    <w:rsid w:val="007E08DB"/>
    <w:rsid w:val="007E13D8"/>
    <w:rsid w:val="007E16BA"/>
    <w:rsid w:val="007E2372"/>
    <w:rsid w:val="007E517C"/>
    <w:rsid w:val="007E76EB"/>
    <w:rsid w:val="007F02B4"/>
    <w:rsid w:val="007F0D57"/>
    <w:rsid w:val="007F1D77"/>
    <w:rsid w:val="007F322D"/>
    <w:rsid w:val="007F46C1"/>
    <w:rsid w:val="007F4BE5"/>
    <w:rsid w:val="007F53A6"/>
    <w:rsid w:val="007F59F6"/>
    <w:rsid w:val="007F645B"/>
    <w:rsid w:val="007F6ACC"/>
    <w:rsid w:val="007F71DE"/>
    <w:rsid w:val="007F7C92"/>
    <w:rsid w:val="00800FF0"/>
    <w:rsid w:val="008011EB"/>
    <w:rsid w:val="008021B4"/>
    <w:rsid w:val="008023B4"/>
    <w:rsid w:val="00802572"/>
    <w:rsid w:val="00805848"/>
    <w:rsid w:val="008066B5"/>
    <w:rsid w:val="00810CF1"/>
    <w:rsid w:val="00812328"/>
    <w:rsid w:val="00814D66"/>
    <w:rsid w:val="00814E33"/>
    <w:rsid w:val="008155D1"/>
    <w:rsid w:val="008164AD"/>
    <w:rsid w:val="008204F1"/>
    <w:rsid w:val="0082097F"/>
    <w:rsid w:val="00820F30"/>
    <w:rsid w:val="008213AC"/>
    <w:rsid w:val="00823CCA"/>
    <w:rsid w:val="0082405E"/>
    <w:rsid w:val="00824755"/>
    <w:rsid w:val="008248DB"/>
    <w:rsid w:val="00831FB4"/>
    <w:rsid w:val="00832AD8"/>
    <w:rsid w:val="008346BB"/>
    <w:rsid w:val="00842826"/>
    <w:rsid w:val="008429FE"/>
    <w:rsid w:val="00842B33"/>
    <w:rsid w:val="008433D9"/>
    <w:rsid w:val="008444BC"/>
    <w:rsid w:val="00845817"/>
    <w:rsid w:val="00846ABB"/>
    <w:rsid w:val="00847E4F"/>
    <w:rsid w:val="00851953"/>
    <w:rsid w:val="008522FC"/>
    <w:rsid w:val="00852E36"/>
    <w:rsid w:val="00852EB4"/>
    <w:rsid w:val="00855127"/>
    <w:rsid w:val="00856A5C"/>
    <w:rsid w:val="00857F23"/>
    <w:rsid w:val="00860638"/>
    <w:rsid w:val="00861625"/>
    <w:rsid w:val="00861927"/>
    <w:rsid w:val="00861C0B"/>
    <w:rsid w:val="0086345A"/>
    <w:rsid w:val="00863ABC"/>
    <w:rsid w:val="00865512"/>
    <w:rsid w:val="0086551B"/>
    <w:rsid w:val="00865E60"/>
    <w:rsid w:val="00867A3D"/>
    <w:rsid w:val="00871B4F"/>
    <w:rsid w:val="00871D83"/>
    <w:rsid w:val="00872C4A"/>
    <w:rsid w:val="00873183"/>
    <w:rsid w:val="008738C0"/>
    <w:rsid w:val="00881474"/>
    <w:rsid w:val="00883B40"/>
    <w:rsid w:val="0088469F"/>
    <w:rsid w:val="00885A23"/>
    <w:rsid w:val="00886D42"/>
    <w:rsid w:val="008876B7"/>
    <w:rsid w:val="00887D9C"/>
    <w:rsid w:val="00887EDD"/>
    <w:rsid w:val="0089264E"/>
    <w:rsid w:val="00893740"/>
    <w:rsid w:val="008961FD"/>
    <w:rsid w:val="00896525"/>
    <w:rsid w:val="00896E99"/>
    <w:rsid w:val="008A1A8A"/>
    <w:rsid w:val="008A32F0"/>
    <w:rsid w:val="008A362E"/>
    <w:rsid w:val="008A3A75"/>
    <w:rsid w:val="008A4BB4"/>
    <w:rsid w:val="008A4C5C"/>
    <w:rsid w:val="008A5E45"/>
    <w:rsid w:val="008A67F3"/>
    <w:rsid w:val="008B0E97"/>
    <w:rsid w:val="008B18AC"/>
    <w:rsid w:val="008B1953"/>
    <w:rsid w:val="008B1B88"/>
    <w:rsid w:val="008B1D11"/>
    <w:rsid w:val="008B2005"/>
    <w:rsid w:val="008B50A3"/>
    <w:rsid w:val="008B5C9B"/>
    <w:rsid w:val="008B68EF"/>
    <w:rsid w:val="008B7510"/>
    <w:rsid w:val="008C007E"/>
    <w:rsid w:val="008C02E2"/>
    <w:rsid w:val="008C07A2"/>
    <w:rsid w:val="008C0A5A"/>
    <w:rsid w:val="008C2CBA"/>
    <w:rsid w:val="008C55C4"/>
    <w:rsid w:val="008C7165"/>
    <w:rsid w:val="008D0318"/>
    <w:rsid w:val="008D2060"/>
    <w:rsid w:val="008D3278"/>
    <w:rsid w:val="008D4123"/>
    <w:rsid w:val="008D65AC"/>
    <w:rsid w:val="008D719E"/>
    <w:rsid w:val="008D7D37"/>
    <w:rsid w:val="008E0253"/>
    <w:rsid w:val="008E04FB"/>
    <w:rsid w:val="008E1E33"/>
    <w:rsid w:val="008E3188"/>
    <w:rsid w:val="008E4A63"/>
    <w:rsid w:val="008E5FD3"/>
    <w:rsid w:val="008E7112"/>
    <w:rsid w:val="008E713B"/>
    <w:rsid w:val="008E7DA6"/>
    <w:rsid w:val="008F1B26"/>
    <w:rsid w:val="008F2FC2"/>
    <w:rsid w:val="008F3D35"/>
    <w:rsid w:val="008F3DCD"/>
    <w:rsid w:val="008F3E8C"/>
    <w:rsid w:val="008F3F77"/>
    <w:rsid w:val="008F4412"/>
    <w:rsid w:val="008F647F"/>
    <w:rsid w:val="008F6CF0"/>
    <w:rsid w:val="0090215D"/>
    <w:rsid w:val="00903D7C"/>
    <w:rsid w:val="00904314"/>
    <w:rsid w:val="00905F93"/>
    <w:rsid w:val="009061BE"/>
    <w:rsid w:val="009069B5"/>
    <w:rsid w:val="00907153"/>
    <w:rsid w:val="00910603"/>
    <w:rsid w:val="00910A3C"/>
    <w:rsid w:val="00910D09"/>
    <w:rsid w:val="00911C59"/>
    <w:rsid w:val="00911CCA"/>
    <w:rsid w:val="00912CBD"/>
    <w:rsid w:val="0091337A"/>
    <w:rsid w:val="00913577"/>
    <w:rsid w:val="0091481A"/>
    <w:rsid w:val="00914E68"/>
    <w:rsid w:val="0091699A"/>
    <w:rsid w:val="00916E9B"/>
    <w:rsid w:val="00921B45"/>
    <w:rsid w:val="00922A50"/>
    <w:rsid w:val="00922AB9"/>
    <w:rsid w:val="009240E3"/>
    <w:rsid w:val="00924DE4"/>
    <w:rsid w:val="009253BF"/>
    <w:rsid w:val="009259FC"/>
    <w:rsid w:val="00926056"/>
    <w:rsid w:val="009270C8"/>
    <w:rsid w:val="00927FC4"/>
    <w:rsid w:val="00930671"/>
    <w:rsid w:val="0093092D"/>
    <w:rsid w:val="00930971"/>
    <w:rsid w:val="00930B0F"/>
    <w:rsid w:val="0093167F"/>
    <w:rsid w:val="00936E43"/>
    <w:rsid w:val="009406C6"/>
    <w:rsid w:val="00940E24"/>
    <w:rsid w:val="00941728"/>
    <w:rsid w:val="00945B30"/>
    <w:rsid w:val="0094672B"/>
    <w:rsid w:val="00946B25"/>
    <w:rsid w:val="009472CC"/>
    <w:rsid w:val="00947D46"/>
    <w:rsid w:val="00947FA8"/>
    <w:rsid w:val="00952E69"/>
    <w:rsid w:val="00953F3B"/>
    <w:rsid w:val="009542C5"/>
    <w:rsid w:val="00954F9F"/>
    <w:rsid w:val="00956099"/>
    <w:rsid w:val="00956D01"/>
    <w:rsid w:val="009573E2"/>
    <w:rsid w:val="00957853"/>
    <w:rsid w:val="00957898"/>
    <w:rsid w:val="00960817"/>
    <w:rsid w:val="00965999"/>
    <w:rsid w:val="009662B7"/>
    <w:rsid w:val="009665A3"/>
    <w:rsid w:val="009675BB"/>
    <w:rsid w:val="0096782C"/>
    <w:rsid w:val="0097622D"/>
    <w:rsid w:val="0097653E"/>
    <w:rsid w:val="00980E5E"/>
    <w:rsid w:val="00981199"/>
    <w:rsid w:val="00982C9B"/>
    <w:rsid w:val="009832AC"/>
    <w:rsid w:val="0098346C"/>
    <w:rsid w:val="009834D0"/>
    <w:rsid w:val="00983CB3"/>
    <w:rsid w:val="00983D25"/>
    <w:rsid w:val="0098469A"/>
    <w:rsid w:val="00984EC9"/>
    <w:rsid w:val="00987204"/>
    <w:rsid w:val="009920C6"/>
    <w:rsid w:val="00993C56"/>
    <w:rsid w:val="009943AE"/>
    <w:rsid w:val="009946BA"/>
    <w:rsid w:val="009947C7"/>
    <w:rsid w:val="009968BB"/>
    <w:rsid w:val="0099691D"/>
    <w:rsid w:val="009971BD"/>
    <w:rsid w:val="009978C1"/>
    <w:rsid w:val="009978E0"/>
    <w:rsid w:val="00997C22"/>
    <w:rsid w:val="009A2208"/>
    <w:rsid w:val="009A28D9"/>
    <w:rsid w:val="009A2C54"/>
    <w:rsid w:val="009A321C"/>
    <w:rsid w:val="009A3C05"/>
    <w:rsid w:val="009A4898"/>
    <w:rsid w:val="009A4F60"/>
    <w:rsid w:val="009A73C5"/>
    <w:rsid w:val="009B46E2"/>
    <w:rsid w:val="009B51D3"/>
    <w:rsid w:val="009B5374"/>
    <w:rsid w:val="009B6396"/>
    <w:rsid w:val="009B6C58"/>
    <w:rsid w:val="009C199E"/>
    <w:rsid w:val="009C3A2A"/>
    <w:rsid w:val="009C3E9D"/>
    <w:rsid w:val="009C477D"/>
    <w:rsid w:val="009C5F41"/>
    <w:rsid w:val="009C5FC8"/>
    <w:rsid w:val="009C609C"/>
    <w:rsid w:val="009C6312"/>
    <w:rsid w:val="009C6A31"/>
    <w:rsid w:val="009C72E3"/>
    <w:rsid w:val="009C7729"/>
    <w:rsid w:val="009C77C4"/>
    <w:rsid w:val="009D01B0"/>
    <w:rsid w:val="009D0AB0"/>
    <w:rsid w:val="009D1FC5"/>
    <w:rsid w:val="009D3CD5"/>
    <w:rsid w:val="009D4730"/>
    <w:rsid w:val="009E08F5"/>
    <w:rsid w:val="009E0E87"/>
    <w:rsid w:val="009E12FB"/>
    <w:rsid w:val="009E29AD"/>
    <w:rsid w:val="009E52F5"/>
    <w:rsid w:val="009E5DC5"/>
    <w:rsid w:val="009F06B7"/>
    <w:rsid w:val="009F16B5"/>
    <w:rsid w:val="009F26F5"/>
    <w:rsid w:val="009F2B4B"/>
    <w:rsid w:val="009F5503"/>
    <w:rsid w:val="009F566A"/>
    <w:rsid w:val="009F6B2A"/>
    <w:rsid w:val="009F75BA"/>
    <w:rsid w:val="00A01EDD"/>
    <w:rsid w:val="00A04925"/>
    <w:rsid w:val="00A05522"/>
    <w:rsid w:val="00A05BEE"/>
    <w:rsid w:val="00A06A97"/>
    <w:rsid w:val="00A10755"/>
    <w:rsid w:val="00A12E5C"/>
    <w:rsid w:val="00A160B7"/>
    <w:rsid w:val="00A16919"/>
    <w:rsid w:val="00A209FE"/>
    <w:rsid w:val="00A20D24"/>
    <w:rsid w:val="00A210CB"/>
    <w:rsid w:val="00A21CF8"/>
    <w:rsid w:val="00A21DD7"/>
    <w:rsid w:val="00A2202B"/>
    <w:rsid w:val="00A22BAE"/>
    <w:rsid w:val="00A23009"/>
    <w:rsid w:val="00A237A5"/>
    <w:rsid w:val="00A26523"/>
    <w:rsid w:val="00A30598"/>
    <w:rsid w:val="00A307F8"/>
    <w:rsid w:val="00A31065"/>
    <w:rsid w:val="00A323CD"/>
    <w:rsid w:val="00A32502"/>
    <w:rsid w:val="00A43C70"/>
    <w:rsid w:val="00A44C89"/>
    <w:rsid w:val="00A457CF"/>
    <w:rsid w:val="00A458CE"/>
    <w:rsid w:val="00A46394"/>
    <w:rsid w:val="00A476D0"/>
    <w:rsid w:val="00A47B37"/>
    <w:rsid w:val="00A52433"/>
    <w:rsid w:val="00A529E9"/>
    <w:rsid w:val="00A52C99"/>
    <w:rsid w:val="00A52E29"/>
    <w:rsid w:val="00A533CE"/>
    <w:rsid w:val="00A5471E"/>
    <w:rsid w:val="00A556D7"/>
    <w:rsid w:val="00A56DCF"/>
    <w:rsid w:val="00A60E6E"/>
    <w:rsid w:val="00A626A8"/>
    <w:rsid w:val="00A63BCF"/>
    <w:rsid w:val="00A6540D"/>
    <w:rsid w:val="00A67694"/>
    <w:rsid w:val="00A67B97"/>
    <w:rsid w:val="00A711D0"/>
    <w:rsid w:val="00A7257B"/>
    <w:rsid w:val="00A72D31"/>
    <w:rsid w:val="00A74699"/>
    <w:rsid w:val="00A74AB1"/>
    <w:rsid w:val="00A753B6"/>
    <w:rsid w:val="00A7624B"/>
    <w:rsid w:val="00A77AB0"/>
    <w:rsid w:val="00A825C3"/>
    <w:rsid w:val="00A83A34"/>
    <w:rsid w:val="00A8564F"/>
    <w:rsid w:val="00A85D00"/>
    <w:rsid w:val="00A90E0C"/>
    <w:rsid w:val="00A912B7"/>
    <w:rsid w:val="00A920E2"/>
    <w:rsid w:val="00A92374"/>
    <w:rsid w:val="00A93CB8"/>
    <w:rsid w:val="00A9438E"/>
    <w:rsid w:val="00A945FF"/>
    <w:rsid w:val="00A956C6"/>
    <w:rsid w:val="00A96663"/>
    <w:rsid w:val="00A96B05"/>
    <w:rsid w:val="00A96C3F"/>
    <w:rsid w:val="00A97112"/>
    <w:rsid w:val="00A97BC2"/>
    <w:rsid w:val="00AA09A5"/>
    <w:rsid w:val="00AA16D3"/>
    <w:rsid w:val="00AA3205"/>
    <w:rsid w:val="00AA43E2"/>
    <w:rsid w:val="00AA4C56"/>
    <w:rsid w:val="00AA7087"/>
    <w:rsid w:val="00AA76C3"/>
    <w:rsid w:val="00AB0236"/>
    <w:rsid w:val="00AB1622"/>
    <w:rsid w:val="00AB1A47"/>
    <w:rsid w:val="00AB4324"/>
    <w:rsid w:val="00AB4CFA"/>
    <w:rsid w:val="00AB4D8C"/>
    <w:rsid w:val="00AB547C"/>
    <w:rsid w:val="00AB5C63"/>
    <w:rsid w:val="00AC2E25"/>
    <w:rsid w:val="00AC2E27"/>
    <w:rsid w:val="00AC3370"/>
    <w:rsid w:val="00AC4550"/>
    <w:rsid w:val="00AC5EF0"/>
    <w:rsid w:val="00AD02B4"/>
    <w:rsid w:val="00AD0C16"/>
    <w:rsid w:val="00AD1593"/>
    <w:rsid w:val="00AD3BD6"/>
    <w:rsid w:val="00AD3C76"/>
    <w:rsid w:val="00AD3CE2"/>
    <w:rsid w:val="00AD3D98"/>
    <w:rsid w:val="00AD4D38"/>
    <w:rsid w:val="00AD6499"/>
    <w:rsid w:val="00AD674D"/>
    <w:rsid w:val="00AE1557"/>
    <w:rsid w:val="00AE3423"/>
    <w:rsid w:val="00AE3761"/>
    <w:rsid w:val="00AE625C"/>
    <w:rsid w:val="00AE7C63"/>
    <w:rsid w:val="00AF2A42"/>
    <w:rsid w:val="00AF3DF0"/>
    <w:rsid w:val="00AF74AC"/>
    <w:rsid w:val="00AF7B08"/>
    <w:rsid w:val="00AF7B66"/>
    <w:rsid w:val="00B00319"/>
    <w:rsid w:val="00B02823"/>
    <w:rsid w:val="00B028FD"/>
    <w:rsid w:val="00B035ED"/>
    <w:rsid w:val="00B05729"/>
    <w:rsid w:val="00B05E21"/>
    <w:rsid w:val="00B062B2"/>
    <w:rsid w:val="00B06680"/>
    <w:rsid w:val="00B069FC"/>
    <w:rsid w:val="00B07688"/>
    <w:rsid w:val="00B0785C"/>
    <w:rsid w:val="00B07E38"/>
    <w:rsid w:val="00B1064E"/>
    <w:rsid w:val="00B10F1C"/>
    <w:rsid w:val="00B11BDF"/>
    <w:rsid w:val="00B11E45"/>
    <w:rsid w:val="00B13D48"/>
    <w:rsid w:val="00B14E76"/>
    <w:rsid w:val="00B170B9"/>
    <w:rsid w:val="00B17D9E"/>
    <w:rsid w:val="00B2117A"/>
    <w:rsid w:val="00B21CC3"/>
    <w:rsid w:val="00B2265E"/>
    <w:rsid w:val="00B226C8"/>
    <w:rsid w:val="00B22FD0"/>
    <w:rsid w:val="00B24560"/>
    <w:rsid w:val="00B24852"/>
    <w:rsid w:val="00B27EE2"/>
    <w:rsid w:val="00B30173"/>
    <w:rsid w:val="00B3051F"/>
    <w:rsid w:val="00B310B6"/>
    <w:rsid w:val="00B324EE"/>
    <w:rsid w:val="00B33C82"/>
    <w:rsid w:val="00B34E31"/>
    <w:rsid w:val="00B34F55"/>
    <w:rsid w:val="00B35241"/>
    <w:rsid w:val="00B4188A"/>
    <w:rsid w:val="00B420CC"/>
    <w:rsid w:val="00B42EAD"/>
    <w:rsid w:val="00B433DB"/>
    <w:rsid w:val="00B43902"/>
    <w:rsid w:val="00B43A47"/>
    <w:rsid w:val="00B44113"/>
    <w:rsid w:val="00B4440A"/>
    <w:rsid w:val="00B45B2D"/>
    <w:rsid w:val="00B45E02"/>
    <w:rsid w:val="00B4681F"/>
    <w:rsid w:val="00B47FB6"/>
    <w:rsid w:val="00B50601"/>
    <w:rsid w:val="00B51000"/>
    <w:rsid w:val="00B52DAC"/>
    <w:rsid w:val="00B53517"/>
    <w:rsid w:val="00B55871"/>
    <w:rsid w:val="00B56453"/>
    <w:rsid w:val="00B611F2"/>
    <w:rsid w:val="00B61C1C"/>
    <w:rsid w:val="00B62068"/>
    <w:rsid w:val="00B62309"/>
    <w:rsid w:val="00B65ADB"/>
    <w:rsid w:val="00B67DB3"/>
    <w:rsid w:val="00B71CF2"/>
    <w:rsid w:val="00B71E53"/>
    <w:rsid w:val="00B72B32"/>
    <w:rsid w:val="00B73599"/>
    <w:rsid w:val="00B738B5"/>
    <w:rsid w:val="00B77337"/>
    <w:rsid w:val="00B778A2"/>
    <w:rsid w:val="00B80A8D"/>
    <w:rsid w:val="00B822FD"/>
    <w:rsid w:val="00B847D0"/>
    <w:rsid w:val="00B851E3"/>
    <w:rsid w:val="00B854C5"/>
    <w:rsid w:val="00B865FC"/>
    <w:rsid w:val="00B86654"/>
    <w:rsid w:val="00B86E98"/>
    <w:rsid w:val="00B87B91"/>
    <w:rsid w:val="00B90052"/>
    <w:rsid w:val="00B9230D"/>
    <w:rsid w:val="00B9692D"/>
    <w:rsid w:val="00BA46BC"/>
    <w:rsid w:val="00BA4F07"/>
    <w:rsid w:val="00BA7203"/>
    <w:rsid w:val="00BA7A57"/>
    <w:rsid w:val="00BA7AE4"/>
    <w:rsid w:val="00BB0301"/>
    <w:rsid w:val="00BB2AD5"/>
    <w:rsid w:val="00BB3173"/>
    <w:rsid w:val="00BB4029"/>
    <w:rsid w:val="00BB4FFE"/>
    <w:rsid w:val="00BB5604"/>
    <w:rsid w:val="00BB7B68"/>
    <w:rsid w:val="00BB7BCD"/>
    <w:rsid w:val="00BC053A"/>
    <w:rsid w:val="00BC3586"/>
    <w:rsid w:val="00BC4F20"/>
    <w:rsid w:val="00BC55AC"/>
    <w:rsid w:val="00BC60D4"/>
    <w:rsid w:val="00BC6A6B"/>
    <w:rsid w:val="00BC77EF"/>
    <w:rsid w:val="00BD0D55"/>
    <w:rsid w:val="00BD411A"/>
    <w:rsid w:val="00BD5B57"/>
    <w:rsid w:val="00BD757F"/>
    <w:rsid w:val="00BE03D3"/>
    <w:rsid w:val="00BE0D7D"/>
    <w:rsid w:val="00BE1DFF"/>
    <w:rsid w:val="00BE48A9"/>
    <w:rsid w:val="00BE4B9B"/>
    <w:rsid w:val="00BE6A84"/>
    <w:rsid w:val="00BE6B0A"/>
    <w:rsid w:val="00BE74ED"/>
    <w:rsid w:val="00BF0F09"/>
    <w:rsid w:val="00BF4AC6"/>
    <w:rsid w:val="00BF5953"/>
    <w:rsid w:val="00BF7E52"/>
    <w:rsid w:val="00C061FE"/>
    <w:rsid w:val="00C06278"/>
    <w:rsid w:val="00C06FDC"/>
    <w:rsid w:val="00C07392"/>
    <w:rsid w:val="00C07821"/>
    <w:rsid w:val="00C105B4"/>
    <w:rsid w:val="00C11747"/>
    <w:rsid w:val="00C1220F"/>
    <w:rsid w:val="00C1342E"/>
    <w:rsid w:val="00C13A96"/>
    <w:rsid w:val="00C14B8D"/>
    <w:rsid w:val="00C16911"/>
    <w:rsid w:val="00C22431"/>
    <w:rsid w:val="00C258AA"/>
    <w:rsid w:val="00C25DBF"/>
    <w:rsid w:val="00C267D0"/>
    <w:rsid w:val="00C278F2"/>
    <w:rsid w:val="00C27D83"/>
    <w:rsid w:val="00C33127"/>
    <w:rsid w:val="00C33589"/>
    <w:rsid w:val="00C36010"/>
    <w:rsid w:val="00C36BA5"/>
    <w:rsid w:val="00C37693"/>
    <w:rsid w:val="00C40AA1"/>
    <w:rsid w:val="00C42FBE"/>
    <w:rsid w:val="00C45C81"/>
    <w:rsid w:val="00C47C78"/>
    <w:rsid w:val="00C506C2"/>
    <w:rsid w:val="00C51A9A"/>
    <w:rsid w:val="00C51B69"/>
    <w:rsid w:val="00C52BB8"/>
    <w:rsid w:val="00C539D7"/>
    <w:rsid w:val="00C614C2"/>
    <w:rsid w:val="00C616D0"/>
    <w:rsid w:val="00C6190C"/>
    <w:rsid w:val="00C61CDD"/>
    <w:rsid w:val="00C61E5B"/>
    <w:rsid w:val="00C6255E"/>
    <w:rsid w:val="00C64278"/>
    <w:rsid w:val="00C649C2"/>
    <w:rsid w:val="00C64B57"/>
    <w:rsid w:val="00C65569"/>
    <w:rsid w:val="00C671DC"/>
    <w:rsid w:val="00C71342"/>
    <w:rsid w:val="00C73DA2"/>
    <w:rsid w:val="00C7400F"/>
    <w:rsid w:val="00C74C57"/>
    <w:rsid w:val="00C7785B"/>
    <w:rsid w:val="00C80DDF"/>
    <w:rsid w:val="00C814A6"/>
    <w:rsid w:val="00C81A95"/>
    <w:rsid w:val="00C83053"/>
    <w:rsid w:val="00C843A7"/>
    <w:rsid w:val="00C8551F"/>
    <w:rsid w:val="00C86378"/>
    <w:rsid w:val="00C8678C"/>
    <w:rsid w:val="00C9081B"/>
    <w:rsid w:val="00C9083F"/>
    <w:rsid w:val="00C925EB"/>
    <w:rsid w:val="00C93524"/>
    <w:rsid w:val="00C94A76"/>
    <w:rsid w:val="00C94AAA"/>
    <w:rsid w:val="00C957A5"/>
    <w:rsid w:val="00C974E3"/>
    <w:rsid w:val="00CA0C2B"/>
    <w:rsid w:val="00CA1BB8"/>
    <w:rsid w:val="00CA2633"/>
    <w:rsid w:val="00CA2BB4"/>
    <w:rsid w:val="00CA36C2"/>
    <w:rsid w:val="00CA422E"/>
    <w:rsid w:val="00CB022B"/>
    <w:rsid w:val="00CB0277"/>
    <w:rsid w:val="00CB1FDE"/>
    <w:rsid w:val="00CB2133"/>
    <w:rsid w:val="00CB286A"/>
    <w:rsid w:val="00CB2FA3"/>
    <w:rsid w:val="00CB4395"/>
    <w:rsid w:val="00CB4A25"/>
    <w:rsid w:val="00CB4E42"/>
    <w:rsid w:val="00CC1D67"/>
    <w:rsid w:val="00CC2E62"/>
    <w:rsid w:val="00CC58EF"/>
    <w:rsid w:val="00CC5A50"/>
    <w:rsid w:val="00CC7693"/>
    <w:rsid w:val="00CD0CF6"/>
    <w:rsid w:val="00CD2A62"/>
    <w:rsid w:val="00CD5A98"/>
    <w:rsid w:val="00CD5A9D"/>
    <w:rsid w:val="00CE007A"/>
    <w:rsid w:val="00CE13DD"/>
    <w:rsid w:val="00CE186C"/>
    <w:rsid w:val="00CE25D7"/>
    <w:rsid w:val="00CE4B15"/>
    <w:rsid w:val="00CE5432"/>
    <w:rsid w:val="00CE7C40"/>
    <w:rsid w:val="00CF12E0"/>
    <w:rsid w:val="00CF1B23"/>
    <w:rsid w:val="00CF606F"/>
    <w:rsid w:val="00CF6494"/>
    <w:rsid w:val="00CF7521"/>
    <w:rsid w:val="00D0152F"/>
    <w:rsid w:val="00D02DB6"/>
    <w:rsid w:val="00D0311E"/>
    <w:rsid w:val="00D03587"/>
    <w:rsid w:val="00D0370D"/>
    <w:rsid w:val="00D03A36"/>
    <w:rsid w:val="00D065E5"/>
    <w:rsid w:val="00D074BD"/>
    <w:rsid w:val="00D077EA"/>
    <w:rsid w:val="00D20CBC"/>
    <w:rsid w:val="00D213B5"/>
    <w:rsid w:val="00D21A50"/>
    <w:rsid w:val="00D22AD8"/>
    <w:rsid w:val="00D2351B"/>
    <w:rsid w:val="00D23CAA"/>
    <w:rsid w:val="00D25FED"/>
    <w:rsid w:val="00D27898"/>
    <w:rsid w:val="00D3024E"/>
    <w:rsid w:val="00D302BC"/>
    <w:rsid w:val="00D30E38"/>
    <w:rsid w:val="00D310DC"/>
    <w:rsid w:val="00D3300A"/>
    <w:rsid w:val="00D33819"/>
    <w:rsid w:val="00D372E1"/>
    <w:rsid w:val="00D3751A"/>
    <w:rsid w:val="00D377F1"/>
    <w:rsid w:val="00D3782C"/>
    <w:rsid w:val="00D37933"/>
    <w:rsid w:val="00D37D3D"/>
    <w:rsid w:val="00D41211"/>
    <w:rsid w:val="00D42595"/>
    <w:rsid w:val="00D43A26"/>
    <w:rsid w:val="00D444AC"/>
    <w:rsid w:val="00D45532"/>
    <w:rsid w:val="00D45907"/>
    <w:rsid w:val="00D466AF"/>
    <w:rsid w:val="00D52C8D"/>
    <w:rsid w:val="00D547F0"/>
    <w:rsid w:val="00D54A89"/>
    <w:rsid w:val="00D6160F"/>
    <w:rsid w:val="00D61686"/>
    <w:rsid w:val="00D61A78"/>
    <w:rsid w:val="00D62E12"/>
    <w:rsid w:val="00D63B64"/>
    <w:rsid w:val="00D64667"/>
    <w:rsid w:val="00D64FD2"/>
    <w:rsid w:val="00D65185"/>
    <w:rsid w:val="00D71013"/>
    <w:rsid w:val="00D74526"/>
    <w:rsid w:val="00D7481D"/>
    <w:rsid w:val="00D75DFC"/>
    <w:rsid w:val="00D77F9B"/>
    <w:rsid w:val="00D80009"/>
    <w:rsid w:val="00D819FE"/>
    <w:rsid w:val="00D81B17"/>
    <w:rsid w:val="00D81FF8"/>
    <w:rsid w:val="00D82252"/>
    <w:rsid w:val="00D82E5F"/>
    <w:rsid w:val="00D832E3"/>
    <w:rsid w:val="00D83976"/>
    <w:rsid w:val="00D84419"/>
    <w:rsid w:val="00D84448"/>
    <w:rsid w:val="00D84F90"/>
    <w:rsid w:val="00D86A57"/>
    <w:rsid w:val="00D86B83"/>
    <w:rsid w:val="00D87A8B"/>
    <w:rsid w:val="00D90464"/>
    <w:rsid w:val="00D91A65"/>
    <w:rsid w:val="00D926C0"/>
    <w:rsid w:val="00D92FDC"/>
    <w:rsid w:val="00D94B4E"/>
    <w:rsid w:val="00DA0292"/>
    <w:rsid w:val="00DA14F9"/>
    <w:rsid w:val="00DA15F5"/>
    <w:rsid w:val="00DA2612"/>
    <w:rsid w:val="00DA26C5"/>
    <w:rsid w:val="00DA3AF4"/>
    <w:rsid w:val="00DA4C8F"/>
    <w:rsid w:val="00DB024B"/>
    <w:rsid w:val="00DB3894"/>
    <w:rsid w:val="00DB48D9"/>
    <w:rsid w:val="00DB55CA"/>
    <w:rsid w:val="00DB7BCA"/>
    <w:rsid w:val="00DC0A06"/>
    <w:rsid w:val="00DC171A"/>
    <w:rsid w:val="00DC1884"/>
    <w:rsid w:val="00DC2809"/>
    <w:rsid w:val="00DC3371"/>
    <w:rsid w:val="00DC620D"/>
    <w:rsid w:val="00DC68CE"/>
    <w:rsid w:val="00DC7C8E"/>
    <w:rsid w:val="00DD1E91"/>
    <w:rsid w:val="00DD2FC2"/>
    <w:rsid w:val="00DD324A"/>
    <w:rsid w:val="00DD347A"/>
    <w:rsid w:val="00DD5303"/>
    <w:rsid w:val="00DD5D65"/>
    <w:rsid w:val="00DD5EA9"/>
    <w:rsid w:val="00DD6F52"/>
    <w:rsid w:val="00DD715A"/>
    <w:rsid w:val="00DE0083"/>
    <w:rsid w:val="00DE0529"/>
    <w:rsid w:val="00DE0A0F"/>
    <w:rsid w:val="00DE0E8F"/>
    <w:rsid w:val="00DE296B"/>
    <w:rsid w:val="00DE2AEC"/>
    <w:rsid w:val="00DE63E8"/>
    <w:rsid w:val="00DF0179"/>
    <w:rsid w:val="00DF0AAB"/>
    <w:rsid w:val="00DF1CF9"/>
    <w:rsid w:val="00DF3E9D"/>
    <w:rsid w:val="00DF4004"/>
    <w:rsid w:val="00DF6368"/>
    <w:rsid w:val="00E028D5"/>
    <w:rsid w:val="00E032BB"/>
    <w:rsid w:val="00E03756"/>
    <w:rsid w:val="00E0392E"/>
    <w:rsid w:val="00E043A6"/>
    <w:rsid w:val="00E043D0"/>
    <w:rsid w:val="00E04452"/>
    <w:rsid w:val="00E122FB"/>
    <w:rsid w:val="00E12F9B"/>
    <w:rsid w:val="00E13630"/>
    <w:rsid w:val="00E14105"/>
    <w:rsid w:val="00E1427B"/>
    <w:rsid w:val="00E1725A"/>
    <w:rsid w:val="00E175A8"/>
    <w:rsid w:val="00E20937"/>
    <w:rsid w:val="00E216F2"/>
    <w:rsid w:val="00E218FA"/>
    <w:rsid w:val="00E30F5C"/>
    <w:rsid w:val="00E345AE"/>
    <w:rsid w:val="00E35AED"/>
    <w:rsid w:val="00E37FA2"/>
    <w:rsid w:val="00E42492"/>
    <w:rsid w:val="00E4376E"/>
    <w:rsid w:val="00E44EEE"/>
    <w:rsid w:val="00E47BE9"/>
    <w:rsid w:val="00E5020E"/>
    <w:rsid w:val="00E50386"/>
    <w:rsid w:val="00E51F06"/>
    <w:rsid w:val="00E522CA"/>
    <w:rsid w:val="00E52DC0"/>
    <w:rsid w:val="00E53848"/>
    <w:rsid w:val="00E53F9E"/>
    <w:rsid w:val="00E5558A"/>
    <w:rsid w:val="00E555EF"/>
    <w:rsid w:val="00E5564D"/>
    <w:rsid w:val="00E57D67"/>
    <w:rsid w:val="00E606AB"/>
    <w:rsid w:val="00E6248E"/>
    <w:rsid w:val="00E639F3"/>
    <w:rsid w:val="00E70115"/>
    <w:rsid w:val="00E7129A"/>
    <w:rsid w:val="00E728F1"/>
    <w:rsid w:val="00E75BE9"/>
    <w:rsid w:val="00E7645E"/>
    <w:rsid w:val="00E777A0"/>
    <w:rsid w:val="00E817CE"/>
    <w:rsid w:val="00E82888"/>
    <w:rsid w:val="00E828A0"/>
    <w:rsid w:val="00E831DB"/>
    <w:rsid w:val="00E84500"/>
    <w:rsid w:val="00E85102"/>
    <w:rsid w:val="00E917AC"/>
    <w:rsid w:val="00E94030"/>
    <w:rsid w:val="00E96060"/>
    <w:rsid w:val="00E96174"/>
    <w:rsid w:val="00E9639D"/>
    <w:rsid w:val="00E96415"/>
    <w:rsid w:val="00E967AE"/>
    <w:rsid w:val="00E97648"/>
    <w:rsid w:val="00EA04AD"/>
    <w:rsid w:val="00EA215C"/>
    <w:rsid w:val="00EA3789"/>
    <w:rsid w:val="00EA3AD0"/>
    <w:rsid w:val="00EA416E"/>
    <w:rsid w:val="00EA5B0E"/>
    <w:rsid w:val="00EA660A"/>
    <w:rsid w:val="00EA7C80"/>
    <w:rsid w:val="00EA7FD7"/>
    <w:rsid w:val="00EB0021"/>
    <w:rsid w:val="00EB0221"/>
    <w:rsid w:val="00EB1EA7"/>
    <w:rsid w:val="00EB1FFC"/>
    <w:rsid w:val="00EB3123"/>
    <w:rsid w:val="00EB37E1"/>
    <w:rsid w:val="00EB55B1"/>
    <w:rsid w:val="00EB60CE"/>
    <w:rsid w:val="00EB6CAC"/>
    <w:rsid w:val="00EC1B64"/>
    <w:rsid w:val="00EC214F"/>
    <w:rsid w:val="00EC2B8A"/>
    <w:rsid w:val="00EC2BC4"/>
    <w:rsid w:val="00EC33C4"/>
    <w:rsid w:val="00EC3D2B"/>
    <w:rsid w:val="00EC4329"/>
    <w:rsid w:val="00EC480D"/>
    <w:rsid w:val="00EC5FFB"/>
    <w:rsid w:val="00EC7143"/>
    <w:rsid w:val="00ED1557"/>
    <w:rsid w:val="00ED2615"/>
    <w:rsid w:val="00ED4581"/>
    <w:rsid w:val="00ED482F"/>
    <w:rsid w:val="00ED4CB0"/>
    <w:rsid w:val="00ED6D71"/>
    <w:rsid w:val="00ED7BA0"/>
    <w:rsid w:val="00ED7EE8"/>
    <w:rsid w:val="00EE1FF6"/>
    <w:rsid w:val="00EE2806"/>
    <w:rsid w:val="00EE2CB0"/>
    <w:rsid w:val="00EE4916"/>
    <w:rsid w:val="00EE68B8"/>
    <w:rsid w:val="00EE72DA"/>
    <w:rsid w:val="00EF1A9D"/>
    <w:rsid w:val="00EF24FF"/>
    <w:rsid w:val="00EF2A89"/>
    <w:rsid w:val="00EF4C49"/>
    <w:rsid w:val="00EF4CEE"/>
    <w:rsid w:val="00EF51B5"/>
    <w:rsid w:val="00EF55D6"/>
    <w:rsid w:val="00F0034F"/>
    <w:rsid w:val="00F00D7F"/>
    <w:rsid w:val="00F02B7D"/>
    <w:rsid w:val="00F06262"/>
    <w:rsid w:val="00F06881"/>
    <w:rsid w:val="00F129D2"/>
    <w:rsid w:val="00F12A8A"/>
    <w:rsid w:val="00F132B9"/>
    <w:rsid w:val="00F13490"/>
    <w:rsid w:val="00F1385E"/>
    <w:rsid w:val="00F13C51"/>
    <w:rsid w:val="00F15775"/>
    <w:rsid w:val="00F15BE8"/>
    <w:rsid w:val="00F21992"/>
    <w:rsid w:val="00F22A55"/>
    <w:rsid w:val="00F23285"/>
    <w:rsid w:val="00F23675"/>
    <w:rsid w:val="00F23FD4"/>
    <w:rsid w:val="00F24FFE"/>
    <w:rsid w:val="00F2610F"/>
    <w:rsid w:val="00F2680A"/>
    <w:rsid w:val="00F26CDB"/>
    <w:rsid w:val="00F26EEF"/>
    <w:rsid w:val="00F2703B"/>
    <w:rsid w:val="00F27366"/>
    <w:rsid w:val="00F27496"/>
    <w:rsid w:val="00F310E5"/>
    <w:rsid w:val="00F34901"/>
    <w:rsid w:val="00F35327"/>
    <w:rsid w:val="00F37B78"/>
    <w:rsid w:val="00F40082"/>
    <w:rsid w:val="00F40281"/>
    <w:rsid w:val="00F4073F"/>
    <w:rsid w:val="00F41E11"/>
    <w:rsid w:val="00F44B68"/>
    <w:rsid w:val="00F468DD"/>
    <w:rsid w:val="00F5096E"/>
    <w:rsid w:val="00F53367"/>
    <w:rsid w:val="00F541AD"/>
    <w:rsid w:val="00F544A8"/>
    <w:rsid w:val="00F548DE"/>
    <w:rsid w:val="00F6115C"/>
    <w:rsid w:val="00F612A9"/>
    <w:rsid w:val="00F61B9E"/>
    <w:rsid w:val="00F61EFA"/>
    <w:rsid w:val="00F67D84"/>
    <w:rsid w:val="00F73E44"/>
    <w:rsid w:val="00F752C1"/>
    <w:rsid w:val="00F77376"/>
    <w:rsid w:val="00F77D10"/>
    <w:rsid w:val="00F83505"/>
    <w:rsid w:val="00F84799"/>
    <w:rsid w:val="00F847D1"/>
    <w:rsid w:val="00F91CBB"/>
    <w:rsid w:val="00F9292D"/>
    <w:rsid w:val="00F940CB"/>
    <w:rsid w:val="00FA0B8A"/>
    <w:rsid w:val="00FA4456"/>
    <w:rsid w:val="00FB029A"/>
    <w:rsid w:val="00FB44B6"/>
    <w:rsid w:val="00FB6AF8"/>
    <w:rsid w:val="00FB72FA"/>
    <w:rsid w:val="00FB7AE3"/>
    <w:rsid w:val="00FC0260"/>
    <w:rsid w:val="00FC0BBA"/>
    <w:rsid w:val="00FC1696"/>
    <w:rsid w:val="00FC2072"/>
    <w:rsid w:val="00FC221C"/>
    <w:rsid w:val="00FC2678"/>
    <w:rsid w:val="00FC26E0"/>
    <w:rsid w:val="00FC279A"/>
    <w:rsid w:val="00FC5966"/>
    <w:rsid w:val="00FD06CA"/>
    <w:rsid w:val="00FD07D0"/>
    <w:rsid w:val="00FD0D5A"/>
    <w:rsid w:val="00FD136F"/>
    <w:rsid w:val="00FD2389"/>
    <w:rsid w:val="00FD2711"/>
    <w:rsid w:val="00FD29CC"/>
    <w:rsid w:val="00FD3700"/>
    <w:rsid w:val="00FD44D0"/>
    <w:rsid w:val="00FD551A"/>
    <w:rsid w:val="00FD61C2"/>
    <w:rsid w:val="00FE0B92"/>
    <w:rsid w:val="00FE1FB7"/>
    <w:rsid w:val="00FE2EB5"/>
    <w:rsid w:val="00FE33E4"/>
    <w:rsid w:val="00FE40E1"/>
    <w:rsid w:val="00FE40F3"/>
    <w:rsid w:val="00FE628A"/>
    <w:rsid w:val="00FE6F82"/>
    <w:rsid w:val="00FE781B"/>
    <w:rsid w:val="00FF7953"/>
    <w:rsid w:val="00FF7F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2063F4"/>
    <w:pPr>
      <w:spacing w:after="360" w:line="240" w:lineRule="auto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857F23"/>
    <w:pPr>
      <w:numPr>
        <w:numId w:val="5"/>
      </w:numPr>
      <w:spacing w:before="400" w:after="80"/>
      <w:outlineLvl w:val="1"/>
    </w:pPr>
    <w:rPr>
      <w:sz w:val="40"/>
      <w:szCs w:val="40"/>
    </w:rPr>
  </w:style>
  <w:style w:type="paragraph" w:styleId="Heading3">
    <w:name w:val="heading 3"/>
    <w:next w:val="BodyText"/>
    <w:link w:val="Heading3Char"/>
    <w:qFormat/>
    <w:rsid w:val="00263EDE"/>
    <w:pPr>
      <w:spacing w:before="240" w:after="80"/>
      <w:outlineLvl w:val="2"/>
    </w:pPr>
    <w:rPr>
      <w:rFonts w:cs="Arial"/>
      <w:b/>
      <w:noProof/>
      <w:color w:val="2C5C86"/>
      <w:sz w:val="30"/>
      <w:szCs w:val="30"/>
      <w:lang w:eastAsia="en-AU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857F2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3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263EDE"/>
    <w:rPr>
      <w:rFonts w:cs="Arial"/>
      <w:b/>
      <w:noProof/>
      <w:color w:val="2C5C86"/>
      <w:sz w:val="30"/>
      <w:szCs w:val="30"/>
      <w:lang w:eastAsia="en-AU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noProof/>
      <w:color w:val="2C5C86"/>
      <w:sz w:val="40"/>
      <w:szCs w:val="40"/>
      <w:lang w:eastAsia="en-AU"/>
    </w:rPr>
  </w:style>
  <w:style w:type="paragraph" w:styleId="ListParagraph">
    <w:name w:val="List Paragraph"/>
    <w:aliases w:val="List Paragraph11,Recommendation,List Paragraph1,L,Bullet point,List Paragraph111,F5 List Paragraph,Dot pt,CV text,Table text,Medium Grid 1 - Accent 21,Numbered Paragraph,List Paragraph2,NFP GP Bulleted List,FooterText,numbered,列出段,0Bullet"/>
    <w:basedOn w:val="BodyText"/>
    <w:next w:val="BodyText"/>
    <w:link w:val="ListParagraphChar"/>
    <w:uiPriority w:val="34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857F23"/>
    <w:pPr>
      <w:spacing w:before="40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857F2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efault">
    <w:name w:val="Default"/>
    <w:rsid w:val="00763D21"/>
    <w:pPr>
      <w:autoSpaceDE w:val="0"/>
      <w:autoSpaceDN w:val="0"/>
      <w:adjustRightInd w:val="0"/>
    </w:pPr>
    <w:rPr>
      <w:rFonts w:eastAsiaTheme="minorHAnsi" w:cs="Arial"/>
      <w:color w:val="000000"/>
      <w14:ligatures w14:val="standardContextual"/>
    </w:rPr>
  </w:style>
  <w:style w:type="paragraph" w:styleId="NormalWeb">
    <w:name w:val="Normal (Web)"/>
    <w:basedOn w:val="Normal"/>
    <w:uiPriority w:val="99"/>
    <w:unhideWhenUsed/>
    <w:rsid w:val="0040016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styleId="Emphasis">
    <w:name w:val="Emphasis"/>
    <w:basedOn w:val="DefaultParagraphFont"/>
    <w:uiPriority w:val="20"/>
    <w:qFormat/>
    <w:rsid w:val="00905F93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631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312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6312"/>
    <w:rPr>
      <w:vertAlign w:val="superscript"/>
    </w:rPr>
  </w:style>
  <w:style w:type="table" w:styleId="GridTable6Colorful-Accent5">
    <w:name w:val="Grid Table 6 Colorful Accent 5"/>
    <w:basedOn w:val="TableNormal"/>
    <w:uiPriority w:val="51"/>
    <w:rsid w:val="00321FBC"/>
    <w:rPr>
      <w:rFonts w:asciiTheme="minorHAnsi" w:eastAsiaTheme="minorHAnsi" w:hAnsiTheme="minorHAnsi" w:cstheme="minorBidi"/>
      <w:color w:val="D8A210" w:themeColor="accent5" w:themeShade="BF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F6DB8F" w:themeColor="accent5" w:themeTint="99"/>
        <w:left w:val="single" w:sz="4" w:space="0" w:color="F6DB8F" w:themeColor="accent5" w:themeTint="99"/>
        <w:bottom w:val="single" w:sz="4" w:space="0" w:color="F6DB8F" w:themeColor="accent5" w:themeTint="99"/>
        <w:right w:val="single" w:sz="4" w:space="0" w:color="F6DB8F" w:themeColor="accent5" w:themeTint="99"/>
        <w:insideH w:val="single" w:sz="4" w:space="0" w:color="F6DB8F" w:themeColor="accent5" w:themeTint="99"/>
        <w:insideV w:val="single" w:sz="4" w:space="0" w:color="F6DB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DB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B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3D9" w:themeFill="accent5" w:themeFillTint="33"/>
      </w:tcPr>
    </w:tblStylePr>
    <w:tblStylePr w:type="band1Horz">
      <w:tblPr/>
      <w:tcPr>
        <w:shd w:val="clear" w:color="auto" w:fill="FCF3D9" w:themeFill="accent5" w:themeFillTint="33"/>
      </w:tcPr>
    </w:tblStylePr>
  </w:style>
  <w:style w:type="character" w:customStyle="1" w:styleId="ListParagraphChar">
    <w:name w:val="List Paragraph Char"/>
    <w:aliases w:val="List Paragraph11 Char,Recommendation Char,List Paragraph1 Char,L Char,Bullet point Char,List Paragraph111 Char,F5 List Paragraph Char,Dot pt Char,CV text Char,Table text Char,Medium Grid 1 - Accent 21 Char,Numbered Paragraph Char"/>
    <w:link w:val="ListParagraph"/>
    <w:uiPriority w:val="34"/>
    <w:qFormat/>
    <w:locked/>
    <w:rsid w:val="004535F1"/>
    <w:rPr>
      <w:rFonts w:cs="Arial"/>
    </w:rPr>
  </w:style>
  <w:style w:type="paragraph" w:styleId="EndnoteText">
    <w:name w:val="endnote text"/>
    <w:basedOn w:val="Normal"/>
    <w:link w:val="EndnoteTextChar"/>
    <w:semiHidden/>
    <w:unhideWhenUsed/>
    <w:rsid w:val="00FE6F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E6F82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FE6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26" Type="http://schemas.openxmlformats.org/officeDocument/2006/relationships/hyperlink" Target="https://www.aihw.gov.au/reports/disability/people-with-disability-in-australia/contents/social-support/social-inclusion" TargetMode="External"/><Relationship Id="rId39" Type="http://schemas.openxmlformats.org/officeDocument/2006/relationships/hyperlink" Target="https://www.wacoss.org.au/library/lived-experience-framework-principles-practices-lived-experience-partnership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image" Target="media/image12.png"/><Relationship Id="rId42" Type="http://schemas.openxmlformats.org/officeDocument/2006/relationships/hyperlink" Target="https://www.who.int/publications/i/item/9789240010529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5" Type="http://schemas.openxmlformats.org/officeDocument/2006/relationships/hyperlink" Target="https://humanrights.gov.au/our-work/disability-rights/publications/disability-action-plan-guide-2021" TargetMode="External"/><Relationship Id="rId33" Type="http://schemas.openxmlformats.org/officeDocument/2006/relationships/image" Target="media/image11.png"/><Relationship Id="rId38" Type="http://schemas.openxmlformats.org/officeDocument/2006/relationships/hyperlink" Target="https://www.mhc.wa.gov.au/about-us/stakeholder-engagement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3.xml"/><Relationship Id="rId29" Type="http://schemas.openxmlformats.org/officeDocument/2006/relationships/hyperlink" Target="https://iap2.org.au/resources/spectrum/" TargetMode="External"/><Relationship Id="rId41" Type="http://schemas.openxmlformats.org/officeDocument/2006/relationships/hyperlink" Target="https://www.tamarackcommunity.ca/interactive-tools/index-of-community-engagement-technique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scia.org.au/wp-content/uploads/2020/09/sub42a_ALGA.pdf" TargetMode="External"/><Relationship Id="rId32" Type="http://schemas.openxmlformats.org/officeDocument/2006/relationships/image" Target="media/image10.png"/><Relationship Id="rId37" Type="http://schemas.openxmlformats.org/officeDocument/2006/relationships/image" Target="media/image15.png"/><Relationship Id="rId40" Type="http://schemas.openxmlformats.org/officeDocument/2006/relationships/hyperlink" Target="https://www.disabilitygateway.gov.au/good-practice-guidelines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s://www.abs.gov.au/statistics/health/disability/disability-ageing-and-carers-australia-summary-findings/2018" TargetMode="External"/><Relationship Id="rId28" Type="http://schemas.openxmlformats.org/officeDocument/2006/relationships/hyperlink" Target="https://www.dca.org.au/wp-content/uploads/2024/11/DCA_Case_for_Inclusion@Work_2023-2024.pdf" TargetMode="External"/><Relationship Id="rId36" Type="http://schemas.openxmlformats.org/officeDocument/2006/relationships/image" Target="media/image14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image" Target="media/image9.sv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mailto:disabilitystatestrategy@communities.wa.gov.au" TargetMode="External"/><Relationship Id="rId27" Type="http://schemas.openxmlformats.org/officeDocument/2006/relationships/hyperlink" Target="https://www.deloitte.com/au/en/services/economics/perspectives/economic-benefits-improving-social-inclusion.html" TargetMode="External"/><Relationship Id="rId30" Type="http://schemas.openxmlformats.org/officeDocument/2006/relationships/image" Target="media/image8.png"/><Relationship Id="rId35" Type="http://schemas.openxmlformats.org/officeDocument/2006/relationships/image" Target="media/image13.png"/><Relationship Id="rId43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ap2.org.au/resources/spectrum/" TargetMode="External"/><Relationship Id="rId3" Type="http://schemas.openxmlformats.org/officeDocument/2006/relationships/hyperlink" Target="https://humanrights.gov.au/our-work/disability-rights/publications/disability-action-plan-guide-2021" TargetMode="External"/><Relationship Id="rId7" Type="http://schemas.openxmlformats.org/officeDocument/2006/relationships/hyperlink" Target="https://www.deloitte.com/au/en/services/economics/perspectives/economic-benefits-improving-social-inclusion.html" TargetMode="External"/><Relationship Id="rId2" Type="http://schemas.openxmlformats.org/officeDocument/2006/relationships/hyperlink" Target="https://pwd.org.au/resources/models-of-disability/" TargetMode="External"/><Relationship Id="rId1" Type="http://schemas.openxmlformats.org/officeDocument/2006/relationships/hyperlink" Target="https://www.abs.gov.au/statistics/health/disability/disability-ageing-and-carers-australia-summary-findings/latest-release" TargetMode="External"/><Relationship Id="rId6" Type="http://schemas.openxmlformats.org/officeDocument/2006/relationships/hyperlink" Target="https://www.dca.org.au/wp-content/uploads/2024/11/DCA_Case_for_Inclusion@Work_2023-2024.pdf" TargetMode="External"/><Relationship Id="rId5" Type="http://schemas.openxmlformats.org/officeDocument/2006/relationships/hyperlink" Target="https://humanrights.gov.au/our-work/disability-rights/publications/disability-action-plan-guide-2021" TargetMode="External"/><Relationship Id="rId4" Type="http://schemas.openxmlformats.org/officeDocument/2006/relationships/hyperlink" Target="https://www.aihw.gov.au/reports/disability/people-with-disability-in-australia/contents/social-support/social-inclusio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9927d-a993-4410-b48d-734d4bcf1f5b" xsi:nil="true"/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7DBFDB8B19423F4B9B23CEB715D3E292" ma:contentTypeVersion="2" ma:contentTypeDescription="Department of Communities document" ma:contentTypeScope="" ma:versionID="db381e48c2409fd31f39bd7531e68f2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57c4b00e6a9cd8e020db274d455cf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59822b-6410-490c-9715-c425e4d98990}" ma:internalName="TaxCatchAll" ma:showField="CatchAllData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59822b-6410-490c-9715-c425e4d98990}" ma:internalName="TaxCatchAllLabel" ma:readOnly="true" ma:showField="CatchAllDataLabel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08BF0-AE71-4B7D-82C2-83805A43A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84E3C-AF87-45D8-B169-58211EF27785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3.xml><?xml version="1.0" encoding="utf-8"?>
<ds:datastoreItem xmlns:ds="http://schemas.openxmlformats.org/officeDocument/2006/customXml" ds:itemID="{4064E5A8-3EEB-46C8-BDDA-0E961E36993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BB633A-80EF-4E41-9EAA-0E796F1AC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4286</Words>
  <Characters>24436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28665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2024-12-17T02:54:00Z</dcterms:created>
  <dcterms:modified xsi:type="dcterms:W3CDTF">2025-03-31T07:21:00Z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0x01010000739C5F412E4FFF9422A5756B897F2D007DBFDB8B19423F4B9B23CEB715D3E292</vt:lpwstr>
  </property>
  <property fmtid="{D5CDD505-2E9C-101B-9397-08002B2CF9AE}" pid="3" name="Order">
    <vt:r8>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H_Service2">
    <vt:lpwstr/>
  </property>
  <property fmtid="{D5CDD505-2E9C-101B-9397-08002B2CF9AE}" pid="12" name="lcf76f155ced4ddcb4097134ff3c332f">
    <vt:lpwstr/>
  </property>
  <property fmtid="{D5CDD505-2E9C-101B-9397-08002B2CF9AE}" pid="13" name="ClassificationContentMarkingHeaderShapeIds">
    <vt:lpwstr>3e928416,5855d7a1,7ad93c41</vt:lpwstr>
  </property>
  <property fmtid="{D5CDD505-2E9C-101B-9397-08002B2CF9AE}" pid="14" name="ClassificationContentMarkingHeaderFontProps">
    <vt:lpwstr>#ff0000,14,Calibri</vt:lpwstr>
  </property>
  <property fmtid="{D5CDD505-2E9C-101B-9397-08002B2CF9AE}" pid="15" name="ClassificationContentMarkingHeaderText">
    <vt:lpwstr>OFFICIAL</vt:lpwstr>
  </property>
  <property fmtid="{D5CDD505-2E9C-101B-9397-08002B2CF9AE}" pid="16" name="MSIP_Label_01af4abc-7e38-4153-bace-cc7e19e3a22a_Enabled">
    <vt:lpwstr>true</vt:lpwstr>
  </property>
  <property fmtid="{D5CDD505-2E9C-101B-9397-08002B2CF9AE}" pid="17" name="MSIP_Label_01af4abc-7e38-4153-bace-cc7e19e3a22a_SetDate">
    <vt:lpwstr>2025-03-06T04:42:45Z</vt:lpwstr>
  </property>
  <property fmtid="{D5CDD505-2E9C-101B-9397-08002B2CF9AE}" pid="18" name="MSIP_Label_01af4abc-7e38-4153-bace-cc7e19e3a22a_Method">
    <vt:lpwstr>Standard</vt:lpwstr>
  </property>
  <property fmtid="{D5CDD505-2E9C-101B-9397-08002B2CF9AE}" pid="19" name="MSIP_Label_01af4abc-7e38-4153-bace-cc7e19e3a22a_Name">
    <vt:lpwstr>Official</vt:lpwstr>
  </property>
  <property fmtid="{D5CDD505-2E9C-101B-9397-08002B2CF9AE}" pid="20" name="MSIP_Label_01af4abc-7e38-4153-bace-cc7e19e3a22a_SiteId">
    <vt:lpwstr>99036377-c0d4-4dde-be9e-1bac0c850429</vt:lpwstr>
  </property>
  <property fmtid="{D5CDD505-2E9C-101B-9397-08002B2CF9AE}" pid="21" name="MSIP_Label_01af4abc-7e38-4153-bace-cc7e19e3a22a_ActionId">
    <vt:lpwstr>6e9b72c9-3d41-48cc-8677-2e0930492c1c</vt:lpwstr>
  </property>
  <property fmtid="{D5CDD505-2E9C-101B-9397-08002B2CF9AE}" pid="22" name="MSIP_Label_01af4abc-7e38-4153-bace-cc7e19e3a22a_ContentBits">
    <vt:lpwstr>1</vt:lpwstr>
  </property>
</Properties>
</file>