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0" w:right="332" w:firstLine="0"/>
        <w:jc w:val="right"/>
        <w:rPr>
          <w:b/>
          <w:sz w:val="24"/>
        </w:rPr>
      </w:pPr>
      <w:r>
        <w:rPr>
          <w:b/>
          <w:sz w:val="24"/>
        </w:rPr>
        <w:t>Attachment</w:t>
      </w:r>
      <w:r>
        <w:rPr>
          <w:b/>
          <w:spacing w:val="-3"/>
          <w:sz w:val="24"/>
        </w:rPr>
        <w:t> </w:t>
      </w:r>
      <w:r>
        <w:rPr>
          <w:b/>
          <w:spacing w:val="-10"/>
          <w:sz w:val="24"/>
        </w:rPr>
        <w:t>A</w:t>
      </w:r>
    </w:p>
    <w:p>
      <w:pPr>
        <w:pStyle w:val="BodyText"/>
        <w:spacing w:before="0"/>
        <w:ind w:left="0"/>
        <w:jc w:val="left"/>
        <w:rPr>
          <w:b/>
          <w:sz w:val="26"/>
        </w:rPr>
      </w:pPr>
    </w:p>
    <w:p>
      <w:pPr>
        <w:pStyle w:val="BodyText"/>
        <w:spacing w:before="91"/>
        <w:ind w:left="0"/>
        <w:jc w:val="left"/>
        <w:rPr>
          <w:b/>
          <w:sz w:val="26"/>
        </w:rPr>
      </w:pPr>
    </w:p>
    <w:p>
      <w:pPr>
        <w:pStyle w:val="Title"/>
      </w:pPr>
      <w:bookmarkStart w:name="A PRIVATE PROPERTY RIGHTS CHARTER FOR WE" w:id="1"/>
      <w:bookmarkEnd w:id="1"/>
      <w:r>
        <w:rPr>
          <w:b w:val="0"/>
        </w:rPr>
      </w:r>
      <w:r>
        <w:rPr>
          <w:color w:val="365F91"/>
          <w:spacing w:val="-2"/>
        </w:rPr>
        <w:t>A</w:t>
      </w:r>
      <w:r>
        <w:rPr>
          <w:color w:val="365F91"/>
          <w:spacing w:val="-13"/>
        </w:rPr>
        <w:t> </w:t>
      </w:r>
      <w:r>
        <w:rPr>
          <w:color w:val="365F91"/>
          <w:spacing w:val="-2"/>
        </w:rPr>
        <w:t>PRIVATE</w:t>
      </w:r>
      <w:r>
        <w:rPr>
          <w:color w:val="365F91"/>
          <w:spacing w:val="-10"/>
        </w:rPr>
        <w:t> </w:t>
      </w:r>
      <w:r>
        <w:rPr>
          <w:color w:val="365F91"/>
          <w:spacing w:val="-2"/>
        </w:rPr>
        <w:t>PROPERTY</w:t>
      </w:r>
      <w:r>
        <w:rPr>
          <w:color w:val="365F91"/>
          <w:spacing w:val="-13"/>
        </w:rPr>
        <w:t> </w:t>
      </w:r>
      <w:r>
        <w:rPr>
          <w:color w:val="365F91"/>
          <w:spacing w:val="-2"/>
        </w:rPr>
        <w:t>RIGHTS</w:t>
      </w:r>
      <w:r>
        <w:rPr>
          <w:color w:val="365F91"/>
          <w:spacing w:val="-10"/>
        </w:rPr>
        <w:t> </w:t>
      </w:r>
      <w:r>
        <w:rPr>
          <w:color w:val="365F91"/>
          <w:spacing w:val="-2"/>
        </w:rPr>
        <w:t>CHARTER</w:t>
      </w:r>
      <w:r>
        <w:rPr>
          <w:color w:val="365F91"/>
          <w:spacing w:val="-12"/>
        </w:rPr>
        <w:t> </w:t>
      </w:r>
      <w:r>
        <w:rPr>
          <w:color w:val="365F91"/>
          <w:spacing w:val="-2"/>
        </w:rPr>
        <w:t>FOR</w:t>
      </w:r>
      <w:r>
        <w:rPr>
          <w:color w:val="365F91"/>
          <w:spacing w:val="-13"/>
        </w:rPr>
        <w:t> </w:t>
      </w:r>
      <w:r>
        <w:rPr>
          <w:color w:val="365F91"/>
          <w:spacing w:val="-2"/>
        </w:rPr>
        <w:t>WESTERN</w:t>
      </w:r>
      <w:r>
        <w:rPr>
          <w:color w:val="365F91"/>
          <w:spacing w:val="-7"/>
        </w:rPr>
        <w:t> </w:t>
      </w:r>
      <w:r>
        <w:rPr>
          <w:color w:val="365F91"/>
          <w:spacing w:val="-2"/>
        </w:rPr>
        <w:t>AUSTRALIA</w:t>
      </w:r>
    </w:p>
    <w:p>
      <w:pPr>
        <w:pStyle w:val="Heading1"/>
        <w:spacing w:before="241"/>
        <w:jc w:val="left"/>
      </w:pPr>
      <w:bookmarkStart w:name="Legality" w:id="2"/>
      <w:bookmarkEnd w:id="2"/>
      <w:r>
        <w:rPr>
          <w:b w:val="0"/>
        </w:rPr>
      </w:r>
      <w:r>
        <w:rPr>
          <w:color w:val="4F81BC"/>
          <w:spacing w:val="-2"/>
        </w:rPr>
        <w:t>Legality</w:t>
      </w:r>
    </w:p>
    <w:p>
      <w:pPr>
        <w:pStyle w:val="BodyText"/>
        <w:ind w:right="49"/>
        <w:jc w:val="left"/>
      </w:pPr>
      <w:r>
        <w:rPr/>
        <w:t>Government action which adversely affects private property rights in land may only be taken as authorised by, and in accordance with, the law.</w:t>
      </w:r>
    </w:p>
    <w:p>
      <w:pPr>
        <w:pStyle w:val="Heading1"/>
        <w:jc w:val="left"/>
      </w:pPr>
      <w:bookmarkStart w:name="Providing a community benefit" w:id="3"/>
      <w:bookmarkEnd w:id="3"/>
      <w:r>
        <w:rPr>
          <w:b w:val="0"/>
        </w:rPr>
      </w:r>
      <w:r>
        <w:rPr>
          <w:color w:val="4F81BC"/>
        </w:rPr>
        <w:t>Providing</w:t>
      </w:r>
      <w:r>
        <w:rPr>
          <w:color w:val="4F81BC"/>
          <w:spacing w:val="-4"/>
        </w:rPr>
        <w:t> </w:t>
      </w:r>
      <w:r>
        <w:rPr>
          <w:color w:val="4F81BC"/>
        </w:rPr>
        <w:t>a</w:t>
      </w:r>
      <w:r>
        <w:rPr>
          <w:color w:val="4F81BC"/>
          <w:spacing w:val="-2"/>
        </w:rPr>
        <w:t> </w:t>
      </w:r>
      <w:r>
        <w:rPr>
          <w:color w:val="4F81BC"/>
        </w:rPr>
        <w:t>community</w:t>
      </w:r>
      <w:r>
        <w:rPr>
          <w:color w:val="4F81BC"/>
          <w:spacing w:val="-6"/>
        </w:rPr>
        <w:t> </w:t>
      </w:r>
      <w:r>
        <w:rPr>
          <w:color w:val="4F81BC"/>
          <w:spacing w:val="-2"/>
        </w:rPr>
        <w:t>benefit</w:t>
      </w:r>
    </w:p>
    <w:p>
      <w:pPr>
        <w:pStyle w:val="BodyText"/>
        <w:jc w:val="left"/>
      </w:pPr>
      <w:r>
        <w:rPr/>
        <w:t>Government action which adversely affects private property rights in land should</w:t>
      </w:r>
      <w:r>
        <w:rPr>
          <w:spacing w:val="80"/>
        </w:rPr>
        <w:t> </w:t>
      </w:r>
      <w:r>
        <w:rPr/>
        <w:t>endeavour to benefit the community or otherwise advance the public interest.</w:t>
      </w:r>
    </w:p>
    <w:p>
      <w:pPr>
        <w:pStyle w:val="BodyText"/>
        <w:ind w:right="51"/>
      </w:pPr>
      <w:r>
        <w:rPr/>
        <w:t>Public officials should only take government action which adversely affects private property rights in land when they consider it to be justified, having regard to the appropriate balance between the public interest to be advanced by the action and the public interest in the protection of private property rights in land.</w:t>
      </w:r>
    </w:p>
    <w:p>
      <w:pPr>
        <w:pStyle w:val="Heading1"/>
      </w:pPr>
      <w:bookmarkStart w:name="Considering the interests of private lan" w:id="4"/>
      <w:bookmarkEnd w:id="4"/>
      <w:r>
        <w:rPr>
          <w:b w:val="0"/>
        </w:rPr>
      </w:r>
      <w:r>
        <w:rPr>
          <w:color w:val="4F81BC"/>
        </w:rPr>
        <w:t>Considering</w:t>
      </w:r>
      <w:r>
        <w:rPr>
          <w:color w:val="4F81BC"/>
          <w:spacing w:val="-4"/>
        </w:rPr>
        <w:t> </w:t>
      </w:r>
      <w:r>
        <w:rPr>
          <w:color w:val="4F81BC"/>
        </w:rPr>
        <w:t>the</w:t>
      </w:r>
      <w:r>
        <w:rPr>
          <w:color w:val="4F81BC"/>
          <w:spacing w:val="-3"/>
        </w:rPr>
        <w:t> </w:t>
      </w:r>
      <w:r>
        <w:rPr>
          <w:color w:val="4F81BC"/>
        </w:rPr>
        <w:t>interests</w:t>
      </w:r>
      <w:r>
        <w:rPr>
          <w:color w:val="4F81BC"/>
          <w:spacing w:val="-2"/>
        </w:rPr>
        <w:t> </w:t>
      </w:r>
      <w:r>
        <w:rPr>
          <w:color w:val="4F81BC"/>
        </w:rPr>
        <w:t>of</w:t>
      </w:r>
      <w:r>
        <w:rPr>
          <w:color w:val="4F81BC"/>
          <w:spacing w:val="-4"/>
        </w:rPr>
        <w:t> </w:t>
      </w:r>
      <w:r>
        <w:rPr>
          <w:color w:val="4F81BC"/>
        </w:rPr>
        <w:t>private</w:t>
      </w:r>
      <w:r>
        <w:rPr>
          <w:color w:val="4F81BC"/>
          <w:spacing w:val="-3"/>
        </w:rPr>
        <w:t> </w:t>
      </w:r>
      <w:r>
        <w:rPr>
          <w:color w:val="4F81BC"/>
        </w:rPr>
        <w:t>land</w:t>
      </w:r>
      <w:r>
        <w:rPr>
          <w:color w:val="4F81BC"/>
          <w:spacing w:val="-3"/>
        </w:rPr>
        <w:t> </w:t>
      </w:r>
      <w:r>
        <w:rPr>
          <w:color w:val="4F81BC"/>
          <w:spacing w:val="-2"/>
        </w:rPr>
        <w:t>owners</w:t>
      </w:r>
    </w:p>
    <w:p>
      <w:pPr>
        <w:pStyle w:val="BodyText"/>
        <w:ind w:right="52"/>
      </w:pPr>
      <w:r>
        <w:rPr/>
        <w:t>Cost, inconvenience and loss sustained by private property owners should be considered when contemplating government action which will adversely affect private property rights in land, so far as the applicable legislation permits.</w:t>
      </w:r>
    </w:p>
    <w:p>
      <w:pPr>
        <w:pStyle w:val="BodyText"/>
        <w:ind w:right="50"/>
      </w:pPr>
      <w:r>
        <w:rPr/>
        <w:t>Public officials should resolve matters affecting private property rights in land, including any negotiations on acquisitions or compensation, without unreasonable delay.</w:t>
      </w:r>
      <w:r>
        <w:rPr>
          <w:spacing w:val="40"/>
        </w:rPr>
        <w:t> </w:t>
      </w:r>
      <w:r>
        <w:rPr/>
        <w:t>Whilst</w:t>
      </w:r>
      <w:r>
        <w:rPr>
          <w:spacing w:val="-4"/>
        </w:rPr>
        <w:t> </w:t>
      </w:r>
      <w:r>
        <w:rPr/>
        <w:t>disputes</w:t>
      </w:r>
      <w:r>
        <w:rPr>
          <w:spacing w:val="-4"/>
        </w:rPr>
        <w:t> </w:t>
      </w:r>
      <w:r>
        <w:rPr/>
        <w:t>should</w:t>
      </w:r>
      <w:r>
        <w:rPr>
          <w:spacing w:val="-3"/>
        </w:rPr>
        <w:t> </w:t>
      </w:r>
      <w:r>
        <w:rPr/>
        <w:t>be</w:t>
      </w:r>
      <w:r>
        <w:rPr>
          <w:spacing w:val="-3"/>
        </w:rPr>
        <w:t> </w:t>
      </w:r>
      <w:r>
        <w:rPr/>
        <w:t>attempted</w:t>
      </w:r>
      <w:r>
        <w:rPr>
          <w:spacing w:val="-1"/>
        </w:rPr>
        <w:t> </w:t>
      </w:r>
      <w:r>
        <w:rPr/>
        <w:t>to</w:t>
      </w:r>
      <w:r>
        <w:rPr>
          <w:spacing w:val="-3"/>
        </w:rPr>
        <w:t> </w:t>
      </w:r>
      <w:r>
        <w:rPr/>
        <w:t>be</w:t>
      </w:r>
      <w:r>
        <w:rPr>
          <w:spacing w:val="-1"/>
        </w:rPr>
        <w:t> </w:t>
      </w:r>
      <w:r>
        <w:rPr/>
        <w:t>resolved</w:t>
      </w:r>
      <w:r>
        <w:rPr>
          <w:spacing w:val="-1"/>
        </w:rPr>
        <w:t> </w:t>
      </w:r>
      <w:r>
        <w:rPr/>
        <w:t>by</w:t>
      </w:r>
      <w:r>
        <w:rPr>
          <w:spacing w:val="-4"/>
        </w:rPr>
        <w:t> </w:t>
      </w:r>
      <w:r>
        <w:rPr/>
        <w:t>agreement</w:t>
      </w:r>
      <w:r>
        <w:rPr>
          <w:spacing w:val="-1"/>
        </w:rPr>
        <w:t> </w:t>
      </w:r>
      <w:r>
        <w:rPr/>
        <w:t>in</w:t>
      </w:r>
      <w:r>
        <w:rPr>
          <w:spacing w:val="-3"/>
        </w:rPr>
        <w:t> </w:t>
      </w:r>
      <w:r>
        <w:rPr/>
        <w:t>the</w:t>
      </w:r>
      <w:r>
        <w:rPr>
          <w:spacing w:val="-6"/>
        </w:rPr>
        <w:t> </w:t>
      </w:r>
      <w:r>
        <w:rPr/>
        <w:t>first instance, public officials should initiate available legal processes to determine the dispute in order to avoid protracted delays.</w:t>
      </w:r>
    </w:p>
    <w:p>
      <w:pPr>
        <w:pStyle w:val="Heading1"/>
      </w:pPr>
      <w:bookmarkStart w:name="Considering alternatives" w:id="5"/>
      <w:bookmarkEnd w:id="5"/>
      <w:r>
        <w:rPr>
          <w:b w:val="0"/>
        </w:rPr>
      </w:r>
      <w:r>
        <w:rPr>
          <w:color w:val="4F81BC"/>
        </w:rPr>
        <w:t>Considering</w:t>
      </w:r>
      <w:r>
        <w:rPr>
          <w:color w:val="4F81BC"/>
          <w:spacing w:val="-5"/>
        </w:rPr>
        <w:t> </w:t>
      </w:r>
      <w:r>
        <w:rPr>
          <w:color w:val="4F81BC"/>
          <w:spacing w:val="-2"/>
        </w:rPr>
        <w:t>alternatives</w:t>
      </w:r>
    </w:p>
    <w:p>
      <w:pPr>
        <w:pStyle w:val="BodyText"/>
        <w:ind w:right="50"/>
      </w:pPr>
      <w:r>
        <w:rPr/>
        <w:t>Public officers should consider whether there are any alternative means by which the relevant community benefit or public interest could be advanced in a manner which avoids or reduces adverse effects on private property rights in land.</w:t>
      </w:r>
    </w:p>
    <w:p>
      <w:pPr>
        <w:pStyle w:val="Heading1"/>
      </w:pPr>
      <w:bookmarkStart w:name="Compulsory acquisition as last resort" w:id="6"/>
      <w:bookmarkEnd w:id="6"/>
      <w:r>
        <w:rPr>
          <w:b w:val="0"/>
        </w:rPr>
      </w:r>
      <w:r>
        <w:rPr>
          <w:color w:val="4F81BC"/>
        </w:rPr>
        <w:t>Compulsory</w:t>
      </w:r>
      <w:r>
        <w:rPr>
          <w:color w:val="4F81BC"/>
          <w:spacing w:val="-9"/>
        </w:rPr>
        <w:t> </w:t>
      </w:r>
      <w:r>
        <w:rPr>
          <w:color w:val="4F81BC"/>
        </w:rPr>
        <w:t>acquisition</w:t>
      </w:r>
      <w:r>
        <w:rPr>
          <w:color w:val="4F81BC"/>
          <w:spacing w:val="-2"/>
        </w:rPr>
        <w:t> </w:t>
      </w:r>
      <w:r>
        <w:rPr>
          <w:color w:val="4F81BC"/>
        </w:rPr>
        <w:t>as</w:t>
      </w:r>
      <w:r>
        <w:rPr>
          <w:color w:val="4F81BC"/>
          <w:spacing w:val="-1"/>
        </w:rPr>
        <w:t> </w:t>
      </w:r>
      <w:r>
        <w:rPr>
          <w:color w:val="4F81BC"/>
        </w:rPr>
        <w:t>last</w:t>
      </w:r>
      <w:r>
        <w:rPr>
          <w:color w:val="4F81BC"/>
          <w:spacing w:val="-3"/>
        </w:rPr>
        <w:t> </w:t>
      </w:r>
      <w:r>
        <w:rPr>
          <w:color w:val="4F81BC"/>
          <w:spacing w:val="-2"/>
        </w:rPr>
        <w:t>resort</w:t>
      </w:r>
    </w:p>
    <w:p>
      <w:pPr>
        <w:pStyle w:val="BodyText"/>
        <w:ind w:right="51"/>
      </w:pPr>
      <w:r>
        <w:rPr/>
        <w:t>Acquisition by agreement should be attempted before privately owned land is compulsorily acquired, where this will not unduly compromise the advancement of the relevant community benefit or public interest.</w:t>
      </w:r>
    </w:p>
    <w:p>
      <w:pPr>
        <w:pStyle w:val="Heading1"/>
      </w:pPr>
      <w:bookmarkStart w:name="Fair compensation, on just terms" w:id="7"/>
      <w:bookmarkEnd w:id="7"/>
      <w:r>
        <w:rPr>
          <w:b w:val="0"/>
        </w:rPr>
      </w:r>
      <w:r>
        <w:rPr>
          <w:color w:val="4F81BC"/>
        </w:rPr>
        <w:t>Fair</w:t>
      </w:r>
      <w:r>
        <w:rPr>
          <w:color w:val="4F81BC"/>
          <w:spacing w:val="-6"/>
        </w:rPr>
        <w:t> </w:t>
      </w:r>
      <w:r>
        <w:rPr>
          <w:color w:val="4F81BC"/>
        </w:rPr>
        <w:t>compensation,</w:t>
      </w:r>
      <w:r>
        <w:rPr>
          <w:color w:val="4F81BC"/>
          <w:spacing w:val="-3"/>
        </w:rPr>
        <w:t> </w:t>
      </w:r>
      <w:r>
        <w:rPr>
          <w:color w:val="4F81BC"/>
        </w:rPr>
        <w:t>on</w:t>
      </w:r>
      <w:r>
        <w:rPr>
          <w:color w:val="4F81BC"/>
          <w:spacing w:val="-4"/>
        </w:rPr>
        <w:t> </w:t>
      </w:r>
      <w:r>
        <w:rPr>
          <w:color w:val="4F81BC"/>
        </w:rPr>
        <w:t>just</w:t>
      </w:r>
      <w:r>
        <w:rPr>
          <w:color w:val="4F81BC"/>
          <w:spacing w:val="-4"/>
        </w:rPr>
        <w:t> </w:t>
      </w:r>
      <w:r>
        <w:rPr>
          <w:color w:val="4F81BC"/>
          <w:spacing w:val="-2"/>
        </w:rPr>
        <w:t>terms</w:t>
      </w:r>
    </w:p>
    <w:p>
      <w:pPr>
        <w:pStyle w:val="BodyText"/>
        <w:ind w:right="50"/>
      </w:pPr>
      <w:r>
        <w:rPr/>
        <w:t>Laws for the compulsory acquisition of privately owned land should provide for compensation in an amount that will, having regard to all relevant matters, justly compensate the landowner for the acquisition of the land in a manner which is fair to the community and the landowner.</w:t>
      </w:r>
    </w:p>
    <w:p>
      <w:pPr>
        <w:pStyle w:val="Heading1"/>
      </w:pPr>
      <w:bookmarkStart w:name="Transparency and clarity" w:id="8"/>
      <w:bookmarkEnd w:id="8"/>
      <w:r>
        <w:rPr>
          <w:b w:val="0"/>
        </w:rPr>
      </w:r>
      <w:r>
        <w:rPr>
          <w:color w:val="4F81BC"/>
        </w:rPr>
        <w:t>Transparency</w:t>
      </w:r>
      <w:r>
        <w:rPr>
          <w:color w:val="4F81BC"/>
          <w:spacing w:val="-6"/>
        </w:rPr>
        <w:t> </w:t>
      </w:r>
      <w:r>
        <w:rPr>
          <w:color w:val="4F81BC"/>
        </w:rPr>
        <w:t>and </w:t>
      </w:r>
      <w:r>
        <w:rPr>
          <w:color w:val="4F81BC"/>
          <w:spacing w:val="-2"/>
        </w:rPr>
        <w:t>clarity</w:t>
      </w:r>
    </w:p>
    <w:p>
      <w:pPr>
        <w:pStyle w:val="BodyText"/>
      </w:pPr>
      <w:r>
        <w:rPr/>
        <w:t>Laws</w:t>
      </w:r>
      <w:r>
        <w:rPr>
          <w:spacing w:val="28"/>
        </w:rPr>
        <w:t> </w:t>
      </w:r>
      <w:r>
        <w:rPr/>
        <w:t>which</w:t>
      </w:r>
      <w:r>
        <w:rPr>
          <w:spacing w:val="27"/>
        </w:rPr>
        <w:t> </w:t>
      </w:r>
      <w:r>
        <w:rPr/>
        <w:t>provide</w:t>
      </w:r>
      <w:r>
        <w:rPr>
          <w:spacing w:val="27"/>
        </w:rPr>
        <w:t> </w:t>
      </w:r>
      <w:r>
        <w:rPr/>
        <w:t>for</w:t>
      </w:r>
      <w:r>
        <w:rPr>
          <w:spacing w:val="26"/>
        </w:rPr>
        <w:t> </w:t>
      </w:r>
      <w:r>
        <w:rPr/>
        <w:t>government</w:t>
      </w:r>
      <w:r>
        <w:rPr>
          <w:spacing w:val="26"/>
        </w:rPr>
        <w:t> </w:t>
      </w:r>
      <w:r>
        <w:rPr/>
        <w:t>action</w:t>
      </w:r>
      <w:r>
        <w:rPr>
          <w:spacing w:val="27"/>
        </w:rPr>
        <w:t> </w:t>
      </w:r>
      <w:r>
        <w:rPr/>
        <w:t>that</w:t>
      </w:r>
      <w:r>
        <w:rPr>
          <w:spacing w:val="26"/>
        </w:rPr>
        <w:t> </w:t>
      </w:r>
      <w:r>
        <w:rPr/>
        <w:t>adversely</w:t>
      </w:r>
      <w:r>
        <w:rPr>
          <w:spacing w:val="24"/>
        </w:rPr>
        <w:t> </w:t>
      </w:r>
      <w:r>
        <w:rPr/>
        <w:t>affects</w:t>
      </w:r>
      <w:r>
        <w:rPr>
          <w:spacing w:val="23"/>
        </w:rPr>
        <w:t> </w:t>
      </w:r>
      <w:r>
        <w:rPr/>
        <w:t>private</w:t>
      </w:r>
      <w:r>
        <w:rPr>
          <w:spacing w:val="28"/>
        </w:rPr>
        <w:t> </w:t>
      </w:r>
      <w:r>
        <w:rPr>
          <w:spacing w:val="-2"/>
        </w:rPr>
        <w:t>property</w:t>
      </w:r>
    </w:p>
    <w:p>
      <w:pPr>
        <w:pStyle w:val="BodyText"/>
        <w:spacing w:after="0"/>
        <w:sectPr>
          <w:type w:val="continuous"/>
          <w:pgSz w:w="11910" w:h="16840"/>
          <w:pgMar w:top="920" w:bottom="280" w:left="1559" w:right="1417"/>
        </w:sectPr>
      </w:pPr>
    </w:p>
    <w:p>
      <w:pPr>
        <w:pStyle w:val="BodyText"/>
        <w:spacing w:before="76"/>
        <w:ind w:left="0" w:right="28"/>
        <w:jc w:val="center"/>
        <w:rPr>
          <w:rFonts w:ascii="Times New Roman"/>
        </w:rPr>
      </w:pPr>
      <w:r>
        <w:rPr>
          <w:rFonts w:ascii="Times New Roman"/>
          <w:spacing w:val="-10"/>
        </w:rPr>
        <w:t>2</w:t>
      </w:r>
    </w:p>
    <w:p>
      <w:pPr>
        <w:pStyle w:val="BodyText"/>
        <w:spacing w:before="34"/>
        <w:ind w:left="0"/>
        <w:jc w:val="left"/>
        <w:rPr>
          <w:rFonts w:ascii="Times New Roman"/>
        </w:rPr>
      </w:pPr>
    </w:p>
    <w:p>
      <w:pPr>
        <w:pStyle w:val="BodyText"/>
        <w:spacing w:before="1"/>
        <w:ind w:right="51"/>
      </w:pPr>
      <w:r>
        <w:rPr/>
        <w:t>rights in land should endeavour to ensure that legislation and processes pertaining to the acquisition are clear and readily understood.</w:t>
      </w:r>
    </w:p>
    <w:p>
      <w:pPr>
        <w:pStyle w:val="Heading1"/>
      </w:pPr>
      <w:bookmarkStart w:name="Certainty and Consistency" w:id="9"/>
      <w:bookmarkEnd w:id="9"/>
      <w:r>
        <w:rPr>
          <w:b w:val="0"/>
        </w:rPr>
      </w:r>
      <w:r>
        <w:rPr>
          <w:color w:val="4F81BC"/>
        </w:rPr>
        <w:t>Certainty</w:t>
      </w:r>
      <w:r>
        <w:rPr>
          <w:color w:val="4F81BC"/>
          <w:spacing w:val="-8"/>
        </w:rPr>
        <w:t> </w:t>
      </w:r>
      <w:r>
        <w:rPr>
          <w:color w:val="4F81BC"/>
        </w:rPr>
        <w:t>and</w:t>
      </w:r>
      <w:r>
        <w:rPr>
          <w:color w:val="4F81BC"/>
          <w:spacing w:val="-1"/>
        </w:rPr>
        <w:t> </w:t>
      </w:r>
      <w:r>
        <w:rPr>
          <w:color w:val="4F81BC"/>
          <w:spacing w:val="-2"/>
        </w:rPr>
        <w:t>Consistency</w:t>
      </w:r>
    </w:p>
    <w:p>
      <w:pPr>
        <w:pStyle w:val="BodyText"/>
        <w:ind w:right="55"/>
      </w:pPr>
      <w:r>
        <w:rPr/>
        <w:t>Laws for the compulsory acquisition of privately owned land should endeavour to </w:t>
      </w:r>
      <w:r>
        <w:rPr>
          <w:spacing w:val="-2"/>
        </w:rPr>
        <w:t>provide:</w:t>
      </w:r>
    </w:p>
    <w:p>
      <w:pPr>
        <w:pStyle w:val="ListParagraph"/>
        <w:numPr>
          <w:ilvl w:val="0"/>
          <w:numId w:val="1"/>
        </w:numPr>
        <w:tabs>
          <w:tab w:pos="1107" w:val="left" w:leader="none"/>
        </w:tabs>
        <w:spacing w:line="240" w:lineRule="auto" w:before="120" w:after="0"/>
        <w:ind w:left="1107" w:right="584" w:hanging="360"/>
        <w:jc w:val="both"/>
        <w:rPr>
          <w:sz w:val="24"/>
        </w:rPr>
      </w:pPr>
      <w:r>
        <w:rPr>
          <w:sz w:val="24"/>
        </w:rPr>
        <w:t>holders</w:t>
      </w:r>
      <w:r>
        <w:rPr>
          <w:spacing w:val="-5"/>
          <w:sz w:val="24"/>
        </w:rPr>
        <w:t> </w:t>
      </w:r>
      <w:r>
        <w:rPr>
          <w:sz w:val="24"/>
        </w:rPr>
        <w:t>of interests</w:t>
      </w:r>
      <w:r>
        <w:rPr>
          <w:spacing w:val="-3"/>
          <w:sz w:val="24"/>
        </w:rPr>
        <w:t> </w:t>
      </w:r>
      <w:r>
        <w:rPr>
          <w:sz w:val="24"/>
        </w:rPr>
        <w:t>in</w:t>
      </w:r>
      <w:r>
        <w:rPr>
          <w:spacing w:val="-4"/>
          <w:sz w:val="24"/>
        </w:rPr>
        <w:t> </w:t>
      </w:r>
      <w:r>
        <w:rPr>
          <w:sz w:val="24"/>
        </w:rPr>
        <w:t>land</w:t>
      </w:r>
      <w:r>
        <w:rPr>
          <w:spacing w:val="-2"/>
          <w:sz w:val="24"/>
        </w:rPr>
        <w:t> </w:t>
      </w:r>
      <w:r>
        <w:rPr>
          <w:sz w:val="24"/>
        </w:rPr>
        <w:t>with</w:t>
      </w:r>
      <w:r>
        <w:rPr>
          <w:spacing w:val="-2"/>
          <w:sz w:val="24"/>
        </w:rPr>
        <w:t> </w:t>
      </w:r>
      <w:r>
        <w:rPr>
          <w:sz w:val="24"/>
        </w:rPr>
        <w:t>certainty</w:t>
      </w:r>
      <w:r>
        <w:rPr>
          <w:spacing w:val="-5"/>
          <w:sz w:val="24"/>
        </w:rPr>
        <w:t> </w:t>
      </w:r>
      <w:r>
        <w:rPr>
          <w:sz w:val="24"/>
        </w:rPr>
        <w:t>as</w:t>
      </w:r>
      <w:r>
        <w:rPr>
          <w:spacing w:val="-3"/>
          <w:sz w:val="24"/>
        </w:rPr>
        <w:t> </w:t>
      </w:r>
      <w:r>
        <w:rPr>
          <w:sz w:val="24"/>
        </w:rPr>
        <w:t>to</w:t>
      </w:r>
      <w:r>
        <w:rPr>
          <w:spacing w:val="-4"/>
          <w:sz w:val="24"/>
        </w:rPr>
        <w:t> </w:t>
      </w:r>
      <w:r>
        <w:rPr>
          <w:sz w:val="24"/>
        </w:rPr>
        <w:t>the</w:t>
      </w:r>
      <w:r>
        <w:rPr>
          <w:spacing w:val="-2"/>
          <w:sz w:val="24"/>
        </w:rPr>
        <w:t> </w:t>
      </w:r>
      <w:r>
        <w:rPr>
          <w:sz w:val="24"/>
        </w:rPr>
        <w:t>relevant</w:t>
      </w:r>
      <w:r>
        <w:rPr>
          <w:spacing w:val="-2"/>
          <w:sz w:val="24"/>
        </w:rPr>
        <w:t> </w:t>
      </w:r>
      <w:r>
        <w:rPr>
          <w:sz w:val="24"/>
        </w:rPr>
        <w:t>rules</w:t>
      </w:r>
      <w:r>
        <w:rPr>
          <w:spacing w:val="-5"/>
          <w:sz w:val="24"/>
        </w:rPr>
        <w:t> </w:t>
      </w:r>
      <w:r>
        <w:rPr>
          <w:sz w:val="24"/>
        </w:rPr>
        <w:t>and processes; and</w:t>
      </w:r>
    </w:p>
    <w:p>
      <w:pPr>
        <w:pStyle w:val="ListParagraph"/>
        <w:numPr>
          <w:ilvl w:val="0"/>
          <w:numId w:val="1"/>
        </w:numPr>
        <w:tabs>
          <w:tab w:pos="1107" w:val="left" w:leader="none"/>
        </w:tabs>
        <w:spacing w:line="240" w:lineRule="auto" w:before="0" w:after="0"/>
        <w:ind w:left="1107" w:right="227" w:hanging="360"/>
        <w:jc w:val="both"/>
        <w:rPr>
          <w:sz w:val="24"/>
        </w:rPr>
      </w:pPr>
      <w:r>
        <w:rPr>
          <w:sz w:val="24"/>
        </w:rPr>
        <w:t>consistent</w:t>
      </w:r>
      <w:r>
        <w:rPr>
          <w:spacing w:val="-2"/>
          <w:sz w:val="24"/>
        </w:rPr>
        <w:t> </w:t>
      </w:r>
      <w:r>
        <w:rPr>
          <w:sz w:val="24"/>
        </w:rPr>
        <w:t>rules</w:t>
      </w:r>
      <w:r>
        <w:rPr>
          <w:spacing w:val="-4"/>
          <w:sz w:val="24"/>
        </w:rPr>
        <w:t> </w:t>
      </w:r>
      <w:r>
        <w:rPr>
          <w:sz w:val="24"/>
        </w:rPr>
        <w:t>and</w:t>
      </w:r>
      <w:r>
        <w:rPr>
          <w:spacing w:val="-2"/>
          <w:sz w:val="24"/>
        </w:rPr>
        <w:t> </w:t>
      </w:r>
      <w:r>
        <w:rPr>
          <w:sz w:val="24"/>
        </w:rPr>
        <w:t>processes</w:t>
      </w:r>
      <w:r>
        <w:rPr>
          <w:spacing w:val="-4"/>
          <w:sz w:val="24"/>
        </w:rPr>
        <w:t> </w:t>
      </w:r>
      <w:r>
        <w:rPr>
          <w:sz w:val="24"/>
        </w:rPr>
        <w:t>across</w:t>
      </w:r>
      <w:r>
        <w:rPr>
          <w:spacing w:val="-2"/>
          <w:sz w:val="24"/>
        </w:rPr>
        <w:t> </w:t>
      </w:r>
      <w:r>
        <w:rPr>
          <w:sz w:val="24"/>
        </w:rPr>
        <w:t>different</w:t>
      </w:r>
      <w:r>
        <w:rPr>
          <w:spacing w:val="-2"/>
          <w:sz w:val="24"/>
        </w:rPr>
        <w:t> </w:t>
      </w:r>
      <w:r>
        <w:rPr>
          <w:sz w:val="24"/>
        </w:rPr>
        <w:t>laws,</w:t>
      </w:r>
      <w:r>
        <w:rPr>
          <w:spacing w:val="-2"/>
          <w:sz w:val="24"/>
        </w:rPr>
        <w:t> </w:t>
      </w:r>
      <w:r>
        <w:rPr>
          <w:sz w:val="24"/>
        </w:rPr>
        <w:t>where</w:t>
      </w:r>
      <w:r>
        <w:rPr>
          <w:spacing w:val="-2"/>
          <w:sz w:val="24"/>
        </w:rPr>
        <w:t> </w:t>
      </w:r>
      <w:r>
        <w:rPr>
          <w:sz w:val="24"/>
        </w:rPr>
        <w:t>this</w:t>
      </w:r>
      <w:r>
        <w:rPr>
          <w:spacing w:val="-2"/>
          <w:sz w:val="24"/>
        </w:rPr>
        <w:t> </w:t>
      </w:r>
      <w:r>
        <w:rPr>
          <w:sz w:val="24"/>
        </w:rPr>
        <w:t>will</w:t>
      </w:r>
      <w:r>
        <w:rPr>
          <w:spacing w:val="-1"/>
          <w:sz w:val="24"/>
        </w:rPr>
        <w:t> </w:t>
      </w:r>
      <w:r>
        <w:rPr>
          <w:sz w:val="24"/>
        </w:rPr>
        <w:t>not unduly</w:t>
      </w:r>
      <w:r>
        <w:rPr>
          <w:spacing w:val="-6"/>
          <w:sz w:val="24"/>
        </w:rPr>
        <w:t> </w:t>
      </w:r>
      <w:r>
        <w:rPr>
          <w:sz w:val="24"/>
        </w:rPr>
        <w:t>compromise</w:t>
      </w:r>
      <w:r>
        <w:rPr>
          <w:spacing w:val="-4"/>
          <w:sz w:val="24"/>
        </w:rPr>
        <w:t> </w:t>
      </w:r>
      <w:r>
        <w:rPr>
          <w:sz w:val="24"/>
        </w:rPr>
        <w:t>the</w:t>
      </w:r>
      <w:r>
        <w:rPr>
          <w:spacing w:val="-4"/>
          <w:sz w:val="24"/>
        </w:rPr>
        <w:t> </w:t>
      </w:r>
      <w:r>
        <w:rPr>
          <w:sz w:val="24"/>
        </w:rPr>
        <w:t>advancement</w:t>
      </w:r>
      <w:r>
        <w:rPr>
          <w:spacing w:val="-6"/>
          <w:sz w:val="24"/>
        </w:rPr>
        <w:t> </w:t>
      </w:r>
      <w:r>
        <w:rPr>
          <w:sz w:val="24"/>
        </w:rPr>
        <w:t>of</w:t>
      </w:r>
      <w:r>
        <w:rPr>
          <w:spacing w:val="-2"/>
          <w:sz w:val="24"/>
        </w:rPr>
        <w:t> </w:t>
      </w:r>
      <w:r>
        <w:rPr>
          <w:sz w:val="24"/>
        </w:rPr>
        <w:t>the</w:t>
      </w:r>
      <w:r>
        <w:rPr>
          <w:spacing w:val="-4"/>
          <w:sz w:val="24"/>
        </w:rPr>
        <w:t> </w:t>
      </w:r>
      <w:r>
        <w:rPr>
          <w:sz w:val="24"/>
        </w:rPr>
        <w:t>relevant</w:t>
      </w:r>
      <w:r>
        <w:rPr>
          <w:spacing w:val="-4"/>
          <w:sz w:val="24"/>
        </w:rPr>
        <w:t> </w:t>
      </w:r>
      <w:r>
        <w:rPr>
          <w:sz w:val="24"/>
        </w:rPr>
        <w:t>community</w:t>
      </w:r>
      <w:r>
        <w:rPr>
          <w:spacing w:val="-6"/>
          <w:sz w:val="24"/>
        </w:rPr>
        <w:t> </w:t>
      </w:r>
      <w:r>
        <w:rPr>
          <w:sz w:val="24"/>
        </w:rPr>
        <w:t>benefit </w:t>
      </w:r>
      <w:bookmarkStart w:name="Consultation" w:id="10"/>
      <w:bookmarkEnd w:id="10"/>
      <w:r>
        <w:rPr>
          <w:sz w:val="24"/>
        </w:rPr>
        <w:t>or</w:t>
      </w:r>
      <w:r>
        <w:rPr>
          <w:sz w:val="24"/>
        </w:rPr>
        <w:t> public interest.</w:t>
      </w:r>
    </w:p>
    <w:p>
      <w:pPr>
        <w:pStyle w:val="Heading1"/>
        <w:spacing w:before="120"/>
        <w:jc w:val="left"/>
      </w:pPr>
      <w:r>
        <w:rPr>
          <w:color w:val="4F81BC"/>
          <w:spacing w:val="-2"/>
        </w:rPr>
        <w:t>Consultation</w:t>
      </w:r>
    </w:p>
    <w:p>
      <w:pPr>
        <w:pStyle w:val="BodyText"/>
        <w:ind w:right="52"/>
      </w:pPr>
      <w:r>
        <w:rPr/>
        <w:t>Before taking government action that will have a direct adverse effect on private property</w:t>
      </w:r>
      <w:r>
        <w:rPr>
          <w:spacing w:val="-12"/>
        </w:rPr>
        <w:t> </w:t>
      </w:r>
      <w:r>
        <w:rPr/>
        <w:t>rights</w:t>
      </w:r>
      <w:r>
        <w:rPr>
          <w:spacing w:val="-10"/>
        </w:rPr>
        <w:t> </w:t>
      </w:r>
      <w:r>
        <w:rPr/>
        <w:t>in</w:t>
      </w:r>
      <w:r>
        <w:rPr>
          <w:spacing w:val="-9"/>
        </w:rPr>
        <w:t> </w:t>
      </w:r>
      <w:r>
        <w:rPr/>
        <w:t>land,</w:t>
      </w:r>
      <w:r>
        <w:rPr>
          <w:spacing w:val="-13"/>
        </w:rPr>
        <w:t> </w:t>
      </w:r>
      <w:r>
        <w:rPr/>
        <w:t>the</w:t>
      </w:r>
      <w:r>
        <w:rPr>
          <w:spacing w:val="-9"/>
        </w:rPr>
        <w:t> </w:t>
      </w:r>
      <w:r>
        <w:rPr/>
        <w:t>land</w:t>
      </w:r>
      <w:r>
        <w:rPr>
          <w:spacing w:val="-11"/>
        </w:rPr>
        <w:t> </w:t>
      </w:r>
      <w:r>
        <w:rPr/>
        <w:t>owner</w:t>
      </w:r>
      <w:r>
        <w:rPr>
          <w:spacing w:val="-10"/>
        </w:rPr>
        <w:t> </w:t>
      </w:r>
      <w:r>
        <w:rPr/>
        <w:t>should</w:t>
      </w:r>
      <w:r>
        <w:rPr>
          <w:spacing w:val="-13"/>
        </w:rPr>
        <w:t> </w:t>
      </w:r>
      <w:r>
        <w:rPr/>
        <w:t>be</w:t>
      </w:r>
      <w:r>
        <w:rPr>
          <w:spacing w:val="-9"/>
        </w:rPr>
        <w:t> </w:t>
      </w:r>
      <w:r>
        <w:rPr/>
        <w:t>consulted</w:t>
      </w:r>
      <w:r>
        <w:rPr>
          <w:spacing w:val="-11"/>
        </w:rPr>
        <w:t> </w:t>
      </w:r>
      <w:r>
        <w:rPr/>
        <w:t>where</w:t>
      </w:r>
      <w:r>
        <w:rPr>
          <w:spacing w:val="-9"/>
        </w:rPr>
        <w:t> </w:t>
      </w:r>
      <w:r>
        <w:rPr/>
        <w:t>this</w:t>
      </w:r>
      <w:r>
        <w:rPr>
          <w:spacing w:val="-10"/>
        </w:rPr>
        <w:t> </w:t>
      </w:r>
      <w:r>
        <w:rPr/>
        <w:t>will</w:t>
      </w:r>
      <w:r>
        <w:rPr>
          <w:spacing w:val="-10"/>
        </w:rPr>
        <w:t> </w:t>
      </w:r>
      <w:r>
        <w:rPr/>
        <w:t>not</w:t>
      </w:r>
      <w:r>
        <w:rPr>
          <w:spacing w:val="-10"/>
        </w:rPr>
        <w:t> </w:t>
      </w:r>
      <w:r>
        <w:rPr/>
        <w:t>unduly compromise the advancement of the relevant community benefit or public interest</w:t>
      </w:r>
    </w:p>
    <w:p>
      <w:pPr>
        <w:pStyle w:val="Heading1"/>
        <w:jc w:val="left"/>
      </w:pPr>
      <w:bookmarkStart w:name="Independence and Contestability" w:id="11"/>
      <w:bookmarkEnd w:id="11"/>
      <w:r>
        <w:rPr>
          <w:b w:val="0"/>
        </w:rPr>
      </w:r>
      <w:r>
        <w:rPr>
          <w:color w:val="4F81BC"/>
        </w:rPr>
        <w:t>Independence</w:t>
      </w:r>
      <w:r>
        <w:rPr>
          <w:color w:val="4F81BC"/>
          <w:spacing w:val="-4"/>
        </w:rPr>
        <w:t> </w:t>
      </w:r>
      <w:r>
        <w:rPr>
          <w:color w:val="4F81BC"/>
        </w:rPr>
        <w:t>and</w:t>
      </w:r>
      <w:r>
        <w:rPr>
          <w:color w:val="4F81BC"/>
          <w:spacing w:val="-4"/>
        </w:rPr>
        <w:t> </w:t>
      </w:r>
      <w:r>
        <w:rPr>
          <w:color w:val="4F81BC"/>
          <w:spacing w:val="-2"/>
        </w:rPr>
        <w:t>Contestability</w:t>
      </w:r>
    </w:p>
    <w:p>
      <w:pPr>
        <w:pStyle w:val="BodyText"/>
        <w:ind w:right="51"/>
      </w:pPr>
      <w:r>
        <w:rPr/>
        <w:t>Private land owners should be provided with the opportunity to have compensation for the compulsory acquisition of their land determined by an independent and impartial body.</w:t>
      </w:r>
    </w:p>
    <w:p>
      <w:pPr>
        <w:pStyle w:val="BodyText"/>
        <w:ind w:right="53"/>
      </w:pPr>
      <w:r>
        <w:rPr/>
        <w:t>Private land owners should be provided with the opportunity to refer other matters concerning the administration of laws which adversely affect private property rights in land to the State Ombudsman.</w:t>
      </w:r>
    </w:p>
    <w:sectPr>
      <w:pgSz w:w="11910" w:h="16840"/>
      <w:pgMar w:top="620" w:bottom="28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07"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883" w:hanging="360"/>
      </w:pPr>
      <w:rPr>
        <w:rFonts w:hint="default"/>
        <w:lang w:val="en-US" w:eastAsia="en-US" w:bidi="ar-SA"/>
      </w:rPr>
    </w:lvl>
    <w:lvl w:ilvl="2">
      <w:start w:val="0"/>
      <w:numFmt w:val="bullet"/>
      <w:lvlText w:val="•"/>
      <w:lvlJc w:val="left"/>
      <w:pPr>
        <w:ind w:left="2666"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232" w:hanging="360"/>
      </w:pPr>
      <w:rPr>
        <w:rFonts w:hint="default"/>
        <w:lang w:val="en-US" w:eastAsia="en-US" w:bidi="ar-SA"/>
      </w:rPr>
    </w:lvl>
    <w:lvl w:ilvl="5">
      <w:start w:val="0"/>
      <w:numFmt w:val="bullet"/>
      <w:lvlText w:val="•"/>
      <w:lvlJc w:val="left"/>
      <w:pPr>
        <w:ind w:left="5015" w:hanging="360"/>
      </w:pPr>
      <w:rPr>
        <w:rFonts w:hint="default"/>
        <w:lang w:val="en-US" w:eastAsia="en-US" w:bidi="ar-SA"/>
      </w:rPr>
    </w:lvl>
    <w:lvl w:ilvl="6">
      <w:start w:val="0"/>
      <w:numFmt w:val="bullet"/>
      <w:lvlText w:val="•"/>
      <w:lvlJc w:val="left"/>
      <w:pPr>
        <w:ind w:left="5798" w:hanging="360"/>
      </w:pPr>
      <w:rPr>
        <w:rFonts w:hint="default"/>
        <w:lang w:val="en-US" w:eastAsia="en-US" w:bidi="ar-SA"/>
      </w:rPr>
    </w:lvl>
    <w:lvl w:ilvl="7">
      <w:start w:val="0"/>
      <w:numFmt w:val="bullet"/>
      <w:lvlText w:val="•"/>
      <w:lvlJc w:val="left"/>
      <w:pPr>
        <w:ind w:left="6581" w:hanging="360"/>
      </w:pPr>
      <w:rPr>
        <w:rFonts w:hint="default"/>
        <w:lang w:val="en-US" w:eastAsia="en-US" w:bidi="ar-SA"/>
      </w:rPr>
    </w:lvl>
    <w:lvl w:ilvl="8">
      <w:start w:val="0"/>
      <w:numFmt w:val="bullet"/>
      <w:lvlText w:val="•"/>
      <w:lvlJc w:val="left"/>
      <w:pPr>
        <w:ind w:left="73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40"/>
      <w:ind w:left="29"/>
      <w:jc w:val="both"/>
    </w:pPr>
    <w:rPr>
      <w:rFonts w:ascii="Arial" w:hAnsi="Arial" w:eastAsia="Arial" w:cs="Arial"/>
      <w:sz w:val="24"/>
      <w:szCs w:val="24"/>
      <w:lang w:val="en-US" w:eastAsia="en-US" w:bidi="ar-SA"/>
    </w:rPr>
  </w:style>
  <w:style w:styleId="Heading1" w:type="paragraph">
    <w:name w:val="Heading 1"/>
    <w:basedOn w:val="Normal"/>
    <w:uiPriority w:val="1"/>
    <w:qFormat/>
    <w:pPr>
      <w:spacing w:before="240"/>
      <w:ind w:left="29"/>
      <w:jc w:val="both"/>
      <w:outlineLvl w:val="1"/>
    </w:pPr>
    <w:rPr>
      <w:rFonts w:ascii="Arial" w:hAnsi="Arial" w:eastAsia="Arial" w:cs="Arial"/>
      <w:b/>
      <w:bCs/>
      <w:sz w:val="24"/>
      <w:szCs w:val="24"/>
      <w:lang w:val="en-US" w:eastAsia="en-US" w:bidi="ar-SA"/>
    </w:rPr>
  </w:style>
  <w:style w:styleId="Title" w:type="paragraph">
    <w:name w:val="Title"/>
    <w:basedOn w:val="Normal"/>
    <w:uiPriority w:val="1"/>
    <w:qFormat/>
    <w:pPr>
      <w:ind w:left="72"/>
    </w:pPr>
    <w:rPr>
      <w:rFonts w:ascii="Arial" w:hAnsi="Arial" w:eastAsia="Arial" w:cs="Arial"/>
      <w:b/>
      <w:bCs/>
      <w:sz w:val="26"/>
      <w:szCs w:val="26"/>
      <w:lang w:val="en-US" w:eastAsia="en-US" w:bidi="ar-SA"/>
    </w:rPr>
  </w:style>
  <w:style w:styleId="ListParagraph" w:type="paragraph">
    <w:name w:val="List Paragraph"/>
    <w:basedOn w:val="Normal"/>
    <w:uiPriority w:val="1"/>
    <w:qFormat/>
    <w:pPr>
      <w:ind w:left="1107" w:right="227"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Ministry of Premier &amp; Cabinet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Mugliston</dc:creator>
  <dc:title>Premier’s Policy Circular</dc:title>
  <dcterms:created xsi:type="dcterms:W3CDTF">2025-06-30T06:20:40Z</dcterms:created>
  <dcterms:modified xsi:type="dcterms:W3CDTF">2025-06-30T06:20:40Z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Acrobat PDFMaker 17 for Word</vt:lpwstr>
  </property>
  <property fmtid="{D5CDD505-2E9C-101B-9397-08002B2CF9AE}" pid="4" name="LastSaved">
    <vt:filetime>2025-06-30T00:00:00Z</vt:filetime>
  </property>
  <property fmtid="{D5CDD505-2E9C-101B-9397-08002B2CF9AE}" pid="5" name="Producer">
    <vt:lpwstr>Adobe PDF Library 17.11.238</vt:lpwstr>
  </property>
  <property fmtid="{D5CDD505-2E9C-101B-9397-08002B2CF9AE}" pid="6" name="SourceModified">
    <vt:lpwstr>D:20211026040259</vt:lpwstr>
  </property>
  <property fmtid="{D5CDD505-2E9C-101B-9397-08002B2CF9AE}" pid="7" name="WebdocsID">
    <vt:lpwstr>569021R1</vt:lpwstr>
  </property>
  <property fmtid="{D5CDD505-2E9C-101B-9397-08002B2CF9AE}" pid="8" name="WebdocsID10">
    <vt:lpwstr/>
  </property>
  <property fmtid="{D5CDD505-2E9C-101B-9397-08002B2CF9AE}" pid="9" name="WebdocsID2">
    <vt:lpwstr/>
  </property>
  <property fmtid="{D5CDD505-2E9C-101B-9397-08002B2CF9AE}" pid="10" name="WebdocsID3">
    <vt:lpwstr/>
  </property>
  <property fmtid="{D5CDD505-2E9C-101B-9397-08002B2CF9AE}" pid="11" name="WebdocsID4">
    <vt:lpwstr/>
  </property>
  <property fmtid="{D5CDD505-2E9C-101B-9397-08002B2CF9AE}" pid="12" name="WebdocsID5">
    <vt:lpwstr/>
  </property>
  <property fmtid="{D5CDD505-2E9C-101B-9397-08002B2CF9AE}" pid="13" name="WebdocsID6">
    <vt:lpwstr/>
  </property>
  <property fmtid="{D5CDD505-2E9C-101B-9397-08002B2CF9AE}" pid="14" name="WebdocsID7">
    <vt:lpwstr/>
  </property>
  <property fmtid="{D5CDD505-2E9C-101B-9397-08002B2CF9AE}" pid="15" name="WebdocsID8">
    <vt:lpwstr/>
  </property>
  <property fmtid="{D5CDD505-2E9C-101B-9397-08002B2CF9AE}" pid="16" name="WebdocsID9">
    <vt:lpwstr/>
  </property>
  <property fmtid="{D5CDD505-2E9C-101B-9397-08002B2CF9AE}" pid="17" name="_AdHocReviewCycleID">
    <vt:lpwstr>981319527</vt:lpwstr>
  </property>
  <property fmtid="{D5CDD505-2E9C-101B-9397-08002B2CF9AE}" pid="18" name="_AuthorEmailDisplayName">
    <vt:lpwstr>Barron, Courtney</vt:lpwstr>
  </property>
  <property fmtid="{D5CDD505-2E9C-101B-9397-08002B2CF9AE}" pid="19" name="_EmailSubject">
    <vt:lpwstr>Property Rights Premiers Circular</vt:lpwstr>
  </property>
  <property fmtid="{D5CDD505-2E9C-101B-9397-08002B2CF9AE}" pid="20" name="_NewReviewCycle">
    <vt:lpwstr/>
  </property>
  <property fmtid="{D5CDD505-2E9C-101B-9397-08002B2CF9AE}" pid="21" name="_PreviousAdHocReviewCycleID">
    <vt:lpwstr>655205279</vt:lpwstr>
  </property>
  <property fmtid="{D5CDD505-2E9C-101B-9397-08002B2CF9AE}" pid="22" name="_ReviewingToolsShownOnce">
    <vt:lpwstr/>
  </property>
  <property fmtid="{D5CDD505-2E9C-101B-9397-08002B2CF9AE}" pid="23" name="sTmpGUID">
    <vt:lpwstr>7585cbd6-a128-4f76-944d-e72977b128ff</vt:lpwstr>
  </property>
</Properties>
</file>