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775FC2E1" w:rsidR="00233755" w:rsidRPr="00D949AE" w:rsidRDefault="00233755" w:rsidP="00233755">
      <w:pPr>
        <w:pStyle w:val="Heading1"/>
        <w:spacing w:before="0" w:after="240"/>
        <w:rPr>
          <w:sz w:val="28"/>
        </w:rPr>
        <w:sectPr w:rsidR="00233755" w:rsidRPr="00D949AE" w:rsidSect="00233755">
          <w:headerReference w:type="default" r:id="rId12"/>
          <w:footerReference w:type="default" r:id="rId13"/>
          <w:footerReference w:type="first" r:id="rId14"/>
          <w:pgSz w:w="11907" w:h="16840" w:code="9"/>
          <w:pgMar w:top="1701" w:right="425" w:bottom="567" w:left="567" w:header="709" w:footer="709" w:gutter="0"/>
          <w:cols w:space="708"/>
          <w:docGrid w:linePitch="360"/>
        </w:sectPr>
      </w:pPr>
      <w:r w:rsidRPr="00D949AE">
        <w:rPr>
          <w:color w:val="002060"/>
          <w:sz w:val="28"/>
        </w:rPr>
        <w:t xml:space="preserve">Western Australia Economic Profile </w:t>
      </w:r>
      <w:r w:rsidRPr="002D13CB">
        <w:rPr>
          <w:sz w:val="28"/>
        </w:rPr>
        <w:t xml:space="preserve">– </w:t>
      </w:r>
      <w:r w:rsidR="00700D3D" w:rsidRPr="002D13CB">
        <w:rPr>
          <w:sz w:val="28"/>
        </w:rPr>
        <w:t>June</w:t>
      </w:r>
      <w:r w:rsidRPr="002D13CB">
        <w:rPr>
          <w:sz w:val="28"/>
        </w:rPr>
        <w:t> 2025</w:t>
      </w:r>
    </w:p>
    <w:p w14:paraId="59EB7E7B" w14:textId="77777777" w:rsidR="00233755" w:rsidRPr="002D13CB" w:rsidRDefault="00233755" w:rsidP="00233755">
      <w:pPr>
        <w:pStyle w:val="Heading2"/>
        <w:spacing w:before="0" w:after="120"/>
        <w:rPr>
          <w:sz w:val="22"/>
          <w:szCs w:val="22"/>
        </w:rPr>
      </w:pPr>
      <w:r w:rsidRPr="002D13CB">
        <w:rPr>
          <w:sz w:val="24"/>
          <w:szCs w:val="24"/>
        </w:rPr>
        <w:t>Western Australia – Economic conditions</w:t>
      </w:r>
    </w:p>
    <w:p w14:paraId="03FB9519" w14:textId="7EC1420F" w:rsidR="00381007" w:rsidRPr="002D13CB" w:rsidRDefault="00381007" w:rsidP="00381007">
      <w:pPr>
        <w:spacing w:after="160" w:line="259" w:lineRule="auto"/>
        <w:jc w:val="both"/>
        <w:rPr>
          <w:rFonts w:ascii="Arial" w:hAnsi="Arial" w:cs="Arial"/>
          <w:sz w:val="20"/>
          <w:szCs w:val="20"/>
        </w:rPr>
      </w:pPr>
      <w:bookmarkStart w:id="0" w:name="_Hlk197087024"/>
      <w:r w:rsidRPr="002D13CB">
        <w:rPr>
          <w:rFonts w:ascii="Arial" w:hAnsi="Arial" w:cs="Arial"/>
          <w:sz w:val="20"/>
          <w:szCs w:val="20"/>
        </w:rPr>
        <w:t xml:space="preserve">The main updates in this month’s Economic Profile relate to the release of Western Australia’s state final demand for the March quarter 2025, </w:t>
      </w:r>
      <w:r w:rsidR="00052D69" w:rsidRPr="002D13CB">
        <w:rPr>
          <w:rFonts w:ascii="Arial" w:hAnsi="Arial" w:cs="Arial"/>
          <w:sz w:val="20"/>
          <w:szCs w:val="20"/>
        </w:rPr>
        <w:t>and recent data on Western Australia’s</w:t>
      </w:r>
      <w:r w:rsidRPr="002D13CB">
        <w:rPr>
          <w:rFonts w:ascii="Arial" w:hAnsi="Arial" w:cs="Arial"/>
          <w:sz w:val="20"/>
          <w:szCs w:val="20"/>
        </w:rPr>
        <w:t xml:space="preserve"> </w:t>
      </w:r>
      <w:r w:rsidR="00052D69" w:rsidRPr="002D13CB">
        <w:rPr>
          <w:rFonts w:ascii="Arial" w:hAnsi="Arial" w:cs="Arial"/>
          <w:sz w:val="20"/>
          <w:szCs w:val="20"/>
        </w:rPr>
        <w:t xml:space="preserve">population, </w:t>
      </w:r>
      <w:r w:rsidRPr="002D13CB">
        <w:rPr>
          <w:rFonts w:ascii="Arial" w:hAnsi="Arial" w:cs="Arial"/>
          <w:sz w:val="20"/>
          <w:szCs w:val="20"/>
        </w:rPr>
        <w:t>labour market and greenhouse gas emissions.</w:t>
      </w:r>
    </w:p>
    <w:p w14:paraId="6BBE4D88" w14:textId="77777777" w:rsidR="00381007" w:rsidRPr="002D13CB" w:rsidRDefault="00381007" w:rsidP="00381007">
      <w:pPr>
        <w:spacing w:after="160" w:line="259" w:lineRule="auto"/>
        <w:jc w:val="both"/>
        <w:rPr>
          <w:rFonts w:ascii="Arial" w:hAnsi="Arial" w:cs="Arial"/>
          <w:sz w:val="20"/>
          <w:szCs w:val="20"/>
        </w:rPr>
      </w:pPr>
      <w:r w:rsidRPr="002D13CB">
        <w:rPr>
          <w:rFonts w:ascii="Arial" w:hAnsi="Arial" w:cs="Arial"/>
          <w:sz w:val="20"/>
          <w:szCs w:val="20"/>
        </w:rPr>
        <w:t xml:space="preserve">With the implementation of the Western Australian Government’s public sector reform, the Department of Jobs, Tourism, Science and Innovation will become the Department of Energy and Economic Diversification on 1 July 2025. The Economic Profile, as well as the other profiles available at </w:t>
      </w:r>
      <w:hyperlink r:id="rId15" w:history="1">
        <w:r w:rsidRPr="00381007">
          <w:rPr>
            <w:rStyle w:val="Hyperlink"/>
            <w:rFonts w:ascii="Arial" w:hAnsi="Arial" w:cs="Arial"/>
            <w:sz w:val="20"/>
            <w:szCs w:val="20"/>
          </w:rPr>
          <w:t>Western Australia’s economy and international trade</w:t>
        </w:r>
      </w:hyperlink>
      <w:r w:rsidRPr="002D13CB">
        <w:rPr>
          <w:rFonts w:ascii="Arial" w:hAnsi="Arial" w:cs="Arial"/>
          <w:sz w:val="20"/>
          <w:szCs w:val="20"/>
        </w:rPr>
        <w:t>, will continue to be published by the Department of Energy and Economic Diversification.</w:t>
      </w:r>
    </w:p>
    <w:p w14:paraId="166F8A6F" w14:textId="3A0FF5D2" w:rsidR="00233755" w:rsidRPr="002D13CB" w:rsidRDefault="00381007" w:rsidP="00233755">
      <w:pPr>
        <w:spacing w:after="160" w:line="259" w:lineRule="auto"/>
        <w:jc w:val="both"/>
        <w:rPr>
          <w:rFonts w:ascii="Arial" w:hAnsi="Arial" w:cs="Arial"/>
          <w:i/>
          <w:iCs/>
          <w:sz w:val="20"/>
          <w:szCs w:val="20"/>
        </w:rPr>
      </w:pPr>
      <w:r w:rsidRPr="002D13CB">
        <w:rPr>
          <w:rFonts w:ascii="Arial" w:hAnsi="Arial" w:cs="Arial"/>
          <w:i/>
          <w:iCs/>
          <w:sz w:val="20"/>
          <w:szCs w:val="20"/>
        </w:rPr>
        <w:t>State final demand</w:t>
      </w:r>
    </w:p>
    <w:p w14:paraId="684D57D5" w14:textId="77777777" w:rsidR="00381007" w:rsidRPr="002D13CB" w:rsidRDefault="00381007" w:rsidP="00381007">
      <w:pPr>
        <w:spacing w:after="160" w:line="259" w:lineRule="auto"/>
        <w:jc w:val="both"/>
        <w:rPr>
          <w:rFonts w:ascii="Arial" w:hAnsi="Arial" w:cs="Arial"/>
          <w:sz w:val="20"/>
          <w:szCs w:val="20"/>
        </w:rPr>
      </w:pPr>
      <w:r w:rsidRPr="002D13CB">
        <w:rPr>
          <w:rFonts w:ascii="Arial" w:hAnsi="Arial" w:cs="Arial"/>
          <w:sz w:val="20"/>
          <w:szCs w:val="20"/>
        </w:rPr>
        <w:t>Western Australia’s state final demand grew by 0.2 per cent in the March quarter 2025. Private investment grew by 2.5 per cent in the quarter, driven by increases in non</w:t>
      </w:r>
      <w:r w:rsidRPr="002D13CB">
        <w:rPr>
          <w:rFonts w:ascii="Arial" w:hAnsi="Arial" w:cs="Arial"/>
          <w:sz w:val="20"/>
          <w:szCs w:val="20"/>
        </w:rPr>
        <w:noBreakHyphen/>
        <w:t>dwelling construction, and machinery and equipment. This offset a fall in public final demand, which was the result of a drop in investment from state and local government (reflecting expenditure on large infrastructure projects coming to an end). Household consumption grew by a slim 0.04 per cent in the quarter.</w:t>
      </w:r>
    </w:p>
    <w:p w14:paraId="0A370BBB" w14:textId="2435D0C7" w:rsidR="00381007" w:rsidRPr="002D13CB" w:rsidRDefault="00381007" w:rsidP="00381007">
      <w:pPr>
        <w:spacing w:after="160" w:line="259" w:lineRule="auto"/>
        <w:jc w:val="both"/>
        <w:rPr>
          <w:rFonts w:ascii="Arial" w:hAnsi="Arial" w:cs="Arial"/>
          <w:sz w:val="20"/>
          <w:szCs w:val="20"/>
        </w:rPr>
      </w:pPr>
      <w:r w:rsidRPr="002D13CB">
        <w:rPr>
          <w:rFonts w:ascii="Arial" w:hAnsi="Arial" w:cs="Arial"/>
          <w:sz w:val="20"/>
          <w:szCs w:val="20"/>
        </w:rPr>
        <w:t>Despite lower growth in the most recent quarter, growth in Western Australia’s state final demand over the past year still compare</w:t>
      </w:r>
      <w:r w:rsidR="00052D69" w:rsidRPr="002D13CB">
        <w:rPr>
          <w:rFonts w:ascii="Arial" w:hAnsi="Arial" w:cs="Arial"/>
          <w:sz w:val="20"/>
          <w:szCs w:val="20"/>
        </w:rPr>
        <w:t>d</w:t>
      </w:r>
      <w:r w:rsidRPr="002D13CB">
        <w:rPr>
          <w:rFonts w:ascii="Arial" w:hAnsi="Arial" w:cs="Arial"/>
          <w:sz w:val="20"/>
          <w:szCs w:val="20"/>
        </w:rPr>
        <w:t xml:space="preserve"> favourably to other Australian states. In the year to the March quarter 2025, Western Australia’s state final demand grew by 3.4 per cent, with only the two territories recording higher growth. Western Australia’s growth also remains well balanced, with growth in household consumption and private investment reducing the reliance on public final demand to generate growth relative to other jurisdictions.</w:t>
      </w:r>
    </w:p>
    <w:p w14:paraId="0238B0F3" w14:textId="5012CB91" w:rsidR="00233755" w:rsidRPr="002D13CB" w:rsidRDefault="00381007" w:rsidP="00233755">
      <w:pPr>
        <w:spacing w:after="160" w:line="259" w:lineRule="auto"/>
        <w:jc w:val="both"/>
        <w:rPr>
          <w:rFonts w:ascii="Arial" w:hAnsi="Arial" w:cs="Arial"/>
          <w:i/>
          <w:iCs/>
          <w:sz w:val="20"/>
          <w:szCs w:val="20"/>
        </w:rPr>
      </w:pPr>
      <w:r w:rsidRPr="002D13CB">
        <w:rPr>
          <w:rFonts w:ascii="Arial" w:hAnsi="Arial" w:cs="Arial"/>
          <w:i/>
          <w:iCs/>
          <w:sz w:val="20"/>
          <w:szCs w:val="20"/>
        </w:rPr>
        <w:t>Population and labour market</w:t>
      </w:r>
    </w:p>
    <w:p w14:paraId="270B2A33" w14:textId="77777777" w:rsidR="00381007" w:rsidRPr="002D13CB" w:rsidRDefault="00381007" w:rsidP="00381007">
      <w:pPr>
        <w:spacing w:after="120"/>
        <w:ind w:right="227"/>
        <w:jc w:val="both"/>
        <w:rPr>
          <w:rFonts w:ascii="Arial" w:hAnsi="Arial" w:cs="Arial"/>
          <w:sz w:val="20"/>
          <w:szCs w:val="20"/>
        </w:rPr>
      </w:pPr>
      <w:r w:rsidRPr="002D13CB">
        <w:rPr>
          <w:rFonts w:ascii="Arial" w:hAnsi="Arial" w:cs="Arial"/>
          <w:sz w:val="20"/>
          <w:szCs w:val="20"/>
        </w:rPr>
        <w:t>Western Australia’s population officially reached 3 million in December 2024. With growth in Western Australia’s population in 2024 (2.4 per cent) outpacing the national growth rate (1.7 per cent), the State’s share of Australia’s population increased to 11 per cent. The increase in Western Australia’s population in 2024 was just over 70,000 people, with net overseas migration contributing around two</w:t>
      </w:r>
      <w:r w:rsidRPr="002D13CB">
        <w:rPr>
          <w:rFonts w:ascii="Arial" w:hAnsi="Arial" w:cs="Arial"/>
          <w:sz w:val="20"/>
          <w:szCs w:val="20"/>
        </w:rPr>
        <w:noBreakHyphen/>
        <w:t>thirds of this increase.</w:t>
      </w:r>
    </w:p>
    <w:p w14:paraId="3665DA93" w14:textId="51139FCC" w:rsidR="00381007" w:rsidRPr="002D13CB" w:rsidRDefault="00052D69" w:rsidP="00381007">
      <w:pPr>
        <w:spacing w:after="120"/>
        <w:ind w:right="227"/>
        <w:jc w:val="both"/>
        <w:rPr>
          <w:rFonts w:ascii="Arial" w:hAnsi="Arial" w:cs="Arial"/>
          <w:sz w:val="20"/>
          <w:szCs w:val="20"/>
        </w:rPr>
      </w:pPr>
      <w:r w:rsidRPr="002D13CB">
        <w:rPr>
          <w:rFonts w:ascii="Arial" w:hAnsi="Arial" w:cs="Arial"/>
          <w:sz w:val="20"/>
          <w:szCs w:val="20"/>
        </w:rPr>
        <w:t>The increase in p</w:t>
      </w:r>
      <w:r w:rsidR="00381007" w:rsidRPr="002D13CB">
        <w:rPr>
          <w:rFonts w:ascii="Arial" w:hAnsi="Arial" w:cs="Arial"/>
          <w:sz w:val="20"/>
          <w:szCs w:val="20"/>
        </w:rPr>
        <w:t xml:space="preserve">opulation </w:t>
      </w:r>
      <w:r w:rsidRPr="002D13CB">
        <w:rPr>
          <w:rFonts w:ascii="Arial" w:hAnsi="Arial" w:cs="Arial"/>
          <w:sz w:val="20"/>
          <w:szCs w:val="20"/>
        </w:rPr>
        <w:t>has been the main generator of the increase in employment</w:t>
      </w:r>
      <w:r w:rsidR="00381007" w:rsidRPr="002D13CB">
        <w:rPr>
          <w:rFonts w:ascii="Arial" w:hAnsi="Arial" w:cs="Arial"/>
          <w:sz w:val="20"/>
          <w:szCs w:val="20"/>
        </w:rPr>
        <w:t xml:space="preserve">, with Western Australia’s annual average employment </w:t>
      </w:r>
      <w:r w:rsidRPr="002D13CB">
        <w:rPr>
          <w:rFonts w:ascii="Arial" w:hAnsi="Arial" w:cs="Arial"/>
          <w:sz w:val="20"/>
          <w:szCs w:val="20"/>
        </w:rPr>
        <w:t>growing</w:t>
      </w:r>
      <w:r w:rsidR="00381007" w:rsidRPr="002D13CB">
        <w:rPr>
          <w:rFonts w:ascii="Arial" w:hAnsi="Arial" w:cs="Arial"/>
          <w:sz w:val="20"/>
          <w:szCs w:val="20"/>
        </w:rPr>
        <w:t xml:space="preserve"> by 3.4 per cent in May 2025. There were increases in average employment in most industries over the past year, with the largest being in public administration and safety.</w:t>
      </w:r>
    </w:p>
    <w:p w14:paraId="55E9B11D" w14:textId="77777777" w:rsidR="00381007" w:rsidRPr="002D13CB" w:rsidRDefault="00381007" w:rsidP="00381007">
      <w:pPr>
        <w:spacing w:after="120"/>
        <w:ind w:right="227"/>
        <w:jc w:val="both"/>
        <w:rPr>
          <w:rFonts w:ascii="Arial" w:hAnsi="Arial" w:cs="Arial"/>
          <w:i/>
          <w:iCs/>
          <w:sz w:val="20"/>
          <w:szCs w:val="20"/>
        </w:rPr>
      </w:pPr>
      <w:r w:rsidRPr="002D13CB">
        <w:rPr>
          <w:rFonts w:ascii="Arial" w:hAnsi="Arial" w:cs="Arial"/>
          <w:i/>
          <w:iCs/>
          <w:sz w:val="20"/>
          <w:szCs w:val="20"/>
        </w:rPr>
        <w:t>Greenhouse gas emissions</w:t>
      </w:r>
    </w:p>
    <w:p w14:paraId="24B73544" w14:textId="1D257184" w:rsidR="00381007" w:rsidRPr="002D13CB" w:rsidRDefault="00381007" w:rsidP="00381007">
      <w:pPr>
        <w:spacing w:after="120"/>
        <w:ind w:right="227"/>
        <w:jc w:val="both"/>
        <w:rPr>
          <w:rFonts w:ascii="Arial" w:hAnsi="Arial" w:cs="Arial"/>
          <w:sz w:val="20"/>
          <w:szCs w:val="20"/>
        </w:rPr>
      </w:pPr>
      <w:r w:rsidRPr="002D13CB">
        <w:rPr>
          <w:rFonts w:ascii="Arial" w:hAnsi="Arial" w:cs="Arial"/>
          <w:sz w:val="20"/>
          <w:szCs w:val="20"/>
        </w:rPr>
        <w:t xml:space="preserve">The latest National Greenhouse Accounts data </w:t>
      </w:r>
      <w:r w:rsidR="009E444E" w:rsidRPr="002D13CB">
        <w:rPr>
          <w:rFonts w:ascii="Arial" w:hAnsi="Arial" w:cs="Arial"/>
          <w:sz w:val="20"/>
          <w:szCs w:val="20"/>
        </w:rPr>
        <w:t>showed</w:t>
      </w:r>
      <w:r w:rsidRPr="002D13CB">
        <w:rPr>
          <w:rFonts w:ascii="Arial" w:hAnsi="Arial" w:cs="Arial"/>
          <w:sz w:val="20"/>
          <w:szCs w:val="20"/>
        </w:rPr>
        <w:t xml:space="preserve"> that Western Australia’s net CO</w:t>
      </w:r>
      <w:r w:rsidRPr="002D13CB">
        <w:rPr>
          <w:rFonts w:ascii="Arial" w:hAnsi="Arial" w:cs="Arial"/>
          <w:sz w:val="20"/>
          <w:szCs w:val="20"/>
          <w:vertAlign w:val="subscript"/>
        </w:rPr>
        <w:t>2</w:t>
      </w:r>
      <w:r w:rsidRPr="002D13CB">
        <w:rPr>
          <w:rFonts w:ascii="Arial" w:hAnsi="Arial" w:cs="Arial"/>
          <w:sz w:val="20"/>
          <w:szCs w:val="20"/>
        </w:rPr>
        <w:t xml:space="preserve"> equivalent emissions increased by </w:t>
      </w:r>
      <w:r w:rsidR="00971292" w:rsidRPr="002D13CB">
        <w:rPr>
          <w:rFonts w:ascii="Arial" w:hAnsi="Arial" w:cs="Arial"/>
          <w:sz w:val="20"/>
          <w:szCs w:val="20"/>
        </w:rPr>
        <w:t>3.4</w:t>
      </w:r>
      <w:r w:rsidR="00052D69" w:rsidRPr="002D13CB">
        <w:rPr>
          <w:rFonts w:ascii="Arial" w:hAnsi="Arial" w:cs="Arial"/>
          <w:sz w:val="20"/>
          <w:szCs w:val="20"/>
        </w:rPr>
        <w:t> </w:t>
      </w:r>
      <w:r w:rsidRPr="002D13CB">
        <w:rPr>
          <w:rFonts w:ascii="Arial" w:hAnsi="Arial" w:cs="Arial"/>
          <w:sz w:val="20"/>
          <w:szCs w:val="20"/>
        </w:rPr>
        <w:t>million tonnes (</w:t>
      </w:r>
      <w:r w:rsidR="00CA0AC8" w:rsidRPr="002D13CB">
        <w:rPr>
          <w:rFonts w:ascii="Arial" w:hAnsi="Arial" w:cs="Arial"/>
          <w:sz w:val="20"/>
          <w:szCs w:val="20"/>
        </w:rPr>
        <w:t>3.9</w:t>
      </w:r>
      <w:r w:rsidR="00052D69" w:rsidRPr="002D13CB">
        <w:rPr>
          <w:rFonts w:ascii="Arial" w:hAnsi="Arial" w:cs="Arial"/>
          <w:sz w:val="20"/>
          <w:szCs w:val="20"/>
        </w:rPr>
        <w:t> </w:t>
      </w:r>
      <w:r w:rsidRPr="002D13CB">
        <w:rPr>
          <w:rFonts w:ascii="Arial" w:hAnsi="Arial" w:cs="Arial"/>
          <w:sz w:val="20"/>
          <w:szCs w:val="20"/>
        </w:rPr>
        <w:t>per cent) to 89.4 million tonnes in 2022</w:t>
      </w:r>
      <w:r w:rsidRPr="002D13CB">
        <w:rPr>
          <w:rFonts w:ascii="Arial" w:hAnsi="Arial" w:cs="Arial"/>
          <w:sz w:val="20"/>
          <w:szCs w:val="20"/>
        </w:rPr>
        <w:noBreakHyphen/>
        <w:t>23. Th</w:t>
      </w:r>
      <w:r w:rsidR="009E444E" w:rsidRPr="002D13CB">
        <w:rPr>
          <w:rFonts w:ascii="Arial" w:hAnsi="Arial" w:cs="Arial"/>
          <w:sz w:val="20"/>
          <w:szCs w:val="20"/>
        </w:rPr>
        <w:t>is</w:t>
      </w:r>
      <w:r w:rsidRPr="002D13CB">
        <w:rPr>
          <w:rFonts w:ascii="Arial" w:hAnsi="Arial" w:cs="Arial"/>
          <w:sz w:val="20"/>
          <w:szCs w:val="20"/>
        </w:rPr>
        <w:t xml:space="preserve"> increase was largely due to lower emissions reduction </w:t>
      </w:r>
      <w:r w:rsidR="009E444E" w:rsidRPr="002D13CB">
        <w:rPr>
          <w:rFonts w:ascii="Arial" w:hAnsi="Arial" w:cs="Arial"/>
          <w:sz w:val="20"/>
          <w:szCs w:val="20"/>
        </w:rPr>
        <w:t xml:space="preserve">(sequestration) </w:t>
      </w:r>
      <w:r w:rsidRPr="002D13CB">
        <w:rPr>
          <w:rFonts w:ascii="Arial" w:hAnsi="Arial" w:cs="Arial"/>
          <w:sz w:val="20"/>
          <w:szCs w:val="20"/>
        </w:rPr>
        <w:t>in the land use sector,</w:t>
      </w:r>
      <w:r w:rsidR="009E444E" w:rsidRPr="002D13CB">
        <w:rPr>
          <w:rFonts w:ascii="Arial" w:hAnsi="Arial" w:cs="Arial"/>
          <w:sz w:val="20"/>
          <w:szCs w:val="20"/>
        </w:rPr>
        <w:t xml:space="preserve"> due to lower rainfall and increased fire areas. The recovery in domestic aviation activity in 2022</w:t>
      </w:r>
      <w:r w:rsidR="009E444E" w:rsidRPr="002D13CB">
        <w:rPr>
          <w:rFonts w:ascii="Arial" w:hAnsi="Arial" w:cs="Arial"/>
          <w:sz w:val="20"/>
          <w:szCs w:val="20"/>
        </w:rPr>
        <w:noBreakHyphen/>
        <w:t>23 following the lifting of travel restrictions led to an increase in emissions in the transport sector.</w:t>
      </w:r>
    </w:p>
    <w:p w14:paraId="26C3C3EA" w14:textId="77777777" w:rsidR="00233755" w:rsidRPr="00CC50A8" w:rsidRDefault="00233755" w:rsidP="00233755">
      <w:pPr>
        <w:spacing w:after="120"/>
        <w:ind w:right="227"/>
        <w:jc w:val="both"/>
        <w:rPr>
          <w:rFonts w:ascii="Arial" w:hAnsi="Arial" w:cs="Arial"/>
          <w:color w:val="FF0000"/>
          <w:sz w:val="20"/>
          <w:szCs w:val="20"/>
        </w:rPr>
      </w:pPr>
    </w:p>
    <w:bookmarkEnd w:id="0"/>
    <w:p w14:paraId="3F3FA29A" w14:textId="77777777" w:rsidR="00233755" w:rsidRPr="00465482" w:rsidRDefault="00233755" w:rsidP="00233755">
      <w:pPr>
        <w:spacing w:after="120"/>
        <w:ind w:right="227"/>
        <w:jc w:val="both"/>
        <w:rPr>
          <w:color w:val="92D050"/>
          <w:sz w:val="20"/>
          <w:szCs w:val="20"/>
        </w:rPr>
        <w:sectPr w:rsidR="00233755" w:rsidRPr="00465482" w:rsidSect="00233755">
          <w:type w:val="continuous"/>
          <w:pgSz w:w="11907" w:h="16840" w:code="9"/>
          <w:pgMar w:top="1701" w:right="425" w:bottom="567" w:left="567" w:header="709" w:footer="709" w:gutter="0"/>
          <w:cols w:space="720"/>
          <w:docGrid w:linePitch="360"/>
        </w:sectPr>
      </w:pPr>
    </w:p>
    <w:p w14:paraId="074DC970" w14:textId="77777777" w:rsidR="00233755" w:rsidRDefault="00233755" w:rsidP="00233755">
      <w:pPr>
        <w:pStyle w:val="Heading3"/>
        <w:spacing w:before="0" w:after="120"/>
        <w:rPr>
          <w:color w:val="002060"/>
          <w:sz w:val="24"/>
          <w:szCs w:val="24"/>
        </w:rPr>
      </w:pPr>
      <w:bookmarkStart w:id="1" w:name="_Contents_of_economic_1"/>
      <w:bookmarkStart w:id="2" w:name="_Contents"/>
      <w:bookmarkEnd w:id="1"/>
      <w:bookmarkEnd w:id="2"/>
      <w:r>
        <w:rPr>
          <w:color w:val="002060"/>
          <w:sz w:val="24"/>
          <w:szCs w:val="24"/>
        </w:rPr>
        <w:t xml:space="preserve">Economic conditions – </w:t>
      </w:r>
      <w:r w:rsidRPr="003E65FF">
        <w:rPr>
          <w:color w:val="002060"/>
          <w:sz w:val="24"/>
          <w:szCs w:val="24"/>
        </w:rPr>
        <w:t>Contents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65BA3143" w:rsidR="00233755" w:rsidRPr="00ED6A2E" w:rsidRDefault="00076F55" w:rsidP="00233755">
      <w:pPr>
        <w:spacing w:after="120"/>
        <w:rPr>
          <w:color w:val="5982DB" w:themeColor="accent6"/>
        </w:rPr>
      </w:pPr>
      <w:hyperlink w:anchor="_Domestic_economy_-" w:history="1">
        <w:r w:rsidRPr="00ED6A2E">
          <w:rPr>
            <w:rStyle w:val="Hyperlink"/>
            <w:b/>
            <w:bCs/>
            <w:color w:val="5982DB" w:themeColor="accent6"/>
            <w:sz w:val="20"/>
            <w:szCs w:val="20"/>
          </w:rPr>
          <w:t>State final demand</w:t>
        </w:r>
      </w:hyperlink>
    </w:p>
    <w:p w14:paraId="27D679FC" w14:textId="313DB4DD" w:rsidR="00EB3395" w:rsidRPr="00ED6A2E" w:rsidRDefault="00076F55" w:rsidP="00EB3395">
      <w:pPr>
        <w:spacing w:after="120"/>
        <w:rPr>
          <w:b/>
          <w:bCs/>
          <w:color w:val="5982DB" w:themeColor="accent6"/>
          <w:sz w:val="20"/>
          <w:szCs w:val="20"/>
        </w:rPr>
      </w:pPr>
      <w:hyperlink w:anchor="_State_final_demand" w:history="1">
        <w:r w:rsidRPr="00ED6A2E">
          <w:rPr>
            <w:rStyle w:val="Hyperlink"/>
            <w:b/>
            <w:bCs/>
            <w:color w:val="5982DB" w:themeColor="accent6"/>
            <w:sz w:val="20"/>
            <w:szCs w:val="20"/>
          </w:rPr>
          <w:t>State final demand</w:t>
        </w:r>
        <w:r w:rsidR="00EB3395" w:rsidRPr="00ED6A2E">
          <w:rPr>
            <w:rStyle w:val="Hyperlink"/>
            <w:b/>
            <w:bCs/>
            <w:color w:val="5982DB" w:themeColor="accent6"/>
            <w:sz w:val="20"/>
            <w:szCs w:val="20"/>
          </w:rPr>
          <w:t xml:space="preserve"> </w:t>
        </w:r>
        <w:r w:rsidRPr="00ED6A2E">
          <w:rPr>
            <w:rStyle w:val="Hyperlink"/>
            <w:b/>
            <w:bCs/>
            <w:color w:val="5982DB" w:themeColor="accent6"/>
            <w:sz w:val="20"/>
            <w:szCs w:val="20"/>
          </w:rPr>
          <w:t>–</w:t>
        </w:r>
        <w:r w:rsidR="00EB3395" w:rsidRPr="00ED6A2E">
          <w:rPr>
            <w:rStyle w:val="Hyperlink"/>
            <w:b/>
            <w:bCs/>
            <w:color w:val="5982DB" w:themeColor="accent6"/>
            <w:sz w:val="20"/>
            <w:szCs w:val="20"/>
          </w:rPr>
          <w:t xml:space="preserve"> components</w:t>
        </w:r>
      </w:hyperlink>
    </w:p>
    <w:p w14:paraId="1E010EFD" w14:textId="18AF78AC" w:rsidR="00233755" w:rsidRPr="00ED6A2E" w:rsidRDefault="00076F55" w:rsidP="00233755">
      <w:pPr>
        <w:spacing w:after="120"/>
        <w:rPr>
          <w:b/>
          <w:bCs/>
          <w:color w:val="5982DB" w:themeColor="accent6"/>
          <w:sz w:val="20"/>
          <w:szCs w:val="20"/>
        </w:rPr>
      </w:pPr>
      <w:hyperlink w:anchor="_Whole_economy" w:history="1">
        <w:r w:rsidRPr="00ED6A2E">
          <w:rPr>
            <w:rStyle w:val="Hyperlink"/>
            <w:b/>
            <w:bCs/>
            <w:color w:val="5982DB" w:themeColor="accent6"/>
            <w:sz w:val="20"/>
            <w:szCs w:val="20"/>
          </w:rPr>
          <w:t>Gross state product</w:t>
        </w:r>
      </w:hyperlink>
    </w:p>
    <w:p w14:paraId="29A8CB11" w14:textId="77777777" w:rsidR="00233755" w:rsidRPr="00ED6A2E" w:rsidRDefault="00233755" w:rsidP="00233755">
      <w:pPr>
        <w:spacing w:after="120"/>
        <w:rPr>
          <w:rStyle w:val="Hyperlink"/>
          <w:color w:val="5982DB" w:themeColor="accent6"/>
        </w:rPr>
      </w:pPr>
      <w:hyperlink w:anchor="_Commodity_prices_and" w:history="1">
        <w:r w:rsidRPr="00ED6A2E">
          <w:rPr>
            <w:rStyle w:val="Hyperlink"/>
            <w:b/>
            <w:bCs/>
            <w:color w:val="5982DB" w:themeColor="accent6"/>
            <w:sz w:val="20"/>
            <w:szCs w:val="20"/>
          </w:rPr>
          <w:t>Commodity prices and exchange rates</w:t>
        </w:r>
      </w:hyperlink>
    </w:p>
    <w:p w14:paraId="4B8305C5" w14:textId="77777777" w:rsidR="00233755" w:rsidRPr="00505196" w:rsidRDefault="00233755" w:rsidP="00233755">
      <w:pPr>
        <w:spacing w:after="120"/>
        <w:rPr>
          <w:rStyle w:val="Hyperlink"/>
        </w:rPr>
      </w:pPr>
      <w:hyperlink w:anchor="_Consumer_prices_and" w:history="1">
        <w:r w:rsidRPr="00505196">
          <w:rPr>
            <w:rStyle w:val="Hyperlink"/>
            <w:b/>
            <w:bCs/>
            <w:sz w:val="20"/>
            <w:szCs w:val="20"/>
          </w:rPr>
          <w:t>Consumer prices and interest rates</w:t>
        </w:r>
      </w:hyperlink>
    </w:p>
    <w:p w14:paraId="7C81320D" w14:textId="77777777" w:rsidR="00233755" w:rsidRPr="00AC781A" w:rsidRDefault="00233755" w:rsidP="00233755">
      <w:pPr>
        <w:spacing w:after="120"/>
        <w:rPr>
          <w:b/>
          <w:bCs/>
          <w:sz w:val="20"/>
          <w:szCs w:val="20"/>
        </w:rPr>
      </w:pPr>
      <w:hyperlink w:anchor="_Labour_market_–" w:history="1">
        <w:r w:rsidRPr="00AC781A">
          <w:rPr>
            <w:rStyle w:val="Hyperlink"/>
            <w:b/>
            <w:bCs/>
            <w:sz w:val="20"/>
            <w:szCs w:val="20"/>
          </w:rPr>
          <w:t>Labour market – employment</w:t>
        </w:r>
      </w:hyperlink>
    </w:p>
    <w:p w14:paraId="036A149D" w14:textId="77777777" w:rsidR="00233755" w:rsidRDefault="00233755" w:rsidP="00233755">
      <w:pPr>
        <w:spacing w:after="120"/>
        <w:rPr>
          <w:rStyle w:val="Hyperlink"/>
          <w:b/>
          <w:bCs/>
          <w:sz w:val="20"/>
          <w:szCs w:val="20"/>
        </w:rPr>
      </w:pPr>
      <w:hyperlink w:anchor="_Labour_market_–_1" w:history="1">
        <w:r w:rsidRPr="00AC781A">
          <w:rPr>
            <w:rStyle w:val="Hyperlink"/>
            <w:b/>
            <w:bCs/>
            <w:sz w:val="20"/>
            <w:szCs w:val="20"/>
          </w:rPr>
          <w:t>Labour market – spare capacity</w:t>
        </w:r>
      </w:hyperlink>
      <w:r w:rsidRPr="00AC781A">
        <w:rPr>
          <w:rStyle w:val="Hyperlink"/>
          <w:b/>
          <w:bCs/>
          <w:sz w:val="20"/>
          <w:szCs w:val="20"/>
        </w:rPr>
        <w:t xml:space="preserve"> and vacancies</w:t>
      </w:r>
    </w:p>
    <w:p w14:paraId="17A57021" w14:textId="77777777" w:rsidR="00233755" w:rsidRDefault="00233755" w:rsidP="00233755">
      <w:pPr>
        <w:spacing w:after="120"/>
      </w:pPr>
    </w:p>
    <w:p w14:paraId="40CB5218" w14:textId="77777777" w:rsidR="00233755" w:rsidRPr="00FC01F7"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FC01F7">
          <w:rPr>
            <w:rStyle w:val="Hyperlink"/>
            <w:b/>
            <w:bCs/>
            <w:i/>
            <w:iCs/>
            <w:sz w:val="20"/>
            <w:szCs w:val="20"/>
          </w:rPr>
          <w:t xml:space="preserve">Link to </w:t>
        </w:r>
        <w:r w:rsidRPr="00FC01F7">
          <w:rPr>
            <w:rStyle w:val="Hyperlink"/>
            <w:rFonts w:asciiTheme="majorHAnsi" w:hAnsiTheme="majorHAnsi" w:cstheme="majorHAnsi"/>
            <w:b/>
            <w:bCs/>
            <w:i/>
            <w:iCs/>
            <w:sz w:val="20"/>
            <w:szCs w:val="20"/>
          </w:rPr>
          <w:t>Economic structure and industries section</w:t>
        </w:r>
      </w:hyperlink>
    </w:p>
    <w:p w14:paraId="53192DB9" w14:textId="77777777" w:rsidR="00233755" w:rsidRPr="00AC781A" w:rsidRDefault="00233755" w:rsidP="00233755">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 – wages</w:t>
        </w:r>
      </w:hyperlink>
    </w:p>
    <w:p w14:paraId="07FBE53B" w14:textId="77777777" w:rsidR="00233755" w:rsidRPr="00AC781A" w:rsidRDefault="00233755" w:rsidP="00233755">
      <w:pPr>
        <w:spacing w:after="120"/>
        <w:rPr>
          <w:b/>
          <w:bCs/>
          <w:sz w:val="20"/>
          <w:szCs w:val="20"/>
        </w:rPr>
      </w:pPr>
      <w:hyperlink w:anchor="_Population" w:history="1">
        <w:r w:rsidRPr="00AC781A">
          <w:rPr>
            <w:rStyle w:val="Hyperlink"/>
            <w:b/>
            <w:bCs/>
            <w:sz w:val="20"/>
            <w:szCs w:val="20"/>
          </w:rPr>
          <w:t>Population</w:t>
        </w:r>
      </w:hyperlink>
    </w:p>
    <w:p w14:paraId="6595C5CC" w14:textId="77777777" w:rsidR="00233755" w:rsidRPr="00AC781A" w:rsidRDefault="00233755" w:rsidP="00233755">
      <w:pPr>
        <w:spacing w:after="120"/>
        <w:rPr>
          <w:b/>
          <w:bCs/>
          <w:sz w:val="20"/>
          <w:szCs w:val="20"/>
        </w:rPr>
      </w:pPr>
      <w:hyperlink w:anchor="_Housing" w:history="1">
        <w:r w:rsidRPr="00AC781A">
          <w:rPr>
            <w:rStyle w:val="Hyperlink"/>
            <w:b/>
            <w:bCs/>
            <w:sz w:val="20"/>
            <w:szCs w:val="20"/>
          </w:rPr>
          <w:t>Housing</w:t>
        </w:r>
      </w:hyperlink>
    </w:p>
    <w:p w14:paraId="3DD21A3F" w14:textId="77777777" w:rsidR="00233755" w:rsidRDefault="00233755" w:rsidP="00233755">
      <w:pPr>
        <w:spacing w:after="120"/>
      </w:pPr>
      <w:hyperlink w:anchor="_Construction" w:history="1">
        <w:r w:rsidRPr="00AC781A">
          <w:rPr>
            <w:rStyle w:val="Hyperlink"/>
            <w:b/>
            <w:bCs/>
            <w:sz w:val="20"/>
            <w:szCs w:val="20"/>
          </w:rPr>
          <w:t>Construction</w:t>
        </w:r>
      </w:hyperlink>
    </w:p>
    <w:p w14:paraId="4045B562" w14:textId="77777777" w:rsidR="00233755" w:rsidRPr="009028F8" w:rsidRDefault="00233755" w:rsidP="00233755">
      <w:pPr>
        <w:spacing w:after="120"/>
        <w:rPr>
          <w:rStyle w:val="Hyperlink"/>
        </w:rPr>
      </w:pPr>
      <w:hyperlink w:anchor="_Regional_economic_conditions" w:history="1">
        <w:r>
          <w:rPr>
            <w:rStyle w:val="Hyperlink"/>
            <w:b/>
            <w:bCs/>
            <w:sz w:val="20"/>
            <w:szCs w:val="20"/>
          </w:rPr>
          <w:t>Regional labour markets and construction</w:t>
        </w:r>
      </w:hyperlink>
    </w:p>
    <w:p w14:paraId="4D4C49EA" w14:textId="77777777" w:rsidR="00233755" w:rsidRPr="00AC781A" w:rsidRDefault="00233755" w:rsidP="00233755">
      <w:pPr>
        <w:spacing w:after="120"/>
        <w:rPr>
          <w:b/>
          <w:bCs/>
          <w:sz w:val="20"/>
          <w:szCs w:val="20"/>
        </w:rPr>
      </w:pPr>
      <w:hyperlink w:anchor="_International_trade_1" w:history="1">
        <w:r w:rsidRPr="00AC781A">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E302D05" w:rsidR="00C62D14" w:rsidRPr="00052D69" w:rsidRDefault="00052D69" w:rsidP="00C62D14">
      <w:pPr>
        <w:pStyle w:val="Heading3"/>
        <w:spacing w:before="0"/>
        <w:rPr>
          <w:color w:val="002060"/>
          <w:sz w:val="24"/>
          <w:szCs w:val="24"/>
        </w:rPr>
        <w:sectPr w:rsidR="00C62D14" w:rsidRPr="00052D69" w:rsidSect="00C62D14">
          <w:pgSz w:w="11907" w:h="16840" w:code="9"/>
          <w:pgMar w:top="1701" w:right="425" w:bottom="567" w:left="567" w:header="709" w:footer="709" w:gutter="0"/>
          <w:cols w:space="720"/>
          <w:docGrid w:linePitch="360"/>
        </w:sectPr>
      </w:pPr>
      <w:bookmarkStart w:id="3" w:name="_Whole_of_economy"/>
      <w:bookmarkStart w:id="4" w:name="_Domestic_economy"/>
      <w:bookmarkStart w:id="5" w:name="_Domestic_economy_-"/>
      <w:bookmarkEnd w:id="3"/>
      <w:bookmarkEnd w:id="4"/>
      <w:bookmarkEnd w:id="5"/>
      <w:r w:rsidRPr="00052D69">
        <w:rPr>
          <w:color w:val="002060"/>
          <w:sz w:val="24"/>
          <w:szCs w:val="24"/>
        </w:rPr>
        <w:lastRenderedPageBreak/>
        <w:t>State final demand</w:t>
      </w:r>
    </w:p>
    <w:p w14:paraId="6DE68C5C" w14:textId="77777777" w:rsidR="00C62D14" w:rsidRPr="00814C57" w:rsidRDefault="00C62D14" w:rsidP="00C62D14">
      <w:pPr>
        <w:ind w:right="227"/>
        <w:jc w:val="right"/>
        <w:rPr>
          <w:rStyle w:val="Hyperlink"/>
          <w:b/>
          <w:bCs/>
          <w:sz w:val="16"/>
          <w:szCs w:val="16"/>
        </w:rPr>
        <w:sectPr w:rsidR="00C62D14" w:rsidRPr="00814C57" w:rsidSect="00C62D14">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A39571" w14:textId="30E617CA" w:rsidR="00C62D14" w:rsidRPr="002D13CB" w:rsidRDefault="00C62D14" w:rsidP="00C62D14">
      <w:pPr>
        <w:pStyle w:val="Heading4"/>
        <w:spacing w:before="0"/>
        <w:rPr>
          <w:i w:val="0"/>
          <w:iCs w:val="0"/>
          <w:color w:val="92278F" w:themeColor="accent1"/>
          <w:sz w:val="20"/>
          <w:szCs w:val="20"/>
        </w:rPr>
        <w:sectPr w:rsidR="00C62D14" w:rsidRPr="002D13CB" w:rsidSect="00C62D14">
          <w:type w:val="continuous"/>
          <w:pgSz w:w="11907" w:h="16840" w:code="9"/>
          <w:pgMar w:top="1701" w:right="425" w:bottom="567" w:left="567" w:header="709" w:footer="709" w:gutter="0"/>
          <w:cols w:space="720"/>
          <w:docGrid w:linePitch="360"/>
        </w:sectPr>
      </w:pPr>
      <w:r w:rsidRPr="002D13CB">
        <w:rPr>
          <w:i w:val="0"/>
          <w:iCs w:val="0"/>
          <w:color w:val="92278F" w:themeColor="accent1"/>
          <w:sz w:val="20"/>
          <w:szCs w:val="20"/>
        </w:rPr>
        <w:t>State and domestic final demand (</w:t>
      </w:r>
      <w:r w:rsidR="002D4377" w:rsidRPr="002D13CB">
        <w:rPr>
          <w:i w:val="0"/>
          <w:iCs w:val="0"/>
          <w:color w:val="92278F" w:themeColor="accent1"/>
          <w:sz w:val="20"/>
          <w:szCs w:val="20"/>
        </w:rPr>
        <w:t>index</w:t>
      </w:r>
      <w:r w:rsidRPr="002D13CB">
        <w:rPr>
          <w:i w:val="0"/>
          <w:iCs w:val="0"/>
          <w:color w:val="92278F" w:themeColor="accent1"/>
          <w:sz w:val="20"/>
          <w:szCs w:val="20"/>
        </w:rPr>
        <w:t>)</w:t>
      </w:r>
    </w:p>
    <w:p w14:paraId="5EA8D8CE" w14:textId="13730446" w:rsidR="00C62D14" w:rsidRPr="007B1AE5" w:rsidRDefault="000E0341" w:rsidP="00C62D14">
      <w:r>
        <w:rPr>
          <w:noProof/>
        </w:rPr>
        <w:drawing>
          <wp:inline distT="0" distB="0" distL="0" distR="0" wp14:anchorId="4D6D6097" wp14:editId="65CC429F">
            <wp:extent cx="3420000" cy="2052000"/>
            <wp:effectExtent l="0" t="0" r="9525" b="5715"/>
            <wp:docPr id="45246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E923EFD" w14:textId="5D618605" w:rsidR="00C62D14" w:rsidRPr="002D13CB" w:rsidRDefault="00C62D14" w:rsidP="00C62D14">
      <w:pPr>
        <w:jc w:val="both"/>
        <w:rPr>
          <w:color w:val="000000" w:themeColor="text1"/>
          <w:sz w:val="10"/>
          <w:szCs w:val="10"/>
        </w:rPr>
      </w:pPr>
      <w:r w:rsidRPr="002D13CB">
        <w:rPr>
          <w:color w:val="000000" w:themeColor="text1"/>
          <w:sz w:val="10"/>
        </w:rPr>
        <w:t xml:space="preserve">Note – </w:t>
      </w:r>
      <w:r w:rsidRPr="002D13CB">
        <w:rPr>
          <w:color w:val="000000" w:themeColor="text1"/>
          <w:sz w:val="10"/>
          <w:szCs w:val="10"/>
        </w:rPr>
        <w:t xml:space="preserve">Chain volume measures. </w:t>
      </w:r>
      <w:r w:rsidR="00106140" w:rsidRPr="002D13CB">
        <w:rPr>
          <w:color w:val="000000" w:themeColor="text1"/>
          <w:sz w:val="10"/>
          <w:szCs w:val="10"/>
        </w:rPr>
        <w:t>Seasonally adjusted</w:t>
      </w:r>
      <w:r w:rsidRPr="002D13CB">
        <w:rPr>
          <w:color w:val="000000" w:themeColor="text1"/>
          <w:sz w:val="10"/>
          <w:szCs w:val="10"/>
        </w:rPr>
        <w:t xml:space="preserve"> series. </w:t>
      </w:r>
      <w:r w:rsidR="002D4377" w:rsidRPr="002D13CB">
        <w:rPr>
          <w:color w:val="000000" w:themeColor="text1"/>
          <w:sz w:val="10"/>
          <w:szCs w:val="10"/>
        </w:rPr>
        <w:t>Quarterly index (March quarter 2020 = 100.0)</w:t>
      </w:r>
      <w:r w:rsidRPr="002D13CB">
        <w:rPr>
          <w:color w:val="000000" w:themeColor="text1"/>
          <w:sz w:val="10"/>
          <w:szCs w:val="10"/>
        </w:rPr>
        <w:t>.</w:t>
      </w:r>
    </w:p>
    <w:p w14:paraId="1B8735D2" w14:textId="77777777" w:rsidR="00C62D14" w:rsidRPr="00106140" w:rsidRDefault="00C62D14" w:rsidP="00C62D14">
      <w:pPr>
        <w:jc w:val="both"/>
        <w:rPr>
          <w:color w:val="FF0000"/>
          <w:sz w:val="10"/>
          <w:szCs w:val="10"/>
        </w:rPr>
      </w:pPr>
      <w:r w:rsidRPr="002D13CB">
        <w:rPr>
          <w:color w:val="000000" w:themeColor="text1"/>
          <w:sz w:val="10"/>
          <w:szCs w:val="10"/>
        </w:rPr>
        <w:t>Source: Based on ABS data</w:t>
      </w:r>
      <w:r w:rsidRPr="00106140">
        <w:rPr>
          <w:color w:val="FF0000"/>
          <w:sz w:val="10"/>
          <w:szCs w:val="10"/>
        </w:rPr>
        <w:t>.</w:t>
      </w:r>
    </w:p>
    <w:p w14:paraId="2D287ED3" w14:textId="1EB526A5" w:rsidR="00C62D14" w:rsidRPr="002D13CB" w:rsidRDefault="00C62D14" w:rsidP="00C62D14">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2D13CB">
        <w:rPr>
          <w:color w:val="000000" w:themeColor="text1"/>
          <w:sz w:val="16"/>
          <w:szCs w:val="16"/>
        </w:rPr>
        <w:t>State final demand (SFD) measures total consumption and investment by the private and public sectors. Domestic final demand (DFD) is the national equivalent to SFD.</w:t>
      </w:r>
    </w:p>
    <w:p w14:paraId="05962DB6" w14:textId="77777777" w:rsidR="00C62D14" w:rsidRPr="002D13CB" w:rsidRDefault="00C62D14" w:rsidP="00C62D14">
      <w:pPr>
        <w:pStyle w:val="ListParagraph"/>
        <w:numPr>
          <w:ilvl w:val="0"/>
          <w:numId w:val="31"/>
        </w:numPr>
        <w:spacing w:before="40" w:after="40"/>
        <w:ind w:left="357" w:right="227" w:hanging="357"/>
        <w:contextualSpacing w:val="0"/>
        <w:jc w:val="both"/>
        <w:rPr>
          <w:color w:val="000000" w:themeColor="text1"/>
          <w:sz w:val="16"/>
          <w:szCs w:val="16"/>
        </w:rPr>
      </w:pPr>
      <w:r w:rsidRPr="002D13CB">
        <w:rPr>
          <w:color w:val="000000" w:themeColor="text1"/>
          <w:sz w:val="16"/>
          <w:szCs w:val="16"/>
        </w:rPr>
        <w:t>SFD accounts for most of Western Australia’s GSP – 67% ($305.8 billion) in 2023</w:t>
      </w:r>
      <w:r w:rsidRPr="002D13CB">
        <w:rPr>
          <w:color w:val="000000" w:themeColor="text1"/>
          <w:sz w:val="16"/>
          <w:szCs w:val="16"/>
        </w:rPr>
        <w:noBreakHyphen/>
        <w:t>24 – although this share is low compared to other states and territories due to net exports being particularly high for Western Australia.</w:t>
      </w:r>
    </w:p>
    <w:p w14:paraId="6D645669" w14:textId="60D8299A" w:rsidR="00C62D14" w:rsidRPr="002D13CB" w:rsidRDefault="00C62D14" w:rsidP="00C62D14">
      <w:pPr>
        <w:pStyle w:val="ListParagraph"/>
        <w:numPr>
          <w:ilvl w:val="0"/>
          <w:numId w:val="31"/>
        </w:numPr>
        <w:spacing w:before="40" w:after="40"/>
        <w:ind w:left="357" w:right="227" w:hanging="357"/>
        <w:jc w:val="both"/>
        <w:rPr>
          <w:color w:val="000000" w:themeColor="text1"/>
          <w:sz w:val="16"/>
          <w:szCs w:val="16"/>
        </w:rPr>
      </w:pPr>
      <w:r w:rsidRPr="002D13CB">
        <w:rPr>
          <w:color w:val="000000" w:themeColor="text1"/>
          <w:sz w:val="16"/>
          <w:szCs w:val="16"/>
        </w:rPr>
        <w:t xml:space="preserve">Western Australia’s SFD </w:t>
      </w:r>
      <w:r w:rsidR="00CB7FCD" w:rsidRPr="002D13CB">
        <w:rPr>
          <w:color w:val="000000" w:themeColor="text1"/>
          <w:sz w:val="16"/>
          <w:szCs w:val="16"/>
        </w:rPr>
        <w:t xml:space="preserve">growth has outpaced </w:t>
      </w:r>
      <w:r w:rsidRPr="002D13CB">
        <w:rPr>
          <w:color w:val="000000" w:themeColor="text1"/>
          <w:sz w:val="16"/>
          <w:szCs w:val="16"/>
        </w:rPr>
        <w:t>Australia’s DFD</w:t>
      </w:r>
      <w:r w:rsidR="00CB7FCD" w:rsidRPr="002D13CB">
        <w:rPr>
          <w:color w:val="000000" w:themeColor="text1"/>
          <w:sz w:val="16"/>
          <w:szCs w:val="16"/>
        </w:rPr>
        <w:t xml:space="preserve"> </w:t>
      </w:r>
      <w:r w:rsidR="00D30A66" w:rsidRPr="002D13CB">
        <w:rPr>
          <w:color w:val="000000" w:themeColor="text1"/>
          <w:sz w:val="16"/>
          <w:szCs w:val="16"/>
        </w:rPr>
        <w:t xml:space="preserve">growth </w:t>
      </w:r>
      <w:r w:rsidR="00CB7FCD" w:rsidRPr="002D13CB">
        <w:rPr>
          <w:color w:val="000000" w:themeColor="text1"/>
          <w:sz w:val="16"/>
          <w:szCs w:val="16"/>
        </w:rPr>
        <w:t xml:space="preserve">since the </w:t>
      </w:r>
      <w:r w:rsidR="000E0341" w:rsidRPr="002D13CB">
        <w:rPr>
          <w:color w:val="000000" w:themeColor="text1"/>
          <w:sz w:val="16"/>
          <w:szCs w:val="16"/>
        </w:rPr>
        <w:t xml:space="preserve">onset of the </w:t>
      </w:r>
      <w:r w:rsidR="00CB7FCD" w:rsidRPr="002D13CB">
        <w:rPr>
          <w:color w:val="000000" w:themeColor="text1"/>
          <w:sz w:val="16"/>
          <w:szCs w:val="16"/>
        </w:rPr>
        <w:t xml:space="preserve">COVID-19 pandemic in </w:t>
      </w:r>
      <w:r w:rsidR="000E0341" w:rsidRPr="002D13CB">
        <w:rPr>
          <w:color w:val="000000" w:themeColor="text1"/>
          <w:sz w:val="16"/>
          <w:szCs w:val="16"/>
        </w:rPr>
        <w:t xml:space="preserve">early </w:t>
      </w:r>
      <w:r w:rsidR="00CB7FCD" w:rsidRPr="002D13CB">
        <w:rPr>
          <w:color w:val="000000" w:themeColor="text1"/>
          <w:sz w:val="16"/>
          <w:szCs w:val="16"/>
        </w:rPr>
        <w:t>2020</w:t>
      </w:r>
      <w:r w:rsidRPr="002D13CB">
        <w:rPr>
          <w:color w:val="000000" w:themeColor="text1"/>
          <w:sz w:val="16"/>
          <w:szCs w:val="16"/>
        </w:rPr>
        <w:t>.</w:t>
      </w:r>
      <w:r w:rsidR="00DD7C4E" w:rsidRPr="002D13CB">
        <w:rPr>
          <w:color w:val="000000" w:themeColor="text1"/>
          <w:sz w:val="16"/>
          <w:szCs w:val="16"/>
        </w:rPr>
        <w:t xml:space="preserve"> In the March quarter 2025, Western Australia’s SFD was 24.4% higher than it was in the March quarter 2020, while Australia’s DFD was 16.1% higher.</w:t>
      </w:r>
    </w:p>
    <w:p w14:paraId="7302447D" w14:textId="62765E86" w:rsidR="00233755" w:rsidRPr="002D13CB" w:rsidRDefault="001F6F3C" w:rsidP="00C62D14">
      <w:pPr>
        <w:pStyle w:val="ListParagraph"/>
        <w:numPr>
          <w:ilvl w:val="0"/>
          <w:numId w:val="31"/>
        </w:numPr>
        <w:spacing w:before="40" w:after="40"/>
        <w:ind w:left="357" w:right="159" w:hanging="357"/>
        <w:jc w:val="both"/>
        <w:rPr>
          <w:color w:val="000000" w:themeColor="text1"/>
          <w:sz w:val="16"/>
          <w:szCs w:val="16"/>
        </w:rPr>
      </w:pPr>
      <w:r w:rsidRPr="002D13CB">
        <w:rPr>
          <w:color w:val="000000" w:themeColor="text1"/>
          <w:sz w:val="16"/>
          <w:szCs w:val="16"/>
        </w:rPr>
        <w:t>Western Australia’s real SFD rose 5.</w:t>
      </w:r>
      <w:r w:rsidR="00D44F16" w:rsidRPr="002D13CB">
        <w:rPr>
          <w:color w:val="000000" w:themeColor="text1"/>
          <w:sz w:val="16"/>
          <w:szCs w:val="16"/>
        </w:rPr>
        <w:t>7</w:t>
      </w:r>
      <w:r w:rsidRPr="002D13CB">
        <w:rPr>
          <w:color w:val="000000" w:themeColor="text1"/>
          <w:sz w:val="16"/>
          <w:szCs w:val="16"/>
        </w:rPr>
        <w:t>% in 2023</w:t>
      </w:r>
      <w:r w:rsidRPr="002D13CB">
        <w:rPr>
          <w:color w:val="000000" w:themeColor="text1"/>
          <w:sz w:val="16"/>
          <w:szCs w:val="16"/>
        </w:rPr>
        <w:noBreakHyphen/>
        <w:t xml:space="preserve">24. </w:t>
      </w:r>
      <w:r w:rsidR="00C62D14" w:rsidRPr="002D13CB">
        <w:rPr>
          <w:color w:val="000000" w:themeColor="text1"/>
          <w:sz w:val="16"/>
          <w:szCs w:val="16"/>
        </w:rPr>
        <w:t>The WA State Budget 2025</w:t>
      </w:r>
      <w:r w:rsidR="00C62D14" w:rsidRPr="002D13CB">
        <w:rPr>
          <w:color w:val="000000" w:themeColor="text1"/>
          <w:sz w:val="16"/>
          <w:szCs w:val="16"/>
        </w:rPr>
        <w:noBreakHyphen/>
        <w:t xml:space="preserve">26 </w:t>
      </w:r>
      <w:r w:rsidR="00D44F16" w:rsidRPr="002D13CB">
        <w:rPr>
          <w:color w:val="000000" w:themeColor="text1"/>
          <w:sz w:val="16"/>
          <w:szCs w:val="16"/>
        </w:rPr>
        <w:t>forecasts</w:t>
      </w:r>
      <w:r w:rsidR="00C62D14" w:rsidRPr="002D13CB">
        <w:rPr>
          <w:color w:val="000000" w:themeColor="text1"/>
          <w:sz w:val="16"/>
          <w:szCs w:val="16"/>
        </w:rPr>
        <w:t xml:space="preserve"> that Western Australia’s real SFD growth will </w:t>
      </w:r>
      <w:r w:rsidR="00DD7C4E" w:rsidRPr="002D13CB">
        <w:rPr>
          <w:color w:val="000000" w:themeColor="text1"/>
          <w:sz w:val="16"/>
          <w:szCs w:val="16"/>
        </w:rPr>
        <w:t>be</w:t>
      </w:r>
      <w:r w:rsidR="00C62D14" w:rsidRPr="002D13CB">
        <w:rPr>
          <w:color w:val="000000" w:themeColor="text1"/>
          <w:sz w:val="16"/>
          <w:szCs w:val="16"/>
        </w:rPr>
        <w:t xml:space="preserve"> 3.25% in 2024</w:t>
      </w:r>
      <w:r w:rsidR="00C62D14" w:rsidRPr="002D13CB">
        <w:rPr>
          <w:color w:val="000000" w:themeColor="text1"/>
          <w:sz w:val="16"/>
          <w:szCs w:val="16"/>
        </w:rPr>
        <w:noBreakHyphen/>
        <w:t>25 and 2.5% in both 2025</w:t>
      </w:r>
      <w:r w:rsidR="00C62D14" w:rsidRPr="002D13CB">
        <w:rPr>
          <w:color w:val="000000" w:themeColor="text1"/>
          <w:sz w:val="16"/>
          <w:szCs w:val="16"/>
        </w:rPr>
        <w:noBreakHyphen/>
        <w:t>26 and 2026-27.</w:t>
      </w:r>
    </w:p>
    <w:p w14:paraId="390A6367" w14:textId="77777777" w:rsidR="00233755" w:rsidRPr="00DA2F4F" w:rsidRDefault="00233755" w:rsidP="00233755">
      <w:pPr>
        <w:pStyle w:val="ListParagraph"/>
        <w:numPr>
          <w:ilvl w:val="0"/>
          <w:numId w:val="31"/>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State final demand by component (contribution to change)</w:t>
      </w:r>
    </w:p>
    <w:p w14:paraId="77300421" w14:textId="3CB34720" w:rsidR="00233755" w:rsidRPr="007B1AE5" w:rsidRDefault="005B333F" w:rsidP="00233755">
      <w:r>
        <w:rPr>
          <w:noProof/>
        </w:rPr>
        <w:drawing>
          <wp:inline distT="0" distB="0" distL="0" distR="0" wp14:anchorId="31312BAA" wp14:editId="5EBA69B9">
            <wp:extent cx="3420000" cy="2052000"/>
            <wp:effectExtent l="0" t="0" r="9525" b="5715"/>
            <wp:docPr id="80160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Quarter-on-quarter change.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57EA33B9" w14:textId="22D3B455" w:rsidR="00C62D14" w:rsidRPr="002D13CB" w:rsidRDefault="00233755" w:rsidP="009E3392">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C62D14" w:rsidRPr="00D44F16">
        <w:rPr>
          <w:sz w:val="16"/>
          <w:szCs w:val="16"/>
        </w:rPr>
        <w:t xml:space="preserve">Western Australia’s real </w:t>
      </w:r>
      <w:r w:rsidR="00C62D14" w:rsidRPr="002D13CB">
        <w:rPr>
          <w:color w:val="000000" w:themeColor="text1"/>
          <w:sz w:val="16"/>
          <w:szCs w:val="16"/>
        </w:rPr>
        <w:t>SFD rose 0.2% in the March quarter 2025, following a 1.5% rise in the December quarter 2024.</w:t>
      </w:r>
    </w:p>
    <w:p w14:paraId="4ECF2702" w14:textId="760A2CFB" w:rsidR="00C62D14" w:rsidRPr="002D13CB" w:rsidRDefault="00F14A0E" w:rsidP="00C62D14">
      <w:pPr>
        <w:pStyle w:val="ListParagraph"/>
        <w:numPr>
          <w:ilvl w:val="0"/>
          <w:numId w:val="31"/>
        </w:numPr>
        <w:spacing w:before="40" w:after="40"/>
        <w:ind w:left="357" w:right="227" w:hanging="357"/>
        <w:contextualSpacing w:val="0"/>
        <w:jc w:val="both"/>
        <w:rPr>
          <w:color w:val="000000" w:themeColor="text1"/>
          <w:sz w:val="16"/>
          <w:szCs w:val="16"/>
        </w:rPr>
      </w:pPr>
      <w:r w:rsidRPr="002D13CB">
        <w:rPr>
          <w:color w:val="000000" w:themeColor="text1"/>
          <w:sz w:val="16"/>
          <w:szCs w:val="16"/>
        </w:rPr>
        <w:t xml:space="preserve">The slowing in </w:t>
      </w:r>
      <w:r w:rsidR="00C62D14" w:rsidRPr="002D13CB">
        <w:rPr>
          <w:color w:val="000000" w:themeColor="text1"/>
          <w:sz w:val="16"/>
          <w:szCs w:val="16"/>
        </w:rPr>
        <w:t xml:space="preserve">Western Australia’s real SFD growth in the </w:t>
      </w:r>
      <w:r w:rsidR="00857EED" w:rsidRPr="002D13CB">
        <w:rPr>
          <w:color w:val="000000" w:themeColor="text1"/>
          <w:sz w:val="16"/>
          <w:szCs w:val="16"/>
        </w:rPr>
        <w:t>March</w:t>
      </w:r>
      <w:r w:rsidR="00C62D14" w:rsidRPr="002D13CB">
        <w:rPr>
          <w:color w:val="000000" w:themeColor="text1"/>
          <w:sz w:val="16"/>
          <w:szCs w:val="16"/>
        </w:rPr>
        <w:t xml:space="preserve"> quarter 202</w:t>
      </w:r>
      <w:r w:rsidR="00857EED" w:rsidRPr="002D13CB">
        <w:rPr>
          <w:color w:val="000000" w:themeColor="text1"/>
          <w:sz w:val="16"/>
          <w:szCs w:val="16"/>
        </w:rPr>
        <w:t>5</w:t>
      </w:r>
      <w:r w:rsidR="00C62D14" w:rsidRPr="002D13CB">
        <w:rPr>
          <w:color w:val="000000" w:themeColor="text1"/>
          <w:sz w:val="16"/>
          <w:szCs w:val="16"/>
        </w:rPr>
        <w:t xml:space="preserve"> was driven by:</w:t>
      </w:r>
    </w:p>
    <w:p w14:paraId="5698D024" w14:textId="05E403F1" w:rsidR="00F14A0E" w:rsidRPr="002D13CB" w:rsidRDefault="00F14A0E" w:rsidP="00C62D14">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Public final demand falling 1.5% following a rise of 1.0% in the previous quarter.</w:t>
      </w:r>
    </w:p>
    <w:p w14:paraId="5E65F596" w14:textId="0FD50781" w:rsidR="00F14A0E" w:rsidRPr="002D13CB" w:rsidRDefault="00F14A0E" w:rsidP="00F14A0E">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 xml:space="preserve">Household consumption </w:t>
      </w:r>
      <w:r w:rsidR="00986038" w:rsidRPr="002D13CB">
        <w:rPr>
          <w:color w:val="000000" w:themeColor="text1"/>
          <w:sz w:val="16"/>
          <w:szCs w:val="16"/>
        </w:rPr>
        <w:t xml:space="preserve">growth slowing to </w:t>
      </w:r>
      <w:r w:rsidRPr="002D13CB">
        <w:rPr>
          <w:color w:val="000000" w:themeColor="text1"/>
          <w:sz w:val="16"/>
          <w:szCs w:val="16"/>
        </w:rPr>
        <w:t xml:space="preserve">0.04% following a rise of 1.3% in the previous quarter </w:t>
      </w:r>
    </w:p>
    <w:p w14:paraId="3EB5E0BF" w14:textId="2F6A8490" w:rsidR="00233755" w:rsidRPr="002D13CB" w:rsidRDefault="00C62D14" w:rsidP="00F14A0E">
      <w:pPr>
        <w:pStyle w:val="ListParagraph"/>
        <w:numPr>
          <w:ilvl w:val="0"/>
          <w:numId w:val="31"/>
        </w:numPr>
        <w:spacing w:before="40" w:after="40"/>
        <w:ind w:left="357" w:right="227" w:hanging="357"/>
        <w:contextualSpacing w:val="0"/>
        <w:jc w:val="both"/>
        <w:rPr>
          <w:color w:val="000000" w:themeColor="text1"/>
          <w:sz w:val="16"/>
          <w:szCs w:val="16"/>
        </w:rPr>
      </w:pPr>
      <w:r w:rsidRPr="002D13CB">
        <w:rPr>
          <w:color w:val="000000" w:themeColor="text1"/>
          <w:sz w:val="16"/>
          <w:szCs w:val="16"/>
        </w:rPr>
        <w:t xml:space="preserve">Private investment </w:t>
      </w:r>
      <w:r w:rsidR="00F14A0E" w:rsidRPr="002D13CB">
        <w:rPr>
          <w:color w:val="000000" w:themeColor="text1"/>
          <w:sz w:val="16"/>
          <w:szCs w:val="16"/>
        </w:rPr>
        <w:t xml:space="preserve">was the main contributor to Western Australia’s real SFD growth in the March quarter 2025, </w:t>
      </w:r>
      <w:r w:rsidR="00986038" w:rsidRPr="002D13CB">
        <w:rPr>
          <w:color w:val="000000" w:themeColor="text1"/>
          <w:sz w:val="16"/>
          <w:szCs w:val="16"/>
        </w:rPr>
        <w:t xml:space="preserve">with </w:t>
      </w:r>
      <w:r w:rsidR="003F7F13" w:rsidRPr="002D13CB">
        <w:rPr>
          <w:color w:val="000000" w:themeColor="text1"/>
          <w:sz w:val="16"/>
          <w:szCs w:val="16"/>
        </w:rPr>
        <w:t xml:space="preserve">growth in </w:t>
      </w:r>
      <w:r w:rsidR="00406449" w:rsidRPr="002D13CB">
        <w:rPr>
          <w:color w:val="000000" w:themeColor="text1"/>
          <w:sz w:val="16"/>
          <w:szCs w:val="16"/>
        </w:rPr>
        <w:t xml:space="preserve">private investment </w:t>
      </w:r>
      <w:r w:rsidR="00755FE7" w:rsidRPr="002D13CB">
        <w:rPr>
          <w:color w:val="000000" w:themeColor="text1"/>
          <w:sz w:val="16"/>
          <w:szCs w:val="16"/>
        </w:rPr>
        <w:t>accelerating t</w:t>
      </w:r>
      <w:r w:rsidR="00986038" w:rsidRPr="002D13CB">
        <w:rPr>
          <w:color w:val="000000" w:themeColor="text1"/>
          <w:sz w:val="16"/>
          <w:szCs w:val="16"/>
        </w:rPr>
        <w:t xml:space="preserve">o </w:t>
      </w:r>
      <w:r w:rsidR="00857EED" w:rsidRPr="002D13CB">
        <w:rPr>
          <w:color w:val="000000" w:themeColor="text1"/>
          <w:sz w:val="16"/>
          <w:szCs w:val="16"/>
        </w:rPr>
        <w:t>2.5</w:t>
      </w:r>
      <w:r w:rsidRPr="002D13CB">
        <w:rPr>
          <w:color w:val="000000" w:themeColor="text1"/>
          <w:sz w:val="16"/>
          <w:szCs w:val="16"/>
        </w:rPr>
        <w:t>%</w:t>
      </w:r>
      <w:r w:rsidR="00986038" w:rsidRPr="002D13CB">
        <w:rPr>
          <w:color w:val="000000" w:themeColor="text1"/>
          <w:sz w:val="16"/>
          <w:szCs w:val="16"/>
        </w:rPr>
        <w:t xml:space="preserve"> </w:t>
      </w:r>
      <w:r w:rsidR="00755FE7" w:rsidRPr="002D13CB">
        <w:rPr>
          <w:color w:val="000000" w:themeColor="text1"/>
          <w:sz w:val="16"/>
          <w:szCs w:val="16"/>
        </w:rPr>
        <w:t xml:space="preserve">following </w:t>
      </w:r>
      <w:r w:rsidRPr="002D13CB">
        <w:rPr>
          <w:color w:val="000000" w:themeColor="text1"/>
          <w:sz w:val="16"/>
          <w:szCs w:val="16"/>
        </w:rPr>
        <w:t xml:space="preserve">a </w:t>
      </w:r>
      <w:r w:rsidR="00857EED" w:rsidRPr="002D13CB">
        <w:rPr>
          <w:color w:val="000000" w:themeColor="text1"/>
          <w:sz w:val="16"/>
          <w:szCs w:val="16"/>
        </w:rPr>
        <w:t>rise</w:t>
      </w:r>
      <w:r w:rsidRPr="002D13CB">
        <w:rPr>
          <w:color w:val="000000" w:themeColor="text1"/>
          <w:sz w:val="16"/>
          <w:szCs w:val="16"/>
        </w:rPr>
        <w:t xml:space="preserve"> </w:t>
      </w:r>
      <w:r w:rsidR="00857EED" w:rsidRPr="002D13CB">
        <w:rPr>
          <w:color w:val="000000" w:themeColor="text1"/>
          <w:sz w:val="16"/>
          <w:szCs w:val="16"/>
        </w:rPr>
        <w:t>of 2.2</w:t>
      </w:r>
      <w:r w:rsidRPr="002D13CB">
        <w:rPr>
          <w:color w:val="000000" w:themeColor="text1"/>
          <w:sz w:val="16"/>
          <w:szCs w:val="16"/>
        </w:rPr>
        <w:t>% in the previous quarter</w:t>
      </w:r>
      <w:r w:rsidR="00233755" w:rsidRPr="002D13CB">
        <w:rPr>
          <w:color w:val="000000" w:themeColor="text1"/>
          <w:sz w:val="16"/>
          <w:szCs w:val="16"/>
        </w:rPr>
        <w:t>.</w:t>
      </w:r>
    </w:p>
    <w:p w14:paraId="627BE13E" w14:textId="77777777" w:rsidR="00233755" w:rsidRPr="00C14B33" w:rsidRDefault="00233755" w:rsidP="00233755">
      <w:pPr>
        <w:pStyle w:val="ListParagraph"/>
        <w:numPr>
          <w:ilvl w:val="0"/>
          <w:numId w:val="31"/>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2B096ADE"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Pr="00AC3621">
        <w:rPr>
          <w:i w:val="0"/>
          <w:iCs w:val="0"/>
          <w:color w:val="92278F" w:themeColor="accent1"/>
          <w:sz w:val="20"/>
          <w:szCs w:val="20"/>
        </w:rPr>
        <w:t>omparison of state final demand by component (contribution to change</w:t>
      </w:r>
      <w:r w:rsidRPr="002D13CB">
        <w:rPr>
          <w:i w:val="0"/>
          <w:iCs w:val="0"/>
          <w:color w:val="92278F" w:themeColor="accent1"/>
          <w:sz w:val="20"/>
          <w:szCs w:val="20"/>
        </w:rPr>
        <w:t xml:space="preserve">): </w:t>
      </w:r>
      <w:r w:rsidR="005B333F" w:rsidRPr="002D13CB">
        <w:rPr>
          <w:i w:val="0"/>
          <w:iCs w:val="0"/>
          <w:color w:val="92278F" w:themeColor="accent1"/>
          <w:sz w:val="20"/>
          <w:szCs w:val="20"/>
        </w:rPr>
        <w:t>March</w:t>
      </w:r>
      <w:r w:rsidRPr="002D13CB">
        <w:rPr>
          <w:i w:val="0"/>
          <w:iCs w:val="0"/>
          <w:color w:val="92278F" w:themeColor="accent1"/>
          <w:sz w:val="20"/>
          <w:szCs w:val="20"/>
        </w:rPr>
        <w:t xml:space="preserve"> quarter 202</w:t>
      </w:r>
      <w:r w:rsidR="005B333F" w:rsidRPr="002D13CB">
        <w:rPr>
          <w:i w:val="0"/>
          <w:iCs w:val="0"/>
          <w:color w:val="92278F" w:themeColor="accent1"/>
          <w:sz w:val="20"/>
          <w:szCs w:val="20"/>
        </w:rPr>
        <w:t>5</w:t>
      </w:r>
    </w:p>
    <w:p w14:paraId="65DDFBED" w14:textId="1412A056" w:rsidR="00233755" w:rsidRPr="007B1AE5" w:rsidRDefault="00E170A3" w:rsidP="00233755">
      <w:r>
        <w:rPr>
          <w:noProof/>
        </w:rPr>
        <w:drawing>
          <wp:inline distT="0" distB="0" distL="0" distR="0" wp14:anchorId="683A5F94" wp14:editId="0AF602F7">
            <wp:extent cx="3413125" cy="2047875"/>
            <wp:effectExtent l="0" t="0" r="0" b="9525"/>
            <wp:docPr id="165904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125" cy="2047875"/>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15D55626" w14:textId="08D6111C" w:rsidR="00233755" w:rsidRPr="002D13CB" w:rsidRDefault="00233755" w:rsidP="00233755">
      <w:pPr>
        <w:pStyle w:val="ListParagraph"/>
        <w:numPr>
          <w:ilvl w:val="0"/>
          <w:numId w:val="31"/>
        </w:numPr>
        <w:tabs>
          <w:tab w:val="left" w:pos="5103"/>
        </w:tabs>
        <w:spacing w:before="40" w:after="40"/>
        <w:ind w:left="357" w:right="227" w:hanging="357"/>
        <w:contextualSpacing w:val="0"/>
        <w:jc w:val="both"/>
        <w:rPr>
          <w:color w:val="000000" w:themeColor="text1"/>
          <w:sz w:val="16"/>
          <w:szCs w:val="16"/>
        </w:rPr>
      </w:pPr>
      <w:r w:rsidRPr="007B1AE5">
        <w:br w:type="column"/>
      </w:r>
      <w:bookmarkStart w:id="6" w:name="_Hlk194503052"/>
      <w:r w:rsidRPr="002D13CB">
        <w:rPr>
          <w:color w:val="000000" w:themeColor="text1"/>
          <w:sz w:val="16"/>
          <w:szCs w:val="16"/>
        </w:rPr>
        <w:t>Western Australia’s real SFD grew 3.</w:t>
      </w:r>
      <w:r w:rsidR="005B333F" w:rsidRPr="002D13CB">
        <w:rPr>
          <w:color w:val="000000" w:themeColor="text1"/>
          <w:sz w:val="16"/>
          <w:szCs w:val="16"/>
        </w:rPr>
        <w:t>4</w:t>
      </w:r>
      <w:r w:rsidRPr="002D13CB">
        <w:rPr>
          <w:color w:val="000000" w:themeColor="text1"/>
          <w:sz w:val="16"/>
          <w:szCs w:val="16"/>
        </w:rPr>
        <w:t xml:space="preserve">% in the year to the </w:t>
      </w:r>
      <w:r w:rsidR="005B333F" w:rsidRPr="002D13CB">
        <w:rPr>
          <w:color w:val="000000" w:themeColor="text1"/>
          <w:sz w:val="16"/>
          <w:szCs w:val="16"/>
        </w:rPr>
        <w:t>March</w:t>
      </w:r>
      <w:r w:rsidRPr="002D13CB">
        <w:rPr>
          <w:color w:val="000000" w:themeColor="text1"/>
          <w:sz w:val="16"/>
          <w:szCs w:val="16"/>
        </w:rPr>
        <w:t xml:space="preserve"> quarter 202</w:t>
      </w:r>
      <w:r w:rsidR="005B333F" w:rsidRPr="002D13CB">
        <w:rPr>
          <w:color w:val="000000" w:themeColor="text1"/>
          <w:sz w:val="16"/>
          <w:szCs w:val="16"/>
        </w:rPr>
        <w:t>5</w:t>
      </w:r>
      <w:r w:rsidRPr="002D13CB">
        <w:rPr>
          <w:color w:val="000000" w:themeColor="text1"/>
          <w:sz w:val="16"/>
          <w:szCs w:val="16"/>
        </w:rPr>
        <w:t xml:space="preserve">. This was the </w:t>
      </w:r>
      <w:r w:rsidR="005B333F" w:rsidRPr="002D13CB">
        <w:rPr>
          <w:color w:val="000000" w:themeColor="text1"/>
          <w:sz w:val="16"/>
          <w:szCs w:val="16"/>
        </w:rPr>
        <w:t>third</w:t>
      </w:r>
      <w:r w:rsidRPr="002D13CB">
        <w:rPr>
          <w:color w:val="000000" w:themeColor="text1"/>
          <w:sz w:val="16"/>
          <w:szCs w:val="16"/>
        </w:rPr>
        <w:t xml:space="preserve"> highest growth rate of all </w:t>
      </w:r>
      <w:r w:rsidR="00D44F16" w:rsidRPr="002D13CB">
        <w:rPr>
          <w:color w:val="000000" w:themeColor="text1"/>
          <w:sz w:val="16"/>
          <w:szCs w:val="16"/>
        </w:rPr>
        <w:t xml:space="preserve">the </w:t>
      </w:r>
      <w:r w:rsidRPr="002D13CB">
        <w:rPr>
          <w:color w:val="000000" w:themeColor="text1"/>
          <w:sz w:val="16"/>
          <w:szCs w:val="16"/>
        </w:rPr>
        <w:t>states and territories, behind the Northern Territory (4.</w:t>
      </w:r>
      <w:r w:rsidR="005B333F" w:rsidRPr="002D13CB">
        <w:rPr>
          <w:color w:val="000000" w:themeColor="text1"/>
          <w:sz w:val="16"/>
          <w:szCs w:val="16"/>
        </w:rPr>
        <w:t>9</w:t>
      </w:r>
      <w:r w:rsidRPr="002D13CB">
        <w:rPr>
          <w:color w:val="000000" w:themeColor="text1"/>
          <w:sz w:val="16"/>
          <w:szCs w:val="16"/>
        </w:rPr>
        <w:t>%)</w:t>
      </w:r>
      <w:r w:rsidR="005B333F" w:rsidRPr="002D13CB">
        <w:rPr>
          <w:color w:val="000000" w:themeColor="text1"/>
          <w:sz w:val="16"/>
          <w:szCs w:val="16"/>
        </w:rPr>
        <w:t xml:space="preserve"> and Australian Capital Territory (3.9%)</w:t>
      </w:r>
      <w:r w:rsidRPr="002D13CB">
        <w:rPr>
          <w:color w:val="000000" w:themeColor="text1"/>
          <w:sz w:val="16"/>
          <w:szCs w:val="16"/>
        </w:rPr>
        <w:t>.</w:t>
      </w:r>
    </w:p>
    <w:p w14:paraId="3456AC1F" w14:textId="0EE51997" w:rsidR="00233755" w:rsidRPr="002D13CB" w:rsidRDefault="00233755" w:rsidP="00233755">
      <w:pPr>
        <w:pStyle w:val="ListParagraph"/>
        <w:numPr>
          <w:ilvl w:val="0"/>
          <w:numId w:val="31"/>
        </w:numPr>
        <w:tabs>
          <w:tab w:val="left" w:pos="5103"/>
        </w:tabs>
        <w:spacing w:before="40" w:after="40"/>
        <w:ind w:left="357" w:right="227" w:hanging="357"/>
        <w:contextualSpacing w:val="0"/>
        <w:jc w:val="both"/>
        <w:rPr>
          <w:color w:val="000000" w:themeColor="text1"/>
          <w:sz w:val="16"/>
          <w:szCs w:val="16"/>
        </w:rPr>
      </w:pPr>
      <w:r w:rsidRPr="002D13CB">
        <w:rPr>
          <w:color w:val="000000" w:themeColor="text1"/>
          <w:sz w:val="16"/>
          <w:szCs w:val="16"/>
        </w:rPr>
        <w:t xml:space="preserve">In the year to the </w:t>
      </w:r>
      <w:r w:rsidR="005B333F" w:rsidRPr="002D13CB">
        <w:rPr>
          <w:color w:val="000000" w:themeColor="text1"/>
          <w:sz w:val="16"/>
          <w:szCs w:val="16"/>
        </w:rPr>
        <w:t>March</w:t>
      </w:r>
      <w:r w:rsidRPr="002D13CB">
        <w:rPr>
          <w:color w:val="000000" w:themeColor="text1"/>
          <w:sz w:val="16"/>
          <w:szCs w:val="16"/>
        </w:rPr>
        <w:t xml:space="preserve"> quarter 202</w:t>
      </w:r>
      <w:r w:rsidR="005B333F" w:rsidRPr="002D13CB">
        <w:rPr>
          <w:color w:val="000000" w:themeColor="text1"/>
          <w:sz w:val="16"/>
          <w:szCs w:val="16"/>
        </w:rPr>
        <w:t>5</w:t>
      </w:r>
      <w:r w:rsidRPr="002D13CB">
        <w:rPr>
          <w:color w:val="000000" w:themeColor="text1"/>
          <w:sz w:val="16"/>
          <w:szCs w:val="16"/>
        </w:rPr>
        <w:t>, contributions to Western Australia’s real SFD growth were:</w:t>
      </w:r>
    </w:p>
    <w:p w14:paraId="7C160390" w14:textId="2F3E7394" w:rsidR="00233755" w:rsidRPr="002D13CB" w:rsidRDefault="00AE3E60" w:rsidP="00233755">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p</w:t>
      </w:r>
      <w:r w:rsidR="00233755" w:rsidRPr="002D13CB">
        <w:rPr>
          <w:color w:val="000000" w:themeColor="text1"/>
          <w:sz w:val="16"/>
          <w:szCs w:val="16"/>
        </w:rPr>
        <w:t>ublic final demand: 2.0 percentage points</w:t>
      </w:r>
    </w:p>
    <w:p w14:paraId="7393B780" w14:textId="09E4C504" w:rsidR="00233755" w:rsidRPr="002D13CB" w:rsidRDefault="00AE3E60" w:rsidP="00233755">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hou</w:t>
      </w:r>
      <w:r w:rsidR="00233755" w:rsidRPr="002D13CB">
        <w:rPr>
          <w:color w:val="000000" w:themeColor="text1"/>
          <w:sz w:val="16"/>
          <w:szCs w:val="16"/>
        </w:rPr>
        <w:t xml:space="preserve">sehold consumption: </w:t>
      </w:r>
      <w:r w:rsidR="005B333F" w:rsidRPr="002D13CB">
        <w:rPr>
          <w:color w:val="000000" w:themeColor="text1"/>
          <w:sz w:val="16"/>
          <w:szCs w:val="16"/>
        </w:rPr>
        <w:t>0.9</w:t>
      </w:r>
      <w:r w:rsidR="00233755" w:rsidRPr="002D13CB">
        <w:rPr>
          <w:color w:val="000000" w:themeColor="text1"/>
          <w:sz w:val="16"/>
          <w:szCs w:val="16"/>
        </w:rPr>
        <w:t> percentage points</w:t>
      </w:r>
    </w:p>
    <w:p w14:paraId="04F3A403" w14:textId="0254EE73" w:rsidR="00233755" w:rsidRPr="002D13CB" w:rsidRDefault="00AE3E60" w:rsidP="00233755">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p</w:t>
      </w:r>
      <w:r w:rsidR="00233755" w:rsidRPr="002D13CB">
        <w:rPr>
          <w:color w:val="000000" w:themeColor="text1"/>
          <w:sz w:val="16"/>
          <w:szCs w:val="16"/>
        </w:rPr>
        <w:t>rivate investment: 0.</w:t>
      </w:r>
      <w:r w:rsidR="005B333F" w:rsidRPr="002D13CB">
        <w:rPr>
          <w:color w:val="000000" w:themeColor="text1"/>
          <w:sz w:val="16"/>
          <w:szCs w:val="16"/>
        </w:rPr>
        <w:t>5</w:t>
      </w:r>
      <w:r w:rsidR="00233755" w:rsidRPr="002D13CB">
        <w:rPr>
          <w:color w:val="000000" w:themeColor="text1"/>
          <w:sz w:val="16"/>
          <w:szCs w:val="16"/>
        </w:rPr>
        <w:t> percentage points.</w:t>
      </w:r>
    </w:p>
    <w:p w14:paraId="11E7B9F8" w14:textId="3EA36AB7" w:rsidR="00233755" w:rsidRPr="002D13CB"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2D13CB">
        <w:rPr>
          <w:color w:val="000000" w:themeColor="text1"/>
          <w:sz w:val="16"/>
          <w:szCs w:val="16"/>
        </w:rPr>
        <w:t xml:space="preserve">In the year to the </w:t>
      </w:r>
      <w:r w:rsidR="005B333F" w:rsidRPr="002D13CB">
        <w:rPr>
          <w:color w:val="000000" w:themeColor="text1"/>
          <w:sz w:val="16"/>
          <w:szCs w:val="16"/>
        </w:rPr>
        <w:t>March</w:t>
      </w:r>
      <w:r w:rsidRPr="002D13CB">
        <w:rPr>
          <w:color w:val="000000" w:themeColor="text1"/>
          <w:sz w:val="16"/>
          <w:szCs w:val="16"/>
        </w:rPr>
        <w:t xml:space="preserve"> quarter 202</w:t>
      </w:r>
      <w:r w:rsidR="005B333F" w:rsidRPr="002D13CB">
        <w:rPr>
          <w:color w:val="000000" w:themeColor="text1"/>
          <w:sz w:val="16"/>
          <w:szCs w:val="16"/>
        </w:rPr>
        <w:t>5</w:t>
      </w:r>
      <w:r w:rsidRPr="002D13CB">
        <w:rPr>
          <w:color w:val="000000" w:themeColor="text1"/>
          <w:sz w:val="16"/>
          <w:szCs w:val="16"/>
        </w:rPr>
        <w:t>, the contribution to real SFD growth of:</w:t>
      </w:r>
    </w:p>
    <w:p w14:paraId="01D61F63" w14:textId="2866F289" w:rsidR="00233755" w:rsidRPr="002D13CB"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household consumption was the highest in Western Australia, followed by the Northern Territory</w:t>
      </w:r>
    </w:p>
    <w:p w14:paraId="0E7EC699" w14:textId="10734192" w:rsidR="00233755" w:rsidRPr="002D13CB"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 xml:space="preserve">private investment was the </w:t>
      </w:r>
      <w:r w:rsidR="00FB0866" w:rsidRPr="002D13CB">
        <w:rPr>
          <w:color w:val="000000" w:themeColor="text1"/>
          <w:sz w:val="16"/>
          <w:szCs w:val="16"/>
        </w:rPr>
        <w:t xml:space="preserve">fourth </w:t>
      </w:r>
      <w:r w:rsidRPr="002D13CB">
        <w:rPr>
          <w:color w:val="000000" w:themeColor="text1"/>
          <w:sz w:val="16"/>
          <w:szCs w:val="16"/>
        </w:rPr>
        <w:t>highest in Western Australia</w:t>
      </w:r>
      <w:r w:rsidR="00FB0866" w:rsidRPr="002D13CB">
        <w:rPr>
          <w:color w:val="000000" w:themeColor="text1"/>
          <w:sz w:val="16"/>
          <w:szCs w:val="16"/>
        </w:rPr>
        <w:t xml:space="preserve"> (0.5 percentage points), with Northern Territory the highest at 2.6 percentage points</w:t>
      </w:r>
    </w:p>
    <w:p w14:paraId="3095A6D0" w14:textId="751EE05B" w:rsidR="00233755" w:rsidRPr="002D13CB"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2D13CB">
        <w:rPr>
          <w:color w:val="000000" w:themeColor="text1"/>
          <w:sz w:val="16"/>
          <w:szCs w:val="16"/>
        </w:rPr>
        <w:t>public final demand was the third highest in Western Australia, behind the Australian Capital Territory</w:t>
      </w:r>
      <w:r w:rsidR="00FB0866" w:rsidRPr="002D13CB">
        <w:rPr>
          <w:color w:val="000000" w:themeColor="text1"/>
          <w:sz w:val="16"/>
          <w:szCs w:val="16"/>
        </w:rPr>
        <w:t xml:space="preserve"> and Tasmania</w:t>
      </w:r>
      <w:r w:rsidRPr="002D13CB">
        <w:rPr>
          <w:color w:val="000000" w:themeColor="text1"/>
          <w:sz w:val="16"/>
          <w:szCs w:val="16"/>
        </w:rPr>
        <w:t>.</w:t>
      </w:r>
    </w:p>
    <w:bookmarkEnd w:id="6"/>
    <w:p w14:paraId="782D522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052D69" w:rsidRDefault="00052D69" w:rsidP="00233755">
      <w:pPr>
        <w:pStyle w:val="Heading3"/>
        <w:spacing w:before="0"/>
        <w:rPr>
          <w:color w:val="002060"/>
          <w:sz w:val="24"/>
          <w:szCs w:val="24"/>
        </w:rPr>
        <w:sectPr w:rsidR="00233755" w:rsidRPr="00052D69" w:rsidSect="00233755">
          <w:pgSz w:w="11907" w:h="16840" w:code="9"/>
          <w:pgMar w:top="1701" w:right="425" w:bottom="567" w:left="567" w:header="709" w:footer="709" w:gutter="0"/>
          <w:cols w:space="720"/>
          <w:docGrid w:linePitch="360"/>
        </w:sectPr>
      </w:pPr>
      <w:bookmarkStart w:id="7" w:name="_State_final_demand"/>
      <w:bookmarkEnd w:id="7"/>
      <w:r>
        <w:rPr>
          <w:color w:val="002060"/>
          <w:sz w:val="24"/>
          <w:szCs w:val="24"/>
        </w:rPr>
        <w:lastRenderedPageBreak/>
        <w:t>State final demand</w:t>
      </w:r>
      <w:r w:rsidR="00672CE1" w:rsidRPr="00052D69">
        <w:rPr>
          <w:color w:val="002060"/>
          <w:sz w:val="24"/>
          <w:szCs w:val="24"/>
        </w:rPr>
        <w:t xml:space="preserve"> </w:t>
      </w:r>
      <w:r>
        <w:rPr>
          <w:color w:val="002060"/>
          <w:sz w:val="24"/>
          <w:szCs w:val="24"/>
        </w:rPr>
        <w:t>–</w:t>
      </w:r>
      <w:r w:rsidR="00672CE1" w:rsidRPr="00052D69">
        <w:rPr>
          <w:color w:val="002060"/>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22C5D435"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consumption by component (contribution to change):</w:t>
      </w:r>
      <w:r w:rsidRPr="00DC4955">
        <w:rPr>
          <w:i w:val="0"/>
          <w:iCs w:val="0"/>
          <w:color w:val="92278F" w:themeColor="accent1"/>
          <w:sz w:val="20"/>
          <w:szCs w:val="20"/>
        </w:rPr>
        <w:t xml:space="preserve"> </w:t>
      </w:r>
      <w:r w:rsidR="00FB0866" w:rsidRPr="00DC4955">
        <w:rPr>
          <w:i w:val="0"/>
          <w:iCs w:val="0"/>
          <w:color w:val="92278F" w:themeColor="accent1"/>
          <w:sz w:val="20"/>
          <w:szCs w:val="20"/>
        </w:rPr>
        <w:t>March</w:t>
      </w:r>
      <w:r w:rsidRPr="00DC4955">
        <w:rPr>
          <w:i w:val="0"/>
          <w:iCs w:val="0"/>
          <w:color w:val="92278F" w:themeColor="accent1"/>
          <w:sz w:val="20"/>
          <w:szCs w:val="20"/>
        </w:rPr>
        <w:t xml:space="preserve"> quarter 202</w:t>
      </w:r>
      <w:r w:rsidR="00FB0866" w:rsidRPr="00DC4955">
        <w:rPr>
          <w:i w:val="0"/>
          <w:iCs w:val="0"/>
          <w:color w:val="92278F" w:themeColor="accent1"/>
          <w:sz w:val="20"/>
          <w:szCs w:val="20"/>
        </w:rPr>
        <w:t>5</w:t>
      </w:r>
    </w:p>
    <w:p w14:paraId="3FDED347" w14:textId="48129765" w:rsidR="00233755" w:rsidRPr="007B1AE5" w:rsidRDefault="00FB0866" w:rsidP="00233755">
      <w:r>
        <w:rPr>
          <w:noProof/>
        </w:rPr>
        <w:drawing>
          <wp:inline distT="0" distB="0" distL="0" distR="0" wp14:anchorId="0FF4EE5E" wp14:editId="4CCA9524">
            <wp:extent cx="3420000" cy="2052000"/>
            <wp:effectExtent l="0" t="0" r="9525" b="5715"/>
            <wp:docPr id="95275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0F825C75"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DC4955">
        <w:rPr>
          <w:color w:val="000000" w:themeColor="text1"/>
          <w:sz w:val="16"/>
          <w:szCs w:val="16"/>
        </w:rPr>
        <w:t xml:space="preserve">Household consumption in Western Australia increased </w:t>
      </w:r>
      <w:r w:rsidR="00FB0866" w:rsidRPr="00DC4955">
        <w:rPr>
          <w:color w:val="000000" w:themeColor="text1"/>
          <w:sz w:val="16"/>
          <w:szCs w:val="16"/>
        </w:rPr>
        <w:t>1.8</w:t>
      </w:r>
      <w:r w:rsidRPr="00DC4955">
        <w:rPr>
          <w:color w:val="000000" w:themeColor="text1"/>
          <w:sz w:val="16"/>
          <w:szCs w:val="16"/>
        </w:rPr>
        <w:t xml:space="preserve">% in the year to the </w:t>
      </w:r>
      <w:r w:rsidR="00FB0866" w:rsidRPr="00DC4955">
        <w:rPr>
          <w:color w:val="000000" w:themeColor="text1"/>
          <w:sz w:val="16"/>
          <w:szCs w:val="16"/>
        </w:rPr>
        <w:t>March</w:t>
      </w:r>
      <w:r w:rsidRPr="00DC4955">
        <w:rPr>
          <w:color w:val="000000" w:themeColor="text1"/>
          <w:sz w:val="16"/>
          <w:szCs w:val="16"/>
        </w:rPr>
        <w:t xml:space="preserve"> quarter 202</w:t>
      </w:r>
      <w:r w:rsidR="00FB0866" w:rsidRPr="00DC4955">
        <w:rPr>
          <w:color w:val="000000" w:themeColor="text1"/>
          <w:sz w:val="16"/>
          <w:szCs w:val="16"/>
        </w:rPr>
        <w:t>5</w:t>
      </w:r>
      <w:r w:rsidRPr="00DC4955">
        <w:rPr>
          <w:color w:val="000000" w:themeColor="text1"/>
          <w:sz w:val="16"/>
          <w:szCs w:val="16"/>
        </w:rPr>
        <w:t>.</w:t>
      </w:r>
    </w:p>
    <w:p w14:paraId="5E09E0B3" w14:textId="44B0530A"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Spending on rent and other dwelling services (up 2.3%) contributed the most to growth in Western Australia’s household consumption in the year to the </w:t>
      </w:r>
      <w:r w:rsidR="00FB0866" w:rsidRPr="00DC4955">
        <w:rPr>
          <w:color w:val="000000" w:themeColor="text1"/>
          <w:sz w:val="16"/>
          <w:szCs w:val="16"/>
        </w:rPr>
        <w:t>March</w:t>
      </w:r>
      <w:r w:rsidRPr="00DC4955">
        <w:rPr>
          <w:color w:val="000000" w:themeColor="text1"/>
          <w:sz w:val="16"/>
          <w:szCs w:val="16"/>
        </w:rPr>
        <w:t xml:space="preserve"> quarter 202</w:t>
      </w:r>
      <w:r w:rsidR="00FB0866" w:rsidRPr="00DC4955">
        <w:rPr>
          <w:color w:val="000000" w:themeColor="text1"/>
          <w:sz w:val="16"/>
          <w:szCs w:val="16"/>
        </w:rPr>
        <w:t>5</w:t>
      </w:r>
      <w:r w:rsidRPr="00DC4955">
        <w:rPr>
          <w:color w:val="000000" w:themeColor="text1"/>
          <w:sz w:val="16"/>
          <w:szCs w:val="16"/>
        </w:rPr>
        <w:t>. Other leading contributors to growth in household consumption over this period were:</w:t>
      </w:r>
    </w:p>
    <w:p w14:paraId="3BFE25F8" w14:textId="30A742AD" w:rsidR="00233755" w:rsidRPr="00DC4955" w:rsidRDefault="00FB0866"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furnishings and household equipment </w:t>
      </w:r>
      <w:r w:rsidR="00233755" w:rsidRPr="00DC4955">
        <w:rPr>
          <w:color w:val="000000" w:themeColor="text1"/>
          <w:sz w:val="16"/>
          <w:szCs w:val="16"/>
        </w:rPr>
        <w:t xml:space="preserve">(up </w:t>
      </w:r>
      <w:r w:rsidRPr="00DC4955">
        <w:rPr>
          <w:color w:val="000000" w:themeColor="text1"/>
          <w:sz w:val="16"/>
          <w:szCs w:val="16"/>
        </w:rPr>
        <w:t>7.5</w:t>
      </w:r>
      <w:r w:rsidR="00233755" w:rsidRPr="00DC4955">
        <w:rPr>
          <w:color w:val="000000" w:themeColor="text1"/>
          <w:sz w:val="16"/>
          <w:szCs w:val="16"/>
        </w:rPr>
        <w:t>%)</w:t>
      </w:r>
    </w:p>
    <w:p w14:paraId="20036700" w14:textId="1BB5A903" w:rsidR="00233755" w:rsidRPr="00DC4955" w:rsidRDefault="00FB0866"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transport services</w:t>
      </w:r>
      <w:r w:rsidR="00233755" w:rsidRPr="00DC4955">
        <w:rPr>
          <w:color w:val="000000" w:themeColor="text1"/>
          <w:sz w:val="16"/>
          <w:szCs w:val="16"/>
        </w:rPr>
        <w:t xml:space="preserve"> (up </w:t>
      </w:r>
      <w:r w:rsidRPr="00DC4955">
        <w:rPr>
          <w:color w:val="000000" w:themeColor="text1"/>
          <w:sz w:val="16"/>
          <w:szCs w:val="16"/>
        </w:rPr>
        <w:t>5.8</w:t>
      </w:r>
      <w:r w:rsidR="00233755" w:rsidRPr="00DC4955">
        <w:rPr>
          <w:color w:val="000000" w:themeColor="text1"/>
          <w:sz w:val="16"/>
          <w:szCs w:val="16"/>
        </w:rPr>
        <w:t>%)</w:t>
      </w:r>
    </w:p>
    <w:p w14:paraId="3D931E8D" w14:textId="1FFDD262" w:rsidR="00233755" w:rsidRPr="00DC4955" w:rsidRDefault="00FB0866"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recreation and culture </w:t>
      </w:r>
      <w:r w:rsidR="00233755" w:rsidRPr="00DC4955">
        <w:rPr>
          <w:color w:val="000000" w:themeColor="text1"/>
          <w:sz w:val="16"/>
          <w:szCs w:val="16"/>
        </w:rPr>
        <w:t xml:space="preserve">(up </w:t>
      </w:r>
      <w:r w:rsidRPr="00DC4955">
        <w:rPr>
          <w:color w:val="000000" w:themeColor="text1"/>
          <w:sz w:val="16"/>
          <w:szCs w:val="16"/>
        </w:rPr>
        <w:t>3</w:t>
      </w:r>
      <w:r w:rsidR="00233755" w:rsidRPr="00DC4955">
        <w:rPr>
          <w:color w:val="000000" w:themeColor="text1"/>
          <w:sz w:val="16"/>
          <w:szCs w:val="16"/>
        </w:rPr>
        <w:t>.1%).</w:t>
      </w:r>
    </w:p>
    <w:p w14:paraId="5007DFDD" w14:textId="6128D54E"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Spending on </w:t>
      </w:r>
      <w:r w:rsidR="00FA0DCB" w:rsidRPr="00DC4955">
        <w:rPr>
          <w:color w:val="000000" w:themeColor="text1"/>
          <w:sz w:val="16"/>
          <w:szCs w:val="16"/>
        </w:rPr>
        <w:t xml:space="preserve">electricity, gas and other fuel </w:t>
      </w:r>
      <w:r w:rsidRPr="00DC4955">
        <w:rPr>
          <w:color w:val="000000" w:themeColor="text1"/>
          <w:sz w:val="16"/>
          <w:szCs w:val="16"/>
        </w:rPr>
        <w:t xml:space="preserve">(down </w:t>
      </w:r>
      <w:r w:rsidR="00FA0DCB" w:rsidRPr="00DC4955">
        <w:rPr>
          <w:color w:val="000000" w:themeColor="text1"/>
          <w:sz w:val="16"/>
          <w:szCs w:val="16"/>
        </w:rPr>
        <w:t>10.7</w:t>
      </w:r>
      <w:r w:rsidRPr="00DC4955">
        <w:rPr>
          <w:color w:val="000000" w:themeColor="text1"/>
          <w:sz w:val="16"/>
          <w:szCs w:val="16"/>
        </w:rPr>
        <w:t xml:space="preserve">%) detracted the most from Western Australia’s household consumption in the year to the </w:t>
      </w:r>
      <w:r w:rsidR="00FA0DCB" w:rsidRPr="00DC4955">
        <w:rPr>
          <w:color w:val="000000" w:themeColor="text1"/>
          <w:sz w:val="16"/>
          <w:szCs w:val="16"/>
        </w:rPr>
        <w:t>March</w:t>
      </w:r>
      <w:r w:rsidRPr="00DC4955">
        <w:rPr>
          <w:color w:val="000000" w:themeColor="text1"/>
          <w:sz w:val="16"/>
          <w:szCs w:val="16"/>
        </w:rPr>
        <w:t xml:space="preserve"> quarter 202</w:t>
      </w:r>
      <w:r w:rsidR="00FA0DCB" w:rsidRPr="00DC4955">
        <w:rPr>
          <w:color w:val="000000" w:themeColor="text1"/>
          <w:sz w:val="16"/>
          <w:szCs w:val="16"/>
        </w:rPr>
        <w:t>5</w:t>
      </w:r>
      <w:r w:rsidRPr="00DC4955">
        <w:rPr>
          <w:color w:val="000000" w:themeColor="text1"/>
          <w:sz w:val="16"/>
          <w:szCs w:val="16"/>
        </w:rPr>
        <w:t xml:space="preserve">, followed by </w:t>
      </w:r>
      <w:r w:rsidR="00FA0DCB" w:rsidRPr="00DC4955">
        <w:rPr>
          <w:color w:val="000000" w:themeColor="text1"/>
          <w:sz w:val="16"/>
          <w:szCs w:val="16"/>
        </w:rPr>
        <w:t xml:space="preserve">cigarettes and tobacco </w:t>
      </w:r>
      <w:r w:rsidRPr="00DC4955">
        <w:rPr>
          <w:color w:val="000000" w:themeColor="text1"/>
          <w:sz w:val="16"/>
          <w:szCs w:val="16"/>
        </w:rPr>
        <w:t xml:space="preserve">(down </w:t>
      </w:r>
      <w:r w:rsidR="00FA0DCB" w:rsidRPr="00DC4955">
        <w:rPr>
          <w:color w:val="000000" w:themeColor="text1"/>
          <w:sz w:val="16"/>
          <w:szCs w:val="16"/>
        </w:rPr>
        <w:t>12.4</w:t>
      </w:r>
      <w:r w:rsidRPr="00DC4955">
        <w:rPr>
          <w:color w:val="000000" w:themeColor="text1"/>
          <w:sz w:val="16"/>
          <w:szCs w:val="16"/>
        </w:rPr>
        <w:t xml:space="preserve">%) and </w:t>
      </w:r>
      <w:r w:rsidR="00FA0DCB" w:rsidRPr="00DC4955">
        <w:rPr>
          <w:color w:val="000000" w:themeColor="text1"/>
          <w:sz w:val="16"/>
          <w:szCs w:val="16"/>
        </w:rPr>
        <w:t xml:space="preserve">hotels, cafes and restaurants </w:t>
      </w:r>
      <w:r w:rsidRPr="00DC4955">
        <w:rPr>
          <w:color w:val="000000" w:themeColor="text1"/>
          <w:sz w:val="16"/>
          <w:szCs w:val="16"/>
        </w:rPr>
        <w:t xml:space="preserve">(down </w:t>
      </w:r>
      <w:r w:rsidR="00FA0DCB" w:rsidRPr="00DC4955">
        <w:rPr>
          <w:color w:val="000000" w:themeColor="text1"/>
          <w:sz w:val="16"/>
          <w:szCs w:val="16"/>
        </w:rPr>
        <w:t>1.0</w:t>
      </w:r>
      <w:r w:rsidRPr="00DC4955">
        <w:rPr>
          <w:color w:val="000000" w:themeColor="text1"/>
          <w:sz w:val="16"/>
          <w:szCs w:val="16"/>
        </w:rPr>
        <w:t>%).</w:t>
      </w:r>
    </w:p>
    <w:p w14:paraId="5923F68D" w14:textId="77777777" w:rsidR="00233755" w:rsidRPr="008E3C65" w:rsidRDefault="00233755" w:rsidP="00233755">
      <w:pPr>
        <w:pStyle w:val="ListParagraph"/>
        <w:numPr>
          <w:ilvl w:val="0"/>
          <w:numId w:val="31"/>
        </w:numPr>
        <w:spacing w:before="40" w:after="40"/>
        <w:ind w:hanging="357"/>
        <w:contextualSpacing w:val="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27AF985B"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Private investment by component (contribution to change</w:t>
      </w:r>
      <w:r w:rsidRPr="00DC4955">
        <w:rPr>
          <w:i w:val="0"/>
          <w:iCs w:val="0"/>
          <w:color w:val="92278F" w:themeColor="accent1"/>
          <w:sz w:val="20"/>
          <w:szCs w:val="20"/>
        </w:rPr>
        <w:t xml:space="preserve">): </w:t>
      </w:r>
      <w:r w:rsidR="00FB0866" w:rsidRPr="00DC4955">
        <w:rPr>
          <w:i w:val="0"/>
          <w:iCs w:val="0"/>
          <w:color w:val="92278F" w:themeColor="accent1"/>
          <w:sz w:val="20"/>
          <w:szCs w:val="20"/>
        </w:rPr>
        <w:t>March</w:t>
      </w:r>
      <w:r w:rsidRPr="00DC4955">
        <w:rPr>
          <w:i w:val="0"/>
          <w:iCs w:val="0"/>
          <w:color w:val="92278F" w:themeColor="accent1"/>
          <w:sz w:val="20"/>
          <w:szCs w:val="20"/>
        </w:rPr>
        <w:t xml:space="preserve"> quarter 202</w:t>
      </w:r>
      <w:r w:rsidR="00FB0866" w:rsidRPr="00DC4955">
        <w:rPr>
          <w:i w:val="0"/>
          <w:iCs w:val="0"/>
          <w:color w:val="92278F" w:themeColor="accent1"/>
          <w:sz w:val="20"/>
          <w:szCs w:val="20"/>
        </w:rPr>
        <w:t>5</w:t>
      </w:r>
    </w:p>
    <w:p w14:paraId="19941DAC" w14:textId="5927546E" w:rsidR="00233755" w:rsidRPr="007B1AE5" w:rsidRDefault="008F5159" w:rsidP="00233755">
      <w:r>
        <w:rPr>
          <w:noProof/>
        </w:rPr>
        <w:drawing>
          <wp:inline distT="0" distB="0" distL="0" distR="0" wp14:anchorId="4B8C64A2" wp14:editId="3D6448D1">
            <wp:extent cx="3420000" cy="2052000"/>
            <wp:effectExtent l="0" t="0" r="9525" b="5715"/>
            <wp:docPr id="785737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8"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8"/>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4CBDE95C"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DC4955">
        <w:rPr>
          <w:color w:val="000000" w:themeColor="text1"/>
          <w:sz w:val="16"/>
          <w:szCs w:val="16"/>
        </w:rPr>
        <w:t xml:space="preserve">Private investment in Western Australia increased </w:t>
      </w:r>
      <w:r w:rsidR="00036E7D" w:rsidRPr="00DC4955">
        <w:rPr>
          <w:color w:val="000000" w:themeColor="text1"/>
          <w:sz w:val="16"/>
          <w:szCs w:val="16"/>
        </w:rPr>
        <w:t>1.7</w:t>
      </w:r>
      <w:r w:rsidRPr="00DC4955">
        <w:rPr>
          <w:color w:val="000000" w:themeColor="text1"/>
          <w:sz w:val="16"/>
          <w:szCs w:val="16"/>
        </w:rPr>
        <w:t xml:space="preserve">% in the year to the </w:t>
      </w:r>
      <w:r w:rsidR="00036E7D" w:rsidRPr="00DC4955">
        <w:rPr>
          <w:color w:val="000000" w:themeColor="text1"/>
          <w:sz w:val="16"/>
          <w:szCs w:val="16"/>
        </w:rPr>
        <w:t>March</w:t>
      </w:r>
      <w:r w:rsidRPr="00DC4955">
        <w:rPr>
          <w:color w:val="000000" w:themeColor="text1"/>
          <w:sz w:val="16"/>
          <w:szCs w:val="16"/>
        </w:rPr>
        <w:t xml:space="preserve"> quarter 202</w:t>
      </w:r>
      <w:r w:rsidR="00036E7D" w:rsidRPr="00DC4955">
        <w:rPr>
          <w:color w:val="000000" w:themeColor="text1"/>
          <w:sz w:val="16"/>
          <w:szCs w:val="16"/>
        </w:rPr>
        <w:t>5</w:t>
      </w:r>
      <w:r w:rsidRPr="00DC4955">
        <w:rPr>
          <w:color w:val="000000" w:themeColor="text1"/>
          <w:sz w:val="16"/>
          <w:szCs w:val="16"/>
        </w:rPr>
        <w:t>.</w:t>
      </w:r>
    </w:p>
    <w:p w14:paraId="400EC4F3" w14:textId="5372DBDA"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Spending on non</w:t>
      </w:r>
      <w:r w:rsidRPr="00DC4955">
        <w:rPr>
          <w:color w:val="000000" w:themeColor="text1"/>
          <w:sz w:val="16"/>
          <w:szCs w:val="16"/>
        </w:rPr>
        <w:noBreakHyphen/>
        <w:t xml:space="preserve">dwelling construction (up </w:t>
      </w:r>
      <w:r w:rsidR="00036E7D" w:rsidRPr="00DC4955">
        <w:rPr>
          <w:color w:val="000000" w:themeColor="text1"/>
          <w:sz w:val="16"/>
          <w:szCs w:val="16"/>
        </w:rPr>
        <w:t>1.9</w:t>
      </w:r>
      <w:r w:rsidRPr="00DC4955">
        <w:rPr>
          <w:color w:val="000000" w:themeColor="text1"/>
          <w:sz w:val="16"/>
          <w:szCs w:val="16"/>
        </w:rPr>
        <w:t xml:space="preserve">%) contributed the most to growth in Western Australia’s private investment in the year to the </w:t>
      </w:r>
      <w:r w:rsidR="00036E7D" w:rsidRPr="00DC4955">
        <w:rPr>
          <w:color w:val="000000" w:themeColor="text1"/>
          <w:sz w:val="16"/>
          <w:szCs w:val="16"/>
        </w:rPr>
        <w:t>March</w:t>
      </w:r>
      <w:r w:rsidRPr="00DC4955">
        <w:rPr>
          <w:color w:val="000000" w:themeColor="text1"/>
          <w:sz w:val="16"/>
          <w:szCs w:val="16"/>
        </w:rPr>
        <w:t xml:space="preserve"> quarter 202</w:t>
      </w:r>
      <w:r w:rsidR="00036E7D" w:rsidRPr="00DC4955">
        <w:rPr>
          <w:color w:val="000000" w:themeColor="text1"/>
          <w:sz w:val="16"/>
          <w:szCs w:val="16"/>
        </w:rPr>
        <w:t>5,</w:t>
      </w:r>
      <w:r w:rsidRPr="00DC4955">
        <w:rPr>
          <w:color w:val="000000" w:themeColor="text1"/>
          <w:sz w:val="16"/>
          <w:szCs w:val="16"/>
        </w:rPr>
        <w:t xml:space="preserve"> followed by spending on </w:t>
      </w:r>
      <w:r w:rsidR="00036E7D" w:rsidRPr="00DC4955">
        <w:rPr>
          <w:color w:val="000000" w:themeColor="text1"/>
          <w:sz w:val="16"/>
          <w:szCs w:val="16"/>
        </w:rPr>
        <w:t>dwellings (up</w:t>
      </w:r>
      <w:r w:rsidR="00626968" w:rsidRPr="00DC4955">
        <w:rPr>
          <w:color w:val="000000" w:themeColor="text1"/>
          <w:sz w:val="16"/>
          <w:szCs w:val="16"/>
        </w:rPr>
        <w:t> </w:t>
      </w:r>
      <w:r w:rsidR="00036E7D" w:rsidRPr="00DC4955">
        <w:rPr>
          <w:color w:val="000000" w:themeColor="text1"/>
          <w:sz w:val="16"/>
          <w:szCs w:val="16"/>
        </w:rPr>
        <w:t xml:space="preserve">4.6%) and </w:t>
      </w:r>
      <w:r w:rsidRPr="00DC4955">
        <w:rPr>
          <w:color w:val="000000" w:themeColor="text1"/>
          <w:sz w:val="16"/>
          <w:szCs w:val="16"/>
        </w:rPr>
        <w:t xml:space="preserve">ownership transfer costs (up </w:t>
      </w:r>
      <w:r w:rsidR="00036E7D" w:rsidRPr="00DC4955">
        <w:rPr>
          <w:color w:val="000000" w:themeColor="text1"/>
          <w:sz w:val="16"/>
          <w:szCs w:val="16"/>
        </w:rPr>
        <w:t>9.0</w:t>
      </w:r>
      <w:r w:rsidRPr="00DC4955">
        <w:rPr>
          <w:color w:val="000000" w:themeColor="text1"/>
          <w:sz w:val="16"/>
          <w:szCs w:val="16"/>
        </w:rPr>
        <w:t>%)</w:t>
      </w:r>
      <w:r w:rsidR="00036E7D" w:rsidRPr="00DC4955">
        <w:rPr>
          <w:color w:val="000000" w:themeColor="text1"/>
          <w:sz w:val="16"/>
          <w:szCs w:val="16"/>
        </w:rPr>
        <w:t>.</w:t>
      </w:r>
    </w:p>
    <w:p w14:paraId="11A672BA" w14:textId="78690C8A" w:rsidR="00233755" w:rsidRPr="006B7558" w:rsidRDefault="00233755" w:rsidP="00233755">
      <w:pPr>
        <w:pStyle w:val="ListParagraph"/>
        <w:numPr>
          <w:ilvl w:val="0"/>
          <w:numId w:val="31"/>
        </w:numPr>
        <w:spacing w:before="40" w:after="40"/>
        <w:ind w:left="357" w:right="227" w:hanging="357"/>
        <w:contextualSpacing w:val="0"/>
        <w:jc w:val="both"/>
        <w:rPr>
          <w:sz w:val="16"/>
          <w:szCs w:val="16"/>
        </w:rPr>
      </w:pPr>
      <w:bookmarkStart w:id="9" w:name="_Hlk177740214"/>
      <w:r w:rsidRPr="006B7558">
        <w:rPr>
          <w:sz w:val="16"/>
          <w:szCs w:val="16"/>
        </w:rPr>
        <w:t>The increase in non</w:t>
      </w:r>
      <w:r w:rsidRPr="006B7558">
        <w:rPr>
          <w:sz w:val="16"/>
          <w:szCs w:val="16"/>
        </w:rPr>
        <w:noBreakHyphen/>
        <w:t>dwelling construction, which consists of non</w:t>
      </w:r>
      <w:r w:rsidRPr="006B7558">
        <w:rPr>
          <w:sz w:val="16"/>
          <w:szCs w:val="16"/>
        </w:rPr>
        <w:noBreakHyphen/>
        <w:t>residential buildings and other structures, over the past year was largely driven by new engineering construction in mining and energy projects in Western Australia.</w:t>
      </w:r>
    </w:p>
    <w:bookmarkEnd w:id="9"/>
    <w:p w14:paraId="398BF1E2" w14:textId="77777777" w:rsidR="00233755" w:rsidRPr="007C5460" w:rsidRDefault="00233755" w:rsidP="00233755">
      <w:pPr>
        <w:pStyle w:val="ListParagraph"/>
        <w:numPr>
          <w:ilvl w:val="0"/>
          <w:numId w:val="31"/>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57AE8EE2"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Public final demand by component (contribution to change): </w:t>
      </w:r>
      <w:r w:rsidR="00FB0866" w:rsidRPr="00DC4955">
        <w:rPr>
          <w:i w:val="0"/>
          <w:iCs w:val="0"/>
          <w:color w:val="92278F" w:themeColor="accent1"/>
          <w:sz w:val="20"/>
          <w:szCs w:val="20"/>
        </w:rPr>
        <w:t>March</w:t>
      </w:r>
      <w:r w:rsidRPr="00DC4955">
        <w:rPr>
          <w:i w:val="0"/>
          <w:iCs w:val="0"/>
          <w:color w:val="92278F" w:themeColor="accent1"/>
          <w:sz w:val="20"/>
          <w:szCs w:val="20"/>
        </w:rPr>
        <w:t xml:space="preserve"> quarter 202</w:t>
      </w:r>
      <w:r w:rsidR="00FB0866" w:rsidRPr="00DC4955">
        <w:rPr>
          <w:i w:val="0"/>
          <w:iCs w:val="0"/>
          <w:color w:val="92278F" w:themeColor="accent1"/>
          <w:sz w:val="20"/>
          <w:szCs w:val="20"/>
        </w:rPr>
        <w:t>5</w:t>
      </w:r>
    </w:p>
    <w:p w14:paraId="37887596" w14:textId="41D2B219" w:rsidR="00233755" w:rsidRPr="007B1AE5" w:rsidRDefault="00036E7D" w:rsidP="00233755">
      <w:r>
        <w:rPr>
          <w:noProof/>
        </w:rPr>
        <w:drawing>
          <wp:inline distT="0" distB="0" distL="0" distR="0" wp14:anchorId="24E6BD7B" wp14:editId="1F22754C">
            <wp:extent cx="3295650" cy="1977390"/>
            <wp:effectExtent l="0" t="0" r="0" b="3810"/>
            <wp:docPr id="45290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977390"/>
                    </a:xfrm>
                    <a:prstGeom prst="rect">
                      <a:avLst/>
                    </a:prstGeom>
                    <a:noFill/>
                    <a:ln>
                      <a:noFill/>
                    </a:ln>
                  </pic:spPr>
                </pic:pic>
              </a:graphicData>
            </a:graphic>
          </wp:inline>
        </w:drawing>
      </w:r>
    </w:p>
    <w:p w14:paraId="0913DEA0" w14:textId="77777777" w:rsidR="00233755" w:rsidRPr="00AF759E" w:rsidRDefault="00233755" w:rsidP="00233755">
      <w:pPr>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233755">
      <w:pPr>
        <w:rPr>
          <w:sz w:val="10"/>
          <w:szCs w:val="10"/>
        </w:rPr>
      </w:pPr>
      <w:r w:rsidRPr="00AF759E">
        <w:rPr>
          <w:sz w:val="10"/>
          <w:szCs w:val="10"/>
        </w:rPr>
        <w:t>Source: Based on ABS data.</w:t>
      </w:r>
    </w:p>
    <w:p w14:paraId="586D180E" w14:textId="17C9A3CF"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DC4955">
        <w:rPr>
          <w:color w:val="000000" w:themeColor="text1"/>
          <w:sz w:val="16"/>
          <w:szCs w:val="16"/>
        </w:rPr>
        <w:t xml:space="preserve">Public final demand, which comprises local, state and federal government consumption and investment, increased </w:t>
      </w:r>
      <w:r w:rsidR="00FF68A1" w:rsidRPr="00DC4955">
        <w:rPr>
          <w:color w:val="000000" w:themeColor="text1"/>
          <w:sz w:val="16"/>
          <w:szCs w:val="16"/>
        </w:rPr>
        <w:t>7.8</w:t>
      </w:r>
      <w:r w:rsidRPr="00DC4955">
        <w:rPr>
          <w:color w:val="000000" w:themeColor="text1"/>
          <w:sz w:val="16"/>
          <w:szCs w:val="16"/>
        </w:rPr>
        <w:t xml:space="preserve">% in the year to the </w:t>
      </w:r>
      <w:r w:rsidR="00FF68A1" w:rsidRPr="00DC4955">
        <w:rPr>
          <w:color w:val="000000" w:themeColor="text1"/>
          <w:sz w:val="16"/>
          <w:szCs w:val="16"/>
        </w:rPr>
        <w:t>March</w:t>
      </w:r>
      <w:r w:rsidRPr="00DC4955">
        <w:rPr>
          <w:color w:val="000000" w:themeColor="text1"/>
          <w:sz w:val="16"/>
          <w:szCs w:val="16"/>
        </w:rPr>
        <w:t xml:space="preserve"> quarter 202</w:t>
      </w:r>
      <w:r w:rsidR="00FF68A1" w:rsidRPr="00DC4955">
        <w:rPr>
          <w:color w:val="000000" w:themeColor="text1"/>
          <w:sz w:val="16"/>
          <w:szCs w:val="16"/>
        </w:rPr>
        <w:t>5</w:t>
      </w:r>
      <w:r w:rsidRPr="00DC4955">
        <w:rPr>
          <w:color w:val="000000" w:themeColor="text1"/>
          <w:sz w:val="16"/>
          <w:szCs w:val="16"/>
        </w:rPr>
        <w:t>.</w:t>
      </w:r>
    </w:p>
    <w:p w14:paraId="6C40A767" w14:textId="19D7B3F5"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State and local government </w:t>
      </w:r>
      <w:r w:rsidR="00FF68A1" w:rsidRPr="00DC4955">
        <w:rPr>
          <w:color w:val="000000" w:themeColor="text1"/>
          <w:sz w:val="16"/>
          <w:szCs w:val="16"/>
        </w:rPr>
        <w:t>consumption</w:t>
      </w:r>
      <w:r w:rsidRPr="00DC4955">
        <w:rPr>
          <w:color w:val="000000" w:themeColor="text1"/>
          <w:sz w:val="16"/>
          <w:szCs w:val="16"/>
        </w:rPr>
        <w:t xml:space="preserve"> (up </w:t>
      </w:r>
      <w:r w:rsidR="00FF68A1" w:rsidRPr="00DC4955">
        <w:rPr>
          <w:color w:val="000000" w:themeColor="text1"/>
          <w:sz w:val="16"/>
          <w:szCs w:val="16"/>
        </w:rPr>
        <w:t>5.8</w:t>
      </w:r>
      <w:r w:rsidRPr="00DC4955">
        <w:rPr>
          <w:color w:val="000000" w:themeColor="text1"/>
          <w:sz w:val="16"/>
          <w:szCs w:val="16"/>
        </w:rPr>
        <w:t xml:space="preserve">%) contributed the most to growth in the State’s public final demand in the year to the </w:t>
      </w:r>
      <w:r w:rsidR="00FF68A1" w:rsidRPr="00DC4955">
        <w:rPr>
          <w:color w:val="000000" w:themeColor="text1"/>
          <w:sz w:val="16"/>
          <w:szCs w:val="16"/>
        </w:rPr>
        <w:t>March</w:t>
      </w:r>
      <w:r w:rsidRPr="00DC4955">
        <w:rPr>
          <w:color w:val="000000" w:themeColor="text1"/>
          <w:sz w:val="16"/>
          <w:szCs w:val="16"/>
        </w:rPr>
        <w:t xml:space="preserve"> quarter 202</w:t>
      </w:r>
      <w:r w:rsidR="00FF68A1" w:rsidRPr="00DC4955">
        <w:rPr>
          <w:color w:val="000000" w:themeColor="text1"/>
          <w:sz w:val="16"/>
          <w:szCs w:val="16"/>
        </w:rPr>
        <w:t>5</w:t>
      </w:r>
      <w:r w:rsidRPr="00DC4955">
        <w:rPr>
          <w:color w:val="000000" w:themeColor="text1"/>
          <w:sz w:val="16"/>
          <w:szCs w:val="16"/>
        </w:rPr>
        <w:t xml:space="preserve">, followed by state and local government </w:t>
      </w:r>
      <w:r w:rsidR="00FF68A1" w:rsidRPr="00DC4955">
        <w:rPr>
          <w:color w:val="000000" w:themeColor="text1"/>
          <w:sz w:val="16"/>
          <w:szCs w:val="16"/>
        </w:rPr>
        <w:t>investment</w:t>
      </w:r>
      <w:r w:rsidRPr="00DC4955">
        <w:rPr>
          <w:color w:val="000000" w:themeColor="text1"/>
          <w:sz w:val="16"/>
          <w:szCs w:val="16"/>
        </w:rPr>
        <w:t xml:space="preserve"> (up </w:t>
      </w:r>
      <w:r w:rsidR="00FF68A1" w:rsidRPr="00DC4955">
        <w:rPr>
          <w:color w:val="000000" w:themeColor="text1"/>
          <w:sz w:val="16"/>
          <w:szCs w:val="16"/>
        </w:rPr>
        <w:t>15.6</w:t>
      </w:r>
      <w:r w:rsidRPr="00DC4955">
        <w:rPr>
          <w:color w:val="000000" w:themeColor="text1"/>
          <w:sz w:val="16"/>
          <w:szCs w:val="16"/>
        </w:rPr>
        <w:t>%).</w:t>
      </w:r>
    </w:p>
    <w:p w14:paraId="0762FDDA" w14:textId="00559007" w:rsidR="00233755" w:rsidRPr="006B7558" w:rsidRDefault="00233755" w:rsidP="00233755">
      <w:pPr>
        <w:pStyle w:val="ListParagraph"/>
        <w:numPr>
          <w:ilvl w:val="0"/>
          <w:numId w:val="31"/>
        </w:numPr>
        <w:spacing w:before="40" w:after="40"/>
        <w:ind w:left="357" w:right="227" w:hanging="357"/>
        <w:contextualSpacing w:val="0"/>
        <w:jc w:val="both"/>
        <w:rPr>
          <w:sz w:val="16"/>
          <w:szCs w:val="16"/>
        </w:rPr>
      </w:pPr>
      <w:r w:rsidRPr="006B7558">
        <w:rPr>
          <w:sz w:val="16"/>
          <w:szCs w:val="16"/>
        </w:rPr>
        <w:t>The increase in state and local government investment over the past year</w:t>
      </w:r>
      <w:r w:rsidR="00FF68A1">
        <w:rPr>
          <w:sz w:val="16"/>
          <w:szCs w:val="16"/>
        </w:rPr>
        <w:t xml:space="preserve"> </w:t>
      </w:r>
      <w:r w:rsidRPr="006B7558">
        <w:rPr>
          <w:sz w:val="16"/>
          <w:szCs w:val="16"/>
        </w:rPr>
        <w:t>has been driven by Western Australian Government investments in large</w:t>
      </w:r>
      <w:r w:rsidRPr="006B7558">
        <w:rPr>
          <w:sz w:val="16"/>
          <w:szCs w:val="16"/>
        </w:rPr>
        <w:noBreakHyphen/>
        <w:t>scale road, rail, and utilities projects, including METRONET</w:t>
      </w:r>
      <w:r w:rsidRPr="006B7558">
        <w:rPr>
          <w:rFonts w:ascii="Arial" w:hAnsi="Arial" w:cs="Arial"/>
          <w:sz w:val="16"/>
          <w:szCs w:val="16"/>
        </w:rPr>
        <w:t>.</w:t>
      </w:r>
      <w:bookmarkStart w:id="10" w:name="_Commodity_prices,_interest"/>
      <w:bookmarkEnd w:id="10"/>
    </w:p>
    <w:p w14:paraId="7BB1492B" w14:textId="77777777" w:rsidR="00233755" w:rsidRPr="001D22C6" w:rsidRDefault="00233755" w:rsidP="00233755">
      <w:pPr>
        <w:pStyle w:val="ListParagraph"/>
        <w:numPr>
          <w:ilvl w:val="0"/>
          <w:numId w:val="31"/>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052D69" w:rsidRDefault="00052D69" w:rsidP="00B37243">
      <w:pPr>
        <w:pStyle w:val="Heading3"/>
        <w:spacing w:before="0"/>
        <w:rPr>
          <w:color w:val="002060"/>
          <w:sz w:val="24"/>
          <w:szCs w:val="24"/>
        </w:rPr>
        <w:sectPr w:rsidR="00B37243" w:rsidRPr="00052D69" w:rsidSect="00B37243">
          <w:pgSz w:w="11907" w:h="16840" w:code="9"/>
          <w:pgMar w:top="1701" w:right="425" w:bottom="567" w:left="567" w:header="709" w:footer="709" w:gutter="0"/>
          <w:cols w:space="720"/>
          <w:docGrid w:linePitch="360"/>
        </w:sectPr>
      </w:pPr>
      <w:bookmarkStart w:id="11" w:name="_Commodity_prices_and"/>
      <w:bookmarkStart w:id="12" w:name="_Whole_economy"/>
      <w:bookmarkEnd w:id="11"/>
      <w:bookmarkEnd w:id="12"/>
      <w:r>
        <w:rPr>
          <w:color w:val="002060"/>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77777777" w:rsidR="00B37243" w:rsidRPr="00AC3621" w:rsidRDefault="00B37243" w:rsidP="00B37243">
      <w:pPr>
        <w:pStyle w:val="Heading4"/>
        <w:spacing w:before="0"/>
        <w:rPr>
          <w:i w:val="0"/>
          <w:iCs w:val="0"/>
          <w:color w:val="92278F" w:themeColor="accent1"/>
          <w:sz w:val="20"/>
          <w:szCs w:val="20"/>
        </w:rPr>
        <w:sectPr w:rsidR="00B37243" w:rsidRPr="00AC3621" w:rsidSect="00B37243">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state/domestic product</w:t>
      </w:r>
      <w:r w:rsidRPr="00AC3621">
        <w:rPr>
          <w:i w:val="0"/>
          <w:iCs w:val="0"/>
          <w:color w:val="92278F" w:themeColor="accent1"/>
          <w:sz w:val="20"/>
          <w:szCs w:val="20"/>
        </w:rPr>
        <w:t xml:space="preserve"> (change)</w:t>
      </w:r>
    </w:p>
    <w:p w14:paraId="5A26E14B" w14:textId="77777777" w:rsidR="00B37243" w:rsidRPr="007B1AE5" w:rsidRDefault="00B37243" w:rsidP="00B37243">
      <w:r>
        <w:rPr>
          <w:noProof/>
        </w:rPr>
        <w:drawing>
          <wp:inline distT="0" distB="0" distL="0" distR="0" wp14:anchorId="40641A3F" wp14:editId="5B4FCAA9">
            <wp:extent cx="3384000" cy="2030400"/>
            <wp:effectExtent l="0" t="0" r="6985" b="8255"/>
            <wp:docPr id="1635462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625F8B" w:rsidRDefault="00B37243" w:rsidP="00B37243">
      <w:pPr>
        <w:pStyle w:val="ListParagraph"/>
        <w:numPr>
          <w:ilvl w:val="0"/>
          <w:numId w:val="31"/>
        </w:numPr>
        <w:spacing w:before="40" w:after="40"/>
        <w:ind w:left="357" w:right="227" w:hanging="357"/>
        <w:contextualSpacing w:val="0"/>
        <w:jc w:val="both"/>
        <w:rPr>
          <w:sz w:val="16"/>
          <w:szCs w:val="16"/>
        </w:rPr>
      </w:pPr>
      <w:r w:rsidRPr="007B1AE5">
        <w:br w:type="column"/>
      </w:r>
      <w:r w:rsidRPr="00625F8B">
        <w:rPr>
          <w:sz w:val="16"/>
          <w:szCs w:val="16"/>
        </w:rPr>
        <w:t>Gross state product (GSP) is a measure of the total economic production of a state or territory and is the state/territory equivalent of a nation’s gross domestic product (GDP).</w:t>
      </w:r>
    </w:p>
    <w:p w14:paraId="4895DA93" w14:textId="77777777" w:rsidR="00B37243" w:rsidRPr="00505196" w:rsidRDefault="00B37243" w:rsidP="00B37243">
      <w:pPr>
        <w:pStyle w:val="ListParagraph"/>
        <w:numPr>
          <w:ilvl w:val="0"/>
          <w:numId w:val="31"/>
        </w:numPr>
        <w:spacing w:before="40" w:after="40"/>
        <w:ind w:left="357" w:right="227" w:hanging="357"/>
        <w:jc w:val="both"/>
        <w:rPr>
          <w:sz w:val="16"/>
          <w:szCs w:val="16"/>
        </w:rPr>
      </w:pPr>
      <w:r w:rsidRPr="00505196">
        <w:rPr>
          <w:sz w:val="16"/>
          <w:szCs w:val="16"/>
        </w:rPr>
        <w:t>Western Australia’s GSP was less affected by the COVID</w:t>
      </w:r>
      <w:r w:rsidRPr="00505196">
        <w:rPr>
          <w:sz w:val="16"/>
          <w:szCs w:val="16"/>
        </w:rPr>
        <w:noBreakHyphen/>
        <w:t>19 pandemic in 2019</w:t>
      </w:r>
      <w:r w:rsidRPr="00505196">
        <w:rPr>
          <w:sz w:val="16"/>
          <w:szCs w:val="16"/>
        </w:rPr>
        <w:noBreakHyphen/>
        <w:t>20 compared to other states and territories and grew at a relatively consistent rate in the next three financial years.</w:t>
      </w:r>
    </w:p>
    <w:p w14:paraId="37EF0DD9" w14:textId="496F3660" w:rsidR="00B37243" w:rsidRPr="00DC4955" w:rsidRDefault="00B37243" w:rsidP="00B37243">
      <w:pPr>
        <w:pStyle w:val="ListParagraph"/>
        <w:numPr>
          <w:ilvl w:val="0"/>
          <w:numId w:val="31"/>
        </w:numPr>
        <w:spacing w:before="40" w:after="40"/>
        <w:ind w:left="357" w:right="227" w:hanging="357"/>
        <w:jc w:val="both"/>
        <w:rPr>
          <w:color w:val="000000" w:themeColor="text1"/>
          <w:sz w:val="16"/>
          <w:szCs w:val="16"/>
        </w:rPr>
      </w:pPr>
      <w:r w:rsidRPr="00DC4955">
        <w:rPr>
          <w:color w:val="000000" w:themeColor="text1"/>
          <w:sz w:val="16"/>
          <w:szCs w:val="16"/>
        </w:rPr>
        <w:t>Western Australia’s real GSP rose 0.5% in 2023</w:t>
      </w:r>
      <w:r w:rsidRPr="00DC4955">
        <w:rPr>
          <w:color w:val="000000" w:themeColor="text1"/>
          <w:sz w:val="16"/>
          <w:szCs w:val="16"/>
        </w:rPr>
        <w:noBreakHyphen/>
        <w:t xml:space="preserve">24, lower than the growth of Australia’s real </w:t>
      </w:r>
      <w:r w:rsidR="00626968" w:rsidRPr="00DC4955">
        <w:rPr>
          <w:color w:val="000000" w:themeColor="text1"/>
          <w:sz w:val="16"/>
          <w:szCs w:val="16"/>
        </w:rPr>
        <w:t>GDP</w:t>
      </w:r>
      <w:r w:rsidRPr="00DC4955">
        <w:rPr>
          <w:color w:val="000000" w:themeColor="text1"/>
          <w:sz w:val="16"/>
          <w:szCs w:val="16"/>
        </w:rPr>
        <w:t xml:space="preserve"> of 1.4%.</w:t>
      </w:r>
    </w:p>
    <w:p w14:paraId="0B847D37" w14:textId="22D28494" w:rsidR="00B37243" w:rsidRPr="00DC4955" w:rsidRDefault="00B37243" w:rsidP="00A118CA">
      <w:pPr>
        <w:pStyle w:val="ListParagraph"/>
        <w:numPr>
          <w:ilvl w:val="0"/>
          <w:numId w:val="31"/>
        </w:numPr>
        <w:spacing w:before="40" w:after="40"/>
        <w:ind w:right="227" w:hanging="357"/>
        <w:contextualSpacing w:val="0"/>
        <w:jc w:val="both"/>
        <w:rPr>
          <w:color w:val="000000" w:themeColor="text1"/>
          <w:sz w:val="16"/>
          <w:szCs w:val="16"/>
        </w:rPr>
        <w:sectPr w:rsidR="00B37243" w:rsidRPr="00DC4955" w:rsidSect="00B37243">
          <w:type w:val="continuous"/>
          <w:pgSz w:w="11907" w:h="16840" w:code="9"/>
          <w:pgMar w:top="1701" w:right="425" w:bottom="567" w:left="567" w:header="709" w:footer="709" w:gutter="0"/>
          <w:cols w:num="2" w:space="113"/>
          <w:docGrid w:linePitch="360"/>
        </w:sectPr>
      </w:pPr>
      <w:r w:rsidRPr="00DC4955">
        <w:rPr>
          <w:color w:val="000000" w:themeColor="text1"/>
          <w:sz w:val="16"/>
          <w:szCs w:val="16"/>
        </w:rPr>
        <w:t xml:space="preserve">The WA State Budget 2025-26 </w:t>
      </w:r>
      <w:r w:rsidR="00626968" w:rsidRPr="00DC4955">
        <w:rPr>
          <w:color w:val="000000" w:themeColor="text1"/>
          <w:sz w:val="16"/>
          <w:szCs w:val="16"/>
        </w:rPr>
        <w:t>forecasts</w:t>
      </w:r>
      <w:r w:rsidRPr="00DC4955">
        <w:rPr>
          <w:color w:val="000000" w:themeColor="text1"/>
          <w:sz w:val="16"/>
          <w:szCs w:val="16"/>
        </w:rPr>
        <w:t xml:space="preserve"> that Western Australia’s real GSP growth will remain steady at 0.5% in 2024</w:t>
      </w:r>
      <w:r w:rsidRPr="00DC4955">
        <w:rPr>
          <w:color w:val="000000" w:themeColor="text1"/>
          <w:sz w:val="16"/>
          <w:szCs w:val="16"/>
        </w:rPr>
        <w:noBreakHyphen/>
        <w:t xml:space="preserve">25 </w:t>
      </w:r>
      <w:r w:rsidR="00626968" w:rsidRPr="00DC4955">
        <w:rPr>
          <w:color w:val="000000" w:themeColor="text1"/>
          <w:sz w:val="16"/>
          <w:szCs w:val="16"/>
        </w:rPr>
        <w:t>before increasing</w:t>
      </w:r>
      <w:r w:rsidRPr="00DC4955">
        <w:rPr>
          <w:color w:val="000000" w:themeColor="text1"/>
          <w:sz w:val="16"/>
          <w:szCs w:val="16"/>
        </w:rPr>
        <w:t xml:space="preserve"> to 2.5% in 2025</w:t>
      </w:r>
      <w:r w:rsidRPr="00DC4955">
        <w:rPr>
          <w:color w:val="000000" w:themeColor="text1"/>
          <w:sz w:val="16"/>
          <w:szCs w:val="16"/>
        </w:rPr>
        <w:noBreakHyphen/>
        <w:t>26 and 3.0% in 2026-27.</w:t>
      </w:r>
    </w:p>
    <w:p w14:paraId="74C463BF" w14:textId="5D90D9B7" w:rsidR="00B37243" w:rsidRPr="00DC4955" w:rsidRDefault="00B37243" w:rsidP="00B37243">
      <w:pPr>
        <w:pStyle w:val="Heading4"/>
        <w:rPr>
          <w:i w:val="0"/>
          <w:iCs w:val="0"/>
          <w:color w:val="92278F" w:themeColor="accent1"/>
          <w:sz w:val="20"/>
          <w:szCs w:val="20"/>
        </w:rPr>
        <w:sectPr w:rsidR="00B37243" w:rsidRPr="00DC4955" w:rsidSect="00B37243">
          <w:type w:val="continuous"/>
          <w:pgSz w:w="11907" w:h="16840" w:code="9"/>
          <w:pgMar w:top="1701" w:right="425" w:bottom="567" w:left="567" w:header="709" w:footer="709" w:gutter="0"/>
          <w:cols w:space="720"/>
          <w:docGrid w:linePitch="360"/>
        </w:sectPr>
      </w:pPr>
      <w:r w:rsidRPr="00DC4955">
        <w:rPr>
          <w:i w:val="0"/>
          <w:iCs w:val="0"/>
          <w:color w:val="92278F" w:themeColor="accent1"/>
          <w:sz w:val="20"/>
          <w:szCs w:val="20"/>
        </w:rPr>
        <w:t>Gross state product by industry (contribution to change)</w:t>
      </w:r>
    </w:p>
    <w:p w14:paraId="2D337C24" w14:textId="1B3C6571" w:rsidR="00B37243" w:rsidRPr="007B1AE5" w:rsidRDefault="004D42FD" w:rsidP="00B37243">
      <w:r>
        <w:rPr>
          <w:noProof/>
        </w:rPr>
        <w:drawing>
          <wp:inline distT="0" distB="0" distL="0" distR="0" wp14:anchorId="7A8934A0" wp14:editId="3D7EA325">
            <wp:extent cx="3420000" cy="2052000"/>
            <wp:effectExtent l="0" t="0" r="9525" b="5715"/>
            <wp:docPr id="22096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B2E3E55" w14:textId="77777777" w:rsidR="00B37243" w:rsidRPr="00DC4955" w:rsidRDefault="00B37243" w:rsidP="00B37243">
      <w:pPr>
        <w:jc w:val="both"/>
        <w:rPr>
          <w:sz w:val="10"/>
          <w:szCs w:val="10"/>
        </w:rPr>
      </w:pPr>
      <w:r w:rsidRPr="00DC4955">
        <w:rPr>
          <w:sz w:val="10"/>
        </w:rPr>
        <w:t>Note –</w:t>
      </w:r>
      <w:r w:rsidRPr="00DC4955">
        <w:rPr>
          <w:sz w:val="10"/>
          <w:szCs w:val="10"/>
        </w:rPr>
        <w:t>. Chain volumes measures. Original series. Annual change. pp = percentage points. (a) Ownership of dwellings, balancing item and statistical discrepancy.</w:t>
      </w:r>
    </w:p>
    <w:p w14:paraId="281A00C5" w14:textId="77777777" w:rsidR="00B37243" w:rsidRPr="00DC4955" w:rsidRDefault="00B37243" w:rsidP="00B37243">
      <w:pPr>
        <w:jc w:val="both"/>
        <w:rPr>
          <w:sz w:val="10"/>
          <w:szCs w:val="10"/>
        </w:rPr>
      </w:pPr>
      <w:r w:rsidRPr="00DC4955">
        <w:rPr>
          <w:sz w:val="10"/>
          <w:szCs w:val="10"/>
        </w:rPr>
        <w:t>Source: Based on ABS data.</w:t>
      </w:r>
    </w:p>
    <w:p w14:paraId="089C60C2" w14:textId="5373ADF2" w:rsidR="00B37243" w:rsidRPr="00DC4955" w:rsidRDefault="00B37243" w:rsidP="00B37243">
      <w:pPr>
        <w:pStyle w:val="ListParagraph"/>
        <w:numPr>
          <w:ilvl w:val="0"/>
          <w:numId w:val="31"/>
        </w:numPr>
        <w:spacing w:before="40" w:after="40"/>
        <w:ind w:left="357" w:right="227" w:hanging="357"/>
        <w:contextualSpacing w:val="0"/>
        <w:jc w:val="both"/>
        <w:rPr>
          <w:sz w:val="16"/>
          <w:szCs w:val="16"/>
        </w:rPr>
      </w:pPr>
      <w:r w:rsidRPr="007B1AE5">
        <w:br w:type="column"/>
      </w:r>
      <w:r w:rsidRPr="00DC4955">
        <w:rPr>
          <w:sz w:val="16"/>
          <w:szCs w:val="16"/>
        </w:rPr>
        <w:t xml:space="preserve">The mining industry was the main driver of Western Australia’s GSP </w:t>
      </w:r>
      <w:r w:rsidR="00626968" w:rsidRPr="00DC4955">
        <w:rPr>
          <w:sz w:val="16"/>
          <w:szCs w:val="16"/>
        </w:rPr>
        <w:t xml:space="preserve">growth </w:t>
      </w:r>
      <w:r w:rsidRPr="00DC4955">
        <w:rPr>
          <w:sz w:val="16"/>
          <w:szCs w:val="16"/>
        </w:rPr>
        <w:t>between 2013-14 and 2019-20</w:t>
      </w:r>
      <w:r w:rsidR="004D42FD" w:rsidRPr="00DC4955">
        <w:rPr>
          <w:sz w:val="16"/>
          <w:szCs w:val="16"/>
        </w:rPr>
        <w:t xml:space="preserve"> as output increased from newly completed projects.</w:t>
      </w:r>
      <w:r w:rsidRPr="00DC4955">
        <w:rPr>
          <w:sz w:val="16"/>
          <w:szCs w:val="16"/>
        </w:rPr>
        <w:t xml:space="preserve"> </w:t>
      </w:r>
      <w:r w:rsidR="004D42FD" w:rsidRPr="00DC4955">
        <w:rPr>
          <w:sz w:val="16"/>
          <w:szCs w:val="16"/>
        </w:rPr>
        <w:t>However,</w:t>
      </w:r>
      <w:r w:rsidRPr="00DC4955">
        <w:rPr>
          <w:sz w:val="16"/>
          <w:szCs w:val="16"/>
        </w:rPr>
        <w:t xml:space="preserve"> </w:t>
      </w:r>
      <w:r w:rsidR="00792ABE" w:rsidRPr="00DC4955">
        <w:rPr>
          <w:sz w:val="16"/>
          <w:szCs w:val="16"/>
        </w:rPr>
        <w:t xml:space="preserve">the completion of </w:t>
      </w:r>
      <w:r w:rsidR="004D42FD" w:rsidRPr="00DC4955">
        <w:rPr>
          <w:sz w:val="16"/>
          <w:szCs w:val="16"/>
        </w:rPr>
        <w:t xml:space="preserve">construction on these </w:t>
      </w:r>
      <w:r w:rsidRPr="00DC4955">
        <w:rPr>
          <w:sz w:val="16"/>
          <w:szCs w:val="16"/>
        </w:rPr>
        <w:t xml:space="preserve">major mining projects </w:t>
      </w:r>
      <w:r w:rsidR="00792ABE" w:rsidRPr="00DC4955">
        <w:rPr>
          <w:sz w:val="16"/>
          <w:szCs w:val="16"/>
        </w:rPr>
        <w:t xml:space="preserve">was largely responsible for the construction industry </w:t>
      </w:r>
      <w:r w:rsidRPr="00DC4955">
        <w:rPr>
          <w:sz w:val="16"/>
          <w:szCs w:val="16"/>
        </w:rPr>
        <w:t>detract</w:t>
      </w:r>
      <w:r w:rsidR="00792ABE" w:rsidRPr="00DC4955">
        <w:rPr>
          <w:sz w:val="16"/>
          <w:szCs w:val="16"/>
        </w:rPr>
        <w:t xml:space="preserve">ing </w:t>
      </w:r>
      <w:r w:rsidRPr="00DC4955">
        <w:rPr>
          <w:sz w:val="16"/>
          <w:szCs w:val="16"/>
        </w:rPr>
        <w:t>from growth over this period.</w:t>
      </w:r>
    </w:p>
    <w:p w14:paraId="7238A81F" w14:textId="74B47111" w:rsidR="00B37243" w:rsidRPr="00DC4955" w:rsidRDefault="00B37243" w:rsidP="00B37243">
      <w:pPr>
        <w:pStyle w:val="ListParagraph"/>
        <w:numPr>
          <w:ilvl w:val="0"/>
          <w:numId w:val="31"/>
        </w:numPr>
        <w:spacing w:before="40" w:after="40"/>
        <w:ind w:left="357" w:right="227" w:hanging="357"/>
        <w:contextualSpacing w:val="0"/>
        <w:jc w:val="both"/>
        <w:rPr>
          <w:sz w:val="16"/>
          <w:szCs w:val="16"/>
        </w:rPr>
      </w:pPr>
      <w:r w:rsidRPr="00DC4955">
        <w:rPr>
          <w:sz w:val="16"/>
          <w:szCs w:val="16"/>
        </w:rPr>
        <w:t xml:space="preserve">Since 2020-21 many industries outside of mining have contributed to Western Australia’s </w:t>
      </w:r>
      <w:r w:rsidR="004D42FD" w:rsidRPr="00DC4955">
        <w:rPr>
          <w:sz w:val="16"/>
          <w:szCs w:val="16"/>
        </w:rPr>
        <w:t>GSP</w:t>
      </w:r>
      <w:r w:rsidRPr="00DC4955">
        <w:rPr>
          <w:sz w:val="16"/>
          <w:szCs w:val="16"/>
        </w:rPr>
        <w:t xml:space="preserve"> growth, including:</w:t>
      </w:r>
    </w:p>
    <w:p w14:paraId="0296AF91" w14:textId="77777777" w:rsidR="00B37243" w:rsidRPr="00DC4955" w:rsidRDefault="00B37243" w:rsidP="00B37243">
      <w:pPr>
        <w:pStyle w:val="ListParagraph"/>
        <w:numPr>
          <w:ilvl w:val="0"/>
          <w:numId w:val="33"/>
        </w:numPr>
        <w:spacing w:before="40" w:after="40"/>
        <w:ind w:right="227" w:hanging="357"/>
        <w:contextualSpacing w:val="0"/>
        <w:jc w:val="both"/>
        <w:rPr>
          <w:sz w:val="16"/>
          <w:szCs w:val="16"/>
        </w:rPr>
      </w:pPr>
      <w:r w:rsidRPr="00DC4955">
        <w:rPr>
          <w:sz w:val="16"/>
          <w:szCs w:val="16"/>
        </w:rPr>
        <w:t>Professional, scientific and technical services</w:t>
      </w:r>
    </w:p>
    <w:p w14:paraId="69D9FC5B" w14:textId="77777777" w:rsidR="00B37243" w:rsidRPr="00DC4955" w:rsidRDefault="00B37243" w:rsidP="00B37243">
      <w:pPr>
        <w:pStyle w:val="ListParagraph"/>
        <w:numPr>
          <w:ilvl w:val="0"/>
          <w:numId w:val="33"/>
        </w:numPr>
        <w:spacing w:before="40" w:after="40"/>
        <w:ind w:right="227" w:hanging="357"/>
        <w:contextualSpacing w:val="0"/>
        <w:jc w:val="both"/>
        <w:rPr>
          <w:sz w:val="16"/>
          <w:szCs w:val="16"/>
        </w:rPr>
      </w:pPr>
      <w:r w:rsidRPr="00DC4955">
        <w:rPr>
          <w:sz w:val="16"/>
          <w:szCs w:val="16"/>
        </w:rPr>
        <w:t>Construction</w:t>
      </w:r>
    </w:p>
    <w:p w14:paraId="6AB30F1E" w14:textId="77777777" w:rsidR="00B37243" w:rsidRPr="00DC4955" w:rsidRDefault="00B37243" w:rsidP="00B37243">
      <w:pPr>
        <w:pStyle w:val="ListParagraph"/>
        <w:numPr>
          <w:ilvl w:val="0"/>
          <w:numId w:val="33"/>
        </w:numPr>
        <w:spacing w:before="40" w:after="40"/>
        <w:ind w:right="227" w:hanging="357"/>
        <w:contextualSpacing w:val="0"/>
        <w:jc w:val="both"/>
        <w:rPr>
          <w:sz w:val="16"/>
          <w:szCs w:val="16"/>
        </w:rPr>
      </w:pPr>
      <w:r w:rsidRPr="00DC4955">
        <w:rPr>
          <w:sz w:val="16"/>
          <w:szCs w:val="16"/>
        </w:rPr>
        <w:t>Health care and social assistance</w:t>
      </w:r>
    </w:p>
    <w:p w14:paraId="7257DD7E" w14:textId="77777777" w:rsidR="00B37243" w:rsidRPr="00DC4955" w:rsidRDefault="00B37243" w:rsidP="00B37243">
      <w:pPr>
        <w:pStyle w:val="ListParagraph"/>
        <w:numPr>
          <w:ilvl w:val="0"/>
          <w:numId w:val="33"/>
        </w:numPr>
        <w:spacing w:before="40" w:after="40"/>
        <w:ind w:right="227" w:hanging="357"/>
        <w:contextualSpacing w:val="0"/>
        <w:jc w:val="both"/>
        <w:rPr>
          <w:sz w:val="16"/>
          <w:szCs w:val="16"/>
        </w:rPr>
      </w:pPr>
      <w:r w:rsidRPr="00DC4955">
        <w:rPr>
          <w:sz w:val="16"/>
          <w:szCs w:val="16"/>
        </w:rPr>
        <w:t>Agriculture, forestry and fishing</w:t>
      </w:r>
    </w:p>
    <w:p w14:paraId="2FD924AF" w14:textId="77777777" w:rsidR="00B37243" w:rsidRPr="00DC4955" w:rsidRDefault="00B37243" w:rsidP="00B37243">
      <w:pPr>
        <w:pStyle w:val="ListParagraph"/>
        <w:numPr>
          <w:ilvl w:val="0"/>
          <w:numId w:val="33"/>
        </w:numPr>
        <w:spacing w:before="40" w:after="40"/>
        <w:ind w:right="227" w:hanging="357"/>
        <w:contextualSpacing w:val="0"/>
        <w:jc w:val="both"/>
        <w:rPr>
          <w:sz w:val="16"/>
          <w:szCs w:val="16"/>
        </w:rPr>
      </w:pPr>
      <w:r w:rsidRPr="00DC4955">
        <w:rPr>
          <w:sz w:val="16"/>
          <w:szCs w:val="16"/>
        </w:rPr>
        <w:t>Transport, postal and warehousing.</w:t>
      </w:r>
    </w:p>
    <w:p w14:paraId="40EC15CF" w14:textId="77777777" w:rsidR="00B37243" w:rsidRPr="00DC4955" w:rsidRDefault="00B37243" w:rsidP="00B37243">
      <w:pPr>
        <w:pStyle w:val="ListParagraph"/>
        <w:numPr>
          <w:ilvl w:val="0"/>
          <w:numId w:val="31"/>
        </w:numPr>
        <w:spacing w:before="40" w:after="40"/>
        <w:ind w:left="357" w:right="227" w:hanging="357"/>
        <w:contextualSpacing w:val="0"/>
        <w:jc w:val="both"/>
        <w:rPr>
          <w:sz w:val="16"/>
          <w:szCs w:val="16"/>
        </w:rPr>
      </w:pPr>
      <w:r w:rsidRPr="00DC4955">
        <w:rPr>
          <w:sz w:val="16"/>
          <w:szCs w:val="16"/>
        </w:rPr>
        <w:t xml:space="preserve">The mining industry has detracted from Western Australia’s growth in three of the past four years as </w:t>
      </w:r>
      <w:r w:rsidR="004D42FD" w:rsidRPr="00DC4955">
        <w:rPr>
          <w:sz w:val="16"/>
          <w:szCs w:val="16"/>
        </w:rPr>
        <w:t>output from the State’s iron ore and LNG projects has consolidated after a period of expansion, and weather</w:t>
      </w:r>
      <w:r w:rsidR="004D42FD" w:rsidRPr="00DC4955">
        <w:rPr>
          <w:sz w:val="16"/>
          <w:szCs w:val="16"/>
        </w:rPr>
        <w:noBreakHyphen/>
        <w:t>related disruptions have contributed to lower output in some years</w:t>
      </w:r>
      <w:r w:rsidRPr="00DC4955">
        <w:rPr>
          <w:sz w:val="16"/>
          <w:szCs w:val="16"/>
        </w:rPr>
        <w:t>.</w:t>
      </w:r>
    </w:p>
    <w:p w14:paraId="0E2122F7" w14:textId="326927E4" w:rsidR="004D42FD" w:rsidRPr="00B37243" w:rsidRDefault="004D42FD" w:rsidP="00B37243">
      <w:pPr>
        <w:pStyle w:val="ListParagraph"/>
        <w:numPr>
          <w:ilvl w:val="0"/>
          <w:numId w:val="31"/>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77777777" w:rsidR="007D4D80" w:rsidRPr="00DC4955" w:rsidRDefault="00B37243" w:rsidP="00B37243">
      <w:pPr>
        <w:pStyle w:val="Heading4"/>
        <w:rPr>
          <w:i w:val="0"/>
          <w:iCs w:val="0"/>
          <w:color w:val="92278F" w:themeColor="accent1"/>
          <w:sz w:val="20"/>
          <w:szCs w:val="20"/>
        </w:rPr>
        <w:sectPr w:rsidR="007D4D80" w:rsidRPr="00DC4955" w:rsidSect="007D4D80">
          <w:type w:val="continuous"/>
          <w:pgSz w:w="11907" w:h="16840" w:code="9"/>
          <w:pgMar w:top="1701" w:right="425" w:bottom="567" w:left="567" w:header="709" w:footer="709" w:gutter="0"/>
          <w:cols w:space="113"/>
          <w:docGrid w:linePitch="360"/>
        </w:sectPr>
      </w:pPr>
      <w:r w:rsidRPr="00DC4955">
        <w:rPr>
          <w:i w:val="0"/>
          <w:iCs w:val="0"/>
          <w:color w:val="92278F" w:themeColor="accent1"/>
          <w:sz w:val="20"/>
          <w:szCs w:val="20"/>
        </w:rPr>
        <w:t>Gross state product by industry (contribution to change): 2023-24</w:t>
      </w:r>
    </w:p>
    <w:p w14:paraId="3E4DEFD9" w14:textId="3B35D822" w:rsidR="00B37243" w:rsidRPr="004D42FD" w:rsidRDefault="004D42FD" w:rsidP="002F1F54">
      <w:pPr>
        <w:pStyle w:val="Heading4"/>
        <w:keepNext w:val="0"/>
        <w:keepLines w:val="0"/>
        <w:rPr>
          <w:i w:val="0"/>
          <w:iCs w:val="0"/>
        </w:rPr>
      </w:pPr>
      <w:r>
        <w:rPr>
          <w:i w:val="0"/>
          <w:iCs w:val="0"/>
          <w:noProof/>
        </w:rPr>
        <w:drawing>
          <wp:inline distT="0" distB="0" distL="0" distR="0" wp14:anchorId="6C92EC7B" wp14:editId="2DB9DB8F">
            <wp:extent cx="3420000" cy="2052000"/>
            <wp:effectExtent l="0" t="0" r="9525" b="5715"/>
            <wp:docPr id="2071136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EF72D79" w14:textId="77777777" w:rsidR="00B37243" w:rsidRPr="00DC4955" w:rsidRDefault="00B37243" w:rsidP="00B37243">
      <w:pPr>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B37243">
      <w:pPr>
        <w:rPr>
          <w:color w:val="000000" w:themeColor="text1"/>
          <w:sz w:val="10"/>
          <w:szCs w:val="10"/>
        </w:rPr>
      </w:pPr>
      <w:r w:rsidRPr="00DC4955">
        <w:rPr>
          <w:color w:val="000000" w:themeColor="text1"/>
          <w:sz w:val="10"/>
          <w:szCs w:val="10"/>
        </w:rPr>
        <w:t>Source: Based on ABS data.</w:t>
      </w:r>
    </w:p>
    <w:p w14:paraId="21835F0C" w14:textId="77777777" w:rsidR="00B37243" w:rsidRPr="00DC4955" w:rsidRDefault="00B37243" w:rsidP="00B37243">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DC4955">
        <w:rPr>
          <w:color w:val="000000" w:themeColor="text1"/>
          <w:sz w:val="16"/>
          <w:szCs w:val="16"/>
        </w:rPr>
        <w:t>Construction (up 5.4%) made the largest contribution to Western Australia’s real GSP growth in 2023-24, followed by health care and social assistance (up 4.5%) and transport, postal and warehousing (up 5.1%). In 2023-24, Western Australia’s:</w:t>
      </w:r>
    </w:p>
    <w:p w14:paraId="47E208AE" w14:textId="4C04CDDE" w:rsidR="00B37243" w:rsidRPr="00DC4955" w:rsidRDefault="00B37243" w:rsidP="00B37243">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construction industry benefitted from strong non-dwelling and dwelling construction activity.</w:t>
      </w:r>
    </w:p>
    <w:p w14:paraId="4573D354" w14:textId="77777777" w:rsidR="00B37243" w:rsidRPr="00DC4955" w:rsidRDefault="00B37243" w:rsidP="00B37243">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health care and social assistance industry had increased demand for key health programs and services from a growing population.</w:t>
      </w:r>
    </w:p>
    <w:p w14:paraId="077F085F" w14:textId="77777777" w:rsidR="00B37243" w:rsidRPr="00DC4955" w:rsidRDefault="00B37243" w:rsidP="00B37243">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transport, postal and warehousing industry had continued recovery in domestic and international air transport following the COVID-19 pandemic.</w:t>
      </w:r>
    </w:p>
    <w:p w14:paraId="6409332B" w14:textId="77777777" w:rsidR="00B37243" w:rsidRPr="00DC4955" w:rsidRDefault="00B37243" w:rsidP="00B37243">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Mining (down 2.1%) and agriculture, forestry and fishing (down 6.6%) were the main detractors from Western Australia’s real GSP growth in 2023-24. Production in metal ore mining and oil and gas extraction was disrupted due to adverse weather conditions and maintenance activities, while grain production </w:t>
      </w:r>
      <w:r w:rsidR="006A3BF4" w:rsidRPr="00DC4955">
        <w:rPr>
          <w:color w:val="000000" w:themeColor="text1"/>
          <w:sz w:val="16"/>
          <w:szCs w:val="16"/>
        </w:rPr>
        <w:t xml:space="preserve">volumes </w:t>
      </w:r>
      <w:r w:rsidRPr="00DC4955">
        <w:rPr>
          <w:color w:val="000000" w:themeColor="text1"/>
          <w:sz w:val="16"/>
          <w:szCs w:val="16"/>
        </w:rPr>
        <w:t xml:space="preserve">fell from </w:t>
      </w:r>
      <w:r w:rsidR="006A3BF4" w:rsidRPr="00DC4955">
        <w:rPr>
          <w:color w:val="000000" w:themeColor="text1"/>
          <w:sz w:val="16"/>
          <w:szCs w:val="16"/>
        </w:rPr>
        <w:t>particularly high levels</w:t>
      </w:r>
      <w:r w:rsidRPr="00DC4955">
        <w:rPr>
          <w:color w:val="000000" w:themeColor="text1"/>
          <w:sz w:val="16"/>
          <w:szCs w:val="16"/>
        </w:rPr>
        <w:t xml:space="preserve"> in previous years</w:t>
      </w:r>
      <w:r w:rsidR="006A3BF4" w:rsidRPr="00DC4955">
        <w:rPr>
          <w:color w:val="000000" w:themeColor="text1"/>
          <w:sz w:val="16"/>
          <w:szCs w:val="16"/>
        </w:rPr>
        <w:t>.</w:t>
      </w:r>
    </w:p>
    <w:p w14:paraId="6D0B0856" w14:textId="7D134AA5" w:rsidR="00B03768" w:rsidRDefault="00B03768" w:rsidP="00B37243">
      <w:pPr>
        <w:pStyle w:val="ListParagraph"/>
        <w:numPr>
          <w:ilvl w:val="0"/>
          <w:numId w:val="31"/>
        </w:numPr>
        <w:spacing w:before="40" w:after="40"/>
        <w:ind w:left="357" w:right="227" w:hanging="357"/>
        <w:contextualSpacing w:val="0"/>
        <w:jc w:val="both"/>
        <w:rPr>
          <w:color w:val="FF0000"/>
          <w:sz w:val="16"/>
          <w:szCs w:val="16"/>
        </w:rPr>
        <w:sectPr w:rsidR="00B03768" w:rsidSect="00B37243">
          <w:type w:val="continuous"/>
          <w:pgSz w:w="11907" w:h="16840" w:code="9"/>
          <w:pgMar w:top="1701" w:right="425" w:bottom="567" w:left="567" w:header="709" w:footer="709" w:gutter="0"/>
          <w:cols w:num="2" w:space="113"/>
          <w:docGrid w:linePitch="360"/>
        </w:sectPr>
      </w:pPr>
    </w:p>
    <w:p w14:paraId="5B50E092" w14:textId="77777777" w:rsidR="00233755" w:rsidRPr="00505196" w:rsidRDefault="00233755" w:rsidP="00233755">
      <w:pPr>
        <w:pStyle w:val="Heading3"/>
        <w:spacing w:before="0"/>
        <w:rPr>
          <w:color w:val="002060"/>
          <w:sz w:val="24"/>
          <w:szCs w:val="24"/>
        </w:rPr>
        <w:sectPr w:rsidR="00233755" w:rsidRPr="00505196" w:rsidSect="00233755">
          <w:pgSz w:w="11907" w:h="16840" w:code="9"/>
          <w:pgMar w:top="1701" w:right="425" w:bottom="567" w:left="567" w:header="709" w:footer="709" w:gutter="0"/>
          <w:cols w:space="720"/>
          <w:docGrid w:linePitch="360"/>
        </w:sectPr>
      </w:pPr>
      <w:r w:rsidRPr="00505196">
        <w:rPr>
          <w:color w:val="002060"/>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05196" w:rsidRDefault="00233755" w:rsidP="00233755">
      <w:pPr>
        <w:pStyle w:val="Heading4"/>
        <w:spacing w:before="0"/>
        <w:rPr>
          <w:i w:val="0"/>
          <w:iCs w:val="0"/>
          <w:color w:val="92278F" w:themeColor="accent1"/>
          <w:sz w:val="20"/>
          <w:szCs w:val="20"/>
        </w:rPr>
        <w:sectPr w:rsidR="00233755" w:rsidRPr="00505196" w:rsidSect="00233755">
          <w:type w:val="continuous"/>
          <w:pgSz w:w="11907" w:h="16840" w:code="9"/>
          <w:pgMar w:top="1701" w:right="425" w:bottom="567" w:left="567" w:header="709" w:footer="709" w:gutter="0"/>
          <w:cols w:space="720"/>
          <w:docGrid w:linePitch="360"/>
        </w:sectPr>
      </w:pPr>
      <w:r w:rsidRPr="00505196">
        <w:rPr>
          <w:i w:val="0"/>
          <w:iCs w:val="0"/>
          <w:color w:val="92278F" w:themeColor="accent1"/>
          <w:sz w:val="20"/>
          <w:szCs w:val="20"/>
        </w:rPr>
        <w:t>Mineral commodity prices (index)</w:t>
      </w:r>
    </w:p>
    <w:p w14:paraId="3C83AD48" w14:textId="3399607A" w:rsidR="00233755" w:rsidRPr="007B1AE5" w:rsidRDefault="002F1F54" w:rsidP="00233755">
      <w:r>
        <w:rPr>
          <w:noProof/>
        </w:rPr>
        <w:drawing>
          <wp:inline distT="0" distB="0" distL="0" distR="0" wp14:anchorId="1B5485FE" wp14:editId="668FE13D">
            <wp:extent cx="1692000" cy="2030400"/>
            <wp:effectExtent l="0" t="0" r="3810" b="8255"/>
            <wp:docPr id="1667622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000" cy="2030400"/>
                    </a:xfrm>
                    <a:prstGeom prst="rect">
                      <a:avLst/>
                    </a:prstGeom>
                    <a:noFill/>
                    <a:ln>
                      <a:noFill/>
                    </a:ln>
                  </pic:spPr>
                </pic:pic>
              </a:graphicData>
            </a:graphic>
          </wp:inline>
        </w:drawing>
      </w:r>
      <w:r>
        <w:rPr>
          <w:noProof/>
        </w:rPr>
        <w:drawing>
          <wp:inline distT="0" distB="0" distL="0" distR="0" wp14:anchorId="249A78AB" wp14:editId="45929EAA">
            <wp:extent cx="1692000" cy="2030400"/>
            <wp:effectExtent l="0" t="0" r="3810" b="8255"/>
            <wp:docPr id="306568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0" cy="2030400"/>
                    </a:xfrm>
                    <a:prstGeom prst="rect">
                      <a:avLst/>
                    </a:prstGeom>
                    <a:noFill/>
                    <a:ln>
                      <a:noFill/>
                    </a:ln>
                  </pic:spPr>
                </pic:pic>
              </a:graphicData>
            </a:graphic>
          </wp:inline>
        </w:drawing>
      </w:r>
    </w:p>
    <w:p w14:paraId="229B79C7" w14:textId="5FCD2F63"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series. </w:t>
      </w:r>
      <w:r w:rsidR="008C7B5A" w:rsidRPr="00DC4955">
        <w:rPr>
          <w:color w:val="000000" w:themeColor="text1"/>
          <w:sz w:val="10"/>
          <w:szCs w:val="10"/>
        </w:rPr>
        <w:t>May</w:t>
      </w:r>
      <w:r w:rsidRPr="00DC4955">
        <w:rPr>
          <w:color w:val="000000" w:themeColor="text1"/>
          <w:sz w:val="10"/>
          <w:szCs w:val="10"/>
        </w:rPr>
        <w:t xml:space="preserve"> </w:t>
      </w:r>
      <w:r w:rsidRPr="00505196">
        <w:rPr>
          <w:sz w:val="10"/>
          <w:szCs w:val="10"/>
        </w:rPr>
        <w:t>2024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505196" w:rsidRDefault="00233755" w:rsidP="00233755">
      <w:pPr>
        <w:jc w:val="both"/>
        <w:rPr>
          <w:sz w:val="10"/>
          <w:szCs w:val="10"/>
        </w:rPr>
      </w:pPr>
      <w:r w:rsidRPr="00505196">
        <w:rPr>
          <w:sz w:val="10"/>
          <w:szCs w:val="10"/>
        </w:rPr>
        <w:t>Source: World Bank and S&amp;P Global Market Intelligence.</w:t>
      </w:r>
    </w:p>
    <w:p w14:paraId="049F2ACB" w14:textId="77777777"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DC4955">
        <w:rPr>
          <w:color w:val="000000" w:themeColor="text1"/>
          <w:sz w:val="16"/>
          <w:szCs w:val="16"/>
        </w:rPr>
        <w:t>Prices for Western Australia’s main mineral commodity exports have fluctuated considerably over the past five years.</w:t>
      </w:r>
    </w:p>
    <w:p w14:paraId="69396BDC" w14:textId="517080BA"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Iron ore prices have tended to fluctuate with announcements and market speculation over policies to stimulate construction activity in China. The iron ore price has stabilised over the past few months, settling at around US$100 a tonne. The average monthly price in </w:t>
      </w:r>
      <w:r w:rsidR="003E3097" w:rsidRPr="00DC4955">
        <w:rPr>
          <w:color w:val="000000" w:themeColor="text1"/>
          <w:sz w:val="16"/>
          <w:szCs w:val="16"/>
        </w:rPr>
        <w:t>May 2025 was US$97.0 a tonne</w:t>
      </w:r>
      <w:r w:rsidRPr="00DC4955">
        <w:rPr>
          <w:color w:val="000000" w:themeColor="text1"/>
          <w:sz w:val="16"/>
          <w:szCs w:val="16"/>
        </w:rPr>
        <w:t>.</w:t>
      </w:r>
    </w:p>
    <w:p w14:paraId="5AEBC703" w14:textId="0CA8E62F"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Lithium prices fell significantly as additional supply incentivised by high prices in 2022 came online, coupled with slower than expected sales growth in electric vehicles. The decline has continued, with the average monthly price for lithium carbonate </w:t>
      </w:r>
      <w:r w:rsidR="003E3097" w:rsidRPr="00DC4955">
        <w:rPr>
          <w:color w:val="000000" w:themeColor="text1"/>
          <w:sz w:val="16"/>
          <w:szCs w:val="16"/>
        </w:rPr>
        <w:t>in May 2025 at US$8,450 a tonne.</w:t>
      </w:r>
    </w:p>
    <w:p w14:paraId="223EB41B" w14:textId="3CF9F617"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Nickel prices have followed a similar, albeit less spectacular, trajectory to lithium prices. The average monthly price for nickel </w:t>
      </w:r>
      <w:r w:rsidR="003E3097" w:rsidRPr="00DC4955">
        <w:rPr>
          <w:color w:val="000000" w:themeColor="text1"/>
          <w:sz w:val="16"/>
          <w:szCs w:val="16"/>
        </w:rPr>
        <w:t>in May 2025 was US$15,041 a tonne</w:t>
      </w:r>
      <w:r w:rsidRPr="00DC4955">
        <w:rPr>
          <w:color w:val="000000" w:themeColor="text1"/>
          <w:sz w:val="16"/>
          <w:szCs w:val="16"/>
        </w:rPr>
        <w:t>.</w:t>
      </w:r>
    </w:p>
    <w:p w14:paraId="5A902681" w14:textId="77777777"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Gold has been an exception, with prices continuing to climb to record high levels due to falling interest rates (decreased competition for higher-yielding investments) and geopolitical tensions stimulating the safe-haven demand for gold.</w:t>
      </w:r>
    </w:p>
    <w:p w14:paraId="672213A1" w14:textId="025E1DB2"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gold price was </w:t>
      </w:r>
      <w:r w:rsidR="003E3097" w:rsidRPr="00DC4955">
        <w:rPr>
          <w:color w:val="000000" w:themeColor="text1"/>
          <w:sz w:val="16"/>
          <w:szCs w:val="16"/>
        </w:rPr>
        <w:t xml:space="preserve">US$3,309 per troy ounce in May 2025, 41% </w:t>
      </w:r>
      <w:r w:rsidRPr="00DC4955">
        <w:rPr>
          <w:color w:val="000000" w:themeColor="text1"/>
          <w:sz w:val="16"/>
          <w:szCs w:val="16"/>
        </w:rPr>
        <w:t>above the price one year ago.</w:t>
      </w:r>
    </w:p>
    <w:p w14:paraId="2157EF7E" w14:textId="77777777" w:rsidR="00233755" w:rsidRPr="00D71AA8" w:rsidRDefault="00233755" w:rsidP="00233755">
      <w:pPr>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77777777" w:rsidR="00233755" w:rsidRPr="00505196" w:rsidRDefault="00233755" w:rsidP="00233755">
      <w:pPr>
        <w:pStyle w:val="Heading4"/>
        <w:rPr>
          <w:i w:val="0"/>
          <w:iCs w:val="0"/>
          <w:color w:val="92278F" w:themeColor="accent1"/>
          <w:sz w:val="20"/>
          <w:szCs w:val="20"/>
        </w:rPr>
        <w:sectPr w:rsidR="00233755" w:rsidRPr="00505196" w:rsidSect="00233755">
          <w:type w:val="continuous"/>
          <w:pgSz w:w="11907" w:h="16840" w:code="9"/>
          <w:pgMar w:top="1701" w:right="425" w:bottom="567" w:left="567" w:header="709" w:footer="709" w:gutter="0"/>
          <w:cols w:space="720"/>
          <w:docGrid w:linePitch="360"/>
        </w:sectPr>
      </w:pPr>
      <w:r w:rsidRPr="00505196">
        <w:rPr>
          <w:i w:val="0"/>
          <w:iCs w:val="0"/>
          <w:color w:val="92278F" w:themeColor="accent1"/>
          <w:sz w:val="20"/>
          <w:szCs w:val="20"/>
        </w:rPr>
        <w:t>Non-mineral commodity prices (index)</w:t>
      </w:r>
    </w:p>
    <w:p w14:paraId="10D7A92A" w14:textId="159C2972" w:rsidR="00233755" w:rsidRPr="001D075F" w:rsidRDefault="00082DED" w:rsidP="00082DED">
      <w:pPr>
        <w:pStyle w:val="Heading4"/>
        <w:keepNext w:val="0"/>
        <w:keepLines w:val="0"/>
        <w:spacing w:before="0"/>
        <w:rPr>
          <w:b w:val="0"/>
          <w:bCs w:val="0"/>
          <w:i w:val="0"/>
          <w:iCs w:val="0"/>
        </w:rPr>
      </w:pPr>
      <w:r>
        <w:rPr>
          <w:b w:val="0"/>
          <w:bCs w:val="0"/>
          <w:i w:val="0"/>
          <w:iCs w:val="0"/>
          <w:noProof/>
        </w:rPr>
        <w:drawing>
          <wp:inline distT="0" distB="0" distL="0" distR="0" wp14:anchorId="25138295" wp14:editId="717FA438">
            <wp:extent cx="1692000" cy="2030400"/>
            <wp:effectExtent l="0" t="0" r="3810" b="8255"/>
            <wp:docPr id="1563389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2000" cy="2030400"/>
                    </a:xfrm>
                    <a:prstGeom prst="rect">
                      <a:avLst/>
                    </a:prstGeom>
                    <a:noFill/>
                    <a:ln>
                      <a:noFill/>
                    </a:ln>
                  </pic:spPr>
                </pic:pic>
              </a:graphicData>
            </a:graphic>
          </wp:inline>
        </w:drawing>
      </w:r>
      <w:r>
        <w:rPr>
          <w:b w:val="0"/>
          <w:bCs w:val="0"/>
          <w:i w:val="0"/>
          <w:iCs w:val="0"/>
          <w:noProof/>
        </w:rPr>
        <w:drawing>
          <wp:inline distT="0" distB="0" distL="0" distR="0" wp14:anchorId="6534A8E5" wp14:editId="515F323F">
            <wp:extent cx="1692000" cy="2030400"/>
            <wp:effectExtent l="0" t="0" r="3810" b="8255"/>
            <wp:docPr id="878183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000" cy="2030400"/>
                    </a:xfrm>
                    <a:prstGeom prst="rect">
                      <a:avLst/>
                    </a:prstGeom>
                    <a:noFill/>
                    <a:ln>
                      <a:noFill/>
                    </a:ln>
                  </pic:spPr>
                </pic:pic>
              </a:graphicData>
            </a:graphic>
          </wp:inline>
        </w:drawing>
      </w:r>
    </w:p>
    <w:p w14:paraId="3C817890" w14:textId="4C0D4B05"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series. </w:t>
      </w:r>
      <w:r w:rsidR="008C7B5A" w:rsidRPr="00DC4955">
        <w:rPr>
          <w:color w:val="000000" w:themeColor="text1"/>
          <w:sz w:val="10"/>
          <w:szCs w:val="10"/>
        </w:rPr>
        <w:t>May</w:t>
      </w:r>
      <w:r w:rsidRPr="00DC4955">
        <w:rPr>
          <w:color w:val="000000" w:themeColor="text1"/>
          <w:sz w:val="10"/>
          <w:szCs w:val="10"/>
        </w:rPr>
        <w:t xml:space="preserve"> </w:t>
      </w:r>
      <w:r w:rsidRPr="00505196">
        <w:rPr>
          <w:sz w:val="10"/>
          <w:szCs w:val="10"/>
        </w:rPr>
        <w:t>2024 = 100.0. (a) Crude oil, United Kingdom Brent price per barrel. (b) Japan liquefied natural gas import price per million British thermal units on a cost, insurance, and freight basis. (c) United States hard red winter Gulf export price per tonne.</w:t>
      </w:r>
    </w:p>
    <w:p w14:paraId="4DFB1104" w14:textId="77777777" w:rsidR="00233755" w:rsidRPr="00505196" w:rsidRDefault="00233755" w:rsidP="00233755">
      <w:pPr>
        <w:jc w:val="both"/>
        <w:rPr>
          <w:sz w:val="10"/>
          <w:szCs w:val="10"/>
        </w:rPr>
      </w:pPr>
      <w:r w:rsidRPr="00505196">
        <w:rPr>
          <w:sz w:val="10"/>
          <w:szCs w:val="10"/>
        </w:rPr>
        <w:t>Source: World Bank.</w:t>
      </w:r>
    </w:p>
    <w:p w14:paraId="33C8A517" w14:textId="77777777" w:rsidR="00233755" w:rsidRPr="003E33BA"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7D4D80">
        <w:rPr>
          <w:sz w:val="16"/>
          <w:szCs w:val="16"/>
        </w:rPr>
        <w:t>Prices for Western Australia’s main energy exports have also fluctuated</w:t>
      </w:r>
      <w:r w:rsidRPr="00D15517">
        <w:rPr>
          <w:sz w:val="16"/>
          <w:szCs w:val="16"/>
        </w:rPr>
        <w:t xml:space="preserve"> over the past five years, with geopolitical factors influencing the supply and demand for these commodities.</w:t>
      </w:r>
    </w:p>
    <w:p w14:paraId="337226A4" w14:textId="4A5D2DD7"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The crude oil price increased sharply in early 2022 from the onset of the Russia</w:t>
      </w:r>
      <w:r w:rsidRPr="00DC4955">
        <w:rPr>
          <w:color w:val="000000" w:themeColor="text1"/>
          <w:sz w:val="16"/>
          <w:szCs w:val="16"/>
        </w:rPr>
        <w:noBreakHyphen/>
        <w:t xml:space="preserve">Ukraine conflict but fell back as global markets settled. The average monthly crude oil price in fell to </w:t>
      </w:r>
      <w:r w:rsidR="003E3097" w:rsidRPr="00DC4955">
        <w:rPr>
          <w:color w:val="000000" w:themeColor="text1"/>
          <w:sz w:val="16"/>
          <w:szCs w:val="16"/>
        </w:rPr>
        <w:t>US$64.2 a barrel in May 2025,</w:t>
      </w:r>
      <w:r w:rsidRPr="00DC4955">
        <w:rPr>
          <w:color w:val="000000" w:themeColor="text1"/>
          <w:sz w:val="16"/>
          <w:szCs w:val="16"/>
        </w:rPr>
        <w:t xml:space="preserve"> the lowest </w:t>
      </w:r>
      <w:r w:rsidR="008C7B5A" w:rsidRPr="00DC4955">
        <w:rPr>
          <w:color w:val="000000" w:themeColor="text1"/>
          <w:sz w:val="16"/>
          <w:szCs w:val="16"/>
        </w:rPr>
        <w:t>monthly price since February 2021</w:t>
      </w:r>
      <w:r w:rsidRPr="00DC4955">
        <w:rPr>
          <w:color w:val="000000" w:themeColor="text1"/>
          <w:sz w:val="16"/>
          <w:szCs w:val="16"/>
        </w:rPr>
        <w:t>.</w:t>
      </w:r>
    </w:p>
    <w:p w14:paraId="3D413FC3" w14:textId="3A096883" w:rsidR="00233755" w:rsidRPr="00DC4955" w:rsidRDefault="00233755" w:rsidP="00233755">
      <w:pPr>
        <w:pStyle w:val="ListParagraph"/>
        <w:numPr>
          <w:ilvl w:val="0"/>
          <w:numId w:val="33"/>
        </w:numPr>
        <w:spacing w:before="40" w:after="40"/>
        <w:ind w:left="717" w:right="227" w:hanging="357"/>
        <w:contextualSpacing w:val="0"/>
        <w:jc w:val="both"/>
        <w:rPr>
          <w:color w:val="000000" w:themeColor="text1"/>
          <w:sz w:val="16"/>
          <w:szCs w:val="16"/>
        </w:rPr>
      </w:pPr>
      <w:r w:rsidRPr="00DC4955">
        <w:rPr>
          <w:color w:val="000000" w:themeColor="text1"/>
          <w:sz w:val="16"/>
          <w:szCs w:val="16"/>
        </w:rPr>
        <w:t xml:space="preserve">LNG prices are largely linked to crude oil prices but the disruption in global gas trade in 2022 added a degree of volatility to the LNG market. The average monthly LNG price in </w:t>
      </w:r>
      <w:r w:rsidR="003E3097" w:rsidRPr="00DC4955">
        <w:rPr>
          <w:color w:val="000000" w:themeColor="text1"/>
          <w:sz w:val="16"/>
          <w:szCs w:val="16"/>
        </w:rPr>
        <w:t xml:space="preserve">May 2025 was US$12.6 per </w:t>
      </w:r>
      <w:proofErr w:type="spellStart"/>
      <w:r w:rsidR="003E3097" w:rsidRPr="00DC4955">
        <w:rPr>
          <w:color w:val="000000" w:themeColor="text1"/>
          <w:sz w:val="16"/>
          <w:szCs w:val="16"/>
        </w:rPr>
        <w:t>mmBTU</w:t>
      </w:r>
      <w:proofErr w:type="spellEnd"/>
      <w:r w:rsidR="003E3097" w:rsidRPr="00DC4955">
        <w:rPr>
          <w:color w:val="000000" w:themeColor="text1"/>
          <w:sz w:val="16"/>
          <w:szCs w:val="16"/>
        </w:rPr>
        <w:t>.</w:t>
      </w:r>
    </w:p>
    <w:p w14:paraId="0B38020C" w14:textId="0ACE849B"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Global wheat prices tend to move with actual and expected growing conditions in major wheat producing regions. Trade policies and changes in input costs (especially for transport) can also affect wheat prices, which partly explains the similar movements between the wheat price and the oil price in recent years. The average monthly price for </w:t>
      </w:r>
      <w:r w:rsidR="003E3097" w:rsidRPr="00DC4955">
        <w:rPr>
          <w:color w:val="000000" w:themeColor="text1"/>
          <w:sz w:val="16"/>
          <w:szCs w:val="16"/>
        </w:rPr>
        <w:t>wheat in May 2025 was US$237 a tonne</w:t>
      </w:r>
      <w:r w:rsidRPr="00DC4955">
        <w:rPr>
          <w:color w:val="000000" w:themeColor="text1"/>
          <w:sz w:val="16"/>
          <w:szCs w:val="16"/>
        </w:rPr>
        <w:t>.</w:t>
      </w:r>
    </w:p>
    <w:p w14:paraId="7EB3308A" w14:textId="77777777" w:rsidR="00233755" w:rsidRPr="00DC37E4" w:rsidRDefault="00233755" w:rsidP="00233755">
      <w:pPr>
        <w:spacing w:line="120" w:lineRule="auto"/>
        <w:rPr>
          <w:sz w:val="16"/>
          <w:szCs w:val="16"/>
        </w:rPr>
        <w:sectPr w:rsidR="00233755" w:rsidRPr="00DC37E4" w:rsidSect="00233755">
          <w:type w:val="continuous"/>
          <w:pgSz w:w="11907" w:h="16840" w:code="9"/>
          <w:pgMar w:top="1701" w:right="425" w:bottom="567" w:left="567" w:header="709" w:footer="709" w:gutter="0"/>
          <w:cols w:num="2" w:space="113"/>
          <w:docGrid w:linePitch="360"/>
        </w:sectPr>
      </w:pPr>
    </w:p>
    <w:p w14:paraId="3B5A2873"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Australian dollar exchange rates</w:t>
      </w:r>
    </w:p>
    <w:p w14:paraId="0CCEA99C" w14:textId="3A5E1E95" w:rsidR="00233755" w:rsidRPr="007B1AE5" w:rsidRDefault="00155475" w:rsidP="00233755">
      <w:r>
        <w:rPr>
          <w:noProof/>
        </w:rPr>
        <w:drawing>
          <wp:inline distT="0" distB="0" distL="0" distR="0" wp14:anchorId="54075DAB" wp14:editId="5700B5B8">
            <wp:extent cx="3314700" cy="1988820"/>
            <wp:effectExtent l="0" t="0" r="0" b="0"/>
            <wp:docPr id="1386077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1988820"/>
                    </a:xfrm>
                    <a:prstGeom prst="rect">
                      <a:avLst/>
                    </a:prstGeom>
                    <a:noFill/>
                    <a:ln>
                      <a:noFill/>
                    </a:ln>
                  </pic:spPr>
                </pic:pic>
              </a:graphicData>
            </a:graphic>
          </wp:inline>
        </w:drawing>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6245E034" w14:textId="77777777" w:rsidR="00233755" w:rsidRPr="0050519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8476A2">
        <w:rPr>
          <w:sz w:val="16"/>
          <w:szCs w:val="16"/>
        </w:rPr>
        <w:t xml:space="preserve">The </w:t>
      </w:r>
      <w:r>
        <w:rPr>
          <w:sz w:val="16"/>
          <w:szCs w:val="16"/>
        </w:rPr>
        <w:t>A</w:t>
      </w:r>
      <w:r w:rsidRPr="00505196">
        <w:rPr>
          <w:sz w:val="16"/>
          <w:szCs w:val="16"/>
        </w:rPr>
        <w:t>ustralian dollar exchange rate is influenced by many factors, including the price of Australia’s main export commodities, and actual and expected differences in interest rates.</w:t>
      </w:r>
    </w:p>
    <w:p w14:paraId="2DB7099A" w14:textId="2FEFA392"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The Australian dollar appreciated against the US dollar in </w:t>
      </w:r>
      <w:r w:rsidR="003336EB" w:rsidRPr="00DC4955">
        <w:rPr>
          <w:color w:val="000000" w:themeColor="text1"/>
          <w:sz w:val="16"/>
          <w:szCs w:val="16"/>
        </w:rPr>
        <w:t>May</w:t>
      </w:r>
      <w:r w:rsidRPr="00DC4955">
        <w:rPr>
          <w:color w:val="000000" w:themeColor="text1"/>
          <w:sz w:val="16"/>
          <w:szCs w:val="16"/>
        </w:rPr>
        <w:t> 2025, as the US currency weakened due to concerns over its economic outlook. The Australian dollar averaged 64.</w:t>
      </w:r>
      <w:r w:rsidR="003336EB" w:rsidRPr="00DC4955">
        <w:rPr>
          <w:color w:val="000000" w:themeColor="text1"/>
          <w:sz w:val="16"/>
          <w:szCs w:val="16"/>
        </w:rPr>
        <w:t>4</w:t>
      </w:r>
      <w:r w:rsidRPr="00DC4955">
        <w:rPr>
          <w:color w:val="000000" w:themeColor="text1"/>
          <w:sz w:val="16"/>
          <w:szCs w:val="16"/>
        </w:rPr>
        <w:t xml:space="preserve"> US cents in </w:t>
      </w:r>
      <w:r w:rsidR="003336EB" w:rsidRPr="00DC4955">
        <w:rPr>
          <w:color w:val="000000" w:themeColor="text1"/>
          <w:sz w:val="16"/>
          <w:szCs w:val="16"/>
        </w:rPr>
        <w:t>May</w:t>
      </w:r>
      <w:r w:rsidRPr="00DC4955">
        <w:rPr>
          <w:color w:val="000000" w:themeColor="text1"/>
          <w:sz w:val="16"/>
          <w:szCs w:val="16"/>
        </w:rPr>
        <w:t xml:space="preserve"> 2025, </w:t>
      </w:r>
      <w:r w:rsidR="003336EB" w:rsidRPr="00DC4955">
        <w:rPr>
          <w:color w:val="000000" w:themeColor="text1"/>
          <w:sz w:val="16"/>
          <w:szCs w:val="16"/>
        </w:rPr>
        <w:t>0.3</w:t>
      </w:r>
      <w:r w:rsidRPr="00DC4955">
        <w:rPr>
          <w:color w:val="000000" w:themeColor="text1"/>
          <w:sz w:val="16"/>
          <w:szCs w:val="16"/>
        </w:rPr>
        <w:t xml:space="preserve">% higher than the previous month but </w:t>
      </w:r>
      <w:r w:rsidR="003336EB" w:rsidRPr="00DC4955">
        <w:rPr>
          <w:color w:val="000000" w:themeColor="text1"/>
          <w:sz w:val="16"/>
          <w:szCs w:val="16"/>
        </w:rPr>
        <w:t>3.0</w:t>
      </w:r>
      <w:r w:rsidRPr="00DC4955">
        <w:rPr>
          <w:color w:val="000000" w:themeColor="text1"/>
          <w:sz w:val="16"/>
          <w:szCs w:val="16"/>
        </w:rPr>
        <w:t>% lower than one year ago.</w:t>
      </w:r>
    </w:p>
    <w:p w14:paraId="61F82333" w14:textId="77777777"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The trade</w:t>
      </w:r>
      <w:r w:rsidRPr="00DC4955">
        <w:rPr>
          <w:color w:val="000000" w:themeColor="text1"/>
          <w:sz w:val="16"/>
          <w:szCs w:val="16"/>
        </w:rPr>
        <w:noBreakHyphen/>
        <w:t>weighted index (TWI) accounts for a group of 17 foreign currencies based on their shares of trade with Australia and provides a broader measure of the Australian dollar.</w:t>
      </w:r>
    </w:p>
    <w:p w14:paraId="076B3598" w14:textId="3AFFB771"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The TWI has been relatively stable over the past few years, as the Australian dollar’s depreciation against the US dollar was offset by its appreciation against some other currencies. The TWI in </w:t>
      </w:r>
      <w:r w:rsidR="003336EB" w:rsidRPr="00DC4955">
        <w:rPr>
          <w:color w:val="000000" w:themeColor="text1"/>
          <w:sz w:val="16"/>
          <w:szCs w:val="16"/>
        </w:rPr>
        <w:t>May</w:t>
      </w:r>
      <w:r w:rsidRPr="00DC4955">
        <w:rPr>
          <w:color w:val="000000" w:themeColor="text1"/>
          <w:sz w:val="16"/>
          <w:szCs w:val="16"/>
        </w:rPr>
        <w:t xml:space="preserve"> 2025 was 0.5% </w:t>
      </w:r>
      <w:r w:rsidR="003336EB" w:rsidRPr="00DC4955">
        <w:rPr>
          <w:color w:val="000000" w:themeColor="text1"/>
          <w:sz w:val="16"/>
          <w:szCs w:val="16"/>
        </w:rPr>
        <w:t>lower</w:t>
      </w:r>
      <w:r w:rsidRPr="00DC4955">
        <w:rPr>
          <w:color w:val="000000" w:themeColor="text1"/>
          <w:sz w:val="16"/>
          <w:szCs w:val="16"/>
        </w:rPr>
        <w:t xml:space="preserve"> than the previous month </w:t>
      </w:r>
      <w:r w:rsidR="00EC6923" w:rsidRPr="00DC4955">
        <w:rPr>
          <w:color w:val="000000" w:themeColor="text1"/>
          <w:sz w:val="16"/>
          <w:szCs w:val="16"/>
        </w:rPr>
        <w:t>and</w:t>
      </w:r>
      <w:r w:rsidRPr="00DC4955">
        <w:rPr>
          <w:color w:val="000000" w:themeColor="text1"/>
          <w:sz w:val="16"/>
          <w:szCs w:val="16"/>
        </w:rPr>
        <w:t xml:space="preserve"> </w:t>
      </w:r>
      <w:r w:rsidR="003336EB" w:rsidRPr="00DC4955">
        <w:rPr>
          <w:color w:val="000000" w:themeColor="text1"/>
          <w:sz w:val="16"/>
          <w:szCs w:val="16"/>
        </w:rPr>
        <w:t>5.5</w:t>
      </w:r>
      <w:r w:rsidRPr="00DC4955">
        <w:rPr>
          <w:color w:val="000000" w:themeColor="text1"/>
          <w:sz w:val="16"/>
          <w:szCs w:val="16"/>
        </w:rPr>
        <w:t>% lower than one year ago.</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3E33BA" w:rsidRDefault="00233755" w:rsidP="00233755">
      <w:pPr>
        <w:pStyle w:val="Heading3"/>
        <w:spacing w:before="0"/>
        <w:rPr>
          <w:color w:val="002060"/>
          <w:sz w:val="24"/>
          <w:szCs w:val="24"/>
        </w:rPr>
        <w:sectPr w:rsidR="00233755" w:rsidRPr="003E33BA" w:rsidSect="00233755">
          <w:pgSz w:w="11907" w:h="16840" w:code="9"/>
          <w:pgMar w:top="1701" w:right="425" w:bottom="567" w:left="567" w:header="709" w:footer="709" w:gutter="0"/>
          <w:cols w:space="708"/>
          <w:docGrid w:linePitch="360"/>
        </w:sectPr>
      </w:pPr>
      <w:bookmarkStart w:id="13" w:name="_Consumer_prices_and"/>
      <w:bookmarkEnd w:id="13"/>
      <w:r w:rsidRPr="003E33BA">
        <w:rPr>
          <w:color w:val="002060"/>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73E42DBF" w14:textId="77777777" w:rsidR="00233755" w:rsidRPr="007B1AE5" w:rsidRDefault="00233755" w:rsidP="00233755">
      <w:r>
        <w:rPr>
          <w:noProof/>
        </w:rPr>
        <w:drawing>
          <wp:inline distT="0" distB="0" distL="0" distR="0" wp14:anchorId="4D06938C" wp14:editId="105738EE">
            <wp:extent cx="3421959" cy="1987588"/>
            <wp:effectExtent l="0" t="0" r="7620" b="0"/>
            <wp:docPr id="140048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5350" cy="1989557"/>
                    </a:xfrm>
                    <a:prstGeom prst="rect">
                      <a:avLst/>
                    </a:prstGeom>
                    <a:noFill/>
                    <a:ln>
                      <a:noFill/>
                    </a:ln>
                  </pic:spPr>
                </pic:pic>
              </a:graphicData>
            </a:graphic>
          </wp:inline>
        </w:drawing>
      </w:r>
    </w:p>
    <w:p w14:paraId="13BBDEE4"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All groups consumer price index. Year</w:t>
      </w:r>
      <w:r>
        <w:rPr>
          <w:sz w:val="10"/>
          <w:szCs w:val="10"/>
        </w:rPr>
        <w:noBreakHyphen/>
      </w:r>
      <w:r w:rsidRPr="00AF759E">
        <w:rPr>
          <w:sz w:val="10"/>
          <w:szCs w:val="10"/>
        </w:rPr>
        <w:t>on</w:t>
      </w:r>
      <w:r>
        <w:rPr>
          <w:sz w:val="10"/>
          <w:szCs w:val="10"/>
        </w:rPr>
        <w:noBreakHyphen/>
      </w:r>
      <w:r w:rsidRPr="00AF759E">
        <w:rPr>
          <w:sz w:val="10"/>
          <w:szCs w:val="10"/>
        </w:rPr>
        <w:t>year change in quarterly index</w:t>
      </w:r>
      <w:r>
        <w:rPr>
          <w:sz w:val="10"/>
          <w:szCs w:val="10"/>
        </w:rPr>
        <w:t>.</w:t>
      </w:r>
      <w:r w:rsidRPr="00AF759E">
        <w:rPr>
          <w:sz w:val="10"/>
          <w:szCs w:val="10"/>
        </w:rPr>
        <w:t xml:space="preserve"> (a)</w:t>
      </w:r>
      <w:r>
        <w:rPr>
          <w:sz w:val="10"/>
          <w:szCs w:val="10"/>
        </w:rPr>
        <w:t> </w:t>
      </w:r>
      <w:r w:rsidRPr="00AF759E">
        <w:rPr>
          <w:sz w:val="10"/>
          <w:szCs w:val="10"/>
        </w:rPr>
        <w:t>Weighted average of eight capital cities.</w:t>
      </w:r>
    </w:p>
    <w:p w14:paraId="296296E3" w14:textId="77777777" w:rsidR="00233755" w:rsidRPr="00AF759E" w:rsidRDefault="00233755" w:rsidP="00233755">
      <w:pPr>
        <w:jc w:val="both"/>
        <w:rPr>
          <w:sz w:val="10"/>
          <w:szCs w:val="10"/>
        </w:rPr>
      </w:pPr>
      <w:r w:rsidRPr="00AF759E">
        <w:rPr>
          <w:sz w:val="10"/>
          <w:szCs w:val="10"/>
        </w:rPr>
        <w:t>Source: Based on ABS data.</w:t>
      </w:r>
    </w:p>
    <w:p w14:paraId="464355EF" w14:textId="77777777" w:rsidR="00233755" w:rsidRPr="00902EA1"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587A9A">
        <w:rPr>
          <w:sz w:val="16"/>
          <w:szCs w:val="16"/>
        </w:rPr>
        <w:t xml:space="preserve">Consumer </w:t>
      </w:r>
      <w:r w:rsidRPr="00902EA1">
        <w:rPr>
          <w:sz w:val="16"/>
          <w:szCs w:val="16"/>
        </w:rPr>
        <w:t>price inflation in Perth has fallen significantly over the past two years, from a high of 8.3% in the December quarter 2022.</w:t>
      </w:r>
    </w:p>
    <w:p w14:paraId="20449901" w14:textId="77777777" w:rsidR="00233755" w:rsidRPr="005015F4" w:rsidRDefault="00233755" w:rsidP="00233755">
      <w:pPr>
        <w:pStyle w:val="ListParagraph"/>
        <w:numPr>
          <w:ilvl w:val="0"/>
          <w:numId w:val="31"/>
        </w:numPr>
        <w:spacing w:before="40" w:after="40"/>
        <w:ind w:left="357" w:right="227" w:hanging="357"/>
        <w:contextualSpacing w:val="0"/>
        <w:jc w:val="both"/>
        <w:rPr>
          <w:sz w:val="16"/>
          <w:szCs w:val="16"/>
        </w:rPr>
      </w:pPr>
      <w:r w:rsidRPr="00902EA1">
        <w:rPr>
          <w:sz w:val="16"/>
          <w:szCs w:val="16"/>
        </w:rPr>
        <w:t>Perth’s annual inflation rate, as measured by year</w:t>
      </w:r>
      <w:r w:rsidRPr="00902EA1">
        <w:rPr>
          <w:sz w:val="16"/>
          <w:szCs w:val="16"/>
        </w:rPr>
        <w:noBreakHyphen/>
        <w:t>on</w:t>
      </w:r>
      <w:r w:rsidRPr="00902EA1">
        <w:rPr>
          <w:sz w:val="16"/>
          <w:szCs w:val="16"/>
        </w:rPr>
        <w:noBreakHyphen/>
        <w:t xml:space="preserve">year growth in the consumer price index (CPI), was </w:t>
      </w:r>
      <w:r w:rsidRPr="005015F4">
        <w:rPr>
          <w:sz w:val="16"/>
          <w:szCs w:val="16"/>
        </w:rPr>
        <w:t>2.8% in the March quarter 2025, down from 2.9% in the previous quarter.</w:t>
      </w:r>
    </w:p>
    <w:p w14:paraId="02AE736A" w14:textId="77777777" w:rsidR="00233755" w:rsidRPr="005015F4" w:rsidRDefault="00233755" w:rsidP="00233755">
      <w:pPr>
        <w:pStyle w:val="ListParagraph"/>
        <w:numPr>
          <w:ilvl w:val="0"/>
          <w:numId w:val="31"/>
        </w:numPr>
        <w:spacing w:before="40" w:after="40"/>
        <w:ind w:left="357" w:right="227" w:hanging="357"/>
        <w:contextualSpacing w:val="0"/>
        <w:jc w:val="both"/>
        <w:rPr>
          <w:sz w:val="16"/>
          <w:szCs w:val="16"/>
        </w:rPr>
      </w:pPr>
      <w:r w:rsidRPr="005015F4">
        <w:rPr>
          <w:sz w:val="16"/>
          <w:szCs w:val="16"/>
        </w:rPr>
        <w:t>However, Perth’s annual CPI inflation has been above Australia’s annual CPI inflation over the past four quarters.</w:t>
      </w:r>
    </w:p>
    <w:p w14:paraId="798E57E3" w14:textId="77777777" w:rsidR="00233755" w:rsidRPr="005015F4" w:rsidRDefault="00233755" w:rsidP="00233755">
      <w:pPr>
        <w:pStyle w:val="ListParagraph"/>
        <w:numPr>
          <w:ilvl w:val="0"/>
          <w:numId w:val="31"/>
        </w:numPr>
        <w:spacing w:before="40" w:after="40"/>
        <w:ind w:left="357" w:right="227" w:hanging="357"/>
        <w:contextualSpacing w:val="0"/>
        <w:jc w:val="both"/>
        <w:rPr>
          <w:sz w:val="16"/>
          <w:szCs w:val="16"/>
        </w:rPr>
      </w:pPr>
      <w:r w:rsidRPr="005015F4">
        <w:rPr>
          <w:sz w:val="16"/>
          <w:szCs w:val="16"/>
        </w:rPr>
        <w:t>In the March quarter 2025, Australia’s annual inflation rate was 2.4%, unchanged from the previous quarter.</w:t>
      </w:r>
    </w:p>
    <w:p w14:paraId="64CE8A03" w14:textId="18883DA0"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The measure of Perth’s CPI in the WA Government’s State Budget excludes the electricity sub-index, to smooth the effect of successive household electricity credits. On this basis, the </w:t>
      </w:r>
      <w:r w:rsidR="008714BB" w:rsidRPr="00DC4955">
        <w:rPr>
          <w:color w:val="000000" w:themeColor="text1"/>
          <w:sz w:val="16"/>
          <w:szCs w:val="16"/>
        </w:rPr>
        <w:t>WA Government State Budget 2025</w:t>
      </w:r>
      <w:r w:rsidR="008714BB" w:rsidRPr="00DC4955">
        <w:rPr>
          <w:color w:val="000000" w:themeColor="text1"/>
          <w:sz w:val="16"/>
          <w:szCs w:val="16"/>
        </w:rPr>
        <w:noBreakHyphen/>
        <w:t xml:space="preserve">26 </w:t>
      </w:r>
      <w:r w:rsidRPr="00DC4955">
        <w:rPr>
          <w:color w:val="000000" w:themeColor="text1"/>
          <w:sz w:val="16"/>
          <w:szCs w:val="16"/>
        </w:rPr>
        <w:t>forecasts Perth’s annual average CPI will rise 2.75% in both 2024</w:t>
      </w:r>
      <w:r w:rsidRPr="00DC4955">
        <w:rPr>
          <w:color w:val="000000" w:themeColor="text1"/>
          <w:sz w:val="16"/>
          <w:szCs w:val="16"/>
        </w:rPr>
        <w:noBreakHyphen/>
        <w:t>25 and 2025</w:t>
      </w:r>
      <w:r w:rsidRPr="00DC4955">
        <w:rPr>
          <w:color w:val="000000" w:themeColor="text1"/>
          <w:sz w:val="16"/>
          <w:szCs w:val="16"/>
        </w:rPr>
        <w:noBreakHyphen/>
        <w:t>26.</w:t>
      </w:r>
    </w:p>
    <w:p w14:paraId="6291913F" w14:textId="77777777" w:rsidR="00233755" w:rsidRPr="00B75F67" w:rsidRDefault="00233755" w:rsidP="00233755">
      <w:pPr>
        <w:pStyle w:val="ListParagraph"/>
        <w:numPr>
          <w:ilvl w:val="0"/>
          <w:numId w:val="31"/>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Consumer price index by component (contribution to change): </w:t>
      </w:r>
      <w:r>
        <w:rPr>
          <w:i w:val="0"/>
          <w:iCs w:val="0"/>
          <w:color w:val="92278F" w:themeColor="accent1"/>
          <w:sz w:val="20"/>
          <w:szCs w:val="20"/>
        </w:rPr>
        <w:t>March</w:t>
      </w:r>
      <w:r w:rsidRPr="005C49A6">
        <w:rPr>
          <w:i w:val="0"/>
          <w:iCs w:val="0"/>
          <w:color w:val="92278F" w:themeColor="accent1"/>
          <w:sz w:val="20"/>
          <w:szCs w:val="20"/>
        </w:rPr>
        <w:t xml:space="preserve"> quarter 202</w:t>
      </w:r>
      <w:r>
        <w:rPr>
          <w:i w:val="0"/>
          <w:iCs w:val="0"/>
          <w:color w:val="92278F" w:themeColor="accent1"/>
          <w:sz w:val="20"/>
          <w:szCs w:val="20"/>
        </w:rPr>
        <w:t>5</w:t>
      </w:r>
    </w:p>
    <w:p w14:paraId="4C75CDAA" w14:textId="77777777" w:rsidR="00233755" w:rsidRPr="007B1AE5" w:rsidRDefault="00233755" w:rsidP="00233755">
      <w:r>
        <w:rPr>
          <w:noProof/>
        </w:rPr>
        <w:drawing>
          <wp:inline distT="0" distB="0" distL="0" distR="0" wp14:anchorId="7D2FB87B" wp14:editId="2AC54577">
            <wp:extent cx="3420000" cy="2052000"/>
            <wp:effectExtent l="0" t="0" r="9525" b="5715"/>
            <wp:docPr id="74319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E5FD31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price index. Year-on-year change in quarterly index. pp = </w:t>
      </w:r>
      <w:r w:rsidRPr="00AF759E">
        <w:rPr>
          <w:sz w:val="10"/>
          <w:szCs w:val="10"/>
        </w:rPr>
        <w:t>percentage points</w:t>
      </w:r>
      <w:r>
        <w:rPr>
          <w:sz w:val="10"/>
          <w:szCs w:val="10"/>
        </w:rPr>
        <w:t>.</w:t>
      </w:r>
      <w:r w:rsidRPr="00AF759E">
        <w:rPr>
          <w:sz w:val="10"/>
          <w:szCs w:val="10"/>
        </w:rPr>
        <w:t xml:space="preserve"> (a) Weighted average of eight capital cities</w:t>
      </w:r>
      <w:r>
        <w:rPr>
          <w:sz w:val="10"/>
          <w:szCs w:val="10"/>
        </w:rPr>
        <w:t>.</w:t>
      </w:r>
    </w:p>
    <w:p w14:paraId="1D32F001" w14:textId="77777777" w:rsidR="00233755" w:rsidRPr="00AF759E" w:rsidRDefault="00233755" w:rsidP="00233755">
      <w:pPr>
        <w:jc w:val="both"/>
        <w:rPr>
          <w:sz w:val="10"/>
          <w:szCs w:val="10"/>
        </w:rPr>
      </w:pPr>
      <w:r w:rsidRPr="00AF759E">
        <w:rPr>
          <w:sz w:val="10"/>
          <w:szCs w:val="10"/>
        </w:rPr>
        <w:t>Source: Based on ABS data.</w:t>
      </w:r>
    </w:p>
    <w:p w14:paraId="462E227E" w14:textId="77777777" w:rsidR="00233755" w:rsidRPr="005015F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5015F4">
        <w:rPr>
          <w:sz w:val="16"/>
          <w:szCs w:val="16"/>
        </w:rPr>
        <w:t>Housing (up 4.1%) made the largest contribution to the year</w:t>
      </w:r>
      <w:r w:rsidRPr="005015F4">
        <w:rPr>
          <w:sz w:val="16"/>
          <w:szCs w:val="16"/>
        </w:rPr>
        <w:noBreakHyphen/>
        <w:t>on</w:t>
      </w:r>
      <w:r w:rsidRPr="005015F4">
        <w:rPr>
          <w:sz w:val="16"/>
          <w:szCs w:val="16"/>
        </w:rPr>
        <w:noBreakHyphen/>
        <w:t>year growth in Perth’s CPI in the March quarter 2025. Price increases were particularly high for new dwellings purchased by owner-occupiers (up 10.1%) and rents (up 8.9%).</w:t>
      </w:r>
    </w:p>
    <w:p w14:paraId="72EE043A" w14:textId="77777777" w:rsidR="00233755" w:rsidRPr="005015F4" w:rsidRDefault="00233755" w:rsidP="00233755">
      <w:pPr>
        <w:pStyle w:val="ListParagraph"/>
        <w:numPr>
          <w:ilvl w:val="0"/>
          <w:numId w:val="31"/>
        </w:numPr>
        <w:spacing w:before="40" w:after="40"/>
        <w:ind w:right="227" w:hanging="357"/>
        <w:contextualSpacing w:val="0"/>
        <w:jc w:val="both"/>
        <w:rPr>
          <w:sz w:val="16"/>
          <w:szCs w:val="16"/>
        </w:rPr>
      </w:pPr>
      <w:r w:rsidRPr="005015F4">
        <w:rPr>
          <w:sz w:val="16"/>
          <w:szCs w:val="16"/>
        </w:rPr>
        <w:t>Other CPI components that contributed to the rise in Perth’s CPI in the year to the March quarter 2025 included:</w:t>
      </w:r>
    </w:p>
    <w:p w14:paraId="302517B6" w14:textId="23219A7A" w:rsidR="00233755" w:rsidRPr="005015F4" w:rsidRDefault="00233755" w:rsidP="00233755">
      <w:pPr>
        <w:pStyle w:val="ListParagraph"/>
        <w:numPr>
          <w:ilvl w:val="0"/>
          <w:numId w:val="33"/>
        </w:numPr>
        <w:spacing w:before="40" w:after="40"/>
        <w:ind w:right="227" w:hanging="357"/>
        <w:contextualSpacing w:val="0"/>
        <w:jc w:val="both"/>
        <w:rPr>
          <w:sz w:val="16"/>
          <w:szCs w:val="16"/>
        </w:rPr>
      </w:pPr>
      <w:r w:rsidRPr="005015F4">
        <w:rPr>
          <w:sz w:val="16"/>
          <w:szCs w:val="16"/>
        </w:rPr>
        <w:t>food and non-alcoholic beverages (up 3.6%)</w:t>
      </w:r>
    </w:p>
    <w:p w14:paraId="1A0B77A9" w14:textId="3B1EDD63" w:rsidR="00233755" w:rsidRPr="005015F4" w:rsidRDefault="00233755" w:rsidP="00233755">
      <w:pPr>
        <w:pStyle w:val="ListParagraph"/>
        <w:numPr>
          <w:ilvl w:val="0"/>
          <w:numId w:val="33"/>
        </w:numPr>
        <w:spacing w:before="40" w:after="40"/>
        <w:ind w:right="227" w:hanging="357"/>
        <w:contextualSpacing w:val="0"/>
        <w:jc w:val="both"/>
        <w:rPr>
          <w:sz w:val="16"/>
          <w:szCs w:val="16"/>
        </w:rPr>
      </w:pPr>
      <w:r w:rsidRPr="005015F4">
        <w:rPr>
          <w:sz w:val="16"/>
          <w:szCs w:val="16"/>
        </w:rPr>
        <w:t>health (up 4.9%)</w:t>
      </w:r>
      <w:r w:rsidR="00AE3E60">
        <w:rPr>
          <w:sz w:val="16"/>
          <w:szCs w:val="16"/>
        </w:rPr>
        <w:t>.</w:t>
      </w:r>
    </w:p>
    <w:p w14:paraId="44FA605E" w14:textId="77777777" w:rsidR="00233755" w:rsidRPr="005015F4" w:rsidRDefault="00233755" w:rsidP="00233755">
      <w:pPr>
        <w:pStyle w:val="ListParagraph"/>
        <w:numPr>
          <w:ilvl w:val="0"/>
          <w:numId w:val="31"/>
        </w:numPr>
        <w:spacing w:before="40" w:after="40"/>
        <w:ind w:right="227" w:hanging="357"/>
        <w:contextualSpacing w:val="0"/>
        <w:jc w:val="both"/>
        <w:rPr>
          <w:sz w:val="16"/>
          <w:szCs w:val="16"/>
        </w:rPr>
      </w:pPr>
      <w:r w:rsidRPr="005015F4">
        <w:rPr>
          <w:sz w:val="16"/>
          <w:szCs w:val="16"/>
        </w:rPr>
        <w:t>Food and non-alcoholic beverages (up 3.2%) made the largest contribution to Australia’s year-on-year CPI growth in the March quarter 2025, followed by alcohol and tobacco (up 6.5%) and housing (up 2.0%).</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13474177" w14:textId="77777777" w:rsidR="00233755" w:rsidRDefault="00233755" w:rsidP="00233755">
      <w:pPr>
        <w:pStyle w:val="Heading4"/>
        <w:rPr>
          <w:b w:val="0"/>
          <w:bCs w:val="0"/>
          <w:noProof/>
        </w:rPr>
      </w:pPr>
      <w:r>
        <w:rPr>
          <w:i w:val="0"/>
          <w:iCs w:val="0"/>
          <w:color w:val="92278F" w:themeColor="accent1"/>
          <w:sz w:val="20"/>
          <w:szCs w:val="20"/>
        </w:rPr>
        <w:t>Monetary policy interest rates</w:t>
      </w:r>
    </w:p>
    <w:p w14:paraId="2FA73F7C" w14:textId="5FCF7B72" w:rsidR="00233755" w:rsidRPr="00BF5D04" w:rsidRDefault="00EC6923" w:rsidP="00233755">
      <w:r>
        <w:rPr>
          <w:noProof/>
        </w:rPr>
        <w:drawing>
          <wp:inline distT="0" distB="0" distL="0" distR="0" wp14:anchorId="0CC6DF19" wp14:editId="6DE5EEEE">
            <wp:extent cx="3420000" cy="2052000"/>
            <wp:effectExtent l="0" t="0" r="9525" b="5715"/>
            <wp:docPr id="3988355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E3B35F0" w14:textId="2F64E3D1"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20 </w:t>
      </w:r>
      <w:r w:rsidR="0080519D" w:rsidRPr="00DC4955">
        <w:rPr>
          <w:color w:val="000000" w:themeColor="text1"/>
          <w:sz w:val="10"/>
          <w:szCs w:val="10"/>
        </w:rPr>
        <w:t>June</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58A125E3"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87A76">
        <w:rPr>
          <w:sz w:val="16"/>
          <w:szCs w:val="16"/>
        </w:rPr>
        <w:t xml:space="preserve">Higher </w:t>
      </w:r>
      <w:r w:rsidRPr="003E33BA">
        <w:rPr>
          <w:sz w:val="16"/>
          <w:szCs w:val="16"/>
        </w:rPr>
        <w:t>inflation led to many countries tightening monetary policy from late 2021 to 2023. In 2024, some countries started cutting interest rates as inflation and inflation</w:t>
      </w:r>
      <w:r>
        <w:rPr>
          <w:sz w:val="16"/>
          <w:szCs w:val="16"/>
        </w:rPr>
        <w:t>ary</w:t>
      </w:r>
      <w:r w:rsidRPr="003E33BA">
        <w:rPr>
          <w:sz w:val="16"/>
          <w:szCs w:val="16"/>
        </w:rPr>
        <w:t xml:space="preserve"> expectations eased.</w:t>
      </w:r>
    </w:p>
    <w:p w14:paraId="39375167"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 xml:space="preserve">The </w:t>
      </w:r>
      <w:r w:rsidRPr="00000EE5">
        <w:rPr>
          <w:sz w:val="16"/>
          <w:szCs w:val="16"/>
        </w:rPr>
        <w:t>Reserve Bank of Australia increased Australia’s official interest rate from 0.10% to 4.35% between May 2022 and November 2023. The Reserve Bank Board cut the cash rate by 25 basis points in February 2025 and a further 25 basis points to 3.85% in May 2025.</w:t>
      </w:r>
    </w:p>
    <w:p w14:paraId="1A3ABCDA"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Monetary policy in the US, UK and Euro Area followed a similar trajectory to Australia in 2022 and 2023, but earlier disinflation allowed central banks in these markets to start cutting interest rates sooner than Australia. Rate cuts in these markets have been:</w:t>
      </w:r>
    </w:p>
    <w:p w14:paraId="5A6BC844" w14:textId="5B30119C"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European Central Bank: 2</w:t>
      </w:r>
      <w:r w:rsidR="002A1512" w:rsidRPr="00DC4955">
        <w:rPr>
          <w:color w:val="000000" w:themeColor="text1"/>
          <w:sz w:val="16"/>
          <w:szCs w:val="16"/>
        </w:rPr>
        <w:t>35</w:t>
      </w:r>
      <w:r w:rsidRPr="00DC4955">
        <w:rPr>
          <w:color w:val="000000" w:themeColor="text1"/>
          <w:sz w:val="16"/>
          <w:szCs w:val="16"/>
        </w:rPr>
        <w:t> basis points from June 2024, with the policy rate at 2.</w:t>
      </w:r>
      <w:r w:rsidR="002A1512" w:rsidRPr="00DC4955">
        <w:rPr>
          <w:color w:val="000000" w:themeColor="text1"/>
          <w:sz w:val="16"/>
          <w:szCs w:val="16"/>
        </w:rPr>
        <w:t>15</w:t>
      </w:r>
      <w:r w:rsidRPr="00DC4955">
        <w:rPr>
          <w:color w:val="000000" w:themeColor="text1"/>
          <w:sz w:val="16"/>
          <w:szCs w:val="16"/>
        </w:rPr>
        <w:t xml:space="preserve">% in </w:t>
      </w:r>
      <w:r w:rsidR="002A1512" w:rsidRPr="00DC4955">
        <w:rPr>
          <w:color w:val="000000" w:themeColor="text1"/>
          <w:sz w:val="16"/>
          <w:szCs w:val="16"/>
        </w:rPr>
        <w:t>June</w:t>
      </w:r>
      <w:r w:rsidRPr="00DC4955">
        <w:rPr>
          <w:color w:val="000000" w:themeColor="text1"/>
          <w:sz w:val="16"/>
          <w:szCs w:val="16"/>
        </w:rPr>
        <w:t> 2025</w:t>
      </w:r>
    </w:p>
    <w:p w14:paraId="73EEC712" w14:textId="5E207EF6"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Bank of England: 100 basis points from August 2024, with the policy rate at 4.25% in </w:t>
      </w:r>
      <w:r w:rsidR="002A1512" w:rsidRPr="00DC4955">
        <w:rPr>
          <w:color w:val="000000" w:themeColor="text1"/>
          <w:sz w:val="16"/>
          <w:szCs w:val="16"/>
        </w:rPr>
        <w:t>June</w:t>
      </w:r>
      <w:r w:rsidRPr="00DC4955">
        <w:rPr>
          <w:color w:val="000000" w:themeColor="text1"/>
          <w:sz w:val="16"/>
          <w:szCs w:val="16"/>
        </w:rPr>
        <w:t> 2025</w:t>
      </w:r>
    </w:p>
    <w:p w14:paraId="2A57ECBC" w14:textId="290C13A1"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US Federal Reserve: 100 basis points from September 2024, with the policy rate at 4.38% in </w:t>
      </w:r>
      <w:r w:rsidR="002506B7" w:rsidRPr="00DC4955">
        <w:rPr>
          <w:color w:val="000000" w:themeColor="text1"/>
          <w:sz w:val="16"/>
          <w:szCs w:val="16"/>
        </w:rPr>
        <w:t>June</w:t>
      </w:r>
      <w:r w:rsidRPr="00DC4955">
        <w:rPr>
          <w:color w:val="000000" w:themeColor="text1"/>
          <w:sz w:val="16"/>
          <w:szCs w:val="16"/>
        </w:rPr>
        <w:t> 2025.</w:t>
      </w:r>
    </w:p>
    <w:p w14:paraId="0A21B10E" w14:textId="4C2DD2DA"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Japan has been an exception as its increase in inflation occurred later. The Bank of Japan increased interest rates for the first time in 17 years in March 2024 with further increases in July 2024 and January 2025. The policy rate remained at 0.5% in </w:t>
      </w:r>
      <w:r w:rsidR="002506B7" w:rsidRPr="00DC4955">
        <w:rPr>
          <w:color w:val="000000" w:themeColor="text1"/>
          <w:sz w:val="16"/>
          <w:szCs w:val="16"/>
        </w:rPr>
        <w:t>June</w:t>
      </w:r>
      <w:r w:rsidRPr="00DC4955">
        <w:rPr>
          <w:color w:val="000000" w:themeColor="text1"/>
          <w:sz w:val="16"/>
          <w:szCs w:val="16"/>
        </w:rPr>
        <w:t xml:space="preserve"> 2025.</w:t>
      </w:r>
    </w:p>
    <w:p w14:paraId="499227DF" w14:textId="77777777" w:rsidR="00233755" w:rsidRPr="00112067" w:rsidRDefault="00233755" w:rsidP="00233755">
      <w:pPr>
        <w:pStyle w:val="ListParagraph"/>
        <w:numPr>
          <w:ilvl w:val="0"/>
          <w:numId w:val="31"/>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14" w:name="_Labour_market_–"/>
      <w:bookmarkEnd w:id="14"/>
      <w:r w:rsidRPr="00B820B4">
        <w:rPr>
          <w:color w:val="002060"/>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Pr>
          <w:i w:val="0"/>
          <w:iCs w:val="0"/>
          <w:color w:val="92278F" w:themeColor="accent1"/>
          <w:sz w:val="20"/>
          <w:szCs w:val="20"/>
        </w:rPr>
        <w:t xml:space="preserve">monthly </w:t>
      </w:r>
      <w:r w:rsidRPr="00AC3621">
        <w:rPr>
          <w:i w:val="0"/>
          <w:iCs w:val="0"/>
          <w:color w:val="92278F" w:themeColor="accent1"/>
          <w:sz w:val="20"/>
          <w:szCs w:val="20"/>
        </w:rPr>
        <w:t>hours worked (change)</w:t>
      </w:r>
    </w:p>
    <w:p w14:paraId="64E4CCBD" w14:textId="44BA2AA9" w:rsidR="00233755" w:rsidRPr="007B1AE5" w:rsidRDefault="00BD264A" w:rsidP="00233755">
      <w:r>
        <w:rPr>
          <w:noProof/>
        </w:rPr>
        <w:drawing>
          <wp:inline distT="0" distB="0" distL="0" distR="0" wp14:anchorId="6FF52CF2" wp14:editId="76A899CC">
            <wp:extent cx="3373352" cy="2024009"/>
            <wp:effectExtent l="0" t="0" r="0" b="0"/>
            <wp:docPr id="3876446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1745" cy="2047045"/>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3E33BA">
        <w:rPr>
          <w:sz w:val="16"/>
          <w:szCs w:val="16"/>
        </w:rPr>
        <w:t>Employment growth in Western Australia has fallen from the very high rates of growth reached during the economic recovery from the COVID</w:t>
      </w:r>
      <w:r w:rsidRPr="003E33BA">
        <w:rPr>
          <w:sz w:val="16"/>
          <w:szCs w:val="16"/>
        </w:rPr>
        <w:noBreakHyphen/>
        <w:t>19 pandemic but has been sustained at a relatively high level as high net overseas migration has resulted in a large increase in the working age population.</w:t>
      </w:r>
    </w:p>
    <w:p w14:paraId="78DDCB72" w14:textId="517C5D9E"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bookmarkStart w:id="15" w:name="_Hlk175827850"/>
      <w:r w:rsidRPr="00DC4955">
        <w:rPr>
          <w:color w:val="000000" w:themeColor="text1"/>
          <w:sz w:val="16"/>
          <w:szCs w:val="16"/>
        </w:rPr>
        <w:t>Western Australia’s annual average employment rose 3.</w:t>
      </w:r>
      <w:r w:rsidR="00D70466" w:rsidRPr="00DC4955">
        <w:rPr>
          <w:color w:val="000000" w:themeColor="text1"/>
          <w:sz w:val="16"/>
          <w:szCs w:val="16"/>
        </w:rPr>
        <w:t>4</w:t>
      </w:r>
      <w:r w:rsidRPr="00DC4955">
        <w:rPr>
          <w:color w:val="000000" w:themeColor="text1"/>
          <w:sz w:val="16"/>
          <w:szCs w:val="16"/>
        </w:rPr>
        <w:t>% to 1.6</w:t>
      </w:r>
      <w:r w:rsidR="00D70466" w:rsidRPr="00DC4955">
        <w:rPr>
          <w:color w:val="000000" w:themeColor="text1"/>
          <w:sz w:val="16"/>
          <w:szCs w:val="16"/>
        </w:rPr>
        <w:t>4</w:t>
      </w:r>
      <w:r w:rsidRPr="00DC4955">
        <w:rPr>
          <w:color w:val="000000" w:themeColor="text1"/>
          <w:sz w:val="16"/>
          <w:szCs w:val="16"/>
        </w:rPr>
        <w:t xml:space="preserve"> million in </w:t>
      </w:r>
      <w:r w:rsidR="00D70466" w:rsidRPr="00DC4955">
        <w:rPr>
          <w:color w:val="000000" w:themeColor="text1"/>
          <w:sz w:val="16"/>
          <w:szCs w:val="16"/>
        </w:rPr>
        <w:t>May</w:t>
      </w:r>
      <w:r w:rsidRPr="00DC4955">
        <w:rPr>
          <w:color w:val="000000" w:themeColor="text1"/>
          <w:sz w:val="16"/>
          <w:szCs w:val="16"/>
        </w:rPr>
        <w:t> 2025.</w:t>
      </w:r>
    </w:p>
    <w:bookmarkEnd w:id="15"/>
    <w:p w14:paraId="6FD2BEA9" w14:textId="7E24A0F2" w:rsidR="00233755" w:rsidRPr="00DC4955" w:rsidRDefault="008714BB"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The WA Government State Budget 2025</w:t>
      </w:r>
      <w:r w:rsidRPr="00DC4955">
        <w:rPr>
          <w:color w:val="000000" w:themeColor="text1"/>
          <w:sz w:val="16"/>
          <w:szCs w:val="16"/>
        </w:rPr>
        <w:noBreakHyphen/>
        <w:t xml:space="preserve">26 </w:t>
      </w:r>
      <w:r w:rsidR="00233755" w:rsidRPr="00DC4955">
        <w:rPr>
          <w:color w:val="000000" w:themeColor="text1"/>
          <w:sz w:val="16"/>
          <w:szCs w:val="16"/>
        </w:rPr>
        <w:t xml:space="preserve">forecasts Western Australia’s annual average employment will increase by </w:t>
      </w:r>
      <w:r w:rsidRPr="00DC4955">
        <w:rPr>
          <w:color w:val="000000" w:themeColor="text1"/>
          <w:sz w:val="16"/>
          <w:szCs w:val="16"/>
        </w:rPr>
        <w:t>3.0</w:t>
      </w:r>
      <w:r w:rsidR="00233755" w:rsidRPr="00DC4955">
        <w:rPr>
          <w:color w:val="000000" w:themeColor="text1"/>
          <w:sz w:val="16"/>
          <w:szCs w:val="16"/>
        </w:rPr>
        <w:t>% in 2024</w:t>
      </w:r>
      <w:r w:rsidR="00233755" w:rsidRPr="00DC4955">
        <w:rPr>
          <w:color w:val="000000" w:themeColor="text1"/>
          <w:sz w:val="16"/>
          <w:szCs w:val="16"/>
        </w:rPr>
        <w:noBreakHyphen/>
        <w:t>25 and 1.75% in 2025</w:t>
      </w:r>
      <w:r w:rsidR="00233755" w:rsidRPr="00DC4955">
        <w:rPr>
          <w:color w:val="000000" w:themeColor="text1"/>
          <w:sz w:val="16"/>
          <w:szCs w:val="16"/>
        </w:rPr>
        <w:noBreakHyphen/>
        <w:t>26.</w:t>
      </w:r>
    </w:p>
    <w:p w14:paraId="02E9491E" w14:textId="77777777"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bookmarkStart w:id="16" w:name="_Hlk175827856"/>
      <w:r w:rsidRPr="00DC4955">
        <w:rPr>
          <w:color w:val="000000" w:themeColor="text1"/>
          <w:sz w:val="16"/>
          <w:szCs w:val="16"/>
        </w:rPr>
        <w:t>Growth in hours worked has been lower than employment growth over the past year, although the gap is narrowing.</w:t>
      </w:r>
    </w:p>
    <w:p w14:paraId="4AA6B0C8" w14:textId="5A381CF9"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Western Australia’s annual average monthly hours worked in all jobs rose 3.</w:t>
      </w:r>
      <w:r w:rsidR="00D70466" w:rsidRPr="00DC4955">
        <w:rPr>
          <w:color w:val="000000" w:themeColor="text1"/>
          <w:sz w:val="16"/>
          <w:szCs w:val="16"/>
        </w:rPr>
        <w:t>8</w:t>
      </w:r>
      <w:r w:rsidRPr="00DC4955">
        <w:rPr>
          <w:color w:val="000000" w:themeColor="text1"/>
          <w:sz w:val="16"/>
          <w:szCs w:val="16"/>
        </w:rPr>
        <w:t xml:space="preserve">% to </w:t>
      </w:r>
      <w:r w:rsidR="00D70466" w:rsidRPr="00DC4955">
        <w:rPr>
          <w:color w:val="000000" w:themeColor="text1"/>
          <w:sz w:val="16"/>
          <w:szCs w:val="16"/>
        </w:rPr>
        <w:t>231.1</w:t>
      </w:r>
      <w:r w:rsidRPr="00DC4955">
        <w:rPr>
          <w:color w:val="000000" w:themeColor="text1"/>
          <w:sz w:val="16"/>
          <w:szCs w:val="16"/>
        </w:rPr>
        <w:t xml:space="preserve"> million hours in </w:t>
      </w:r>
      <w:r w:rsidR="00D70466" w:rsidRPr="00DC4955">
        <w:rPr>
          <w:color w:val="000000" w:themeColor="text1"/>
          <w:sz w:val="16"/>
          <w:szCs w:val="16"/>
        </w:rPr>
        <w:t>May</w:t>
      </w:r>
      <w:r w:rsidRPr="00DC4955">
        <w:rPr>
          <w:color w:val="000000" w:themeColor="text1"/>
          <w:sz w:val="16"/>
          <w:szCs w:val="16"/>
        </w:rPr>
        <w:t> 2025.</w:t>
      </w:r>
    </w:p>
    <w:bookmarkEnd w:id="16"/>
    <w:p w14:paraId="77D8BAED" w14:textId="30A4841D"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With growth in hours worked outpacing growth in employment, there was a </w:t>
      </w:r>
      <w:r w:rsidR="00F14A28" w:rsidRPr="00DC4955">
        <w:rPr>
          <w:color w:val="000000" w:themeColor="text1"/>
          <w:sz w:val="16"/>
          <w:szCs w:val="16"/>
        </w:rPr>
        <w:t xml:space="preserve">0.5% </w:t>
      </w:r>
      <w:r w:rsidRPr="00DC4955">
        <w:rPr>
          <w:color w:val="000000" w:themeColor="text1"/>
          <w:sz w:val="16"/>
          <w:szCs w:val="16"/>
        </w:rPr>
        <w:t xml:space="preserve">increase in the annual average of hours worked per employed person (per month) in </w:t>
      </w:r>
      <w:r w:rsidR="00F14A28" w:rsidRPr="00DC4955">
        <w:rPr>
          <w:color w:val="000000" w:themeColor="text1"/>
          <w:sz w:val="16"/>
          <w:szCs w:val="16"/>
        </w:rPr>
        <w:t>May</w:t>
      </w:r>
      <w:r w:rsidRPr="00DC4955">
        <w:rPr>
          <w:color w:val="000000" w:themeColor="text1"/>
          <w:sz w:val="16"/>
          <w:szCs w:val="16"/>
        </w:rPr>
        <w:t> 2025 to 14</w:t>
      </w:r>
      <w:r w:rsidR="00F14A28" w:rsidRPr="00DC4955">
        <w:rPr>
          <w:color w:val="000000" w:themeColor="text1"/>
          <w:sz w:val="16"/>
          <w:szCs w:val="16"/>
        </w:rPr>
        <w:t>1.1</w:t>
      </w:r>
      <w:r w:rsidRPr="00DC4955">
        <w:rPr>
          <w:color w:val="000000" w:themeColor="text1"/>
          <w:sz w:val="16"/>
          <w:szCs w:val="16"/>
        </w:rPr>
        <w:t> hours.</w:t>
      </w:r>
    </w:p>
    <w:p w14:paraId="508817DF" w14:textId="77777777" w:rsidR="00233755" w:rsidRPr="00433FA4" w:rsidRDefault="00233755" w:rsidP="00233755">
      <w:pPr>
        <w:pStyle w:val="ListParagraph"/>
        <w:numPr>
          <w:ilvl w:val="0"/>
          <w:numId w:val="33"/>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519EABEB" w:rsidR="00233755" w:rsidRPr="00433FA4" w:rsidRDefault="00233755" w:rsidP="00233755">
      <w:pPr>
        <w:pStyle w:val="Heading4"/>
        <w:rPr>
          <w:i w:val="0"/>
          <w:iCs w:val="0"/>
          <w:sz w:val="20"/>
          <w:szCs w:val="20"/>
        </w:rPr>
        <w:sectPr w:rsidR="00233755" w:rsidRPr="00433FA4" w:rsidSect="00233755">
          <w:type w:val="continuous"/>
          <w:pgSz w:w="11907" w:h="16840" w:code="9"/>
          <w:pgMar w:top="1701" w:right="425" w:bottom="567" w:left="567" w:header="709" w:footer="709" w:gutter="0"/>
          <w:cols w:space="720"/>
          <w:docGrid w:linePitch="360"/>
        </w:sectPr>
      </w:pPr>
      <w:r w:rsidRPr="00242D2D">
        <w:rPr>
          <w:i w:val="0"/>
          <w:iCs w:val="0"/>
          <w:color w:val="92278F" w:themeColor="accent1"/>
          <w:sz w:val="20"/>
          <w:szCs w:val="20"/>
        </w:rPr>
        <w:t xml:space="preserve">Employment by industry (change): </w:t>
      </w:r>
      <w:r w:rsidR="003E3097" w:rsidRPr="00DC4955">
        <w:rPr>
          <w:i w:val="0"/>
          <w:iCs w:val="0"/>
          <w:color w:val="92278F" w:themeColor="accent1"/>
          <w:sz w:val="20"/>
          <w:szCs w:val="20"/>
        </w:rPr>
        <w:t>June</w:t>
      </w:r>
      <w:r w:rsidRPr="00DC4955">
        <w:rPr>
          <w:i w:val="0"/>
          <w:iCs w:val="0"/>
          <w:color w:val="92278F" w:themeColor="accent1"/>
          <w:sz w:val="20"/>
          <w:szCs w:val="20"/>
        </w:rPr>
        <w:t xml:space="preserve"> </w:t>
      </w:r>
      <w:r w:rsidRPr="003E33BA">
        <w:rPr>
          <w:i w:val="0"/>
          <w:iCs w:val="0"/>
          <w:color w:val="92278F" w:themeColor="accent1"/>
          <w:sz w:val="20"/>
          <w:szCs w:val="20"/>
        </w:rPr>
        <w:t>quarter 2025</w:t>
      </w:r>
    </w:p>
    <w:p w14:paraId="395E9809" w14:textId="44C76826" w:rsidR="00233755" w:rsidRPr="007B1AE5" w:rsidRDefault="003E3097" w:rsidP="00233755">
      <w:r>
        <w:rPr>
          <w:noProof/>
        </w:rPr>
        <w:drawing>
          <wp:inline distT="0" distB="0" distL="0" distR="0" wp14:anchorId="30F340D7" wp14:editId="1EBCABDE">
            <wp:extent cx="3429635" cy="2120001"/>
            <wp:effectExtent l="0" t="0" r="0" b="0"/>
            <wp:docPr id="30093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635" cy="2120001"/>
                    </a:xfrm>
                    <a:prstGeom prst="rect">
                      <a:avLst/>
                    </a:prstGeom>
                    <a:noFill/>
                    <a:ln>
                      <a:noFill/>
                    </a:ln>
                  </pic:spPr>
                </pic:pic>
              </a:graphicData>
            </a:graphic>
          </wp:inline>
        </w:drawing>
      </w:r>
    </w:p>
    <w:p w14:paraId="7CFB675C"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5DFC2326" w14:textId="77777777" w:rsidR="003E3097" w:rsidRPr="00DC4955" w:rsidRDefault="00233755" w:rsidP="003E3097">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3E3097" w:rsidRPr="00DC4955">
        <w:rPr>
          <w:color w:val="000000" w:themeColor="text1"/>
          <w:sz w:val="16"/>
          <w:szCs w:val="16"/>
        </w:rPr>
        <w:t>Public administration and safety had the largest rise in average employment in Western Australia, rising by 14,623 between the four quarters to June 2024 and June 2025. Administration and support services (up 8,411) and mining (up 8,385) also had large increases in average employment over the same period.</w:t>
      </w:r>
    </w:p>
    <w:p w14:paraId="2CDD5BAC" w14:textId="6D859FEB" w:rsidR="003E3097" w:rsidRPr="00DC4955" w:rsidRDefault="003E3097" w:rsidP="003E3097">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Wholesale trade had the largest fall in average employment in Western Australia, falling by 9,251 between the four quarters to June 2024 and June 2025, followed by other services (down 4,808) and health care and social assistance (down 3,6</w:t>
      </w:r>
      <w:r w:rsidR="008C7B5A" w:rsidRPr="00DC4955">
        <w:rPr>
          <w:color w:val="000000" w:themeColor="text1"/>
          <w:sz w:val="16"/>
          <w:szCs w:val="16"/>
        </w:rPr>
        <w:t>4</w:t>
      </w:r>
      <w:r w:rsidRPr="00DC4955">
        <w:rPr>
          <w:color w:val="000000" w:themeColor="text1"/>
          <w:sz w:val="16"/>
          <w:szCs w:val="16"/>
        </w:rPr>
        <w:t>6).</w:t>
      </w:r>
    </w:p>
    <w:p w14:paraId="79D5A81A" w14:textId="43129A6B" w:rsidR="00233755" w:rsidRPr="00845A8D" w:rsidRDefault="00233755" w:rsidP="003E3097">
      <w:pPr>
        <w:pStyle w:val="ListParagraph"/>
        <w:numPr>
          <w:ilvl w:val="0"/>
          <w:numId w:val="31"/>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E6358C">
        <w:rPr>
          <w:i w:val="0"/>
          <w:iCs w:val="0"/>
          <w:color w:val="92278F" w:themeColor="accent1"/>
          <w:sz w:val="20"/>
          <w:szCs w:val="20"/>
        </w:rPr>
        <w:t>Participation rat</w:t>
      </w:r>
      <w:r w:rsidRPr="008934CB">
        <w:rPr>
          <w:i w:val="0"/>
          <w:iCs w:val="0"/>
          <w:color w:val="92278F" w:themeColor="accent1"/>
          <w:sz w:val="20"/>
          <w:szCs w:val="20"/>
        </w:rPr>
        <w:t>e</w:t>
      </w:r>
    </w:p>
    <w:p w14:paraId="30C652E1" w14:textId="10F420AB" w:rsidR="00233755" w:rsidRPr="007B1AE5" w:rsidRDefault="008A7F0E" w:rsidP="00233755">
      <w:pPr>
        <w:rPr>
          <w:rFonts w:eastAsiaTheme="majorEastAsia"/>
        </w:rPr>
      </w:pPr>
      <w:r>
        <w:rPr>
          <w:rFonts w:eastAsiaTheme="majorEastAsia"/>
          <w:noProof/>
        </w:rPr>
        <w:drawing>
          <wp:inline distT="0" distB="0" distL="0" distR="0" wp14:anchorId="318F4611" wp14:editId="64012036">
            <wp:extent cx="3380975" cy="2028585"/>
            <wp:effectExtent l="0" t="0" r="0" b="0"/>
            <wp:docPr id="589737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2509" cy="2035505"/>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57841E86"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DC4955">
        <w:rPr>
          <w:color w:val="000000" w:themeColor="text1"/>
          <w:sz w:val="16"/>
          <w:szCs w:val="16"/>
        </w:rPr>
        <w:t>Western Australia’s participation rate was 69.</w:t>
      </w:r>
      <w:r w:rsidR="008A7F0E" w:rsidRPr="00DC4955">
        <w:rPr>
          <w:color w:val="000000" w:themeColor="text1"/>
          <w:sz w:val="16"/>
          <w:szCs w:val="16"/>
        </w:rPr>
        <w:t>5%</w:t>
      </w:r>
      <w:r w:rsidRPr="00DC4955">
        <w:rPr>
          <w:color w:val="000000" w:themeColor="text1"/>
          <w:sz w:val="16"/>
          <w:szCs w:val="16"/>
        </w:rPr>
        <w:t xml:space="preserve"> in </w:t>
      </w:r>
      <w:r w:rsidR="008A7F0E" w:rsidRPr="00DC4955">
        <w:rPr>
          <w:color w:val="000000" w:themeColor="text1"/>
          <w:sz w:val="16"/>
          <w:szCs w:val="16"/>
        </w:rPr>
        <w:t>May</w:t>
      </w:r>
      <w:r w:rsidRPr="00DC4955">
        <w:rPr>
          <w:color w:val="000000" w:themeColor="text1"/>
          <w:sz w:val="16"/>
          <w:szCs w:val="16"/>
        </w:rPr>
        <w:t> 2025, up from 6</w:t>
      </w:r>
      <w:r w:rsidR="008A7F0E" w:rsidRPr="00DC4955">
        <w:rPr>
          <w:color w:val="000000" w:themeColor="text1"/>
          <w:sz w:val="16"/>
          <w:szCs w:val="16"/>
        </w:rPr>
        <w:t>9.1</w:t>
      </w:r>
      <w:r w:rsidRPr="00DC4955">
        <w:rPr>
          <w:color w:val="000000" w:themeColor="text1"/>
          <w:sz w:val="16"/>
          <w:szCs w:val="16"/>
        </w:rPr>
        <w:t xml:space="preserve">% in </w:t>
      </w:r>
      <w:r w:rsidR="008A7F0E" w:rsidRPr="00DC4955">
        <w:rPr>
          <w:color w:val="000000" w:themeColor="text1"/>
          <w:sz w:val="16"/>
          <w:szCs w:val="16"/>
        </w:rPr>
        <w:t>April</w:t>
      </w:r>
      <w:r w:rsidRPr="00DC4955">
        <w:rPr>
          <w:color w:val="000000" w:themeColor="text1"/>
          <w:sz w:val="16"/>
          <w:szCs w:val="16"/>
        </w:rPr>
        <w:t> 2025.</w:t>
      </w:r>
    </w:p>
    <w:p w14:paraId="5726BB4C" w14:textId="71D85516"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Australia’s participation rate was 67.</w:t>
      </w:r>
      <w:r w:rsidR="008A7F0E" w:rsidRPr="00DC4955">
        <w:rPr>
          <w:color w:val="000000" w:themeColor="text1"/>
          <w:sz w:val="16"/>
          <w:szCs w:val="16"/>
        </w:rPr>
        <w:t>0</w:t>
      </w:r>
      <w:r w:rsidRPr="00DC4955">
        <w:rPr>
          <w:color w:val="000000" w:themeColor="text1"/>
          <w:sz w:val="16"/>
          <w:szCs w:val="16"/>
        </w:rPr>
        <w:t xml:space="preserve">% in </w:t>
      </w:r>
      <w:r w:rsidR="008A7F0E" w:rsidRPr="00DC4955">
        <w:rPr>
          <w:color w:val="000000" w:themeColor="text1"/>
          <w:sz w:val="16"/>
          <w:szCs w:val="16"/>
        </w:rPr>
        <w:t>May</w:t>
      </w:r>
      <w:r w:rsidRPr="00DC4955">
        <w:rPr>
          <w:color w:val="000000" w:themeColor="text1"/>
          <w:sz w:val="16"/>
          <w:szCs w:val="16"/>
        </w:rPr>
        <w:t xml:space="preserve"> 2025, </w:t>
      </w:r>
      <w:r w:rsidR="008A7F0E" w:rsidRPr="00DC4955">
        <w:rPr>
          <w:color w:val="000000" w:themeColor="text1"/>
          <w:sz w:val="16"/>
          <w:szCs w:val="16"/>
        </w:rPr>
        <w:t>down</w:t>
      </w:r>
      <w:r w:rsidRPr="00DC4955">
        <w:rPr>
          <w:color w:val="000000" w:themeColor="text1"/>
          <w:sz w:val="16"/>
          <w:szCs w:val="16"/>
        </w:rPr>
        <w:t xml:space="preserve"> </w:t>
      </w:r>
      <w:r w:rsidR="008A7F0E" w:rsidRPr="00DC4955">
        <w:rPr>
          <w:color w:val="000000" w:themeColor="text1"/>
          <w:sz w:val="16"/>
          <w:szCs w:val="16"/>
        </w:rPr>
        <w:t xml:space="preserve">slightly </w:t>
      </w:r>
      <w:r w:rsidRPr="00DC4955">
        <w:rPr>
          <w:color w:val="000000" w:themeColor="text1"/>
          <w:sz w:val="16"/>
          <w:szCs w:val="16"/>
        </w:rPr>
        <w:t>from 6</w:t>
      </w:r>
      <w:r w:rsidR="008A7F0E" w:rsidRPr="00DC4955">
        <w:rPr>
          <w:color w:val="000000" w:themeColor="text1"/>
          <w:sz w:val="16"/>
          <w:szCs w:val="16"/>
        </w:rPr>
        <w:t>7.1</w:t>
      </w:r>
      <w:r w:rsidRPr="00DC4955">
        <w:rPr>
          <w:color w:val="000000" w:themeColor="text1"/>
          <w:sz w:val="16"/>
          <w:szCs w:val="16"/>
        </w:rPr>
        <w:t xml:space="preserve">% in </w:t>
      </w:r>
      <w:r w:rsidR="008A7F0E" w:rsidRPr="00DC4955">
        <w:rPr>
          <w:color w:val="000000" w:themeColor="text1"/>
          <w:sz w:val="16"/>
          <w:szCs w:val="16"/>
        </w:rPr>
        <w:t>April</w:t>
      </w:r>
      <w:r w:rsidRPr="00DC4955">
        <w:rPr>
          <w:color w:val="000000" w:themeColor="text1"/>
          <w:sz w:val="16"/>
          <w:szCs w:val="16"/>
        </w:rPr>
        <w:t> 2025.</w:t>
      </w:r>
    </w:p>
    <w:p w14:paraId="03EC2BA1" w14:textId="77777777"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Western Australia’s participation rate has consistently been higher than Australia’s participation rate. The largest recorded difference was in October 2012 at 4.5 percentage points.</w:t>
      </w:r>
    </w:p>
    <w:p w14:paraId="16526AE0" w14:textId="50577628" w:rsidR="00233755" w:rsidRPr="00DC4955" w:rsidRDefault="008714BB"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The WA Government State Budget 2025</w:t>
      </w:r>
      <w:r w:rsidRPr="00DC4955">
        <w:rPr>
          <w:color w:val="000000" w:themeColor="text1"/>
          <w:sz w:val="16"/>
          <w:szCs w:val="16"/>
        </w:rPr>
        <w:noBreakHyphen/>
        <w:t xml:space="preserve">26 </w:t>
      </w:r>
      <w:r w:rsidR="00233755" w:rsidRPr="00DC4955">
        <w:rPr>
          <w:color w:val="000000" w:themeColor="text1"/>
          <w:sz w:val="16"/>
          <w:szCs w:val="16"/>
        </w:rPr>
        <w:t>forecasts Western Australia’s participation rate will average 69.0% in 2024</w:t>
      </w:r>
      <w:r w:rsidR="00233755" w:rsidRPr="00DC4955">
        <w:rPr>
          <w:color w:val="000000" w:themeColor="text1"/>
          <w:sz w:val="16"/>
          <w:szCs w:val="16"/>
        </w:rPr>
        <w:noBreakHyphen/>
        <w:t>25 and 68.9% in 2025</w:t>
      </w:r>
      <w:r w:rsidR="00233755" w:rsidRPr="00DC4955">
        <w:rPr>
          <w:color w:val="000000" w:themeColor="text1"/>
          <w:sz w:val="16"/>
          <w:szCs w:val="16"/>
        </w:rPr>
        <w:noBreakHyphen/>
        <w:t>26.</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17" w:name="_Labour_market_–_1"/>
      <w:bookmarkEnd w:id="17"/>
      <w:r w:rsidRPr="00B820B4">
        <w:rPr>
          <w:color w:val="002060"/>
          <w:sz w:val="24"/>
          <w:szCs w:val="24"/>
        </w:rPr>
        <w:lastRenderedPageBreak/>
        <w:t>Labour market – spare capacity and vacancies</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C6D8F5F"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5221F7AB" w14:textId="72EAC322" w:rsidR="00233755" w:rsidRPr="001B482D" w:rsidRDefault="008A7F0E" w:rsidP="00233755">
      <w:r>
        <w:rPr>
          <w:noProof/>
        </w:rPr>
        <w:drawing>
          <wp:inline distT="0" distB="0" distL="0" distR="0" wp14:anchorId="3A9E33AD" wp14:editId="3D65AE27">
            <wp:extent cx="3334870" cy="2000922"/>
            <wp:effectExtent l="0" t="0" r="0" b="0"/>
            <wp:docPr id="915793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96" cy="2011737"/>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40DF6A6C"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FF2DC3">
        <w:rPr>
          <w:color w:val="FF0000"/>
        </w:rPr>
        <w:br w:type="column"/>
      </w:r>
      <w:r w:rsidRPr="00DC4955">
        <w:rPr>
          <w:color w:val="000000" w:themeColor="text1"/>
          <w:sz w:val="16"/>
          <w:szCs w:val="16"/>
        </w:rPr>
        <w:t xml:space="preserve">Western Australia’s underutilisation rate, which is the sum of the unemployment and underemployment rates, remained unchanged at 9.4% in </w:t>
      </w:r>
      <w:r w:rsidR="008A7F0E" w:rsidRPr="00DC4955">
        <w:rPr>
          <w:color w:val="000000" w:themeColor="text1"/>
          <w:sz w:val="16"/>
          <w:szCs w:val="16"/>
        </w:rPr>
        <w:t>May</w:t>
      </w:r>
      <w:r w:rsidRPr="00DC4955">
        <w:rPr>
          <w:color w:val="000000" w:themeColor="text1"/>
          <w:sz w:val="16"/>
          <w:szCs w:val="16"/>
        </w:rPr>
        <w:t> 2025.</w:t>
      </w:r>
    </w:p>
    <w:p w14:paraId="0BDD7BF7" w14:textId="1E0BA4DF"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The unemployment and underemployment rates for Western Australia in </w:t>
      </w:r>
      <w:r w:rsidR="008A7F0E" w:rsidRPr="00DC4955">
        <w:rPr>
          <w:color w:val="000000" w:themeColor="text1"/>
          <w:sz w:val="16"/>
          <w:szCs w:val="16"/>
        </w:rPr>
        <w:t>May</w:t>
      </w:r>
      <w:r w:rsidRPr="00DC4955">
        <w:rPr>
          <w:color w:val="000000" w:themeColor="text1"/>
          <w:sz w:val="16"/>
          <w:szCs w:val="16"/>
        </w:rPr>
        <w:t> 2025 moved in opposite directions from the previous month:</w:t>
      </w:r>
    </w:p>
    <w:p w14:paraId="4AE9714C" w14:textId="1FB395C9"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unemployment rate was </w:t>
      </w:r>
      <w:r w:rsidR="008A7F0E" w:rsidRPr="00DC4955">
        <w:rPr>
          <w:color w:val="000000" w:themeColor="text1"/>
          <w:sz w:val="16"/>
          <w:szCs w:val="16"/>
        </w:rPr>
        <w:t xml:space="preserve">3.9% </w:t>
      </w:r>
      <w:r w:rsidRPr="00DC4955">
        <w:rPr>
          <w:color w:val="000000" w:themeColor="text1"/>
          <w:sz w:val="16"/>
          <w:szCs w:val="16"/>
        </w:rPr>
        <w:t xml:space="preserve">in </w:t>
      </w:r>
      <w:r w:rsidR="008A7F0E" w:rsidRPr="00DC4955">
        <w:rPr>
          <w:color w:val="000000" w:themeColor="text1"/>
          <w:sz w:val="16"/>
          <w:szCs w:val="16"/>
        </w:rPr>
        <w:t>May</w:t>
      </w:r>
      <w:r w:rsidRPr="00DC4955">
        <w:rPr>
          <w:color w:val="000000" w:themeColor="text1"/>
          <w:sz w:val="16"/>
          <w:szCs w:val="16"/>
        </w:rPr>
        <w:t xml:space="preserve"> 2025, </w:t>
      </w:r>
      <w:r w:rsidR="008A7F0E" w:rsidRPr="00DC4955">
        <w:rPr>
          <w:color w:val="000000" w:themeColor="text1"/>
          <w:sz w:val="16"/>
          <w:szCs w:val="16"/>
        </w:rPr>
        <w:t>down</w:t>
      </w:r>
      <w:r w:rsidRPr="00DC4955">
        <w:rPr>
          <w:color w:val="000000" w:themeColor="text1"/>
          <w:sz w:val="16"/>
          <w:szCs w:val="16"/>
        </w:rPr>
        <w:t xml:space="preserve"> from </w:t>
      </w:r>
      <w:r w:rsidR="008A7F0E" w:rsidRPr="00DC4955">
        <w:rPr>
          <w:color w:val="000000" w:themeColor="text1"/>
          <w:sz w:val="16"/>
          <w:szCs w:val="16"/>
        </w:rPr>
        <w:t>4.1</w:t>
      </w:r>
      <w:r w:rsidRPr="00DC4955">
        <w:rPr>
          <w:color w:val="000000" w:themeColor="text1"/>
          <w:sz w:val="16"/>
          <w:szCs w:val="16"/>
        </w:rPr>
        <w:t xml:space="preserve">% in </w:t>
      </w:r>
      <w:r w:rsidR="008A7F0E" w:rsidRPr="00DC4955">
        <w:rPr>
          <w:color w:val="000000" w:themeColor="text1"/>
          <w:sz w:val="16"/>
          <w:szCs w:val="16"/>
        </w:rPr>
        <w:t>April</w:t>
      </w:r>
      <w:r w:rsidRPr="00DC4955">
        <w:rPr>
          <w:color w:val="000000" w:themeColor="text1"/>
          <w:sz w:val="16"/>
          <w:szCs w:val="16"/>
        </w:rPr>
        <w:t> 2025</w:t>
      </w:r>
    </w:p>
    <w:p w14:paraId="78AC3DC8" w14:textId="749D72C9"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The underemployment rate was 5.</w:t>
      </w:r>
      <w:r w:rsidR="008A7F0E" w:rsidRPr="00DC4955">
        <w:rPr>
          <w:color w:val="000000" w:themeColor="text1"/>
          <w:sz w:val="16"/>
          <w:szCs w:val="16"/>
        </w:rPr>
        <w:t>5</w:t>
      </w:r>
      <w:r w:rsidRPr="00DC4955">
        <w:rPr>
          <w:color w:val="000000" w:themeColor="text1"/>
          <w:sz w:val="16"/>
          <w:szCs w:val="16"/>
        </w:rPr>
        <w:t xml:space="preserve">% in March 2025, </w:t>
      </w:r>
      <w:r w:rsidR="008A7F0E" w:rsidRPr="00DC4955">
        <w:rPr>
          <w:color w:val="000000" w:themeColor="text1"/>
          <w:sz w:val="16"/>
          <w:szCs w:val="16"/>
        </w:rPr>
        <w:t>up</w:t>
      </w:r>
      <w:r w:rsidRPr="00DC4955">
        <w:rPr>
          <w:color w:val="000000" w:themeColor="text1"/>
          <w:sz w:val="16"/>
          <w:szCs w:val="16"/>
        </w:rPr>
        <w:t xml:space="preserve"> from 5.</w:t>
      </w:r>
      <w:r w:rsidR="008A7F0E" w:rsidRPr="00DC4955">
        <w:rPr>
          <w:color w:val="000000" w:themeColor="text1"/>
          <w:sz w:val="16"/>
          <w:szCs w:val="16"/>
        </w:rPr>
        <w:t>2</w:t>
      </w:r>
      <w:r w:rsidRPr="00DC4955">
        <w:rPr>
          <w:color w:val="000000" w:themeColor="text1"/>
          <w:sz w:val="16"/>
          <w:szCs w:val="16"/>
        </w:rPr>
        <w:t xml:space="preserve">% in </w:t>
      </w:r>
      <w:r w:rsidR="008A7F0E" w:rsidRPr="00DC4955">
        <w:rPr>
          <w:color w:val="000000" w:themeColor="text1"/>
          <w:sz w:val="16"/>
          <w:szCs w:val="16"/>
        </w:rPr>
        <w:t>April</w:t>
      </w:r>
      <w:r w:rsidRPr="00DC4955">
        <w:rPr>
          <w:color w:val="000000" w:themeColor="text1"/>
          <w:sz w:val="16"/>
          <w:szCs w:val="16"/>
        </w:rPr>
        <w:t> 2025.</w:t>
      </w:r>
    </w:p>
    <w:p w14:paraId="02CB254F" w14:textId="77777777" w:rsidR="00233755" w:rsidRPr="00670164" w:rsidRDefault="00233755" w:rsidP="00233755">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 6.9% in October 2008, when the unemployment rate was 2.3% and the underemployment rate was 4.6%.</w:t>
      </w:r>
    </w:p>
    <w:p w14:paraId="466300B8" w14:textId="77777777" w:rsidR="00233755" w:rsidRPr="00670164" w:rsidRDefault="00233755" w:rsidP="00233755">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 20.2% in April 2020 during the initial stages of the COVID</w:t>
      </w:r>
      <w:r w:rsidRPr="00670164">
        <w:rPr>
          <w:sz w:val="16"/>
          <w:szCs w:val="16"/>
        </w:rPr>
        <w:noBreakHyphen/>
        <w:t>19 pandemic, when the unemployment rate was 6.1% and the underemployment rate was 14.1%.</w:t>
      </w:r>
    </w:p>
    <w:p w14:paraId="5F1F7573" w14:textId="77777777" w:rsidR="00233755" w:rsidRPr="008842C9" w:rsidRDefault="00233755" w:rsidP="00233755">
      <w:pPr>
        <w:pStyle w:val="ListParagraph"/>
        <w:numPr>
          <w:ilvl w:val="0"/>
          <w:numId w:val="31"/>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4E9AF1E"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Internet vacancies by occupation group</w:t>
      </w:r>
    </w:p>
    <w:p w14:paraId="23EFF2C8" w14:textId="49FE2FD1" w:rsidR="00233755" w:rsidRPr="007B1AE5" w:rsidRDefault="008A7F0E" w:rsidP="00233755">
      <w:r>
        <w:rPr>
          <w:noProof/>
        </w:rPr>
        <w:drawing>
          <wp:inline distT="0" distB="0" distL="0" distR="0" wp14:anchorId="4EDD8937" wp14:editId="4FD90CF4">
            <wp:extent cx="3380975" cy="2028585"/>
            <wp:effectExtent l="0" t="0" r="0" b="0"/>
            <wp:docPr id="403629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8048" cy="2032829"/>
                    </a:xfrm>
                    <a:prstGeom prst="rect">
                      <a:avLst/>
                    </a:prstGeom>
                    <a:noFill/>
                    <a:ln>
                      <a:noFill/>
                    </a:ln>
                  </pic:spPr>
                </pic:pic>
              </a:graphicData>
            </a:graphic>
          </wp:inline>
        </w:drawing>
      </w:r>
    </w:p>
    <w:p w14:paraId="4741B72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3F1D0EFE" w14:textId="77777777" w:rsidR="00233755" w:rsidRPr="00AF759E" w:rsidRDefault="00233755" w:rsidP="00233755">
      <w:pPr>
        <w:jc w:val="both"/>
        <w:rPr>
          <w:sz w:val="10"/>
          <w:szCs w:val="10"/>
        </w:rPr>
      </w:pPr>
      <w:r w:rsidRPr="00AF759E">
        <w:rPr>
          <w:sz w:val="10"/>
          <w:szCs w:val="10"/>
        </w:rPr>
        <w:t>Source: Jobs and Skills Australia</w:t>
      </w:r>
      <w:r>
        <w:rPr>
          <w:sz w:val="10"/>
          <w:szCs w:val="10"/>
        </w:rPr>
        <w:t>.</w:t>
      </w:r>
    </w:p>
    <w:p w14:paraId="58D4F15A" w14:textId="77777777" w:rsidR="00233755" w:rsidRPr="003E33BA"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3A69F5">
        <w:rPr>
          <w:sz w:val="16"/>
          <w:szCs w:val="16"/>
        </w:rPr>
        <w:t>Job vacancies in Western Australia fell significantly during the initial stages of the COVID</w:t>
      </w:r>
      <w:r w:rsidRPr="003A69F5">
        <w:rPr>
          <w:sz w:val="16"/>
          <w:szCs w:val="16"/>
        </w:rPr>
        <w:noBreakHyphen/>
        <w:t xml:space="preserve">19 pandemic but increased sharply as the economy recovered and some employers had difficulty filling vacancies in an environment of constrained labour supply. Job </w:t>
      </w:r>
      <w:r w:rsidRPr="003E33BA">
        <w:rPr>
          <w:sz w:val="16"/>
          <w:szCs w:val="16"/>
        </w:rPr>
        <w:t>vacancies are still above pre</w:t>
      </w:r>
      <w:r w:rsidRPr="003E33BA">
        <w:rPr>
          <w:sz w:val="16"/>
          <w:szCs w:val="16"/>
        </w:rPr>
        <w:noBreakHyphen/>
        <w:t>COVID</w:t>
      </w:r>
      <w:r w:rsidRPr="003E33BA">
        <w:rPr>
          <w:sz w:val="16"/>
          <w:szCs w:val="16"/>
        </w:rPr>
        <w:noBreakHyphen/>
        <w:t>19 levels but have fallen noticeably over the past two years.</w:t>
      </w:r>
    </w:p>
    <w:p w14:paraId="7C3BE3AE" w14:textId="38A279CC"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Western Australia had </w:t>
      </w:r>
      <w:r w:rsidR="00167E71" w:rsidRPr="00DC4955">
        <w:rPr>
          <w:color w:val="000000" w:themeColor="text1"/>
          <w:sz w:val="16"/>
          <w:szCs w:val="16"/>
        </w:rPr>
        <w:t>25,905</w:t>
      </w:r>
      <w:r w:rsidRPr="00DC4955">
        <w:rPr>
          <w:color w:val="000000" w:themeColor="text1"/>
          <w:sz w:val="16"/>
          <w:szCs w:val="16"/>
        </w:rPr>
        <w:t xml:space="preserve"> internet job advertisements in </w:t>
      </w:r>
      <w:r w:rsidR="00167E71" w:rsidRPr="00DC4955">
        <w:rPr>
          <w:color w:val="000000" w:themeColor="text1"/>
          <w:sz w:val="16"/>
          <w:szCs w:val="16"/>
        </w:rPr>
        <w:t>May</w:t>
      </w:r>
      <w:r w:rsidRPr="00DC4955">
        <w:rPr>
          <w:color w:val="000000" w:themeColor="text1"/>
          <w:sz w:val="16"/>
          <w:szCs w:val="16"/>
        </w:rPr>
        <w:t> 2025, 4.</w:t>
      </w:r>
      <w:r w:rsidR="00167E71" w:rsidRPr="00DC4955">
        <w:rPr>
          <w:color w:val="000000" w:themeColor="text1"/>
          <w:sz w:val="16"/>
          <w:szCs w:val="16"/>
        </w:rPr>
        <w:t>1</w:t>
      </w:r>
      <w:r w:rsidRPr="00DC4955">
        <w:rPr>
          <w:color w:val="000000" w:themeColor="text1"/>
          <w:sz w:val="16"/>
          <w:szCs w:val="16"/>
        </w:rPr>
        <w:t xml:space="preserve">% </w:t>
      </w:r>
      <w:r w:rsidR="00167E71" w:rsidRPr="00DC4955">
        <w:rPr>
          <w:color w:val="000000" w:themeColor="text1"/>
          <w:sz w:val="16"/>
          <w:szCs w:val="16"/>
        </w:rPr>
        <w:t>less</w:t>
      </w:r>
      <w:r w:rsidRPr="00DC4955">
        <w:rPr>
          <w:color w:val="000000" w:themeColor="text1"/>
          <w:sz w:val="16"/>
          <w:szCs w:val="16"/>
        </w:rPr>
        <w:t xml:space="preserve"> than the previous month </w:t>
      </w:r>
      <w:r w:rsidR="00167E71" w:rsidRPr="00DC4955">
        <w:rPr>
          <w:color w:val="000000" w:themeColor="text1"/>
          <w:sz w:val="16"/>
          <w:szCs w:val="16"/>
        </w:rPr>
        <w:t>and</w:t>
      </w:r>
      <w:r w:rsidRPr="00DC4955">
        <w:rPr>
          <w:color w:val="000000" w:themeColor="text1"/>
          <w:sz w:val="16"/>
          <w:szCs w:val="16"/>
        </w:rPr>
        <w:t xml:space="preserve"> </w:t>
      </w:r>
      <w:r w:rsidR="00167E71" w:rsidRPr="00DC4955">
        <w:rPr>
          <w:color w:val="000000" w:themeColor="text1"/>
          <w:sz w:val="16"/>
          <w:szCs w:val="16"/>
        </w:rPr>
        <w:t>12.9</w:t>
      </w:r>
      <w:r w:rsidRPr="00DC4955">
        <w:rPr>
          <w:color w:val="000000" w:themeColor="text1"/>
          <w:sz w:val="16"/>
          <w:szCs w:val="16"/>
        </w:rPr>
        <w:t>% less than one year ago.</w:t>
      </w:r>
    </w:p>
    <w:p w14:paraId="209A902F" w14:textId="5608F026"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In </w:t>
      </w:r>
      <w:r w:rsidR="00167E71" w:rsidRPr="00DC4955">
        <w:rPr>
          <w:color w:val="000000" w:themeColor="text1"/>
          <w:sz w:val="16"/>
          <w:szCs w:val="16"/>
        </w:rPr>
        <w:t>May</w:t>
      </w:r>
      <w:r w:rsidRPr="00DC4955">
        <w:rPr>
          <w:color w:val="000000" w:themeColor="text1"/>
          <w:sz w:val="16"/>
          <w:szCs w:val="16"/>
        </w:rPr>
        <w:t> 2025, there were 0.3</w:t>
      </w:r>
      <w:r w:rsidR="00167E71" w:rsidRPr="00DC4955">
        <w:rPr>
          <w:color w:val="000000" w:themeColor="text1"/>
          <w:sz w:val="16"/>
          <w:szCs w:val="16"/>
        </w:rPr>
        <w:t>8</w:t>
      </w:r>
      <w:r w:rsidRPr="00DC4955">
        <w:rPr>
          <w:color w:val="000000" w:themeColor="text1"/>
          <w:sz w:val="16"/>
          <w:szCs w:val="16"/>
        </w:rPr>
        <w:t xml:space="preserve"> internet job vacancies for every unemployed person in Western Australia. This ratio has declined from its peak of 0.68 in August 2022, although it remains much higher than its historical low of 0.09 in May 2020.</w:t>
      </w:r>
    </w:p>
    <w:p w14:paraId="649A2C38" w14:textId="6494D6CB"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Job vacancies in </w:t>
      </w:r>
      <w:r w:rsidR="008E0DBA" w:rsidRPr="00DC4955">
        <w:rPr>
          <w:color w:val="000000" w:themeColor="text1"/>
          <w:sz w:val="16"/>
          <w:szCs w:val="16"/>
        </w:rPr>
        <w:t>all occupation groups fell over the year to May 2025:</w:t>
      </w:r>
    </w:p>
    <w:p w14:paraId="099F55AF" w14:textId="47860182"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Managers and professionals fell </w:t>
      </w:r>
      <w:r w:rsidR="008E0DBA" w:rsidRPr="00DC4955">
        <w:rPr>
          <w:color w:val="000000" w:themeColor="text1"/>
          <w:sz w:val="16"/>
          <w:szCs w:val="16"/>
        </w:rPr>
        <w:t>14.6</w:t>
      </w:r>
      <w:r w:rsidRPr="00DC4955">
        <w:rPr>
          <w:color w:val="000000" w:themeColor="text1"/>
          <w:sz w:val="16"/>
          <w:szCs w:val="16"/>
        </w:rPr>
        <w:t>% to 9,</w:t>
      </w:r>
      <w:r w:rsidR="008E0DBA" w:rsidRPr="00DC4955">
        <w:rPr>
          <w:color w:val="000000" w:themeColor="text1"/>
          <w:sz w:val="16"/>
          <w:szCs w:val="16"/>
        </w:rPr>
        <w:t>302</w:t>
      </w:r>
    </w:p>
    <w:p w14:paraId="3F7E174F" w14:textId="7AF4A89F" w:rsidR="008E0DBA" w:rsidRPr="00DC4955" w:rsidRDefault="008E0DBA" w:rsidP="008E0DBA">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The other occupation group (which includes community and personal services; clerical and administrative; and sales) fell 15.5% to 7,350</w:t>
      </w:r>
    </w:p>
    <w:p w14:paraId="72668529" w14:textId="16F5D825" w:rsidR="00233755" w:rsidRPr="00DC4955" w:rsidRDefault="00233755" w:rsidP="00D0271B">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Technicians and trades fell </w:t>
      </w:r>
      <w:r w:rsidR="008E0DBA" w:rsidRPr="00DC4955">
        <w:rPr>
          <w:color w:val="000000" w:themeColor="text1"/>
          <w:sz w:val="16"/>
          <w:szCs w:val="16"/>
        </w:rPr>
        <w:t>11.5</w:t>
      </w:r>
      <w:r w:rsidRPr="00DC4955">
        <w:rPr>
          <w:color w:val="000000" w:themeColor="text1"/>
          <w:sz w:val="16"/>
          <w:szCs w:val="16"/>
        </w:rPr>
        <w:t>% to 5,</w:t>
      </w:r>
      <w:r w:rsidR="008E0DBA" w:rsidRPr="00DC4955">
        <w:rPr>
          <w:color w:val="000000" w:themeColor="text1"/>
          <w:sz w:val="16"/>
          <w:szCs w:val="16"/>
        </w:rPr>
        <w:t>281</w:t>
      </w:r>
    </w:p>
    <w:p w14:paraId="0654ED48" w14:textId="12FBD013" w:rsidR="008E0DBA" w:rsidRPr="00DC4955" w:rsidRDefault="008E0DBA" w:rsidP="008E0DBA">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Machinery operators, drivers and labourers fell 4.8% to 3,973.</w:t>
      </w:r>
    </w:p>
    <w:p w14:paraId="4EE210EF" w14:textId="77777777" w:rsidR="008E0DBA" w:rsidRPr="008E0DBA" w:rsidRDefault="008E0DBA" w:rsidP="008E0DBA">
      <w:pPr>
        <w:rPr>
          <w:sz w:val="16"/>
          <w:szCs w:val="16"/>
        </w:rPr>
        <w:sectPr w:rsidR="008E0DBA" w:rsidRPr="008E0DBA" w:rsidSect="00233755">
          <w:type w:val="continuous"/>
          <w:pgSz w:w="11907" w:h="16840" w:code="9"/>
          <w:pgMar w:top="1701" w:right="425" w:bottom="567" w:left="567" w:header="709" w:footer="709" w:gutter="0"/>
          <w:cols w:num="2" w:space="113"/>
          <w:docGrid w:linePitch="360"/>
        </w:sectPr>
      </w:pPr>
    </w:p>
    <w:p w14:paraId="51B0787D" w14:textId="12BE8725" w:rsidR="00233755" w:rsidRPr="003E33BA" w:rsidRDefault="00233755" w:rsidP="00233755">
      <w:pPr>
        <w:pStyle w:val="Heading4"/>
        <w:rPr>
          <w:i w:val="0"/>
          <w:iCs w:val="0"/>
          <w:color w:val="92278F" w:themeColor="accent1"/>
          <w:sz w:val="20"/>
          <w:szCs w:val="20"/>
        </w:rPr>
        <w:sectPr w:rsidR="00233755" w:rsidRPr="003E33BA" w:rsidSect="00233755">
          <w:type w:val="continuous"/>
          <w:pgSz w:w="11907" w:h="16840" w:code="9"/>
          <w:pgMar w:top="1701" w:right="425" w:bottom="567" w:left="567" w:header="709" w:footer="709" w:gutter="0"/>
          <w:cols w:space="720"/>
          <w:docGrid w:linePitch="360"/>
        </w:sectPr>
      </w:pPr>
      <w:r w:rsidRPr="003E33BA">
        <w:rPr>
          <w:i w:val="0"/>
          <w:iCs w:val="0"/>
          <w:color w:val="92278F" w:themeColor="accent1"/>
          <w:sz w:val="20"/>
          <w:szCs w:val="20"/>
        </w:rPr>
        <w:t>Unemployment</w:t>
      </w:r>
      <w:r w:rsidRPr="003E33BA">
        <w:rPr>
          <w:i w:val="0"/>
          <w:iCs w:val="0"/>
          <w:color w:val="92278F" w:themeColor="accent1"/>
          <w:sz w:val="20"/>
          <w:szCs w:val="20"/>
          <w:vertAlign w:val="superscript"/>
        </w:rPr>
        <w:t>1</w:t>
      </w:r>
      <w:r w:rsidRPr="003E33BA">
        <w:rPr>
          <w:i w:val="0"/>
          <w:iCs w:val="0"/>
          <w:color w:val="92278F" w:themeColor="accent1"/>
          <w:sz w:val="20"/>
          <w:szCs w:val="20"/>
        </w:rPr>
        <w:t xml:space="preserve"> to employment ratio by industry: </w:t>
      </w:r>
      <w:r w:rsidR="003E3097" w:rsidRPr="00DC4955">
        <w:rPr>
          <w:i w:val="0"/>
          <w:iCs w:val="0"/>
          <w:color w:val="92278F" w:themeColor="accent1"/>
          <w:sz w:val="20"/>
          <w:szCs w:val="20"/>
        </w:rPr>
        <w:t>June</w:t>
      </w:r>
      <w:r w:rsidRPr="00DC4955">
        <w:rPr>
          <w:i w:val="0"/>
          <w:iCs w:val="0"/>
          <w:color w:val="92278F" w:themeColor="accent1"/>
          <w:sz w:val="20"/>
          <w:szCs w:val="20"/>
        </w:rPr>
        <w:t xml:space="preserve"> </w:t>
      </w:r>
      <w:r w:rsidRPr="003E33BA">
        <w:rPr>
          <w:i w:val="0"/>
          <w:iCs w:val="0"/>
          <w:color w:val="92278F" w:themeColor="accent1"/>
          <w:sz w:val="20"/>
          <w:szCs w:val="20"/>
        </w:rPr>
        <w:t>quarter 2025</w:t>
      </w:r>
    </w:p>
    <w:p w14:paraId="7A0B412D" w14:textId="275A75DE" w:rsidR="00233755" w:rsidRPr="007B1AE5" w:rsidRDefault="009C1933" w:rsidP="00233755">
      <w:pPr>
        <w:rPr>
          <w:rFonts w:eastAsiaTheme="majorEastAsia"/>
        </w:rPr>
      </w:pPr>
      <w:r>
        <w:rPr>
          <w:rFonts w:eastAsiaTheme="majorEastAsia"/>
          <w:noProof/>
        </w:rPr>
        <w:drawing>
          <wp:inline distT="0" distB="0" distL="0" distR="0" wp14:anchorId="307AC5F8" wp14:editId="70D894E6">
            <wp:extent cx="3420000" cy="2052000"/>
            <wp:effectExtent l="0" t="0" r="9525" b="5715"/>
            <wp:docPr id="9295665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CD05F86" w14:textId="77777777"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persons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77777777" w:rsidR="00233755" w:rsidRPr="003E33BA"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3E33BA">
        <w:rPr>
          <w:sz w:val="16"/>
          <w:szCs w:val="16"/>
        </w:rPr>
        <w:t>The number of unemployed persons by industry of last job indicates the size of the potential pool of additional workers available for each industry. Given the largest employing industries tend to have the largest number of unemployed people who last worked in that industry, the ratio of unemployed to employed persons provides a better basis to compare industries.</w:t>
      </w:r>
      <w:bookmarkStart w:id="18" w:name="_Hlk175827894"/>
    </w:p>
    <w:p w14:paraId="6DC8C819" w14:textId="6EBEF773"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industries with the highest average unemployment to employment ratios in the four quarters to </w:t>
      </w:r>
      <w:r w:rsidR="00E64AD7" w:rsidRPr="00DC4955">
        <w:rPr>
          <w:color w:val="000000" w:themeColor="text1"/>
          <w:sz w:val="16"/>
          <w:szCs w:val="16"/>
        </w:rPr>
        <w:t>June</w:t>
      </w:r>
      <w:r w:rsidR="009C1933" w:rsidRPr="00DC4955">
        <w:rPr>
          <w:color w:val="000000" w:themeColor="text1"/>
          <w:sz w:val="16"/>
          <w:szCs w:val="16"/>
        </w:rPr>
        <w:t> </w:t>
      </w:r>
      <w:r w:rsidRPr="00DC4955">
        <w:rPr>
          <w:color w:val="000000" w:themeColor="text1"/>
          <w:sz w:val="16"/>
          <w:szCs w:val="16"/>
        </w:rPr>
        <w:t>2025 were:</w:t>
      </w:r>
    </w:p>
    <w:p w14:paraId="4AB169DE" w14:textId="1534853C"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accommodation and food services (0.052)</w:t>
      </w:r>
    </w:p>
    <w:p w14:paraId="133758C5" w14:textId="7234058C"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arts and recreation services (0.0</w:t>
      </w:r>
      <w:r w:rsidR="00E64AD7" w:rsidRPr="00DC4955">
        <w:rPr>
          <w:color w:val="000000" w:themeColor="text1"/>
          <w:sz w:val="16"/>
          <w:szCs w:val="16"/>
        </w:rPr>
        <w:t>46</w:t>
      </w:r>
      <w:r w:rsidRPr="00DC4955">
        <w:rPr>
          <w:color w:val="000000" w:themeColor="text1"/>
          <w:sz w:val="16"/>
          <w:szCs w:val="16"/>
        </w:rPr>
        <w:t>)</w:t>
      </w:r>
    </w:p>
    <w:p w14:paraId="4D553F5A" w14:textId="04096C00"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retail trade (0.0</w:t>
      </w:r>
      <w:r w:rsidR="00E64AD7" w:rsidRPr="00DC4955">
        <w:rPr>
          <w:color w:val="000000" w:themeColor="text1"/>
          <w:sz w:val="16"/>
          <w:szCs w:val="16"/>
        </w:rPr>
        <w:t>39</w:t>
      </w:r>
      <w:r w:rsidRPr="00DC4955">
        <w:rPr>
          <w:color w:val="000000" w:themeColor="text1"/>
          <w:sz w:val="16"/>
          <w:szCs w:val="16"/>
        </w:rPr>
        <w:t>).</w:t>
      </w:r>
    </w:p>
    <w:bookmarkEnd w:id="18"/>
    <w:p w14:paraId="5A6C4BF7" w14:textId="422E8A59"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industries with the lowest average unemployment to employment ratios in the four quarters to </w:t>
      </w:r>
      <w:r w:rsidR="00E64AD7" w:rsidRPr="00DC4955">
        <w:rPr>
          <w:color w:val="000000" w:themeColor="text1"/>
          <w:sz w:val="16"/>
          <w:szCs w:val="16"/>
        </w:rPr>
        <w:t>June</w:t>
      </w:r>
      <w:r w:rsidRPr="00DC4955">
        <w:rPr>
          <w:color w:val="000000" w:themeColor="text1"/>
          <w:sz w:val="16"/>
          <w:szCs w:val="16"/>
        </w:rPr>
        <w:t xml:space="preserve"> 2025 were:</w:t>
      </w:r>
    </w:p>
    <w:p w14:paraId="07AB2EA2" w14:textId="7071CAFF"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information media and telecommunications (0.007)</w:t>
      </w:r>
    </w:p>
    <w:p w14:paraId="4D289F8B" w14:textId="58858462"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public administration and safety (0.012)</w:t>
      </w:r>
    </w:p>
    <w:p w14:paraId="2A7D7528" w14:textId="1E7C7B29"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rental, hiring and real estate services (0.01</w:t>
      </w:r>
      <w:r w:rsidR="00E64AD7" w:rsidRPr="00DC4955">
        <w:rPr>
          <w:color w:val="000000" w:themeColor="text1"/>
          <w:sz w:val="16"/>
          <w:szCs w:val="16"/>
        </w:rPr>
        <w:t>2</w:t>
      </w:r>
      <w:r w:rsidRPr="00DC4955">
        <w:rPr>
          <w:color w:val="000000" w:themeColor="text1"/>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19" w:name="_Labour_market_–_2"/>
      <w:bookmarkEnd w:id="19"/>
      <w:r w:rsidRPr="00B820B4">
        <w:rPr>
          <w:color w:val="002060"/>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(change) and labour utilisation rate</w:t>
      </w:r>
    </w:p>
    <w:p w14:paraId="1D8C5DDA" w14:textId="77777777" w:rsidR="00233755" w:rsidRPr="007B1AE5" w:rsidRDefault="00233755" w:rsidP="00233755">
      <w:r>
        <w:rPr>
          <w:noProof/>
        </w:rPr>
        <w:drawing>
          <wp:inline distT="0" distB="0" distL="0" distR="0" wp14:anchorId="4FF765FB" wp14:editId="61103057">
            <wp:extent cx="3419856" cy="2103120"/>
            <wp:effectExtent l="0" t="0" r="9525" b="0"/>
            <wp:docPr id="51321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7888" cy="2114209"/>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prices. Original series. Year-on-year change in quarterly wage price index. 2008-09 = 100.0. Right vertical axis does not start at zero. (a) The labour utilisation rate is the proportion of persons in the labour force not underutilised.</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1C3E4C">
        <w:rPr>
          <w:color w:val="000000" w:themeColor="text1"/>
          <w:sz w:val="16"/>
          <w:szCs w:val="16"/>
        </w:rPr>
        <w:t xml:space="preserve">Wage </w:t>
      </w:r>
      <w:r w:rsidRPr="00847561">
        <w:rPr>
          <w:sz w:val="16"/>
          <w:szCs w:val="16"/>
        </w:rPr>
        <w:t>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The labour utilisation rate increased sharply in the economic recovery from the COVID</w:t>
      </w:r>
      <w:r w:rsidRPr="00847561">
        <w:rPr>
          <w:sz w:val="16"/>
          <w:szCs w:val="16"/>
        </w:rPr>
        <w:noBreakHyphen/>
        <w:t>19 pandemic, but it took some time for wage growth to respond.</w:t>
      </w:r>
    </w:p>
    <w:p w14:paraId="2B39AB7C" w14:textId="77777777" w:rsidR="00233755" w:rsidRPr="008E0DBA" w:rsidRDefault="00233755" w:rsidP="00233755">
      <w:pPr>
        <w:pStyle w:val="ListParagraph"/>
        <w:numPr>
          <w:ilvl w:val="0"/>
          <w:numId w:val="33"/>
        </w:numPr>
        <w:spacing w:before="40" w:after="40"/>
        <w:ind w:right="227" w:hanging="357"/>
        <w:contextualSpacing w:val="0"/>
        <w:jc w:val="both"/>
        <w:rPr>
          <w:sz w:val="16"/>
          <w:szCs w:val="16"/>
        </w:rPr>
      </w:pPr>
      <w:r w:rsidRPr="008E0DBA">
        <w:rPr>
          <w:sz w:val="16"/>
          <w:szCs w:val="16"/>
        </w:rPr>
        <w:t>The labour utilisation rate and wage growth have moved in opposite directions over the past four quarters</w:t>
      </w:r>
      <w:bookmarkStart w:id="20" w:name="_Hlk175827918"/>
      <w:r w:rsidRPr="008E0DBA">
        <w:rPr>
          <w:sz w:val="16"/>
          <w:szCs w:val="16"/>
        </w:rPr>
        <w:t>.</w:t>
      </w:r>
    </w:p>
    <w:p w14:paraId="5E74820C" w14:textId="77777777" w:rsidR="00233755" w:rsidRPr="008E0DBA" w:rsidRDefault="00233755" w:rsidP="00233755">
      <w:pPr>
        <w:pStyle w:val="ListParagraph"/>
        <w:numPr>
          <w:ilvl w:val="0"/>
          <w:numId w:val="31"/>
        </w:numPr>
        <w:spacing w:before="40" w:after="40"/>
        <w:ind w:left="357" w:right="227" w:hanging="357"/>
        <w:contextualSpacing w:val="0"/>
        <w:jc w:val="both"/>
        <w:rPr>
          <w:sz w:val="16"/>
          <w:szCs w:val="16"/>
        </w:rPr>
      </w:pPr>
      <w:r w:rsidRPr="008E0DBA">
        <w:rPr>
          <w:sz w:val="16"/>
          <w:szCs w:val="16"/>
        </w:rPr>
        <w:t>Wage growth in Western Australia, as measured by the year</w:t>
      </w:r>
      <w:r w:rsidRPr="008E0DBA">
        <w:rPr>
          <w:sz w:val="16"/>
          <w:szCs w:val="16"/>
        </w:rPr>
        <w:noBreakHyphen/>
        <w:t>on</w:t>
      </w:r>
      <w:r w:rsidRPr="008E0DBA">
        <w:rPr>
          <w:sz w:val="16"/>
          <w:szCs w:val="16"/>
        </w:rPr>
        <w:noBreakHyphen/>
        <w:t>year change in the wage price index (WPI), increased from 3.3% in the December quarter 2024 to 3.7% in the March quarter 2025.</w:t>
      </w:r>
    </w:p>
    <w:bookmarkEnd w:id="20"/>
    <w:p w14:paraId="36ADE392" w14:textId="04764811" w:rsidR="00233755" w:rsidRPr="00DC4955" w:rsidRDefault="008714BB" w:rsidP="00233755">
      <w:pPr>
        <w:pStyle w:val="ListParagraph"/>
        <w:numPr>
          <w:ilvl w:val="0"/>
          <w:numId w:val="31"/>
        </w:numPr>
        <w:ind w:right="227"/>
        <w:jc w:val="both"/>
        <w:rPr>
          <w:color w:val="000000" w:themeColor="text1"/>
          <w:sz w:val="16"/>
          <w:szCs w:val="16"/>
        </w:rPr>
      </w:pPr>
      <w:r w:rsidRPr="00DC4955">
        <w:rPr>
          <w:color w:val="000000" w:themeColor="text1"/>
          <w:sz w:val="16"/>
          <w:szCs w:val="16"/>
        </w:rPr>
        <w:t>The WA Government State Budget 2025</w:t>
      </w:r>
      <w:r w:rsidRPr="00DC4955">
        <w:rPr>
          <w:color w:val="000000" w:themeColor="text1"/>
          <w:sz w:val="16"/>
          <w:szCs w:val="16"/>
        </w:rPr>
        <w:noBreakHyphen/>
        <w:t xml:space="preserve">26 </w:t>
      </w:r>
      <w:r w:rsidR="00233755" w:rsidRPr="00DC4955">
        <w:rPr>
          <w:color w:val="000000" w:themeColor="text1"/>
          <w:sz w:val="16"/>
          <w:szCs w:val="16"/>
        </w:rPr>
        <w:t>forecasts Western Australia’s annual average wages will rise 3.75% in 2024</w:t>
      </w:r>
      <w:r w:rsidR="00233755" w:rsidRPr="00DC4955">
        <w:rPr>
          <w:color w:val="000000" w:themeColor="text1"/>
          <w:sz w:val="16"/>
          <w:szCs w:val="16"/>
        </w:rPr>
        <w:noBreakHyphen/>
        <w:t>25 and 3.5% in 2025-26.</w:t>
      </w:r>
    </w:p>
    <w:p w14:paraId="48003061" w14:textId="77777777" w:rsidR="00233755" w:rsidRPr="008E0DBA" w:rsidRDefault="00233755" w:rsidP="00233755">
      <w:pPr>
        <w:pStyle w:val="ListParagraph"/>
        <w:numPr>
          <w:ilvl w:val="0"/>
          <w:numId w:val="31"/>
        </w:numPr>
        <w:ind w:right="227"/>
        <w:jc w:val="both"/>
        <w:rPr>
          <w:sz w:val="16"/>
          <w:szCs w:val="16"/>
        </w:rPr>
      </w:pPr>
      <w:r w:rsidRPr="008E0DBA">
        <w:rPr>
          <w:sz w:val="16"/>
          <w:szCs w:val="16"/>
        </w:rPr>
        <w:t>Wage growth has also increased at a national level, with the year</w:t>
      </w:r>
      <w:r w:rsidRPr="008E0DBA">
        <w:rPr>
          <w:sz w:val="16"/>
          <w:szCs w:val="16"/>
        </w:rPr>
        <w:noBreakHyphen/>
        <w:t>on</w:t>
      </w:r>
      <w:r w:rsidRPr="008E0DBA">
        <w:rPr>
          <w:sz w:val="16"/>
          <w:szCs w:val="16"/>
        </w:rPr>
        <w:noBreakHyphen/>
        <w:t>year change in Australia’s WPI increasing from 3.2% in the December quarter 2024 to 3.4% in the March quarter 2025.</w:t>
      </w:r>
    </w:p>
    <w:p w14:paraId="4A4CD8FF" w14:textId="77777777" w:rsidR="00233755" w:rsidRPr="00232D31" w:rsidRDefault="00233755" w:rsidP="00233755">
      <w:pPr>
        <w:pStyle w:val="ListParagraph"/>
        <w:numPr>
          <w:ilvl w:val="0"/>
          <w:numId w:val="31"/>
        </w:numPr>
        <w:jc w:val="both"/>
        <w:rPr>
          <w:sz w:val="16"/>
          <w:szCs w:val="16"/>
        </w:rPr>
        <w:sectPr w:rsidR="00233755" w:rsidRPr="00232D31" w:rsidSect="00233755">
          <w:type w:val="continuous"/>
          <w:pgSz w:w="11907" w:h="16840" w:code="9"/>
          <w:pgMar w:top="1701" w:right="425" w:bottom="567" w:left="567" w:header="709" w:footer="709" w:gutter="0"/>
          <w:cols w:num="2" w:space="113"/>
          <w:docGrid w:linePitch="360"/>
        </w:sectPr>
      </w:pPr>
    </w:p>
    <w:p w14:paraId="012D8DBA"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r>
        <w:rPr>
          <w:i w:val="0"/>
          <w:iCs w:val="0"/>
          <w:color w:val="92278F" w:themeColor="accent1"/>
          <w:sz w:val="20"/>
          <w:szCs w:val="20"/>
        </w:rPr>
        <w:t>)</w:t>
      </w:r>
    </w:p>
    <w:p w14:paraId="4BA2B8F0" w14:textId="77777777" w:rsidR="00233755" w:rsidRPr="007B1AE5" w:rsidRDefault="00233755" w:rsidP="00233755">
      <w:r>
        <w:rPr>
          <w:noProof/>
        </w:rPr>
        <w:drawing>
          <wp:inline distT="0" distB="0" distL="0" distR="0" wp14:anchorId="451B517F" wp14:editId="44125173">
            <wp:extent cx="3419475" cy="2051685"/>
            <wp:effectExtent l="0" t="0" r="9525" b="5715"/>
            <wp:docPr id="248430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3483" cy="2060090"/>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77777777" w:rsidR="00233755" w:rsidRPr="00B36A1B"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36A1B">
        <w:rPr>
          <w:sz w:val="16"/>
          <w:szCs w:val="16"/>
        </w:rPr>
        <w:t>Although nominal wage growth increased in Western Australia over the three years to 2023, for most of this time the rate of inflation has was higher, resulting in falling real wages. The extended period of inflation being higher than nominal wage growth resulted in real wages falling back to a level previously seen in 2011.</w:t>
      </w:r>
    </w:p>
    <w:p w14:paraId="55B47AAC" w14:textId="77777777" w:rsidR="00233755" w:rsidRPr="008E0DBA" w:rsidRDefault="00233755" w:rsidP="00233755">
      <w:pPr>
        <w:pStyle w:val="ListParagraph"/>
        <w:numPr>
          <w:ilvl w:val="0"/>
          <w:numId w:val="31"/>
        </w:numPr>
        <w:spacing w:before="40" w:after="40"/>
        <w:ind w:left="357" w:right="227" w:hanging="357"/>
        <w:contextualSpacing w:val="0"/>
        <w:jc w:val="both"/>
        <w:rPr>
          <w:sz w:val="16"/>
          <w:szCs w:val="16"/>
        </w:rPr>
      </w:pPr>
      <w:r w:rsidRPr="008E0DBA">
        <w:rPr>
          <w:sz w:val="16"/>
          <w:szCs w:val="16"/>
        </w:rPr>
        <w:t>Real wages have grown year-on-year in four of the past six quarters in Western Australia, largely due to easing inflation.</w:t>
      </w:r>
    </w:p>
    <w:p w14:paraId="07D2F613" w14:textId="77777777" w:rsidR="00233755" w:rsidRPr="008E0DBA" w:rsidRDefault="00233755" w:rsidP="00233755">
      <w:pPr>
        <w:pStyle w:val="ListParagraph"/>
        <w:numPr>
          <w:ilvl w:val="0"/>
          <w:numId w:val="31"/>
        </w:numPr>
        <w:spacing w:before="40" w:after="40"/>
        <w:ind w:left="357" w:right="227" w:hanging="357"/>
        <w:contextualSpacing w:val="0"/>
        <w:jc w:val="both"/>
        <w:rPr>
          <w:sz w:val="16"/>
          <w:szCs w:val="16"/>
        </w:rPr>
      </w:pPr>
      <w:r w:rsidRPr="008E0DBA">
        <w:rPr>
          <w:sz w:val="16"/>
          <w:szCs w:val="16"/>
        </w:rPr>
        <w:t>Real wages in Western Australia rose 0.8% in the March quarter 2025, following a rise of 0.4% in the previous quarter.</w:t>
      </w:r>
    </w:p>
    <w:p w14:paraId="4336E55C" w14:textId="77777777" w:rsidR="00233755" w:rsidRPr="008E0DBA" w:rsidRDefault="00233755" w:rsidP="00233755">
      <w:pPr>
        <w:pStyle w:val="ListParagraph"/>
        <w:numPr>
          <w:ilvl w:val="0"/>
          <w:numId w:val="33"/>
        </w:numPr>
        <w:spacing w:before="40" w:after="40"/>
        <w:ind w:right="227" w:hanging="357"/>
        <w:contextualSpacing w:val="0"/>
        <w:jc w:val="both"/>
        <w:rPr>
          <w:sz w:val="16"/>
          <w:szCs w:val="16"/>
        </w:rPr>
      </w:pPr>
      <w:r w:rsidRPr="008E0DBA">
        <w:rPr>
          <w:sz w:val="16"/>
          <w:szCs w:val="16"/>
        </w:rPr>
        <w:t>In the March quarter 2025, the year</w:t>
      </w:r>
      <w:r w:rsidRPr="008E0DBA">
        <w:rPr>
          <w:sz w:val="16"/>
          <w:szCs w:val="16"/>
        </w:rPr>
        <w:noBreakHyphen/>
        <w:t>on</w:t>
      </w:r>
      <w:r w:rsidRPr="008E0DBA">
        <w:rPr>
          <w:sz w:val="16"/>
          <w:szCs w:val="16"/>
        </w:rPr>
        <w:noBreakHyphen/>
        <w:t>year change in the wage price index (3.7%) was higher than the year</w:t>
      </w:r>
      <w:r w:rsidRPr="008E0DBA">
        <w:rPr>
          <w:sz w:val="16"/>
          <w:szCs w:val="16"/>
        </w:rPr>
        <w:noBreakHyphen/>
        <w:t>on</w:t>
      </w:r>
      <w:r w:rsidRPr="008E0DBA">
        <w:rPr>
          <w:sz w:val="16"/>
          <w:szCs w:val="16"/>
        </w:rPr>
        <w:noBreakHyphen/>
        <w:t>year change in the consumer price index (2.8%).</w:t>
      </w:r>
    </w:p>
    <w:p w14:paraId="2C09C594" w14:textId="77777777" w:rsidR="00233755" w:rsidRPr="008E0DBA" w:rsidRDefault="00233755" w:rsidP="00233755">
      <w:pPr>
        <w:pStyle w:val="ListParagraph"/>
        <w:numPr>
          <w:ilvl w:val="0"/>
          <w:numId w:val="31"/>
        </w:numPr>
        <w:spacing w:before="40" w:after="40"/>
        <w:ind w:left="357" w:right="227" w:hanging="357"/>
        <w:contextualSpacing w:val="0"/>
        <w:jc w:val="both"/>
        <w:rPr>
          <w:sz w:val="16"/>
          <w:szCs w:val="16"/>
        </w:rPr>
      </w:pPr>
      <w:r w:rsidRPr="008E0DBA">
        <w:rPr>
          <w:sz w:val="16"/>
          <w:szCs w:val="16"/>
        </w:rPr>
        <w:t>Real wages in Australia have grown year-on-year in each of the past six quarters, from 0.2% in the December quarter 2023 to 1.0% in the March quarter 2025.</w:t>
      </w:r>
    </w:p>
    <w:p w14:paraId="0DED795D" w14:textId="77777777" w:rsidR="00233755" w:rsidRPr="00816789" w:rsidRDefault="00233755" w:rsidP="00233755">
      <w:pPr>
        <w:pStyle w:val="ListParagraph"/>
        <w:numPr>
          <w:ilvl w:val="0"/>
          <w:numId w:val="31"/>
        </w:numPr>
        <w:spacing w:before="40" w:after="40"/>
        <w:ind w:left="357" w:right="227" w:hanging="357"/>
        <w:contextualSpacing w:val="0"/>
        <w:jc w:val="both"/>
        <w:rPr>
          <w:sz w:val="16"/>
          <w:szCs w:val="16"/>
        </w:rPr>
        <w:sectPr w:rsidR="00233755" w:rsidRPr="00816789" w:rsidSect="00233755">
          <w:type w:val="continuous"/>
          <w:pgSz w:w="11907" w:h="16840" w:code="9"/>
          <w:pgMar w:top="1701" w:right="425" w:bottom="567" w:left="567" w:header="709" w:footer="709" w:gutter="0"/>
          <w:cols w:num="2" w:space="113"/>
          <w:docGrid w:linePitch="360"/>
        </w:sectPr>
      </w:pPr>
    </w:p>
    <w:p w14:paraId="71B29E95" w14:textId="77777777" w:rsidR="009C1933" w:rsidRPr="00AC3621" w:rsidRDefault="00233755" w:rsidP="009C1933">
      <w:pPr>
        <w:pStyle w:val="Heading4"/>
        <w:rPr>
          <w:i w:val="0"/>
          <w:iCs w:val="0"/>
          <w:color w:val="92278F" w:themeColor="accent1"/>
          <w:sz w:val="20"/>
          <w:szCs w:val="20"/>
        </w:rPr>
        <w:sectPr w:rsidR="009C1933" w:rsidRPr="00AC3621" w:rsidSect="009C1933">
          <w:type w:val="continuous"/>
          <w:pgSz w:w="11907" w:h="16840" w:code="9"/>
          <w:pgMar w:top="1701" w:right="425" w:bottom="567" w:left="567" w:header="709" w:footer="709" w:gutter="0"/>
          <w:cols w:space="720"/>
          <w:docGrid w:linePitch="360"/>
        </w:sectPr>
      </w:pPr>
      <w:r w:rsidRPr="00847561">
        <w:rPr>
          <w:i w:val="0"/>
          <w:iCs w:val="0"/>
          <w:color w:val="92278F" w:themeColor="accent1"/>
          <w:sz w:val="20"/>
          <w:szCs w:val="20"/>
        </w:rPr>
        <w:t>Interstate comparison of average weekly earnings</w:t>
      </w:r>
      <w:r w:rsidRPr="00847561">
        <w:rPr>
          <w:i w:val="0"/>
          <w:iCs w:val="0"/>
          <w:color w:val="92278F" w:themeColor="accent1"/>
          <w:sz w:val="20"/>
          <w:szCs w:val="20"/>
          <w:vertAlign w:val="superscript"/>
        </w:rPr>
        <w:t>1</w:t>
      </w:r>
    </w:p>
    <w:p w14:paraId="471773B2" w14:textId="5FD42431" w:rsidR="009C1933" w:rsidRPr="009C1933" w:rsidRDefault="009C1933" w:rsidP="009C1933">
      <w:r>
        <w:rPr>
          <w:noProof/>
        </w:rPr>
        <w:drawing>
          <wp:inline distT="0" distB="0" distL="0" distR="0" wp14:anchorId="66AB3283" wp14:editId="2EC0CFBB">
            <wp:extent cx="3420000" cy="2052000"/>
            <wp:effectExtent l="0" t="0" r="9525" b="5715"/>
            <wp:docPr id="2041747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0FE512A" w14:textId="77777777" w:rsidR="00233755" w:rsidRPr="00847561" w:rsidRDefault="00233755" w:rsidP="00233755">
      <w:pPr>
        <w:jc w:val="both"/>
        <w:rPr>
          <w:sz w:val="10"/>
          <w:szCs w:val="10"/>
        </w:rPr>
      </w:pPr>
      <w:r w:rsidRPr="00847561">
        <w:rPr>
          <w:sz w:val="10"/>
        </w:rPr>
        <w:t xml:space="preserve">Note – Seasonally adjusted </w:t>
      </w:r>
      <w:r w:rsidRPr="00847561">
        <w:rPr>
          <w:sz w:val="10"/>
          <w:szCs w:val="10"/>
        </w:rPr>
        <w:t xml:space="preserve">series. </w:t>
      </w:r>
      <w:bookmarkStart w:id="21" w:name="_Hlk194483310"/>
      <w:r w:rsidRPr="00847561">
        <w:rPr>
          <w:sz w:val="10"/>
          <w:szCs w:val="10"/>
        </w:rPr>
        <w:t>Data is collected for the middle month of the June and December quarters (May and November).</w:t>
      </w:r>
      <w:bookmarkEnd w:id="21"/>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69E83D3A"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DE2C49">
        <w:rPr>
          <w:color w:val="000000" w:themeColor="text1"/>
          <w:sz w:val="16"/>
          <w:szCs w:val="16"/>
        </w:rPr>
        <w:t xml:space="preserve">Western </w:t>
      </w:r>
      <w:r w:rsidRPr="00847561">
        <w:rPr>
          <w:sz w:val="16"/>
          <w:szCs w:val="16"/>
        </w:rPr>
        <w:t xml:space="preserve">Australia has </w:t>
      </w:r>
      <w:r w:rsidR="002C440C">
        <w:rPr>
          <w:sz w:val="16"/>
          <w:szCs w:val="16"/>
        </w:rPr>
        <w:t xml:space="preserve">relatively </w:t>
      </w:r>
      <w:r w:rsidRPr="00847561">
        <w:rPr>
          <w:sz w:val="16"/>
          <w:szCs w:val="16"/>
        </w:rPr>
        <w:t>high average weekly earnings, due in part to the relatively high proportion of full-time workers employed in the highly paid mining and mining services industries.</w:t>
      </w:r>
    </w:p>
    <w:p w14:paraId="642DF462"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847561">
        <w:rPr>
          <w:sz w:val="16"/>
          <w:szCs w:val="16"/>
        </w:rPr>
        <w:t>In the December quarter 2024, average weekly earnings in Western Australia were $2,245, 10% higher than the national average of $2,044.</w:t>
      </w:r>
    </w:p>
    <w:p w14:paraId="520548DD"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bookmarkStart w:id="22" w:name="_Hlk175827944"/>
      <w:r w:rsidRPr="00847561">
        <w:rPr>
          <w:sz w:val="16"/>
          <w:szCs w:val="16"/>
        </w:rPr>
        <w:t>Other Australian jurisdictions with average weekly earnings above the national average in the December quarter 2024 were:</w:t>
      </w:r>
    </w:p>
    <w:p w14:paraId="2FC92A6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Australian Capital Territory ($2,202)</w:t>
      </w:r>
    </w:p>
    <w:p w14:paraId="536C0B9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New South Wales ($2,052).</w:t>
      </w:r>
    </w:p>
    <w:p w14:paraId="73051104"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847561">
        <w:rPr>
          <w:sz w:val="16"/>
          <w:szCs w:val="16"/>
        </w:rPr>
        <w:t>Australian jurisdictions with average weekly earnings below the national average in the December quarter 2024 were:</w:t>
      </w:r>
    </w:p>
    <w:p w14:paraId="246AC802"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Tasmania ($1,825)</w:t>
      </w:r>
    </w:p>
    <w:p w14:paraId="2F87AA7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South Australia ($1,923)</w:t>
      </w:r>
    </w:p>
    <w:p w14:paraId="02A2E0B0"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Northern Territory ($1,981)</w:t>
      </w:r>
    </w:p>
    <w:p w14:paraId="3D926A6C"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Victoria ($1,993)</w:t>
      </w:r>
    </w:p>
    <w:p w14:paraId="35098AB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Queensland ($2.033).</w:t>
      </w:r>
    </w:p>
    <w:bookmarkEnd w:id="22"/>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23" w:name="_Population"/>
      <w:bookmarkEnd w:id="23"/>
      <w:r w:rsidRPr="00B820B4">
        <w:rPr>
          <w:color w:val="002060"/>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 (change)</w:t>
      </w:r>
    </w:p>
    <w:p w14:paraId="5C20A158" w14:textId="1E24B695" w:rsidR="00233755" w:rsidRPr="007B1AE5" w:rsidRDefault="008E0DBA" w:rsidP="00233755">
      <w:r>
        <w:rPr>
          <w:noProof/>
        </w:rPr>
        <w:drawing>
          <wp:inline distT="0" distB="0" distL="0" distR="0" wp14:anchorId="41210092" wp14:editId="561209EE">
            <wp:extent cx="3383915" cy="2030349"/>
            <wp:effectExtent l="0" t="0" r="6985" b="8255"/>
            <wp:docPr id="3204113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9519" cy="2033711"/>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77777777" w:rsidR="00233755"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216907">
        <w:rPr>
          <w:sz w:val="16"/>
          <w:szCs w:val="16"/>
        </w:rPr>
        <w:t xml:space="preserve">Western Australia’s population has been growing at a high rate, relative to both the past </w:t>
      </w:r>
      <w:r>
        <w:rPr>
          <w:sz w:val="16"/>
          <w:szCs w:val="16"/>
        </w:rPr>
        <w:t>ten</w:t>
      </w:r>
      <w:r w:rsidRPr="00216907">
        <w:rPr>
          <w:sz w:val="16"/>
          <w:szCs w:val="16"/>
        </w:rPr>
        <w:t xml:space="preserve"> years and to the national rate.</w:t>
      </w:r>
    </w:p>
    <w:p w14:paraId="458DDA40" w14:textId="74F89C9D"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Western Australia’s population growth rate reached a high of 3.</w:t>
      </w:r>
      <w:r w:rsidR="005D43A4" w:rsidRPr="00DC4955">
        <w:rPr>
          <w:color w:val="000000" w:themeColor="text1"/>
          <w:sz w:val="16"/>
          <w:szCs w:val="16"/>
        </w:rPr>
        <w:t>6</w:t>
      </w:r>
      <w:r w:rsidRPr="00DC4955">
        <w:rPr>
          <w:color w:val="000000" w:themeColor="text1"/>
          <w:sz w:val="16"/>
          <w:szCs w:val="16"/>
        </w:rPr>
        <w:t xml:space="preserve">% in the year to the September quarter 2023 but has decreased in each of the past </w:t>
      </w:r>
      <w:r w:rsidR="005D43A4" w:rsidRPr="00DC4955">
        <w:rPr>
          <w:color w:val="000000" w:themeColor="text1"/>
          <w:sz w:val="16"/>
          <w:szCs w:val="16"/>
        </w:rPr>
        <w:t>five</w:t>
      </w:r>
      <w:r w:rsidRPr="00DC4955">
        <w:rPr>
          <w:color w:val="000000" w:themeColor="text1"/>
          <w:sz w:val="16"/>
          <w:szCs w:val="16"/>
        </w:rPr>
        <w:t xml:space="preserve"> quarters to 2.</w:t>
      </w:r>
      <w:r w:rsidR="005D43A4" w:rsidRPr="00DC4955">
        <w:rPr>
          <w:color w:val="000000" w:themeColor="text1"/>
          <w:sz w:val="16"/>
          <w:szCs w:val="16"/>
        </w:rPr>
        <w:t>4</w:t>
      </w:r>
      <w:r w:rsidRPr="00DC4955">
        <w:rPr>
          <w:color w:val="000000" w:themeColor="text1"/>
          <w:sz w:val="16"/>
          <w:szCs w:val="16"/>
        </w:rPr>
        <w:t xml:space="preserve">% in the year to the </w:t>
      </w:r>
      <w:r w:rsidR="005D43A4" w:rsidRPr="00DC4955">
        <w:rPr>
          <w:color w:val="000000" w:themeColor="text1"/>
          <w:sz w:val="16"/>
          <w:szCs w:val="16"/>
        </w:rPr>
        <w:t>December</w:t>
      </w:r>
      <w:r w:rsidRPr="00DC4955">
        <w:rPr>
          <w:color w:val="000000" w:themeColor="text1"/>
          <w:sz w:val="16"/>
          <w:szCs w:val="16"/>
        </w:rPr>
        <w:t xml:space="preserve"> quarter 2024.</w:t>
      </w:r>
    </w:p>
    <w:p w14:paraId="6DFAAB54" w14:textId="2569F6D3"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Australia’s population growth rate in the year to the </w:t>
      </w:r>
      <w:r w:rsidR="005D43A4" w:rsidRPr="00DC4955">
        <w:rPr>
          <w:color w:val="000000" w:themeColor="text1"/>
          <w:sz w:val="16"/>
          <w:szCs w:val="16"/>
        </w:rPr>
        <w:t>December</w:t>
      </w:r>
      <w:r w:rsidRPr="00DC4955">
        <w:rPr>
          <w:color w:val="000000" w:themeColor="text1"/>
          <w:sz w:val="16"/>
          <w:szCs w:val="16"/>
        </w:rPr>
        <w:t xml:space="preserve"> quarter 2024 was 1.</w:t>
      </w:r>
      <w:r w:rsidR="005D43A4" w:rsidRPr="00DC4955">
        <w:rPr>
          <w:color w:val="000000" w:themeColor="text1"/>
          <w:sz w:val="16"/>
          <w:szCs w:val="16"/>
        </w:rPr>
        <w:t>7</w:t>
      </w:r>
      <w:r w:rsidRPr="00DC4955">
        <w:rPr>
          <w:color w:val="000000" w:themeColor="text1"/>
          <w:sz w:val="16"/>
          <w:szCs w:val="16"/>
        </w:rPr>
        <w:t>%.</w:t>
      </w:r>
    </w:p>
    <w:p w14:paraId="448BACCD" w14:textId="1059664F"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Western Australia’s estimated residential population was </w:t>
      </w:r>
      <w:r w:rsidR="005D43A4" w:rsidRPr="00DC4955">
        <w:rPr>
          <w:color w:val="000000" w:themeColor="text1"/>
          <w:sz w:val="16"/>
          <w:szCs w:val="16"/>
        </w:rPr>
        <w:t>3.01</w:t>
      </w:r>
      <w:r w:rsidRPr="00DC4955">
        <w:rPr>
          <w:color w:val="000000" w:themeColor="text1"/>
          <w:sz w:val="16"/>
          <w:szCs w:val="16"/>
        </w:rPr>
        <w:t xml:space="preserve"> million in the </w:t>
      </w:r>
      <w:r w:rsidR="005D43A4" w:rsidRPr="00DC4955">
        <w:rPr>
          <w:color w:val="000000" w:themeColor="text1"/>
          <w:sz w:val="16"/>
          <w:szCs w:val="16"/>
        </w:rPr>
        <w:t>December</w:t>
      </w:r>
      <w:r w:rsidRPr="00DC4955">
        <w:rPr>
          <w:color w:val="000000" w:themeColor="text1"/>
          <w:sz w:val="16"/>
          <w:szCs w:val="16"/>
        </w:rPr>
        <w:t xml:space="preserve"> quarter 2024, accounting for 1</w:t>
      </w:r>
      <w:r w:rsidR="005D43A4" w:rsidRPr="00DC4955">
        <w:rPr>
          <w:color w:val="000000" w:themeColor="text1"/>
          <w:sz w:val="16"/>
          <w:szCs w:val="16"/>
        </w:rPr>
        <w:t>1.0</w:t>
      </w:r>
      <w:r w:rsidRPr="00DC4955">
        <w:rPr>
          <w:color w:val="000000" w:themeColor="text1"/>
          <w:sz w:val="16"/>
          <w:szCs w:val="16"/>
        </w:rPr>
        <w:t>% of Australia’s estimated resident population of 27.</w:t>
      </w:r>
      <w:r w:rsidR="005D43A4" w:rsidRPr="00DC4955">
        <w:rPr>
          <w:color w:val="000000" w:themeColor="text1"/>
          <w:sz w:val="16"/>
          <w:szCs w:val="16"/>
        </w:rPr>
        <w:t>40</w:t>
      </w:r>
      <w:r w:rsidRPr="00DC4955">
        <w:rPr>
          <w:color w:val="000000" w:themeColor="text1"/>
          <w:sz w:val="16"/>
          <w:szCs w:val="16"/>
        </w:rPr>
        <w:t> million.</w:t>
      </w:r>
    </w:p>
    <w:p w14:paraId="3D7114E8" w14:textId="1B921358"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In the year to the </w:t>
      </w:r>
      <w:r w:rsidR="0014638D" w:rsidRPr="00DC4955">
        <w:rPr>
          <w:color w:val="000000" w:themeColor="text1"/>
          <w:sz w:val="16"/>
          <w:szCs w:val="16"/>
        </w:rPr>
        <w:t>December</w:t>
      </w:r>
      <w:r w:rsidRPr="00DC4955">
        <w:rPr>
          <w:color w:val="000000" w:themeColor="text1"/>
          <w:sz w:val="16"/>
          <w:szCs w:val="16"/>
        </w:rPr>
        <w:t xml:space="preserve"> quarter 2024, Western Australia’s population grew by </w:t>
      </w:r>
      <w:r w:rsidR="00F765BD" w:rsidRPr="00DC4955">
        <w:rPr>
          <w:color w:val="000000" w:themeColor="text1"/>
          <w:sz w:val="16"/>
          <w:szCs w:val="16"/>
        </w:rPr>
        <w:t>70,312</w:t>
      </w:r>
      <w:r w:rsidRPr="00DC4955">
        <w:rPr>
          <w:color w:val="000000" w:themeColor="text1"/>
          <w:sz w:val="16"/>
          <w:szCs w:val="16"/>
        </w:rPr>
        <w:t xml:space="preserve"> with the increase comprising:</w:t>
      </w:r>
    </w:p>
    <w:p w14:paraId="363BD95B" w14:textId="0E133C3D"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net overseas migration of </w:t>
      </w:r>
      <w:r w:rsidR="00F765BD" w:rsidRPr="00DC4955">
        <w:rPr>
          <w:color w:val="000000" w:themeColor="text1"/>
          <w:sz w:val="16"/>
          <w:szCs w:val="16"/>
        </w:rPr>
        <w:t>45,124</w:t>
      </w:r>
      <w:r w:rsidRPr="00DC4955">
        <w:rPr>
          <w:color w:val="000000" w:themeColor="text1"/>
          <w:sz w:val="16"/>
          <w:szCs w:val="16"/>
        </w:rPr>
        <w:t xml:space="preserve"> (13.</w:t>
      </w:r>
      <w:r w:rsidR="00F765BD" w:rsidRPr="00DC4955">
        <w:rPr>
          <w:color w:val="000000" w:themeColor="text1"/>
          <w:sz w:val="16"/>
          <w:szCs w:val="16"/>
        </w:rPr>
        <w:t>2</w:t>
      </w:r>
      <w:r w:rsidRPr="00DC4955">
        <w:rPr>
          <w:color w:val="000000" w:themeColor="text1"/>
          <w:sz w:val="16"/>
          <w:szCs w:val="16"/>
        </w:rPr>
        <w:t>% of the Australian total)</w:t>
      </w:r>
    </w:p>
    <w:p w14:paraId="310E4011" w14:textId="7718A72A"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natural increase of 12,</w:t>
      </w:r>
      <w:r w:rsidR="00F765BD" w:rsidRPr="00DC4955">
        <w:rPr>
          <w:color w:val="000000" w:themeColor="text1"/>
          <w:sz w:val="16"/>
          <w:szCs w:val="16"/>
        </w:rPr>
        <w:t>576</w:t>
      </w:r>
      <w:r w:rsidRPr="00DC4955">
        <w:rPr>
          <w:color w:val="000000" w:themeColor="text1"/>
          <w:sz w:val="16"/>
          <w:szCs w:val="16"/>
        </w:rPr>
        <w:t xml:space="preserve"> (12.</w:t>
      </w:r>
      <w:r w:rsidR="00F765BD" w:rsidRPr="00DC4955">
        <w:rPr>
          <w:color w:val="000000" w:themeColor="text1"/>
          <w:sz w:val="16"/>
          <w:szCs w:val="16"/>
        </w:rPr>
        <w:t>0</w:t>
      </w:r>
      <w:r w:rsidRPr="00DC4955">
        <w:rPr>
          <w:color w:val="000000" w:themeColor="text1"/>
          <w:sz w:val="16"/>
          <w:szCs w:val="16"/>
        </w:rPr>
        <w:t>% of the Australian total)</w:t>
      </w:r>
    </w:p>
    <w:p w14:paraId="0ABC9502" w14:textId="6CCC3051"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net interstate migration of </w:t>
      </w:r>
      <w:r w:rsidR="00F765BD" w:rsidRPr="00DC4955">
        <w:rPr>
          <w:color w:val="000000" w:themeColor="text1"/>
          <w:sz w:val="16"/>
          <w:szCs w:val="16"/>
        </w:rPr>
        <w:t>12,612</w:t>
      </w:r>
      <w:r w:rsidRPr="00DC4955">
        <w:rPr>
          <w:color w:val="000000" w:themeColor="text1"/>
          <w:sz w:val="16"/>
          <w:szCs w:val="16"/>
        </w:rPr>
        <w:t>.</w:t>
      </w:r>
    </w:p>
    <w:p w14:paraId="7FAD367A" w14:textId="3D4CF7A5" w:rsidR="00233755" w:rsidRPr="00DC4955" w:rsidRDefault="008714BB"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The WA Government State Budget 2025</w:t>
      </w:r>
      <w:r w:rsidRPr="00DC4955">
        <w:rPr>
          <w:color w:val="000000" w:themeColor="text1"/>
          <w:sz w:val="16"/>
          <w:szCs w:val="16"/>
        </w:rPr>
        <w:noBreakHyphen/>
        <w:t>26</w:t>
      </w:r>
      <w:r w:rsidR="00233755" w:rsidRPr="00DC4955">
        <w:rPr>
          <w:color w:val="000000" w:themeColor="text1"/>
          <w:sz w:val="16"/>
          <w:szCs w:val="16"/>
        </w:rPr>
        <w:t xml:space="preserve"> forecasts Western Australia’s population will grow by 1.9% in 2024</w:t>
      </w:r>
      <w:r w:rsidR="00233755" w:rsidRPr="00DC4955">
        <w:rPr>
          <w:color w:val="000000" w:themeColor="text1"/>
          <w:sz w:val="16"/>
          <w:szCs w:val="16"/>
        </w:rPr>
        <w:noBreakHyphen/>
        <w:t>25 and 1.8% in 2025</w:t>
      </w:r>
      <w:r w:rsidR="00233755" w:rsidRPr="00DC4955">
        <w:rPr>
          <w:color w:val="000000" w:themeColor="text1"/>
          <w:sz w:val="16"/>
          <w:szCs w:val="16"/>
        </w:rPr>
        <w:noBreakHyphen/>
        <w:t>26.</w:t>
      </w:r>
    </w:p>
    <w:p w14:paraId="330FF4D6" w14:textId="77777777" w:rsidR="00233755" w:rsidRPr="00510C3F" w:rsidRDefault="00233755" w:rsidP="00233755">
      <w:pPr>
        <w:pStyle w:val="ListParagraph"/>
        <w:numPr>
          <w:ilvl w:val="0"/>
          <w:numId w:val="31"/>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overseas migration</w:t>
      </w:r>
    </w:p>
    <w:p w14:paraId="0D0A3AF2" w14:textId="1D5318D3" w:rsidR="00233755" w:rsidRPr="007B1AE5" w:rsidRDefault="00F765BD" w:rsidP="00233755">
      <w:r>
        <w:rPr>
          <w:noProof/>
        </w:rPr>
        <w:drawing>
          <wp:inline distT="0" distB="0" distL="0" distR="0" wp14:anchorId="520CD5AD" wp14:editId="10EE7FDC">
            <wp:extent cx="3396342" cy="2037805"/>
            <wp:effectExtent l="0" t="0" r="0" b="635"/>
            <wp:docPr id="18192544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116" cy="2052069"/>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315E5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576010">
        <w:rPr>
          <w:sz w:val="16"/>
          <w:szCs w:val="16"/>
        </w:rPr>
        <w:t xml:space="preserve">Western Australia’s net overseas migration </w:t>
      </w:r>
      <w:r>
        <w:rPr>
          <w:sz w:val="16"/>
          <w:szCs w:val="16"/>
        </w:rPr>
        <w:t>was</w:t>
      </w:r>
      <w:r w:rsidRPr="00576010">
        <w:rPr>
          <w:sz w:val="16"/>
          <w:szCs w:val="16"/>
        </w:rPr>
        <w:t xml:space="preserve"> significantly affected by the closing and then re</w:t>
      </w:r>
      <w:r w:rsidRPr="00576010">
        <w:rPr>
          <w:sz w:val="16"/>
          <w:szCs w:val="16"/>
        </w:rPr>
        <w:noBreakHyphen/>
        <w:t>opening of borders during the COVID</w:t>
      </w:r>
      <w:r w:rsidRPr="00576010">
        <w:rPr>
          <w:sz w:val="16"/>
          <w:szCs w:val="16"/>
        </w:rPr>
        <w:noBreakHyphen/>
        <w:t>19 pandemic.</w:t>
      </w:r>
    </w:p>
    <w:p w14:paraId="04934EA6" w14:textId="1BD8403D"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In the year to the </w:t>
      </w:r>
      <w:r w:rsidR="00FE2D3F" w:rsidRPr="00DC4955">
        <w:rPr>
          <w:color w:val="000000" w:themeColor="text1"/>
          <w:sz w:val="16"/>
          <w:szCs w:val="16"/>
        </w:rPr>
        <w:t>December</w:t>
      </w:r>
      <w:r w:rsidRPr="00DC4955">
        <w:rPr>
          <w:color w:val="000000" w:themeColor="text1"/>
          <w:sz w:val="16"/>
          <w:szCs w:val="16"/>
        </w:rPr>
        <w:t xml:space="preserve"> quarter 2024, Western Australia’s net overseas migration was </w:t>
      </w:r>
      <w:r w:rsidR="00FE2D3F" w:rsidRPr="00DC4955">
        <w:rPr>
          <w:color w:val="000000" w:themeColor="text1"/>
          <w:sz w:val="16"/>
          <w:szCs w:val="16"/>
        </w:rPr>
        <w:t>45,124</w:t>
      </w:r>
      <w:r w:rsidRPr="00DC4955">
        <w:rPr>
          <w:color w:val="000000" w:themeColor="text1"/>
          <w:sz w:val="16"/>
          <w:szCs w:val="16"/>
        </w:rPr>
        <w:t xml:space="preserve">, </w:t>
      </w:r>
      <w:r w:rsidR="00FE2D3F" w:rsidRPr="00DC4955">
        <w:rPr>
          <w:color w:val="000000" w:themeColor="text1"/>
          <w:sz w:val="16"/>
          <w:szCs w:val="16"/>
        </w:rPr>
        <w:t>35.0</w:t>
      </w:r>
      <w:r w:rsidRPr="00DC4955">
        <w:rPr>
          <w:color w:val="000000" w:themeColor="text1"/>
          <w:sz w:val="16"/>
          <w:szCs w:val="16"/>
        </w:rPr>
        <w:t xml:space="preserve">% less than in the year to the </w:t>
      </w:r>
      <w:r w:rsidR="00FE2D3F" w:rsidRPr="00DC4955">
        <w:rPr>
          <w:color w:val="000000" w:themeColor="text1"/>
          <w:sz w:val="16"/>
          <w:szCs w:val="16"/>
        </w:rPr>
        <w:t>December</w:t>
      </w:r>
      <w:r w:rsidRPr="00DC4955">
        <w:rPr>
          <w:color w:val="000000" w:themeColor="text1"/>
          <w:sz w:val="16"/>
          <w:szCs w:val="16"/>
        </w:rPr>
        <w:t xml:space="preserve"> quarter 2023.</w:t>
      </w:r>
    </w:p>
    <w:p w14:paraId="223CF506" w14:textId="45EC16F0"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Net overseas migration was </w:t>
      </w:r>
      <w:r w:rsidR="00FE2D3F" w:rsidRPr="00DC4955">
        <w:rPr>
          <w:color w:val="000000" w:themeColor="text1"/>
          <w:sz w:val="16"/>
          <w:szCs w:val="16"/>
        </w:rPr>
        <w:t>8,435</w:t>
      </w:r>
      <w:r w:rsidRPr="00DC4955">
        <w:rPr>
          <w:color w:val="000000" w:themeColor="text1"/>
          <w:sz w:val="16"/>
          <w:szCs w:val="16"/>
        </w:rPr>
        <w:t xml:space="preserve"> in the </w:t>
      </w:r>
      <w:r w:rsidR="00FE2D3F" w:rsidRPr="00DC4955">
        <w:rPr>
          <w:color w:val="000000" w:themeColor="text1"/>
          <w:sz w:val="16"/>
          <w:szCs w:val="16"/>
        </w:rPr>
        <w:t>December</w:t>
      </w:r>
      <w:r w:rsidRPr="00DC4955">
        <w:rPr>
          <w:color w:val="000000" w:themeColor="text1"/>
          <w:sz w:val="16"/>
          <w:szCs w:val="16"/>
        </w:rPr>
        <w:t xml:space="preserve"> quarter 2024, down from the record high of 20,995 in the March quarter 2023.</w:t>
      </w:r>
    </w:p>
    <w:p w14:paraId="17909BEF" w14:textId="685CD748"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Western Australia’s share of Australia’s net overseas migration was 12.</w:t>
      </w:r>
      <w:r w:rsidR="00FE2D3F" w:rsidRPr="00DC4955">
        <w:rPr>
          <w:color w:val="000000" w:themeColor="text1"/>
          <w:sz w:val="16"/>
          <w:szCs w:val="16"/>
        </w:rPr>
        <w:t>4</w:t>
      </w:r>
      <w:r w:rsidRPr="00DC4955">
        <w:rPr>
          <w:color w:val="000000" w:themeColor="text1"/>
          <w:sz w:val="16"/>
          <w:szCs w:val="16"/>
        </w:rPr>
        <w:t xml:space="preserve">% in the </w:t>
      </w:r>
      <w:r w:rsidR="00FE2D3F" w:rsidRPr="00DC4955">
        <w:rPr>
          <w:color w:val="000000" w:themeColor="text1"/>
          <w:sz w:val="16"/>
          <w:szCs w:val="16"/>
        </w:rPr>
        <w:t>December</w:t>
      </w:r>
      <w:r w:rsidRPr="00DC4955">
        <w:rPr>
          <w:color w:val="000000" w:themeColor="text1"/>
          <w:sz w:val="16"/>
          <w:szCs w:val="16"/>
        </w:rPr>
        <w:t xml:space="preserve"> quarter 2024, which is above the long</w:t>
      </w:r>
      <w:r w:rsidRPr="00DC4955">
        <w:rPr>
          <w:color w:val="000000" w:themeColor="text1"/>
          <w:sz w:val="16"/>
          <w:szCs w:val="16"/>
        </w:rPr>
        <w:noBreakHyphen/>
        <w:t>term average of around 12%.</w:t>
      </w:r>
    </w:p>
    <w:p w14:paraId="21BACE82" w14:textId="77777777" w:rsidR="00233755" w:rsidRPr="00A107EF" w:rsidRDefault="00233755" w:rsidP="003F27F7">
      <w:pPr>
        <w:pStyle w:val="ListParagraph"/>
        <w:numPr>
          <w:ilvl w:val="0"/>
          <w:numId w:val="33"/>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16910AED" w14:textId="77777777" w:rsidR="00233755" w:rsidRPr="005D66A4" w:rsidRDefault="00233755" w:rsidP="00233755">
      <w:pPr>
        <w:pStyle w:val="ListParagraph"/>
        <w:numPr>
          <w:ilvl w:val="0"/>
          <w:numId w:val="33"/>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654A7720" w14:textId="652DDDF7" w:rsidR="00233755" w:rsidRPr="007B1AE5" w:rsidRDefault="002F35C8" w:rsidP="00233755">
      <w:pPr>
        <w:rPr>
          <w:rFonts w:eastAsiaTheme="majorEastAsia"/>
        </w:rPr>
      </w:pPr>
      <w:r>
        <w:rPr>
          <w:rFonts w:eastAsiaTheme="majorEastAsia"/>
          <w:noProof/>
        </w:rPr>
        <w:drawing>
          <wp:inline distT="0" distB="0" distL="0" distR="0" wp14:anchorId="448371AC" wp14:editId="3B55E195">
            <wp:extent cx="3319502" cy="1991701"/>
            <wp:effectExtent l="0" t="0" r="0" b="8890"/>
            <wp:docPr id="1027980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7053" cy="1996232"/>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DC4955">
        <w:rPr>
          <w:color w:val="000000" w:themeColor="text1"/>
          <w:sz w:val="16"/>
          <w:szCs w:val="16"/>
        </w:rPr>
        <w:t xml:space="preserve">Western Australia has had positive net interstate migration since </w:t>
      </w:r>
      <w:r w:rsidR="00741513" w:rsidRPr="00DC4955">
        <w:rPr>
          <w:color w:val="000000" w:themeColor="text1"/>
          <w:sz w:val="16"/>
          <w:szCs w:val="16"/>
        </w:rPr>
        <w:t xml:space="preserve">early </w:t>
      </w:r>
      <w:r w:rsidRPr="00DC4955">
        <w:rPr>
          <w:color w:val="000000" w:themeColor="text1"/>
          <w:sz w:val="16"/>
          <w:szCs w:val="16"/>
        </w:rPr>
        <w:t>2020. This followed 2</w:t>
      </w:r>
      <w:r w:rsidR="00741513" w:rsidRPr="00DC4955">
        <w:rPr>
          <w:color w:val="000000" w:themeColor="text1"/>
          <w:sz w:val="16"/>
          <w:szCs w:val="16"/>
        </w:rPr>
        <w:t>6</w:t>
      </w:r>
      <w:r w:rsidRPr="00DC4955">
        <w:rPr>
          <w:color w:val="000000" w:themeColor="text1"/>
          <w:sz w:val="16"/>
          <w:szCs w:val="16"/>
        </w:rPr>
        <w:t xml:space="preserve"> quarters of negative net interstate migration from the </w:t>
      </w:r>
      <w:r w:rsidR="00741513" w:rsidRPr="00DC4955">
        <w:rPr>
          <w:color w:val="000000" w:themeColor="text1"/>
          <w:sz w:val="16"/>
          <w:szCs w:val="16"/>
        </w:rPr>
        <w:t>September</w:t>
      </w:r>
      <w:r w:rsidRPr="00DC4955">
        <w:rPr>
          <w:color w:val="000000" w:themeColor="text1"/>
          <w:sz w:val="16"/>
          <w:szCs w:val="16"/>
        </w:rPr>
        <w:t xml:space="preserve"> quarter 201</w:t>
      </w:r>
      <w:r w:rsidR="00741513" w:rsidRPr="00DC4955">
        <w:rPr>
          <w:color w:val="000000" w:themeColor="text1"/>
          <w:sz w:val="16"/>
          <w:szCs w:val="16"/>
        </w:rPr>
        <w:t>3</w:t>
      </w:r>
      <w:r w:rsidRPr="00DC4955">
        <w:rPr>
          <w:color w:val="000000" w:themeColor="text1"/>
          <w:sz w:val="16"/>
          <w:szCs w:val="16"/>
        </w:rPr>
        <w:t xml:space="preserve"> to the </w:t>
      </w:r>
      <w:r w:rsidR="00741513" w:rsidRPr="00DC4955">
        <w:rPr>
          <w:color w:val="000000" w:themeColor="text1"/>
          <w:sz w:val="16"/>
          <w:szCs w:val="16"/>
        </w:rPr>
        <w:t>December</w:t>
      </w:r>
      <w:r w:rsidRPr="00DC4955">
        <w:rPr>
          <w:color w:val="000000" w:themeColor="text1"/>
          <w:sz w:val="16"/>
          <w:szCs w:val="16"/>
        </w:rPr>
        <w:t xml:space="preserve"> quarter 20</w:t>
      </w:r>
      <w:r w:rsidR="00741513" w:rsidRPr="00DC4955">
        <w:rPr>
          <w:color w:val="000000" w:themeColor="text1"/>
          <w:sz w:val="16"/>
          <w:szCs w:val="16"/>
        </w:rPr>
        <w:t>19</w:t>
      </w:r>
      <w:r w:rsidRPr="00DC4955">
        <w:rPr>
          <w:color w:val="000000" w:themeColor="text1"/>
          <w:sz w:val="16"/>
          <w:szCs w:val="16"/>
        </w:rPr>
        <w:t>.</w:t>
      </w:r>
    </w:p>
    <w:p w14:paraId="7D12CA62" w14:textId="4828C450"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In the year to the </w:t>
      </w:r>
      <w:r w:rsidR="00741513" w:rsidRPr="00DC4955">
        <w:rPr>
          <w:color w:val="000000" w:themeColor="text1"/>
          <w:sz w:val="16"/>
          <w:szCs w:val="16"/>
        </w:rPr>
        <w:t>December</w:t>
      </w:r>
      <w:r w:rsidRPr="00DC4955">
        <w:rPr>
          <w:color w:val="000000" w:themeColor="text1"/>
          <w:sz w:val="16"/>
          <w:szCs w:val="16"/>
        </w:rPr>
        <w:t xml:space="preserve"> quarter 2024, Western Australia’s net interstate migration was </w:t>
      </w:r>
      <w:r w:rsidR="00741513" w:rsidRPr="00DC4955">
        <w:rPr>
          <w:color w:val="000000" w:themeColor="text1"/>
          <w:sz w:val="16"/>
          <w:szCs w:val="16"/>
        </w:rPr>
        <w:t>12,612</w:t>
      </w:r>
      <w:r w:rsidRPr="00DC4955">
        <w:rPr>
          <w:color w:val="000000" w:themeColor="text1"/>
          <w:sz w:val="16"/>
          <w:szCs w:val="16"/>
        </w:rPr>
        <w:t>, with:</w:t>
      </w:r>
    </w:p>
    <w:p w14:paraId="54EB0092" w14:textId="5B97F3A4" w:rsidR="00233755" w:rsidRPr="00DC4955" w:rsidRDefault="00741513"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39,712</w:t>
      </w:r>
      <w:r w:rsidR="00233755" w:rsidRPr="00DC4955">
        <w:rPr>
          <w:color w:val="000000" w:themeColor="text1"/>
          <w:sz w:val="16"/>
          <w:szCs w:val="16"/>
        </w:rPr>
        <w:t xml:space="preserve"> interstate arrivals</w:t>
      </w:r>
    </w:p>
    <w:p w14:paraId="5681BB54" w14:textId="71111A17" w:rsidR="00233755" w:rsidRPr="00DC4955" w:rsidRDefault="00741513"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27,100</w:t>
      </w:r>
      <w:r w:rsidR="00233755" w:rsidRPr="00DC4955">
        <w:rPr>
          <w:color w:val="000000" w:themeColor="text1"/>
          <w:sz w:val="16"/>
          <w:szCs w:val="16"/>
        </w:rPr>
        <w:t xml:space="preserve"> interstate departures.</w:t>
      </w:r>
    </w:p>
    <w:p w14:paraId="49FC5AA2" w14:textId="6E225BC7"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Net interstate migration was </w:t>
      </w:r>
      <w:r w:rsidR="00741513" w:rsidRPr="00DC4955">
        <w:rPr>
          <w:color w:val="000000" w:themeColor="text1"/>
          <w:sz w:val="16"/>
          <w:szCs w:val="16"/>
        </w:rPr>
        <w:t>2,943</w:t>
      </w:r>
      <w:r w:rsidRPr="00DC4955">
        <w:rPr>
          <w:color w:val="000000" w:themeColor="text1"/>
          <w:sz w:val="16"/>
          <w:szCs w:val="16"/>
        </w:rPr>
        <w:t xml:space="preserve"> in the </w:t>
      </w:r>
      <w:r w:rsidR="00741513" w:rsidRPr="00DC4955">
        <w:rPr>
          <w:color w:val="000000" w:themeColor="text1"/>
          <w:sz w:val="16"/>
          <w:szCs w:val="16"/>
        </w:rPr>
        <w:t>December</w:t>
      </w:r>
      <w:r w:rsidRPr="00DC4955">
        <w:rPr>
          <w:color w:val="000000" w:themeColor="text1"/>
          <w:sz w:val="16"/>
          <w:szCs w:val="16"/>
        </w:rPr>
        <w:t xml:space="preserve"> quarter 2024, lower than the 2,4</w:t>
      </w:r>
      <w:r w:rsidR="00741513" w:rsidRPr="00DC4955">
        <w:rPr>
          <w:color w:val="000000" w:themeColor="text1"/>
          <w:sz w:val="16"/>
          <w:szCs w:val="16"/>
        </w:rPr>
        <w:t>20</w:t>
      </w:r>
      <w:r w:rsidRPr="00DC4955">
        <w:rPr>
          <w:color w:val="000000" w:themeColor="text1"/>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24" w:name="_Housing"/>
      <w:bookmarkEnd w:id="24"/>
      <w:r w:rsidRPr="00B820B4">
        <w:rPr>
          <w:color w:val="002060"/>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Dwelling </w:t>
      </w:r>
      <w:r w:rsidRPr="00AC7274">
        <w:rPr>
          <w:i w:val="0"/>
          <w:iCs w:val="0"/>
          <w:color w:val="92278F" w:themeColor="accent1"/>
          <w:sz w:val="20"/>
          <w:szCs w:val="20"/>
        </w:rPr>
        <w:t>building activity</w:t>
      </w:r>
    </w:p>
    <w:p w14:paraId="28436D14" w14:textId="77777777" w:rsidR="00233755" w:rsidRPr="007B1AE5" w:rsidRDefault="00233755" w:rsidP="00233755">
      <w:r>
        <w:rPr>
          <w:noProof/>
        </w:rPr>
        <w:drawing>
          <wp:inline distT="0" distB="0" distL="0" distR="0" wp14:anchorId="3386B070" wp14:editId="2FF9CB9B">
            <wp:extent cx="3419448" cy="2045970"/>
            <wp:effectExtent l="0" t="0" r="0" b="0"/>
            <wp:docPr id="2023431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720" cy="2046731"/>
                    </a:xfrm>
                    <a:prstGeom prst="rect">
                      <a:avLst/>
                    </a:prstGeom>
                    <a:noFill/>
                    <a:ln>
                      <a:noFill/>
                    </a:ln>
                  </pic:spPr>
                </pic:pic>
              </a:graphicData>
            </a:graphic>
          </wp:inline>
        </w:drawing>
      </w:r>
    </w:p>
    <w:p w14:paraId="3DBC5E8D" w14:textId="77777777" w:rsidR="00233755" w:rsidRPr="00AC7274" w:rsidRDefault="00233755" w:rsidP="00233755">
      <w:pPr>
        <w:jc w:val="both"/>
        <w:rPr>
          <w:sz w:val="10"/>
          <w:szCs w:val="10"/>
        </w:rPr>
      </w:pPr>
      <w:r w:rsidRPr="00AC7274">
        <w:rPr>
          <w:sz w:val="10"/>
        </w:rPr>
        <w:t xml:space="preserve">Note – </w:t>
      </w:r>
      <w:r w:rsidRPr="00AC7274">
        <w:rPr>
          <w:sz w:val="10"/>
          <w:szCs w:val="10"/>
        </w:rPr>
        <w:t xml:space="preserve">Seasonally adjusted series for dwelling commencements and completions and original series for dwellings under construction. Quarterly series. </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847561">
        <w:rPr>
          <w:sz w:val="16"/>
          <w:szCs w:val="16"/>
        </w:rPr>
        <w:t>The number of dwellings completed usually tracks the number of dwellings commenced with a lag as dwellings are built. Changes in the average time taken to complete builds will disrupt this relationship, as has been experienced in recent years in Western</w:t>
      </w:r>
      <w:r>
        <w:rPr>
          <w:sz w:val="16"/>
          <w:szCs w:val="16"/>
        </w:rPr>
        <w:t> </w:t>
      </w:r>
      <w:r w:rsidRPr="00847561">
        <w:rPr>
          <w:sz w:val="16"/>
          <w:szCs w:val="16"/>
        </w:rPr>
        <w:t>Australia.</w:t>
      </w:r>
    </w:p>
    <w:p w14:paraId="3773C935"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Stimulus measures introduced by the Australian and Western Australian Government in mid</w:t>
      </w:r>
      <w:r w:rsidRPr="00847561">
        <w:rPr>
          <w:sz w:val="16"/>
          <w:szCs w:val="16"/>
        </w:rPr>
        <w:noBreakHyphen/>
        <w:t>2020 contributed to a large increase in the number of dwelling units commenced.</w:t>
      </w:r>
    </w:p>
    <w:p w14:paraId="6FFAC06E"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However, longer timeframes for housing construction meant that there was not a corresponding increase in the number of dwelling units completed. This resulted in a sharp increase in the number of dwellings under construction.</w:t>
      </w:r>
    </w:p>
    <w:p w14:paraId="01B5356D"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847561">
        <w:rPr>
          <w:sz w:val="16"/>
          <w:szCs w:val="16"/>
        </w:rPr>
        <w:t>The number of dwellings under construction has fallen somewhat over the past two years as the rate of completions has picked up. However, an increase in the number of dwellings commenced in the past year has kept the number of dwellings under construction at a relatively high level.</w:t>
      </w:r>
    </w:p>
    <w:p w14:paraId="1FCF34A5" w14:textId="77777777" w:rsidR="00233755" w:rsidRPr="00DE2C49"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E2C49">
        <w:rPr>
          <w:color w:val="000000" w:themeColor="text1"/>
          <w:sz w:val="16"/>
          <w:szCs w:val="16"/>
        </w:rPr>
        <w:t>Between the December quarters of 2023 and 2024, Western Australia’s number of dwelling units:</w:t>
      </w:r>
    </w:p>
    <w:p w14:paraId="6B237190" w14:textId="77777777" w:rsidR="00233755" w:rsidRPr="00DE2C49"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E2C49">
        <w:rPr>
          <w:color w:val="000000" w:themeColor="text1"/>
          <w:sz w:val="16"/>
          <w:szCs w:val="16"/>
        </w:rPr>
        <w:t>commenced rose 62% to 5,010</w:t>
      </w:r>
    </w:p>
    <w:p w14:paraId="49C88711" w14:textId="77777777" w:rsidR="00233755" w:rsidRPr="00DE2C49"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E2C49">
        <w:rPr>
          <w:color w:val="000000" w:themeColor="text1"/>
          <w:sz w:val="16"/>
          <w:szCs w:val="16"/>
        </w:rPr>
        <w:t>completed rose 32% to 5,769</w:t>
      </w:r>
    </w:p>
    <w:p w14:paraId="2CF2646E" w14:textId="77777777" w:rsidR="00233755" w:rsidRPr="00DE2C49"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E2C49">
        <w:rPr>
          <w:color w:val="000000" w:themeColor="text1"/>
          <w:sz w:val="16"/>
          <w:szCs w:val="16"/>
        </w:rPr>
        <w:t>under construction fell 5% to 21,837.</w:t>
      </w:r>
    </w:p>
    <w:p w14:paraId="6A038DD9" w14:textId="77777777" w:rsidR="00233755" w:rsidRPr="00A43032" w:rsidRDefault="00233755" w:rsidP="00233755">
      <w:pPr>
        <w:pStyle w:val="ListParagraph"/>
        <w:numPr>
          <w:ilvl w:val="0"/>
          <w:numId w:val="33"/>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77777777" w:rsidR="00233755" w:rsidRPr="00B63C44" w:rsidRDefault="00233755" w:rsidP="00233755">
      <w:pPr>
        <w:pStyle w:val="Heading4"/>
        <w:tabs>
          <w:tab w:val="left" w:pos="9586"/>
        </w:tabs>
        <w:rPr>
          <w:i w:val="0"/>
          <w:iCs w:val="0"/>
          <w:color w:val="92278F" w:themeColor="accent1"/>
          <w:sz w:val="20"/>
          <w:szCs w:val="20"/>
        </w:rPr>
        <w:sectPr w:rsidR="00233755" w:rsidRPr="00B63C44" w:rsidSect="00233755">
          <w:type w:val="continuous"/>
          <w:pgSz w:w="11907" w:h="16840" w:code="9"/>
          <w:pgMar w:top="1701" w:right="425" w:bottom="567" w:left="567" w:header="709" w:footer="709" w:gutter="0"/>
          <w:cols w:space="720"/>
          <w:docGrid w:linePitch="360"/>
        </w:sectPr>
      </w:pPr>
      <w:r w:rsidRPr="00B63C44">
        <w:rPr>
          <w:i w:val="0"/>
          <w:iCs w:val="0"/>
          <w:color w:val="92278F" w:themeColor="accent1"/>
          <w:sz w:val="20"/>
          <w:szCs w:val="20"/>
        </w:rPr>
        <w:t>House and rental price indexes</w:t>
      </w:r>
    </w:p>
    <w:p w14:paraId="4B6BEE9D" w14:textId="77777777" w:rsidR="00233755" w:rsidRPr="007B1AE5" w:rsidRDefault="00233755" w:rsidP="00233755">
      <w:r>
        <w:rPr>
          <w:noProof/>
        </w:rPr>
        <w:drawing>
          <wp:inline distT="0" distB="0" distL="0" distR="0" wp14:anchorId="0B70E6F5" wp14:editId="32A698CD">
            <wp:extent cx="3419475" cy="1905918"/>
            <wp:effectExtent l="0" t="0" r="0" b="0"/>
            <wp:docPr id="31362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1684" cy="1907149"/>
                    </a:xfrm>
                    <a:prstGeom prst="rect">
                      <a:avLst/>
                    </a:prstGeom>
                    <a:noFill/>
                    <a:ln>
                      <a:noFill/>
                    </a:ln>
                  </pic:spPr>
                </pic:pic>
              </a:graphicData>
            </a:graphic>
          </wp:inline>
        </w:drawing>
      </w:r>
    </w:p>
    <w:p w14:paraId="06ADD8F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r>
        <w:rPr>
          <w:sz w:val="10"/>
          <w:szCs w:val="10"/>
        </w:rPr>
        <w:t xml:space="preserve">. </w:t>
      </w:r>
      <w:r w:rsidRPr="00AF759E">
        <w:rPr>
          <w:sz w:val="10"/>
          <w:szCs w:val="10"/>
        </w:rPr>
        <w:t>2011-12 = 100.0.</w:t>
      </w:r>
      <w:r>
        <w:rPr>
          <w:sz w:val="10"/>
          <w:szCs w:val="10"/>
        </w:rPr>
        <w:t xml:space="preserve"> </w:t>
      </w:r>
    </w:p>
    <w:p w14:paraId="56699D6D" w14:textId="77777777" w:rsidR="00233755" w:rsidRPr="00C20954" w:rsidRDefault="00233755" w:rsidP="00233755">
      <w:pPr>
        <w:jc w:val="both"/>
        <w:rPr>
          <w:color w:val="FF0000"/>
          <w:sz w:val="10"/>
          <w:szCs w:val="10"/>
        </w:rPr>
      </w:pPr>
      <w:r w:rsidRPr="00AF759E">
        <w:rPr>
          <w:sz w:val="10"/>
          <w:szCs w:val="10"/>
        </w:rPr>
        <w:t>Source: Based on ABS data</w:t>
      </w:r>
      <w:r>
        <w:rPr>
          <w:sz w:val="10"/>
          <w:szCs w:val="10"/>
        </w:rPr>
        <w:t>.</w:t>
      </w:r>
    </w:p>
    <w:p w14:paraId="2CC937B0" w14:textId="77777777" w:rsidR="00233755" w:rsidRPr="00DE2C49"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F45E82">
        <w:rPr>
          <w:sz w:val="16"/>
          <w:szCs w:val="16"/>
        </w:rPr>
        <w:t xml:space="preserve">The </w:t>
      </w:r>
      <w:r w:rsidRPr="00CA6F61">
        <w:rPr>
          <w:sz w:val="16"/>
          <w:szCs w:val="16"/>
        </w:rPr>
        <w:t>combination of a</w:t>
      </w:r>
      <w:r>
        <w:rPr>
          <w:sz w:val="16"/>
          <w:szCs w:val="16"/>
        </w:rPr>
        <w:t xml:space="preserve"> surge in</w:t>
      </w:r>
      <w:r w:rsidRPr="00762EBE">
        <w:rPr>
          <w:sz w:val="16"/>
          <w:szCs w:val="16"/>
        </w:rPr>
        <w:t xml:space="preserve"> demand from high population growth and constraints in delivering new supply has resulted in increases in </w:t>
      </w:r>
      <w:r w:rsidRPr="00DE2C49">
        <w:rPr>
          <w:color w:val="000000" w:themeColor="text1"/>
          <w:sz w:val="16"/>
          <w:szCs w:val="16"/>
        </w:rPr>
        <w:t>house and rental prices.</w:t>
      </w:r>
    </w:p>
    <w:p w14:paraId="3E6A33A7" w14:textId="77777777" w:rsidR="00233755" w:rsidRPr="00DE2C49"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E2C49">
        <w:rPr>
          <w:color w:val="000000" w:themeColor="text1"/>
          <w:sz w:val="16"/>
          <w:szCs w:val="16"/>
        </w:rPr>
        <w:t>Prices for new dwellings purchased by owner-occupiers in Perth rose 0.4% in the March quarter 2025, to be 10.1% higher than in the March quarter 2024.</w:t>
      </w:r>
    </w:p>
    <w:p w14:paraId="0B4C69E9" w14:textId="77777777" w:rsidR="00233755" w:rsidRPr="00DE2C49"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E2C49">
        <w:rPr>
          <w:color w:val="000000" w:themeColor="text1"/>
          <w:sz w:val="16"/>
          <w:szCs w:val="16"/>
        </w:rPr>
        <w:t>Perth’s rents rose 1.7% in the March quarter 2025, to be 8.9% higher than in the March quarter 2024.</w:t>
      </w:r>
    </w:p>
    <w:p w14:paraId="0D87B3C3" w14:textId="21F69011"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E2C49">
        <w:rPr>
          <w:color w:val="000000" w:themeColor="text1"/>
          <w:sz w:val="16"/>
          <w:szCs w:val="16"/>
        </w:rPr>
        <w:t xml:space="preserve">Rental prices in Perth started to grow from 2021 as vacancy rates fell to very low levels. Perth’s rental vacancy rate has been rising over </w:t>
      </w:r>
      <w:r w:rsidRPr="00DC4955">
        <w:rPr>
          <w:color w:val="000000" w:themeColor="text1"/>
          <w:sz w:val="16"/>
          <w:szCs w:val="16"/>
        </w:rPr>
        <w:t>the past few months. The Real Estate Institute of Western Australia’s vacancy rate measure for Ma</w:t>
      </w:r>
      <w:r w:rsidR="003212CC" w:rsidRPr="00DC4955">
        <w:rPr>
          <w:color w:val="000000" w:themeColor="text1"/>
          <w:sz w:val="16"/>
          <w:szCs w:val="16"/>
        </w:rPr>
        <w:t>y</w:t>
      </w:r>
      <w:r w:rsidRPr="00DC4955">
        <w:rPr>
          <w:color w:val="000000" w:themeColor="text1"/>
          <w:sz w:val="16"/>
          <w:szCs w:val="16"/>
        </w:rPr>
        <w:t> 2025 was 2.</w:t>
      </w:r>
      <w:r w:rsidR="003212CC" w:rsidRPr="00DC4955">
        <w:rPr>
          <w:color w:val="000000" w:themeColor="text1"/>
          <w:sz w:val="16"/>
          <w:szCs w:val="16"/>
        </w:rPr>
        <w:t>8</w:t>
      </w:r>
      <w:r w:rsidRPr="00DC4955">
        <w:rPr>
          <w:color w:val="000000" w:themeColor="text1"/>
          <w:sz w:val="16"/>
          <w:szCs w:val="16"/>
        </w:rPr>
        <w:t>%.</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6F5455DC"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Median price of established house transfers (unstratified)</w:t>
      </w:r>
      <w:r w:rsidRPr="00AC3621">
        <w:rPr>
          <w:i w:val="0"/>
          <w:iCs w:val="0"/>
          <w:color w:val="92278F" w:themeColor="accent1"/>
          <w:sz w:val="20"/>
          <w:szCs w:val="20"/>
        </w:rPr>
        <w:t xml:space="preserve">: </w:t>
      </w:r>
      <w:r w:rsidR="007578F9" w:rsidRPr="00DC4955">
        <w:rPr>
          <w:i w:val="0"/>
          <w:iCs w:val="0"/>
          <w:color w:val="92278F" w:themeColor="accent1"/>
          <w:sz w:val="20"/>
          <w:szCs w:val="20"/>
        </w:rPr>
        <w:t>March</w:t>
      </w:r>
      <w:r w:rsidRPr="00DC4955">
        <w:rPr>
          <w:i w:val="0"/>
          <w:iCs w:val="0"/>
          <w:color w:val="92278F" w:themeColor="accent1"/>
          <w:sz w:val="20"/>
          <w:szCs w:val="20"/>
        </w:rPr>
        <w:t xml:space="preserve"> quarter 202</w:t>
      </w:r>
      <w:r w:rsidR="007578F9" w:rsidRPr="00DC4955">
        <w:rPr>
          <w:i w:val="0"/>
          <w:iCs w:val="0"/>
          <w:color w:val="92278F" w:themeColor="accent1"/>
          <w:sz w:val="20"/>
          <w:szCs w:val="20"/>
        </w:rPr>
        <w:t>5</w:t>
      </w:r>
    </w:p>
    <w:p w14:paraId="4CB509A3" w14:textId="7FB8B4B4" w:rsidR="00233755" w:rsidRPr="007B1AE5" w:rsidRDefault="00B542C4" w:rsidP="00233755">
      <w:pPr>
        <w:rPr>
          <w:rFonts w:eastAsiaTheme="majorEastAsia"/>
        </w:rPr>
      </w:pPr>
      <w:r>
        <w:rPr>
          <w:rFonts w:eastAsiaTheme="majorEastAsia"/>
          <w:noProof/>
        </w:rPr>
        <w:drawing>
          <wp:inline distT="0" distB="0" distL="0" distR="0" wp14:anchorId="40497FFC" wp14:editId="3AAFE6E2">
            <wp:extent cx="3357922" cy="2014753"/>
            <wp:effectExtent l="0" t="0" r="0" b="5080"/>
            <wp:docPr id="1042215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4579" cy="2018747"/>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77777777"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DC4955">
        <w:rPr>
          <w:color w:val="000000" w:themeColor="text1"/>
          <w:sz w:val="16"/>
          <w:szCs w:val="16"/>
        </w:rPr>
        <w:t>House prices in Perth increased significantly over the past year, although are still lower than most other Australian capital cities.</w:t>
      </w:r>
    </w:p>
    <w:p w14:paraId="463C46B6" w14:textId="49578BE5"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Perth’s median established house price was $815,000 in the </w:t>
      </w:r>
      <w:r w:rsidR="008263A6" w:rsidRPr="00DC4955">
        <w:rPr>
          <w:color w:val="000000" w:themeColor="text1"/>
          <w:sz w:val="16"/>
          <w:szCs w:val="16"/>
        </w:rPr>
        <w:t>March</w:t>
      </w:r>
      <w:r w:rsidRPr="00DC4955">
        <w:rPr>
          <w:color w:val="000000" w:themeColor="text1"/>
          <w:sz w:val="16"/>
          <w:szCs w:val="16"/>
        </w:rPr>
        <w:t xml:space="preserve"> quarter 202</w:t>
      </w:r>
      <w:r w:rsidR="008263A6" w:rsidRPr="00DC4955">
        <w:rPr>
          <w:color w:val="000000" w:themeColor="text1"/>
          <w:sz w:val="16"/>
          <w:szCs w:val="16"/>
        </w:rPr>
        <w:t>5</w:t>
      </w:r>
      <w:r w:rsidRPr="00DC4955">
        <w:rPr>
          <w:color w:val="000000" w:themeColor="text1"/>
          <w:sz w:val="16"/>
          <w:szCs w:val="16"/>
        </w:rPr>
        <w:t xml:space="preserve">, </w:t>
      </w:r>
      <w:r w:rsidR="008263A6" w:rsidRPr="00DC4955">
        <w:rPr>
          <w:color w:val="000000" w:themeColor="text1"/>
          <w:sz w:val="16"/>
          <w:szCs w:val="16"/>
        </w:rPr>
        <w:t>0.6</w:t>
      </w:r>
      <w:r w:rsidRPr="00DC4955">
        <w:rPr>
          <w:color w:val="000000" w:themeColor="text1"/>
          <w:sz w:val="16"/>
          <w:szCs w:val="16"/>
        </w:rPr>
        <w:t xml:space="preserve">% </w:t>
      </w:r>
      <w:r w:rsidR="008263A6" w:rsidRPr="00DC4955">
        <w:rPr>
          <w:color w:val="000000" w:themeColor="text1"/>
          <w:sz w:val="16"/>
          <w:szCs w:val="16"/>
        </w:rPr>
        <w:t>lower</w:t>
      </w:r>
      <w:r w:rsidRPr="00DC4955">
        <w:rPr>
          <w:color w:val="000000" w:themeColor="text1"/>
          <w:sz w:val="16"/>
          <w:szCs w:val="16"/>
        </w:rPr>
        <w:t xml:space="preserve"> than the previous quarter </w:t>
      </w:r>
      <w:r w:rsidR="008263A6" w:rsidRPr="00DC4955">
        <w:rPr>
          <w:color w:val="000000" w:themeColor="text1"/>
          <w:sz w:val="16"/>
          <w:szCs w:val="16"/>
        </w:rPr>
        <w:t>but</w:t>
      </w:r>
      <w:r w:rsidRPr="00DC4955">
        <w:rPr>
          <w:color w:val="000000" w:themeColor="text1"/>
          <w:sz w:val="16"/>
          <w:szCs w:val="16"/>
        </w:rPr>
        <w:t xml:space="preserve"> </w:t>
      </w:r>
      <w:r w:rsidR="008263A6" w:rsidRPr="00DC4955">
        <w:rPr>
          <w:color w:val="000000" w:themeColor="text1"/>
          <w:sz w:val="16"/>
          <w:szCs w:val="16"/>
        </w:rPr>
        <w:t>15.6</w:t>
      </w:r>
      <w:r w:rsidRPr="00DC4955">
        <w:rPr>
          <w:color w:val="000000" w:themeColor="text1"/>
          <w:sz w:val="16"/>
          <w:szCs w:val="16"/>
        </w:rPr>
        <w:t xml:space="preserve">% higher than the </w:t>
      </w:r>
      <w:r w:rsidR="008263A6" w:rsidRPr="00DC4955">
        <w:rPr>
          <w:color w:val="000000" w:themeColor="text1"/>
          <w:sz w:val="16"/>
          <w:szCs w:val="16"/>
        </w:rPr>
        <w:t>March</w:t>
      </w:r>
      <w:r w:rsidRPr="00DC4955">
        <w:rPr>
          <w:color w:val="000000" w:themeColor="text1"/>
          <w:sz w:val="16"/>
          <w:szCs w:val="16"/>
        </w:rPr>
        <w:t xml:space="preserve"> quarter 202</w:t>
      </w:r>
      <w:r w:rsidR="008263A6" w:rsidRPr="00DC4955">
        <w:rPr>
          <w:color w:val="000000" w:themeColor="text1"/>
          <w:sz w:val="16"/>
          <w:szCs w:val="16"/>
        </w:rPr>
        <w:t>4</w:t>
      </w:r>
      <w:r w:rsidR="00AE3E60" w:rsidRPr="00DC4955">
        <w:rPr>
          <w:color w:val="000000" w:themeColor="text1"/>
          <w:sz w:val="16"/>
          <w:szCs w:val="16"/>
        </w:rPr>
        <w:t>.</w:t>
      </w:r>
    </w:p>
    <w:p w14:paraId="11719E5E" w14:textId="5A5D5862"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Sydney’s median established house price remained the highest of all Australian capital cities.</w:t>
      </w:r>
    </w:p>
    <w:p w14:paraId="4ED5455A" w14:textId="77777777"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House prices in the rest of Western Australia have also grown significantly over the past year but similarly are lower than most of the other non</w:t>
      </w:r>
      <w:r w:rsidRPr="00DC4955">
        <w:rPr>
          <w:color w:val="000000" w:themeColor="text1"/>
          <w:sz w:val="16"/>
          <w:szCs w:val="16"/>
        </w:rPr>
        <w:noBreakHyphen/>
        <w:t>capital city regions of Australia.</w:t>
      </w:r>
    </w:p>
    <w:p w14:paraId="66D2794A" w14:textId="5FCEE6A6"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The median established house price for the rest of Western Australia (excluding Perth) was $5</w:t>
      </w:r>
      <w:r w:rsidR="008263A6" w:rsidRPr="00DC4955">
        <w:rPr>
          <w:color w:val="000000" w:themeColor="text1"/>
          <w:sz w:val="16"/>
          <w:szCs w:val="16"/>
        </w:rPr>
        <w:t>3</w:t>
      </w:r>
      <w:r w:rsidRPr="00DC4955">
        <w:rPr>
          <w:color w:val="000000" w:themeColor="text1"/>
          <w:sz w:val="16"/>
          <w:szCs w:val="16"/>
        </w:rPr>
        <w:t xml:space="preserve">5,000 in the </w:t>
      </w:r>
      <w:r w:rsidR="008263A6" w:rsidRPr="00DC4955">
        <w:rPr>
          <w:color w:val="000000" w:themeColor="text1"/>
          <w:sz w:val="16"/>
          <w:szCs w:val="16"/>
        </w:rPr>
        <w:t>March</w:t>
      </w:r>
      <w:r w:rsidRPr="00DC4955">
        <w:rPr>
          <w:color w:val="000000" w:themeColor="text1"/>
          <w:sz w:val="16"/>
          <w:szCs w:val="16"/>
        </w:rPr>
        <w:t xml:space="preserve"> quarter 202</w:t>
      </w:r>
      <w:r w:rsidR="008263A6" w:rsidRPr="00DC4955">
        <w:rPr>
          <w:color w:val="000000" w:themeColor="text1"/>
          <w:sz w:val="16"/>
          <w:szCs w:val="16"/>
        </w:rPr>
        <w:t>5</w:t>
      </w:r>
      <w:r w:rsidRPr="00DC4955">
        <w:rPr>
          <w:color w:val="000000" w:themeColor="text1"/>
          <w:sz w:val="16"/>
          <w:szCs w:val="16"/>
        </w:rPr>
        <w:t xml:space="preserve">, </w:t>
      </w:r>
      <w:r w:rsidR="008263A6" w:rsidRPr="00DC4955">
        <w:rPr>
          <w:color w:val="000000" w:themeColor="text1"/>
          <w:sz w:val="16"/>
          <w:szCs w:val="16"/>
        </w:rPr>
        <w:t>4.9</w:t>
      </w:r>
      <w:r w:rsidRPr="00DC4955">
        <w:rPr>
          <w:color w:val="000000" w:themeColor="text1"/>
          <w:sz w:val="16"/>
          <w:szCs w:val="16"/>
        </w:rPr>
        <w:t xml:space="preserve">% higher than the previous quarter and </w:t>
      </w:r>
      <w:r w:rsidR="008263A6" w:rsidRPr="00DC4955">
        <w:rPr>
          <w:color w:val="000000" w:themeColor="text1"/>
          <w:sz w:val="16"/>
          <w:szCs w:val="16"/>
        </w:rPr>
        <w:t>18.9</w:t>
      </w:r>
      <w:r w:rsidRPr="00DC4955">
        <w:rPr>
          <w:color w:val="000000" w:themeColor="text1"/>
          <w:sz w:val="16"/>
          <w:szCs w:val="16"/>
        </w:rPr>
        <w:t xml:space="preserve">% higher than the </w:t>
      </w:r>
      <w:r w:rsidR="008263A6" w:rsidRPr="00DC4955">
        <w:rPr>
          <w:color w:val="000000" w:themeColor="text1"/>
          <w:sz w:val="16"/>
          <w:szCs w:val="16"/>
        </w:rPr>
        <w:t>March</w:t>
      </w:r>
      <w:r w:rsidRPr="00DC4955">
        <w:rPr>
          <w:color w:val="000000" w:themeColor="text1"/>
          <w:sz w:val="16"/>
          <w:szCs w:val="16"/>
        </w:rPr>
        <w:t xml:space="preserve"> quarter 202</w:t>
      </w:r>
      <w:r w:rsidR="008263A6" w:rsidRPr="00DC4955">
        <w:rPr>
          <w:color w:val="000000" w:themeColor="text1"/>
          <w:sz w:val="16"/>
          <w:szCs w:val="16"/>
        </w:rPr>
        <w:t>4</w:t>
      </w:r>
      <w:r w:rsidRPr="00DC4955">
        <w:rPr>
          <w:color w:val="000000" w:themeColor="text1"/>
          <w:sz w:val="16"/>
          <w:szCs w:val="16"/>
        </w:rPr>
        <w:t>.</w:t>
      </w:r>
    </w:p>
    <w:p w14:paraId="338405CB" w14:textId="754C3D27" w:rsidR="00233755" w:rsidRPr="00DC4955" w:rsidRDefault="008714BB"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The WA Government State Budget 2025</w:t>
      </w:r>
      <w:r w:rsidRPr="00DC4955">
        <w:rPr>
          <w:color w:val="000000" w:themeColor="text1"/>
          <w:sz w:val="16"/>
          <w:szCs w:val="16"/>
        </w:rPr>
        <w:noBreakHyphen/>
        <w:t xml:space="preserve">26 </w:t>
      </w:r>
      <w:r w:rsidR="00233755" w:rsidRPr="00DC4955">
        <w:rPr>
          <w:color w:val="000000" w:themeColor="text1"/>
          <w:sz w:val="16"/>
          <w:szCs w:val="16"/>
        </w:rPr>
        <w:t xml:space="preserve">forecasts Western Australia’s median house price will rise </w:t>
      </w:r>
      <w:r w:rsidRPr="00DC4955">
        <w:rPr>
          <w:color w:val="000000" w:themeColor="text1"/>
          <w:sz w:val="16"/>
          <w:szCs w:val="16"/>
        </w:rPr>
        <w:t>18.0</w:t>
      </w:r>
      <w:r w:rsidR="00233755" w:rsidRPr="00DC4955">
        <w:rPr>
          <w:color w:val="000000" w:themeColor="text1"/>
          <w:sz w:val="16"/>
          <w:szCs w:val="16"/>
        </w:rPr>
        <w:t>% in 2024</w:t>
      </w:r>
      <w:r w:rsidR="00233755" w:rsidRPr="00DC4955">
        <w:rPr>
          <w:color w:val="000000" w:themeColor="text1"/>
          <w:sz w:val="16"/>
          <w:szCs w:val="16"/>
        </w:rPr>
        <w:noBreakHyphen/>
        <w:t xml:space="preserve">25 and </w:t>
      </w:r>
      <w:r w:rsidRPr="00DC4955">
        <w:rPr>
          <w:color w:val="000000" w:themeColor="text1"/>
          <w:sz w:val="16"/>
          <w:szCs w:val="16"/>
        </w:rPr>
        <w:t>4.3</w:t>
      </w:r>
      <w:r w:rsidR="00233755" w:rsidRPr="00DC4955">
        <w:rPr>
          <w:color w:val="000000" w:themeColor="text1"/>
          <w:sz w:val="16"/>
          <w:szCs w:val="16"/>
        </w:rPr>
        <w:t>% in 2025</w:t>
      </w:r>
      <w:r w:rsidR="00233755" w:rsidRPr="00DC4955">
        <w:rPr>
          <w:color w:val="000000" w:themeColor="text1"/>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25" w:name="_Construction"/>
      <w:bookmarkEnd w:id="25"/>
      <w:r w:rsidRPr="00B820B4">
        <w:rPr>
          <w:color w:val="002060"/>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0127C320" w14:textId="77777777" w:rsidR="00233755" w:rsidRPr="007B1AE5" w:rsidRDefault="00233755" w:rsidP="00233755">
      <w:r>
        <w:rPr>
          <w:noProof/>
        </w:rPr>
        <w:drawing>
          <wp:inline distT="0" distB="0" distL="0" distR="0" wp14:anchorId="641043E1" wp14:editId="5F090DD1">
            <wp:extent cx="3295650" cy="1924050"/>
            <wp:effectExtent l="0" t="0" r="0" b="0"/>
            <wp:docPr id="179660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5650" cy="1924050"/>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65D9D5C3" w14:textId="77777777" w:rsidR="00233755" w:rsidRPr="008263A6"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C75D96">
        <w:rPr>
          <w:sz w:val="16"/>
          <w:szCs w:val="16"/>
        </w:rPr>
        <w:t xml:space="preserve">Private </w:t>
      </w:r>
      <w:r w:rsidRPr="00AC7274">
        <w:rPr>
          <w:sz w:val="16"/>
          <w:szCs w:val="16"/>
        </w:rPr>
        <w:t>new capital expenditure in Western Australia increased over the past year in both mining and non</w:t>
      </w:r>
      <w:r w:rsidRPr="00AC7274">
        <w:rPr>
          <w:sz w:val="16"/>
          <w:szCs w:val="16"/>
        </w:rPr>
        <w:noBreakHyphen/>
        <w:t xml:space="preserve">mining industries. </w:t>
      </w:r>
      <w:r w:rsidRPr="008263A6">
        <w:rPr>
          <w:color w:val="000000" w:themeColor="text1"/>
          <w:sz w:val="16"/>
          <w:szCs w:val="16"/>
        </w:rPr>
        <w:t>In the year to the March quarter 2025, the value of Western Australia’s new capital expenditure in the:</w:t>
      </w:r>
    </w:p>
    <w:p w14:paraId="70EA7F97"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mining industry rose 2.8% to $32.4 billion</w:t>
      </w:r>
    </w:p>
    <w:p w14:paraId="6F2DB751"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non-mining industry rose 2.2% to $13.2 billion.</w:t>
      </w:r>
    </w:p>
    <w:p w14:paraId="47DE9B2E" w14:textId="77777777" w:rsidR="00233755" w:rsidRPr="008263A6"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8263A6">
        <w:rPr>
          <w:color w:val="000000" w:themeColor="text1"/>
          <w:sz w:val="16"/>
          <w:szCs w:val="16"/>
        </w:rPr>
        <w:t>Western Australia accounted for 24.4% of the value of Australia’s private new capital expenditure in the four quarters to the March quarter 2025, including 61.5% of Australia’s mining industry new capital expenditure and 9.8% of Australia’s non</w:t>
      </w:r>
      <w:r w:rsidRPr="008263A6">
        <w:rPr>
          <w:color w:val="000000" w:themeColor="text1"/>
          <w:sz w:val="16"/>
          <w:szCs w:val="16"/>
        </w:rPr>
        <w:noBreakHyphen/>
        <w:t>mining industries new capital expenditure.</w:t>
      </w:r>
    </w:p>
    <w:p w14:paraId="41F41E2F" w14:textId="77777777" w:rsidR="00233755" w:rsidRPr="008263A6" w:rsidRDefault="00233755" w:rsidP="00233755">
      <w:pPr>
        <w:pStyle w:val="ListParagraph"/>
        <w:numPr>
          <w:ilvl w:val="0"/>
          <w:numId w:val="31"/>
        </w:numPr>
        <w:spacing w:before="40" w:after="40"/>
        <w:ind w:right="227" w:hanging="357"/>
        <w:contextualSpacing w:val="0"/>
        <w:jc w:val="both"/>
        <w:rPr>
          <w:color w:val="000000" w:themeColor="text1"/>
          <w:sz w:val="16"/>
          <w:szCs w:val="16"/>
        </w:rPr>
      </w:pPr>
      <w:bookmarkStart w:id="26" w:name="_Hlk199497375"/>
      <w:r w:rsidRPr="008263A6">
        <w:rPr>
          <w:color w:val="000000" w:themeColor="text1"/>
          <w:sz w:val="16"/>
          <w:szCs w:val="16"/>
        </w:rPr>
        <w:t xml:space="preserve">The ABS survey of expected expenditure suggests private new capital expenditure in Western Australia </w:t>
      </w:r>
      <w:bookmarkEnd w:id="26"/>
      <w:r w:rsidRPr="008263A6">
        <w:rPr>
          <w:color w:val="000000" w:themeColor="text1"/>
          <w:sz w:val="16"/>
          <w:szCs w:val="16"/>
        </w:rPr>
        <w:t>will rise 1.2% to $45.5 billion in 2024-25, before falling 18.5% to $37.1 billion in 2025-26, with expenditure in the:</w:t>
      </w:r>
    </w:p>
    <w:p w14:paraId="4D36CF2F"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mining industry expected to fall 18.8% to $26.6 billion</w:t>
      </w:r>
    </w:p>
    <w:p w14:paraId="4AB71D4F"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non</w:t>
      </w:r>
      <w:r w:rsidRPr="008263A6">
        <w:rPr>
          <w:color w:val="000000" w:themeColor="text1"/>
          <w:sz w:val="16"/>
          <w:szCs w:val="16"/>
        </w:rPr>
        <w:noBreakHyphen/>
        <w:t>mining industry expected to fall 17.6% to $10.6 billion.</w:t>
      </w:r>
    </w:p>
    <w:p w14:paraId="6DEC345E" w14:textId="77777777" w:rsidR="00233755" w:rsidRPr="00390202" w:rsidRDefault="00233755" w:rsidP="00233755">
      <w:pPr>
        <w:pStyle w:val="ListParagraph"/>
        <w:numPr>
          <w:ilvl w:val="0"/>
          <w:numId w:val="31"/>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71C411D8" w14:textId="5A1D551C" w:rsidR="00233755" w:rsidRPr="007B1AE5" w:rsidRDefault="00E170A3" w:rsidP="00233755">
      <w:r>
        <w:rPr>
          <w:noProof/>
        </w:rPr>
        <w:drawing>
          <wp:inline distT="0" distB="0" distL="0" distR="0" wp14:anchorId="3660E1DD" wp14:editId="0BC69ED5">
            <wp:extent cx="3343275" cy="2005965"/>
            <wp:effectExtent l="0" t="0" r="9525" b="0"/>
            <wp:docPr id="1948295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2005965"/>
                    </a:xfrm>
                    <a:prstGeom prst="rect">
                      <a:avLst/>
                    </a:prstGeom>
                    <a:noFill/>
                    <a:ln>
                      <a:noFill/>
                    </a:ln>
                  </pic:spPr>
                </pic:pic>
              </a:graphicData>
            </a:graphic>
          </wp:inline>
        </w:drawing>
      </w:r>
    </w:p>
    <w:p w14:paraId="09ED6D2E"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Seasonally adjusted series. </w:t>
      </w:r>
      <w:r>
        <w:rPr>
          <w:sz w:val="10"/>
          <w:szCs w:val="10"/>
        </w:rPr>
        <w:t>4-quarter rolling sum</w:t>
      </w:r>
      <w:r>
        <w:rPr>
          <w:color w:val="FF0000"/>
          <w:sz w:val="10"/>
          <w:szCs w:val="10"/>
        </w:rPr>
        <w:t>.</w:t>
      </w:r>
      <w:r w:rsidRPr="00AF759E" w:rsidDel="00FB05CF">
        <w:rPr>
          <w:sz w:val="10"/>
          <w:szCs w:val="10"/>
        </w:rPr>
        <w:t xml:space="preserve"> </w:t>
      </w:r>
      <w:r w:rsidRPr="00AF759E">
        <w:rPr>
          <w:sz w:val="10"/>
          <w:szCs w:val="10"/>
        </w:rPr>
        <w:t>(a)</w:t>
      </w:r>
      <w:r>
        <w:rPr>
          <w:sz w:val="10"/>
          <w:szCs w:val="10"/>
        </w:rPr>
        <w:t xml:space="preserve"> </w:t>
      </w:r>
      <w:r w:rsidRPr="00AF759E">
        <w:rPr>
          <w:sz w:val="10"/>
          <w:szCs w:val="10"/>
        </w:rPr>
        <w:t>Roads, highways and subdivisions; bridges, railways and harbours; electricity generation and transmission and pipelines; water storage and supply, sewerage and drainage; telecommunications; heaving industry; recreation and other structures. (b) Residential, commercial, industrial and other non-residential buildings.</w:t>
      </w:r>
    </w:p>
    <w:p w14:paraId="74822BCA" w14:textId="77777777" w:rsidR="00233755" w:rsidRPr="00AF759E" w:rsidRDefault="00233755" w:rsidP="00233755">
      <w:pPr>
        <w:jc w:val="both"/>
        <w:rPr>
          <w:sz w:val="10"/>
          <w:szCs w:val="10"/>
        </w:rPr>
      </w:pPr>
      <w:r w:rsidRPr="00AF759E">
        <w:rPr>
          <w:sz w:val="10"/>
          <w:szCs w:val="10"/>
        </w:rPr>
        <w:t>Source: Based on ABS data.</w:t>
      </w:r>
    </w:p>
    <w:p w14:paraId="40D6D96C" w14:textId="6B665FC1"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DC4955">
        <w:rPr>
          <w:color w:val="000000" w:themeColor="text1"/>
          <w:sz w:val="16"/>
          <w:szCs w:val="16"/>
        </w:rPr>
        <w:t xml:space="preserve">The value of engineering construction activity in Western Australia rose </w:t>
      </w:r>
      <w:r w:rsidR="00E170A3" w:rsidRPr="00DC4955">
        <w:rPr>
          <w:color w:val="000000" w:themeColor="text1"/>
          <w:sz w:val="16"/>
          <w:szCs w:val="16"/>
        </w:rPr>
        <w:t>17.3</w:t>
      </w:r>
      <w:r w:rsidRPr="00DC4955">
        <w:rPr>
          <w:color w:val="000000" w:themeColor="text1"/>
          <w:sz w:val="16"/>
          <w:szCs w:val="16"/>
        </w:rPr>
        <w:t>% to $3</w:t>
      </w:r>
      <w:r w:rsidR="00E170A3" w:rsidRPr="00DC4955">
        <w:rPr>
          <w:color w:val="000000" w:themeColor="text1"/>
          <w:sz w:val="16"/>
          <w:szCs w:val="16"/>
        </w:rPr>
        <w:t>5.1</w:t>
      </w:r>
      <w:r w:rsidRPr="00DC4955">
        <w:rPr>
          <w:color w:val="000000" w:themeColor="text1"/>
          <w:sz w:val="16"/>
          <w:szCs w:val="16"/>
        </w:rPr>
        <w:t xml:space="preserve"> billion in the four quarters to the </w:t>
      </w:r>
      <w:r w:rsidR="00E170A3" w:rsidRPr="00DC4955">
        <w:rPr>
          <w:color w:val="000000" w:themeColor="text1"/>
          <w:sz w:val="16"/>
          <w:szCs w:val="16"/>
        </w:rPr>
        <w:t>March</w:t>
      </w:r>
      <w:r w:rsidRPr="00DC4955">
        <w:rPr>
          <w:color w:val="000000" w:themeColor="text1"/>
          <w:sz w:val="16"/>
          <w:szCs w:val="16"/>
        </w:rPr>
        <w:t xml:space="preserve"> quarter 202</w:t>
      </w:r>
      <w:r w:rsidR="00E170A3" w:rsidRPr="00DC4955">
        <w:rPr>
          <w:color w:val="000000" w:themeColor="text1"/>
          <w:sz w:val="16"/>
          <w:szCs w:val="16"/>
        </w:rPr>
        <w:t>5</w:t>
      </w:r>
      <w:r w:rsidRPr="00DC4955">
        <w:rPr>
          <w:color w:val="000000" w:themeColor="text1"/>
          <w:sz w:val="16"/>
          <w:szCs w:val="16"/>
        </w:rPr>
        <w:t>. This was largely due to increases in the value of construction for:</w:t>
      </w:r>
    </w:p>
    <w:p w14:paraId="0D5FD396" w14:textId="6E3A5317"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heavy industry, up </w:t>
      </w:r>
      <w:r w:rsidR="00E170A3" w:rsidRPr="00DC4955">
        <w:rPr>
          <w:color w:val="000000" w:themeColor="text1"/>
          <w:sz w:val="16"/>
          <w:szCs w:val="16"/>
        </w:rPr>
        <w:t>11.6</w:t>
      </w:r>
      <w:r w:rsidRPr="00DC4955">
        <w:rPr>
          <w:color w:val="000000" w:themeColor="text1"/>
          <w:sz w:val="16"/>
          <w:szCs w:val="16"/>
        </w:rPr>
        <w:t>% to $18.3 billion</w:t>
      </w:r>
    </w:p>
    <w:p w14:paraId="3044E2AE" w14:textId="04D7394A"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electricity generation, transmission and distribution and pipelines, up </w:t>
      </w:r>
      <w:r w:rsidR="00E170A3" w:rsidRPr="00DC4955">
        <w:rPr>
          <w:color w:val="000000" w:themeColor="text1"/>
          <w:sz w:val="16"/>
          <w:szCs w:val="16"/>
        </w:rPr>
        <w:t>50.0</w:t>
      </w:r>
      <w:r w:rsidRPr="00DC4955">
        <w:rPr>
          <w:color w:val="000000" w:themeColor="text1"/>
          <w:sz w:val="16"/>
          <w:szCs w:val="16"/>
        </w:rPr>
        <w:t>% to $</w:t>
      </w:r>
      <w:r w:rsidR="00E170A3" w:rsidRPr="00DC4955">
        <w:rPr>
          <w:color w:val="000000" w:themeColor="text1"/>
          <w:sz w:val="16"/>
          <w:szCs w:val="16"/>
        </w:rPr>
        <w:t>5.2</w:t>
      </w:r>
      <w:r w:rsidRPr="00DC4955">
        <w:rPr>
          <w:color w:val="000000" w:themeColor="text1"/>
          <w:sz w:val="16"/>
          <w:szCs w:val="16"/>
        </w:rPr>
        <w:t> billion.</w:t>
      </w:r>
    </w:p>
    <w:p w14:paraId="5DB90819" w14:textId="77777777" w:rsidR="00233755" w:rsidRPr="00DE2C49" w:rsidRDefault="00233755" w:rsidP="00233755">
      <w:pPr>
        <w:pStyle w:val="ListParagraph"/>
        <w:numPr>
          <w:ilvl w:val="0"/>
          <w:numId w:val="31"/>
        </w:numPr>
        <w:spacing w:before="40" w:after="40"/>
        <w:ind w:right="227" w:hanging="357"/>
        <w:contextualSpacing w:val="0"/>
        <w:jc w:val="both"/>
        <w:rPr>
          <w:sz w:val="16"/>
          <w:szCs w:val="16"/>
        </w:rPr>
      </w:pPr>
      <w:r w:rsidRPr="00DE2C49">
        <w:rPr>
          <w:sz w:val="16"/>
          <w:szCs w:val="16"/>
        </w:rPr>
        <w:t>The value of building activity in Western Australia increased 11.2% to $15.6 billion in the four quarters to the December quarter 2024. The value of:</w:t>
      </w:r>
    </w:p>
    <w:p w14:paraId="1E788D96" w14:textId="77777777" w:rsidR="00233755" w:rsidRPr="00DE2C49" w:rsidRDefault="00233755" w:rsidP="00233755">
      <w:pPr>
        <w:pStyle w:val="ListParagraph"/>
        <w:numPr>
          <w:ilvl w:val="0"/>
          <w:numId w:val="33"/>
        </w:numPr>
        <w:spacing w:before="40" w:after="40"/>
        <w:ind w:right="227" w:hanging="357"/>
        <w:contextualSpacing w:val="0"/>
        <w:jc w:val="both"/>
        <w:rPr>
          <w:sz w:val="16"/>
          <w:szCs w:val="16"/>
        </w:rPr>
      </w:pPr>
      <w:r w:rsidRPr="00DE2C49">
        <w:rPr>
          <w:sz w:val="16"/>
          <w:szCs w:val="16"/>
        </w:rPr>
        <w:t>residential building activity rose 12.3% to $9.1 billion</w:t>
      </w:r>
    </w:p>
    <w:p w14:paraId="11DC798E" w14:textId="77777777" w:rsidR="00233755" w:rsidRPr="00DE2C49" w:rsidRDefault="00233755" w:rsidP="00233755">
      <w:pPr>
        <w:pStyle w:val="ListParagraph"/>
        <w:numPr>
          <w:ilvl w:val="0"/>
          <w:numId w:val="33"/>
        </w:numPr>
        <w:spacing w:before="40" w:after="40"/>
        <w:ind w:right="227" w:hanging="357"/>
        <w:contextualSpacing w:val="0"/>
        <w:jc w:val="both"/>
        <w:rPr>
          <w:sz w:val="16"/>
          <w:szCs w:val="16"/>
        </w:rPr>
      </w:pPr>
      <w:r w:rsidRPr="00DE2C49">
        <w:rPr>
          <w:sz w:val="16"/>
          <w:szCs w:val="16"/>
        </w:rPr>
        <w:t>non-residential building activity rose 9.8% to $6.5 billion.</w:t>
      </w:r>
    </w:p>
    <w:p w14:paraId="522FE9B1" w14:textId="77777777" w:rsidR="00233755" w:rsidRPr="006A3A77" w:rsidRDefault="00233755" w:rsidP="00233755">
      <w:pPr>
        <w:pStyle w:val="ListParagraph"/>
        <w:numPr>
          <w:ilvl w:val="0"/>
          <w:numId w:val="33"/>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77777777" w:rsidR="00233755" w:rsidRPr="00AC3621" w:rsidRDefault="00233755" w:rsidP="00233755">
      <w:pPr>
        <w:pStyle w:val="Heading4"/>
        <w:spacing w:before="12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 in the pipeline</w:t>
      </w:r>
    </w:p>
    <w:p w14:paraId="1042B0BC" w14:textId="42BDC324" w:rsidR="00233755" w:rsidRPr="007B1AE5" w:rsidRDefault="00C9510F" w:rsidP="00233755">
      <w:pPr>
        <w:rPr>
          <w:rFonts w:eastAsiaTheme="majorEastAsia"/>
        </w:rPr>
      </w:pPr>
      <w:r>
        <w:rPr>
          <w:rFonts w:eastAsiaTheme="majorEastAsia"/>
          <w:noProof/>
        </w:rPr>
        <w:drawing>
          <wp:inline distT="0" distB="0" distL="0" distR="0" wp14:anchorId="70E169E8" wp14:editId="798C1582">
            <wp:extent cx="3371273" cy="2022764"/>
            <wp:effectExtent l="0" t="0" r="635" b="0"/>
            <wp:docPr id="81366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6772" cy="2032063"/>
                    </a:xfrm>
                    <a:prstGeom prst="rect">
                      <a:avLst/>
                    </a:prstGeom>
                    <a:noFill/>
                    <a:ln>
                      <a:noFill/>
                    </a:ln>
                  </pic:spPr>
                </pic:pic>
              </a:graphicData>
            </a:graphic>
          </wp:inline>
        </w:drawing>
      </w:r>
    </w:p>
    <w:p w14:paraId="6982CAA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series. (a) </w:t>
      </w:r>
      <w:r>
        <w:rPr>
          <w:sz w:val="10"/>
          <w:szCs w:val="10"/>
        </w:rPr>
        <w:t xml:space="preserve">Data just for Western Australia is not available for some quarters; the data presented here is the national total excluding all states and territories except for Western Australia and </w:t>
      </w:r>
      <w:r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59A63965" w14:textId="77777777" w:rsidR="00233755" w:rsidRPr="00AF759E" w:rsidRDefault="00233755" w:rsidP="00233755">
      <w:pPr>
        <w:jc w:val="both"/>
        <w:rPr>
          <w:sz w:val="10"/>
          <w:szCs w:val="10"/>
        </w:rPr>
      </w:pPr>
      <w:r w:rsidRPr="00AF759E">
        <w:rPr>
          <w:sz w:val="10"/>
          <w:szCs w:val="10"/>
        </w:rPr>
        <w:t>Source: Based on ABS data.</w:t>
      </w:r>
    </w:p>
    <w:p w14:paraId="58F4BCC5" w14:textId="4ECCDBA1"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E170A3">
        <w:rPr>
          <w:sz w:val="16"/>
          <w:szCs w:val="16"/>
        </w:rPr>
        <w:t>The value of</w:t>
      </w:r>
      <w:r w:rsidRPr="002D03F7">
        <w:rPr>
          <w:sz w:val="16"/>
          <w:szCs w:val="16"/>
        </w:rPr>
        <w:t xml:space="preserve"> engineering construction activity in the pipeline increased significantly in the early 2010s as investment was committed to several new iron ore and liquefied natural gas projects a</w:t>
      </w:r>
      <w:r w:rsidRPr="00AC7274">
        <w:rPr>
          <w:sz w:val="16"/>
          <w:szCs w:val="16"/>
        </w:rPr>
        <w:t xml:space="preserve">nd then fell as these projects were constructed. The pipeline of activity picked up in recent years with investment in new projects, but </w:t>
      </w:r>
      <w:r w:rsidRPr="00DC4955">
        <w:rPr>
          <w:color w:val="000000" w:themeColor="text1"/>
          <w:sz w:val="16"/>
          <w:szCs w:val="16"/>
        </w:rPr>
        <w:t xml:space="preserve">the value of work in the pipeline has </w:t>
      </w:r>
      <w:r w:rsidR="003212CC" w:rsidRPr="00DC4955">
        <w:rPr>
          <w:color w:val="000000" w:themeColor="text1"/>
          <w:sz w:val="16"/>
          <w:szCs w:val="16"/>
        </w:rPr>
        <w:t>fallen from</w:t>
      </w:r>
      <w:r w:rsidRPr="00DC4955">
        <w:rPr>
          <w:color w:val="000000" w:themeColor="text1"/>
          <w:sz w:val="16"/>
          <w:szCs w:val="16"/>
        </w:rPr>
        <w:t xml:space="preserve"> its recent peak.</w:t>
      </w:r>
    </w:p>
    <w:p w14:paraId="3FFAACAE" w14:textId="0FDD8A86"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DC4955">
        <w:rPr>
          <w:color w:val="000000" w:themeColor="text1"/>
          <w:sz w:val="16"/>
          <w:szCs w:val="16"/>
        </w:rPr>
        <w:t>The value of engineering construction work yet to be done in Western Australia and Northern Territory</w:t>
      </w:r>
      <w:r w:rsidRPr="00DC4955">
        <w:rPr>
          <w:color w:val="000000" w:themeColor="text1"/>
          <w:sz w:val="16"/>
          <w:szCs w:val="16"/>
          <w:vertAlign w:val="superscript"/>
        </w:rPr>
        <w:t>(a)</w:t>
      </w:r>
      <w:r w:rsidRPr="00DC4955">
        <w:rPr>
          <w:color w:val="000000" w:themeColor="text1"/>
          <w:sz w:val="16"/>
          <w:szCs w:val="16"/>
        </w:rPr>
        <w:t xml:space="preserve"> fell </w:t>
      </w:r>
      <w:r w:rsidR="00E170A3" w:rsidRPr="00DC4955">
        <w:rPr>
          <w:color w:val="000000" w:themeColor="text1"/>
          <w:sz w:val="16"/>
          <w:szCs w:val="16"/>
        </w:rPr>
        <w:t>8.6</w:t>
      </w:r>
      <w:r w:rsidRPr="00DC4955">
        <w:rPr>
          <w:color w:val="000000" w:themeColor="text1"/>
          <w:sz w:val="16"/>
          <w:szCs w:val="16"/>
        </w:rPr>
        <w:t>% to $</w:t>
      </w:r>
      <w:r w:rsidR="00E170A3" w:rsidRPr="00DC4955">
        <w:rPr>
          <w:color w:val="000000" w:themeColor="text1"/>
          <w:sz w:val="16"/>
          <w:szCs w:val="16"/>
        </w:rPr>
        <w:t>29.0</w:t>
      </w:r>
      <w:r w:rsidRPr="00DC4955">
        <w:rPr>
          <w:color w:val="000000" w:themeColor="text1"/>
          <w:sz w:val="16"/>
          <w:szCs w:val="16"/>
        </w:rPr>
        <w:t xml:space="preserve"> billion in the </w:t>
      </w:r>
      <w:r w:rsidR="00E170A3" w:rsidRPr="00DC4955">
        <w:rPr>
          <w:color w:val="000000" w:themeColor="text1"/>
          <w:sz w:val="16"/>
          <w:szCs w:val="16"/>
        </w:rPr>
        <w:t>March</w:t>
      </w:r>
      <w:r w:rsidRPr="00DC4955">
        <w:rPr>
          <w:color w:val="000000" w:themeColor="text1"/>
          <w:sz w:val="16"/>
          <w:szCs w:val="16"/>
        </w:rPr>
        <w:t xml:space="preserve"> quarter 202</w:t>
      </w:r>
      <w:r w:rsidR="00E170A3" w:rsidRPr="00DC4955">
        <w:rPr>
          <w:color w:val="000000" w:themeColor="text1"/>
          <w:sz w:val="16"/>
          <w:szCs w:val="16"/>
        </w:rPr>
        <w:t>5</w:t>
      </w:r>
      <w:r w:rsidRPr="00AC7274">
        <w:rPr>
          <w:sz w:val="16"/>
          <w:szCs w:val="16"/>
        </w:rPr>
        <w:t>.</w:t>
      </w:r>
    </w:p>
    <w:p w14:paraId="0EBF6442"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The value of building activity in the pipeline increased from mid</w:t>
      </w:r>
      <w:r w:rsidRPr="00AC7274">
        <w:rPr>
          <w:sz w:val="16"/>
          <w:szCs w:val="16"/>
        </w:rPr>
        <w:noBreakHyphen/>
        <w:t>2020 to mid</w:t>
      </w:r>
      <w:r w:rsidRPr="00AC7274">
        <w:rPr>
          <w:sz w:val="16"/>
          <w:szCs w:val="16"/>
        </w:rPr>
        <w:noBreakHyphen/>
        <w:t>2022, encouraged by stimulus measures introduced by the Australian and Western Australian Government, then fell across 2023 as higher construction costs and interest rates deterred new investment, before stabilising in 2024.</w:t>
      </w:r>
    </w:p>
    <w:p w14:paraId="5F75F1AB" w14:textId="77777777" w:rsidR="00233755" w:rsidRPr="00DE2C49" w:rsidRDefault="00233755" w:rsidP="00233755">
      <w:pPr>
        <w:pStyle w:val="ListParagraph"/>
        <w:numPr>
          <w:ilvl w:val="0"/>
          <w:numId w:val="31"/>
        </w:numPr>
        <w:spacing w:before="40" w:after="40"/>
        <w:ind w:right="227" w:hanging="357"/>
        <w:contextualSpacing w:val="0"/>
        <w:jc w:val="both"/>
        <w:rPr>
          <w:sz w:val="16"/>
          <w:szCs w:val="16"/>
        </w:rPr>
      </w:pPr>
      <w:r w:rsidRPr="00DE2C49">
        <w:rPr>
          <w:sz w:val="16"/>
          <w:szCs w:val="16"/>
        </w:rPr>
        <w:t>The value of building activity in the pipeline in Western Australia rose 3.7% to $11.8 billion in the December quarter 2024, with the value of activity in the pipeline for:</w:t>
      </w:r>
    </w:p>
    <w:p w14:paraId="4AC52814" w14:textId="77777777" w:rsidR="00233755" w:rsidRPr="00DE2C49" w:rsidRDefault="00233755" w:rsidP="00233755">
      <w:pPr>
        <w:pStyle w:val="ListParagraph"/>
        <w:numPr>
          <w:ilvl w:val="0"/>
          <w:numId w:val="33"/>
        </w:numPr>
        <w:spacing w:before="40" w:after="40"/>
        <w:ind w:right="227" w:hanging="357"/>
        <w:contextualSpacing w:val="0"/>
        <w:jc w:val="both"/>
        <w:rPr>
          <w:sz w:val="16"/>
          <w:szCs w:val="16"/>
        </w:rPr>
      </w:pPr>
      <w:r w:rsidRPr="00DE2C49">
        <w:rPr>
          <w:sz w:val="16"/>
          <w:szCs w:val="16"/>
        </w:rPr>
        <w:t>residential building up 7.9% to $6.9 billion</w:t>
      </w:r>
    </w:p>
    <w:p w14:paraId="089F63E1" w14:textId="77777777" w:rsidR="00233755" w:rsidRPr="00DE2C49" w:rsidRDefault="00233755" w:rsidP="00233755">
      <w:pPr>
        <w:pStyle w:val="ListParagraph"/>
        <w:numPr>
          <w:ilvl w:val="0"/>
          <w:numId w:val="33"/>
        </w:numPr>
        <w:spacing w:before="40" w:after="40"/>
        <w:ind w:right="227" w:hanging="357"/>
        <w:contextualSpacing w:val="0"/>
        <w:jc w:val="both"/>
        <w:rPr>
          <w:sz w:val="16"/>
          <w:szCs w:val="16"/>
        </w:rPr>
      </w:pPr>
      <w:r w:rsidRPr="00DE2C49">
        <w:rPr>
          <w:sz w:val="16"/>
          <w:szCs w:val="16"/>
        </w:rPr>
        <w:t>non</w:t>
      </w:r>
      <w:r w:rsidRPr="00DE2C49">
        <w:rPr>
          <w:sz w:val="16"/>
          <w:szCs w:val="16"/>
        </w:rPr>
        <w:noBreakHyphen/>
        <w:t>residential building down 1.9% to $4.8 billion.</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27" w:name="_International_trade"/>
      <w:bookmarkStart w:id="28" w:name="_Regional_economic_conditions"/>
      <w:bookmarkEnd w:id="27"/>
      <w:bookmarkEnd w:id="28"/>
      <w:r>
        <w:rPr>
          <w:color w:val="002060"/>
          <w:sz w:val="24"/>
          <w:szCs w:val="24"/>
        </w:rPr>
        <w:lastRenderedPageBreak/>
        <w:t>Regional labour markets and construction</w:t>
      </w:r>
    </w:p>
    <w:p w14:paraId="4C6FD0A1"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8A39364"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Pr>
          <w:i w:val="0"/>
          <w:iCs w:val="0"/>
          <w:color w:val="92278F" w:themeColor="accent1"/>
          <w:sz w:val="20"/>
          <w:szCs w:val="20"/>
        </w:rPr>
        <w:t>Internet vacancies by region</w:t>
      </w:r>
    </w:p>
    <w:p w14:paraId="365A5A8A" w14:textId="49C6C1D9" w:rsidR="00233755" w:rsidRPr="007B1AE5" w:rsidRDefault="008263A6" w:rsidP="00233755">
      <w:r>
        <w:rPr>
          <w:noProof/>
        </w:rPr>
        <w:drawing>
          <wp:inline distT="0" distB="0" distL="0" distR="0" wp14:anchorId="62D92ECF" wp14:editId="03D4FB64">
            <wp:extent cx="3383280" cy="2143684"/>
            <wp:effectExtent l="0" t="0" r="7620" b="9525"/>
            <wp:docPr id="9668183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2173" cy="2149318"/>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4F4C3ED1" w14:textId="2412891B"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bookmarkStart w:id="29" w:name="_Hlk194604205"/>
      <w:r w:rsidRPr="00AC7274">
        <w:rPr>
          <w:sz w:val="16"/>
          <w:szCs w:val="16"/>
        </w:rPr>
        <w:t>Internet job vacancies have been falling across Western Australia’s non-metropolitan regions over the past two years, although they remain at relatively high levels.</w:t>
      </w:r>
    </w:p>
    <w:p w14:paraId="3B12A4BA" w14:textId="71AA3C1A"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Between </w:t>
      </w:r>
      <w:r w:rsidR="00883ADD" w:rsidRPr="00DC4955">
        <w:rPr>
          <w:color w:val="000000" w:themeColor="text1"/>
          <w:sz w:val="16"/>
          <w:szCs w:val="16"/>
        </w:rPr>
        <w:t>May</w:t>
      </w:r>
      <w:r w:rsidRPr="00DC4955">
        <w:rPr>
          <w:color w:val="000000" w:themeColor="text1"/>
          <w:sz w:val="16"/>
          <w:szCs w:val="16"/>
        </w:rPr>
        <w:t xml:space="preserve"> 2024 and 2025, internet vacancies in the:</w:t>
      </w:r>
    </w:p>
    <w:p w14:paraId="55465460" w14:textId="230DDD8E"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Pilbara and Kimberley region fell </w:t>
      </w:r>
      <w:r w:rsidR="00883ADD" w:rsidRPr="00DC4955">
        <w:rPr>
          <w:color w:val="000000" w:themeColor="text1"/>
          <w:sz w:val="16"/>
          <w:szCs w:val="16"/>
        </w:rPr>
        <w:t>11</w:t>
      </w:r>
      <w:r w:rsidRPr="00DC4955">
        <w:rPr>
          <w:color w:val="000000" w:themeColor="text1"/>
          <w:sz w:val="16"/>
          <w:szCs w:val="16"/>
        </w:rPr>
        <w:t>% to 1,</w:t>
      </w:r>
      <w:r w:rsidR="00883ADD" w:rsidRPr="00DC4955">
        <w:rPr>
          <w:color w:val="000000" w:themeColor="text1"/>
          <w:sz w:val="16"/>
          <w:szCs w:val="16"/>
        </w:rPr>
        <w:t>947</w:t>
      </w:r>
    </w:p>
    <w:p w14:paraId="061FDACB" w14:textId="2EFF99DD"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Goldfields and Southern region fell 2% to 1,8</w:t>
      </w:r>
      <w:r w:rsidR="00883ADD" w:rsidRPr="00DC4955">
        <w:rPr>
          <w:color w:val="000000" w:themeColor="text1"/>
          <w:sz w:val="16"/>
          <w:szCs w:val="16"/>
        </w:rPr>
        <w:t>01</w:t>
      </w:r>
    </w:p>
    <w:p w14:paraId="0F195126" w14:textId="3757C247"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South West region fell 1</w:t>
      </w:r>
      <w:r w:rsidR="00883ADD" w:rsidRPr="00DC4955">
        <w:rPr>
          <w:color w:val="000000" w:themeColor="text1"/>
          <w:sz w:val="16"/>
          <w:szCs w:val="16"/>
        </w:rPr>
        <w:t>3</w:t>
      </w:r>
      <w:r w:rsidRPr="00DC4955">
        <w:rPr>
          <w:color w:val="000000" w:themeColor="text1"/>
          <w:sz w:val="16"/>
          <w:szCs w:val="16"/>
        </w:rPr>
        <w:t>% to 1,</w:t>
      </w:r>
      <w:r w:rsidR="00883ADD" w:rsidRPr="00DC4955">
        <w:rPr>
          <w:color w:val="000000" w:themeColor="text1"/>
          <w:sz w:val="16"/>
          <w:szCs w:val="16"/>
        </w:rPr>
        <w:t>307</w:t>
      </w:r>
      <w:r w:rsidRPr="00DC4955">
        <w:rPr>
          <w:color w:val="000000" w:themeColor="text1"/>
          <w:sz w:val="16"/>
          <w:szCs w:val="16"/>
        </w:rPr>
        <w:t>.</w:t>
      </w:r>
    </w:p>
    <w:p w14:paraId="594AE982" w14:textId="195743F7" w:rsidR="00233755" w:rsidRPr="00DC4955" w:rsidRDefault="00233755" w:rsidP="00233755">
      <w:pPr>
        <w:pStyle w:val="ListParagraph"/>
        <w:numPr>
          <w:ilvl w:val="0"/>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Professional occupations largely drove the decline in internet job vacancies across Western Australia’s regions in the year to </w:t>
      </w:r>
      <w:r w:rsidR="003A08A2" w:rsidRPr="00DC4955">
        <w:rPr>
          <w:color w:val="000000" w:themeColor="text1"/>
          <w:sz w:val="16"/>
          <w:szCs w:val="16"/>
        </w:rPr>
        <w:t>May</w:t>
      </w:r>
      <w:r w:rsidRPr="00DC4955">
        <w:rPr>
          <w:color w:val="000000" w:themeColor="text1"/>
          <w:sz w:val="16"/>
          <w:szCs w:val="16"/>
        </w:rPr>
        <w:t> 2025, including:</w:t>
      </w:r>
    </w:p>
    <w:p w14:paraId="29ECFDBD" w14:textId="3E9EAD54"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medical practitioners and nurses (down </w:t>
      </w:r>
      <w:r w:rsidR="003A08A2" w:rsidRPr="00DC4955">
        <w:rPr>
          <w:color w:val="000000" w:themeColor="text1"/>
          <w:sz w:val="16"/>
          <w:szCs w:val="16"/>
        </w:rPr>
        <w:t>43</w:t>
      </w:r>
      <w:r w:rsidRPr="00DC4955">
        <w:rPr>
          <w:color w:val="000000" w:themeColor="text1"/>
          <w:sz w:val="16"/>
          <w:szCs w:val="16"/>
        </w:rPr>
        <w:t>%) and engineers (down 3</w:t>
      </w:r>
      <w:r w:rsidR="003A08A2" w:rsidRPr="00DC4955">
        <w:rPr>
          <w:color w:val="000000" w:themeColor="text1"/>
          <w:sz w:val="16"/>
          <w:szCs w:val="16"/>
        </w:rPr>
        <w:t>3</w:t>
      </w:r>
      <w:r w:rsidRPr="00DC4955">
        <w:rPr>
          <w:color w:val="000000" w:themeColor="text1"/>
          <w:sz w:val="16"/>
          <w:szCs w:val="16"/>
        </w:rPr>
        <w:t>%) in the Pilbara and Kimberley region</w:t>
      </w:r>
    </w:p>
    <w:p w14:paraId="03CF0984" w14:textId="686C40E3"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medical practitioners and nurses (down 3</w:t>
      </w:r>
      <w:r w:rsidR="003A08A2" w:rsidRPr="00DC4955">
        <w:rPr>
          <w:color w:val="000000" w:themeColor="text1"/>
          <w:sz w:val="16"/>
          <w:szCs w:val="16"/>
        </w:rPr>
        <w:t>1</w:t>
      </w:r>
      <w:r w:rsidRPr="00DC4955">
        <w:rPr>
          <w:color w:val="000000" w:themeColor="text1"/>
          <w:sz w:val="16"/>
          <w:szCs w:val="16"/>
        </w:rPr>
        <w:t>%) and health diagnostic and therapy professionals (down 3</w:t>
      </w:r>
      <w:r w:rsidR="003A08A2" w:rsidRPr="00DC4955">
        <w:rPr>
          <w:color w:val="000000" w:themeColor="text1"/>
          <w:sz w:val="16"/>
          <w:szCs w:val="16"/>
        </w:rPr>
        <w:t>0</w:t>
      </w:r>
      <w:r w:rsidRPr="00DC4955">
        <w:rPr>
          <w:color w:val="000000" w:themeColor="text1"/>
          <w:sz w:val="16"/>
          <w:szCs w:val="16"/>
        </w:rPr>
        <w:t>%) in the South West region</w:t>
      </w:r>
    </w:p>
    <w:p w14:paraId="38ACB5DD" w14:textId="046255DE" w:rsidR="00233755" w:rsidRPr="00DC4955" w:rsidRDefault="00233755" w:rsidP="00233755">
      <w:pPr>
        <w:pStyle w:val="ListParagraph"/>
        <w:numPr>
          <w:ilvl w:val="1"/>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medical practitioners and nurses (down </w:t>
      </w:r>
      <w:r w:rsidR="003A08A2" w:rsidRPr="00DC4955">
        <w:rPr>
          <w:color w:val="000000" w:themeColor="text1"/>
          <w:sz w:val="16"/>
          <w:szCs w:val="16"/>
        </w:rPr>
        <w:t>36</w:t>
      </w:r>
      <w:r w:rsidRPr="00DC4955">
        <w:rPr>
          <w:color w:val="000000" w:themeColor="text1"/>
          <w:sz w:val="16"/>
          <w:szCs w:val="16"/>
        </w:rPr>
        <w:t xml:space="preserve">%) and </w:t>
      </w:r>
      <w:r w:rsidR="003A08A2" w:rsidRPr="00DC4955">
        <w:rPr>
          <w:color w:val="000000" w:themeColor="text1"/>
          <w:sz w:val="16"/>
          <w:szCs w:val="16"/>
        </w:rPr>
        <w:t>engineers</w:t>
      </w:r>
      <w:r w:rsidRPr="00DC4955">
        <w:rPr>
          <w:color w:val="000000" w:themeColor="text1"/>
          <w:sz w:val="16"/>
          <w:szCs w:val="16"/>
        </w:rPr>
        <w:t xml:space="preserve"> (down 1</w:t>
      </w:r>
      <w:r w:rsidR="003A08A2" w:rsidRPr="00DC4955">
        <w:rPr>
          <w:color w:val="000000" w:themeColor="text1"/>
          <w:sz w:val="16"/>
          <w:szCs w:val="16"/>
        </w:rPr>
        <w:t>5%</w:t>
      </w:r>
      <w:r w:rsidRPr="00DC4955">
        <w:rPr>
          <w:color w:val="000000" w:themeColor="text1"/>
          <w:sz w:val="16"/>
          <w:szCs w:val="16"/>
        </w:rPr>
        <w:t>) in the Goldfields and Southern region.</w:t>
      </w:r>
    </w:p>
    <w:p w14:paraId="54C9BFDE" w14:textId="295A71E9" w:rsidR="00233755" w:rsidRPr="00DC4955" w:rsidRDefault="00233755" w:rsidP="00233755">
      <w:pPr>
        <w:pStyle w:val="ListParagraph"/>
        <w:numPr>
          <w:ilvl w:val="0"/>
          <w:numId w:val="31"/>
        </w:numPr>
        <w:spacing w:before="40" w:after="40"/>
        <w:ind w:right="227"/>
        <w:contextualSpacing w:val="0"/>
        <w:jc w:val="both"/>
        <w:rPr>
          <w:color w:val="000000" w:themeColor="text1"/>
          <w:sz w:val="16"/>
          <w:szCs w:val="16"/>
        </w:rPr>
      </w:pPr>
      <w:r w:rsidRPr="00DC4955">
        <w:rPr>
          <w:color w:val="000000" w:themeColor="text1"/>
          <w:sz w:val="16"/>
          <w:szCs w:val="16"/>
        </w:rPr>
        <w:t xml:space="preserve">Internet job vacancies also fell significantly for </w:t>
      </w:r>
      <w:r w:rsidR="00AB4691" w:rsidRPr="00DC4955">
        <w:rPr>
          <w:color w:val="000000" w:themeColor="text1"/>
          <w:sz w:val="16"/>
          <w:szCs w:val="16"/>
        </w:rPr>
        <w:t>community and personal service</w:t>
      </w:r>
      <w:r w:rsidRPr="00DC4955">
        <w:rPr>
          <w:color w:val="000000" w:themeColor="text1"/>
          <w:sz w:val="16"/>
          <w:szCs w:val="16"/>
        </w:rPr>
        <w:t xml:space="preserve"> workers in the Pilbara and Kimberley region (down</w:t>
      </w:r>
      <w:r w:rsidR="003212CC" w:rsidRPr="00DC4955">
        <w:rPr>
          <w:color w:val="000000" w:themeColor="text1"/>
          <w:sz w:val="16"/>
          <w:szCs w:val="16"/>
        </w:rPr>
        <w:t> </w:t>
      </w:r>
      <w:r w:rsidR="00AB4691" w:rsidRPr="00DC4955">
        <w:rPr>
          <w:color w:val="000000" w:themeColor="text1"/>
          <w:sz w:val="16"/>
          <w:szCs w:val="16"/>
        </w:rPr>
        <w:t>29</w:t>
      </w:r>
      <w:r w:rsidRPr="00DC4955">
        <w:rPr>
          <w:color w:val="000000" w:themeColor="text1"/>
          <w:sz w:val="16"/>
          <w:szCs w:val="16"/>
        </w:rPr>
        <w:t>%) and in the South West region (down 3</w:t>
      </w:r>
      <w:r w:rsidR="00AB4691" w:rsidRPr="00DC4955">
        <w:rPr>
          <w:color w:val="000000" w:themeColor="text1"/>
          <w:sz w:val="16"/>
          <w:szCs w:val="16"/>
        </w:rPr>
        <w:t>2</w:t>
      </w:r>
      <w:r w:rsidRPr="00DC4955">
        <w:rPr>
          <w:color w:val="000000" w:themeColor="text1"/>
          <w:sz w:val="16"/>
          <w:szCs w:val="16"/>
        </w:rPr>
        <w:t>%).</w:t>
      </w:r>
    </w:p>
    <w:bookmarkEnd w:id="29"/>
    <w:p w14:paraId="5AD286A8" w14:textId="77777777" w:rsidR="00233755" w:rsidRPr="00F57832" w:rsidRDefault="00233755" w:rsidP="00233755">
      <w:pPr>
        <w:pStyle w:val="ListParagraph"/>
        <w:numPr>
          <w:ilvl w:val="0"/>
          <w:numId w:val="31"/>
        </w:numPr>
        <w:jc w:val="both"/>
        <w:rPr>
          <w:sz w:val="16"/>
          <w:szCs w:val="16"/>
          <w:highlight w:val="yellow"/>
        </w:rPr>
        <w:sectPr w:rsidR="00233755" w:rsidRPr="00F57832" w:rsidSect="00233755">
          <w:type w:val="continuous"/>
          <w:pgSz w:w="11907" w:h="16840" w:code="9"/>
          <w:pgMar w:top="1701" w:right="425" w:bottom="567" w:left="567" w:header="709" w:footer="709" w:gutter="0"/>
          <w:cols w:num="2" w:space="113"/>
          <w:docGrid w:linePitch="360"/>
        </w:sectPr>
      </w:pPr>
    </w:p>
    <w:p w14:paraId="5984C128"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E240F0">
        <w:rPr>
          <w:i w:val="0"/>
          <w:iCs w:val="0"/>
          <w:color w:val="92278F" w:themeColor="accent1"/>
          <w:sz w:val="20"/>
          <w:szCs w:val="20"/>
        </w:rPr>
        <w:t>Unemployment rate by region</w:t>
      </w:r>
    </w:p>
    <w:p w14:paraId="54F30B79" w14:textId="77777777" w:rsidR="00233755" w:rsidRPr="007B1AE5" w:rsidRDefault="00233755" w:rsidP="00233755">
      <w:r>
        <w:rPr>
          <w:noProof/>
        </w:rPr>
        <w:drawing>
          <wp:inline distT="0" distB="0" distL="0" distR="0" wp14:anchorId="32E75355" wp14:editId="353D91A0">
            <wp:extent cx="3383359" cy="1795750"/>
            <wp:effectExtent l="0" t="0" r="7620" b="0"/>
            <wp:docPr id="3748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8092" cy="180887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4CDBAA45" w14:textId="77777777" w:rsidR="00233755" w:rsidRPr="00AF759E" w:rsidRDefault="00233755" w:rsidP="00233755">
      <w:pPr>
        <w:jc w:val="both"/>
        <w:rPr>
          <w:sz w:val="10"/>
          <w:szCs w:val="10"/>
        </w:rPr>
      </w:pPr>
    </w:p>
    <w:p w14:paraId="2220081D" w14:textId="77777777" w:rsidR="00233755" w:rsidRPr="00E170A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bookmarkStart w:id="30" w:name="_Hlk194604257"/>
      <w:r w:rsidRPr="00E170A3">
        <w:rPr>
          <w:sz w:val="16"/>
          <w:szCs w:val="16"/>
        </w:rPr>
        <w:t>The unemployment rate was below 4% across Western Australia’s regions in the December quarter 2024, with the exception of the Kimberley region.</w:t>
      </w:r>
    </w:p>
    <w:p w14:paraId="41E3FB5B" w14:textId="77777777" w:rsidR="00233755" w:rsidRPr="00BE7C4E" w:rsidRDefault="00233755" w:rsidP="00233755">
      <w:pPr>
        <w:pStyle w:val="ListParagraph"/>
        <w:numPr>
          <w:ilvl w:val="0"/>
          <w:numId w:val="31"/>
        </w:numPr>
        <w:spacing w:before="40" w:after="40"/>
        <w:ind w:left="357" w:right="227" w:hanging="357"/>
        <w:contextualSpacing w:val="0"/>
        <w:jc w:val="both"/>
        <w:rPr>
          <w:sz w:val="16"/>
          <w:szCs w:val="16"/>
        </w:rPr>
      </w:pPr>
      <w:r w:rsidRPr="00BE7C4E">
        <w:rPr>
          <w:sz w:val="16"/>
          <w:szCs w:val="16"/>
        </w:rPr>
        <w:t>The Kimberley generally has the highest unemployment rate of Western Australia’s regions. However, the unemployment rate of 8.9% for the Kimberley in the December quarter 2024 was much lower than prior to the COVID</w:t>
      </w:r>
      <w:r w:rsidRPr="00BE7C4E">
        <w:rPr>
          <w:sz w:val="16"/>
          <w:szCs w:val="16"/>
        </w:rPr>
        <w:noBreakHyphen/>
        <w:t>19 pandemic (16.2% in the December quarter 2019).</w:t>
      </w:r>
    </w:p>
    <w:p w14:paraId="622E9C16" w14:textId="77777777" w:rsidR="00233755" w:rsidRPr="00BE7C4E" w:rsidRDefault="00233755" w:rsidP="00233755">
      <w:pPr>
        <w:pStyle w:val="ListParagraph"/>
        <w:numPr>
          <w:ilvl w:val="0"/>
          <w:numId w:val="31"/>
        </w:numPr>
        <w:spacing w:before="40" w:after="40"/>
        <w:ind w:right="227" w:hanging="357"/>
        <w:contextualSpacing w:val="0"/>
        <w:jc w:val="both"/>
        <w:rPr>
          <w:sz w:val="16"/>
          <w:szCs w:val="16"/>
        </w:rPr>
      </w:pPr>
      <w:r w:rsidRPr="00BE7C4E">
        <w:rPr>
          <w:sz w:val="16"/>
          <w:szCs w:val="16"/>
        </w:rPr>
        <w:t>The unemployment rate declined in all Western Australia’s regions in the December quarter 2024. The Wheatbelt region (3.0% to 2.4%) had the largest decline in unemployment rate in the December quarter 2024, followed by the Great Southern region (2.7% to 2.1%).</w:t>
      </w:r>
    </w:p>
    <w:bookmarkEnd w:id="30"/>
    <w:p w14:paraId="3126E384" w14:textId="77777777" w:rsidR="00233755" w:rsidRPr="006A3A77" w:rsidRDefault="00233755" w:rsidP="00233755">
      <w:pPr>
        <w:pStyle w:val="ListParagraph"/>
        <w:numPr>
          <w:ilvl w:val="0"/>
          <w:numId w:val="33"/>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3BF30B88" w14:textId="77777777" w:rsidR="00233755" w:rsidRDefault="00233755" w:rsidP="00233755">
      <w:pPr>
        <w:pStyle w:val="Heading4"/>
        <w:spacing w:before="120"/>
        <w:rPr>
          <w:i w:val="0"/>
          <w:iCs w:val="0"/>
          <w:color w:val="92278F" w:themeColor="accent1"/>
          <w:sz w:val="20"/>
          <w:szCs w:val="20"/>
        </w:rPr>
      </w:pPr>
      <w:r>
        <w:rPr>
          <w:i w:val="0"/>
          <w:iCs w:val="0"/>
          <w:color w:val="92278F" w:themeColor="accent1"/>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77777777" w:rsidR="00233755" w:rsidRPr="007B1AE5" w:rsidRDefault="00233755" w:rsidP="00233755">
      <w:pPr>
        <w:rPr>
          <w:rFonts w:eastAsiaTheme="majorEastAsia"/>
        </w:rPr>
      </w:pPr>
      <w:r>
        <w:rPr>
          <w:rFonts w:eastAsiaTheme="majorEastAsia"/>
          <w:noProof/>
        </w:rPr>
        <w:drawing>
          <wp:inline distT="0" distB="0" distL="0" distR="0" wp14:anchorId="693DD471" wp14:editId="040BD955">
            <wp:extent cx="3383651" cy="1924050"/>
            <wp:effectExtent l="0" t="0" r="7620" b="0"/>
            <wp:docPr id="1945694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5855" cy="1925303"/>
                    </a:xfrm>
                    <a:prstGeom prst="rect">
                      <a:avLst/>
                    </a:prstGeom>
                    <a:noFill/>
                    <a:ln>
                      <a:noFill/>
                    </a:ln>
                  </pic:spPr>
                </pic:pic>
              </a:graphicData>
            </a:graphic>
          </wp:inline>
        </w:drawing>
      </w:r>
    </w:p>
    <w:p w14:paraId="18D8DBAE" w14:textId="77777777" w:rsidR="00233755" w:rsidRPr="00AC7274" w:rsidRDefault="00233755" w:rsidP="00233755">
      <w:pPr>
        <w:jc w:val="both"/>
        <w:rPr>
          <w:sz w:val="10"/>
          <w:szCs w:val="10"/>
        </w:rPr>
      </w:pPr>
      <w:r w:rsidRPr="00AC7274">
        <w:rPr>
          <w:sz w:val="10"/>
        </w:rPr>
        <w:t xml:space="preserve">Note – </w:t>
      </w:r>
      <w:r w:rsidRPr="00AC7274">
        <w:rPr>
          <w:sz w:val="10"/>
          <w:szCs w:val="10"/>
        </w:rPr>
        <w:t>Current prices. Original series. Monthly series. pp = percentage points.</w:t>
      </w:r>
      <w:r w:rsidRPr="00AC7274">
        <w:rPr>
          <w:sz w:val="10"/>
        </w:rPr>
        <w:t xml:space="preserve"> Development commission regions.</w:t>
      </w:r>
      <w:r w:rsidRPr="00AC7274">
        <w:rPr>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77777777" w:rsidR="00233755" w:rsidRPr="00AC7274" w:rsidRDefault="00233755" w:rsidP="00233755">
      <w:pPr>
        <w:pStyle w:val="ListParagraph"/>
        <w:numPr>
          <w:ilvl w:val="0"/>
          <w:numId w:val="31"/>
        </w:numPr>
        <w:spacing w:before="40" w:after="40"/>
        <w:ind w:left="0" w:right="227" w:hanging="284"/>
        <w:contextualSpacing w:val="0"/>
        <w:jc w:val="both"/>
        <w:rPr>
          <w:sz w:val="16"/>
          <w:szCs w:val="16"/>
        </w:rPr>
      </w:pPr>
      <w:r w:rsidRPr="007B1AE5">
        <w:br w:type="column"/>
      </w:r>
      <w:bookmarkStart w:id="31" w:name="_Hlk194604338"/>
      <w:r w:rsidRPr="00AC7274">
        <w:rPr>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77777777" w:rsidR="00233755" w:rsidRPr="00AC7274" w:rsidRDefault="00233755" w:rsidP="00233755">
      <w:pPr>
        <w:pStyle w:val="ListParagraph"/>
        <w:numPr>
          <w:ilvl w:val="1"/>
          <w:numId w:val="31"/>
        </w:numPr>
        <w:spacing w:before="40" w:after="40"/>
        <w:ind w:left="284" w:right="227" w:hanging="284"/>
        <w:contextualSpacing w:val="0"/>
        <w:jc w:val="both"/>
        <w:rPr>
          <w:sz w:val="16"/>
          <w:szCs w:val="16"/>
        </w:rPr>
      </w:pPr>
      <w:r w:rsidRPr="00AC7274">
        <w:rPr>
          <w:sz w:val="16"/>
          <w:szCs w:val="16"/>
        </w:rPr>
        <w:t>A comparison of building approvals on a per capita basis accounts for differences in regional populations and provides an indication of relative demand across regions.</w:t>
      </w:r>
    </w:p>
    <w:p w14:paraId="4C314BAB" w14:textId="77777777" w:rsidR="00233755" w:rsidRPr="00AC7274" w:rsidRDefault="00233755" w:rsidP="00233755">
      <w:pPr>
        <w:pStyle w:val="ListParagraph"/>
        <w:numPr>
          <w:ilvl w:val="0"/>
          <w:numId w:val="31"/>
        </w:numPr>
        <w:spacing w:before="40" w:after="40"/>
        <w:ind w:left="0" w:right="227" w:hanging="284"/>
        <w:contextualSpacing w:val="0"/>
        <w:jc w:val="both"/>
        <w:rPr>
          <w:sz w:val="16"/>
          <w:szCs w:val="16"/>
        </w:rPr>
      </w:pPr>
      <w:r w:rsidRPr="00AC7274">
        <w:rPr>
          <w:sz w:val="16"/>
          <w:szCs w:val="16"/>
        </w:rPr>
        <w:t>In 2023-24, the value of residential building approvals per capita was highest in the Peel region ($4,404), followed by the Gascoyne ($3,421) and South West region ($3,162).</w:t>
      </w:r>
    </w:p>
    <w:p w14:paraId="1A30C1E1" w14:textId="77777777" w:rsidR="00233755" w:rsidRPr="00AC7274" w:rsidRDefault="00233755" w:rsidP="00233755">
      <w:pPr>
        <w:pStyle w:val="ListParagraph"/>
        <w:numPr>
          <w:ilvl w:val="0"/>
          <w:numId w:val="31"/>
        </w:numPr>
        <w:spacing w:before="40" w:after="40"/>
        <w:ind w:left="0" w:right="227" w:hanging="284"/>
        <w:contextualSpacing w:val="0"/>
        <w:jc w:val="both"/>
        <w:rPr>
          <w:sz w:val="16"/>
          <w:szCs w:val="16"/>
        </w:rPr>
      </w:pPr>
      <w:r w:rsidRPr="00AC7274">
        <w:rPr>
          <w:sz w:val="16"/>
          <w:szCs w:val="16"/>
        </w:rPr>
        <w:t>The value of non-residential building approvals per capita was extremely high in the Pilbara region ($9,766) in 2023-24, reflecting the industrial and commercial buildings needed to support the Pilbara region’s large mining industry. The value of non-residential building approvals in the Pilbara region almost quadrupled to $593 million in 2023-24.</w:t>
      </w:r>
    </w:p>
    <w:bookmarkEnd w:id="31"/>
    <w:p w14:paraId="5B8A97A6" w14:textId="77777777" w:rsidR="00233755" w:rsidRPr="005A57BE" w:rsidRDefault="00233755" w:rsidP="00233755">
      <w:pPr>
        <w:pStyle w:val="ListParagraph"/>
        <w:numPr>
          <w:ilvl w:val="0"/>
          <w:numId w:val="31"/>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08"/>
          <w:docGrid w:linePitch="360"/>
        </w:sectPr>
      </w:pPr>
      <w:bookmarkStart w:id="32" w:name="_International_trade_1"/>
      <w:bookmarkEnd w:id="32"/>
      <w:r w:rsidRPr="00B820B4">
        <w:rPr>
          <w:color w:val="002060"/>
          <w:sz w:val="24"/>
          <w:szCs w:val="24"/>
        </w:rPr>
        <w:lastRenderedPageBreak/>
        <w:t>International trade</w:t>
      </w:r>
    </w:p>
    <w:p w14:paraId="6CDC5088"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390BD28F" w14:textId="0F673C2C" w:rsidR="00233755" w:rsidRPr="007B1AE5" w:rsidRDefault="0036381E" w:rsidP="00233755">
      <w:r>
        <w:rPr>
          <w:noProof/>
        </w:rPr>
        <w:drawing>
          <wp:inline distT="0" distB="0" distL="0" distR="0" wp14:anchorId="0B0074AE" wp14:editId="093649C5">
            <wp:extent cx="3420000" cy="1990250"/>
            <wp:effectExtent l="0" t="0" r="9525" b="0"/>
            <wp:docPr id="83836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1990250"/>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Pr="00DC4955">
        <w:rPr>
          <w:color w:val="000000" w:themeColor="text1"/>
          <w:sz w:val="16"/>
          <w:szCs w:val="16"/>
        </w:rPr>
        <w:t>The value of Western Australia’s exports increased</w:t>
      </w:r>
      <w:r w:rsidR="0036381E" w:rsidRPr="00DC4955">
        <w:rPr>
          <w:color w:val="000000" w:themeColor="text1"/>
          <w:sz w:val="16"/>
          <w:szCs w:val="16"/>
        </w:rPr>
        <w:t xml:space="preserve"> significantly between 2016 and 2023</w:t>
      </w:r>
      <w:r w:rsidRPr="00DC4955">
        <w:rPr>
          <w:color w:val="000000" w:themeColor="text1"/>
          <w:sz w:val="16"/>
          <w:szCs w:val="16"/>
        </w:rPr>
        <w:t>, driven by high prices for iron ore, liquefied natural gas, battery and critical minerals and grains. With the prices for these commodities returning to longer</w:t>
      </w:r>
      <w:r w:rsidRPr="00DC4955">
        <w:rPr>
          <w:color w:val="000000" w:themeColor="text1"/>
          <w:sz w:val="16"/>
          <w:szCs w:val="16"/>
        </w:rPr>
        <w:noBreakHyphen/>
        <w:t>term averages, the value of Western Australia’s exports has fallen from its peak.</w:t>
      </w:r>
    </w:p>
    <w:p w14:paraId="50FFDBA4" w14:textId="0BE08A67"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Western Australia exported $</w:t>
      </w:r>
      <w:r w:rsidR="00BC7438" w:rsidRPr="00DC4955">
        <w:rPr>
          <w:color w:val="000000" w:themeColor="text1"/>
          <w:sz w:val="16"/>
          <w:szCs w:val="16"/>
        </w:rPr>
        <w:t>233.5</w:t>
      </w:r>
      <w:r w:rsidRPr="00DC4955">
        <w:rPr>
          <w:color w:val="000000" w:themeColor="text1"/>
          <w:sz w:val="16"/>
          <w:szCs w:val="16"/>
        </w:rPr>
        <w:t xml:space="preserve"> billion of goods in the year to </w:t>
      </w:r>
      <w:r w:rsidR="00BC7438" w:rsidRPr="00DC4955">
        <w:rPr>
          <w:color w:val="000000" w:themeColor="text1"/>
          <w:sz w:val="16"/>
          <w:szCs w:val="16"/>
        </w:rPr>
        <w:t>April</w:t>
      </w:r>
      <w:r w:rsidRPr="00DC4955">
        <w:rPr>
          <w:color w:val="000000" w:themeColor="text1"/>
          <w:sz w:val="16"/>
          <w:szCs w:val="16"/>
        </w:rPr>
        <w:t xml:space="preserve"> 2025, </w:t>
      </w:r>
      <w:r w:rsidR="00BC7438" w:rsidRPr="00DC4955">
        <w:rPr>
          <w:color w:val="000000" w:themeColor="text1"/>
          <w:sz w:val="16"/>
          <w:szCs w:val="16"/>
        </w:rPr>
        <w:t>8.4</w:t>
      </w:r>
      <w:r w:rsidRPr="00DC4955">
        <w:rPr>
          <w:color w:val="000000" w:themeColor="text1"/>
          <w:sz w:val="16"/>
          <w:szCs w:val="16"/>
        </w:rPr>
        <w:t xml:space="preserve">% less than in the year to </w:t>
      </w:r>
      <w:r w:rsidR="00BC7438" w:rsidRPr="00DC4955">
        <w:rPr>
          <w:color w:val="000000" w:themeColor="text1"/>
          <w:sz w:val="16"/>
          <w:szCs w:val="16"/>
        </w:rPr>
        <w:t>April</w:t>
      </w:r>
      <w:r w:rsidRPr="00DC4955">
        <w:rPr>
          <w:color w:val="000000" w:themeColor="text1"/>
          <w:sz w:val="16"/>
          <w:szCs w:val="16"/>
        </w:rPr>
        <w:t> 2024.</w:t>
      </w:r>
    </w:p>
    <w:p w14:paraId="029A0C9B" w14:textId="3F300EAD"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In the year to </w:t>
      </w:r>
      <w:r w:rsidR="00365274" w:rsidRPr="00DC4955">
        <w:rPr>
          <w:color w:val="000000" w:themeColor="text1"/>
          <w:sz w:val="16"/>
          <w:szCs w:val="16"/>
        </w:rPr>
        <w:t>April</w:t>
      </w:r>
      <w:r w:rsidRPr="00DC4955">
        <w:rPr>
          <w:color w:val="000000" w:themeColor="text1"/>
          <w:sz w:val="16"/>
          <w:szCs w:val="16"/>
        </w:rPr>
        <w:t> 2025, the value of exports of:</w:t>
      </w:r>
    </w:p>
    <w:p w14:paraId="6AE24A9B" w14:textId="010B74D6"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iron ore was $117.</w:t>
      </w:r>
      <w:r w:rsidR="005931F7" w:rsidRPr="00DC4955">
        <w:rPr>
          <w:color w:val="000000" w:themeColor="text1"/>
          <w:sz w:val="16"/>
          <w:szCs w:val="16"/>
        </w:rPr>
        <w:t>0</w:t>
      </w:r>
      <w:r w:rsidRPr="00DC4955">
        <w:rPr>
          <w:color w:val="000000" w:themeColor="text1"/>
          <w:sz w:val="16"/>
          <w:szCs w:val="16"/>
        </w:rPr>
        <w:t> billion, 13.</w:t>
      </w:r>
      <w:r w:rsidR="005931F7" w:rsidRPr="00DC4955">
        <w:rPr>
          <w:color w:val="000000" w:themeColor="text1"/>
          <w:sz w:val="16"/>
          <w:szCs w:val="16"/>
        </w:rPr>
        <w:t>6</w:t>
      </w:r>
      <w:r w:rsidRPr="00DC4955">
        <w:rPr>
          <w:color w:val="000000" w:themeColor="text1"/>
          <w:sz w:val="16"/>
          <w:szCs w:val="16"/>
        </w:rPr>
        <w:t xml:space="preserve">% less than in the year to </w:t>
      </w:r>
      <w:r w:rsidR="005931F7" w:rsidRPr="00DC4955">
        <w:rPr>
          <w:color w:val="000000" w:themeColor="text1"/>
          <w:sz w:val="16"/>
          <w:szCs w:val="16"/>
        </w:rPr>
        <w:t>April</w:t>
      </w:r>
      <w:r w:rsidRPr="00DC4955">
        <w:rPr>
          <w:color w:val="000000" w:themeColor="text1"/>
          <w:sz w:val="16"/>
          <w:szCs w:val="16"/>
        </w:rPr>
        <w:t> 2024</w:t>
      </w:r>
    </w:p>
    <w:p w14:paraId="06551446" w14:textId="7B31BEFB"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non</w:t>
      </w:r>
      <w:r w:rsidRPr="00DC4955">
        <w:rPr>
          <w:color w:val="000000" w:themeColor="text1"/>
          <w:sz w:val="16"/>
          <w:szCs w:val="16"/>
        </w:rPr>
        <w:noBreakHyphen/>
        <w:t>iron ore was $11</w:t>
      </w:r>
      <w:r w:rsidR="005931F7" w:rsidRPr="00DC4955">
        <w:rPr>
          <w:color w:val="000000" w:themeColor="text1"/>
          <w:sz w:val="16"/>
          <w:szCs w:val="16"/>
        </w:rPr>
        <w:t>6.5</w:t>
      </w:r>
      <w:r w:rsidRPr="00DC4955">
        <w:rPr>
          <w:color w:val="000000" w:themeColor="text1"/>
          <w:sz w:val="16"/>
          <w:szCs w:val="16"/>
        </w:rPr>
        <w:t xml:space="preserve"> billion, </w:t>
      </w:r>
      <w:r w:rsidR="005931F7" w:rsidRPr="00DC4955">
        <w:rPr>
          <w:color w:val="000000" w:themeColor="text1"/>
          <w:sz w:val="16"/>
          <w:szCs w:val="16"/>
        </w:rPr>
        <w:t>2.6</w:t>
      </w:r>
      <w:r w:rsidRPr="00DC4955">
        <w:rPr>
          <w:color w:val="000000" w:themeColor="text1"/>
          <w:sz w:val="16"/>
          <w:szCs w:val="16"/>
        </w:rPr>
        <w:t xml:space="preserve">% less than in the year to </w:t>
      </w:r>
      <w:r w:rsidR="005931F7" w:rsidRPr="00DC4955">
        <w:rPr>
          <w:color w:val="000000" w:themeColor="text1"/>
          <w:sz w:val="16"/>
          <w:szCs w:val="16"/>
        </w:rPr>
        <w:t>April</w:t>
      </w:r>
      <w:r w:rsidRPr="00DC4955">
        <w:rPr>
          <w:color w:val="000000" w:themeColor="text1"/>
          <w:sz w:val="16"/>
          <w:szCs w:val="16"/>
        </w:rPr>
        <w:t> 2024.</w:t>
      </w:r>
    </w:p>
    <w:p w14:paraId="08F7847F" w14:textId="77777777" w:rsidR="00233755" w:rsidRPr="00B36A1B" w:rsidRDefault="00233755" w:rsidP="00233755">
      <w:pPr>
        <w:pStyle w:val="ListParagraph"/>
        <w:numPr>
          <w:ilvl w:val="0"/>
          <w:numId w:val="31"/>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233755">
      <w:pPr>
        <w:pStyle w:val="ListParagraph"/>
        <w:numPr>
          <w:ilvl w:val="0"/>
          <w:numId w:val="31"/>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3F90EE4F" w14:textId="035CCB70" w:rsidR="00233755" w:rsidRPr="007B1AE5" w:rsidRDefault="00AC4A32" w:rsidP="00233755">
      <w:r>
        <w:rPr>
          <w:noProof/>
        </w:rPr>
        <w:drawing>
          <wp:inline distT="0" distB="0" distL="0" distR="0" wp14:anchorId="2C7E50AF" wp14:editId="6B98F89D">
            <wp:extent cx="3427079" cy="2061959"/>
            <wp:effectExtent l="0" t="0" r="2540" b="0"/>
            <wp:docPr id="678306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5734" cy="2067166"/>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77777777" w:rsidR="00233755" w:rsidRPr="004336E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C7274">
        <w:rPr>
          <w:sz w:val="16"/>
          <w:szCs w:val="16"/>
        </w:rPr>
        <w:t>The value of Western Australia’s imports increased significantly in 2022, driven by the higher oil price. Although a fall in the oil price has led to a reduction in the value of petroleum imports, higher prices and increased demand for a range of other goods have led to ongoing increases in the total value of Western Australia’s imports.</w:t>
      </w:r>
    </w:p>
    <w:p w14:paraId="0C0CDC72" w14:textId="22B7E988"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Western Australia imported $51.</w:t>
      </w:r>
      <w:r w:rsidR="00E10C51" w:rsidRPr="00DC4955">
        <w:rPr>
          <w:color w:val="000000" w:themeColor="text1"/>
          <w:sz w:val="16"/>
          <w:szCs w:val="16"/>
        </w:rPr>
        <w:t>4</w:t>
      </w:r>
      <w:r w:rsidRPr="00DC4955">
        <w:rPr>
          <w:color w:val="000000" w:themeColor="text1"/>
          <w:sz w:val="16"/>
          <w:szCs w:val="16"/>
        </w:rPr>
        <w:t xml:space="preserve"> billion of goods in the year to </w:t>
      </w:r>
      <w:r w:rsidR="00131D71" w:rsidRPr="00DC4955">
        <w:rPr>
          <w:color w:val="000000" w:themeColor="text1"/>
          <w:sz w:val="16"/>
          <w:szCs w:val="16"/>
        </w:rPr>
        <w:t>April</w:t>
      </w:r>
      <w:r w:rsidRPr="00DC4955">
        <w:rPr>
          <w:color w:val="000000" w:themeColor="text1"/>
          <w:sz w:val="16"/>
          <w:szCs w:val="16"/>
        </w:rPr>
        <w:t xml:space="preserve"> 2025, an increase of </w:t>
      </w:r>
      <w:r w:rsidR="00E10C51" w:rsidRPr="00DC4955">
        <w:rPr>
          <w:color w:val="000000" w:themeColor="text1"/>
          <w:sz w:val="16"/>
          <w:szCs w:val="16"/>
        </w:rPr>
        <w:t>0.8</w:t>
      </w:r>
      <w:r w:rsidRPr="00DC4955">
        <w:rPr>
          <w:color w:val="000000" w:themeColor="text1"/>
          <w:sz w:val="16"/>
          <w:szCs w:val="16"/>
        </w:rPr>
        <w:t xml:space="preserve">% from the year to </w:t>
      </w:r>
      <w:r w:rsidR="00E10C51" w:rsidRPr="00DC4955">
        <w:rPr>
          <w:color w:val="000000" w:themeColor="text1"/>
          <w:sz w:val="16"/>
          <w:szCs w:val="16"/>
        </w:rPr>
        <w:t>April</w:t>
      </w:r>
      <w:r w:rsidRPr="00DC4955">
        <w:rPr>
          <w:color w:val="000000" w:themeColor="text1"/>
          <w:sz w:val="16"/>
          <w:szCs w:val="16"/>
        </w:rPr>
        <w:t> 2024.</w:t>
      </w:r>
    </w:p>
    <w:p w14:paraId="6471C047" w14:textId="002625E1"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DC4955">
        <w:rPr>
          <w:color w:val="000000" w:themeColor="text1"/>
          <w:sz w:val="16"/>
          <w:szCs w:val="16"/>
        </w:rPr>
        <w:t xml:space="preserve">In the year to </w:t>
      </w:r>
      <w:r w:rsidR="00E10C51" w:rsidRPr="00DC4955">
        <w:rPr>
          <w:color w:val="000000" w:themeColor="text1"/>
          <w:sz w:val="16"/>
          <w:szCs w:val="16"/>
        </w:rPr>
        <w:t>April</w:t>
      </w:r>
      <w:r w:rsidRPr="00DC4955">
        <w:rPr>
          <w:color w:val="000000" w:themeColor="text1"/>
          <w:sz w:val="16"/>
          <w:szCs w:val="16"/>
        </w:rPr>
        <w:t> 2025, the value of imports of:</w:t>
      </w:r>
    </w:p>
    <w:p w14:paraId="7AEA4CD7" w14:textId="06592D64"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machinery and transport equipment was $20.7 billion, </w:t>
      </w:r>
      <w:r w:rsidR="00E10C51" w:rsidRPr="00DC4955">
        <w:rPr>
          <w:color w:val="000000" w:themeColor="text1"/>
          <w:sz w:val="16"/>
          <w:szCs w:val="16"/>
        </w:rPr>
        <w:t>5</w:t>
      </w:r>
      <w:r w:rsidRPr="00DC4955">
        <w:rPr>
          <w:color w:val="000000" w:themeColor="text1"/>
          <w:sz w:val="16"/>
          <w:szCs w:val="16"/>
        </w:rPr>
        <w:t xml:space="preserve">.8% more than in the year to </w:t>
      </w:r>
      <w:r w:rsidR="00064E3C" w:rsidRPr="00DC4955">
        <w:rPr>
          <w:color w:val="000000" w:themeColor="text1"/>
          <w:sz w:val="16"/>
          <w:szCs w:val="16"/>
        </w:rPr>
        <w:t>April</w:t>
      </w:r>
      <w:r w:rsidRPr="00DC4955">
        <w:rPr>
          <w:color w:val="000000" w:themeColor="text1"/>
          <w:sz w:val="16"/>
          <w:szCs w:val="16"/>
        </w:rPr>
        <w:t> 2024</w:t>
      </w:r>
    </w:p>
    <w:p w14:paraId="0992C746" w14:textId="7C2EFF1E"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petroleum was $10.3 billion, </w:t>
      </w:r>
      <w:r w:rsidR="00064E3C" w:rsidRPr="00DC4955">
        <w:rPr>
          <w:color w:val="000000" w:themeColor="text1"/>
          <w:sz w:val="16"/>
          <w:szCs w:val="16"/>
        </w:rPr>
        <w:t>9.5</w:t>
      </w:r>
      <w:r w:rsidRPr="00DC4955">
        <w:rPr>
          <w:color w:val="000000" w:themeColor="text1"/>
          <w:sz w:val="16"/>
          <w:szCs w:val="16"/>
        </w:rPr>
        <w:t xml:space="preserve">% less than in the year to </w:t>
      </w:r>
      <w:r w:rsidR="00064E3C" w:rsidRPr="00DC4955">
        <w:rPr>
          <w:color w:val="000000" w:themeColor="text1"/>
          <w:sz w:val="16"/>
          <w:szCs w:val="16"/>
        </w:rPr>
        <w:t>April </w:t>
      </w:r>
      <w:r w:rsidRPr="00DC4955">
        <w:rPr>
          <w:color w:val="000000" w:themeColor="text1"/>
          <w:sz w:val="16"/>
          <w:szCs w:val="16"/>
        </w:rPr>
        <w:t>2024</w:t>
      </w:r>
    </w:p>
    <w:p w14:paraId="5EF382F2" w14:textId="0A83C526"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non-monetary gold was $3.3 billion, </w:t>
      </w:r>
      <w:r w:rsidR="00064E3C" w:rsidRPr="00DC4955">
        <w:rPr>
          <w:color w:val="000000" w:themeColor="text1"/>
          <w:sz w:val="16"/>
          <w:szCs w:val="16"/>
        </w:rPr>
        <w:t>17.4</w:t>
      </w:r>
      <w:r w:rsidRPr="00DC4955">
        <w:rPr>
          <w:color w:val="000000" w:themeColor="text1"/>
          <w:sz w:val="16"/>
          <w:szCs w:val="16"/>
        </w:rPr>
        <w:t xml:space="preserve">% less than in the year to </w:t>
      </w:r>
      <w:r w:rsidR="00064E3C" w:rsidRPr="00DC4955">
        <w:rPr>
          <w:color w:val="000000" w:themeColor="text1"/>
          <w:sz w:val="16"/>
          <w:szCs w:val="16"/>
        </w:rPr>
        <w:t>April </w:t>
      </w:r>
      <w:r w:rsidRPr="00DC4955">
        <w:rPr>
          <w:color w:val="000000" w:themeColor="text1"/>
          <w:sz w:val="16"/>
          <w:szCs w:val="16"/>
        </w:rPr>
        <w:t>2024</w:t>
      </w:r>
    </w:p>
    <w:p w14:paraId="3EF378CC" w14:textId="7A863A9E"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chemicals was $3.7 billion, </w:t>
      </w:r>
      <w:r w:rsidR="00064E3C" w:rsidRPr="00DC4955">
        <w:rPr>
          <w:color w:val="000000" w:themeColor="text1"/>
          <w:sz w:val="16"/>
          <w:szCs w:val="16"/>
        </w:rPr>
        <w:t>11.2</w:t>
      </w:r>
      <w:r w:rsidRPr="00DC4955">
        <w:rPr>
          <w:color w:val="000000" w:themeColor="text1"/>
          <w:sz w:val="16"/>
          <w:szCs w:val="16"/>
        </w:rPr>
        <w:t xml:space="preserve">% more than in the year to </w:t>
      </w:r>
      <w:r w:rsidR="00064E3C" w:rsidRPr="00DC4955">
        <w:rPr>
          <w:color w:val="000000" w:themeColor="text1"/>
          <w:sz w:val="16"/>
          <w:szCs w:val="16"/>
        </w:rPr>
        <w:t>April </w:t>
      </w:r>
      <w:r w:rsidRPr="00DC4955">
        <w:rPr>
          <w:color w:val="000000" w:themeColor="text1"/>
          <w:sz w:val="16"/>
          <w:szCs w:val="16"/>
        </w:rPr>
        <w:t>2024</w:t>
      </w:r>
    </w:p>
    <w:p w14:paraId="1D6DFFC1" w14:textId="3279823D"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food and live animals was $1.2 billion, </w:t>
      </w:r>
      <w:r w:rsidR="00064E3C" w:rsidRPr="00DC4955">
        <w:rPr>
          <w:color w:val="000000" w:themeColor="text1"/>
          <w:sz w:val="16"/>
          <w:szCs w:val="16"/>
        </w:rPr>
        <w:t>12.2</w:t>
      </w:r>
      <w:r w:rsidRPr="00DC4955">
        <w:rPr>
          <w:color w:val="000000" w:themeColor="text1"/>
          <w:sz w:val="16"/>
          <w:szCs w:val="16"/>
        </w:rPr>
        <w:t xml:space="preserve">% more than in the year to </w:t>
      </w:r>
      <w:r w:rsidR="00064E3C" w:rsidRPr="00DC4955">
        <w:rPr>
          <w:color w:val="000000" w:themeColor="text1"/>
          <w:sz w:val="16"/>
          <w:szCs w:val="16"/>
        </w:rPr>
        <w:t>April </w:t>
      </w:r>
      <w:r w:rsidRPr="00DC4955">
        <w:rPr>
          <w:color w:val="000000" w:themeColor="text1"/>
          <w:sz w:val="16"/>
          <w:szCs w:val="16"/>
        </w:rPr>
        <w:t>2024.</w:t>
      </w:r>
    </w:p>
    <w:p w14:paraId="1FF95A32" w14:textId="77777777" w:rsidR="00233755" w:rsidRPr="004325A2" w:rsidRDefault="00233755" w:rsidP="00233755">
      <w:pPr>
        <w:pStyle w:val="ListParagraph"/>
        <w:numPr>
          <w:ilvl w:val="0"/>
          <w:numId w:val="31"/>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freight rates</w:t>
      </w:r>
    </w:p>
    <w:p w14:paraId="49009BFE" w14:textId="25FE37C0" w:rsidR="00233755" w:rsidRPr="007B1AE5" w:rsidRDefault="00EA15E0" w:rsidP="00233755">
      <w:pPr>
        <w:rPr>
          <w:rFonts w:eastAsiaTheme="majorEastAsia"/>
        </w:rPr>
      </w:pPr>
      <w:r>
        <w:rPr>
          <w:rFonts w:eastAsiaTheme="majorEastAsia"/>
          <w:noProof/>
        </w:rPr>
        <w:drawing>
          <wp:inline distT="0" distB="0" distL="0" distR="0" wp14:anchorId="23E4B3F3" wp14:editId="03804F9B">
            <wp:extent cx="1685925" cy="1952625"/>
            <wp:effectExtent l="0" t="0" r="9525" b="9525"/>
            <wp:docPr id="960575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7817" cy="1966398"/>
                    </a:xfrm>
                    <a:prstGeom prst="rect">
                      <a:avLst/>
                    </a:prstGeom>
                    <a:noFill/>
                    <a:ln>
                      <a:noFill/>
                    </a:ln>
                  </pic:spPr>
                </pic:pic>
              </a:graphicData>
            </a:graphic>
          </wp:inline>
        </w:drawing>
      </w:r>
      <w:r w:rsidR="00F9431C">
        <w:rPr>
          <w:rFonts w:eastAsiaTheme="majorEastAsia"/>
          <w:noProof/>
        </w:rPr>
        <w:pict w14:anchorId="58535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55.5pt">
            <v:imagedata r:id="rId57" o:title=""/>
          </v:shape>
        </w:pict>
      </w:r>
    </w:p>
    <w:p w14:paraId="376D306C" w14:textId="2E6A5A12" w:rsidR="00233755" w:rsidRPr="0036381E" w:rsidRDefault="00233755" w:rsidP="009B367D">
      <w:pPr>
        <w:rPr>
          <w:sz w:val="10"/>
          <w:szCs w:val="10"/>
        </w:rPr>
      </w:pPr>
      <w:r w:rsidRPr="000C0C45">
        <w:rPr>
          <w:sz w:val="10"/>
        </w:rPr>
        <w:t xml:space="preserve">Note – </w:t>
      </w:r>
      <w:r w:rsidRPr="00AF759E">
        <w:rPr>
          <w:sz w:val="10"/>
          <w:szCs w:val="10"/>
        </w:rPr>
        <w:t>Current prices. Original series. Monthly series.</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233755">
      <w:pPr>
        <w:rPr>
          <w:sz w:val="10"/>
          <w:szCs w:val="10"/>
        </w:rPr>
      </w:pPr>
      <w:r w:rsidRPr="00AF759E">
        <w:rPr>
          <w:sz w:val="10"/>
          <w:szCs w:val="10"/>
        </w:rPr>
        <w:t xml:space="preserve">Source: </w:t>
      </w:r>
      <w:r>
        <w:rPr>
          <w:sz w:val="10"/>
          <w:szCs w:val="10"/>
        </w:rPr>
        <w:t>Trading Economics</w:t>
      </w:r>
      <w:r w:rsidRPr="00AF759E">
        <w:rPr>
          <w:sz w:val="10"/>
          <w:szCs w:val="10"/>
        </w:rPr>
        <w:t>.</w:t>
      </w:r>
    </w:p>
    <w:p w14:paraId="337BD254" w14:textId="77777777" w:rsidR="00233755" w:rsidRPr="00AC7274"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C7274">
        <w:rPr>
          <w:sz w:val="16"/>
          <w:szCs w:val="16"/>
        </w:rPr>
        <w:t>The Baltic Dry Index (BDI) measures the cost of shipping raw materials over 20 sea routes. The BDI is a useful global trade indicator because 90% of the world’s goods trade occurs via maritime transport.</w:t>
      </w:r>
    </w:p>
    <w:p w14:paraId="3040A9B9" w14:textId="694A6396" w:rsidR="00233755" w:rsidRPr="00DC4955"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C64143">
        <w:rPr>
          <w:sz w:val="16"/>
          <w:szCs w:val="16"/>
        </w:rPr>
        <w:t>The BDI increased rapidly from mid-2020 to a peak in September 2021 as the global economy began to recover from the COVID-19 pandemic, which saw increasing demand for raw materials. The BDI fell back to pre</w:t>
      </w:r>
      <w:r w:rsidRPr="00C64143">
        <w:rPr>
          <w:sz w:val="16"/>
          <w:szCs w:val="16"/>
        </w:rPr>
        <w:noBreakHyphen/>
        <w:t>COVID</w:t>
      </w:r>
      <w:r w:rsidRPr="00C64143">
        <w:rPr>
          <w:sz w:val="16"/>
          <w:szCs w:val="16"/>
        </w:rPr>
        <w:noBreakHyphen/>
        <w:t>19 levels in mid</w:t>
      </w:r>
      <w:r w:rsidRPr="00C64143">
        <w:rPr>
          <w:sz w:val="16"/>
          <w:szCs w:val="16"/>
        </w:rPr>
        <w:noBreakHyphen/>
        <w:t xml:space="preserve">2022 and </w:t>
      </w:r>
      <w:r w:rsidRPr="00DC4955">
        <w:rPr>
          <w:color w:val="000000" w:themeColor="text1"/>
          <w:sz w:val="16"/>
          <w:szCs w:val="16"/>
        </w:rPr>
        <w:t xml:space="preserve">has been volatile since. </w:t>
      </w:r>
      <w:r w:rsidR="00C9510F" w:rsidRPr="00DC4955">
        <w:rPr>
          <w:color w:val="000000" w:themeColor="text1"/>
          <w:sz w:val="16"/>
          <w:szCs w:val="16"/>
        </w:rPr>
        <w:t>The BDI</w:t>
      </w:r>
      <w:r w:rsidRPr="00DC4955">
        <w:rPr>
          <w:color w:val="000000" w:themeColor="text1"/>
          <w:sz w:val="16"/>
          <w:szCs w:val="16"/>
        </w:rPr>
        <w:t xml:space="preserve"> </w:t>
      </w:r>
      <w:r w:rsidR="00C64143" w:rsidRPr="00DC4955">
        <w:rPr>
          <w:color w:val="000000" w:themeColor="text1"/>
          <w:sz w:val="16"/>
          <w:szCs w:val="16"/>
        </w:rPr>
        <w:t>rose</w:t>
      </w:r>
      <w:r w:rsidRPr="00DC4955">
        <w:rPr>
          <w:color w:val="000000" w:themeColor="text1"/>
          <w:sz w:val="16"/>
          <w:szCs w:val="16"/>
        </w:rPr>
        <w:t xml:space="preserve"> </w:t>
      </w:r>
      <w:r w:rsidR="00C64143" w:rsidRPr="00DC4955">
        <w:rPr>
          <w:color w:val="000000" w:themeColor="text1"/>
          <w:sz w:val="16"/>
          <w:szCs w:val="16"/>
        </w:rPr>
        <w:t>17.4</w:t>
      </w:r>
      <w:r w:rsidRPr="00DC4955">
        <w:rPr>
          <w:color w:val="000000" w:themeColor="text1"/>
          <w:sz w:val="16"/>
          <w:szCs w:val="16"/>
        </w:rPr>
        <w:t>% to 1,</w:t>
      </w:r>
      <w:r w:rsidR="00C64143" w:rsidRPr="00DC4955">
        <w:rPr>
          <w:color w:val="000000" w:themeColor="text1"/>
          <w:sz w:val="16"/>
          <w:szCs w:val="16"/>
        </w:rPr>
        <w:t>665</w:t>
      </w:r>
      <w:r w:rsidRPr="00DC4955">
        <w:rPr>
          <w:color w:val="000000" w:themeColor="text1"/>
          <w:sz w:val="16"/>
          <w:szCs w:val="16"/>
        </w:rPr>
        <w:t xml:space="preserve"> in </w:t>
      </w:r>
      <w:r w:rsidR="00C64143" w:rsidRPr="00DC4955">
        <w:rPr>
          <w:color w:val="000000" w:themeColor="text1"/>
          <w:sz w:val="16"/>
          <w:szCs w:val="16"/>
        </w:rPr>
        <w:t>June</w:t>
      </w:r>
      <w:r w:rsidRPr="00DC4955">
        <w:rPr>
          <w:color w:val="000000" w:themeColor="text1"/>
          <w:sz w:val="16"/>
          <w:szCs w:val="16"/>
        </w:rPr>
        <w:t xml:space="preserve"> 2025 </w:t>
      </w:r>
      <w:r w:rsidR="00C9510F" w:rsidRPr="00DC4955">
        <w:rPr>
          <w:color w:val="000000" w:themeColor="text1"/>
          <w:sz w:val="16"/>
          <w:szCs w:val="16"/>
        </w:rPr>
        <w:t>following</w:t>
      </w:r>
      <w:r w:rsidRPr="00DC4955">
        <w:rPr>
          <w:color w:val="000000" w:themeColor="text1"/>
          <w:sz w:val="16"/>
          <w:szCs w:val="16"/>
        </w:rPr>
        <w:t xml:space="preserve"> a </w:t>
      </w:r>
      <w:r w:rsidR="00C64143" w:rsidRPr="00DC4955">
        <w:rPr>
          <w:color w:val="000000" w:themeColor="text1"/>
          <w:sz w:val="16"/>
          <w:szCs w:val="16"/>
        </w:rPr>
        <w:t>2.3</w:t>
      </w:r>
      <w:r w:rsidRPr="00DC4955">
        <w:rPr>
          <w:color w:val="000000" w:themeColor="text1"/>
          <w:sz w:val="16"/>
          <w:szCs w:val="16"/>
        </w:rPr>
        <w:t xml:space="preserve">% </w:t>
      </w:r>
      <w:r w:rsidR="00C64143" w:rsidRPr="00DC4955">
        <w:rPr>
          <w:color w:val="000000" w:themeColor="text1"/>
          <w:sz w:val="16"/>
          <w:szCs w:val="16"/>
        </w:rPr>
        <w:t>rise</w:t>
      </w:r>
      <w:r w:rsidRPr="00DC4955">
        <w:rPr>
          <w:color w:val="000000" w:themeColor="text1"/>
          <w:sz w:val="16"/>
          <w:szCs w:val="16"/>
        </w:rPr>
        <w:t xml:space="preserve"> in </w:t>
      </w:r>
      <w:r w:rsidR="00C64143" w:rsidRPr="00DC4955">
        <w:rPr>
          <w:color w:val="000000" w:themeColor="text1"/>
          <w:sz w:val="16"/>
          <w:szCs w:val="16"/>
        </w:rPr>
        <w:t>May</w:t>
      </w:r>
      <w:r w:rsidRPr="00DC4955">
        <w:rPr>
          <w:color w:val="000000" w:themeColor="text1"/>
          <w:sz w:val="16"/>
          <w:szCs w:val="16"/>
        </w:rPr>
        <w:t> 2025.</w:t>
      </w:r>
    </w:p>
    <w:p w14:paraId="3BBBE371" w14:textId="77777777" w:rsidR="00233755" w:rsidRPr="00AC7274" w:rsidRDefault="00233755" w:rsidP="00233755">
      <w:pPr>
        <w:pStyle w:val="ListParagraph"/>
        <w:numPr>
          <w:ilvl w:val="0"/>
          <w:numId w:val="31"/>
        </w:numPr>
        <w:spacing w:before="40" w:after="40"/>
        <w:ind w:left="357" w:right="227" w:hanging="357"/>
        <w:contextualSpacing w:val="0"/>
        <w:jc w:val="both"/>
        <w:rPr>
          <w:sz w:val="16"/>
          <w:szCs w:val="16"/>
        </w:rPr>
      </w:pPr>
      <w:r w:rsidRPr="00DC4955">
        <w:rPr>
          <w:color w:val="000000" w:themeColor="text1"/>
          <w:sz w:val="16"/>
          <w:szCs w:val="16"/>
        </w:rPr>
        <w:t xml:space="preserve">The containerized freight index </w:t>
      </w:r>
      <w:r w:rsidRPr="00AC7274">
        <w:rPr>
          <w:sz w:val="16"/>
          <w:szCs w:val="16"/>
        </w:rPr>
        <w:t>(CFI) measures the cost of transporting goods in containers from China’s major ports.</w:t>
      </w:r>
    </w:p>
    <w:p w14:paraId="32113999" w14:textId="77777777" w:rsidR="00233755" w:rsidRPr="00AC7274" w:rsidRDefault="00233755" w:rsidP="00233755">
      <w:pPr>
        <w:pStyle w:val="ListParagraph"/>
        <w:numPr>
          <w:ilvl w:val="0"/>
          <w:numId w:val="31"/>
        </w:numPr>
        <w:spacing w:before="40" w:after="40"/>
        <w:ind w:left="357" w:right="227" w:hanging="357"/>
        <w:contextualSpacing w:val="0"/>
        <w:jc w:val="both"/>
        <w:rPr>
          <w:sz w:val="16"/>
          <w:szCs w:val="16"/>
        </w:rPr>
      </w:pPr>
      <w:r w:rsidRPr="00AC7274">
        <w:rPr>
          <w:sz w:val="16"/>
          <w:szCs w:val="16"/>
        </w:rPr>
        <w:t>Similar to the BDI, the CFI increased rapidly from mid-2020, reaching a peak in December 2021 as the global economic recovery combined with disruptions in supply led to a large increase in container freight rates.</w:t>
      </w:r>
    </w:p>
    <w:p w14:paraId="59DB6A5D" w14:textId="43BFC765" w:rsidR="00233755" w:rsidRPr="00AC7274" w:rsidRDefault="00233755" w:rsidP="00233755">
      <w:pPr>
        <w:pStyle w:val="ListParagraph"/>
        <w:numPr>
          <w:ilvl w:val="0"/>
          <w:numId w:val="31"/>
        </w:numPr>
        <w:spacing w:before="40" w:after="40"/>
        <w:ind w:left="357" w:right="227" w:hanging="357"/>
        <w:contextualSpacing w:val="0"/>
        <w:jc w:val="both"/>
        <w:rPr>
          <w:sz w:val="16"/>
          <w:szCs w:val="16"/>
        </w:rPr>
      </w:pPr>
      <w:r w:rsidRPr="00AC7274">
        <w:rPr>
          <w:sz w:val="16"/>
          <w:szCs w:val="16"/>
        </w:rPr>
        <w:t>The CFI rose from 887 in September 2023 to 3,714 in June</w:t>
      </w:r>
      <w:r>
        <w:rPr>
          <w:sz w:val="16"/>
          <w:szCs w:val="16"/>
        </w:rPr>
        <w:t> </w:t>
      </w:r>
      <w:r w:rsidRPr="009B367D">
        <w:rPr>
          <w:sz w:val="16"/>
          <w:szCs w:val="16"/>
        </w:rPr>
        <w:t>2024 but has since fallen by 57</w:t>
      </w:r>
      <w:r w:rsidR="00C64143" w:rsidRPr="009B367D">
        <w:rPr>
          <w:sz w:val="16"/>
          <w:szCs w:val="16"/>
        </w:rPr>
        <w:t>.3</w:t>
      </w:r>
      <w:r w:rsidRPr="009B367D">
        <w:rPr>
          <w:sz w:val="16"/>
          <w:szCs w:val="16"/>
        </w:rPr>
        <w:t xml:space="preserve">% to 1,586 in May 2025. The decline </w:t>
      </w:r>
      <w:r w:rsidRPr="00C64143">
        <w:rPr>
          <w:sz w:val="16"/>
          <w:szCs w:val="16"/>
        </w:rPr>
        <w:t>has been due to slowing consumer demand in North America and Europe</w:t>
      </w:r>
      <w:r w:rsidRPr="00AC7274">
        <w:rPr>
          <w:sz w:val="16"/>
          <w:szCs w:val="16"/>
        </w:rPr>
        <w:t xml:space="preserv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580808" w:rsidRDefault="00233755" w:rsidP="00233755">
      <w:pPr>
        <w:pStyle w:val="Heading2"/>
        <w:numPr>
          <w:ilvl w:val="0"/>
          <w:numId w:val="0"/>
        </w:numPr>
        <w:spacing w:before="0" w:after="120"/>
        <w:rPr>
          <w:sz w:val="24"/>
          <w:szCs w:val="24"/>
        </w:rPr>
      </w:pPr>
      <w:bookmarkStart w:id="33" w:name="_Western_Australia_–"/>
      <w:bookmarkEnd w:id="33"/>
      <w:r w:rsidRPr="00580808">
        <w:rPr>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210788A" w14:textId="77777777" w:rsidR="00233755" w:rsidRPr="00EF6CF7" w:rsidRDefault="00233755" w:rsidP="00233755">
      <w:pPr>
        <w:spacing w:after="120" w:line="240" w:lineRule="auto"/>
        <w:ind w:right="227"/>
        <w:jc w:val="both"/>
        <w:rPr>
          <w:sz w:val="20"/>
          <w:szCs w:val="20"/>
        </w:rPr>
      </w:pPr>
      <w:r w:rsidRPr="00EF6CF7">
        <w:rPr>
          <w:sz w:val="20"/>
          <w:szCs w:val="20"/>
        </w:rPr>
        <w:t>The mining expansion contributed to Western Australia enjoying a sustained period of economic growth, often in excess of national levels. This included during the COVID</w:t>
      </w:r>
      <w:r w:rsidRPr="00EF6CF7">
        <w:rPr>
          <w:sz w:val="20"/>
          <w:szCs w:val="20"/>
        </w:rPr>
        <w:noBreakHyphen/>
        <w:t>19 pandemic, when the mining industry in Western Australia was largely able to sustain production volumes and benefit from higher iron ore prices, while other economies with a higher reliance on services exports experienced a significant downturn when these exports were curtailed by travel restrictions.</w:t>
      </w:r>
    </w:p>
    <w:p w14:paraId="1CED09A5" w14:textId="77777777" w:rsidR="00233755" w:rsidRPr="00DC2ED1" w:rsidRDefault="00233755" w:rsidP="00233755">
      <w:pPr>
        <w:spacing w:after="120" w:line="240" w:lineRule="auto"/>
        <w:ind w:right="227"/>
        <w:jc w:val="both"/>
        <w:rPr>
          <w:sz w:val="20"/>
          <w:szCs w:val="20"/>
        </w:rPr>
      </w:pPr>
      <w:r w:rsidRPr="00EF6CF7">
        <w:rPr>
          <w:sz w:val="20"/>
          <w:szCs w:val="20"/>
        </w:rPr>
        <w:t>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2023</w:t>
      </w:r>
      <w:r w:rsidRPr="00DC2ED1">
        <w:rPr>
          <w:sz w:val="20"/>
          <w:szCs w:val="20"/>
        </w:rPr>
        <w:noBreakHyphen/>
        <w:t>24 Western Australia’s gross state product per capita was 57 per cent higher than the Australian average, gross disposable household income per capita was only 9 per cent higher than the Australian average.</w:t>
      </w:r>
    </w:p>
    <w:p w14:paraId="4C97CBAB" w14:textId="7777777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potentially more vulnerable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766D38F5" w14:textId="77777777" w:rsidR="00233755"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8"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9"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r>
        <w:rPr>
          <w:rFonts w:cstheme="minorHAnsi"/>
          <w:sz w:val="20"/>
          <w:szCs w:val="20"/>
        </w:rPr>
        <w:t xml:space="preserve"> The outcomes from economic diversification have to date been mixed; while there has been growth in some of the priority sectors, this has not translated to growth in real per capita household incomes. The key reason for this has been an absence of productivity growth. H</w:t>
      </w:r>
      <w:r w:rsidRPr="00EF6CF7">
        <w:rPr>
          <w:rFonts w:cstheme="minorHAnsi"/>
          <w:sz w:val="20"/>
          <w:szCs w:val="20"/>
        </w:rPr>
        <w:t>igher productivity growth across the economy will be required to sustain increases in 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77777777" w:rsidR="00233755" w:rsidRPr="00241B12" w:rsidRDefault="00233755" w:rsidP="00233755">
      <w:pPr>
        <w:pStyle w:val="Heading3"/>
        <w:spacing w:before="0" w:after="120"/>
        <w:rPr>
          <w:color w:val="002060"/>
          <w:sz w:val="24"/>
          <w:szCs w:val="24"/>
        </w:rPr>
        <w:sectPr w:rsidR="00233755" w:rsidRPr="00241B12" w:rsidSect="00233755">
          <w:type w:val="continuous"/>
          <w:pgSz w:w="11907" w:h="16840" w:code="9"/>
          <w:pgMar w:top="1701" w:right="425" w:bottom="567" w:left="567" w:header="709" w:footer="709" w:gutter="0"/>
          <w:cols w:space="720"/>
          <w:docGrid w:linePitch="360"/>
        </w:sectPr>
      </w:pPr>
      <w:bookmarkStart w:id="34" w:name="_Contents_of_economic"/>
      <w:bookmarkEnd w:id="34"/>
      <w:r>
        <w:rPr>
          <w:color w:val="002060"/>
          <w:sz w:val="24"/>
          <w:szCs w:val="24"/>
        </w:rPr>
        <w:t xml:space="preserve">Economic structure and industries – </w:t>
      </w:r>
      <w:r w:rsidRPr="00241B12">
        <w:rPr>
          <w:color w:val="002060"/>
          <w:sz w:val="24"/>
          <w:szCs w:val="24"/>
        </w:rPr>
        <w:t>Contents</w:t>
      </w:r>
    </w:p>
    <w:p w14:paraId="47B79D51" w14:textId="77777777" w:rsidR="00233755" w:rsidRPr="00AC781A" w:rsidRDefault="00233755" w:rsidP="00233755">
      <w:pPr>
        <w:spacing w:after="16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233755">
      <w:pPr>
        <w:spacing w:after="16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233755">
      <w:pPr>
        <w:spacing w:after="16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233755">
      <w:pPr>
        <w:spacing w:after="16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233755">
      <w:pPr>
        <w:spacing w:after="16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233755">
      <w:pPr>
        <w:spacing w:after="16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233755">
      <w:pPr>
        <w:spacing w:after="16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233755">
      <w:pPr>
        <w:spacing w:after="16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233755">
      <w:pPr>
        <w:spacing w:after="16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233755">
      <w:pPr>
        <w:spacing w:after="16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233755">
      <w:pPr>
        <w:spacing w:after="160" w:line="240" w:lineRule="auto"/>
        <w:rPr>
          <w:b/>
          <w:bCs/>
          <w:sz w:val="20"/>
          <w:szCs w:val="20"/>
        </w:rPr>
      </w:pPr>
      <w:hyperlink w:anchor="_Mining_and_energy" w:history="1">
        <w:r w:rsidRPr="00AC781A">
          <w:rPr>
            <w:rStyle w:val="Hyperlink"/>
            <w:b/>
            <w:bCs/>
            <w:sz w:val="20"/>
            <w:szCs w:val="20"/>
          </w:rPr>
          <w:t>Mining and energy industries</w:t>
        </w:r>
      </w:hyperlink>
    </w:p>
    <w:p w14:paraId="3824E9A9" w14:textId="77777777" w:rsidR="00233755" w:rsidRPr="00AC781A" w:rsidRDefault="00233755" w:rsidP="00233755">
      <w:pPr>
        <w:spacing w:after="160" w:line="240" w:lineRule="auto"/>
        <w:rPr>
          <w:b/>
          <w:bCs/>
          <w:sz w:val="20"/>
          <w:szCs w:val="20"/>
        </w:rPr>
      </w:pPr>
      <w:hyperlink w:anchor="_Primary_industries_and" w:history="1">
        <w:r w:rsidRPr="00AC781A">
          <w:rPr>
            <w:rStyle w:val="Hyperlink"/>
            <w:b/>
            <w:bCs/>
            <w:sz w:val="20"/>
            <w:szCs w:val="20"/>
          </w:rPr>
          <w:t>Primary industries and defence industries</w:t>
        </w:r>
      </w:hyperlink>
    </w:p>
    <w:p w14:paraId="7B24C1F9" w14:textId="77777777" w:rsidR="00233755" w:rsidRPr="00AC781A" w:rsidRDefault="00233755" w:rsidP="00233755">
      <w:pPr>
        <w:spacing w:after="160" w:line="240" w:lineRule="auto"/>
        <w:rPr>
          <w:b/>
          <w:bCs/>
          <w:sz w:val="20"/>
          <w:szCs w:val="20"/>
        </w:rPr>
      </w:pPr>
      <w:hyperlink w:anchor="_Tourism_and_international" w:history="1">
        <w:r w:rsidRPr="00AC781A">
          <w:rPr>
            <w:rStyle w:val="Hyperlink"/>
            <w:b/>
            <w:bCs/>
            <w:sz w:val="20"/>
            <w:szCs w:val="20"/>
          </w:rPr>
          <w:t>Tourism and international education</w:t>
        </w:r>
      </w:hyperlink>
    </w:p>
    <w:p w14:paraId="4C325588" w14:textId="77777777" w:rsidR="00233755" w:rsidRPr="00AC781A" w:rsidRDefault="00233755" w:rsidP="00233755">
      <w:pPr>
        <w:spacing w:after="16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D859C6" w:rsidRDefault="00233755" w:rsidP="00233755">
      <w:pPr>
        <w:pStyle w:val="Heading3"/>
        <w:spacing w:before="0"/>
        <w:rPr>
          <w:color w:val="002060"/>
          <w:sz w:val="24"/>
          <w:szCs w:val="24"/>
        </w:rPr>
        <w:sectPr w:rsidR="00233755" w:rsidRPr="00D859C6" w:rsidSect="00233755">
          <w:pgSz w:w="11907" w:h="16840" w:code="9"/>
          <w:pgMar w:top="1701" w:right="425" w:bottom="567" w:left="567" w:header="709" w:footer="709" w:gutter="0"/>
          <w:cols w:space="720"/>
          <w:docGrid w:linePitch="360"/>
        </w:sectPr>
      </w:pPr>
      <w:bookmarkStart w:id="35" w:name="_Gross_state_product"/>
      <w:bookmarkEnd w:id="35"/>
      <w:r w:rsidRPr="00D859C6">
        <w:rPr>
          <w:color w:val="002060"/>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broad component</w:t>
      </w:r>
    </w:p>
    <w:p w14:paraId="587245F5" w14:textId="77777777" w:rsidR="00233755" w:rsidRPr="007B1AE5" w:rsidRDefault="00233755" w:rsidP="00233755">
      <w:r>
        <w:rPr>
          <w:noProof/>
        </w:rPr>
        <w:drawing>
          <wp:inline distT="0" distB="0" distL="0" distR="0" wp14:anchorId="26DB5700" wp14:editId="47A5573E">
            <wp:extent cx="3420000" cy="2059200"/>
            <wp:effectExtent l="0" t="0" r="0" b="0"/>
            <wp:docPr id="1101612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32F29EEC"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233755">
      <w:pPr>
        <w:rPr>
          <w:sz w:val="10"/>
          <w:szCs w:val="10"/>
        </w:rPr>
      </w:pPr>
      <w:r w:rsidRPr="00AF759E">
        <w:rPr>
          <w:sz w:val="10"/>
          <w:szCs w:val="10"/>
        </w:rPr>
        <w:t>Source: Based on ABS data.</w:t>
      </w:r>
    </w:p>
    <w:p w14:paraId="233FF5BC" w14:textId="77777777" w:rsidR="00233755" w:rsidRPr="00CE61E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3C3CC5">
        <w:rPr>
          <w:sz w:val="16"/>
          <w:szCs w:val="16"/>
        </w:rPr>
        <w:t>The nominal value of Western Australia’s gross state product (GSP) in 2023</w:t>
      </w:r>
      <w:r w:rsidRPr="003C3CC5">
        <w:rPr>
          <w:sz w:val="16"/>
          <w:szCs w:val="16"/>
        </w:rPr>
        <w:noBreakHyphen/>
        <w:t>24 was $455.7 billion.</w:t>
      </w:r>
    </w:p>
    <w:p w14:paraId="67C2ECE9" w14:textId="77777777" w:rsidR="00233755" w:rsidRPr="00CE61E4" w:rsidRDefault="00233755" w:rsidP="00233755">
      <w:pPr>
        <w:pStyle w:val="ListParagraph"/>
        <w:numPr>
          <w:ilvl w:val="0"/>
          <w:numId w:val="31"/>
        </w:numPr>
        <w:spacing w:before="40" w:after="40"/>
        <w:ind w:right="227" w:hanging="357"/>
        <w:contextualSpacing w:val="0"/>
        <w:jc w:val="both"/>
        <w:rPr>
          <w:sz w:val="16"/>
          <w:szCs w:val="16"/>
        </w:rPr>
      </w:pPr>
      <w:r>
        <w:rPr>
          <w:sz w:val="16"/>
          <w:szCs w:val="16"/>
        </w:rPr>
        <w:t xml:space="preserve">GSP </w:t>
      </w:r>
      <w:r w:rsidRPr="009F7BBC">
        <w:rPr>
          <w:sz w:val="16"/>
          <w:szCs w:val="16"/>
        </w:rPr>
        <w:t xml:space="preserve">can be divided into state final demand, which measures total consumption and investment, and net </w:t>
      </w:r>
      <w:r>
        <w:rPr>
          <w:sz w:val="16"/>
          <w:szCs w:val="16"/>
        </w:rPr>
        <w:t xml:space="preserve">(international) </w:t>
      </w:r>
      <w:r w:rsidRPr="009F7BBC">
        <w:rPr>
          <w:sz w:val="16"/>
          <w:szCs w:val="16"/>
        </w:rPr>
        <w:t>exports of goods and services.</w:t>
      </w:r>
      <w:r>
        <w:rPr>
          <w:sz w:val="16"/>
          <w:szCs w:val="16"/>
        </w:rPr>
        <w:t xml:space="preserve"> </w:t>
      </w:r>
      <w:r w:rsidRPr="00CE61E4">
        <w:rPr>
          <w:sz w:val="16"/>
          <w:szCs w:val="16"/>
        </w:rPr>
        <w:t>In 2023-24:</w:t>
      </w:r>
    </w:p>
    <w:p w14:paraId="3C0788A7"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state final demand was $305.8 billion, 67% of GSP expenditure</w:t>
      </w:r>
    </w:p>
    <w:p w14:paraId="081238A0"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net exports of goods and services was $193.8 billion, 43% of GSP expenditure</w:t>
      </w:r>
    </w:p>
    <w:p w14:paraId="3E131051"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net interstate trade and other items detracted $4</w:t>
      </w:r>
      <w:r>
        <w:rPr>
          <w:sz w:val="16"/>
          <w:szCs w:val="16"/>
        </w:rPr>
        <w:t>3</w:t>
      </w:r>
      <w:r w:rsidRPr="00A237CC">
        <w:rPr>
          <w:sz w:val="16"/>
          <w:szCs w:val="16"/>
        </w:rPr>
        <w:t>.9 billion (10%) from Western Australia’s GSP in 2023-24.</w:t>
      </w:r>
    </w:p>
    <w:p w14:paraId="7C65C41F" w14:textId="77777777" w:rsidR="00233755" w:rsidRPr="001F6013" w:rsidRDefault="00233755" w:rsidP="00233755">
      <w:pPr>
        <w:pStyle w:val="ListParagraph"/>
        <w:numPr>
          <w:ilvl w:val="0"/>
          <w:numId w:val="31"/>
        </w:numPr>
        <w:spacing w:before="40" w:after="40"/>
        <w:ind w:right="227" w:hanging="357"/>
        <w:contextualSpacing w:val="0"/>
        <w:jc w:val="both"/>
        <w:rPr>
          <w:sz w:val="16"/>
          <w:szCs w:val="16"/>
        </w:rPr>
      </w:pPr>
      <w:r w:rsidRPr="001F6013">
        <w:rPr>
          <w:sz w:val="16"/>
          <w:szCs w:val="16"/>
        </w:rPr>
        <w:t>Cycles of activity in the mining industry have had a significant effect on the balance of state final demand and net exports in Western Australia’s GSP over the past 20 years.</w:t>
      </w:r>
    </w:p>
    <w:p w14:paraId="6721CB27" w14:textId="77777777" w:rsidR="00233755" w:rsidRPr="001F6013" w:rsidRDefault="00233755" w:rsidP="00233755">
      <w:pPr>
        <w:pStyle w:val="ListParagraph"/>
        <w:numPr>
          <w:ilvl w:val="0"/>
          <w:numId w:val="33"/>
        </w:numPr>
        <w:spacing w:before="40" w:after="40"/>
        <w:ind w:right="227" w:hanging="357"/>
        <w:contextualSpacing w:val="0"/>
        <w:jc w:val="both"/>
        <w:rPr>
          <w:sz w:val="16"/>
          <w:szCs w:val="16"/>
        </w:rPr>
      </w:pPr>
      <w:r w:rsidRPr="001F6013">
        <w:rPr>
          <w:sz w:val="16"/>
          <w:szCs w:val="16"/>
        </w:rPr>
        <w:t>Investments in mining projects led to a large increase in state final demand from the early 2000s to the mid</w:t>
      </w:r>
      <w:r w:rsidRPr="001F6013">
        <w:rPr>
          <w:sz w:val="16"/>
          <w:szCs w:val="16"/>
        </w:rPr>
        <w:noBreakHyphen/>
        <w:t>2010s. The newly installed capacity from this investment then contributed to high growth in net exports from the mid</w:t>
      </w:r>
      <w:r w:rsidRPr="001F6013">
        <w:rPr>
          <w:sz w:val="16"/>
          <w:szCs w:val="16"/>
        </w:rPr>
        <w:noBreakHyphen/>
        <w:t>2010s.</w:t>
      </w:r>
    </w:p>
    <w:p w14:paraId="167B749B" w14:textId="77777777" w:rsidR="00233755" w:rsidRPr="001F6013" w:rsidRDefault="00233755" w:rsidP="00233755">
      <w:pPr>
        <w:pStyle w:val="ListParagraph"/>
        <w:numPr>
          <w:ilvl w:val="0"/>
          <w:numId w:val="33"/>
        </w:numPr>
        <w:spacing w:before="40" w:after="40"/>
        <w:ind w:right="227" w:hanging="357"/>
        <w:contextualSpacing w:val="0"/>
        <w:jc w:val="both"/>
        <w:rPr>
          <w:sz w:val="16"/>
          <w:szCs w:val="16"/>
        </w:rPr>
      </w:pPr>
      <w:r w:rsidRPr="001F6013">
        <w:rPr>
          <w:sz w:val="16"/>
          <w:szCs w:val="16"/>
        </w:rPr>
        <w:t>As projects were completed and the pipeline of new projects became smaller, the value of state final demand contracted. State final demand has recovered strongly in recent years.</w:t>
      </w:r>
    </w:p>
    <w:p w14:paraId="19352532" w14:textId="77777777" w:rsidR="00233755" w:rsidRPr="00EB1814" w:rsidRDefault="00233755" w:rsidP="00233755">
      <w:pPr>
        <w:pStyle w:val="ListParagraph"/>
        <w:numPr>
          <w:ilvl w:val="0"/>
          <w:numId w:val="31"/>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AC3621" w:rsidRDefault="00233755" w:rsidP="00233755">
      <w:pPr>
        <w:pStyle w:val="Heading4"/>
        <w:tabs>
          <w:tab w:val="left" w:pos="6411"/>
        </w:tabs>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component (share)</w:t>
      </w:r>
    </w:p>
    <w:p w14:paraId="11D50A60" w14:textId="77777777" w:rsidR="00233755" w:rsidRPr="007B1AE5" w:rsidRDefault="00233755" w:rsidP="00233755">
      <w:r>
        <w:rPr>
          <w:noProof/>
        </w:rPr>
        <w:drawing>
          <wp:inline distT="0" distB="0" distL="0" distR="0" wp14:anchorId="2D10C0DD" wp14:editId="76C3A1DE">
            <wp:extent cx="3420000" cy="2059200"/>
            <wp:effectExtent l="0" t="0" r="0" b="0"/>
            <wp:docPr id="1629547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34FBC10B" w14:textId="77777777" w:rsidR="00233755" w:rsidRPr="00AF759E" w:rsidRDefault="00233755" w:rsidP="00233755">
      <w:pPr>
        <w:rPr>
          <w:sz w:val="10"/>
          <w:szCs w:val="10"/>
        </w:rPr>
      </w:pPr>
      <w:bookmarkStart w:id="36"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233755">
      <w:pPr>
        <w:rPr>
          <w:sz w:val="10"/>
          <w:szCs w:val="10"/>
        </w:rPr>
      </w:pPr>
      <w:r w:rsidRPr="00AF759E">
        <w:rPr>
          <w:sz w:val="10"/>
          <w:szCs w:val="10"/>
        </w:rPr>
        <w:t>Source: Based on ABS data.</w:t>
      </w:r>
    </w:p>
    <w:bookmarkEnd w:id="36"/>
    <w:p w14:paraId="0BA0B8DC"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237CC">
        <w:rPr>
          <w:sz w:val="16"/>
          <w:szCs w:val="16"/>
        </w:rPr>
        <w:t xml:space="preserve">Western Australia’s economy </w:t>
      </w:r>
      <w:r>
        <w:rPr>
          <w:sz w:val="16"/>
          <w:szCs w:val="16"/>
        </w:rPr>
        <w:t>is</w:t>
      </w:r>
      <w:r w:rsidRPr="00A237CC">
        <w:rPr>
          <w:sz w:val="16"/>
          <w:szCs w:val="16"/>
        </w:rPr>
        <w:t xml:space="preserve"> more reliant on international trade </w:t>
      </w:r>
      <w:r>
        <w:rPr>
          <w:sz w:val="16"/>
          <w:szCs w:val="16"/>
        </w:rPr>
        <w:t>compared to</w:t>
      </w:r>
      <w:r w:rsidRPr="00A237CC">
        <w:rPr>
          <w:sz w:val="16"/>
          <w:szCs w:val="16"/>
        </w:rPr>
        <w:t xml:space="preserve"> 30 years</w:t>
      </w:r>
      <w:r>
        <w:rPr>
          <w:sz w:val="16"/>
          <w:szCs w:val="16"/>
        </w:rPr>
        <w:t xml:space="preserve"> ago</w:t>
      </w:r>
      <w:r w:rsidRPr="00A237CC">
        <w:rPr>
          <w:sz w:val="16"/>
          <w:szCs w:val="16"/>
        </w:rPr>
        <w:t>. The GSP share of net exports of goods and services increased from 25% in 1993</w:t>
      </w:r>
      <w:r w:rsidRPr="00A237CC">
        <w:rPr>
          <w:sz w:val="16"/>
          <w:szCs w:val="16"/>
        </w:rPr>
        <w:noBreakHyphen/>
        <w:t>94 to 43% in 2023</w:t>
      </w:r>
      <w:r w:rsidRPr="00A237CC">
        <w:rPr>
          <w:sz w:val="16"/>
          <w:szCs w:val="16"/>
        </w:rPr>
        <w:noBreakHyphen/>
        <w:t>24</w:t>
      </w:r>
      <w:r>
        <w:rPr>
          <w:sz w:val="16"/>
          <w:szCs w:val="16"/>
        </w:rPr>
        <w:t>, with a peak</w:t>
      </w:r>
      <w:r w:rsidRPr="00A237CC">
        <w:rPr>
          <w:sz w:val="16"/>
          <w:szCs w:val="16"/>
        </w:rPr>
        <w:t xml:space="preserve"> of 52% in 2020</w:t>
      </w:r>
      <w:r>
        <w:rPr>
          <w:sz w:val="16"/>
          <w:szCs w:val="16"/>
        </w:rPr>
        <w:noBreakHyphen/>
      </w:r>
      <w:r w:rsidRPr="00A237CC">
        <w:rPr>
          <w:sz w:val="16"/>
          <w:szCs w:val="16"/>
        </w:rPr>
        <w:t xml:space="preserve">21 during the COVID-19 pandemic when </w:t>
      </w:r>
      <w:r>
        <w:rPr>
          <w:sz w:val="16"/>
          <w:szCs w:val="16"/>
        </w:rPr>
        <w:t>goods</w:t>
      </w:r>
      <w:r w:rsidRPr="00A237CC">
        <w:rPr>
          <w:sz w:val="16"/>
          <w:szCs w:val="16"/>
        </w:rPr>
        <w:t xml:space="preserve"> exports remained strong while services imports fell.</w:t>
      </w:r>
    </w:p>
    <w:p w14:paraId="2FE07CE1"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GSP share of private investment has been influenced by cycles of mining investment. The share peaked at 36% in 2012</w:t>
      </w:r>
      <w:r w:rsidRPr="00A237CC">
        <w:rPr>
          <w:sz w:val="16"/>
          <w:szCs w:val="16"/>
        </w:rPr>
        <w:noBreakHyphen/>
        <w:t>13 when construction activity on multiple iron ore and liquefied natural gas projects was at its height but fell to 17% in 2023</w:t>
      </w:r>
      <w:r w:rsidRPr="00A237CC">
        <w:rPr>
          <w:sz w:val="16"/>
          <w:szCs w:val="16"/>
        </w:rPr>
        <w:noBreakHyphen/>
        <w:t>24 as the mining expansion moved from its construction to the operation phase and output from these projects contributed to net exports.</w:t>
      </w:r>
    </w:p>
    <w:p w14:paraId="52239CFA"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While household consumption and public final demand in Western Australia have grown over time, their share of the economy has fallen as net exports have grown at a faster rate. The GSP share of household consumption fell from 53% in 1993</w:t>
      </w:r>
      <w:r w:rsidRPr="00A237CC">
        <w:rPr>
          <w:sz w:val="16"/>
          <w:szCs w:val="16"/>
        </w:rPr>
        <w:noBreakHyphen/>
        <w:t>94 to 33% in 2023</w:t>
      </w:r>
      <w:r w:rsidRPr="00A237CC">
        <w:rPr>
          <w:sz w:val="16"/>
          <w:szCs w:val="16"/>
        </w:rPr>
        <w:noBreakHyphen/>
        <w:t>24, while the GSP share of public final demand fell from 22% in 1993</w:t>
      </w:r>
      <w:r w:rsidRPr="00A237CC">
        <w:rPr>
          <w:sz w:val="16"/>
          <w:szCs w:val="16"/>
        </w:rPr>
        <w:noBreakHyphen/>
        <w:t>94 to 17% in 2023</w:t>
      </w:r>
      <w:r w:rsidRPr="00A237CC">
        <w:rPr>
          <w:sz w:val="16"/>
          <w:szCs w:val="16"/>
        </w:rPr>
        <w:noBreakHyphen/>
        <w:t>24.</w:t>
      </w:r>
    </w:p>
    <w:p w14:paraId="3B4A0979" w14:textId="77777777" w:rsidR="00233755" w:rsidRPr="00EB1814" w:rsidRDefault="00233755" w:rsidP="00233755">
      <w:pPr>
        <w:pStyle w:val="ListParagraph"/>
        <w:numPr>
          <w:ilvl w:val="0"/>
          <w:numId w:val="31"/>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Comparison of gross state/domestic product of component (share): 202</w:t>
      </w:r>
      <w:r>
        <w:rPr>
          <w:i w:val="0"/>
          <w:iCs w:val="0"/>
          <w:color w:val="92278F" w:themeColor="accent1"/>
          <w:sz w:val="20"/>
          <w:szCs w:val="20"/>
        </w:rPr>
        <w:t>3</w:t>
      </w:r>
      <w:r>
        <w:rPr>
          <w:i w:val="0"/>
          <w:iCs w:val="0"/>
          <w:color w:val="92278F" w:themeColor="accent1"/>
          <w:sz w:val="20"/>
          <w:szCs w:val="20"/>
        </w:rPr>
        <w:noBreakHyphen/>
      </w:r>
      <w:r w:rsidRPr="00AC3621">
        <w:rPr>
          <w:i w:val="0"/>
          <w:iCs w:val="0"/>
          <w:color w:val="92278F" w:themeColor="accent1"/>
          <w:sz w:val="20"/>
          <w:szCs w:val="20"/>
        </w:rPr>
        <w:t>2</w:t>
      </w:r>
      <w:r>
        <w:rPr>
          <w:i w:val="0"/>
          <w:iCs w:val="0"/>
          <w:color w:val="92278F" w:themeColor="accent1"/>
          <w:sz w:val="20"/>
          <w:szCs w:val="20"/>
        </w:rPr>
        <w:t>4</w:t>
      </w:r>
    </w:p>
    <w:p w14:paraId="7A946DDE" w14:textId="77777777" w:rsidR="00233755" w:rsidRPr="007B1AE5" w:rsidRDefault="00233755" w:rsidP="00233755">
      <w:r>
        <w:rPr>
          <w:noProof/>
        </w:rPr>
        <w:drawing>
          <wp:inline distT="0" distB="0" distL="0" distR="0" wp14:anchorId="4A25BBB5" wp14:editId="249EE48C">
            <wp:extent cx="3244850" cy="1797050"/>
            <wp:effectExtent l="0" t="0" r="0" b="0"/>
            <wp:docPr id="71340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4850" cy="1797050"/>
                    </a:xfrm>
                    <a:prstGeom prst="rect">
                      <a:avLst/>
                    </a:prstGeom>
                    <a:noFill/>
                    <a:ln>
                      <a:noFill/>
                    </a:ln>
                  </pic:spPr>
                </pic:pic>
              </a:graphicData>
            </a:graphic>
          </wp:inline>
        </w:drawing>
      </w:r>
    </w:p>
    <w:p w14:paraId="2B47C593"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233755">
      <w:pPr>
        <w:rPr>
          <w:sz w:val="10"/>
          <w:szCs w:val="10"/>
        </w:rPr>
      </w:pPr>
      <w:r w:rsidRPr="00AF759E">
        <w:rPr>
          <w:sz w:val="10"/>
          <w:szCs w:val="10"/>
        </w:rPr>
        <w:t>Source: Based on ABS data.</w:t>
      </w:r>
    </w:p>
    <w:p w14:paraId="16968A56" w14:textId="77777777" w:rsidR="00233755" w:rsidRPr="00F63F8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F63F86">
        <w:rPr>
          <w:sz w:val="16"/>
          <w:szCs w:val="16"/>
        </w:rPr>
        <w:t>The changes in Western Australia’s economy over the past 30 years means it now has an economic structure that is quite different to the rest of Australia.</w:t>
      </w:r>
    </w:p>
    <w:p w14:paraId="2845C93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Household consumption accounted for 51% of Australia’s gross domestic product (GDP) in 2023</w:t>
      </w:r>
      <w:r w:rsidRPr="00A237CC">
        <w:rPr>
          <w:sz w:val="16"/>
          <w:szCs w:val="16"/>
        </w:rPr>
        <w:noBreakHyphen/>
        <w:t>24, much higher than its share of Western Australia’s GSP in 2023</w:t>
      </w:r>
      <w:r w:rsidRPr="00A237CC">
        <w:rPr>
          <w:sz w:val="16"/>
          <w:szCs w:val="16"/>
        </w:rPr>
        <w:noBreakHyphen/>
        <w:t>24, but similar to the share of Western Australia’s GSP in 1993</w:t>
      </w:r>
      <w:r w:rsidRPr="00A237CC">
        <w:rPr>
          <w:sz w:val="16"/>
          <w:szCs w:val="16"/>
        </w:rPr>
        <w:noBreakHyphen/>
        <w:t>94.</w:t>
      </w:r>
    </w:p>
    <w:p w14:paraId="1844A011"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As Western Australia accounts for a high share of Australia’s exports, the GDP share of n</w:t>
      </w:r>
      <w:r w:rsidRPr="00A237CC">
        <w:rPr>
          <w:sz w:val="16"/>
          <w:szCs w:val="16"/>
        </w:rPr>
        <w:t xml:space="preserve">et exports </w:t>
      </w:r>
      <w:r>
        <w:rPr>
          <w:sz w:val="16"/>
          <w:szCs w:val="16"/>
        </w:rPr>
        <w:t>for Australia (</w:t>
      </w:r>
      <w:r w:rsidRPr="00A237CC">
        <w:rPr>
          <w:sz w:val="16"/>
          <w:szCs w:val="16"/>
        </w:rPr>
        <w:t>2% in 2023</w:t>
      </w:r>
      <w:r w:rsidRPr="00A237CC">
        <w:rPr>
          <w:sz w:val="16"/>
          <w:szCs w:val="16"/>
        </w:rPr>
        <w:noBreakHyphen/>
        <w:t>24</w:t>
      </w:r>
      <w:r>
        <w:rPr>
          <w:sz w:val="16"/>
          <w:szCs w:val="16"/>
        </w:rPr>
        <w:t>)</w:t>
      </w:r>
      <w:r w:rsidRPr="00A237CC">
        <w:rPr>
          <w:sz w:val="16"/>
          <w:szCs w:val="16"/>
        </w:rPr>
        <w:t xml:space="preserve">, </w:t>
      </w:r>
      <w:r>
        <w:rPr>
          <w:sz w:val="16"/>
          <w:szCs w:val="16"/>
        </w:rPr>
        <w:t>is much lower compared to its share of Western Australia’s GSP.</w:t>
      </w:r>
    </w:p>
    <w:p w14:paraId="1BBD6D4A" w14:textId="77777777" w:rsidR="00233755" w:rsidRPr="00307C34" w:rsidRDefault="00233755" w:rsidP="00233755">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private investment (1</w:t>
      </w:r>
      <w:r>
        <w:rPr>
          <w:sz w:val="16"/>
          <w:szCs w:val="16"/>
        </w:rPr>
        <w:t>9</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and public final demand (2</w:t>
      </w:r>
      <w:r>
        <w:rPr>
          <w:sz w:val="16"/>
          <w:szCs w:val="16"/>
        </w:rPr>
        <w:t>8</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Pr="00307C34">
        <w:rPr>
          <w:sz w:val="16"/>
          <w:szCs w:val="16"/>
        </w:rPr>
        <w:t>.</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37" w:name="_Per_capita_incomes"/>
      <w:bookmarkEnd w:id="37"/>
      <w:r w:rsidRPr="00D859C6">
        <w:rPr>
          <w:color w:val="002060"/>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Pr>
          <w:i w:val="0"/>
          <w:iCs w:val="0"/>
          <w:color w:val="92278F" w:themeColor="accent1"/>
          <w:sz w:val="20"/>
          <w:szCs w:val="20"/>
        </w:rPr>
        <w:t>/</w:t>
      </w:r>
      <w:r w:rsidRPr="00AC3621">
        <w:rPr>
          <w:i w:val="0"/>
          <w:iCs w:val="0"/>
          <w:color w:val="92278F" w:themeColor="accent1"/>
          <w:sz w:val="20"/>
          <w:szCs w:val="20"/>
        </w:rPr>
        <w:t>domestic product per capita</w:t>
      </w:r>
    </w:p>
    <w:p w14:paraId="01277754" w14:textId="77777777" w:rsidR="00233755" w:rsidRPr="007B1AE5" w:rsidRDefault="00233755" w:rsidP="00233755">
      <w:r>
        <w:rPr>
          <w:noProof/>
        </w:rPr>
        <w:drawing>
          <wp:inline distT="0" distB="0" distL="0" distR="0" wp14:anchorId="7EB2A7DF" wp14:editId="26DF0E20">
            <wp:extent cx="3420000" cy="2062800"/>
            <wp:effectExtent l="0" t="0" r="0" b="0"/>
            <wp:docPr id="204723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2197F7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233755">
      <w:pPr>
        <w:rPr>
          <w:sz w:val="10"/>
          <w:szCs w:val="10"/>
        </w:rPr>
      </w:pPr>
      <w:r w:rsidRPr="00AF759E">
        <w:rPr>
          <w:sz w:val="10"/>
          <w:szCs w:val="10"/>
        </w:rPr>
        <w:t>Source: Based on ABS data.</w:t>
      </w:r>
    </w:p>
    <w:p w14:paraId="0234EDDD" w14:textId="77777777" w:rsidR="00233755" w:rsidRPr="000E4417"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Pr>
          <w:sz w:val="16"/>
          <w:szCs w:val="16"/>
        </w:rPr>
        <w:t>Western Australia’s nominal GSP has grown at a faster rate than Australia’s nominal GSP over the past 20 years, resulting in a large gap between Western Australia’s GSP per capita and Australia’s GDP per capita.</w:t>
      </w:r>
    </w:p>
    <w:p w14:paraId="4395E1C5"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was $95.8 billion, which was 11</w:t>
      </w:r>
      <w:r w:rsidRPr="00A237CC" w:rsidDel="00B715D2">
        <w:rPr>
          <w:sz w:val="16"/>
          <w:szCs w:val="16"/>
        </w:rPr>
        <w:t>.</w:t>
      </w:r>
      <w:r w:rsidRPr="00A237CC">
        <w:rPr>
          <w:sz w:val="16"/>
          <w:szCs w:val="16"/>
        </w:rPr>
        <w:t>1 per cent of Australia’s GDP. In 2023</w:t>
      </w:r>
      <w:r w:rsidRPr="00A237CC">
        <w:rPr>
          <w:sz w:val="16"/>
          <w:szCs w:val="16"/>
        </w:rPr>
        <w:noBreakHyphen/>
        <w:t>24, Western Australia’s GSP was $455.7 billion, and its share of Australia’s GDP had grown to 17</w:t>
      </w:r>
      <w:r w:rsidRPr="00A237CC" w:rsidDel="00964913">
        <w:rPr>
          <w:sz w:val="16"/>
          <w:szCs w:val="16"/>
        </w:rPr>
        <w:t>.</w:t>
      </w:r>
      <w:r w:rsidRPr="00A237CC">
        <w:rPr>
          <w:sz w:val="16"/>
          <w:szCs w:val="16"/>
        </w:rPr>
        <w:t>1%.</w:t>
      </w:r>
    </w:p>
    <w:p w14:paraId="68031C08"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per capita was $48,744, which was 12% higher than Australia’s GDP per capita of $43,586. In 2023</w:t>
      </w:r>
      <w:r w:rsidRPr="00A237CC">
        <w:rPr>
          <w:sz w:val="16"/>
          <w:szCs w:val="16"/>
        </w:rPr>
        <w:noBreakHyphen/>
        <w:t>24, Western Australia’s GSP per capita was $155,644, 57% higher Australia’s GDP per capita of $99,128.</w:t>
      </w:r>
    </w:p>
    <w:p w14:paraId="5A574B1A" w14:textId="77777777" w:rsidR="00233755" w:rsidRPr="00EB1814" w:rsidRDefault="00233755" w:rsidP="00233755">
      <w:pPr>
        <w:pStyle w:val="ListParagraph"/>
        <w:numPr>
          <w:ilvl w:val="0"/>
          <w:numId w:val="31"/>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factor income</w:t>
      </w:r>
    </w:p>
    <w:p w14:paraId="4419750D" w14:textId="77777777" w:rsidR="00233755" w:rsidRPr="007B1AE5" w:rsidRDefault="00233755" w:rsidP="00233755">
      <w:r>
        <w:rPr>
          <w:noProof/>
        </w:rPr>
        <w:drawing>
          <wp:inline distT="0" distB="0" distL="0" distR="0" wp14:anchorId="562D9BB2" wp14:editId="2EBACCBD">
            <wp:extent cx="3420000" cy="2044800"/>
            <wp:effectExtent l="0" t="0" r="9525" b="0"/>
            <wp:docPr id="1268224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044800"/>
                    </a:xfrm>
                    <a:prstGeom prst="rect">
                      <a:avLst/>
                    </a:prstGeom>
                    <a:noFill/>
                    <a:ln>
                      <a:noFill/>
                    </a:ln>
                  </pic:spPr>
                </pic:pic>
              </a:graphicData>
            </a:graphic>
          </wp:inline>
        </w:drawing>
      </w:r>
    </w:p>
    <w:p w14:paraId="1FAC5103"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38" w:name="_Hlk158802591"/>
      <w:r w:rsidRPr="00AF759E">
        <w:rPr>
          <w:sz w:val="10"/>
          <w:szCs w:val="10"/>
        </w:rPr>
        <w:t>Ownership of dwellings; taxes less subsidies on production and imports; and statistical discrepancy</w:t>
      </w:r>
      <w:bookmarkEnd w:id="38"/>
      <w:r w:rsidRPr="00AF759E">
        <w:rPr>
          <w:sz w:val="10"/>
          <w:szCs w:val="10"/>
        </w:rPr>
        <w:t>.</w:t>
      </w:r>
    </w:p>
    <w:p w14:paraId="30AC9909" w14:textId="77777777" w:rsidR="00233755" w:rsidRPr="00AF759E" w:rsidRDefault="00233755" w:rsidP="00233755">
      <w:pPr>
        <w:rPr>
          <w:sz w:val="10"/>
          <w:szCs w:val="10"/>
        </w:rPr>
      </w:pPr>
      <w:r w:rsidRPr="00AF759E">
        <w:rPr>
          <w:sz w:val="10"/>
          <w:szCs w:val="10"/>
        </w:rPr>
        <w:t>Source: Based on ABS data.</w:t>
      </w:r>
    </w:p>
    <w:p w14:paraId="6877C9E8" w14:textId="77777777" w:rsidR="00233755" w:rsidRPr="00475EF4" w:rsidRDefault="00233755" w:rsidP="00233755">
      <w:pPr>
        <w:pStyle w:val="ListParagraph"/>
        <w:numPr>
          <w:ilvl w:val="0"/>
          <w:numId w:val="31"/>
        </w:numPr>
        <w:ind w:right="227"/>
        <w:jc w:val="both"/>
        <w:rPr>
          <w:sz w:val="16"/>
          <w:szCs w:val="16"/>
        </w:rPr>
      </w:pPr>
      <w:r w:rsidRPr="007B1AE5">
        <w:br w:type="column"/>
      </w:r>
      <w:r w:rsidRPr="00475EF4">
        <w:rPr>
          <w:sz w:val="16"/>
          <w:szCs w:val="16"/>
        </w:rPr>
        <w:t xml:space="preserve">The </w:t>
      </w:r>
      <w:r>
        <w:rPr>
          <w:sz w:val="16"/>
          <w:szCs w:val="16"/>
        </w:rPr>
        <w:t>growth of the mining industry in Western Australia has had a significant effect on the distribution of GSP across factor incomes (the returns to labour and capital).</w:t>
      </w:r>
    </w:p>
    <w:p w14:paraId="5689A8BD" w14:textId="77777777" w:rsidR="0023375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7A1B443B" w14:textId="77777777" w:rsidR="0023375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03158904" w14:textId="77777777" w:rsidR="00233755" w:rsidRPr="00ED2D64"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6C362269" w14:textId="77777777" w:rsidR="00233755" w:rsidRPr="00A237CC" w:rsidRDefault="00233755" w:rsidP="00233755">
      <w:pPr>
        <w:pStyle w:val="ListParagraph"/>
        <w:numPr>
          <w:ilvl w:val="0"/>
          <w:numId w:val="31"/>
        </w:numPr>
        <w:ind w:right="227"/>
        <w:jc w:val="both"/>
        <w:rPr>
          <w:sz w:val="16"/>
          <w:szCs w:val="16"/>
        </w:rPr>
      </w:pPr>
      <w:r w:rsidRPr="00A237CC">
        <w:rPr>
          <w:sz w:val="16"/>
          <w:szCs w:val="16"/>
        </w:rPr>
        <w:t>In 2023</w:t>
      </w:r>
      <w:r w:rsidRPr="00A237CC">
        <w:rPr>
          <w:sz w:val="16"/>
          <w:szCs w:val="16"/>
        </w:rPr>
        <w:noBreakHyphen/>
        <w:t>24:</w:t>
      </w:r>
    </w:p>
    <w:p w14:paraId="73D30CAE"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Wages and salaries were $158.3 billion (35% of GSP)</w:t>
      </w:r>
    </w:p>
    <w:p w14:paraId="029A6DC5"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Profits were $269.9 billion (59% of GSP)</w:t>
      </w:r>
    </w:p>
    <w:p w14:paraId="7971CA19"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$27.5 billion (6% of GSP).</w:t>
      </w:r>
    </w:p>
    <w:p w14:paraId="1D630F62" w14:textId="77777777" w:rsidR="00233755" w:rsidRPr="00EB1814" w:rsidRDefault="00233755" w:rsidP="00233755">
      <w:pPr>
        <w:pStyle w:val="ListParagraph"/>
        <w:numPr>
          <w:ilvl w:val="0"/>
          <w:numId w:val="31"/>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household disposable income per capita</w:t>
      </w:r>
    </w:p>
    <w:p w14:paraId="6A6C107D" w14:textId="77777777" w:rsidR="00233755" w:rsidRPr="007B1AE5" w:rsidRDefault="00233755" w:rsidP="00233755">
      <w:r>
        <w:rPr>
          <w:noProof/>
        </w:rPr>
        <w:drawing>
          <wp:inline distT="0" distB="0" distL="0" distR="0" wp14:anchorId="4F4D36AA" wp14:editId="603706F3">
            <wp:extent cx="3420000" cy="2062800"/>
            <wp:effectExtent l="0" t="0" r="0" b="0"/>
            <wp:docPr id="840595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EC1700A"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233755">
      <w:pPr>
        <w:rPr>
          <w:sz w:val="10"/>
          <w:szCs w:val="10"/>
        </w:rPr>
      </w:pPr>
      <w:r w:rsidRPr="00AF759E">
        <w:rPr>
          <w:sz w:val="10"/>
          <w:szCs w:val="10"/>
        </w:rPr>
        <w:t>Source: Based on ABS data.</w:t>
      </w:r>
    </w:p>
    <w:p w14:paraId="45C8DC61" w14:textId="77777777" w:rsidR="00233755" w:rsidRDefault="00233755" w:rsidP="00233755">
      <w:pPr>
        <w:pStyle w:val="ListParagraph"/>
        <w:numPr>
          <w:ilvl w:val="0"/>
          <w:numId w:val="31"/>
        </w:numPr>
        <w:ind w:right="227"/>
        <w:jc w:val="both"/>
        <w:rPr>
          <w:sz w:val="16"/>
          <w:szCs w:val="16"/>
        </w:rPr>
      </w:pPr>
      <w:r w:rsidRPr="007B1AE5">
        <w:br w:type="column"/>
      </w:r>
      <w:r>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77777777" w:rsidR="00233755" w:rsidRPr="00EC1FDB" w:rsidRDefault="00233755" w:rsidP="00233755">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Pr>
          <w:sz w:val="16"/>
          <w:szCs w:val="16"/>
        </w:rPr>
        <w:t>3</w:t>
      </w:r>
      <w:r>
        <w:rPr>
          <w:sz w:val="16"/>
          <w:szCs w:val="16"/>
        </w:rPr>
        <w:noBreakHyphen/>
      </w:r>
      <w:r w:rsidRPr="00EC1FDB">
        <w:rPr>
          <w:sz w:val="16"/>
          <w:szCs w:val="16"/>
        </w:rPr>
        <w:t>9</w:t>
      </w:r>
      <w:r>
        <w:rPr>
          <w:sz w:val="16"/>
          <w:szCs w:val="16"/>
        </w:rPr>
        <w:t>4</w:t>
      </w:r>
      <w:r w:rsidRPr="00EC1FDB">
        <w:rPr>
          <w:sz w:val="16"/>
          <w:szCs w:val="16"/>
        </w:rPr>
        <w:t xml:space="preserve"> to 2001-02 but has been consistently higher than </w:t>
      </w:r>
      <w:r>
        <w:rPr>
          <w:sz w:val="16"/>
          <w:szCs w:val="16"/>
        </w:rPr>
        <w:t xml:space="preserve">the </w:t>
      </w:r>
      <w:r w:rsidRPr="00EC1FDB">
        <w:rPr>
          <w:sz w:val="16"/>
          <w:szCs w:val="16"/>
        </w:rPr>
        <w:t>national average since 2002-03.</w:t>
      </w:r>
    </w:p>
    <w:p w14:paraId="3E70BCF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gap was highest in 2013</w:t>
      </w:r>
      <w:r w:rsidRPr="00A237CC">
        <w:rPr>
          <w:sz w:val="16"/>
          <w:szCs w:val="16"/>
        </w:rPr>
        <w:noBreakHyphen/>
        <w:t>14, during the construction phase of the mining expansion, when Western Australia’s gross household disposable income per capita was $55,124, 23% higher than the national figure of $44,793. The gap closed in the transition to the operational phase but has widened slightly in recent years.</w:t>
      </w:r>
    </w:p>
    <w:p w14:paraId="060DBDAD" w14:textId="77777777" w:rsidR="00233755" w:rsidRPr="00A237CC" w:rsidRDefault="00233755" w:rsidP="00233755">
      <w:pPr>
        <w:pStyle w:val="ListParagraph"/>
        <w:numPr>
          <w:ilvl w:val="0"/>
          <w:numId w:val="31"/>
        </w:numPr>
        <w:ind w:right="227"/>
        <w:jc w:val="both"/>
        <w:rPr>
          <w:sz w:val="16"/>
          <w:szCs w:val="16"/>
        </w:rPr>
      </w:pPr>
      <w:r w:rsidRPr="00A237CC">
        <w:rPr>
          <w:sz w:val="16"/>
          <w:szCs w:val="16"/>
        </w:rPr>
        <w:t>In 2023</w:t>
      </w:r>
      <w:r w:rsidRPr="00A237CC">
        <w:rPr>
          <w:sz w:val="16"/>
          <w:szCs w:val="16"/>
        </w:rPr>
        <w:noBreakHyphen/>
        <w:t>24, Western Australia’s gross household disposable income per capita was $63,814, 9% higher than the national figure of $58,599.</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39" w:name="_International_trade_(annual)"/>
      <w:bookmarkEnd w:id="39"/>
      <w:r w:rsidRPr="00D859C6">
        <w:rPr>
          <w:color w:val="002060"/>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73034FE4" w14:textId="77777777" w:rsidR="00233755" w:rsidRPr="007B1AE5" w:rsidRDefault="00233755" w:rsidP="00233755">
      <w:r>
        <w:rPr>
          <w:noProof/>
        </w:rPr>
        <w:drawing>
          <wp:inline distT="0" distB="0" distL="0" distR="0" wp14:anchorId="3A128766" wp14:editId="73E115D7">
            <wp:extent cx="3420000" cy="2062800"/>
            <wp:effectExtent l="0" t="0" r="0" b="0"/>
            <wp:docPr id="181524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11CD915"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 Imports of goods are displayed as negative values given they detract from gross state product.</w:t>
      </w:r>
    </w:p>
    <w:p w14:paraId="2AC0F331" w14:textId="77777777" w:rsidR="00233755" w:rsidRPr="00AF759E" w:rsidRDefault="00233755" w:rsidP="00233755">
      <w:pPr>
        <w:rPr>
          <w:sz w:val="10"/>
          <w:szCs w:val="10"/>
        </w:rPr>
      </w:pPr>
      <w:r w:rsidRPr="00AF759E">
        <w:rPr>
          <w:sz w:val="10"/>
          <w:szCs w:val="10"/>
        </w:rPr>
        <w:t>Source: Based on ABS data.</w:t>
      </w:r>
    </w:p>
    <w:p w14:paraId="473E5C3E" w14:textId="77777777" w:rsidR="00233755" w:rsidRPr="0013674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136745">
        <w:rPr>
          <w:sz w:val="16"/>
          <w:szCs w:val="16"/>
        </w:rPr>
        <w:t xml:space="preserve">Western Australia has a very large surplus in </w:t>
      </w:r>
      <w:r>
        <w:rPr>
          <w:sz w:val="16"/>
          <w:szCs w:val="16"/>
        </w:rPr>
        <w:t>goods</w:t>
      </w:r>
      <w:r w:rsidRPr="00136745">
        <w:rPr>
          <w:sz w:val="16"/>
          <w:szCs w:val="16"/>
        </w:rPr>
        <w:t xml:space="preserve"> trade. </w:t>
      </w:r>
      <w:r>
        <w:rPr>
          <w:sz w:val="16"/>
          <w:szCs w:val="16"/>
        </w:rPr>
        <w:t>H</w:t>
      </w:r>
      <w:r w:rsidRPr="00136745">
        <w:rPr>
          <w:sz w:val="16"/>
          <w:szCs w:val="16"/>
        </w:rPr>
        <w:t>igh</w:t>
      </w:r>
      <w:r w:rsidRPr="00136745">
        <w:rPr>
          <w:sz w:val="16"/>
          <w:szCs w:val="16"/>
        </w:rPr>
        <w:noBreakHyphen/>
        <w:t xml:space="preserve">volume production of minerals, energy and agricultural commodities generates </w:t>
      </w:r>
      <w:r>
        <w:rPr>
          <w:sz w:val="16"/>
          <w:szCs w:val="16"/>
        </w:rPr>
        <w:t>significant revenue and the small domestic market for these commodities means much of that revenue is through exports.</w:t>
      </w:r>
    </w:p>
    <w:p w14:paraId="3E658E4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exports increased at an average annual rate of 10%, driven by significant growth of mineral and petroleum exports.</w:t>
      </w:r>
    </w:p>
    <w:p w14:paraId="590F951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value of Western Australia’s goods exports was $256.2 billion in 2023</w:t>
      </w:r>
      <w:r w:rsidRPr="00A237CC">
        <w:rPr>
          <w:sz w:val="16"/>
          <w:szCs w:val="16"/>
        </w:rPr>
        <w:noBreakHyphen/>
        <w:t>24 (48% of Australia’s total goods exports).</w:t>
      </w:r>
    </w:p>
    <w:p w14:paraId="45D6F9F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33FEFBD"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imports increased at an average annual rate of 9%.</w:t>
      </w:r>
    </w:p>
    <w:p w14:paraId="26DD074B"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value of Western Australia’s goods imports was $55.7 billion in 2023</w:t>
      </w:r>
      <w:r w:rsidRPr="00A237CC">
        <w:rPr>
          <w:sz w:val="16"/>
          <w:szCs w:val="16"/>
        </w:rPr>
        <w:noBreakHyphen/>
        <w:t>24 (13% of Australia’s goods imports).</w:t>
      </w:r>
    </w:p>
    <w:p w14:paraId="086D95BA" w14:textId="77777777" w:rsidR="00233755" w:rsidRPr="00FC65EB" w:rsidRDefault="00233755" w:rsidP="00233755">
      <w:pPr>
        <w:pStyle w:val="ListParagraph"/>
        <w:numPr>
          <w:ilvl w:val="0"/>
          <w:numId w:val="31"/>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services</w:t>
      </w:r>
    </w:p>
    <w:p w14:paraId="2D9ACE30" w14:textId="77777777" w:rsidR="00233755" w:rsidRPr="007B1AE5" w:rsidRDefault="00233755" w:rsidP="00233755">
      <w:r>
        <w:rPr>
          <w:noProof/>
        </w:rPr>
        <w:drawing>
          <wp:inline distT="0" distB="0" distL="0" distR="0" wp14:anchorId="1D0FC561" wp14:editId="0113DFDA">
            <wp:extent cx="3420000" cy="2062800"/>
            <wp:effectExtent l="0" t="0" r="0" b="0"/>
            <wp:docPr id="31380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6E4E493"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 Imports of services are displayed as negative values given they detract from gross state product.</w:t>
      </w:r>
    </w:p>
    <w:p w14:paraId="3621ACC7" w14:textId="77777777" w:rsidR="00233755" w:rsidRPr="00AF759E" w:rsidRDefault="00233755" w:rsidP="00233755">
      <w:pPr>
        <w:rPr>
          <w:sz w:val="10"/>
          <w:szCs w:val="10"/>
        </w:rPr>
      </w:pPr>
      <w:r w:rsidRPr="00AF759E">
        <w:rPr>
          <w:sz w:val="10"/>
          <w:szCs w:val="10"/>
        </w:rPr>
        <w:t>Source: Based on ABS data.</w:t>
      </w:r>
    </w:p>
    <w:p w14:paraId="44EE0BCF" w14:textId="77777777" w:rsidR="00233755" w:rsidRDefault="00233755" w:rsidP="00233755">
      <w:pPr>
        <w:pStyle w:val="ListParagraph"/>
        <w:numPr>
          <w:ilvl w:val="0"/>
          <w:numId w:val="31"/>
        </w:numPr>
        <w:spacing w:beforeLines="40" w:before="96" w:afterLines="40" w:after="96"/>
        <w:ind w:right="227"/>
        <w:contextualSpacing w:val="0"/>
        <w:jc w:val="both"/>
        <w:rPr>
          <w:sz w:val="16"/>
          <w:szCs w:val="16"/>
        </w:rPr>
      </w:pPr>
      <w:r w:rsidRPr="007B1AE5">
        <w:br w:type="column"/>
      </w:r>
      <w:r w:rsidRPr="00396A36">
        <w:rPr>
          <w:sz w:val="16"/>
          <w:szCs w:val="16"/>
        </w:rPr>
        <w:t>In contrast to its trade in goods, Western Australia usually has a deficit in its trade in services.</w:t>
      </w:r>
      <w:r>
        <w:rPr>
          <w:sz w:val="16"/>
          <w:szCs w:val="16"/>
        </w:rPr>
        <w:t xml:space="preserve"> The deficit emerged in the mid</w:t>
      </w:r>
      <w:r>
        <w:rPr>
          <w:sz w:val="16"/>
          <w:szCs w:val="16"/>
        </w:rPr>
        <w:noBreakHyphen/>
        <w:t>2000s when growth in incomes led more Western Australians to travel overseas (an import of services).</w:t>
      </w:r>
    </w:p>
    <w:p w14:paraId="7B47E2E8" w14:textId="77777777" w:rsidR="00233755" w:rsidRPr="00396A36" w:rsidRDefault="00233755" w:rsidP="00233755">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close to parity in 2020</w:t>
      </w:r>
      <w:r>
        <w:rPr>
          <w:sz w:val="16"/>
          <w:szCs w:val="16"/>
        </w:rPr>
        <w:noBreakHyphen/>
        <w:t>21, however the re</w:t>
      </w:r>
      <w:r>
        <w:rPr>
          <w:sz w:val="16"/>
          <w:szCs w:val="16"/>
        </w:rPr>
        <w:noBreakHyphen/>
        <w:t>opening of borders has led to higher growth in services imports compared to services exports.</w:t>
      </w:r>
    </w:p>
    <w:p w14:paraId="0FD8CEE7" w14:textId="77777777" w:rsidR="00233755" w:rsidRPr="00A237CC" w:rsidRDefault="00233755" w:rsidP="00233755">
      <w:pPr>
        <w:pStyle w:val="ListParagraph"/>
        <w:numPr>
          <w:ilvl w:val="0"/>
          <w:numId w:val="31"/>
        </w:numPr>
        <w:spacing w:before="40" w:after="40"/>
        <w:ind w:right="227"/>
        <w:contextualSpacing w:val="0"/>
        <w:jc w:val="both"/>
        <w:rPr>
          <w:sz w:val="16"/>
          <w:szCs w:val="16"/>
        </w:rPr>
      </w:pPr>
      <w:r w:rsidRPr="00A237CC">
        <w:rPr>
          <w:sz w:val="16"/>
          <w:szCs w:val="16"/>
        </w:rPr>
        <w:t>In 2023</w:t>
      </w:r>
      <w:r w:rsidRPr="00A237CC">
        <w:rPr>
          <w:sz w:val="16"/>
          <w:szCs w:val="16"/>
        </w:rPr>
        <w:noBreakHyphen/>
        <w:t>24:</w:t>
      </w:r>
    </w:p>
    <w:p w14:paraId="0B8627B2"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exports was $10.0 billion (8.0% of Australia’s services exports)</w:t>
      </w:r>
    </w:p>
    <w:p w14:paraId="34AD9ED9"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imports was $16.7 billion (10.4% of Australia’s services imports).</w:t>
      </w:r>
    </w:p>
    <w:p w14:paraId="03B3B3BE" w14:textId="77777777" w:rsidR="00233755" w:rsidRPr="00B34EE0" w:rsidRDefault="00233755" w:rsidP="00233755">
      <w:pPr>
        <w:pStyle w:val="ListParagraph"/>
        <w:numPr>
          <w:ilvl w:val="0"/>
          <w:numId w:val="31"/>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goods by market</w:t>
      </w:r>
    </w:p>
    <w:p w14:paraId="345778A2" w14:textId="77777777" w:rsidR="00233755" w:rsidRPr="007B1AE5" w:rsidRDefault="00233755" w:rsidP="00233755">
      <w:r>
        <w:rPr>
          <w:noProof/>
        </w:rPr>
        <w:drawing>
          <wp:inline distT="0" distB="0" distL="0" distR="0" wp14:anchorId="727F57DA" wp14:editId="1A5A461A">
            <wp:extent cx="3420000" cy="2070404"/>
            <wp:effectExtent l="0" t="0" r="9525" b="6350"/>
            <wp:docPr id="204463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over the past 30 years has been largely due to higher demand from China, in particular for iron ore.</w:t>
      </w:r>
    </w:p>
    <w:p w14:paraId="2D375A23" w14:textId="77777777" w:rsidR="00233755" w:rsidRPr="001D075F" w:rsidRDefault="00233755" w:rsidP="00233755">
      <w:pPr>
        <w:pStyle w:val="ListParagraph"/>
        <w:numPr>
          <w:ilvl w:val="0"/>
          <w:numId w:val="31"/>
        </w:numPr>
        <w:spacing w:before="40" w:after="40"/>
        <w:ind w:left="357" w:right="227" w:hanging="357"/>
        <w:contextualSpacing w:val="0"/>
        <w:jc w:val="both"/>
        <w:rPr>
          <w:sz w:val="16"/>
          <w:szCs w:val="16"/>
        </w:rPr>
      </w:pPr>
      <w:r w:rsidRPr="001D075F">
        <w:rPr>
          <w:sz w:val="16"/>
          <w:szCs w:val="16"/>
        </w:rPr>
        <w:t>In 1993</w:t>
      </w:r>
      <w:r w:rsidRPr="001D075F">
        <w:rPr>
          <w:sz w:val="16"/>
          <w:szCs w:val="16"/>
        </w:rPr>
        <w:noBreakHyphen/>
        <w:t>94, China accounted for 7% of Western Australia’s goods exports. In that year, Japan was the State’s largest export market, accounting for 28% of Western Australia’s goods exports, with South Korea accounting for 9%.</w:t>
      </w:r>
    </w:p>
    <w:p w14:paraId="3F89BAE5" w14:textId="77777777" w:rsidR="00233755" w:rsidRPr="007C02F1" w:rsidRDefault="00233755" w:rsidP="00233755">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1D3B64A" w14:textId="77777777" w:rsidR="00233755" w:rsidRPr="007E0A5F" w:rsidRDefault="00233755" w:rsidP="00233755">
      <w:pPr>
        <w:pStyle w:val="ListParagraph"/>
        <w:numPr>
          <w:ilvl w:val="0"/>
          <w:numId w:val="31"/>
        </w:numPr>
        <w:spacing w:before="40" w:after="40"/>
        <w:ind w:left="357" w:right="227" w:hanging="357"/>
        <w:contextualSpacing w:val="0"/>
        <w:jc w:val="both"/>
        <w:rPr>
          <w:sz w:val="16"/>
          <w:szCs w:val="16"/>
        </w:rPr>
      </w:pPr>
      <w:r w:rsidRPr="007E0A5F">
        <w:rPr>
          <w:sz w:val="16"/>
          <w:szCs w:val="16"/>
        </w:rPr>
        <w:t>In 2023-24, Western Australia’s largest market for goods exports was China ($143.1 billion or 57%), followed by Japan ($28.3 billion or 11%) and South Korea ($16.5 billion or 7%). All other countries accounted for $63.0 billion or 25% of total merchandise exports.</w:t>
      </w:r>
    </w:p>
    <w:p w14:paraId="5204F937" w14:textId="77777777" w:rsidR="00233755" w:rsidRPr="007E0A5F" w:rsidRDefault="00233755" w:rsidP="00233755">
      <w:pPr>
        <w:pStyle w:val="ListParagraph"/>
        <w:numPr>
          <w:ilvl w:val="0"/>
          <w:numId w:val="31"/>
        </w:numPr>
        <w:spacing w:before="40" w:after="40"/>
        <w:ind w:left="357" w:right="227" w:hanging="357"/>
        <w:contextualSpacing w:val="0"/>
        <w:jc w:val="both"/>
        <w:rPr>
          <w:sz w:val="16"/>
          <w:szCs w:val="16"/>
        </w:rPr>
      </w:pPr>
      <w:r w:rsidRPr="007E0A5F">
        <w:rPr>
          <w:sz w:val="16"/>
          <w:szCs w:val="16"/>
        </w:rPr>
        <w:t>In 2023</w:t>
      </w:r>
      <w:r w:rsidRPr="007E0A5F">
        <w:rPr>
          <w:sz w:val="16"/>
          <w:szCs w:val="16"/>
        </w:rPr>
        <w:noBreakHyphen/>
        <w:t>24, Western Australia’s largest market for goods imports was China ($10.3 billion or 20%), followed by the United States ($7.3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0" w:name="_Productivity"/>
      <w:bookmarkEnd w:id="40"/>
      <w:r w:rsidRPr="00D859C6">
        <w:rPr>
          <w:color w:val="002060"/>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Pr="00AC3621">
        <w:rPr>
          <w:i w:val="0"/>
          <w:iCs w:val="0"/>
          <w:color w:val="92278F" w:themeColor="accent1"/>
          <w:sz w:val="20"/>
          <w:szCs w:val="20"/>
        </w:rPr>
        <w:t xml:space="preserve">ross state product </w:t>
      </w:r>
      <w:r>
        <w:rPr>
          <w:i w:val="0"/>
          <w:iCs w:val="0"/>
          <w:color w:val="92278F" w:themeColor="accent1"/>
          <w:sz w:val="20"/>
          <w:szCs w:val="20"/>
        </w:rPr>
        <w:t>from the</w:t>
      </w:r>
      <w:r w:rsidRPr="00AC3621">
        <w:rPr>
          <w:i w:val="0"/>
          <w:iCs w:val="0"/>
          <w:color w:val="92278F" w:themeColor="accent1"/>
          <w:sz w:val="20"/>
          <w:szCs w:val="20"/>
        </w:rPr>
        <w:t xml:space="preserve"> three Ps</w:t>
      </w:r>
    </w:p>
    <w:p w14:paraId="52F65012" w14:textId="77777777" w:rsidR="00233755" w:rsidRPr="007B1AE5" w:rsidRDefault="00233755" w:rsidP="00233755">
      <w:r>
        <w:rPr>
          <w:noProof/>
        </w:rPr>
        <w:drawing>
          <wp:inline distT="0" distB="0" distL="0" distR="0" wp14:anchorId="144014DC" wp14:editId="796D0559">
            <wp:extent cx="3420000" cy="2062800"/>
            <wp:effectExtent l="0" t="0" r="0" b="0"/>
            <wp:docPr id="4465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E6AA5BE" w14:textId="77777777" w:rsidR="00233755" w:rsidRPr="00AF759E" w:rsidRDefault="00233755" w:rsidP="00233755">
      <w:pPr>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233755">
      <w:pPr>
        <w:rPr>
          <w:sz w:val="10"/>
          <w:szCs w:val="10"/>
        </w:rPr>
      </w:pPr>
      <w:r w:rsidRPr="00AF759E">
        <w:rPr>
          <w:sz w:val="10"/>
          <w:szCs w:val="10"/>
        </w:rPr>
        <w:t>Source: Based on ABS data.</w:t>
      </w:r>
    </w:p>
    <w:p w14:paraId="06BDA65F" w14:textId="77777777" w:rsidR="00233755" w:rsidRPr="00F90FB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F90FB3">
        <w:rPr>
          <w:sz w:val="16"/>
          <w:szCs w:val="16"/>
        </w:rPr>
        <w:t xml:space="preserve">The 3P framework provides an indication of </w:t>
      </w:r>
      <w:r>
        <w:rPr>
          <w:sz w:val="16"/>
          <w:szCs w:val="16"/>
        </w:rPr>
        <w:t>the contribution to</w:t>
      </w:r>
      <w:r w:rsidRPr="00F90FB3">
        <w:rPr>
          <w:sz w:val="16"/>
          <w:szCs w:val="16"/>
        </w:rPr>
        <w:t xml:space="preserve"> economic growth </w:t>
      </w:r>
      <w:r>
        <w:rPr>
          <w:sz w:val="16"/>
          <w:szCs w:val="16"/>
        </w:rPr>
        <w:t>from</w:t>
      </w:r>
      <w:r w:rsidRPr="00F90FB3">
        <w:rPr>
          <w:sz w:val="16"/>
          <w:szCs w:val="16"/>
        </w:rPr>
        <w:t xml:space="preserve"> </w:t>
      </w:r>
      <w:r>
        <w:rPr>
          <w:sz w:val="16"/>
          <w:szCs w:val="16"/>
        </w:rPr>
        <w:t>changes</w:t>
      </w:r>
      <w:r w:rsidRPr="00F90FB3">
        <w:rPr>
          <w:sz w:val="16"/>
          <w:szCs w:val="16"/>
        </w:rPr>
        <w:t xml:space="preserve"> in population, participation</w:t>
      </w:r>
      <w:r>
        <w:rPr>
          <w:sz w:val="16"/>
          <w:szCs w:val="16"/>
        </w:rPr>
        <w:t xml:space="preserve"> (hours worked per person)</w:t>
      </w:r>
      <w:r w:rsidRPr="00F90FB3">
        <w:rPr>
          <w:sz w:val="16"/>
          <w:szCs w:val="16"/>
        </w:rPr>
        <w:t xml:space="preserve"> and productivity</w:t>
      </w:r>
      <w:r>
        <w:rPr>
          <w:sz w:val="16"/>
          <w:szCs w:val="16"/>
        </w:rPr>
        <w:t xml:space="preserve"> (GSP per hour worked)</w:t>
      </w:r>
      <w:r w:rsidRPr="00F90FB3">
        <w:rPr>
          <w:sz w:val="16"/>
          <w:szCs w:val="16"/>
        </w:rPr>
        <w:t>.</w:t>
      </w:r>
    </w:p>
    <w:p w14:paraId="34A43AFE"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Pr>
          <w:sz w:val="16"/>
          <w:szCs w:val="16"/>
        </w:rPr>
        <w:noBreakHyphen/>
        <w:t>to</w:t>
      </w:r>
      <w:r>
        <w:rPr>
          <w:sz w:val="16"/>
          <w:szCs w:val="16"/>
        </w:rPr>
        <w:noBreakHyphen/>
        <w:t>labour ratio.</w:t>
      </w:r>
    </w:p>
    <w:p w14:paraId="1B77E9C2" w14:textId="77777777" w:rsidR="00233755" w:rsidRPr="00234DF2" w:rsidRDefault="00233755" w:rsidP="00233755">
      <w:pPr>
        <w:pStyle w:val="ListParagraph"/>
        <w:numPr>
          <w:ilvl w:val="0"/>
          <w:numId w:val="31"/>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1994-95 and 2013-14, while Western Australia’s population grew relatively quickly, this was matched by increased levels of private investment, which contributed to steady productivity growth.</w:t>
      </w:r>
    </w:p>
    <w:p w14:paraId="624F75E4" w14:textId="77777777" w:rsidR="00233755" w:rsidRPr="00105887" w:rsidRDefault="00233755" w:rsidP="00233755">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1D6A916F" w14:textId="77777777" w:rsidR="00233755" w:rsidRPr="00924A36" w:rsidRDefault="00233755" w:rsidP="00233755">
      <w:pPr>
        <w:pStyle w:val="ListParagraph"/>
        <w:numPr>
          <w:ilvl w:val="0"/>
          <w:numId w:val="31"/>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45EAAFF8" w14:textId="77777777" w:rsidR="00233755" w:rsidRPr="007B1AE5" w:rsidRDefault="00233755" w:rsidP="00233755">
      <w:r>
        <w:rPr>
          <w:noProof/>
        </w:rPr>
        <w:drawing>
          <wp:inline distT="0" distB="0" distL="0" distR="0" wp14:anchorId="667327D5" wp14:editId="6ACC03FF">
            <wp:extent cx="3517900" cy="2095500"/>
            <wp:effectExtent l="0" t="0" r="6350" b="0"/>
            <wp:docPr id="201494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7900" cy="2095500"/>
                    </a:xfrm>
                    <a:prstGeom prst="rect">
                      <a:avLst/>
                    </a:prstGeom>
                    <a:noFill/>
                    <a:ln>
                      <a:noFill/>
                    </a:ln>
                  </pic:spPr>
                </pic:pic>
              </a:graphicData>
            </a:graphic>
          </wp:inline>
        </w:drawing>
      </w:r>
    </w:p>
    <w:p w14:paraId="576D9FC6" w14:textId="77777777" w:rsidR="00233755" w:rsidRPr="00AF759E" w:rsidRDefault="00233755" w:rsidP="00233755">
      <w:pPr>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233755">
      <w:pPr>
        <w:rPr>
          <w:sz w:val="10"/>
          <w:szCs w:val="10"/>
        </w:rPr>
      </w:pPr>
      <w:r w:rsidRPr="00AF759E">
        <w:rPr>
          <w:sz w:val="10"/>
          <w:szCs w:val="10"/>
        </w:rPr>
        <w:t>Source: Based on ABS data.</w:t>
      </w:r>
    </w:p>
    <w:p w14:paraId="7F14509F"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844ECF">
        <w:rPr>
          <w:sz w:val="16"/>
          <w:szCs w:val="16"/>
        </w:rPr>
        <w:t>Productivity can be considered</w:t>
      </w:r>
      <w:r>
        <w:rPr>
          <w:sz w:val="16"/>
          <w:szCs w:val="16"/>
        </w:rPr>
        <w:t xml:space="preserve"> in relation to different inputs.</w:t>
      </w:r>
    </w:p>
    <w:p w14:paraId="4965DE32" w14:textId="77777777" w:rsidR="00233755" w:rsidRDefault="00233755" w:rsidP="00233755">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6409F682" w14:textId="77777777" w:rsidR="00233755" w:rsidRDefault="00233755" w:rsidP="00233755">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6D42CAF7" w14:textId="77777777" w:rsidR="00233755" w:rsidRPr="00844ECF" w:rsidRDefault="00233755" w:rsidP="00233755">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36715B98"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5D3A56B" w14:textId="77777777" w:rsidR="0023375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137DD37D" w14:textId="77777777" w:rsidR="00233755" w:rsidRPr="00247A3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There can be a lag between a discrete capital 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5D271F2D" w14:textId="77777777" w:rsidR="00233755" w:rsidRPr="003C3CC5" w:rsidRDefault="00233755" w:rsidP="00233755">
      <w:pPr>
        <w:pStyle w:val="ListParagraph"/>
        <w:numPr>
          <w:ilvl w:val="0"/>
          <w:numId w:val="31"/>
        </w:numPr>
        <w:spacing w:before="40" w:after="40"/>
        <w:ind w:left="357" w:right="227" w:hanging="357"/>
        <w:contextualSpacing w:val="0"/>
        <w:jc w:val="both"/>
        <w:rPr>
          <w:sz w:val="16"/>
          <w:szCs w:val="16"/>
        </w:rPr>
      </w:pPr>
      <w:r w:rsidRPr="003C3CC5">
        <w:rPr>
          <w:sz w:val="16"/>
          <w:szCs w:val="16"/>
        </w:rPr>
        <w:t>Western Australia’s multifactor productivity fell 2.3% in 2023-24, after rising 0.5% in 2022-23.</w:t>
      </w:r>
    </w:p>
    <w:p w14:paraId="40E3E71A" w14:textId="77777777" w:rsidR="00233755" w:rsidRPr="00924A36" w:rsidRDefault="00233755" w:rsidP="00233755">
      <w:pPr>
        <w:pStyle w:val="ListParagraph"/>
        <w:numPr>
          <w:ilvl w:val="0"/>
          <w:numId w:val="31"/>
        </w:numPr>
        <w:spacing w:before="40" w:after="40"/>
        <w:ind w:right="227"/>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capital stock per capita (change)</w:t>
      </w:r>
    </w:p>
    <w:p w14:paraId="7819DA2C" w14:textId="77777777" w:rsidR="00233755" w:rsidRPr="007B1AE5" w:rsidRDefault="00233755" w:rsidP="00233755">
      <w:r>
        <w:rPr>
          <w:noProof/>
        </w:rPr>
        <w:drawing>
          <wp:inline distT="0" distB="0" distL="0" distR="0" wp14:anchorId="2FC243E0" wp14:editId="4AB2B421">
            <wp:extent cx="3420000" cy="2073600"/>
            <wp:effectExtent l="0" t="0" r="0" b="3175"/>
            <wp:docPr id="17667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073600"/>
                    </a:xfrm>
                    <a:prstGeom prst="rect">
                      <a:avLst/>
                    </a:prstGeom>
                    <a:noFill/>
                    <a:ln>
                      <a:noFill/>
                    </a:ln>
                  </pic:spPr>
                </pic:pic>
              </a:graphicData>
            </a:graphic>
          </wp:inline>
        </w:drawing>
      </w:r>
    </w:p>
    <w:p w14:paraId="12D3D3C8" w14:textId="77777777" w:rsidR="00233755" w:rsidRPr="00AF759E" w:rsidRDefault="00233755" w:rsidP="00233755">
      <w:pPr>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233755">
      <w:pPr>
        <w:rPr>
          <w:sz w:val="10"/>
          <w:szCs w:val="10"/>
        </w:rPr>
      </w:pPr>
      <w:r w:rsidRPr="00AF759E">
        <w:rPr>
          <w:sz w:val="10"/>
          <w:szCs w:val="10"/>
        </w:rPr>
        <w:t>Source: Based on ABS data.</w:t>
      </w:r>
    </w:p>
    <w:p w14:paraId="6ADB26DC" w14:textId="77777777" w:rsidR="00233755" w:rsidRPr="00031C68"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031C68">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611D9" w:rsidRDefault="00233755" w:rsidP="00233755">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Pr>
          <w:sz w:val="16"/>
          <w:szCs w:val="16"/>
        </w:rPr>
        <w:t xml:space="preserve"> as each worker on average has access to more productive capital.</w:t>
      </w:r>
    </w:p>
    <w:p w14:paraId="58858D71" w14:textId="77777777" w:rsidR="00233755" w:rsidRPr="00A47876" w:rsidRDefault="00233755" w:rsidP="00233755">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Pr>
          <w:sz w:val="16"/>
          <w:szCs w:val="16"/>
        </w:rPr>
        <w:t> </w:t>
      </w:r>
      <w:r w:rsidRPr="00A47876">
        <w:rPr>
          <w:sz w:val="16"/>
          <w:szCs w:val="16"/>
        </w:rPr>
        <w:t>capita increased rapidly relative to the national figures. Between 2005</w:t>
      </w:r>
      <w:r>
        <w:rPr>
          <w:sz w:val="16"/>
          <w:szCs w:val="16"/>
        </w:rPr>
        <w:noBreakHyphen/>
        <w:t>0</w:t>
      </w:r>
      <w:r w:rsidRPr="00A47876">
        <w:rPr>
          <w:sz w:val="16"/>
          <w:szCs w:val="16"/>
        </w:rPr>
        <w:t>6 and 201</w:t>
      </w:r>
      <w:r>
        <w:rPr>
          <w:sz w:val="16"/>
          <w:szCs w:val="16"/>
        </w:rPr>
        <w:t>5</w:t>
      </w:r>
      <w:r w:rsidRPr="00A47876">
        <w:rPr>
          <w:sz w:val="16"/>
          <w:szCs w:val="16"/>
        </w:rPr>
        <w:t>-1</w:t>
      </w:r>
      <w:r>
        <w:rPr>
          <w:sz w:val="16"/>
          <w:szCs w:val="16"/>
        </w:rPr>
        <w:t>6,</w:t>
      </w:r>
      <w:r w:rsidRPr="00A47876">
        <w:rPr>
          <w:sz w:val="16"/>
          <w:szCs w:val="16"/>
        </w:rPr>
        <w:t xml:space="preserve"> when private investment and capital deepening was at its peak, </w:t>
      </w:r>
      <w:r>
        <w:rPr>
          <w:sz w:val="16"/>
          <w:szCs w:val="16"/>
        </w:rPr>
        <w:t>Western Australia</w:t>
      </w:r>
      <w:r w:rsidRPr="00A47876">
        <w:rPr>
          <w:sz w:val="16"/>
          <w:szCs w:val="16"/>
        </w:rPr>
        <w:t xml:space="preserve">’s net capital stock per capita grew at an annual </w:t>
      </w:r>
      <w:r>
        <w:rPr>
          <w:sz w:val="16"/>
          <w:szCs w:val="16"/>
        </w:rPr>
        <w:t>av</w:t>
      </w:r>
      <w:r w:rsidRPr="00A47876">
        <w:rPr>
          <w:sz w:val="16"/>
          <w:szCs w:val="16"/>
        </w:rPr>
        <w:t>erage of 4.</w:t>
      </w:r>
      <w:r>
        <w:rPr>
          <w:sz w:val="16"/>
          <w:szCs w:val="16"/>
        </w:rPr>
        <w:t>4</w:t>
      </w:r>
      <w:r w:rsidRPr="00A47876">
        <w:rPr>
          <w:sz w:val="16"/>
          <w:szCs w:val="16"/>
        </w:rPr>
        <w:t>%</w:t>
      </w:r>
      <w:r>
        <w:rPr>
          <w:sz w:val="16"/>
          <w:szCs w:val="16"/>
        </w:rPr>
        <w:t>, compared to</w:t>
      </w:r>
      <w:r w:rsidRPr="00A47876">
        <w:rPr>
          <w:sz w:val="16"/>
          <w:szCs w:val="16"/>
        </w:rPr>
        <w:t xml:space="preserve"> </w:t>
      </w:r>
      <w:r>
        <w:rPr>
          <w:sz w:val="16"/>
          <w:szCs w:val="16"/>
        </w:rPr>
        <w:t>1.8</w:t>
      </w:r>
      <w:r w:rsidRPr="00A47876">
        <w:rPr>
          <w:sz w:val="16"/>
          <w:szCs w:val="16"/>
        </w:rPr>
        <w:t xml:space="preserve">% </w:t>
      </w:r>
      <w:r>
        <w:rPr>
          <w:sz w:val="16"/>
          <w:szCs w:val="16"/>
        </w:rPr>
        <w:t xml:space="preserve">for Australia over </w:t>
      </w:r>
      <w:r w:rsidRPr="00A47876">
        <w:rPr>
          <w:sz w:val="16"/>
          <w:szCs w:val="16"/>
        </w:rPr>
        <w:t>the same period.</w:t>
      </w:r>
    </w:p>
    <w:p w14:paraId="168FFDB2" w14:textId="77777777" w:rsidR="00233755" w:rsidRPr="00156EFA" w:rsidRDefault="00233755" w:rsidP="00233755">
      <w:pPr>
        <w:pStyle w:val="ListParagraph"/>
        <w:numPr>
          <w:ilvl w:val="0"/>
          <w:numId w:val="31"/>
        </w:numPr>
        <w:spacing w:before="40" w:after="40"/>
        <w:ind w:left="357" w:right="227" w:hanging="357"/>
        <w:contextualSpacing w:val="0"/>
        <w:jc w:val="both"/>
        <w:rPr>
          <w:sz w:val="16"/>
          <w:szCs w:val="16"/>
        </w:rPr>
        <w:sectPr w:rsidR="00233755" w:rsidRPr="00156EFA" w:rsidSect="00233755">
          <w:type w:val="continuous"/>
          <w:pgSz w:w="11907" w:h="16840" w:code="9"/>
          <w:pgMar w:top="1701" w:right="425" w:bottom="567" w:left="567" w:header="709" w:footer="709" w:gutter="0"/>
          <w:cols w:num="2" w:space="113"/>
          <w:docGrid w:linePitch="360"/>
        </w:sectPr>
      </w:pPr>
      <w:r w:rsidRPr="00156EFA">
        <w:rPr>
          <w:sz w:val="16"/>
          <w:szCs w:val="16"/>
        </w:rPr>
        <w:t>Net capital stock per capita has been in decline in Western Australia since 2017</w:t>
      </w:r>
      <w:r w:rsidRPr="00156EFA">
        <w:rPr>
          <w:sz w:val="16"/>
          <w:szCs w:val="16"/>
        </w:rPr>
        <w:noBreakHyphen/>
        <w:t>18. The move to the operational phase of the mining expansion, the depreciation of existing capital and the recent increase in net overseas migration have contributed to capital shallowing.</w:t>
      </w:r>
      <w:bookmarkStart w:id="41" w:name="_Population_(annual)"/>
      <w:bookmarkEnd w:id="41"/>
    </w:p>
    <w:p w14:paraId="2D0460BE"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2" w:name="_Environment"/>
      <w:bookmarkEnd w:id="42"/>
      <w:r w:rsidRPr="00D859C6">
        <w:rPr>
          <w:color w:val="002060"/>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Pr="00AC3621">
        <w:rPr>
          <w:i w:val="0"/>
          <w:iCs w:val="0"/>
          <w:color w:val="92278F" w:themeColor="accent1"/>
          <w:sz w:val="20"/>
          <w:szCs w:val="20"/>
        </w:rPr>
        <w:t>ross state product by industry</w:t>
      </w:r>
    </w:p>
    <w:p w14:paraId="17F9792D" w14:textId="77777777" w:rsidR="00233755" w:rsidRPr="007B1AE5" w:rsidRDefault="00233755" w:rsidP="00233755">
      <w:r>
        <w:rPr>
          <w:noProof/>
        </w:rPr>
        <w:drawing>
          <wp:inline distT="0" distB="0" distL="0" distR="0" wp14:anchorId="44B521F7" wp14:editId="73E4E19C">
            <wp:extent cx="3420000" cy="2062800"/>
            <wp:effectExtent l="0" t="0" r="0" b="0"/>
            <wp:docPr id="612653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58AA8252" w14:textId="77777777" w:rsidR="00233755" w:rsidRPr="00AF759E" w:rsidRDefault="00233755" w:rsidP="00233755">
      <w:pPr>
        <w:rPr>
          <w:sz w:val="10"/>
          <w:szCs w:val="10"/>
        </w:rPr>
      </w:pPr>
      <w:r w:rsidRPr="000C0C45">
        <w:rPr>
          <w:sz w:val="10"/>
        </w:rPr>
        <w:t xml:space="preserve">Note – </w:t>
      </w:r>
      <w:r w:rsidRPr="00AF759E">
        <w:rPr>
          <w:sz w:val="10"/>
          <w:szCs w:val="10"/>
        </w:rPr>
        <w:t xml:space="preserve">Chain volume measures. Original series. Compound annual average change. </w:t>
      </w:r>
      <w:r>
        <w:rPr>
          <w:sz w:val="10"/>
          <w:szCs w:val="10"/>
        </w:rPr>
        <w:t>p</w:t>
      </w:r>
      <w:r w:rsidRPr="00AF759E">
        <w:rPr>
          <w:sz w:val="10"/>
          <w:szCs w:val="10"/>
        </w:rPr>
        <w:t>p = percentage points. (a)</w:t>
      </w:r>
      <w:r>
        <w:rPr>
          <w:sz w:val="10"/>
          <w:szCs w:val="10"/>
        </w:rPr>
        <w:t> </w:t>
      </w:r>
      <w:r w:rsidRPr="00AF759E">
        <w:rPr>
          <w:sz w:val="10"/>
          <w:szCs w:val="10"/>
        </w:rPr>
        <w:t>Ownership of dwellings, balancing item and statistical discrepancy.</w:t>
      </w:r>
    </w:p>
    <w:p w14:paraId="20566EDD" w14:textId="77777777" w:rsidR="00233755" w:rsidRPr="00AF759E" w:rsidRDefault="00233755" w:rsidP="00233755">
      <w:pPr>
        <w:rPr>
          <w:sz w:val="10"/>
          <w:szCs w:val="10"/>
        </w:rPr>
      </w:pPr>
      <w:r w:rsidRPr="00AF759E">
        <w:rPr>
          <w:sz w:val="10"/>
          <w:szCs w:val="10"/>
        </w:rPr>
        <w:t>Source: Based on ABS data.</w:t>
      </w:r>
    </w:p>
    <w:p w14:paraId="2EE7DD6B"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24FD7">
        <w:rPr>
          <w:sz w:val="16"/>
          <w:szCs w:val="16"/>
        </w:rPr>
        <w:t>The mining industry</w:t>
      </w:r>
      <w:r>
        <w:rPr>
          <w:sz w:val="16"/>
          <w:szCs w:val="16"/>
        </w:rPr>
        <w:t xml:space="preserve"> has made a consistent contribution to GSP growth over the past 30 years, but the different phases of the mining industry’s expansion has affected the contribution to growth from other industries.</w:t>
      </w:r>
    </w:p>
    <w:p w14:paraId="10261024"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1F45E662" w14:textId="77777777" w:rsidR="00233755" w:rsidRPr="00B24FD7"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57A40502" w14:textId="77777777" w:rsidR="00233755" w:rsidRPr="00A22E13"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 xml:space="preserve">While </w:t>
      </w:r>
      <w:r w:rsidRPr="00A22E13">
        <w:rPr>
          <w:sz w:val="16"/>
          <w:szCs w:val="16"/>
        </w:rPr>
        <w:t xml:space="preserve">Western Australia’s GSP growth has </w:t>
      </w:r>
      <w:r>
        <w:rPr>
          <w:sz w:val="16"/>
          <w:szCs w:val="16"/>
        </w:rPr>
        <w:t xml:space="preserve">been lower in recent years, it has also </w:t>
      </w:r>
      <w:r w:rsidRPr="00A22E13">
        <w:rPr>
          <w:sz w:val="16"/>
          <w:szCs w:val="16"/>
        </w:rPr>
        <w:t>become more balanced</w:t>
      </w:r>
      <w:r>
        <w:rPr>
          <w:sz w:val="16"/>
          <w:szCs w:val="16"/>
        </w:rPr>
        <w:t>,</w:t>
      </w:r>
      <w:r w:rsidRPr="00A22E13">
        <w:rPr>
          <w:sz w:val="16"/>
          <w:szCs w:val="16"/>
        </w:rPr>
        <w:t xml:space="preserve"> as increases in mining output have become more modest and the economic recovery from the COVID</w:t>
      </w:r>
      <w:r>
        <w:rPr>
          <w:sz w:val="16"/>
          <w:szCs w:val="16"/>
        </w:rPr>
        <w:noBreakHyphen/>
      </w:r>
      <w:r w:rsidRPr="00A22E13">
        <w:rPr>
          <w:sz w:val="16"/>
          <w:szCs w:val="16"/>
        </w:rPr>
        <w:t>19 pandemic has benefited a range of industries.</w:t>
      </w:r>
    </w:p>
    <w:p w14:paraId="4A60FB89" w14:textId="77777777" w:rsidR="00233755" w:rsidRPr="00EB1814" w:rsidRDefault="00233755" w:rsidP="00233755">
      <w:pPr>
        <w:pStyle w:val="ListParagraph"/>
        <w:numPr>
          <w:ilvl w:val="0"/>
          <w:numId w:val="31"/>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gross value added</w:t>
      </w:r>
    </w:p>
    <w:p w14:paraId="317FE6EE" w14:textId="77777777" w:rsidR="00233755" w:rsidRPr="007B1AE5" w:rsidRDefault="00233755" w:rsidP="00233755">
      <w:r>
        <w:rPr>
          <w:noProof/>
        </w:rPr>
        <w:drawing>
          <wp:inline distT="0" distB="0" distL="0" distR="0" wp14:anchorId="2EB0188E" wp14:editId="34AAD53B">
            <wp:extent cx="3420000" cy="2065132"/>
            <wp:effectExtent l="0" t="0" r="9525" b="0"/>
            <wp:docPr id="115852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12CAF42F"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233755">
      <w:pPr>
        <w:rPr>
          <w:sz w:val="10"/>
          <w:szCs w:val="10"/>
        </w:rPr>
      </w:pPr>
      <w:r w:rsidRPr="00AF759E">
        <w:rPr>
          <w:sz w:val="10"/>
          <w:szCs w:val="10"/>
        </w:rPr>
        <w:t>Source: Based on ABS data.</w:t>
      </w:r>
    </w:p>
    <w:p w14:paraId="01A97C4A"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64837">
        <w:rPr>
          <w:sz w:val="16"/>
          <w:szCs w:val="16"/>
        </w:rPr>
        <w:t>I</w:t>
      </w:r>
      <w:r>
        <w:rPr>
          <w:sz w:val="16"/>
          <w:szCs w:val="16"/>
        </w:rPr>
        <w:t>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77777777" w:rsidR="00233755" w:rsidRPr="00F45EEC"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$7.4 billion in 1993</w:t>
      </w:r>
      <w:r w:rsidRPr="00F45EEC">
        <w:rPr>
          <w:sz w:val="16"/>
          <w:szCs w:val="16"/>
        </w:rPr>
        <w:noBreakHyphen/>
        <w:t>94 to $198.6 billion in 2023</w:t>
      </w:r>
      <w:r w:rsidRPr="00F45EEC">
        <w:rPr>
          <w:sz w:val="16"/>
          <w:szCs w:val="16"/>
        </w:rPr>
        <w:noBreakHyphen/>
        <w:t>24. The mining industry’s share of GSP grew from 16% in 1993</w:t>
      </w:r>
      <w:r w:rsidRPr="00F45EEC">
        <w:rPr>
          <w:sz w:val="16"/>
          <w:szCs w:val="16"/>
        </w:rPr>
        <w:noBreakHyphen/>
        <w:t>94 to 44% in 2023</w:t>
      </w:r>
      <w:r w:rsidRPr="00F45EEC">
        <w:rPr>
          <w:sz w:val="16"/>
          <w:szCs w:val="16"/>
        </w:rPr>
        <w:noBreakHyphen/>
        <w:t>24.</w:t>
      </w:r>
    </w:p>
    <w:p w14:paraId="6C090839" w14:textId="77777777" w:rsidR="00233755" w:rsidRPr="00F45EEC" w:rsidRDefault="00233755" w:rsidP="00233755">
      <w:pPr>
        <w:pStyle w:val="ListParagraph"/>
        <w:numPr>
          <w:ilvl w:val="0"/>
          <w:numId w:val="31"/>
        </w:numPr>
        <w:spacing w:before="40" w:after="40"/>
        <w:ind w:left="357" w:right="227" w:hanging="357"/>
        <w:contextualSpacing w:val="0"/>
        <w:jc w:val="both"/>
        <w:rPr>
          <w:sz w:val="16"/>
          <w:szCs w:val="16"/>
        </w:rPr>
      </w:pPr>
      <w:r w:rsidRPr="00F45EEC">
        <w:rPr>
          <w:sz w:val="16"/>
          <w:szCs w:val="16"/>
        </w:rPr>
        <w:t>The GVA of all services industries increased from $22.1 billion in 1993</w:t>
      </w:r>
      <w:r w:rsidRPr="00F45EEC">
        <w:rPr>
          <w:sz w:val="16"/>
          <w:szCs w:val="16"/>
        </w:rPr>
        <w:noBreakHyphen/>
        <w:t>94 to $156.0 billion in 2023</w:t>
      </w:r>
      <w:r w:rsidRPr="00F45EEC">
        <w:rPr>
          <w:sz w:val="16"/>
          <w:szCs w:val="16"/>
        </w:rPr>
        <w:noBreakHyphen/>
        <w:t>24.</w:t>
      </w:r>
    </w:p>
    <w:p w14:paraId="318D6D5E"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19A96FF7" w14:textId="77777777" w:rsidR="00233755" w:rsidRPr="006F3E67" w:rsidRDefault="00233755" w:rsidP="00233755">
      <w:pPr>
        <w:pStyle w:val="ListParagraph"/>
        <w:numPr>
          <w:ilvl w:val="0"/>
          <w:numId w:val="31"/>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gross value added: 202</w:t>
      </w:r>
      <w:r>
        <w:rPr>
          <w:i w:val="0"/>
          <w:iCs w:val="0"/>
          <w:color w:val="92278F" w:themeColor="accent1"/>
          <w:sz w:val="20"/>
          <w:szCs w:val="20"/>
        </w:rPr>
        <w:t>3</w:t>
      </w:r>
      <w:r>
        <w:rPr>
          <w:i w:val="0"/>
          <w:iCs w:val="0"/>
          <w:color w:val="92278F" w:themeColor="accent1"/>
          <w:sz w:val="20"/>
          <w:szCs w:val="20"/>
        </w:rPr>
        <w:noBreakHyphen/>
      </w:r>
      <w:r w:rsidRPr="00AC3621">
        <w:rPr>
          <w:i w:val="0"/>
          <w:iCs w:val="0"/>
          <w:color w:val="92278F" w:themeColor="accent1"/>
          <w:sz w:val="20"/>
          <w:szCs w:val="20"/>
        </w:rPr>
        <w:t>2</w:t>
      </w:r>
      <w:r>
        <w:rPr>
          <w:i w:val="0"/>
          <w:iCs w:val="0"/>
          <w:color w:val="92278F" w:themeColor="accent1"/>
          <w:sz w:val="20"/>
          <w:szCs w:val="20"/>
        </w:rPr>
        <w:t>4</w:t>
      </w:r>
    </w:p>
    <w:p w14:paraId="6BF8BD09" w14:textId="77777777" w:rsidR="00233755" w:rsidRPr="007B1AE5" w:rsidRDefault="00233755" w:rsidP="00233755">
      <w:r>
        <w:rPr>
          <w:noProof/>
        </w:rPr>
        <w:drawing>
          <wp:inline distT="0" distB="0" distL="0" distR="0" wp14:anchorId="18C30384" wp14:editId="0C6A9295">
            <wp:extent cx="3420000" cy="2062800"/>
            <wp:effectExtent l="0" t="0" r="0" b="0"/>
            <wp:docPr id="116189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078ECD1"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7A21F327" w14:textId="77777777" w:rsidR="00233755" w:rsidRPr="00AF759E" w:rsidRDefault="00233755" w:rsidP="00233755">
      <w:pPr>
        <w:rPr>
          <w:sz w:val="10"/>
          <w:szCs w:val="10"/>
        </w:rPr>
      </w:pPr>
      <w:r w:rsidRPr="00AF759E">
        <w:rPr>
          <w:sz w:val="10"/>
          <w:szCs w:val="10"/>
        </w:rPr>
        <w:t>Source: Based on ABS data.</w:t>
      </w:r>
    </w:p>
    <w:p w14:paraId="037A0839"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C7274">
        <w:rPr>
          <w:sz w:val="16"/>
          <w:szCs w:val="16"/>
        </w:rPr>
        <w:t>Goods-producing industries accounted for 55% ($252.2 billion) of Western Australia’s GSP in 2023-24, including:</w:t>
      </w:r>
    </w:p>
    <w:p w14:paraId="7B9A194B"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mining (44% or $198.6 billion)</w:t>
      </w:r>
    </w:p>
    <w:p w14:paraId="61C940FD"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construction (6% or $25.7 billion)</w:t>
      </w:r>
    </w:p>
    <w:p w14:paraId="00CF15BC"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manufacturing (5% or $20.4 billion)</w:t>
      </w:r>
    </w:p>
    <w:p w14:paraId="23818F63"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agriculture, forestry and fishing (2% or $7.6 billion).</w:t>
      </w:r>
    </w:p>
    <w:p w14:paraId="3C668462"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Services industries accounted for 36% ($161.7 billion) of GSP in 2023-24, including:</w:t>
      </w:r>
    </w:p>
    <w:p w14:paraId="43F18A84"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healthcare and social assistance (5% or $22.8 billion)</w:t>
      </w:r>
    </w:p>
    <w:p w14:paraId="245BC31F"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professional, scientific and technical services (5% or $20.5 billion)</w:t>
      </w:r>
    </w:p>
    <w:p w14:paraId="6F593594"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transport, postal and warehousing (3% or $14.4 billion)</w:t>
      </w:r>
    </w:p>
    <w:p w14:paraId="4C696D3F"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finance and insurance (3% or $14.5 billion).</w:t>
      </w:r>
    </w:p>
    <w:p w14:paraId="0390D4BE"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Dwelling ownership and other items accounted for the remaining 9% of GSP in 2023</w:t>
      </w:r>
      <w:r w:rsidRPr="00AC7274">
        <w:rPr>
          <w:sz w:val="16"/>
          <w:szCs w:val="16"/>
        </w:rPr>
        <w:noBreakHyphen/>
        <w:t>24.</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3" w:name="_Industry_investment"/>
      <w:bookmarkEnd w:id="43"/>
      <w:r w:rsidRPr="00D859C6">
        <w:rPr>
          <w:color w:val="002060"/>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Pr="00AC3621">
        <w:rPr>
          <w:i w:val="0"/>
          <w:iCs w:val="0"/>
          <w:color w:val="92278F" w:themeColor="accent1"/>
          <w:sz w:val="20"/>
          <w:szCs w:val="20"/>
        </w:rPr>
        <w:t>ross fixed capital formation by industry</w:t>
      </w:r>
    </w:p>
    <w:p w14:paraId="04431AFE" w14:textId="77777777" w:rsidR="00233755" w:rsidRPr="007B1AE5" w:rsidRDefault="00233755" w:rsidP="00233755">
      <w:r>
        <w:rPr>
          <w:noProof/>
        </w:rPr>
        <w:drawing>
          <wp:inline distT="0" distB="0" distL="0" distR="0" wp14:anchorId="6F86175F" wp14:editId="063B8F07">
            <wp:extent cx="3420000" cy="2065132"/>
            <wp:effectExtent l="0" t="0" r="9525" b="0"/>
            <wp:docPr id="138572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1D6F2677" w14:textId="77777777" w:rsidR="00233755" w:rsidRPr="00AF759E" w:rsidRDefault="00233755" w:rsidP="00233755">
      <w:pPr>
        <w:rPr>
          <w:sz w:val="10"/>
          <w:szCs w:val="10"/>
        </w:rPr>
      </w:pPr>
      <w:r w:rsidRPr="000C0C45">
        <w:rPr>
          <w:sz w:val="10"/>
        </w:rPr>
        <w:t xml:space="preserve">Note – </w:t>
      </w:r>
      <w:r w:rsidRPr="00AF759E">
        <w:rPr>
          <w:sz w:val="10"/>
          <w:szCs w:val="10"/>
        </w:rPr>
        <w:t xml:space="preserve">Chain volume measures. Original series. </w:t>
      </w:r>
      <w:r>
        <w:rPr>
          <w:sz w:val="10"/>
          <w:szCs w:val="10"/>
        </w:rPr>
        <w:t>Compound a</w:t>
      </w:r>
      <w:r w:rsidRPr="00AF759E">
        <w:rPr>
          <w:sz w:val="10"/>
          <w:szCs w:val="10"/>
        </w:rPr>
        <w:t xml:space="preserve">nnual </w:t>
      </w:r>
      <w:r>
        <w:rPr>
          <w:sz w:val="10"/>
          <w:szCs w:val="10"/>
        </w:rPr>
        <w:t xml:space="preserve">average </w:t>
      </w:r>
      <w:r w:rsidRPr="00AF759E">
        <w:rPr>
          <w:sz w:val="10"/>
          <w:szCs w:val="10"/>
        </w:rPr>
        <w:t xml:space="preserve">change. </w:t>
      </w:r>
      <w:r>
        <w:rPr>
          <w:sz w:val="10"/>
          <w:szCs w:val="10"/>
        </w:rPr>
        <w:t>p</w:t>
      </w:r>
      <w:r w:rsidRPr="00AF759E">
        <w:rPr>
          <w:sz w:val="10"/>
          <w:szCs w:val="10"/>
        </w:rPr>
        <w:t>p = percentage points. (a)</w:t>
      </w:r>
      <w:r>
        <w:rPr>
          <w:sz w:val="10"/>
          <w:szCs w:val="10"/>
        </w:rPr>
        <w:t> </w:t>
      </w:r>
      <w:r w:rsidRPr="00AF759E">
        <w:rPr>
          <w:sz w:val="10"/>
          <w:szCs w:val="10"/>
        </w:rPr>
        <w:t>Dwellings and ownership transfer costs.</w:t>
      </w:r>
    </w:p>
    <w:p w14:paraId="4C2372CE" w14:textId="77777777" w:rsidR="00233755" w:rsidRPr="00AF759E" w:rsidRDefault="00233755" w:rsidP="00233755">
      <w:pPr>
        <w:rPr>
          <w:sz w:val="10"/>
          <w:szCs w:val="10"/>
        </w:rPr>
      </w:pPr>
      <w:r w:rsidRPr="00AF759E">
        <w:rPr>
          <w:sz w:val="10"/>
          <w:szCs w:val="10"/>
        </w:rPr>
        <w:t>Source: Based on ABS data.</w:t>
      </w:r>
    </w:p>
    <w:p w14:paraId="06F81EEF" w14:textId="77777777" w:rsidR="00233755" w:rsidRPr="00701C57"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701C57">
        <w:rPr>
          <w:sz w:val="16"/>
          <w:szCs w:val="16"/>
        </w:rPr>
        <w:t>The capital</w:t>
      </w:r>
      <w:r>
        <w:rPr>
          <w:sz w:val="16"/>
          <w:szCs w:val="16"/>
        </w:rPr>
        <w:noBreakHyphen/>
      </w:r>
      <w:r w:rsidRPr="00701C57">
        <w:rPr>
          <w:sz w:val="16"/>
          <w:szCs w:val="16"/>
        </w:rPr>
        <w:t>intensive nature of the mining industry means that cycles of mining investment have had a significant impact on changes in gross fixed capital formation (investment) in Western Australia</w:t>
      </w:r>
      <w:r>
        <w:rPr>
          <w:sz w:val="16"/>
          <w:szCs w:val="16"/>
        </w:rPr>
        <w:t>.</w:t>
      </w:r>
    </w:p>
    <w:p w14:paraId="77C75EFC" w14:textId="77777777" w:rsidR="00233755" w:rsidRPr="00F45EEC" w:rsidRDefault="00233755" w:rsidP="00233755">
      <w:pPr>
        <w:pStyle w:val="ListParagraph"/>
        <w:numPr>
          <w:ilvl w:val="0"/>
          <w:numId w:val="31"/>
        </w:numPr>
        <w:spacing w:before="40" w:after="40"/>
        <w:ind w:left="357" w:right="227" w:hanging="357"/>
        <w:contextualSpacing w:val="0"/>
        <w:jc w:val="both"/>
        <w:rPr>
          <w:sz w:val="16"/>
          <w:szCs w:val="16"/>
        </w:rPr>
      </w:pPr>
      <w:r w:rsidRPr="00F45EEC">
        <w:rPr>
          <w:sz w:val="16"/>
          <w:szCs w:val="16"/>
        </w:rPr>
        <w:t>Between 1994-95 and 2003-04, investment was distributed relatively evenly with mining investment growing from $8.6 billion to $13.7 billion while non</w:t>
      </w:r>
      <w:r w:rsidRPr="00F45EEC">
        <w:rPr>
          <w:sz w:val="16"/>
          <w:szCs w:val="16"/>
        </w:rPr>
        <w:noBreakHyphen/>
        <w:t>mining investment grew from $7.7 billion to $15.9 billion. Other investment, in the form of dwellings and other ownership transfer costs, made up a proportionally larger share of total investment at this time.</w:t>
      </w:r>
    </w:p>
    <w:p w14:paraId="3693D12C" w14:textId="77777777" w:rsidR="00233755" w:rsidRPr="0012550E"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Pr="0012550E">
        <w:rPr>
          <w:sz w:val="16"/>
          <w:szCs w:val="16"/>
        </w:rPr>
        <w:t xml:space="preserve"> 201</w:t>
      </w:r>
      <w:r>
        <w:rPr>
          <w:sz w:val="16"/>
          <w:szCs w:val="16"/>
        </w:rPr>
        <w:t>3</w:t>
      </w:r>
      <w:r>
        <w:rPr>
          <w:sz w:val="16"/>
          <w:szCs w:val="16"/>
        </w:rPr>
        <w:noBreakHyphen/>
      </w:r>
      <w:r w:rsidRPr="0012550E">
        <w:rPr>
          <w:sz w:val="16"/>
          <w:szCs w:val="16"/>
        </w:rPr>
        <w:t>1</w:t>
      </w:r>
      <w:r>
        <w:rPr>
          <w:sz w:val="16"/>
          <w:szCs w:val="16"/>
        </w:rPr>
        <w:t>4,</w:t>
      </w:r>
      <w:r w:rsidRPr="0012550E">
        <w:rPr>
          <w:sz w:val="16"/>
          <w:szCs w:val="16"/>
        </w:rPr>
        <w:t xml:space="preserve"> mining investment grew rapidly</w:t>
      </w:r>
      <w:r>
        <w:rPr>
          <w:sz w:val="16"/>
          <w:szCs w:val="16"/>
        </w:rPr>
        <w:t>. There was a complementary increase in investment in non</w:t>
      </w:r>
      <w:r>
        <w:rPr>
          <w:sz w:val="16"/>
          <w:szCs w:val="16"/>
        </w:rPr>
        <w:noBreakHyphen/>
        <w:t>mining industries</w:t>
      </w:r>
      <w:r w:rsidRPr="0012550E">
        <w:rPr>
          <w:sz w:val="16"/>
          <w:szCs w:val="16"/>
        </w:rPr>
        <w:t>.</w:t>
      </w:r>
    </w:p>
    <w:p w14:paraId="5FCC66EA"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Pr="0012550E">
        <w:rPr>
          <w:sz w:val="16"/>
          <w:szCs w:val="16"/>
        </w:rPr>
        <w:t>.</w:t>
      </w:r>
    </w:p>
    <w:p w14:paraId="3F95085B" w14:textId="77777777" w:rsidR="00233755" w:rsidRPr="0012550E" w:rsidRDefault="00233755" w:rsidP="00233755">
      <w:pPr>
        <w:pStyle w:val="ListParagraph"/>
        <w:numPr>
          <w:ilvl w:val="0"/>
          <w:numId w:val="31"/>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4F5AC39F" w14:textId="77777777" w:rsidR="00233755" w:rsidRPr="007B1AE5" w:rsidRDefault="00233755" w:rsidP="00233755">
      <w:r>
        <w:rPr>
          <w:noProof/>
        </w:rPr>
        <w:drawing>
          <wp:inline distT="0" distB="0" distL="0" distR="0" wp14:anchorId="35EAA83B" wp14:editId="0644AB1D">
            <wp:extent cx="3420000" cy="2062800"/>
            <wp:effectExtent l="0" t="0" r="0" b="0"/>
            <wp:docPr id="78475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80F79CF"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233755">
      <w:pPr>
        <w:rPr>
          <w:sz w:val="10"/>
          <w:szCs w:val="10"/>
        </w:rPr>
      </w:pPr>
      <w:r w:rsidRPr="00AF759E">
        <w:rPr>
          <w:sz w:val="10"/>
          <w:szCs w:val="10"/>
        </w:rPr>
        <w:t>Source: Based on ABS data.</w:t>
      </w:r>
    </w:p>
    <w:p w14:paraId="6833CB88" w14:textId="77777777" w:rsidR="00233755" w:rsidRPr="00762EBE"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762EBE">
        <w:rPr>
          <w:sz w:val="16"/>
          <w:szCs w:val="16"/>
        </w:rPr>
        <w:t>Prior to the large expansion in the mining industry in the 2000s, investment was more evenly distributed across industries in Western Australia. In 1999</w:t>
      </w:r>
      <w:r w:rsidRPr="00762EBE">
        <w:rPr>
          <w:sz w:val="16"/>
          <w:szCs w:val="16"/>
        </w:rPr>
        <w:noBreakHyphen/>
        <w:t>00, the mining industry accounted for 21% of total investment in Western Australia.</w:t>
      </w:r>
    </w:p>
    <w:p w14:paraId="26140569" w14:textId="77777777" w:rsidR="00233755" w:rsidRPr="007F4B4F" w:rsidRDefault="00233755" w:rsidP="00233755">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 billion (64% of total investment) in 2012</w:t>
      </w:r>
      <w:r>
        <w:rPr>
          <w:sz w:val="16"/>
          <w:szCs w:val="16"/>
        </w:rPr>
        <w:noBreakHyphen/>
      </w:r>
      <w:r w:rsidRPr="007F4B4F">
        <w:rPr>
          <w:sz w:val="16"/>
          <w:szCs w:val="16"/>
        </w:rPr>
        <w:t>13 before falling significantly over the following five years.</w:t>
      </w:r>
      <w:r>
        <w:rPr>
          <w:sz w:val="16"/>
          <w:szCs w:val="16"/>
        </w:rPr>
        <w:t xml:space="preserve"> By 2018</w:t>
      </w:r>
      <w:r>
        <w:rPr>
          <w:sz w:val="16"/>
          <w:szCs w:val="16"/>
        </w:rPr>
        <w:noBreakHyphen/>
        <w:t>19, m</w:t>
      </w:r>
      <w:r w:rsidRPr="007F4B4F">
        <w:rPr>
          <w:sz w:val="16"/>
          <w:szCs w:val="16"/>
        </w:rPr>
        <w:t xml:space="preserve">ining investment </w:t>
      </w:r>
      <w:r>
        <w:rPr>
          <w:sz w:val="16"/>
          <w:szCs w:val="16"/>
        </w:rPr>
        <w:t xml:space="preserve">had </w:t>
      </w:r>
      <w:r w:rsidRPr="007F4B4F">
        <w:rPr>
          <w:sz w:val="16"/>
          <w:szCs w:val="16"/>
        </w:rPr>
        <w:t>returned to near parity with non</w:t>
      </w:r>
      <w:r w:rsidRPr="007F4B4F">
        <w:rPr>
          <w:sz w:val="16"/>
          <w:szCs w:val="16"/>
        </w:rPr>
        <w:noBreakHyphen/>
        <w:t>mining investment.</w:t>
      </w:r>
    </w:p>
    <w:p w14:paraId="69206149" w14:textId="77777777" w:rsidR="00233755" w:rsidRPr="008A4342" w:rsidRDefault="00233755" w:rsidP="00233755">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Pr>
          <w:sz w:val="16"/>
          <w:szCs w:val="16"/>
        </w:rPr>
        <w:t xml:space="preserve">the value of </w:t>
      </w:r>
      <w:r w:rsidRPr="008A4342">
        <w:rPr>
          <w:sz w:val="16"/>
          <w:szCs w:val="16"/>
        </w:rPr>
        <w:t>investment in</w:t>
      </w:r>
      <w:r>
        <w:rPr>
          <w:sz w:val="16"/>
          <w:szCs w:val="16"/>
        </w:rPr>
        <w:t xml:space="preserve"> </w:t>
      </w:r>
      <w:r w:rsidRPr="008A4342">
        <w:rPr>
          <w:sz w:val="16"/>
          <w:szCs w:val="16"/>
        </w:rPr>
        <w:t>both mining and non</w:t>
      </w:r>
      <w:r w:rsidRPr="008A4342">
        <w:rPr>
          <w:sz w:val="16"/>
          <w:szCs w:val="16"/>
        </w:rPr>
        <w:noBreakHyphen/>
        <w:t xml:space="preserve">mining industries, </w:t>
      </w:r>
      <w:r>
        <w:rPr>
          <w:sz w:val="16"/>
          <w:szCs w:val="16"/>
        </w:rPr>
        <w:t xml:space="preserve">potentially </w:t>
      </w:r>
      <w:r w:rsidRPr="008A4342">
        <w:rPr>
          <w:sz w:val="16"/>
          <w:szCs w:val="16"/>
        </w:rPr>
        <w:t>providing a more balanced platform for growth for the Western Australian economy.</w:t>
      </w:r>
    </w:p>
    <w:p w14:paraId="1A412D0D" w14:textId="77777777" w:rsidR="00233755" w:rsidRPr="00892773" w:rsidRDefault="00233755" w:rsidP="00233755">
      <w:pPr>
        <w:pStyle w:val="ListParagraph"/>
        <w:numPr>
          <w:ilvl w:val="0"/>
          <w:numId w:val="31"/>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Industry gross fixed capital formation: </w:t>
      </w:r>
      <w:r w:rsidRPr="000C481B">
        <w:rPr>
          <w:i w:val="0"/>
          <w:iCs w:val="0"/>
          <w:color w:val="92278F" w:themeColor="accent1"/>
          <w:sz w:val="20"/>
          <w:szCs w:val="20"/>
        </w:rPr>
        <w:t>2023-24</w:t>
      </w:r>
    </w:p>
    <w:p w14:paraId="6B504F1C" w14:textId="77777777" w:rsidR="00233755" w:rsidRPr="007B1AE5" w:rsidRDefault="00233755" w:rsidP="00233755">
      <w:r>
        <w:rPr>
          <w:noProof/>
        </w:rPr>
        <w:drawing>
          <wp:inline distT="0" distB="0" distL="0" distR="0" wp14:anchorId="13653C8C" wp14:editId="2DD08580">
            <wp:extent cx="3420000" cy="2070000"/>
            <wp:effectExtent l="0" t="0" r="0" b="6985"/>
            <wp:docPr id="189584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02F7D665"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78E87F7C" w14:textId="77777777" w:rsidR="00233755" w:rsidRPr="00AF759E" w:rsidRDefault="00233755" w:rsidP="00233755">
      <w:pPr>
        <w:rPr>
          <w:sz w:val="10"/>
          <w:szCs w:val="10"/>
        </w:rPr>
      </w:pPr>
      <w:r w:rsidRPr="00AF759E">
        <w:rPr>
          <w:sz w:val="10"/>
          <w:szCs w:val="10"/>
        </w:rPr>
        <w:t>Source: Based on ABS data.</w:t>
      </w:r>
    </w:p>
    <w:p w14:paraId="0A6FAAFE" w14:textId="77777777" w:rsidR="00233755" w:rsidRPr="00F45EEC"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F45EEC">
        <w:rPr>
          <w:sz w:val="16"/>
          <w:szCs w:val="16"/>
        </w:rPr>
        <w:t>The mining industry accounted for 44% ($41.3 billion) of Western Australia’s investment in 2023-24, followed by:</w:t>
      </w:r>
    </w:p>
    <w:p w14:paraId="78FF8EE3" w14:textId="77777777" w:rsidR="00233755" w:rsidRPr="00F45EEC" w:rsidRDefault="00233755" w:rsidP="00233755">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(8% or $7.8 billion)</w:t>
      </w:r>
    </w:p>
    <w:p w14:paraId="7F1998A4" w14:textId="77777777" w:rsidR="00233755" w:rsidRPr="00F45EEC" w:rsidRDefault="00233755" w:rsidP="00233755">
      <w:pPr>
        <w:pStyle w:val="ListParagraph"/>
        <w:numPr>
          <w:ilvl w:val="0"/>
          <w:numId w:val="33"/>
        </w:numPr>
        <w:spacing w:before="40" w:after="40"/>
        <w:ind w:right="227" w:hanging="357"/>
        <w:contextualSpacing w:val="0"/>
        <w:jc w:val="both"/>
        <w:rPr>
          <w:sz w:val="16"/>
          <w:szCs w:val="16"/>
        </w:rPr>
      </w:pPr>
      <w:r w:rsidRPr="00F45EEC">
        <w:rPr>
          <w:sz w:val="16"/>
          <w:szCs w:val="16"/>
        </w:rPr>
        <w:t>electricity, gas, water and waste services (4% or $3.9 billion)</w:t>
      </w:r>
    </w:p>
    <w:p w14:paraId="1401C74A" w14:textId="77777777" w:rsidR="00233755" w:rsidRPr="00F45EEC" w:rsidRDefault="00233755" w:rsidP="00233755">
      <w:pPr>
        <w:pStyle w:val="ListParagraph"/>
        <w:numPr>
          <w:ilvl w:val="0"/>
          <w:numId w:val="33"/>
        </w:numPr>
        <w:spacing w:before="40" w:after="40"/>
        <w:ind w:right="227" w:hanging="357"/>
        <w:contextualSpacing w:val="0"/>
        <w:jc w:val="both"/>
        <w:rPr>
          <w:sz w:val="16"/>
          <w:szCs w:val="16"/>
        </w:rPr>
      </w:pPr>
      <w:r w:rsidRPr="00F45EEC">
        <w:rPr>
          <w:sz w:val="16"/>
          <w:szCs w:val="16"/>
        </w:rPr>
        <w:t>public administration and safety (3% or $3.1 billion).</w:t>
      </w:r>
    </w:p>
    <w:p w14:paraId="2347112A" w14:textId="77777777" w:rsidR="00233755" w:rsidRPr="00F45EEC" w:rsidRDefault="00233755" w:rsidP="00233755">
      <w:pPr>
        <w:pStyle w:val="ListParagraph"/>
        <w:numPr>
          <w:ilvl w:val="0"/>
          <w:numId w:val="31"/>
        </w:numPr>
        <w:spacing w:before="40" w:after="40"/>
        <w:ind w:right="227" w:hanging="357"/>
        <w:contextualSpacing w:val="0"/>
        <w:jc w:val="both"/>
        <w:rPr>
          <w:sz w:val="16"/>
          <w:szCs w:val="16"/>
        </w:rPr>
      </w:pPr>
      <w:r w:rsidRPr="00F45EEC">
        <w:rPr>
          <w:sz w:val="16"/>
          <w:szCs w:val="16"/>
        </w:rPr>
        <w:t>The largest increase in Western Australia’s investment in 2023</w:t>
      </w:r>
      <w:r w:rsidRPr="00F45EEC">
        <w:rPr>
          <w:sz w:val="16"/>
          <w:szCs w:val="16"/>
        </w:rPr>
        <w:noBreakHyphen/>
        <w:t>24 was in mining (up $6.0 billion or 17%), followed by transport, postal and warehousing (up $930 million or 13%).</w:t>
      </w:r>
    </w:p>
    <w:p w14:paraId="786A4355" w14:textId="77777777" w:rsidR="00233755" w:rsidRPr="00F45EEC" w:rsidRDefault="00233755" w:rsidP="00233755">
      <w:pPr>
        <w:pStyle w:val="ListParagraph"/>
        <w:numPr>
          <w:ilvl w:val="0"/>
          <w:numId w:val="31"/>
        </w:numPr>
        <w:spacing w:before="40" w:after="40"/>
        <w:ind w:right="227" w:hanging="357"/>
        <w:contextualSpacing w:val="0"/>
        <w:jc w:val="both"/>
        <w:rPr>
          <w:sz w:val="16"/>
          <w:szCs w:val="16"/>
        </w:rPr>
      </w:pPr>
      <w:r w:rsidRPr="00F45EEC">
        <w:rPr>
          <w:sz w:val="16"/>
          <w:szCs w:val="16"/>
        </w:rPr>
        <w:t>The only industry in Western Australia with a decrease in investment in 2023</w:t>
      </w:r>
      <w:r w:rsidRPr="00F45EEC">
        <w:rPr>
          <w:sz w:val="16"/>
          <w:szCs w:val="16"/>
        </w:rPr>
        <w:noBreakHyphen/>
        <w:t>24 was information, media and telecommunications (down $60 million or 7%).</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4" w:name="_Industry_employment"/>
      <w:bookmarkEnd w:id="44"/>
      <w:r w:rsidRPr="00D859C6">
        <w:rPr>
          <w:color w:val="002060"/>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Pr="00AC3621">
        <w:rPr>
          <w:i w:val="0"/>
          <w:iCs w:val="0"/>
          <w:color w:val="92278F" w:themeColor="accent1"/>
          <w:sz w:val="20"/>
          <w:szCs w:val="20"/>
        </w:rPr>
        <w:t>mployment by industry</w:t>
      </w:r>
    </w:p>
    <w:p w14:paraId="5EAD25C8" w14:textId="77777777" w:rsidR="00233755" w:rsidRPr="007B1AE5" w:rsidRDefault="00233755" w:rsidP="00233755">
      <w:r>
        <w:rPr>
          <w:noProof/>
        </w:rPr>
        <w:drawing>
          <wp:inline distT="0" distB="0" distL="0" distR="0" wp14:anchorId="339E53A5" wp14:editId="5BFBBA1B">
            <wp:extent cx="3420000" cy="2070404"/>
            <wp:effectExtent l="0" t="0" r="9525" b="6350"/>
            <wp:docPr id="36281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338F55A1" w14:textId="77777777" w:rsidR="00233755" w:rsidRPr="00AF759E" w:rsidRDefault="00233755" w:rsidP="00233755">
      <w:pPr>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233755">
      <w:pPr>
        <w:rPr>
          <w:sz w:val="10"/>
          <w:szCs w:val="10"/>
        </w:rPr>
      </w:pPr>
      <w:r w:rsidRPr="00AF759E">
        <w:rPr>
          <w:sz w:val="10"/>
          <w:szCs w:val="10"/>
        </w:rPr>
        <w:t>Source: Based on ABS data.</w:t>
      </w:r>
    </w:p>
    <w:p w14:paraId="2B766821" w14:textId="77777777" w:rsidR="00233755" w:rsidRPr="006A0DE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6A0DE6">
        <w:rPr>
          <w:sz w:val="16"/>
          <w:szCs w:val="16"/>
        </w:rPr>
        <w:t xml:space="preserve">While the Western Australian economy went through a period </w:t>
      </w:r>
      <w:r>
        <w:rPr>
          <w:sz w:val="16"/>
          <w:szCs w:val="16"/>
        </w:rPr>
        <w:t>during which</w:t>
      </w:r>
      <w:r w:rsidRPr="006A0DE6">
        <w:rPr>
          <w:sz w:val="16"/>
          <w:szCs w:val="16"/>
        </w:rPr>
        <w:t xml:space="preserve"> growth in investment and economic output was dominated by the mining industry, </w:t>
      </w:r>
      <w:r>
        <w:rPr>
          <w:sz w:val="16"/>
          <w:szCs w:val="16"/>
        </w:rPr>
        <w:t>as a less labour</w:t>
      </w:r>
      <w:r>
        <w:rPr>
          <w:sz w:val="16"/>
          <w:szCs w:val="16"/>
        </w:rPr>
        <w:noBreakHyphen/>
        <w:t xml:space="preserve">intensive industry, mining has not made as large a contribution to </w:t>
      </w:r>
      <w:r w:rsidRPr="006A0DE6">
        <w:rPr>
          <w:sz w:val="16"/>
          <w:szCs w:val="16"/>
        </w:rPr>
        <w:t>employment growth</w:t>
      </w:r>
      <w:r>
        <w:rPr>
          <w:sz w:val="16"/>
          <w:szCs w:val="16"/>
        </w:rPr>
        <w:t xml:space="preserve"> in Western Australia</w:t>
      </w:r>
      <w:r w:rsidRPr="006A0DE6">
        <w:rPr>
          <w:sz w:val="16"/>
          <w:szCs w:val="16"/>
        </w:rPr>
        <w:t>.</w:t>
      </w:r>
      <w:r>
        <w:rPr>
          <w:sz w:val="16"/>
          <w:szCs w:val="16"/>
        </w:rPr>
        <w:t xml:space="preserve"> However, changes in employment in the mining and construction industries tend to have flow</w:t>
      </w:r>
      <w:r>
        <w:rPr>
          <w:sz w:val="16"/>
          <w:szCs w:val="16"/>
        </w:rPr>
        <w:noBreakHyphen/>
        <w:t>on effects to employment in other industries in Western Australia.</w:t>
      </w:r>
    </w:p>
    <w:p w14:paraId="78859626" w14:textId="77777777" w:rsidR="00233755" w:rsidRPr="00F45EEC" w:rsidRDefault="00233755" w:rsidP="00233755">
      <w:pPr>
        <w:pStyle w:val="ListParagraph"/>
        <w:numPr>
          <w:ilvl w:val="0"/>
          <w:numId w:val="31"/>
        </w:numPr>
        <w:spacing w:before="40" w:after="40"/>
        <w:ind w:right="227"/>
        <w:contextualSpacing w:val="0"/>
        <w:jc w:val="both"/>
        <w:rPr>
          <w:sz w:val="16"/>
          <w:szCs w:val="16"/>
        </w:rPr>
      </w:pPr>
      <w:r w:rsidRPr="00F45EEC">
        <w:rPr>
          <w:sz w:val="16"/>
          <w:szCs w:val="16"/>
        </w:rPr>
        <w:t>The contribution of the mining and construction industries to employment growth was most pronounced in the decade to 2013</w:t>
      </w:r>
      <w:r w:rsidRPr="00F45EEC">
        <w:rPr>
          <w:sz w:val="16"/>
          <w:szCs w:val="16"/>
        </w:rPr>
        <w:noBreakHyphen/>
        <w:t>14 during the height of the mining expansion. In this period, total employment in Western Australia grew by 3.0% with the mining and construction industries combining to contribute 1.1 percentage points of this increase.</w:t>
      </w:r>
    </w:p>
    <w:p w14:paraId="37DE19AE" w14:textId="77777777" w:rsidR="00233755" w:rsidRPr="00C01CE8" w:rsidRDefault="00233755" w:rsidP="00233755">
      <w:pPr>
        <w:pStyle w:val="ListParagraph"/>
        <w:numPr>
          <w:ilvl w:val="0"/>
          <w:numId w:val="31"/>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employment</w:t>
      </w:r>
    </w:p>
    <w:p w14:paraId="3A4354E6" w14:textId="77777777" w:rsidR="00233755" w:rsidRPr="007B1AE5" w:rsidRDefault="00233755" w:rsidP="00233755">
      <w:r>
        <w:rPr>
          <w:noProof/>
        </w:rPr>
        <w:drawing>
          <wp:inline distT="0" distB="0" distL="0" distR="0" wp14:anchorId="631F7D7D" wp14:editId="4A1E22E4">
            <wp:extent cx="1620000" cy="2253600"/>
            <wp:effectExtent l="0" t="0" r="0" b="0"/>
            <wp:docPr id="81143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0000" cy="2253600"/>
                    </a:xfrm>
                    <a:prstGeom prst="rect">
                      <a:avLst/>
                    </a:prstGeom>
                    <a:noFill/>
                    <a:ln>
                      <a:noFill/>
                    </a:ln>
                  </pic:spPr>
                </pic:pic>
              </a:graphicData>
            </a:graphic>
          </wp:inline>
        </w:drawing>
      </w:r>
      <w:r>
        <w:rPr>
          <w:noProof/>
        </w:rPr>
        <w:drawing>
          <wp:inline distT="0" distB="0" distL="0" distR="0" wp14:anchorId="012D4FB0" wp14:editId="4256B1A9">
            <wp:extent cx="1620000" cy="2192400"/>
            <wp:effectExtent l="0" t="0" r="0" b="0"/>
            <wp:docPr id="1152029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0000" cy="2192400"/>
                    </a:xfrm>
                    <a:prstGeom prst="rect">
                      <a:avLst/>
                    </a:prstGeom>
                    <a:noFill/>
                    <a:ln>
                      <a:noFill/>
                    </a:ln>
                  </pic:spPr>
                </pic:pic>
              </a:graphicData>
            </a:graphic>
          </wp:inline>
        </w:drawing>
      </w:r>
    </w:p>
    <w:p w14:paraId="441CC91B" w14:textId="77777777" w:rsidR="00233755" w:rsidRPr="00AF759E" w:rsidRDefault="00233755" w:rsidP="00233755">
      <w:pPr>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233755">
      <w:pPr>
        <w:rPr>
          <w:sz w:val="10"/>
          <w:szCs w:val="10"/>
        </w:rPr>
      </w:pPr>
      <w:r w:rsidRPr="00AF759E">
        <w:rPr>
          <w:sz w:val="10"/>
          <w:szCs w:val="10"/>
        </w:rPr>
        <w:t>Source: Based on ABS data.</w:t>
      </w:r>
    </w:p>
    <w:p w14:paraId="2442D41C"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E800C6">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In 1993</w:t>
      </w:r>
      <w:r w:rsidRPr="00E800C6">
        <w:rPr>
          <w:sz w:val="16"/>
          <w:szCs w:val="16"/>
        </w:rPr>
        <w:noBreakHyphen/>
        <w:t>94 the largest employers by industry in Western Australia were retail trade (11% of total employment), manufacturing (10%) and healthcare and social assistance (9%).</w:t>
      </w:r>
    </w:p>
    <w:p w14:paraId="6DD030A3"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Manufacturing was overtaken in its contribution to total employment by construction in 2004</w:t>
      </w:r>
      <w:r w:rsidRPr="00E800C6">
        <w:rPr>
          <w:sz w:val="16"/>
          <w:szCs w:val="16"/>
        </w:rPr>
        <w:noBreakHyphen/>
        <w:t>05, and mining in 2009-10. The manufacturing industry’s share of total employment in Western Australia in 2023-24 (5%) was half of its share in 1993</w:t>
      </w:r>
      <w:r w:rsidRPr="00E800C6">
        <w:rPr>
          <w:sz w:val="16"/>
          <w:szCs w:val="16"/>
        </w:rPr>
        <w:noBreakHyphen/>
        <w:t>94.</w:t>
      </w:r>
    </w:p>
    <w:p w14:paraId="66E6D2DA"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The agricultural industry in Western Australia has become more capital intensive and more productive, so despite increases in output, it has required fewer workers. The agriculture, forestry and fishing industry’s share of total employment in Western Australia fell from 6% in 1993</w:t>
      </w:r>
      <w:r w:rsidRPr="00E800C6">
        <w:rPr>
          <w:sz w:val="16"/>
          <w:szCs w:val="16"/>
        </w:rPr>
        <w:noBreakHyphen/>
        <w:t>94 to 2% in 2023-24.</w:t>
      </w:r>
    </w:p>
    <w:p w14:paraId="4033D5EE" w14:textId="77777777" w:rsidR="00233755" w:rsidRPr="00E800C6" w:rsidRDefault="00233755" w:rsidP="00233755">
      <w:pPr>
        <w:pStyle w:val="ListParagraph"/>
        <w:numPr>
          <w:ilvl w:val="0"/>
          <w:numId w:val="31"/>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Industry employment: </w:t>
      </w:r>
      <w:r w:rsidRPr="002C2CFA">
        <w:rPr>
          <w:i w:val="0"/>
          <w:iCs w:val="0"/>
          <w:color w:val="92278F" w:themeColor="accent1"/>
          <w:sz w:val="20"/>
          <w:szCs w:val="20"/>
        </w:rPr>
        <w:t>2023-24</w:t>
      </w:r>
    </w:p>
    <w:p w14:paraId="4460CDE2" w14:textId="77777777" w:rsidR="00233755" w:rsidRPr="007B1AE5" w:rsidRDefault="00233755" w:rsidP="00233755">
      <w:r>
        <w:rPr>
          <w:noProof/>
        </w:rPr>
        <w:drawing>
          <wp:inline distT="0" distB="0" distL="0" distR="0" wp14:anchorId="12EA6602" wp14:editId="45580FDA">
            <wp:extent cx="3420000" cy="2070000"/>
            <wp:effectExtent l="0" t="0" r="0" b="6985"/>
            <wp:docPr id="79988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50C7216E" w14:textId="77777777" w:rsidR="00233755" w:rsidRPr="00AF759E" w:rsidRDefault="00233755" w:rsidP="00233755">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233755">
      <w:pPr>
        <w:rPr>
          <w:sz w:val="10"/>
          <w:szCs w:val="10"/>
        </w:rPr>
      </w:pPr>
      <w:r w:rsidRPr="00AF759E">
        <w:rPr>
          <w:sz w:val="10"/>
          <w:szCs w:val="10"/>
        </w:rPr>
        <w:t>Source: Based on ABS data.</w:t>
      </w:r>
    </w:p>
    <w:p w14:paraId="5F3B47BA"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E800C6">
        <w:rPr>
          <w:sz w:val="16"/>
          <w:szCs w:val="16"/>
        </w:rPr>
        <w:t>Services industries accounted for 74% of Western Australia’s employment in 2023-24, including:</w:t>
      </w:r>
    </w:p>
    <w:p w14:paraId="003B9E57"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healthcare and social assistance (15%)</w:t>
      </w:r>
    </w:p>
    <w:p w14:paraId="0A362C14"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retail trade (9%)</w:t>
      </w:r>
    </w:p>
    <w:p w14:paraId="5B459EC8"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education and training (8%).</w:t>
      </w:r>
    </w:p>
    <w:p w14:paraId="18E94A9F"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E800C6">
        <w:rPr>
          <w:sz w:val="16"/>
          <w:szCs w:val="16"/>
        </w:rPr>
        <w:t>Goods producing industries accounted for 26% of Western Australia’s employment in 2023-24, including:</w:t>
      </w:r>
    </w:p>
    <w:p w14:paraId="48E07680"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mining (10%)</w:t>
      </w:r>
    </w:p>
    <w:p w14:paraId="662EE3F0"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construction (9%)</w:t>
      </w:r>
    </w:p>
    <w:p w14:paraId="2FEB6D6B"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manufacturing (5%).</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5" w:name="_Gender_indicators_1"/>
      <w:bookmarkEnd w:id="45"/>
      <w:r>
        <w:rPr>
          <w:color w:val="002060"/>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weekly hours worked per person (15 years and over)</w:t>
      </w:r>
    </w:p>
    <w:p w14:paraId="5E2C11AB" w14:textId="77777777" w:rsidR="00233755" w:rsidRPr="007B1AE5" w:rsidRDefault="00233755" w:rsidP="00233755">
      <w:r>
        <w:rPr>
          <w:noProof/>
        </w:rPr>
        <w:drawing>
          <wp:inline distT="0" distB="0" distL="0" distR="0" wp14:anchorId="5E64EFB7" wp14:editId="614D314B">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5BAEB7E5" w14:textId="77777777" w:rsidR="00233755" w:rsidRDefault="00233755" w:rsidP="00233755">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233755">
      <w:pPr>
        <w:rPr>
          <w:sz w:val="10"/>
          <w:szCs w:val="10"/>
        </w:rPr>
      </w:pPr>
      <w:r w:rsidRPr="00AF759E">
        <w:rPr>
          <w:sz w:val="10"/>
          <w:szCs w:val="10"/>
        </w:rPr>
        <w:t>Source: Based on ABS data.</w:t>
      </w:r>
    </w:p>
    <w:p w14:paraId="7EA48986"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1D075F">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1D075F">
        <w:rPr>
          <w:sz w:val="16"/>
          <w:szCs w:val="16"/>
        </w:rPr>
        <w:t>In 1993</w:t>
      </w:r>
      <w:r w:rsidRPr="001D075F">
        <w:rPr>
          <w:sz w:val="16"/>
          <w:szCs w:val="16"/>
        </w:rPr>
        <w:noBreakHyphen/>
        <w:t>94, the average weekly hours worked for each male in Western Australia was 28.0, compared to 13.2 for each female.</w:t>
      </w:r>
    </w:p>
    <w:p w14:paraId="7B71A806"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1D075F">
        <w:rPr>
          <w:sz w:val="16"/>
          <w:szCs w:val="16"/>
        </w:rPr>
        <w:t>In 2023</w:t>
      </w:r>
      <w:r w:rsidRPr="001D075F">
        <w:rPr>
          <w:sz w:val="16"/>
          <w:szCs w:val="16"/>
        </w:rPr>
        <w:noBreakHyphen/>
        <w:t>24, the average weekly hours worked for each male in Western Australia was 25.6, compared to 17.0 for each female.</w:t>
      </w:r>
    </w:p>
    <w:p w14:paraId="5247D6EE"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1D075F">
        <w:rPr>
          <w:sz w:val="16"/>
          <w:szCs w:val="16"/>
        </w:rPr>
        <w:t>The ratio of average hours worked for each female to average hours worked for each male increased from 0.47 in 1993</w:t>
      </w:r>
      <w:r w:rsidRPr="001D075F">
        <w:rPr>
          <w:sz w:val="16"/>
          <w:szCs w:val="16"/>
        </w:rPr>
        <w:noBreakHyphen/>
        <w:t>94 to 0.67 in 2023</w:t>
      </w:r>
      <w:r w:rsidRPr="001D075F">
        <w:rPr>
          <w:sz w:val="16"/>
          <w:szCs w:val="16"/>
        </w:rPr>
        <w:noBreakHyphen/>
        <w:t>24.</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Share of industry employment by gender: 2023</w:t>
      </w:r>
      <w:r>
        <w:rPr>
          <w:i w:val="0"/>
          <w:iCs w:val="0"/>
          <w:color w:val="92278F" w:themeColor="accent1"/>
          <w:sz w:val="20"/>
          <w:szCs w:val="20"/>
        </w:rPr>
        <w:noBreakHyphen/>
        <w:t>24</w:t>
      </w:r>
    </w:p>
    <w:p w14:paraId="0AD637D5" w14:textId="77777777" w:rsidR="00233755" w:rsidRPr="007B1AE5" w:rsidRDefault="00233755" w:rsidP="00233755">
      <w:r>
        <w:rPr>
          <w:noProof/>
        </w:rPr>
        <w:drawing>
          <wp:inline distT="0" distB="0" distL="0" distR="0" wp14:anchorId="69690713" wp14:editId="7D415544">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5728A8B0" w14:textId="77777777" w:rsidR="00233755" w:rsidRDefault="00233755" w:rsidP="00233755">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233755">
      <w:pPr>
        <w:rPr>
          <w:sz w:val="10"/>
          <w:szCs w:val="10"/>
        </w:rPr>
      </w:pPr>
      <w:r w:rsidRPr="00AF759E">
        <w:rPr>
          <w:sz w:val="10"/>
          <w:szCs w:val="10"/>
        </w:rPr>
        <w:t>Source: Based on ABS data.</w:t>
      </w:r>
    </w:p>
    <w:p w14:paraId="1A26EF2D"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1D075F">
        <w:rPr>
          <w:sz w:val="16"/>
          <w:szCs w:val="16"/>
        </w:rPr>
        <w:t>In 2023</w:t>
      </w:r>
      <w:r w:rsidRPr="001D075F">
        <w:rPr>
          <w:sz w:val="16"/>
          <w:szCs w:val="16"/>
        </w:rPr>
        <w:noBreakHyphen/>
        <w:t>24, males accounted for 53% of average employment in Western Australia, while females accounted for 47%. However, there are significant differences in the male and female share of employment across individual industries.</w:t>
      </w:r>
    </w:p>
    <w:p w14:paraId="62B25D06"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 of males in employment in Western Australia in 2023</w:t>
      </w:r>
      <w:r w:rsidRPr="001D075F">
        <w:rPr>
          <w:sz w:val="16"/>
          <w:szCs w:val="16"/>
        </w:rPr>
        <w:noBreakHyphen/>
        <w:t>24 were construction (87%), transport, postal and warehousing (76%) and mining (76%).</w:t>
      </w:r>
    </w:p>
    <w:p w14:paraId="6FA79A8D"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shares of females in employment in Western Australia in 2023</w:t>
      </w:r>
      <w:r w:rsidRPr="001D075F">
        <w:rPr>
          <w:sz w:val="16"/>
          <w:szCs w:val="16"/>
        </w:rPr>
        <w:noBreakHyphen/>
        <w:t>24 were health care and social assistance (78%), education and training (72%) and retail trade (60%).</w:t>
      </w:r>
    </w:p>
    <w:p w14:paraId="0BE0F83B" w14:textId="77777777" w:rsidR="00233755" w:rsidRPr="001D075F" w:rsidRDefault="00233755" w:rsidP="00233755">
      <w:pPr>
        <w:pStyle w:val="ListParagraph"/>
        <w:numPr>
          <w:ilvl w:val="0"/>
          <w:numId w:val="31"/>
        </w:numPr>
        <w:spacing w:before="40" w:after="40"/>
        <w:ind w:right="227" w:hanging="357"/>
        <w:contextualSpacing w:val="0"/>
        <w:jc w:val="both"/>
        <w:rPr>
          <w:sz w:val="16"/>
          <w:szCs w:val="16"/>
        </w:rPr>
      </w:pPr>
      <w:r w:rsidRPr="001D075F">
        <w:rPr>
          <w:sz w:val="16"/>
          <w:szCs w:val="16"/>
        </w:rPr>
        <w:t>Financial and insurance services, and public administration and safety both had close to a 50:50 split in male and female employment in 2023</w:t>
      </w:r>
      <w:r w:rsidRPr="001D075F">
        <w:rPr>
          <w:sz w:val="16"/>
          <w:szCs w:val="16"/>
        </w:rPr>
        <w:noBreakHyphen/>
        <w:t>24.</w:t>
      </w:r>
    </w:p>
    <w:p w14:paraId="509F9D37" w14:textId="77777777" w:rsidR="00233755" w:rsidRPr="00171D37" w:rsidRDefault="00233755" w:rsidP="00233755">
      <w:pPr>
        <w:pStyle w:val="ListParagraph"/>
        <w:numPr>
          <w:ilvl w:val="0"/>
          <w:numId w:val="31"/>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earnings and the gender pay gap</w:t>
      </w:r>
    </w:p>
    <w:p w14:paraId="5A610B20" w14:textId="77777777" w:rsidR="00233755" w:rsidRPr="007B1AE5" w:rsidRDefault="00233755" w:rsidP="00233755">
      <w:r>
        <w:rPr>
          <w:noProof/>
        </w:rPr>
        <w:drawing>
          <wp:inline distT="0" distB="0" distL="0" distR="0" wp14:anchorId="4E710B16" wp14:editId="61C32EB8">
            <wp:extent cx="1663700" cy="1981200"/>
            <wp:effectExtent l="0" t="0" r="0" b="0"/>
            <wp:docPr id="654217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3700" cy="1981200"/>
                    </a:xfrm>
                    <a:prstGeom prst="rect">
                      <a:avLst/>
                    </a:prstGeom>
                    <a:noFill/>
                    <a:ln>
                      <a:noFill/>
                    </a:ln>
                  </pic:spPr>
                </pic:pic>
              </a:graphicData>
            </a:graphic>
          </wp:inline>
        </w:drawing>
      </w:r>
      <w:r>
        <w:rPr>
          <w:noProof/>
        </w:rPr>
        <w:drawing>
          <wp:inline distT="0" distB="0" distL="0" distR="0" wp14:anchorId="17E43FFC" wp14:editId="2A7752AE">
            <wp:extent cx="1644650" cy="1962150"/>
            <wp:effectExtent l="0" t="0" r="0" b="0"/>
            <wp:docPr id="1793548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44650" cy="1962150"/>
                    </a:xfrm>
                    <a:prstGeom prst="rect">
                      <a:avLst/>
                    </a:prstGeom>
                    <a:noFill/>
                    <a:ln>
                      <a:noFill/>
                    </a:ln>
                  </pic:spPr>
                </pic:pic>
              </a:graphicData>
            </a:graphic>
          </wp:inline>
        </w:drawing>
      </w:r>
    </w:p>
    <w:p w14:paraId="57F4A2BD" w14:textId="77777777" w:rsidR="00233755" w:rsidRPr="00AC7274" w:rsidRDefault="00233755" w:rsidP="00233755">
      <w:pPr>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233755">
      <w:pPr>
        <w:rPr>
          <w:sz w:val="10"/>
          <w:szCs w:val="10"/>
        </w:rPr>
      </w:pPr>
      <w:r w:rsidRPr="00AC7274">
        <w:rPr>
          <w:sz w:val="10"/>
          <w:szCs w:val="10"/>
        </w:rPr>
        <w:t>Source: Based on ABS data.</w:t>
      </w:r>
    </w:p>
    <w:p w14:paraId="21CB05D3"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C7274">
        <w:rPr>
          <w:sz w:val="16"/>
          <w:szCs w:val="16"/>
        </w:rPr>
        <w:t>The gender pay gap can be expressed as the difference in the earnings of males and females, expressed as a proportion of male earnings.</w:t>
      </w:r>
    </w:p>
    <w:p w14:paraId="04AB3544"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In the December quarter 2024:</w:t>
      </w:r>
    </w:p>
    <w:p w14:paraId="37271B5D"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 Western Australia, the average of weekly ordinary time earnings for full</w:t>
      </w:r>
      <w:r w:rsidRPr="00AC7274">
        <w:rPr>
          <w:sz w:val="16"/>
          <w:szCs w:val="16"/>
        </w:rPr>
        <w:noBreakHyphen/>
        <w:t>time adult males was $2,330, while for females it was $1,860, resulting in a gender pay gap of 20.2%.</w:t>
      </w:r>
    </w:p>
    <w:p w14:paraId="72519852"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 Australia, the average of weekly ordinary time earnings for full</w:t>
      </w:r>
      <w:r w:rsidRPr="00AC7274">
        <w:rPr>
          <w:sz w:val="16"/>
          <w:szCs w:val="16"/>
        </w:rPr>
        <w:noBreakHyphen/>
        <w:t>time adult males was $2,073, while for females it was $1,826, resulting in a gender pay gap of 11.9%.</w:t>
      </w:r>
    </w:p>
    <w:p w14:paraId="3F4D8451"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Although average earnings for females are higher in Western Australia than they are for Australia as a whole, the gender pay gap in Western Australia is higher than the national average. The relatively high share of mining industry employment in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6" w:name="_Environment_1"/>
      <w:bookmarkStart w:id="47" w:name="_Aboriginal_Indicators"/>
      <w:bookmarkEnd w:id="46"/>
      <w:bookmarkEnd w:id="47"/>
      <w:r>
        <w:rPr>
          <w:color w:val="002060"/>
          <w:sz w:val="24"/>
          <w:szCs w:val="24"/>
        </w:rPr>
        <w:lastRenderedPageBreak/>
        <w:t>Aboriginal Indicators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Educational attainment and employment</w:t>
      </w:r>
      <w:r w:rsidRPr="009E325F">
        <w:rPr>
          <w:i w:val="0"/>
          <w:iCs w:val="0"/>
          <w:color w:val="92278F" w:themeColor="accent1"/>
          <w:sz w:val="20"/>
          <w:szCs w:val="20"/>
          <w:vertAlign w:val="superscript"/>
        </w:rPr>
        <w:t>1</w:t>
      </w:r>
    </w:p>
    <w:p w14:paraId="3D48E4A7" w14:textId="77777777" w:rsidR="00233755" w:rsidRPr="007B1AE5" w:rsidRDefault="00233755" w:rsidP="00233755">
      <w:r>
        <w:rPr>
          <w:noProof/>
        </w:rPr>
        <w:drawing>
          <wp:inline distT="0" distB="0" distL="0" distR="0" wp14:anchorId="3EABB687" wp14:editId="5C86204C">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091F9D9" wp14:editId="1B2AC570">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3078AA2B" w14:textId="77777777" w:rsidR="00233755" w:rsidRPr="00B60070" w:rsidRDefault="00233755" w:rsidP="00233755">
      <w:pPr>
        <w:jc w:val="both"/>
        <w:rPr>
          <w:sz w:val="10"/>
          <w:szCs w:val="10"/>
        </w:rPr>
      </w:pPr>
      <w:r w:rsidRPr="00B60070">
        <w:rPr>
          <w:sz w:val="10"/>
          <w:szCs w:val="10"/>
        </w:rPr>
        <w:t>Note: The left</w:t>
      </w:r>
      <w:r w:rsidRPr="00B60070">
        <w:rPr>
          <w:sz w:val="10"/>
          <w:szCs w:val="10"/>
        </w:rPr>
        <w:noBreakHyphen/>
        <w:t>hand side chart shows the share of people aged 20-24 who had completed year 12 or equivalent or a non</w:t>
      </w:r>
      <w:r w:rsidRPr="00B60070">
        <w:rPr>
          <w:sz w:val="10"/>
          <w:szCs w:val="10"/>
        </w:rPr>
        <w:noBreakHyphen/>
        <w:t>school qualification at Certificate III or above. The right</w:t>
      </w:r>
      <w:r w:rsidRPr="00B60070">
        <w:rPr>
          <w:sz w:val="10"/>
          <w:szCs w:val="10"/>
        </w:rPr>
        <w:noBreakHyphen/>
        <w:t>hand side chart shows the share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20-24 years in Western Australia who had completed year 12 or equivalent or a non-school qualification at Certificate III or above who identified as:</w:t>
      </w:r>
    </w:p>
    <w:p w14:paraId="2D911629"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233755">
      <w:pPr>
        <w:pStyle w:val="ListParagraph"/>
        <w:numPr>
          <w:ilvl w:val="0"/>
          <w:numId w:val="31"/>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Industry share of total employment: 2021 Census</w:t>
      </w:r>
    </w:p>
    <w:p w14:paraId="44D57A0C" w14:textId="77777777" w:rsidR="00233755" w:rsidRPr="007B1AE5" w:rsidRDefault="00233755" w:rsidP="00233755">
      <w:r>
        <w:rPr>
          <w:noProof/>
        </w:rPr>
        <w:drawing>
          <wp:inline distT="0" distB="0" distL="0" distR="0" wp14:anchorId="52E517BA" wp14:editId="39CC23B2">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4CB7FB75" w14:textId="77777777" w:rsidR="00233755" w:rsidRPr="00B60070" w:rsidRDefault="00233755" w:rsidP="00233755">
      <w:pPr>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233755">
      <w:pPr>
        <w:rPr>
          <w:sz w:val="10"/>
          <w:szCs w:val="10"/>
        </w:rPr>
      </w:pPr>
      <w:r w:rsidRPr="00B60070">
        <w:rPr>
          <w:sz w:val="10"/>
          <w:szCs w:val="10"/>
        </w:rPr>
        <w:t>Source: Based on ABS Census data.</w:t>
      </w:r>
    </w:p>
    <w:p w14:paraId="4E898218"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233755">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233755">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233755">
      <w:pPr>
        <w:pStyle w:val="ListParagraph"/>
        <w:numPr>
          <w:ilvl w:val="0"/>
          <w:numId w:val="31"/>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Distribution of total personal income (weekly): 2021 census</w:t>
      </w:r>
    </w:p>
    <w:p w14:paraId="43226A2B" w14:textId="77777777" w:rsidR="00233755" w:rsidRPr="001D075F" w:rsidRDefault="00233755" w:rsidP="00233755">
      <w:pPr>
        <w:rPr>
          <w:sz w:val="10"/>
          <w:szCs w:val="10"/>
        </w:rPr>
      </w:pPr>
      <w:r>
        <w:rPr>
          <w:noProof/>
          <w:sz w:val="10"/>
          <w:szCs w:val="10"/>
        </w:rPr>
        <w:drawing>
          <wp:inline distT="0" distB="0" distL="0" distR="0" wp14:anchorId="6782376F" wp14:editId="09957A04">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1A4FD315" w14:textId="77777777" w:rsidR="00233755" w:rsidRPr="00B60070" w:rsidRDefault="00233755" w:rsidP="00233755">
      <w:pPr>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233755">
      <w:pPr>
        <w:rPr>
          <w:sz w:val="10"/>
          <w:szCs w:val="10"/>
        </w:rPr>
      </w:pPr>
      <w:r w:rsidRPr="00B60070">
        <w:rPr>
          <w:sz w:val="10"/>
          <w:szCs w:val="10"/>
        </w:rPr>
        <w:t>Source: Based on ABS Census data.</w:t>
      </w:r>
    </w:p>
    <w:p w14:paraId="50D80252"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48" w:name="_Environment_2"/>
      <w:bookmarkEnd w:id="48"/>
      <w:r w:rsidRPr="00D859C6">
        <w:rPr>
          <w:color w:val="002060"/>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51617A33" w14:textId="09BFA187" w:rsidR="00233755" w:rsidRPr="007B1AE5" w:rsidRDefault="00A76D13" w:rsidP="00233755">
      <w:r>
        <w:rPr>
          <w:noProof/>
        </w:rPr>
        <w:drawing>
          <wp:inline distT="0" distB="0" distL="0" distR="0" wp14:anchorId="7658D0C1" wp14:editId="04C390DA">
            <wp:extent cx="3420000" cy="2075750"/>
            <wp:effectExtent l="0" t="0" r="0" b="1270"/>
            <wp:docPr id="337746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2075750"/>
                    </a:xfrm>
                    <a:prstGeom prst="rect">
                      <a:avLst/>
                    </a:prstGeom>
                    <a:noFill/>
                    <a:ln>
                      <a:noFill/>
                    </a:ln>
                  </pic:spPr>
                </pic:pic>
              </a:graphicData>
            </a:graphic>
          </wp:inline>
        </w:drawing>
      </w:r>
    </w:p>
    <w:p w14:paraId="2399DCE2" w14:textId="77777777" w:rsidR="00233755" w:rsidRPr="00AF759E" w:rsidRDefault="00233755" w:rsidP="00233755">
      <w:pPr>
        <w:rPr>
          <w:sz w:val="10"/>
          <w:szCs w:val="10"/>
        </w:rPr>
      </w:pPr>
      <w:r w:rsidRPr="000C0C45">
        <w:rPr>
          <w:sz w:val="10"/>
        </w:rPr>
        <w:t xml:space="preserve">Note – </w:t>
      </w:r>
      <w:r w:rsidRPr="00AF759E">
        <w:rPr>
          <w:sz w:val="10"/>
          <w:szCs w:val="10"/>
        </w:rPr>
        <w:t>(a) Coal and oil (included multi-fuel fired power plants prior to 2013-14). (b) Wind, solar, biogas and hydro. Gigawatt hours.</w:t>
      </w:r>
    </w:p>
    <w:p w14:paraId="60BB8239" w14:textId="77777777" w:rsidR="00233755" w:rsidRPr="00AF759E" w:rsidRDefault="00233755" w:rsidP="00233755">
      <w:pPr>
        <w:rPr>
          <w:sz w:val="10"/>
          <w:szCs w:val="10"/>
        </w:rPr>
      </w:pPr>
      <w:r w:rsidRPr="00AF759E">
        <w:rPr>
          <w:sz w:val="10"/>
          <w:szCs w:val="10"/>
        </w:rPr>
        <w:t>Source: Department of Climate Change, Energy, the Environment and Water.</w:t>
      </w:r>
    </w:p>
    <w:p w14:paraId="147FA06C" w14:textId="77777777" w:rsidR="00233755" w:rsidRPr="00017B9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017B94">
        <w:rPr>
          <w:sz w:val="16"/>
          <w:szCs w:val="16"/>
        </w:rPr>
        <w:t>The growth in Western Australia’s electricity generation was primarily through natural gas in the 2010s but is now increasingly through renewables.</w:t>
      </w:r>
    </w:p>
    <w:p w14:paraId="7F3A0F4B" w14:textId="51704DA7"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Western Australia’s total electricity generation was </w:t>
      </w:r>
      <w:r w:rsidR="00633709" w:rsidRPr="00DC4955">
        <w:rPr>
          <w:color w:val="000000" w:themeColor="text1"/>
          <w:sz w:val="16"/>
          <w:szCs w:val="16"/>
        </w:rPr>
        <w:t>45,659</w:t>
      </w:r>
      <w:r w:rsidRPr="00DC4955">
        <w:rPr>
          <w:color w:val="000000" w:themeColor="text1"/>
          <w:sz w:val="16"/>
          <w:szCs w:val="16"/>
        </w:rPr>
        <w:t> gigawatt hours (GWh) in 202</w:t>
      </w:r>
      <w:r w:rsidR="00E56637" w:rsidRPr="00DC4955">
        <w:rPr>
          <w:color w:val="000000" w:themeColor="text1"/>
          <w:sz w:val="16"/>
          <w:szCs w:val="16"/>
        </w:rPr>
        <w:t>3</w:t>
      </w:r>
      <w:r w:rsidRPr="00DC4955">
        <w:rPr>
          <w:color w:val="000000" w:themeColor="text1"/>
          <w:sz w:val="16"/>
          <w:szCs w:val="16"/>
        </w:rPr>
        <w:t>-2</w:t>
      </w:r>
      <w:r w:rsidR="00E56637" w:rsidRPr="00DC4955">
        <w:rPr>
          <w:color w:val="000000" w:themeColor="text1"/>
          <w:sz w:val="16"/>
          <w:szCs w:val="16"/>
        </w:rPr>
        <w:t>4</w:t>
      </w:r>
      <w:r w:rsidRPr="00DC4955">
        <w:rPr>
          <w:color w:val="000000" w:themeColor="text1"/>
          <w:sz w:val="16"/>
          <w:szCs w:val="16"/>
        </w:rPr>
        <w:t>, 16% of the Australian total.</w:t>
      </w:r>
    </w:p>
    <w:p w14:paraId="7169BC0F" w14:textId="7738FC6A"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Mining and manufacturing accounted for 16,</w:t>
      </w:r>
      <w:r w:rsidR="0000428B" w:rsidRPr="00DC4955">
        <w:rPr>
          <w:color w:val="000000" w:themeColor="text1"/>
          <w:sz w:val="16"/>
          <w:szCs w:val="16"/>
        </w:rPr>
        <w:t>456</w:t>
      </w:r>
      <w:r w:rsidRPr="00DC4955">
        <w:rPr>
          <w:color w:val="000000" w:themeColor="text1"/>
          <w:sz w:val="16"/>
          <w:szCs w:val="16"/>
        </w:rPr>
        <w:t> GWh of electricity generation in Western Australia in 202</w:t>
      </w:r>
      <w:r w:rsidR="0000428B" w:rsidRPr="00DC4955">
        <w:rPr>
          <w:color w:val="000000" w:themeColor="text1"/>
          <w:sz w:val="16"/>
          <w:szCs w:val="16"/>
        </w:rPr>
        <w:t>3-24</w:t>
      </w:r>
      <w:r w:rsidRPr="00DC4955">
        <w:rPr>
          <w:color w:val="000000" w:themeColor="text1"/>
          <w:sz w:val="16"/>
          <w:szCs w:val="16"/>
        </w:rPr>
        <w:t>, which equated to:</w:t>
      </w:r>
    </w:p>
    <w:p w14:paraId="0060898F" w14:textId="71100172"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3</w:t>
      </w:r>
      <w:r w:rsidR="0000428B" w:rsidRPr="00DC4955">
        <w:rPr>
          <w:color w:val="000000" w:themeColor="text1"/>
          <w:sz w:val="16"/>
          <w:szCs w:val="16"/>
        </w:rPr>
        <w:t>6</w:t>
      </w:r>
      <w:r w:rsidRPr="00DC4955">
        <w:rPr>
          <w:color w:val="000000" w:themeColor="text1"/>
          <w:sz w:val="16"/>
          <w:szCs w:val="16"/>
        </w:rPr>
        <w:t>% of Western Australia’s total electricity generation</w:t>
      </w:r>
    </w:p>
    <w:p w14:paraId="1289DB0A" w14:textId="639CD49B"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6</w:t>
      </w:r>
      <w:r w:rsidR="002D3762" w:rsidRPr="00DC4955">
        <w:rPr>
          <w:color w:val="000000" w:themeColor="text1"/>
          <w:sz w:val="16"/>
          <w:szCs w:val="16"/>
        </w:rPr>
        <w:t>4</w:t>
      </w:r>
      <w:r w:rsidRPr="00DC4955">
        <w:rPr>
          <w:color w:val="000000" w:themeColor="text1"/>
          <w:sz w:val="16"/>
          <w:szCs w:val="16"/>
        </w:rPr>
        <w:t>% of Australia’s total electricity generation for mining and manufacturing.</w:t>
      </w:r>
    </w:p>
    <w:p w14:paraId="4DA4C8EE" w14:textId="0A84C28F"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Natural gas contributed 27,</w:t>
      </w:r>
      <w:r w:rsidR="002D3762" w:rsidRPr="00DC4955">
        <w:rPr>
          <w:color w:val="000000" w:themeColor="text1"/>
          <w:sz w:val="16"/>
          <w:szCs w:val="16"/>
        </w:rPr>
        <w:t>448</w:t>
      </w:r>
      <w:r w:rsidRPr="00DC4955">
        <w:rPr>
          <w:color w:val="000000" w:themeColor="text1"/>
          <w:sz w:val="16"/>
          <w:szCs w:val="16"/>
        </w:rPr>
        <w:t> GWh in 202</w:t>
      </w:r>
      <w:r w:rsidR="002D3762" w:rsidRPr="00DC4955">
        <w:rPr>
          <w:color w:val="000000" w:themeColor="text1"/>
          <w:sz w:val="16"/>
          <w:szCs w:val="16"/>
        </w:rPr>
        <w:t>3</w:t>
      </w:r>
      <w:r w:rsidRPr="00DC4955">
        <w:rPr>
          <w:color w:val="000000" w:themeColor="text1"/>
          <w:sz w:val="16"/>
          <w:szCs w:val="16"/>
        </w:rPr>
        <w:noBreakHyphen/>
        <w:t>2</w:t>
      </w:r>
      <w:r w:rsidR="002D3762" w:rsidRPr="00DC4955">
        <w:rPr>
          <w:color w:val="000000" w:themeColor="text1"/>
          <w:sz w:val="16"/>
          <w:szCs w:val="16"/>
        </w:rPr>
        <w:t>4</w:t>
      </w:r>
      <w:r w:rsidRPr="00DC4955">
        <w:rPr>
          <w:color w:val="000000" w:themeColor="text1"/>
          <w:sz w:val="16"/>
          <w:szCs w:val="16"/>
        </w:rPr>
        <w:t xml:space="preserve">, and its share of Western Australia’s total electricity generation </w:t>
      </w:r>
      <w:r w:rsidR="00D03780" w:rsidRPr="00DC4955">
        <w:rPr>
          <w:color w:val="000000" w:themeColor="text1"/>
          <w:sz w:val="16"/>
          <w:szCs w:val="16"/>
        </w:rPr>
        <w:t>was</w:t>
      </w:r>
      <w:r w:rsidRPr="00DC4955">
        <w:rPr>
          <w:color w:val="000000" w:themeColor="text1"/>
          <w:sz w:val="16"/>
          <w:szCs w:val="16"/>
        </w:rPr>
        <w:t xml:space="preserve"> 6</w:t>
      </w:r>
      <w:r w:rsidR="002D3762" w:rsidRPr="00DC4955">
        <w:rPr>
          <w:color w:val="000000" w:themeColor="text1"/>
          <w:sz w:val="16"/>
          <w:szCs w:val="16"/>
        </w:rPr>
        <w:t>0</w:t>
      </w:r>
      <w:r w:rsidRPr="00DC4955">
        <w:rPr>
          <w:color w:val="000000" w:themeColor="text1"/>
          <w:sz w:val="16"/>
          <w:szCs w:val="16"/>
        </w:rPr>
        <w:t>%, just below the peak share of 62% in 2019</w:t>
      </w:r>
      <w:r w:rsidRPr="00DC4955">
        <w:rPr>
          <w:color w:val="000000" w:themeColor="text1"/>
          <w:sz w:val="16"/>
          <w:szCs w:val="16"/>
        </w:rPr>
        <w:noBreakHyphen/>
        <w:t>20.</w:t>
      </w:r>
    </w:p>
    <w:p w14:paraId="45BD2071" w14:textId="771DDB84"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Other non-renewables (principally coal) contributed </w:t>
      </w:r>
      <w:r w:rsidR="002D3762" w:rsidRPr="00DC4955">
        <w:rPr>
          <w:color w:val="000000" w:themeColor="text1"/>
          <w:sz w:val="16"/>
          <w:szCs w:val="16"/>
        </w:rPr>
        <w:t>10,002</w:t>
      </w:r>
      <w:r w:rsidRPr="00DC4955">
        <w:rPr>
          <w:color w:val="000000" w:themeColor="text1"/>
          <w:sz w:val="16"/>
          <w:szCs w:val="16"/>
        </w:rPr>
        <w:t> GWh in 202</w:t>
      </w:r>
      <w:r w:rsidR="002D3762" w:rsidRPr="00DC4955">
        <w:rPr>
          <w:color w:val="000000" w:themeColor="text1"/>
          <w:sz w:val="16"/>
          <w:szCs w:val="16"/>
        </w:rPr>
        <w:t>3</w:t>
      </w:r>
      <w:r w:rsidRPr="00DC4955">
        <w:rPr>
          <w:color w:val="000000" w:themeColor="text1"/>
          <w:sz w:val="16"/>
          <w:szCs w:val="16"/>
        </w:rPr>
        <w:noBreakHyphen/>
        <w:t>2</w:t>
      </w:r>
      <w:r w:rsidR="002D3762" w:rsidRPr="00DC4955">
        <w:rPr>
          <w:color w:val="000000" w:themeColor="text1"/>
          <w:sz w:val="16"/>
          <w:szCs w:val="16"/>
        </w:rPr>
        <w:t>4</w:t>
      </w:r>
      <w:r w:rsidRPr="00DC4955">
        <w:rPr>
          <w:color w:val="000000" w:themeColor="text1"/>
          <w:sz w:val="16"/>
          <w:szCs w:val="16"/>
        </w:rPr>
        <w:t>, 2</w:t>
      </w:r>
      <w:r w:rsidR="002D3762" w:rsidRPr="00DC4955">
        <w:rPr>
          <w:color w:val="000000" w:themeColor="text1"/>
          <w:sz w:val="16"/>
          <w:szCs w:val="16"/>
        </w:rPr>
        <w:t>2</w:t>
      </w:r>
      <w:r w:rsidRPr="00DC4955">
        <w:rPr>
          <w:color w:val="000000" w:themeColor="text1"/>
          <w:sz w:val="16"/>
          <w:szCs w:val="16"/>
        </w:rPr>
        <w:t>% of Western Australia’s electricity generation.</w:t>
      </w:r>
    </w:p>
    <w:p w14:paraId="03927422" w14:textId="6461C0F8"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output of renewables has increased significantly in recent years growing from 2,998 GWh in 2016-17 to </w:t>
      </w:r>
      <w:r w:rsidR="002D3762" w:rsidRPr="00DC4955">
        <w:rPr>
          <w:color w:val="000000" w:themeColor="text1"/>
          <w:sz w:val="16"/>
          <w:szCs w:val="16"/>
        </w:rPr>
        <w:t>8,209</w:t>
      </w:r>
      <w:r w:rsidRPr="00DC4955">
        <w:rPr>
          <w:color w:val="000000" w:themeColor="text1"/>
          <w:sz w:val="16"/>
          <w:szCs w:val="16"/>
        </w:rPr>
        <w:t> GWh in 202</w:t>
      </w:r>
      <w:r w:rsidR="002D3762" w:rsidRPr="00DC4955">
        <w:rPr>
          <w:color w:val="000000" w:themeColor="text1"/>
          <w:sz w:val="16"/>
          <w:szCs w:val="16"/>
        </w:rPr>
        <w:t>3-24</w:t>
      </w:r>
      <w:r w:rsidRPr="00DC4955">
        <w:rPr>
          <w:color w:val="000000" w:themeColor="text1"/>
          <w:sz w:val="16"/>
          <w:szCs w:val="16"/>
        </w:rPr>
        <w:t>. In 202</w:t>
      </w:r>
      <w:r w:rsidR="002D3762" w:rsidRPr="00DC4955">
        <w:rPr>
          <w:color w:val="000000" w:themeColor="text1"/>
          <w:sz w:val="16"/>
          <w:szCs w:val="16"/>
        </w:rPr>
        <w:t>3</w:t>
      </w:r>
      <w:r w:rsidRPr="00DC4955">
        <w:rPr>
          <w:color w:val="000000" w:themeColor="text1"/>
          <w:sz w:val="16"/>
          <w:szCs w:val="16"/>
        </w:rPr>
        <w:noBreakHyphen/>
        <w:t>2</w:t>
      </w:r>
      <w:r w:rsidR="002D3762" w:rsidRPr="00DC4955">
        <w:rPr>
          <w:color w:val="000000" w:themeColor="text1"/>
          <w:sz w:val="16"/>
          <w:szCs w:val="16"/>
        </w:rPr>
        <w:t>4</w:t>
      </w:r>
      <w:r w:rsidRPr="00DC4955">
        <w:rPr>
          <w:color w:val="000000" w:themeColor="text1"/>
          <w:sz w:val="16"/>
          <w:szCs w:val="16"/>
        </w:rPr>
        <w:t>, renewables accounted for 1</w:t>
      </w:r>
      <w:r w:rsidR="002D3762" w:rsidRPr="00DC4955">
        <w:rPr>
          <w:color w:val="000000" w:themeColor="text1"/>
          <w:sz w:val="16"/>
          <w:szCs w:val="16"/>
        </w:rPr>
        <w:t>8</w:t>
      </w:r>
      <w:r w:rsidRPr="00DC4955">
        <w:rPr>
          <w:color w:val="000000" w:themeColor="text1"/>
          <w:sz w:val="16"/>
          <w:szCs w:val="16"/>
        </w:rPr>
        <w:t>% of Western Australia’s electricity generation, including wind (8%), small</w:t>
      </w:r>
      <w:r w:rsidRPr="00DC4955">
        <w:rPr>
          <w:color w:val="000000" w:themeColor="text1"/>
          <w:sz w:val="16"/>
          <w:szCs w:val="16"/>
        </w:rPr>
        <w:noBreakHyphen/>
        <w:t>scale solar (</w:t>
      </w:r>
      <w:r w:rsidR="002D3762" w:rsidRPr="00DC4955">
        <w:rPr>
          <w:color w:val="000000" w:themeColor="text1"/>
          <w:sz w:val="16"/>
          <w:szCs w:val="16"/>
        </w:rPr>
        <w:t>8</w:t>
      </w:r>
      <w:r w:rsidRPr="00DC4955">
        <w:rPr>
          <w:color w:val="000000" w:themeColor="text1"/>
          <w:sz w:val="16"/>
          <w:szCs w:val="16"/>
        </w:rPr>
        <w:t>%) and large</w:t>
      </w:r>
      <w:r w:rsidRPr="00DC4955">
        <w:rPr>
          <w:color w:val="000000" w:themeColor="text1"/>
          <w:sz w:val="16"/>
          <w:szCs w:val="16"/>
        </w:rPr>
        <w:noBreakHyphen/>
        <w:t>scale solar (2%).</w:t>
      </w:r>
    </w:p>
    <w:p w14:paraId="247DF11A" w14:textId="77777777" w:rsidR="00233755" w:rsidRPr="00632366" w:rsidRDefault="00233755" w:rsidP="00233755">
      <w:pPr>
        <w:pStyle w:val="ListParagraph"/>
        <w:numPr>
          <w:ilvl w:val="0"/>
          <w:numId w:val="31"/>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5C9E6678" w14:textId="3E556DBB" w:rsidR="00233755" w:rsidRPr="007B1AE5" w:rsidRDefault="00A76D13" w:rsidP="00233755">
      <w:r>
        <w:rPr>
          <w:noProof/>
        </w:rPr>
        <w:drawing>
          <wp:inline distT="0" distB="0" distL="0" distR="0" wp14:anchorId="392C56E8" wp14:editId="7A633AAC">
            <wp:extent cx="3420000" cy="2071000"/>
            <wp:effectExtent l="0" t="0" r="9525" b="5715"/>
            <wp:docPr id="883462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071000"/>
                    </a:xfrm>
                    <a:prstGeom prst="rect">
                      <a:avLst/>
                    </a:prstGeom>
                    <a:noFill/>
                    <a:ln>
                      <a:noFill/>
                    </a:ln>
                  </pic:spPr>
                </pic:pic>
              </a:graphicData>
            </a:graphic>
          </wp:inline>
        </w:drawing>
      </w:r>
    </w:p>
    <w:p w14:paraId="43CDDE30" w14:textId="77777777" w:rsidR="00233755" w:rsidRPr="00AF759E" w:rsidRDefault="00233755" w:rsidP="00233755">
      <w:pPr>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233755">
      <w:pPr>
        <w:rPr>
          <w:sz w:val="10"/>
          <w:szCs w:val="10"/>
        </w:rPr>
      </w:pPr>
      <w:r w:rsidRPr="00AF759E">
        <w:rPr>
          <w:sz w:val="10"/>
          <w:szCs w:val="10"/>
        </w:rPr>
        <w:t>Source: Department of Climate Change, Energy, the Environment and Water.</w:t>
      </w:r>
    </w:p>
    <w:p w14:paraId="46F51DAE" w14:textId="3F8D3EC0"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DC4955">
        <w:rPr>
          <w:color w:val="000000" w:themeColor="text1"/>
          <w:sz w:val="16"/>
          <w:szCs w:val="16"/>
        </w:rPr>
        <w:t>Western Australia’s net CO</w:t>
      </w:r>
      <w:r w:rsidRPr="00DC4955">
        <w:rPr>
          <w:color w:val="000000" w:themeColor="text1"/>
          <w:sz w:val="16"/>
          <w:szCs w:val="16"/>
          <w:vertAlign w:val="subscript"/>
        </w:rPr>
        <w:t>2</w:t>
      </w:r>
      <w:r w:rsidRPr="00DC4955">
        <w:rPr>
          <w:color w:val="000000" w:themeColor="text1"/>
          <w:sz w:val="16"/>
          <w:szCs w:val="16"/>
        </w:rPr>
        <w:t xml:space="preserve"> equivalent emissions </w:t>
      </w:r>
      <w:r w:rsidR="00D03780" w:rsidRPr="00DC4955">
        <w:rPr>
          <w:color w:val="000000" w:themeColor="text1"/>
          <w:sz w:val="16"/>
          <w:szCs w:val="16"/>
        </w:rPr>
        <w:t>in 2022</w:t>
      </w:r>
      <w:r w:rsidR="00D03780" w:rsidRPr="00DC4955">
        <w:rPr>
          <w:color w:val="000000" w:themeColor="text1"/>
          <w:sz w:val="16"/>
          <w:szCs w:val="16"/>
        </w:rPr>
        <w:noBreakHyphen/>
        <w:t xml:space="preserve">23 </w:t>
      </w:r>
      <w:r w:rsidR="00D100AA" w:rsidRPr="00DC4955">
        <w:rPr>
          <w:color w:val="000000" w:themeColor="text1"/>
          <w:sz w:val="16"/>
          <w:szCs w:val="16"/>
        </w:rPr>
        <w:t>was 89.4</w:t>
      </w:r>
      <w:r w:rsidRPr="00DC4955">
        <w:rPr>
          <w:color w:val="000000" w:themeColor="text1"/>
          <w:sz w:val="16"/>
          <w:szCs w:val="16"/>
        </w:rPr>
        <w:t> Mt</w:t>
      </w:r>
      <w:r w:rsidR="00D100AA" w:rsidRPr="00DC4955">
        <w:rPr>
          <w:color w:val="000000" w:themeColor="text1"/>
          <w:sz w:val="16"/>
          <w:szCs w:val="16"/>
        </w:rPr>
        <w:t xml:space="preserve">, the </w:t>
      </w:r>
      <w:r w:rsidR="006F40F4" w:rsidRPr="00DC4955">
        <w:rPr>
          <w:color w:val="000000" w:themeColor="text1"/>
          <w:sz w:val="16"/>
          <w:szCs w:val="16"/>
        </w:rPr>
        <w:t xml:space="preserve">third </w:t>
      </w:r>
      <w:r w:rsidR="00D100AA" w:rsidRPr="00DC4955">
        <w:rPr>
          <w:color w:val="000000" w:themeColor="text1"/>
          <w:sz w:val="16"/>
          <w:szCs w:val="16"/>
        </w:rPr>
        <w:t>highest on record</w:t>
      </w:r>
      <w:r w:rsidRPr="00DC4955">
        <w:rPr>
          <w:color w:val="000000" w:themeColor="text1"/>
          <w:sz w:val="16"/>
          <w:szCs w:val="16"/>
        </w:rPr>
        <w:t>.</w:t>
      </w:r>
    </w:p>
    <w:p w14:paraId="44807693" w14:textId="4610FDD5"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Of Western Australia’s emissions in 202</w:t>
      </w:r>
      <w:r w:rsidR="00107E8D" w:rsidRPr="00DC4955">
        <w:rPr>
          <w:color w:val="000000" w:themeColor="text1"/>
          <w:sz w:val="16"/>
          <w:szCs w:val="16"/>
        </w:rPr>
        <w:t>2-2</w:t>
      </w:r>
      <w:r w:rsidR="00D100AA" w:rsidRPr="00DC4955">
        <w:rPr>
          <w:color w:val="000000" w:themeColor="text1"/>
          <w:sz w:val="16"/>
          <w:szCs w:val="16"/>
        </w:rPr>
        <w:t>3</w:t>
      </w:r>
      <w:r w:rsidRPr="00DC4955">
        <w:rPr>
          <w:color w:val="000000" w:themeColor="text1"/>
          <w:sz w:val="16"/>
          <w:szCs w:val="16"/>
        </w:rPr>
        <w:t>:</w:t>
      </w:r>
    </w:p>
    <w:p w14:paraId="0F51C17E" w14:textId="1AE6B887"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energy contributed 81.</w:t>
      </w:r>
      <w:r w:rsidR="00D100AA" w:rsidRPr="00DC4955">
        <w:rPr>
          <w:color w:val="000000" w:themeColor="text1"/>
          <w:sz w:val="16"/>
          <w:szCs w:val="16"/>
        </w:rPr>
        <w:t xml:space="preserve">4 </w:t>
      </w:r>
      <w:r w:rsidRPr="00DC4955">
        <w:rPr>
          <w:color w:val="000000" w:themeColor="text1"/>
          <w:sz w:val="16"/>
          <w:szCs w:val="16"/>
        </w:rPr>
        <w:t>Mt</w:t>
      </w:r>
    </w:p>
    <w:p w14:paraId="4E78BB51" w14:textId="3649785A"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agriculture contributed </w:t>
      </w:r>
      <w:r w:rsidR="00D100AA" w:rsidRPr="00DC4955">
        <w:rPr>
          <w:color w:val="000000" w:themeColor="text1"/>
          <w:sz w:val="16"/>
          <w:szCs w:val="16"/>
        </w:rPr>
        <w:t>10.0</w:t>
      </w:r>
      <w:r w:rsidRPr="00DC4955">
        <w:rPr>
          <w:color w:val="000000" w:themeColor="text1"/>
          <w:sz w:val="16"/>
          <w:szCs w:val="16"/>
        </w:rPr>
        <w:t> Mt</w:t>
      </w:r>
    </w:p>
    <w:p w14:paraId="08B6E347" w14:textId="1638D031"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industry contributed 5.</w:t>
      </w:r>
      <w:r w:rsidR="00D100AA" w:rsidRPr="00DC4955">
        <w:rPr>
          <w:color w:val="000000" w:themeColor="text1"/>
          <w:sz w:val="16"/>
          <w:szCs w:val="16"/>
        </w:rPr>
        <w:t>4</w:t>
      </w:r>
      <w:r w:rsidRPr="00DC4955">
        <w:rPr>
          <w:color w:val="000000" w:themeColor="text1"/>
          <w:sz w:val="16"/>
          <w:szCs w:val="16"/>
        </w:rPr>
        <w:t> Mt</w:t>
      </w:r>
    </w:p>
    <w:p w14:paraId="6B39CDE4" w14:textId="77777777"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waste contributed 1.9 Mt</w:t>
      </w:r>
    </w:p>
    <w:p w14:paraId="239C9F63" w14:textId="76023380" w:rsidR="00233755" w:rsidRPr="00DC4955"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land use contributed an emissions reduction of </w:t>
      </w:r>
      <w:r w:rsidR="00D100AA" w:rsidRPr="00DC4955">
        <w:rPr>
          <w:color w:val="000000" w:themeColor="text1"/>
          <w:sz w:val="16"/>
          <w:szCs w:val="16"/>
        </w:rPr>
        <w:t>9.4</w:t>
      </w:r>
      <w:r w:rsidRPr="00DC4955">
        <w:rPr>
          <w:color w:val="000000" w:themeColor="text1"/>
          <w:sz w:val="16"/>
          <w:szCs w:val="16"/>
        </w:rPr>
        <w:t> Mt.</w:t>
      </w:r>
    </w:p>
    <w:p w14:paraId="4A9B60AC" w14:textId="2713522A" w:rsidR="00233755" w:rsidRPr="00DC4955" w:rsidRDefault="00233755" w:rsidP="00804D39">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emissions of the energy sector increased by </w:t>
      </w:r>
      <w:r w:rsidR="00496146" w:rsidRPr="00DC4955">
        <w:rPr>
          <w:color w:val="000000" w:themeColor="text1"/>
          <w:sz w:val="16"/>
          <w:szCs w:val="16"/>
        </w:rPr>
        <w:t>120</w:t>
      </w:r>
      <w:r w:rsidRPr="00DC4955">
        <w:rPr>
          <w:color w:val="000000" w:themeColor="text1"/>
          <w:sz w:val="16"/>
          <w:szCs w:val="16"/>
        </w:rPr>
        <w:t>% between 199</w:t>
      </w:r>
      <w:r w:rsidR="00FE59E5" w:rsidRPr="00DC4955">
        <w:rPr>
          <w:color w:val="000000" w:themeColor="text1"/>
          <w:sz w:val="16"/>
          <w:szCs w:val="16"/>
        </w:rPr>
        <w:t>2-9</w:t>
      </w:r>
      <w:r w:rsidR="00D100AA" w:rsidRPr="00DC4955">
        <w:rPr>
          <w:color w:val="000000" w:themeColor="text1"/>
          <w:sz w:val="16"/>
          <w:szCs w:val="16"/>
        </w:rPr>
        <w:t>3</w:t>
      </w:r>
      <w:r w:rsidRPr="00DC4955">
        <w:rPr>
          <w:color w:val="000000" w:themeColor="text1"/>
          <w:sz w:val="16"/>
          <w:szCs w:val="16"/>
        </w:rPr>
        <w:t xml:space="preserve"> and 202</w:t>
      </w:r>
      <w:r w:rsidR="003068FD" w:rsidRPr="00DC4955">
        <w:rPr>
          <w:color w:val="000000" w:themeColor="text1"/>
          <w:sz w:val="16"/>
          <w:szCs w:val="16"/>
        </w:rPr>
        <w:t>2-2</w:t>
      </w:r>
      <w:r w:rsidR="00D100AA" w:rsidRPr="00DC4955">
        <w:rPr>
          <w:color w:val="000000" w:themeColor="text1"/>
          <w:sz w:val="16"/>
          <w:szCs w:val="16"/>
        </w:rPr>
        <w:t>3.</w:t>
      </w:r>
    </w:p>
    <w:p w14:paraId="45D879CE" w14:textId="73F154DA" w:rsidR="00233755" w:rsidRPr="00DC4955"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DC4955">
        <w:rPr>
          <w:color w:val="000000" w:themeColor="text1"/>
          <w:sz w:val="16"/>
          <w:szCs w:val="16"/>
        </w:rPr>
        <w:t xml:space="preserve">The most dynamic movement has come from the role of land use, which has evolved from contributing </w:t>
      </w:r>
      <w:r w:rsidR="009C1182" w:rsidRPr="00DC4955">
        <w:rPr>
          <w:color w:val="000000" w:themeColor="text1"/>
          <w:sz w:val="16"/>
          <w:szCs w:val="16"/>
        </w:rPr>
        <w:t>15.9</w:t>
      </w:r>
      <w:r w:rsidRPr="00DC4955">
        <w:rPr>
          <w:color w:val="000000" w:themeColor="text1"/>
          <w:sz w:val="16"/>
          <w:szCs w:val="16"/>
        </w:rPr>
        <w:t> Mt of emissions in 199</w:t>
      </w:r>
      <w:r w:rsidR="003068FD" w:rsidRPr="00DC4955">
        <w:rPr>
          <w:color w:val="000000" w:themeColor="text1"/>
          <w:sz w:val="16"/>
          <w:szCs w:val="16"/>
        </w:rPr>
        <w:t>2-2</w:t>
      </w:r>
      <w:r w:rsidR="00D100AA" w:rsidRPr="00DC4955">
        <w:rPr>
          <w:color w:val="000000" w:themeColor="text1"/>
          <w:sz w:val="16"/>
          <w:szCs w:val="16"/>
        </w:rPr>
        <w:t>3</w:t>
      </w:r>
      <w:r w:rsidRPr="00DC4955">
        <w:rPr>
          <w:color w:val="000000" w:themeColor="text1"/>
          <w:sz w:val="16"/>
          <w:szCs w:val="16"/>
        </w:rPr>
        <w:t xml:space="preserve"> to an emissions reduction of </w:t>
      </w:r>
      <w:r w:rsidR="00D100AA" w:rsidRPr="00DC4955">
        <w:rPr>
          <w:color w:val="000000" w:themeColor="text1"/>
          <w:sz w:val="16"/>
          <w:szCs w:val="16"/>
        </w:rPr>
        <w:t>9.4</w:t>
      </w:r>
      <w:r w:rsidRPr="00DC4955">
        <w:rPr>
          <w:color w:val="000000" w:themeColor="text1"/>
          <w:sz w:val="16"/>
          <w:szCs w:val="16"/>
        </w:rPr>
        <w:t xml:space="preserve"> Mt in 202</w:t>
      </w:r>
      <w:r w:rsidR="00D100AA" w:rsidRPr="00DC4955">
        <w:rPr>
          <w:color w:val="000000" w:themeColor="text1"/>
          <w:sz w:val="16"/>
          <w:szCs w:val="16"/>
        </w:rPr>
        <w:t>3</w:t>
      </w:r>
      <w:r w:rsidRPr="00DC4955">
        <w:rPr>
          <w:color w:val="000000" w:themeColor="text1"/>
          <w:sz w:val="16"/>
          <w:szCs w:val="16"/>
        </w:rPr>
        <w:t>.</w:t>
      </w:r>
    </w:p>
    <w:p w14:paraId="1CC5AD14" w14:textId="77777777" w:rsidR="00233755" w:rsidRPr="00EB1814" w:rsidRDefault="00233755" w:rsidP="00233755">
      <w:pPr>
        <w:pStyle w:val="ListParagraph"/>
        <w:numPr>
          <w:ilvl w:val="0"/>
          <w:numId w:val="31"/>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Pr="00AC3621">
        <w:rPr>
          <w:i w:val="0"/>
          <w:iCs w:val="0"/>
          <w:color w:val="92278F" w:themeColor="accent1"/>
          <w:sz w:val="20"/>
          <w:szCs w:val="20"/>
        </w:rPr>
        <w:t>mparison of greenhouse gas emissions per dollar of gross state product</w:t>
      </w:r>
    </w:p>
    <w:p w14:paraId="61225394" w14:textId="77777777" w:rsidR="00233755" w:rsidRPr="007B1AE5" w:rsidRDefault="00233755" w:rsidP="00233755">
      <w:r>
        <w:rPr>
          <w:noProof/>
        </w:rPr>
        <w:drawing>
          <wp:inline distT="0" distB="0" distL="0" distR="0" wp14:anchorId="67F80D68" wp14:editId="3227312A">
            <wp:extent cx="3390900" cy="1955800"/>
            <wp:effectExtent l="0" t="0" r="0" b="6350"/>
            <wp:docPr id="1642719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90900" cy="1955800"/>
                    </a:xfrm>
                    <a:prstGeom prst="rect">
                      <a:avLst/>
                    </a:prstGeom>
                    <a:noFill/>
                    <a:ln>
                      <a:noFill/>
                    </a:ln>
                  </pic:spPr>
                </pic:pic>
              </a:graphicData>
            </a:graphic>
          </wp:inline>
        </w:drawing>
      </w:r>
    </w:p>
    <w:p w14:paraId="7CED465B" w14:textId="77777777" w:rsidR="00233755" w:rsidRPr="0056748A" w:rsidRDefault="00233755" w:rsidP="00233755">
      <w:pPr>
        <w:rPr>
          <w:sz w:val="10"/>
          <w:szCs w:val="10"/>
        </w:rPr>
      </w:pPr>
      <w:r w:rsidRPr="000C0C45">
        <w:rPr>
          <w:sz w:val="10"/>
        </w:rPr>
        <w:t xml:space="preserve">Note – </w:t>
      </w:r>
      <w:r w:rsidRPr="0056748A">
        <w:rPr>
          <w:sz w:val="10"/>
          <w:szCs w:val="10"/>
        </w:rPr>
        <w:t>Kilograms of carbon dioxide equivalent per dollar of gross state product (chain volume measures).</w:t>
      </w:r>
    </w:p>
    <w:p w14:paraId="35B0F8FC" w14:textId="77777777" w:rsidR="00233755" w:rsidRPr="00AF759E" w:rsidRDefault="00233755" w:rsidP="00233755">
      <w:pPr>
        <w:rPr>
          <w:sz w:val="10"/>
          <w:szCs w:val="10"/>
        </w:rPr>
      </w:pPr>
      <w:r w:rsidRPr="00AF759E">
        <w:rPr>
          <w:sz w:val="10"/>
          <w:szCs w:val="10"/>
        </w:rPr>
        <w:t>Source: Department of Climate Change, Energy, the Environment and Water.</w:t>
      </w:r>
    </w:p>
    <w:p w14:paraId="614CB2FD" w14:textId="77777777" w:rsidR="00233755" w:rsidRPr="00762EBE"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762EBE">
        <w:rPr>
          <w:sz w:val="16"/>
          <w:szCs w:val="16"/>
        </w:rPr>
        <w:t>While total greenhouse gas emissions have increased in Western Australia over the past 30 years, the emissions intensity of economic activity has declined, as it has in other Australian states.</w:t>
      </w:r>
    </w:p>
    <w:p w14:paraId="567B6CC6" w14:textId="77777777" w:rsidR="00233755" w:rsidRPr="003C3CC5" w:rsidRDefault="00233755" w:rsidP="00233755">
      <w:pPr>
        <w:pStyle w:val="ListParagraph"/>
        <w:numPr>
          <w:ilvl w:val="0"/>
          <w:numId w:val="31"/>
        </w:numPr>
        <w:spacing w:before="40" w:after="40"/>
        <w:ind w:right="227" w:hanging="357"/>
        <w:contextualSpacing w:val="0"/>
        <w:jc w:val="both"/>
        <w:rPr>
          <w:sz w:val="16"/>
          <w:szCs w:val="16"/>
        </w:rPr>
      </w:pPr>
      <w:r w:rsidRPr="003C3CC5">
        <w:rPr>
          <w:sz w:val="16"/>
          <w:szCs w:val="16"/>
        </w:rPr>
        <w:t>Using the measure of emissions in kilograms of carbon dioxide equivalent per dollar of real GSP, between 1991-92 and 2021</w:t>
      </w:r>
      <w:r w:rsidRPr="003C3CC5">
        <w:rPr>
          <w:sz w:val="16"/>
          <w:szCs w:val="16"/>
        </w:rPr>
        <w:noBreakHyphen/>
        <w:t>22:</w:t>
      </w:r>
    </w:p>
    <w:p w14:paraId="5808D21A" w14:textId="77777777" w:rsidR="00233755" w:rsidRPr="003C3CC5" w:rsidRDefault="00233755" w:rsidP="00233755">
      <w:pPr>
        <w:pStyle w:val="ListParagraph"/>
        <w:numPr>
          <w:ilvl w:val="0"/>
          <w:numId w:val="33"/>
        </w:numPr>
        <w:spacing w:before="40" w:after="40"/>
        <w:ind w:right="227" w:hanging="357"/>
        <w:contextualSpacing w:val="0"/>
        <w:jc w:val="both"/>
        <w:rPr>
          <w:sz w:val="16"/>
          <w:szCs w:val="16"/>
        </w:rPr>
      </w:pPr>
      <w:r w:rsidRPr="003C3CC5">
        <w:rPr>
          <w:sz w:val="16"/>
          <w:szCs w:val="16"/>
        </w:rPr>
        <w:t>Western Australia’s emissions intensity fell from 0.57 to 0.20, a reduction of 64%.</w:t>
      </w:r>
    </w:p>
    <w:p w14:paraId="6571180B" w14:textId="77777777" w:rsidR="00233755" w:rsidRPr="003C3CC5" w:rsidRDefault="00233755" w:rsidP="00233755">
      <w:pPr>
        <w:pStyle w:val="ListParagraph"/>
        <w:numPr>
          <w:ilvl w:val="0"/>
          <w:numId w:val="33"/>
        </w:numPr>
        <w:spacing w:before="40" w:after="40"/>
        <w:ind w:right="227" w:hanging="357"/>
        <w:contextualSpacing w:val="0"/>
        <w:jc w:val="both"/>
        <w:rPr>
          <w:sz w:val="16"/>
          <w:szCs w:val="16"/>
        </w:rPr>
      </w:pPr>
      <w:r w:rsidRPr="003C3CC5">
        <w:rPr>
          <w:sz w:val="16"/>
          <w:szCs w:val="16"/>
        </w:rPr>
        <w:t>Queensland’s emissions intensity fell from 1.04 to 0.27, a reduction of 74%.</w:t>
      </w:r>
    </w:p>
    <w:p w14:paraId="3EB44DB7" w14:textId="77777777" w:rsidR="00233755" w:rsidRPr="003C3CC5" w:rsidRDefault="00233755" w:rsidP="00233755">
      <w:pPr>
        <w:pStyle w:val="ListParagraph"/>
        <w:numPr>
          <w:ilvl w:val="0"/>
          <w:numId w:val="33"/>
        </w:numPr>
        <w:spacing w:before="40" w:after="40"/>
        <w:ind w:right="227" w:hanging="357"/>
        <w:contextualSpacing w:val="0"/>
        <w:jc w:val="both"/>
        <w:rPr>
          <w:sz w:val="16"/>
          <w:szCs w:val="16"/>
        </w:rPr>
      </w:pPr>
      <w:r w:rsidRPr="003C3CC5">
        <w:rPr>
          <w:sz w:val="16"/>
          <w:szCs w:val="16"/>
        </w:rPr>
        <w:t>New South Wales emissions intensity fell from 0.46 to 0.16, a reduction of 66%.</w:t>
      </w:r>
    </w:p>
    <w:p w14:paraId="261638A7" w14:textId="77777777" w:rsidR="00233755" w:rsidRPr="007B1AE5" w:rsidRDefault="00233755" w:rsidP="00233755">
      <w:pPr>
        <w:spacing w:before="40" w:after="40"/>
        <w:ind w:left="363" w:right="227"/>
        <w:sectPr w:rsidR="00233755" w:rsidRPr="007B1AE5" w:rsidSect="00233755">
          <w:type w:val="continuous"/>
          <w:pgSz w:w="11907" w:h="16840" w:code="9"/>
          <w:pgMar w:top="1701" w:right="425" w:bottom="567" w:left="567" w:header="709" w:footer="709" w:gutter="0"/>
          <w:cols w:num="2" w:space="113"/>
          <w:docGrid w:linePitch="360"/>
        </w:sectPr>
      </w:pPr>
      <w:bookmarkStart w:id="49" w:name="_Industry_gross_value"/>
      <w:bookmarkEnd w:id="49"/>
      <w:r w:rsidRPr="009C7F49">
        <w:rPr>
          <w:sz w:val="16"/>
          <w:szCs w:val="16"/>
        </w:rPr>
        <w:t xml:space="preserve"> </w:t>
      </w:r>
    </w:p>
    <w:p w14:paraId="3D8829F9"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50" w:name="_Gender_indicators"/>
      <w:bookmarkStart w:id="51" w:name="_Mining_and_energy"/>
      <w:bookmarkEnd w:id="50"/>
      <w:bookmarkEnd w:id="51"/>
      <w:r w:rsidRPr="00D859C6">
        <w:rPr>
          <w:color w:val="002060"/>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77777777" w:rsidR="00233755" w:rsidRPr="0055734C" w:rsidRDefault="00233755" w:rsidP="00233755">
      <w:pPr>
        <w:pStyle w:val="Heading4"/>
        <w:spacing w:before="0"/>
        <w:rPr>
          <w:i w:val="0"/>
          <w:iCs w:val="0"/>
          <w:color w:val="92278F"/>
          <w:sz w:val="20"/>
          <w:szCs w:val="20"/>
        </w:rPr>
        <w:sectPr w:rsidR="00233755" w:rsidRPr="0055734C" w:rsidSect="00233755">
          <w:type w:val="continuous"/>
          <w:pgSz w:w="11907" w:h="16840" w:code="9"/>
          <w:pgMar w:top="1701" w:right="425" w:bottom="567" w:left="567" w:header="709" w:footer="709" w:gutter="0"/>
          <w:cols w:space="720"/>
          <w:docGrid w:linePitch="360"/>
        </w:sectPr>
      </w:pPr>
      <w:r>
        <w:rPr>
          <w:i w:val="0"/>
          <w:iCs w:val="0"/>
          <w:color w:val="92278F"/>
          <w:sz w:val="20"/>
          <w:szCs w:val="20"/>
        </w:rPr>
        <w:t>Global production share and ranking</w:t>
      </w:r>
      <w:r w:rsidRPr="0055734C">
        <w:rPr>
          <w:i w:val="0"/>
          <w:iCs w:val="0"/>
          <w:color w:val="92278F"/>
          <w:sz w:val="20"/>
          <w:szCs w:val="20"/>
        </w:rPr>
        <w:t xml:space="preserve">: </w:t>
      </w:r>
      <w:r w:rsidRPr="00700D3D">
        <w:rPr>
          <w:i w:val="0"/>
          <w:iCs w:val="0"/>
          <w:color w:val="92278F" w:themeColor="accent1"/>
          <w:sz w:val="20"/>
          <w:szCs w:val="20"/>
        </w:rPr>
        <w:t>2024</w:t>
      </w:r>
    </w:p>
    <w:tbl>
      <w:tblPr>
        <w:tblStyle w:val="GridTable4-Accent4"/>
        <w:tblW w:w="5353" w:type="dxa"/>
        <w:tblBorders>
          <w:top w:val="single" w:sz="4" w:space="0" w:color="5982DB" w:themeColor="accent6"/>
          <w:left w:val="single" w:sz="4" w:space="0" w:color="5982DB" w:themeColor="accent6"/>
          <w:bottom w:val="single" w:sz="4" w:space="0" w:color="5982DB" w:themeColor="accent6"/>
          <w:right w:val="single" w:sz="4" w:space="0" w:color="5982DB" w:themeColor="accent6"/>
          <w:insideH w:val="single" w:sz="4" w:space="0" w:color="5982DB" w:themeColor="accent6"/>
          <w:insideV w:val="single" w:sz="4" w:space="0" w:color="5982DB" w:themeColor="accent6"/>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383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002060"/>
            <w:vAlign w:val="center"/>
          </w:tcPr>
          <w:p w14:paraId="214D1ECE" w14:textId="77777777" w:rsidR="00233755" w:rsidRPr="001168DD" w:rsidRDefault="00233755" w:rsidP="00383B17">
            <w:pPr>
              <w:rPr>
                <w:rFonts w:cstheme="minorHAnsi"/>
                <w:sz w:val="14"/>
                <w:szCs w:val="14"/>
              </w:rPr>
            </w:pPr>
            <w:r w:rsidRPr="001168DD">
              <w:rPr>
                <w:rFonts w:cstheme="minorHAnsi"/>
                <w:sz w:val="14"/>
                <w:szCs w:val="14"/>
              </w:rPr>
              <w:t>Commodity</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26A3893F"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6AD50981"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09DA8EFB"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tcBorders>
              <w:top w:val="none" w:sz="0" w:space="0" w:color="auto"/>
              <w:left w:val="none" w:sz="0" w:space="0" w:color="auto"/>
              <w:bottom w:val="none" w:sz="0" w:space="0" w:color="auto"/>
              <w:right w:val="none" w:sz="0" w:space="0" w:color="auto"/>
            </w:tcBorders>
            <w:shd w:val="clear" w:color="auto" w:fill="002060"/>
            <w:vAlign w:val="center"/>
          </w:tcPr>
          <w:p w14:paraId="20ABE311"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383B17">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41.5%</w:t>
            </w:r>
          </w:p>
        </w:tc>
        <w:tc>
          <w:tcPr>
            <w:tcW w:w="921" w:type="dxa"/>
            <w:shd w:val="clear" w:color="auto" w:fill="FFFFFF" w:themeFill="background1"/>
            <w:vAlign w:val="center"/>
          </w:tcPr>
          <w:p w14:paraId="39F41BD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64DC79D7"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58.1%</w:t>
            </w:r>
          </w:p>
        </w:tc>
        <w:tc>
          <w:tcPr>
            <w:tcW w:w="1064" w:type="dxa"/>
            <w:shd w:val="clear" w:color="auto" w:fill="FFFFFF" w:themeFill="background1"/>
            <w:vAlign w:val="center"/>
          </w:tcPr>
          <w:p w14:paraId="793B278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965D16"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63819965" w14:textId="77777777" w:rsidR="00233755" w:rsidRPr="00700D3D" w:rsidRDefault="00233755" w:rsidP="00383B17">
            <w:pPr>
              <w:rPr>
                <w:rFonts w:cstheme="minorHAnsi"/>
                <w:sz w:val="14"/>
                <w:szCs w:val="14"/>
              </w:rPr>
            </w:pPr>
            <w:r w:rsidRPr="00700D3D">
              <w:rPr>
                <w:rFonts w:cstheme="minorHAnsi"/>
                <w:sz w:val="14"/>
                <w:szCs w:val="14"/>
              </w:rPr>
              <w:t>Garnet</w:t>
            </w:r>
          </w:p>
        </w:tc>
        <w:tc>
          <w:tcPr>
            <w:tcW w:w="921" w:type="dxa"/>
            <w:shd w:val="clear" w:color="auto" w:fill="FFFFFF" w:themeFill="background1"/>
            <w:vAlign w:val="center"/>
          </w:tcPr>
          <w:p w14:paraId="7DE6967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37.1%</w:t>
            </w:r>
          </w:p>
        </w:tc>
        <w:tc>
          <w:tcPr>
            <w:tcW w:w="921" w:type="dxa"/>
            <w:shd w:val="clear" w:color="auto" w:fill="FFFFFF" w:themeFill="background1"/>
            <w:vAlign w:val="center"/>
          </w:tcPr>
          <w:p w14:paraId="1227978C"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FFFFFF" w:themeFill="background1"/>
            <w:vAlign w:val="center"/>
          </w:tcPr>
          <w:p w14:paraId="13ED857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62.9%</w:t>
            </w:r>
          </w:p>
        </w:tc>
        <w:tc>
          <w:tcPr>
            <w:tcW w:w="1064" w:type="dxa"/>
            <w:shd w:val="clear" w:color="auto" w:fill="FFFFFF" w:themeFill="background1"/>
            <w:vAlign w:val="center"/>
          </w:tcPr>
          <w:p w14:paraId="1A2500A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560607"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383B17">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35.6%</w:t>
            </w:r>
          </w:p>
        </w:tc>
        <w:tc>
          <w:tcPr>
            <w:tcW w:w="921" w:type="dxa"/>
            <w:shd w:val="clear" w:color="auto" w:fill="FFFFFF" w:themeFill="background1"/>
            <w:vAlign w:val="center"/>
          </w:tcPr>
          <w:p w14:paraId="3ACDAA7D"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7F12499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64.0%</w:t>
            </w:r>
          </w:p>
        </w:tc>
        <w:tc>
          <w:tcPr>
            <w:tcW w:w="1064" w:type="dxa"/>
            <w:shd w:val="clear" w:color="auto" w:fill="FFFFFF" w:themeFill="background1"/>
            <w:vAlign w:val="center"/>
          </w:tcPr>
          <w:p w14:paraId="7B9EDB75"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5DCC8760"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731EB06" w14:textId="77777777" w:rsidR="00233755" w:rsidRPr="00700D3D" w:rsidRDefault="00233755" w:rsidP="00383B17">
            <w:pPr>
              <w:rPr>
                <w:rFonts w:cstheme="minorHAnsi"/>
                <w:sz w:val="14"/>
                <w:szCs w:val="14"/>
              </w:rPr>
            </w:pPr>
            <w:r w:rsidRPr="00700D3D">
              <w:rPr>
                <w:rFonts w:cstheme="minorHAnsi"/>
                <w:sz w:val="14"/>
                <w:szCs w:val="14"/>
              </w:rPr>
              <w:t>Rutile</w:t>
            </w:r>
          </w:p>
        </w:tc>
        <w:tc>
          <w:tcPr>
            <w:tcW w:w="921" w:type="dxa"/>
            <w:shd w:val="clear" w:color="auto" w:fill="auto"/>
            <w:vAlign w:val="center"/>
          </w:tcPr>
          <w:p w14:paraId="11120CA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27.8%</w:t>
            </w:r>
          </w:p>
        </w:tc>
        <w:tc>
          <w:tcPr>
            <w:tcW w:w="921" w:type="dxa"/>
            <w:shd w:val="clear" w:color="auto" w:fill="auto"/>
            <w:vAlign w:val="bottom"/>
          </w:tcPr>
          <w:p w14:paraId="7C7C942B"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15.7%</w:t>
            </w:r>
          </w:p>
        </w:tc>
        <w:tc>
          <w:tcPr>
            <w:tcW w:w="921" w:type="dxa"/>
            <w:shd w:val="clear" w:color="auto" w:fill="auto"/>
            <w:vAlign w:val="bottom"/>
          </w:tcPr>
          <w:p w14:paraId="524D4196"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56.4%</w:t>
            </w:r>
          </w:p>
        </w:tc>
        <w:tc>
          <w:tcPr>
            <w:tcW w:w="1064" w:type="dxa"/>
            <w:shd w:val="clear" w:color="auto" w:fill="auto"/>
            <w:vAlign w:val="bottom"/>
          </w:tcPr>
          <w:p w14:paraId="78D9FD0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B241A33"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0A7250B6" w14:textId="77777777" w:rsidR="00233755" w:rsidRPr="00700D3D" w:rsidRDefault="00233755" w:rsidP="00383B17">
            <w:pPr>
              <w:rPr>
                <w:rFonts w:cstheme="minorHAnsi"/>
                <w:sz w:val="14"/>
                <w:szCs w:val="14"/>
              </w:rPr>
            </w:pPr>
            <w:r w:rsidRPr="00700D3D">
              <w:rPr>
                <w:rFonts w:cstheme="minorHAnsi"/>
                <w:sz w:val="14"/>
                <w:szCs w:val="14"/>
              </w:rPr>
              <w:t>LNG</w:t>
            </w:r>
          </w:p>
        </w:tc>
        <w:tc>
          <w:tcPr>
            <w:tcW w:w="921" w:type="dxa"/>
            <w:shd w:val="clear" w:color="auto" w:fill="auto"/>
            <w:vAlign w:val="center"/>
          </w:tcPr>
          <w:p w14:paraId="5E8EF9A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11.9%</w:t>
            </w:r>
          </w:p>
        </w:tc>
        <w:tc>
          <w:tcPr>
            <w:tcW w:w="921" w:type="dxa"/>
            <w:shd w:val="clear" w:color="auto" w:fill="auto"/>
            <w:vAlign w:val="bottom"/>
          </w:tcPr>
          <w:p w14:paraId="2E0B9970"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shd w:val="clear" w:color="auto" w:fill="auto"/>
            <w:vAlign w:val="bottom"/>
          </w:tcPr>
          <w:p w14:paraId="0E0A328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80.0%</w:t>
            </w:r>
          </w:p>
        </w:tc>
        <w:tc>
          <w:tcPr>
            <w:tcW w:w="1064" w:type="dxa"/>
            <w:shd w:val="clear" w:color="auto" w:fill="auto"/>
            <w:vAlign w:val="bottom"/>
          </w:tcPr>
          <w:p w14:paraId="3840706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27F6339E"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30DCBA7" w14:textId="77777777" w:rsidR="00233755" w:rsidRPr="00700D3D" w:rsidRDefault="00233755" w:rsidP="00383B17">
            <w:pPr>
              <w:rPr>
                <w:rFonts w:cstheme="minorHAnsi"/>
                <w:sz w:val="14"/>
                <w:szCs w:val="14"/>
              </w:rPr>
            </w:pPr>
            <w:r w:rsidRPr="00700D3D">
              <w:rPr>
                <w:rFonts w:cstheme="minorHAnsi"/>
                <w:sz w:val="14"/>
                <w:szCs w:val="14"/>
              </w:rPr>
              <w:t>Zircon</w:t>
            </w:r>
          </w:p>
        </w:tc>
        <w:tc>
          <w:tcPr>
            <w:tcW w:w="921" w:type="dxa"/>
            <w:shd w:val="clear" w:color="auto" w:fill="auto"/>
            <w:vAlign w:val="bottom"/>
          </w:tcPr>
          <w:p w14:paraId="534A9730"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11.5%</w:t>
            </w:r>
          </w:p>
        </w:tc>
        <w:tc>
          <w:tcPr>
            <w:tcW w:w="921" w:type="dxa"/>
            <w:shd w:val="clear" w:color="auto" w:fill="auto"/>
            <w:vAlign w:val="bottom"/>
          </w:tcPr>
          <w:p w14:paraId="6F96FE40"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22.0%</w:t>
            </w:r>
          </w:p>
        </w:tc>
        <w:tc>
          <w:tcPr>
            <w:tcW w:w="921" w:type="dxa"/>
            <w:shd w:val="clear" w:color="auto" w:fill="auto"/>
            <w:vAlign w:val="bottom"/>
          </w:tcPr>
          <w:p w14:paraId="0EA4DA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66.6%</w:t>
            </w:r>
          </w:p>
        </w:tc>
        <w:tc>
          <w:tcPr>
            <w:tcW w:w="1064" w:type="dxa"/>
            <w:shd w:val="clear" w:color="auto" w:fill="auto"/>
            <w:vAlign w:val="bottom"/>
          </w:tcPr>
          <w:p w14:paraId="654F22C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5B2DF66"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B26E986" w14:textId="77777777" w:rsidR="00233755" w:rsidRPr="00700D3D" w:rsidRDefault="00233755" w:rsidP="00383B17">
            <w:pPr>
              <w:rPr>
                <w:rFonts w:cstheme="minorHAnsi"/>
                <w:sz w:val="14"/>
                <w:szCs w:val="14"/>
              </w:rPr>
            </w:pPr>
            <w:r w:rsidRPr="00700D3D">
              <w:rPr>
                <w:rFonts w:cstheme="minorHAnsi"/>
                <w:sz w:val="14"/>
                <w:szCs w:val="14"/>
              </w:rPr>
              <w:t>Alumina</w:t>
            </w:r>
          </w:p>
        </w:tc>
        <w:tc>
          <w:tcPr>
            <w:tcW w:w="921" w:type="dxa"/>
            <w:shd w:val="clear" w:color="auto" w:fill="auto"/>
            <w:vAlign w:val="bottom"/>
          </w:tcPr>
          <w:p w14:paraId="0ED98B3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shd w:val="clear" w:color="auto" w:fill="auto"/>
            <w:vAlign w:val="bottom"/>
          </w:tcPr>
          <w:p w14:paraId="4ABE1558"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4.0%</w:t>
            </w:r>
          </w:p>
        </w:tc>
        <w:tc>
          <w:tcPr>
            <w:tcW w:w="921" w:type="dxa"/>
            <w:shd w:val="clear" w:color="auto" w:fill="auto"/>
            <w:vAlign w:val="bottom"/>
          </w:tcPr>
          <w:p w14:paraId="7945A76F"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87.9%</w:t>
            </w:r>
          </w:p>
        </w:tc>
        <w:tc>
          <w:tcPr>
            <w:tcW w:w="1064" w:type="dxa"/>
            <w:shd w:val="clear" w:color="auto" w:fill="auto"/>
            <w:vAlign w:val="bottom"/>
          </w:tcPr>
          <w:p w14:paraId="00353EB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w:t>
            </w:r>
          </w:p>
        </w:tc>
      </w:tr>
      <w:tr w:rsidR="00233755" w:rsidRPr="001168DD" w14:paraId="57AB3CD5"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0A311065" w14:textId="77777777" w:rsidR="00233755" w:rsidRPr="00700D3D" w:rsidRDefault="00233755" w:rsidP="00383B17">
            <w:pPr>
              <w:rPr>
                <w:rFonts w:cstheme="minorHAnsi"/>
                <w:sz w:val="14"/>
                <w:szCs w:val="14"/>
              </w:rPr>
            </w:pPr>
            <w:r w:rsidRPr="00700D3D">
              <w:rPr>
                <w:rFonts w:cstheme="minorHAnsi"/>
                <w:sz w:val="14"/>
                <w:szCs w:val="14"/>
              </w:rPr>
              <w:t>Rare earth oxides</w:t>
            </w:r>
          </w:p>
        </w:tc>
        <w:tc>
          <w:tcPr>
            <w:tcW w:w="921" w:type="dxa"/>
            <w:shd w:val="clear" w:color="auto" w:fill="auto"/>
            <w:vAlign w:val="bottom"/>
          </w:tcPr>
          <w:p w14:paraId="174EA75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7.6%</w:t>
            </w:r>
          </w:p>
        </w:tc>
        <w:tc>
          <w:tcPr>
            <w:tcW w:w="921" w:type="dxa"/>
            <w:shd w:val="clear" w:color="auto" w:fill="auto"/>
            <w:vAlign w:val="bottom"/>
          </w:tcPr>
          <w:p w14:paraId="3F76D742"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4D2CC76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92.4%</w:t>
            </w:r>
          </w:p>
        </w:tc>
        <w:tc>
          <w:tcPr>
            <w:tcW w:w="1064" w:type="dxa"/>
            <w:shd w:val="clear" w:color="auto" w:fill="auto"/>
            <w:vAlign w:val="bottom"/>
          </w:tcPr>
          <w:p w14:paraId="49EB01A7"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654F42B"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F499710" w14:textId="77777777" w:rsidR="00233755" w:rsidRPr="00700D3D" w:rsidRDefault="00233755" w:rsidP="00383B17">
            <w:pPr>
              <w:rPr>
                <w:rFonts w:cstheme="minorHAnsi"/>
                <w:sz w:val="14"/>
                <w:szCs w:val="14"/>
              </w:rPr>
            </w:pPr>
            <w:r w:rsidRPr="00700D3D">
              <w:rPr>
                <w:rFonts w:cstheme="minorHAnsi"/>
                <w:sz w:val="14"/>
                <w:szCs w:val="14"/>
              </w:rPr>
              <w:t>Gold</w:t>
            </w:r>
          </w:p>
        </w:tc>
        <w:tc>
          <w:tcPr>
            <w:tcW w:w="921" w:type="dxa"/>
            <w:shd w:val="clear" w:color="auto" w:fill="auto"/>
            <w:vAlign w:val="bottom"/>
          </w:tcPr>
          <w:p w14:paraId="253518EE"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6.3%</w:t>
            </w:r>
          </w:p>
        </w:tc>
        <w:tc>
          <w:tcPr>
            <w:tcW w:w="921" w:type="dxa"/>
            <w:shd w:val="clear" w:color="auto" w:fill="auto"/>
            <w:vAlign w:val="bottom"/>
          </w:tcPr>
          <w:p w14:paraId="010A2D5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2.5%</w:t>
            </w:r>
          </w:p>
        </w:tc>
        <w:tc>
          <w:tcPr>
            <w:tcW w:w="921" w:type="dxa"/>
            <w:shd w:val="clear" w:color="auto" w:fill="auto"/>
            <w:vAlign w:val="bottom"/>
          </w:tcPr>
          <w:p w14:paraId="7E79418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91.3%</w:t>
            </w:r>
          </w:p>
        </w:tc>
        <w:tc>
          <w:tcPr>
            <w:tcW w:w="1064" w:type="dxa"/>
            <w:shd w:val="clear" w:color="auto" w:fill="auto"/>
            <w:vAlign w:val="bottom"/>
          </w:tcPr>
          <w:p w14:paraId="0CD3043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3BD31748"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427CEB7" w14:textId="77777777" w:rsidR="00233755" w:rsidRPr="00700D3D" w:rsidRDefault="00233755" w:rsidP="00383B17">
            <w:pPr>
              <w:rPr>
                <w:rFonts w:cstheme="minorHAnsi"/>
                <w:sz w:val="14"/>
                <w:szCs w:val="14"/>
              </w:rPr>
            </w:pPr>
            <w:r w:rsidRPr="00700D3D">
              <w:rPr>
                <w:rFonts w:cstheme="minorHAnsi"/>
                <w:sz w:val="14"/>
                <w:szCs w:val="14"/>
              </w:rPr>
              <w:t>Salt</w:t>
            </w:r>
          </w:p>
        </w:tc>
        <w:tc>
          <w:tcPr>
            <w:tcW w:w="921" w:type="dxa"/>
            <w:shd w:val="clear" w:color="auto" w:fill="auto"/>
            <w:vAlign w:val="bottom"/>
          </w:tcPr>
          <w:p w14:paraId="16322C0F"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3.6%</w:t>
            </w:r>
          </w:p>
        </w:tc>
        <w:tc>
          <w:tcPr>
            <w:tcW w:w="921" w:type="dxa"/>
            <w:shd w:val="clear" w:color="auto" w:fill="auto"/>
            <w:vAlign w:val="bottom"/>
          </w:tcPr>
          <w:p w14:paraId="1DD0EC4E"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shd w:val="clear" w:color="auto" w:fill="auto"/>
            <w:vAlign w:val="bottom"/>
          </w:tcPr>
          <w:p w14:paraId="7306304B"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96.1%</w:t>
            </w:r>
          </w:p>
        </w:tc>
        <w:tc>
          <w:tcPr>
            <w:tcW w:w="1064" w:type="dxa"/>
            <w:shd w:val="clear" w:color="auto" w:fill="auto"/>
            <w:vAlign w:val="bottom"/>
          </w:tcPr>
          <w:p w14:paraId="4F77A3C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233755" w:rsidRPr="001168DD" w14:paraId="150B4239"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C310704" w14:textId="77777777" w:rsidR="00233755" w:rsidRPr="00700D3D" w:rsidRDefault="00233755" w:rsidP="00383B17">
            <w:pPr>
              <w:rPr>
                <w:rFonts w:cstheme="minorHAnsi"/>
                <w:sz w:val="14"/>
                <w:szCs w:val="14"/>
              </w:rPr>
            </w:pPr>
            <w:r w:rsidRPr="00700D3D">
              <w:rPr>
                <w:rFonts w:cstheme="minorHAnsi"/>
                <w:sz w:val="14"/>
                <w:szCs w:val="14"/>
              </w:rPr>
              <w:t xml:space="preserve">Nickel </w:t>
            </w:r>
          </w:p>
        </w:tc>
        <w:tc>
          <w:tcPr>
            <w:tcW w:w="921" w:type="dxa"/>
            <w:shd w:val="clear" w:color="auto" w:fill="auto"/>
            <w:vAlign w:val="bottom"/>
          </w:tcPr>
          <w:p w14:paraId="6FE6E078"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3.5%</w:t>
            </w:r>
          </w:p>
        </w:tc>
        <w:tc>
          <w:tcPr>
            <w:tcW w:w="921" w:type="dxa"/>
            <w:shd w:val="clear" w:color="auto" w:fill="auto"/>
            <w:vAlign w:val="bottom"/>
          </w:tcPr>
          <w:p w14:paraId="073E4865"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7B6BF446"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96.5%</w:t>
            </w:r>
          </w:p>
        </w:tc>
        <w:tc>
          <w:tcPr>
            <w:tcW w:w="1064" w:type="dxa"/>
            <w:shd w:val="clear" w:color="auto" w:fill="auto"/>
            <w:vAlign w:val="bottom"/>
          </w:tcPr>
          <w:p w14:paraId="77871A5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5</w:t>
            </w:r>
          </w:p>
        </w:tc>
      </w:tr>
      <w:tr w:rsidR="00233755" w:rsidRPr="001168DD" w14:paraId="729ECBC6"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BF82F7D" w14:textId="77777777" w:rsidR="00233755" w:rsidRPr="00700D3D" w:rsidRDefault="00233755" w:rsidP="00383B17">
            <w:pPr>
              <w:rPr>
                <w:rFonts w:cstheme="minorHAnsi"/>
                <w:sz w:val="14"/>
                <w:szCs w:val="14"/>
              </w:rPr>
            </w:pPr>
            <w:r w:rsidRPr="00700D3D">
              <w:rPr>
                <w:rFonts w:cstheme="minorHAnsi"/>
                <w:sz w:val="14"/>
                <w:szCs w:val="14"/>
              </w:rPr>
              <w:t>Manganese</w:t>
            </w:r>
          </w:p>
        </w:tc>
        <w:tc>
          <w:tcPr>
            <w:tcW w:w="921" w:type="dxa"/>
            <w:shd w:val="clear" w:color="auto" w:fill="auto"/>
            <w:vAlign w:val="bottom"/>
          </w:tcPr>
          <w:p w14:paraId="2B42C3C0"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2.9%</w:t>
            </w:r>
          </w:p>
        </w:tc>
        <w:tc>
          <w:tcPr>
            <w:tcW w:w="921" w:type="dxa"/>
            <w:shd w:val="clear" w:color="auto" w:fill="auto"/>
            <w:vAlign w:val="bottom"/>
          </w:tcPr>
          <w:p w14:paraId="3B5C619C"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13.7%</w:t>
            </w:r>
          </w:p>
        </w:tc>
        <w:tc>
          <w:tcPr>
            <w:tcW w:w="921" w:type="dxa"/>
            <w:shd w:val="clear" w:color="auto" w:fill="auto"/>
            <w:vAlign w:val="bottom"/>
          </w:tcPr>
          <w:p w14:paraId="621974B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83.4%</w:t>
            </w:r>
          </w:p>
        </w:tc>
        <w:tc>
          <w:tcPr>
            <w:tcW w:w="1064" w:type="dxa"/>
            <w:shd w:val="clear" w:color="auto" w:fill="auto"/>
            <w:vAlign w:val="bottom"/>
          </w:tcPr>
          <w:p w14:paraId="05A0530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233755" w:rsidRPr="001168DD" w14:paraId="6430EA71"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0FC51A8" w14:textId="77777777" w:rsidR="00233755" w:rsidRPr="00700D3D" w:rsidRDefault="00233755" w:rsidP="00383B17">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shd w:val="clear" w:color="auto" w:fill="auto"/>
            <w:vAlign w:val="bottom"/>
          </w:tcPr>
          <w:p w14:paraId="7AD5751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shd w:val="clear" w:color="auto" w:fill="auto"/>
            <w:vAlign w:val="bottom"/>
          </w:tcPr>
          <w:p w14:paraId="69F9019D"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2.8%</w:t>
            </w:r>
          </w:p>
        </w:tc>
        <w:tc>
          <w:tcPr>
            <w:tcW w:w="921" w:type="dxa"/>
            <w:shd w:val="clear" w:color="auto" w:fill="auto"/>
            <w:vAlign w:val="bottom"/>
          </w:tcPr>
          <w:p w14:paraId="10BFC85E"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95.5%</w:t>
            </w:r>
          </w:p>
        </w:tc>
        <w:tc>
          <w:tcPr>
            <w:tcW w:w="1064" w:type="dxa"/>
            <w:shd w:val="clear" w:color="auto" w:fill="auto"/>
            <w:vAlign w:val="bottom"/>
          </w:tcPr>
          <w:p w14:paraId="287679F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10</w:t>
            </w:r>
          </w:p>
        </w:tc>
      </w:tr>
      <w:tr w:rsidR="00233755" w:rsidRPr="001168DD" w14:paraId="3483D9FF"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439ECD5D" w14:textId="77777777" w:rsidR="00233755" w:rsidRPr="00700D3D" w:rsidRDefault="00233755" w:rsidP="00383B17">
            <w:pPr>
              <w:rPr>
                <w:rFonts w:cstheme="minorHAnsi"/>
                <w:sz w:val="14"/>
                <w:szCs w:val="14"/>
              </w:rPr>
            </w:pPr>
            <w:r w:rsidRPr="00700D3D">
              <w:rPr>
                <w:rFonts w:cstheme="minorHAnsi"/>
                <w:sz w:val="14"/>
                <w:szCs w:val="14"/>
              </w:rPr>
              <w:t>Cobalt</w:t>
            </w:r>
          </w:p>
        </w:tc>
        <w:tc>
          <w:tcPr>
            <w:tcW w:w="921" w:type="dxa"/>
            <w:shd w:val="clear" w:color="auto" w:fill="auto"/>
            <w:vAlign w:val="bottom"/>
          </w:tcPr>
          <w:p w14:paraId="3E393A3C"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shd w:val="clear" w:color="auto" w:fill="auto"/>
            <w:vAlign w:val="bottom"/>
          </w:tcPr>
          <w:p w14:paraId="347BD44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0D8BA8BF"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98.4%</w:t>
            </w:r>
          </w:p>
        </w:tc>
        <w:tc>
          <w:tcPr>
            <w:tcW w:w="1064" w:type="dxa"/>
            <w:shd w:val="clear" w:color="auto" w:fill="auto"/>
            <w:vAlign w:val="bottom"/>
          </w:tcPr>
          <w:p w14:paraId="41D5720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233755" w:rsidRPr="001168DD" w14:paraId="04E68DC7"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414EDD9C" w14:textId="77777777" w:rsidR="00233755" w:rsidRPr="00700D3D" w:rsidRDefault="00233755" w:rsidP="00383B17">
            <w:pPr>
              <w:rPr>
                <w:rFonts w:cstheme="minorHAnsi"/>
                <w:sz w:val="14"/>
                <w:szCs w:val="14"/>
              </w:rPr>
            </w:pPr>
            <w:r w:rsidRPr="00700D3D">
              <w:rPr>
                <w:rFonts w:cstheme="minorHAnsi"/>
                <w:sz w:val="14"/>
                <w:szCs w:val="14"/>
              </w:rPr>
              <w:t>Lead</w:t>
            </w:r>
          </w:p>
        </w:tc>
        <w:tc>
          <w:tcPr>
            <w:tcW w:w="921" w:type="dxa"/>
            <w:shd w:val="clear" w:color="auto" w:fill="auto"/>
            <w:vAlign w:val="bottom"/>
          </w:tcPr>
          <w:p w14:paraId="09987893"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1.3%</w:t>
            </w:r>
          </w:p>
        </w:tc>
        <w:tc>
          <w:tcPr>
            <w:tcW w:w="921" w:type="dxa"/>
            <w:shd w:val="clear" w:color="auto" w:fill="auto"/>
            <w:vAlign w:val="bottom"/>
          </w:tcPr>
          <w:p w14:paraId="39565D25"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9.7%</w:t>
            </w:r>
          </w:p>
        </w:tc>
        <w:tc>
          <w:tcPr>
            <w:tcW w:w="921" w:type="dxa"/>
            <w:shd w:val="clear" w:color="auto" w:fill="auto"/>
            <w:vAlign w:val="bottom"/>
          </w:tcPr>
          <w:p w14:paraId="414021B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89.0%</w:t>
            </w:r>
          </w:p>
        </w:tc>
        <w:tc>
          <w:tcPr>
            <w:tcW w:w="1064" w:type="dxa"/>
            <w:shd w:val="clear" w:color="auto" w:fill="auto"/>
            <w:vAlign w:val="bottom"/>
          </w:tcPr>
          <w:p w14:paraId="5459678E"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12</w:t>
            </w:r>
          </w:p>
        </w:tc>
      </w:tr>
      <w:tr w:rsidR="00233755" w:rsidRPr="001168DD" w14:paraId="7085D1AB" w14:textId="77777777" w:rsidTr="00383B17">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BD9C0F2" w14:textId="77777777" w:rsidR="00233755" w:rsidRPr="00700D3D" w:rsidRDefault="00233755" w:rsidP="00383B17">
            <w:pPr>
              <w:rPr>
                <w:rFonts w:cstheme="minorHAnsi"/>
                <w:sz w:val="14"/>
                <w:szCs w:val="14"/>
              </w:rPr>
            </w:pPr>
            <w:r w:rsidRPr="00700D3D">
              <w:rPr>
                <w:rFonts w:cstheme="minorHAnsi"/>
                <w:sz w:val="14"/>
                <w:szCs w:val="14"/>
              </w:rPr>
              <w:t>Zinc</w:t>
            </w:r>
          </w:p>
        </w:tc>
        <w:tc>
          <w:tcPr>
            <w:tcW w:w="921" w:type="dxa"/>
            <w:shd w:val="clear" w:color="auto" w:fill="auto"/>
            <w:vAlign w:val="bottom"/>
          </w:tcPr>
          <w:p w14:paraId="0BCBB97E"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0.5%</w:t>
            </w:r>
          </w:p>
        </w:tc>
        <w:tc>
          <w:tcPr>
            <w:tcW w:w="921" w:type="dxa"/>
            <w:shd w:val="clear" w:color="auto" w:fill="auto"/>
            <w:vAlign w:val="bottom"/>
          </w:tcPr>
          <w:p w14:paraId="2197C562"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8.8%</w:t>
            </w:r>
          </w:p>
        </w:tc>
        <w:tc>
          <w:tcPr>
            <w:tcW w:w="921" w:type="dxa"/>
            <w:shd w:val="clear" w:color="auto" w:fill="auto"/>
            <w:vAlign w:val="bottom"/>
          </w:tcPr>
          <w:p w14:paraId="567BF35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90.8%</w:t>
            </w:r>
          </w:p>
        </w:tc>
        <w:tc>
          <w:tcPr>
            <w:tcW w:w="1064" w:type="dxa"/>
            <w:shd w:val="clear" w:color="auto" w:fill="auto"/>
            <w:vAlign w:val="bottom"/>
          </w:tcPr>
          <w:p w14:paraId="6C32B63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233755" w:rsidRPr="001168DD" w14:paraId="0A4A454E"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8C97E09" w14:textId="77777777" w:rsidR="00233755" w:rsidRPr="00700D3D" w:rsidRDefault="00233755" w:rsidP="00383B17">
            <w:pPr>
              <w:rPr>
                <w:rFonts w:cstheme="minorHAnsi"/>
                <w:sz w:val="14"/>
                <w:szCs w:val="14"/>
              </w:rPr>
            </w:pPr>
            <w:r w:rsidRPr="00700D3D">
              <w:rPr>
                <w:rFonts w:cstheme="minorHAnsi"/>
                <w:sz w:val="14"/>
                <w:szCs w:val="14"/>
              </w:rPr>
              <w:t>Copper</w:t>
            </w:r>
          </w:p>
        </w:tc>
        <w:tc>
          <w:tcPr>
            <w:tcW w:w="921" w:type="dxa"/>
            <w:shd w:val="clear" w:color="auto" w:fill="auto"/>
            <w:vAlign w:val="bottom"/>
          </w:tcPr>
          <w:p w14:paraId="44F51548"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shd w:val="clear" w:color="auto" w:fill="auto"/>
            <w:vAlign w:val="bottom"/>
          </w:tcPr>
          <w:p w14:paraId="093E483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3.1%</w:t>
            </w:r>
          </w:p>
        </w:tc>
        <w:tc>
          <w:tcPr>
            <w:tcW w:w="921" w:type="dxa"/>
            <w:shd w:val="clear" w:color="auto" w:fill="auto"/>
            <w:vAlign w:val="bottom"/>
          </w:tcPr>
          <w:p w14:paraId="356556C0"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96.6%</w:t>
            </w:r>
          </w:p>
        </w:tc>
        <w:tc>
          <w:tcPr>
            <w:tcW w:w="1064" w:type="dxa"/>
            <w:shd w:val="clear" w:color="auto" w:fill="auto"/>
            <w:vAlign w:val="bottom"/>
          </w:tcPr>
          <w:p w14:paraId="0BBDC56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77777777" w:rsidR="00233755" w:rsidRPr="00AF759E" w:rsidRDefault="00233755" w:rsidP="00233755">
      <w:pPr>
        <w:spacing w:line="240" w:lineRule="auto"/>
        <w:rPr>
          <w:sz w:val="10"/>
          <w:szCs w:val="10"/>
        </w:rPr>
      </w:pPr>
      <w:r>
        <w:rPr>
          <w:sz w:val="10"/>
        </w:rPr>
        <w:br/>
      </w:r>
      <w:r w:rsidRPr="00207459">
        <w:rPr>
          <w:sz w:val="10"/>
          <w:szCs w:val="10"/>
        </w:rPr>
        <w:t xml:space="preserve">Note – </w:t>
      </w:r>
      <w:r w:rsidRPr="00AF759E">
        <w:rPr>
          <w:sz w:val="10"/>
          <w:szCs w:val="10"/>
        </w:rPr>
        <w:t xml:space="preserve">Mt = </w:t>
      </w:r>
      <w:r>
        <w:rPr>
          <w:sz w:val="10"/>
          <w:szCs w:val="10"/>
        </w:rPr>
        <w:t>m</w:t>
      </w:r>
      <w:r w:rsidRPr="00AF759E">
        <w:rPr>
          <w:sz w:val="10"/>
          <w:szCs w:val="10"/>
        </w:rPr>
        <w:t xml:space="preserve">illion tonnes. Kt = </w:t>
      </w:r>
      <w:r>
        <w:rPr>
          <w:sz w:val="10"/>
          <w:szCs w:val="10"/>
        </w:rPr>
        <w:t>t</w:t>
      </w:r>
      <w:r w:rsidRPr="00AF759E">
        <w:rPr>
          <w:sz w:val="10"/>
          <w:szCs w:val="10"/>
        </w:rPr>
        <w:t xml:space="preserve">housand tonnes. t = tonnes. </w:t>
      </w:r>
      <w:proofErr w:type="spellStart"/>
      <w:r w:rsidRPr="00AF759E">
        <w:rPr>
          <w:sz w:val="10"/>
          <w:szCs w:val="10"/>
        </w:rPr>
        <w:t>Mct</w:t>
      </w:r>
      <w:proofErr w:type="spellEnd"/>
      <w:r w:rsidRPr="00AF759E">
        <w:rPr>
          <w:sz w:val="10"/>
          <w:szCs w:val="10"/>
        </w:rPr>
        <w:t xml:space="preserve"> = </w:t>
      </w:r>
      <w:r>
        <w:rPr>
          <w:sz w:val="10"/>
          <w:szCs w:val="10"/>
        </w:rPr>
        <w:t>m</w:t>
      </w:r>
      <w:r w:rsidRPr="00AF759E">
        <w:rPr>
          <w:sz w:val="10"/>
          <w:szCs w:val="10"/>
        </w:rPr>
        <w:t>illion carats. 1 Excludes ilmenite feedstock for synthetic rutile production.</w:t>
      </w:r>
      <w:r>
        <w:rPr>
          <w:sz w:val="10"/>
          <w:szCs w:val="10"/>
        </w:rPr>
        <w:t xml:space="preserve"> Sum of the shares of WA, Rest of Australia and Rest of World may not add to 100% due to rounding.</w:t>
      </w:r>
    </w:p>
    <w:p w14:paraId="742C560E" w14:textId="77777777" w:rsidR="00233755" w:rsidRPr="00AF759E" w:rsidRDefault="00233755" w:rsidP="00233755">
      <w:pPr>
        <w:rPr>
          <w:sz w:val="10"/>
          <w:szCs w:val="10"/>
        </w:rPr>
      </w:pPr>
      <w:r w:rsidRPr="00AF759E">
        <w:rPr>
          <w:sz w:val="10"/>
          <w:szCs w:val="10"/>
        </w:rPr>
        <w:t xml:space="preserve">Source: WA Department of </w:t>
      </w:r>
      <w:r>
        <w:rPr>
          <w:sz w:val="10"/>
          <w:szCs w:val="10"/>
        </w:rPr>
        <w:t xml:space="preserve">Energy, </w:t>
      </w:r>
      <w:r w:rsidRPr="00AF759E">
        <w:rPr>
          <w:sz w:val="10"/>
          <w:szCs w:val="10"/>
        </w:rPr>
        <w:t>Mines, Industry Regulation and Safety, Resource Data Files.</w:t>
      </w:r>
    </w:p>
    <w:p w14:paraId="63EE3BCA" w14:textId="77777777" w:rsidR="00233755" w:rsidRPr="003A2309"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233755">
      <w:pPr>
        <w:pStyle w:val="ListParagraph"/>
        <w:numPr>
          <w:ilvl w:val="0"/>
          <w:numId w:val="31"/>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233755">
      <w:pPr>
        <w:pStyle w:val="ListParagraph"/>
        <w:numPr>
          <w:ilvl w:val="0"/>
          <w:numId w:val="33"/>
        </w:numPr>
        <w:spacing w:before="40" w:after="40"/>
        <w:ind w:right="227" w:hanging="357"/>
        <w:jc w:val="both"/>
        <w:rPr>
          <w:sz w:val="16"/>
          <w:szCs w:val="16"/>
        </w:rPr>
      </w:pPr>
      <w:r w:rsidRPr="00AC7274">
        <w:rPr>
          <w:sz w:val="16"/>
          <w:szCs w:val="16"/>
        </w:rPr>
        <w:t xml:space="preserve">16 major mineral processing operations that transformed bauxite into alumina, gold </w:t>
      </w:r>
      <w:proofErr w:type="spellStart"/>
      <w:r w:rsidRPr="00AC7274">
        <w:rPr>
          <w:sz w:val="16"/>
          <w:szCs w:val="16"/>
        </w:rPr>
        <w:t>doré</w:t>
      </w:r>
      <w:proofErr w:type="spellEnd"/>
      <w:r w:rsidRPr="00AC7274">
        <w:rPr>
          <w:sz w:val="16"/>
          <w:szCs w:val="16"/>
        </w:rPr>
        <w:t xml:space="preserve">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233755">
      <w:pPr>
        <w:pStyle w:val="ListParagraph"/>
        <w:numPr>
          <w:ilvl w:val="0"/>
          <w:numId w:val="33"/>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233755">
      <w:pPr>
        <w:pStyle w:val="ListParagraph"/>
        <w:numPr>
          <w:ilvl w:val="0"/>
          <w:numId w:val="31"/>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Sales of mineral and energy </w:t>
      </w:r>
      <w:r w:rsidRPr="0055734C">
        <w:rPr>
          <w:i w:val="0"/>
          <w:iCs w:val="0"/>
          <w:color w:val="92278F"/>
          <w:sz w:val="20"/>
          <w:szCs w:val="20"/>
        </w:rPr>
        <w:t>commodities</w:t>
      </w:r>
    </w:p>
    <w:p w14:paraId="73B835C9" w14:textId="77777777" w:rsidR="00233755" w:rsidRPr="007B1AE5" w:rsidRDefault="00233755" w:rsidP="00233755">
      <w:r>
        <w:rPr>
          <w:noProof/>
        </w:rPr>
        <w:drawing>
          <wp:inline distT="0" distB="0" distL="0" distR="0" wp14:anchorId="2495DEB1" wp14:editId="248CFC40">
            <wp:extent cx="3404026" cy="2042416"/>
            <wp:effectExtent l="0" t="0" r="6350" b="0"/>
            <wp:docPr id="85027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17896" cy="2050738"/>
                    </a:xfrm>
                    <a:prstGeom prst="rect">
                      <a:avLst/>
                    </a:prstGeom>
                    <a:noFill/>
                    <a:ln>
                      <a:noFill/>
                    </a:ln>
                  </pic:spPr>
                </pic:pic>
              </a:graphicData>
            </a:graphic>
          </wp:inline>
        </w:drawing>
      </w:r>
    </w:p>
    <w:p w14:paraId="7CF445B2" w14:textId="77777777" w:rsidR="00233755" w:rsidRDefault="00233755" w:rsidP="00233755">
      <w:pPr>
        <w:rPr>
          <w:sz w:val="10"/>
          <w:szCs w:val="10"/>
        </w:rPr>
      </w:pPr>
      <w:r w:rsidRPr="000C0C45">
        <w:rPr>
          <w:sz w:val="10"/>
        </w:rPr>
        <w:t xml:space="preserve">Note – </w:t>
      </w:r>
      <w:r w:rsidRPr="00AF759E">
        <w:rPr>
          <w:sz w:val="10"/>
          <w:szCs w:val="10"/>
        </w:rPr>
        <w:t>Current prices. Original series. (a) Lithium (spodumene), nickel, cobalt, copper, manganese and rare earths.</w:t>
      </w:r>
    </w:p>
    <w:p w14:paraId="4222AA3C" w14:textId="77777777" w:rsidR="00233755" w:rsidRPr="00775345" w:rsidRDefault="00233755" w:rsidP="00233755">
      <w:pPr>
        <w:rPr>
          <w:sz w:val="10"/>
          <w:szCs w:val="10"/>
        </w:rPr>
      </w:pPr>
      <w:r w:rsidRPr="00775345">
        <w:rPr>
          <w:sz w:val="10"/>
          <w:szCs w:val="10"/>
        </w:rPr>
        <w:t>(b) Data for lithium (spodumene), manganese and rare earths are not available in certain years.</w:t>
      </w:r>
    </w:p>
    <w:p w14:paraId="46E9A147" w14:textId="77777777" w:rsidR="00233755" w:rsidRPr="00AF759E" w:rsidRDefault="00233755" w:rsidP="00233755">
      <w:pPr>
        <w:rPr>
          <w:sz w:val="10"/>
          <w:szCs w:val="10"/>
        </w:rPr>
      </w:pPr>
      <w:r w:rsidRPr="00AF759E">
        <w:rPr>
          <w:sz w:val="10"/>
          <w:szCs w:val="10"/>
        </w:rPr>
        <w:t xml:space="preserve">Source: WA Department of </w:t>
      </w:r>
      <w:r>
        <w:rPr>
          <w:sz w:val="10"/>
          <w:szCs w:val="10"/>
        </w:rPr>
        <w:t xml:space="preserve">Energy, </w:t>
      </w:r>
      <w:r w:rsidRPr="00AF759E">
        <w:rPr>
          <w:sz w:val="10"/>
          <w:szCs w:val="10"/>
        </w:rPr>
        <w:t>Mines, Industry Regulation and Safety, Resource Data Files.</w:t>
      </w:r>
    </w:p>
    <w:p w14:paraId="0BDD06B3"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700D3D">
        <w:rPr>
          <w:sz w:val="16"/>
          <w:szCs w:val="16"/>
        </w:rPr>
        <w:t>Western Australia’s minerals and petroleum sales fell from $248.8 billion in 2023 to $223.4 billion in 2024. Minerals sales fell 10.4% to $172.7 billion and petroleum sales fell 9.6% to $50.7 billion.</w:t>
      </w:r>
    </w:p>
    <w:p w14:paraId="3956B5B4"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Iron ore sales were down 8.3% to $128.1 billion in 2024, though it was the third highest sales value for iron ore for a calendar year. The sales value was supported by a near record sales volume for a calendar year of 866 million tonnes, but the average unit sales price was down from A$162 a tonne in 2023 to A$148 a tonne in 2024.</w:t>
      </w:r>
    </w:p>
    <w:p w14:paraId="4E858877"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The value of LNG sales fell 14.7% to $36.1 billion in 2024 as prices were at the lowest levels in several years.</w:t>
      </w:r>
    </w:p>
    <w:p w14:paraId="73D12168"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The value of gold sales increased from $16.0 billion in 2021 to $23.7 billion in 2024, a record high despite a drop in sales volume over this period. The average unit price of gold sales rose 51.4% between 2021 and 2024.</w:t>
      </w:r>
    </w:p>
    <w:p w14:paraId="38FB8D5D"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The value of lithium sales fell 68.6% in 2024 to $5.0 billion in 2024. While the sales volume of spodumene concentrate rose to a record 3.8 million tonnes, prices fell to the lowest level since the second half of 2021.</w:t>
      </w:r>
    </w:p>
    <w:p w14:paraId="256B08EC" w14:textId="77777777" w:rsidR="00233755" w:rsidRPr="00775345" w:rsidRDefault="00233755" w:rsidP="00233755">
      <w:pPr>
        <w:pStyle w:val="ListParagraph"/>
        <w:numPr>
          <w:ilvl w:val="0"/>
          <w:numId w:val="31"/>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77777777" w:rsidR="00233755" w:rsidRPr="000D3E1E" w:rsidRDefault="00233755" w:rsidP="00233755">
      <w:pPr>
        <w:pStyle w:val="Heading4"/>
        <w:rPr>
          <w:i w:val="0"/>
          <w:iCs w:val="0"/>
          <w:color w:val="92278F"/>
          <w:sz w:val="20"/>
          <w:szCs w:val="20"/>
        </w:rPr>
      </w:pPr>
      <w:r w:rsidRPr="00AC3621">
        <w:rPr>
          <w:i w:val="0"/>
          <w:iCs w:val="0"/>
          <w:color w:val="92278F" w:themeColor="accent1"/>
          <w:sz w:val="20"/>
          <w:szCs w:val="20"/>
        </w:rPr>
        <w:t xml:space="preserve">Sales of mineral and energy </w:t>
      </w:r>
      <w:r w:rsidRPr="000D3E1E">
        <w:rPr>
          <w:i w:val="0"/>
          <w:iCs w:val="0"/>
          <w:color w:val="92278F"/>
          <w:sz w:val="20"/>
          <w:szCs w:val="20"/>
        </w:rPr>
        <w:t>commodities</w:t>
      </w:r>
      <w:r w:rsidRPr="00AC3621">
        <w:rPr>
          <w:i w:val="0"/>
          <w:iCs w:val="0"/>
          <w:color w:val="92278F" w:themeColor="accent1"/>
          <w:sz w:val="20"/>
          <w:szCs w:val="20"/>
        </w:rPr>
        <w:t xml:space="preserve">: </w:t>
      </w:r>
      <w:r w:rsidRPr="00700D3D">
        <w:rPr>
          <w:i w:val="0"/>
          <w:iCs w:val="0"/>
          <w:color w:val="92278F" w:themeColor="accent1"/>
          <w:sz w:val="20"/>
          <w:szCs w:val="20"/>
        </w:rPr>
        <w:t>2024</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77777777" w:rsidR="00233755" w:rsidRPr="007B1AE5" w:rsidRDefault="00233755" w:rsidP="00233755">
      <w:r>
        <w:rPr>
          <w:noProof/>
        </w:rPr>
        <w:drawing>
          <wp:inline distT="0" distB="0" distL="0" distR="0" wp14:anchorId="4FB5F5D2" wp14:editId="12A45993">
            <wp:extent cx="3127401" cy="2010343"/>
            <wp:effectExtent l="0" t="0" r="0" b="9525"/>
            <wp:docPr id="725157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2128" cy="2013382"/>
                    </a:xfrm>
                    <a:prstGeom prst="rect">
                      <a:avLst/>
                    </a:prstGeom>
                    <a:noFill/>
                    <a:ln>
                      <a:noFill/>
                    </a:ln>
                  </pic:spPr>
                </pic:pic>
              </a:graphicData>
            </a:graphic>
          </wp:inline>
        </w:drawing>
      </w:r>
    </w:p>
    <w:p w14:paraId="0B867E52"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leucoxene, zircon and rutile.</w:t>
      </w:r>
    </w:p>
    <w:p w14:paraId="41A8D745" w14:textId="77777777" w:rsidR="00233755" w:rsidRPr="00AF759E" w:rsidRDefault="00233755" w:rsidP="00233755">
      <w:pPr>
        <w:rPr>
          <w:sz w:val="10"/>
          <w:szCs w:val="10"/>
        </w:rPr>
      </w:pPr>
      <w:r w:rsidRPr="00AF759E">
        <w:rPr>
          <w:sz w:val="10"/>
          <w:szCs w:val="10"/>
        </w:rPr>
        <w:t xml:space="preserve">Source: WA Department of </w:t>
      </w:r>
      <w:r>
        <w:rPr>
          <w:sz w:val="10"/>
          <w:szCs w:val="10"/>
        </w:rPr>
        <w:t xml:space="preserve">Energy, </w:t>
      </w:r>
      <w:r w:rsidRPr="00AF759E">
        <w:rPr>
          <w:sz w:val="10"/>
          <w:szCs w:val="10"/>
        </w:rPr>
        <w:t>Mines, Industry Regulation and Safety, Resource Data Files.</w:t>
      </w:r>
    </w:p>
    <w:p w14:paraId="055756D9" w14:textId="77777777" w:rsidR="00233755" w:rsidRPr="00700D3D"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700D3D">
        <w:rPr>
          <w:sz w:val="16"/>
          <w:szCs w:val="16"/>
        </w:rPr>
        <w:t>Iron ore accounted for 57.4% of the value of Western Australia’s minerals and petroleum sales in 2024, followed by LNG (16.2%) and gold (10.6%).</w:t>
      </w:r>
    </w:p>
    <w:p w14:paraId="02AB8213" w14:textId="77777777" w:rsidR="00233755" w:rsidRPr="00700D3D" w:rsidRDefault="00233755" w:rsidP="00233755">
      <w:pPr>
        <w:pStyle w:val="ListParagraph"/>
        <w:numPr>
          <w:ilvl w:val="0"/>
          <w:numId w:val="31"/>
        </w:numPr>
        <w:spacing w:before="40" w:after="40"/>
        <w:ind w:right="227" w:hanging="357"/>
        <w:contextualSpacing w:val="0"/>
        <w:jc w:val="both"/>
        <w:rPr>
          <w:sz w:val="16"/>
          <w:szCs w:val="16"/>
        </w:rPr>
      </w:pPr>
      <w:r w:rsidRPr="00700D3D">
        <w:rPr>
          <w:sz w:val="16"/>
          <w:szCs w:val="16"/>
        </w:rPr>
        <w:t>The largest increases in the value of Western Australia’s minerals and petroleum sales in 2024 were in:</w:t>
      </w:r>
    </w:p>
    <w:p w14:paraId="08A9D212"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gold (up $3.7 billion or 18.7%)</w:t>
      </w:r>
    </w:p>
    <w:p w14:paraId="75ECB4BC"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alumina (up $0.8 billion or 12.2%).</w:t>
      </w:r>
    </w:p>
    <w:p w14:paraId="14DE89F9" w14:textId="77777777" w:rsidR="00233755" w:rsidRPr="00700D3D" w:rsidRDefault="00233755" w:rsidP="00233755">
      <w:pPr>
        <w:pStyle w:val="ListParagraph"/>
        <w:numPr>
          <w:ilvl w:val="0"/>
          <w:numId w:val="31"/>
        </w:numPr>
        <w:spacing w:before="40" w:after="40"/>
        <w:ind w:right="227" w:hanging="357"/>
        <w:contextualSpacing w:val="0"/>
        <w:jc w:val="both"/>
        <w:rPr>
          <w:sz w:val="16"/>
          <w:szCs w:val="16"/>
        </w:rPr>
      </w:pPr>
      <w:r w:rsidRPr="00700D3D">
        <w:rPr>
          <w:sz w:val="16"/>
          <w:szCs w:val="16"/>
        </w:rPr>
        <w:t>The largest decreases in the value of Western Australia’s minerals and petroleum sales in 2024 were in:</w:t>
      </w:r>
    </w:p>
    <w:p w14:paraId="385FDF90"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iron ore (down $11.7 billion or 8.3%)</w:t>
      </w:r>
    </w:p>
    <w:p w14:paraId="51106370"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lithium (down $11.0 billion or 68.6%)</w:t>
      </w:r>
    </w:p>
    <w:p w14:paraId="7CC3AE81"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LNG (down $6.2 billion or 14.7%).</w:t>
      </w:r>
    </w:p>
    <w:p w14:paraId="7A0A7D80" w14:textId="77777777" w:rsidR="00233755" w:rsidRPr="00775345" w:rsidRDefault="00233755" w:rsidP="00233755">
      <w:pPr>
        <w:pStyle w:val="ListParagraph"/>
        <w:numPr>
          <w:ilvl w:val="0"/>
          <w:numId w:val="33"/>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52" w:name="_Primary_industries_and"/>
      <w:bookmarkEnd w:id="52"/>
      <w:r w:rsidRPr="00D859C6">
        <w:rPr>
          <w:color w:val="002060"/>
          <w:sz w:val="24"/>
          <w:szCs w:val="24"/>
        </w:rPr>
        <w:lastRenderedPageBreak/>
        <w:t>Primary industries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7A539F5"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bookmarkStart w:id="53" w:name="_Hlk158901883"/>
      <w:r w:rsidRPr="00AC3621">
        <w:rPr>
          <w:i w:val="0"/>
          <w:iCs w:val="0"/>
          <w:color w:val="92278F" w:themeColor="accent1"/>
          <w:sz w:val="20"/>
          <w:szCs w:val="20"/>
        </w:rPr>
        <w:t>Agriculture, forestry and fishing industry</w:t>
      </w:r>
      <w:bookmarkEnd w:id="53"/>
      <w:r w:rsidRPr="00AC3621">
        <w:rPr>
          <w:i w:val="0"/>
          <w:iCs w:val="0"/>
          <w:color w:val="92278F" w:themeColor="accent1"/>
          <w:sz w:val="20"/>
          <w:szCs w:val="20"/>
        </w:rPr>
        <w:t xml:space="preserve"> gross value added</w:t>
      </w:r>
    </w:p>
    <w:p w14:paraId="48AD52F5" w14:textId="77777777" w:rsidR="00233755" w:rsidRPr="007B1AE5" w:rsidRDefault="00233755" w:rsidP="00233755">
      <w:r>
        <w:rPr>
          <w:noProof/>
        </w:rPr>
        <w:drawing>
          <wp:inline distT="0" distB="0" distL="0" distR="0" wp14:anchorId="460D1F8A" wp14:editId="007FC163">
            <wp:extent cx="3420000" cy="2062918"/>
            <wp:effectExtent l="0" t="0" r="0" b="0"/>
            <wp:docPr id="69818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062918"/>
                    </a:xfrm>
                    <a:prstGeom prst="rect">
                      <a:avLst/>
                    </a:prstGeom>
                    <a:noFill/>
                    <a:ln>
                      <a:noFill/>
                    </a:ln>
                  </pic:spPr>
                </pic:pic>
              </a:graphicData>
            </a:graphic>
          </wp:inline>
        </w:drawing>
      </w:r>
    </w:p>
    <w:p w14:paraId="3C544A8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8BB3E56" w14:textId="77777777" w:rsidR="00233755" w:rsidRPr="00AF759E" w:rsidRDefault="00233755" w:rsidP="00233755">
      <w:pPr>
        <w:rPr>
          <w:sz w:val="10"/>
          <w:szCs w:val="10"/>
        </w:rPr>
      </w:pPr>
      <w:r w:rsidRPr="00AF759E">
        <w:rPr>
          <w:sz w:val="10"/>
          <w:szCs w:val="10"/>
        </w:rPr>
        <w:t>Source: Based on ABS data.</w:t>
      </w:r>
    </w:p>
    <w:p w14:paraId="12532C4E"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E800C6">
        <w:rPr>
          <w:sz w:val="16"/>
          <w:szCs w:val="16"/>
        </w:rPr>
        <w:t>The GVA of Western Australia’s agriculture, forestry and fishing industry increased at an average annual rate of 4.5% between 1993</w:t>
      </w:r>
      <w:r w:rsidRPr="00E800C6">
        <w:rPr>
          <w:sz w:val="16"/>
          <w:szCs w:val="16"/>
        </w:rPr>
        <w:noBreakHyphen/>
        <w:t>94 and 2023</w:t>
      </w:r>
      <w:r w:rsidRPr="00E800C6">
        <w:rPr>
          <w:sz w:val="16"/>
          <w:szCs w:val="16"/>
        </w:rPr>
        <w:noBreakHyphen/>
        <w:t>24.</w:t>
      </w:r>
    </w:p>
    <w:p w14:paraId="1BD7759E" w14:textId="77777777" w:rsidR="00233755" w:rsidRPr="0093074D"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 xml:space="preserve">Fluctuations </w:t>
      </w:r>
      <w:r w:rsidRPr="0093074D">
        <w:rPr>
          <w:sz w:val="16"/>
          <w:szCs w:val="16"/>
        </w:rPr>
        <w:t>in GVA from year to year reflect variability in growing conditions on the output of major component industries such as grain and canola as well as price fluctuations for the export commodities that make up the industry.</w:t>
      </w:r>
    </w:p>
    <w:p w14:paraId="33C7FA9A" w14:textId="77777777" w:rsidR="00233755" w:rsidRPr="0093074D" w:rsidRDefault="00233755" w:rsidP="00233755">
      <w:pPr>
        <w:pStyle w:val="ListParagraph"/>
        <w:numPr>
          <w:ilvl w:val="0"/>
          <w:numId w:val="33"/>
        </w:numPr>
        <w:spacing w:before="40" w:after="40"/>
        <w:ind w:right="227" w:hanging="357"/>
        <w:contextualSpacing w:val="0"/>
        <w:jc w:val="both"/>
        <w:rPr>
          <w:sz w:val="16"/>
          <w:szCs w:val="16"/>
        </w:rPr>
      </w:pPr>
      <w:r w:rsidRPr="0093074D">
        <w:rPr>
          <w:sz w:val="16"/>
          <w:szCs w:val="16"/>
        </w:rPr>
        <w:t>A sharp decline in Western Australia’s agricultural contribution in 2009-10 and 2010-11 resulted from a number of factors including drought in Western Australia’s South West and Wheatbelt regions, floods in various parts of the state and the impact of the global financial crisis on agricultural commodity prices.</w:t>
      </w:r>
    </w:p>
    <w:p w14:paraId="19E5B55F" w14:textId="77777777" w:rsidR="00233755" w:rsidRPr="00E800C6" w:rsidRDefault="00233755" w:rsidP="00233755">
      <w:pPr>
        <w:pStyle w:val="ListParagraph"/>
        <w:numPr>
          <w:ilvl w:val="1"/>
          <w:numId w:val="31"/>
        </w:numPr>
        <w:spacing w:before="40" w:after="40"/>
        <w:ind w:right="227"/>
        <w:contextualSpacing w:val="0"/>
        <w:jc w:val="both"/>
        <w:rPr>
          <w:sz w:val="16"/>
          <w:szCs w:val="16"/>
        </w:rPr>
      </w:pPr>
      <w:r w:rsidRPr="00E800C6">
        <w:rPr>
          <w:sz w:val="16"/>
          <w:szCs w:val="16"/>
        </w:rPr>
        <w:t>The GVA of Western Australia’s agriculture, forestry and fishing industry jumped considerably in 2021</w:t>
      </w:r>
      <w:r w:rsidRPr="00E800C6">
        <w:rPr>
          <w:sz w:val="16"/>
          <w:szCs w:val="16"/>
        </w:rPr>
        <w:noBreakHyphen/>
        <w:t>22, increasing from $6.5 billion to $9.0 billion, and again in 2022</w:t>
      </w:r>
      <w:r w:rsidRPr="00E800C6">
        <w:rPr>
          <w:sz w:val="16"/>
          <w:szCs w:val="16"/>
        </w:rPr>
        <w:noBreakHyphen/>
        <w:t>23 to $9.9 billion</w:t>
      </w:r>
      <w:r>
        <w:rPr>
          <w:sz w:val="16"/>
          <w:szCs w:val="16"/>
        </w:rPr>
        <w:t xml:space="preserve"> as c</w:t>
      </w:r>
      <w:r w:rsidRPr="00E800C6">
        <w:rPr>
          <w:sz w:val="16"/>
          <w:szCs w:val="16"/>
        </w:rPr>
        <w:t>onducive growing conditions and restrictions in supply from other markets led to higher demand for Western Australia’s grains exports.</w:t>
      </w:r>
    </w:p>
    <w:p w14:paraId="1C6BC5AC"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Between 1993-94 and 2023-24, Western Australia contributed an average of 13.2% to the GVA of Australia’s agriculture, forestry and fishing industry, with a high of 15.9% in 2013</w:t>
      </w:r>
      <w:r w:rsidRPr="00E800C6">
        <w:rPr>
          <w:sz w:val="16"/>
          <w:szCs w:val="16"/>
        </w:rPr>
        <w:noBreakHyphen/>
        <w:t>14.</w:t>
      </w:r>
    </w:p>
    <w:p w14:paraId="6D8B07E3" w14:textId="77777777" w:rsidR="00233755" w:rsidRPr="00277649" w:rsidRDefault="00233755" w:rsidP="00233755">
      <w:pPr>
        <w:pStyle w:val="ListParagraph"/>
        <w:numPr>
          <w:ilvl w:val="0"/>
          <w:numId w:val="31"/>
        </w:numPr>
        <w:spacing w:before="40" w:after="40"/>
        <w:ind w:right="227"/>
        <w:rPr>
          <w:sz w:val="16"/>
          <w:szCs w:val="16"/>
        </w:rPr>
        <w:sectPr w:rsidR="00233755" w:rsidRPr="00277649" w:rsidSect="00233755">
          <w:type w:val="continuous"/>
          <w:pgSz w:w="11907" w:h="16840" w:code="9"/>
          <w:pgMar w:top="1701" w:right="425" w:bottom="567" w:left="567" w:header="709" w:footer="709" w:gutter="0"/>
          <w:cols w:num="2" w:space="113"/>
          <w:docGrid w:linePitch="360"/>
        </w:sectPr>
      </w:pPr>
    </w:p>
    <w:p w14:paraId="09BA7658"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515AD094" w14:textId="77777777" w:rsidR="00233755" w:rsidRPr="007B1AE5" w:rsidRDefault="00233755" w:rsidP="00233755">
      <w:r>
        <w:rPr>
          <w:noProof/>
        </w:rPr>
        <w:drawing>
          <wp:inline distT="0" distB="0" distL="0" distR="0" wp14:anchorId="402A94AF" wp14:editId="787AF9BC">
            <wp:extent cx="3418159" cy="1927952"/>
            <wp:effectExtent l="0" t="0" r="0" b="0"/>
            <wp:docPr id="46929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36917" cy="1938532"/>
                    </a:xfrm>
                    <a:prstGeom prst="rect">
                      <a:avLst/>
                    </a:prstGeom>
                    <a:noFill/>
                    <a:ln>
                      <a:noFill/>
                    </a:ln>
                  </pic:spPr>
                </pic:pic>
              </a:graphicData>
            </a:graphic>
          </wp:inline>
        </w:drawing>
      </w:r>
    </w:p>
    <w:p w14:paraId="2400A9F7" w14:textId="77777777" w:rsidR="00233755" w:rsidRPr="00AF759E" w:rsidRDefault="00233755" w:rsidP="00233755">
      <w:pPr>
        <w:rPr>
          <w:sz w:val="10"/>
          <w:szCs w:val="10"/>
        </w:rPr>
      </w:pPr>
      <w:r>
        <w:rPr>
          <w:sz w:val="10"/>
          <w:szCs w:val="10"/>
        </w:rPr>
        <w:t xml:space="preserve">Note – </w:t>
      </w:r>
      <w:r w:rsidRPr="00AF759E">
        <w:rPr>
          <w:sz w:val="10"/>
          <w:szCs w:val="10"/>
        </w:rPr>
        <w:t>Current prices. Original series. Total excludes confidential items. (a) Confidential before Aril 2018.</w:t>
      </w:r>
    </w:p>
    <w:p w14:paraId="4885274C" w14:textId="77777777" w:rsidR="00233755" w:rsidRPr="00AF759E" w:rsidRDefault="00233755" w:rsidP="00233755">
      <w:pPr>
        <w:rPr>
          <w:sz w:val="10"/>
          <w:szCs w:val="10"/>
        </w:rPr>
      </w:pPr>
      <w:r w:rsidRPr="00AF759E">
        <w:rPr>
          <w:sz w:val="10"/>
          <w:szCs w:val="10"/>
        </w:rPr>
        <w:t>Source: Based on ABS data.</w:t>
      </w:r>
    </w:p>
    <w:p w14:paraId="37415BC9" w14:textId="77777777" w:rsidR="00233755" w:rsidRPr="00223BEC"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p>
    <w:p w14:paraId="616B0B4E"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E800C6">
        <w:rPr>
          <w:sz w:val="16"/>
          <w:szCs w:val="16"/>
        </w:rPr>
        <w:t>In 2023-24, Western Australia’s top agricultural exports were:</w:t>
      </w:r>
    </w:p>
    <w:p w14:paraId="629D8EA5"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wheat ($4.7 billion)</w:t>
      </w:r>
    </w:p>
    <w:p w14:paraId="51762B94"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canola seeds ($2.4 billion)</w:t>
      </w:r>
    </w:p>
    <w:p w14:paraId="3D72AC3A"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barley ($1.8 billion).</w:t>
      </w:r>
    </w:p>
    <w:p w14:paraId="7345F047"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meat and livestock ($1.4 billion).</w:t>
      </w:r>
    </w:p>
    <w:p w14:paraId="5D1FD15F"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E800C6">
        <w:rPr>
          <w:sz w:val="16"/>
          <w:szCs w:val="16"/>
        </w:rPr>
        <w:t>Between 2018-19 and 2023-24, Western Australia’s exports of:</w:t>
      </w:r>
    </w:p>
    <w:p w14:paraId="28B013D6"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wheat increased from $2.8 billion (33% of agricultural exports) to $4.7 billion (36% of agricultural exports)</w:t>
      </w:r>
    </w:p>
    <w:p w14:paraId="05F5C8EB"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canola seeds increased from $733 million (9% of agricultural exports) to $2.4 billion (18% of agricultural exports).</w:t>
      </w:r>
    </w:p>
    <w:p w14:paraId="4129A07C" w14:textId="77777777" w:rsidR="00233755" w:rsidRPr="00BE1577" w:rsidRDefault="00233755" w:rsidP="00233755">
      <w:pPr>
        <w:pStyle w:val="ListParagraph"/>
        <w:numPr>
          <w:ilvl w:val="0"/>
          <w:numId w:val="33"/>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74FE88F7"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gross value added</w:t>
      </w:r>
    </w:p>
    <w:p w14:paraId="63D9565A" w14:textId="77777777" w:rsidR="00233755" w:rsidRPr="007B1AE5" w:rsidRDefault="00233755" w:rsidP="00233755">
      <w:r>
        <w:rPr>
          <w:noProof/>
        </w:rPr>
        <w:drawing>
          <wp:inline distT="0" distB="0" distL="0" distR="0" wp14:anchorId="0051ABFA" wp14:editId="45733898">
            <wp:extent cx="3399275" cy="2137273"/>
            <wp:effectExtent l="0" t="0" r="0" b="0"/>
            <wp:docPr id="653426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10546" cy="2144360"/>
                    </a:xfrm>
                    <a:prstGeom prst="rect">
                      <a:avLst/>
                    </a:prstGeom>
                    <a:noFill/>
                    <a:ln>
                      <a:noFill/>
                    </a:ln>
                  </pic:spPr>
                </pic:pic>
              </a:graphicData>
            </a:graphic>
          </wp:inline>
        </w:drawing>
      </w:r>
    </w:p>
    <w:p w14:paraId="23D2A6D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233755">
      <w:pPr>
        <w:rPr>
          <w:sz w:val="10"/>
          <w:szCs w:val="10"/>
        </w:rPr>
      </w:pPr>
      <w:r w:rsidRPr="00AF759E">
        <w:rPr>
          <w:sz w:val="10"/>
          <w:szCs w:val="10"/>
        </w:rPr>
        <w:t>Source: Based on ABS data.</w:t>
      </w:r>
    </w:p>
    <w:p w14:paraId="08283EC4" w14:textId="77777777" w:rsidR="00233755" w:rsidRPr="009C0F29"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9C0F29">
        <w:rPr>
          <w:sz w:val="16"/>
          <w:szCs w:val="16"/>
        </w:rPr>
        <w:t>The defence industry is an emerging part of Western Australia’s economy.</w:t>
      </w:r>
    </w:p>
    <w:p w14:paraId="0AFC9BC1"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GVA from expenditure by the Department of Defence contributed $808 million to the Western Australian economy in 2023</w:t>
      </w:r>
      <w:r w:rsidRPr="009402EF">
        <w:rPr>
          <w:color w:val="000000" w:themeColor="text1"/>
          <w:sz w:val="16"/>
          <w:szCs w:val="16"/>
        </w:rPr>
        <w:noBreakHyphen/>
        <w:t>24. This was an increase of 19% from the previous year.</w:t>
      </w:r>
    </w:p>
    <w:p w14:paraId="17EFF795"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77777777" w:rsidR="00233755" w:rsidRDefault="00233755" w:rsidP="00233755">
      <w:pPr>
        <w:pStyle w:val="Heading3"/>
        <w:spacing w:before="0"/>
        <w:rPr>
          <w:color w:val="002060"/>
          <w:sz w:val="24"/>
          <w:szCs w:val="24"/>
        </w:rPr>
        <w:sectPr w:rsidR="00233755" w:rsidSect="00233755">
          <w:pgSz w:w="11907" w:h="16840" w:code="9"/>
          <w:pgMar w:top="1701" w:right="425" w:bottom="567" w:left="567" w:header="709" w:footer="709" w:gutter="0"/>
          <w:cols w:space="720"/>
          <w:docGrid w:linePitch="360"/>
        </w:sectPr>
      </w:pPr>
      <w:bookmarkStart w:id="54" w:name="_Tourism_and_international"/>
      <w:bookmarkEnd w:id="54"/>
      <w:r w:rsidRPr="00D859C6">
        <w:rPr>
          <w:color w:val="002060"/>
          <w:sz w:val="24"/>
          <w:szCs w:val="24"/>
        </w:rPr>
        <w:lastRenderedPageBreak/>
        <w:t>Tourism and international education</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3F3AC4F8" w14:textId="77777777" w:rsidR="00233755" w:rsidRPr="007B1AE5" w:rsidRDefault="00233755" w:rsidP="00233755">
      <w:r>
        <w:rPr>
          <w:noProof/>
        </w:rPr>
        <w:drawing>
          <wp:inline distT="0" distB="0" distL="0" distR="0" wp14:anchorId="0FEB8EC7" wp14:editId="5AD11433">
            <wp:extent cx="3268345" cy="1871345"/>
            <wp:effectExtent l="0" t="0" r="8255" b="0"/>
            <wp:docPr id="1347608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68345" cy="1871345"/>
                    </a:xfrm>
                    <a:prstGeom prst="rect">
                      <a:avLst/>
                    </a:prstGeom>
                    <a:noFill/>
                    <a:ln>
                      <a:noFill/>
                    </a:ln>
                  </pic:spPr>
                </pic:pic>
              </a:graphicData>
            </a:graphic>
          </wp:inline>
        </w:drawing>
      </w:r>
    </w:p>
    <w:p w14:paraId="4CA330E4"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2B9769A7" w14:textId="77777777" w:rsidR="00233755" w:rsidRPr="00AF759E" w:rsidRDefault="00233755" w:rsidP="00233755">
      <w:pPr>
        <w:rPr>
          <w:sz w:val="10"/>
          <w:szCs w:val="10"/>
        </w:rPr>
      </w:pPr>
      <w:r w:rsidRPr="00AF759E">
        <w:rPr>
          <w:sz w:val="10"/>
          <w:szCs w:val="10"/>
        </w:rPr>
        <w:t>Source: Tourism Research Australia.</w:t>
      </w:r>
    </w:p>
    <w:p w14:paraId="6ABD08CD"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2C2CFA">
        <w:rPr>
          <w:sz w:val="16"/>
          <w:szCs w:val="16"/>
        </w:rPr>
        <w:t>While experiences varied for businesses across the tourism industry during the COVID</w:t>
      </w:r>
      <w:r w:rsidRPr="002C2CFA">
        <w:rPr>
          <w:sz w:val="16"/>
          <w:szCs w:val="16"/>
        </w:rPr>
        <w:noBreakHyphen/>
        <w:t>19 pandemic, in aggregate, the domestic market was able to support overall activity when international travel was restricted. Following the re</w:t>
      </w:r>
      <w:r w:rsidRPr="002C2CFA">
        <w:rPr>
          <w:sz w:val="16"/>
          <w:szCs w:val="16"/>
        </w:rPr>
        <w:noBreakHyphen/>
        <w:t>opening of the State’s borders, spending by international visitors has returned to close to its pre</w:t>
      </w:r>
      <w:r w:rsidRPr="002C2CFA">
        <w:rPr>
          <w:sz w:val="16"/>
          <w:szCs w:val="16"/>
        </w:rPr>
        <w:noBreakHyphen/>
        <w:t>pandemic high, while spending by interstate and intrastate visitors have surpassed their pre</w:t>
      </w:r>
      <w:r w:rsidRPr="002C2CFA">
        <w:rPr>
          <w:sz w:val="16"/>
          <w:szCs w:val="16"/>
        </w:rPr>
        <w:noBreakHyphen/>
        <w:t xml:space="preserve">pandemic levels, leading to record </w:t>
      </w:r>
      <w:r w:rsidRPr="00AC7274">
        <w:rPr>
          <w:sz w:val="16"/>
          <w:szCs w:val="16"/>
        </w:rPr>
        <w:t>visitor expenditure in 2023. However, total visitor expenditure eased in 2024.</w:t>
      </w:r>
    </w:p>
    <w:p w14:paraId="71079835"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Tourists in Western Australia spent a total of $17.2 billion in 2024, 2.9% ($514 million) less than in 2023.</w:t>
      </w:r>
    </w:p>
    <w:p w14:paraId="4B670D22"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In 2024, in Western Australia:</w:t>
      </w:r>
    </w:p>
    <w:p w14:paraId="4B6FB023"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intrastate visitor spend (including daytrips) fell 3.1% to $11.6 billion</w:t>
      </w:r>
    </w:p>
    <w:p w14:paraId="16C4FFF1"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interstate visitor spend fell 12.7% to $3.0 billion</w:t>
      </w:r>
    </w:p>
    <w:p w14:paraId="1E9B7022"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international visitor spend rose 12.4% to $2.6 billion.</w:t>
      </w:r>
    </w:p>
    <w:p w14:paraId="4C2988F0" w14:textId="77777777" w:rsidR="00233755" w:rsidRPr="002C2CFA" w:rsidRDefault="00233755" w:rsidP="00233755">
      <w:pPr>
        <w:pStyle w:val="ListParagraph"/>
        <w:numPr>
          <w:ilvl w:val="0"/>
          <w:numId w:val="31"/>
        </w:numPr>
        <w:spacing w:before="40" w:after="40"/>
        <w:ind w:right="227" w:hanging="357"/>
        <w:contextualSpacing w:val="0"/>
        <w:jc w:val="both"/>
        <w:rPr>
          <w:sz w:val="16"/>
          <w:szCs w:val="16"/>
        </w:rPr>
      </w:pPr>
      <w:r w:rsidRPr="002C2CFA">
        <w:rPr>
          <w:sz w:val="16"/>
          <w:szCs w:val="16"/>
        </w:rPr>
        <w:t>The tourism industry contributed $13.2 billion to Western Australia’s GSP in 2022</w:t>
      </w:r>
      <w:r w:rsidRPr="002C2CFA">
        <w:rPr>
          <w:sz w:val="16"/>
          <w:szCs w:val="16"/>
        </w:rPr>
        <w:noBreakHyphen/>
        <w:t>23 and supported 110,800 jobs.</w:t>
      </w:r>
    </w:p>
    <w:p w14:paraId="70774F0E" w14:textId="77777777" w:rsidR="00233755" w:rsidRPr="00DA18C3" w:rsidRDefault="00233755" w:rsidP="00233755">
      <w:pPr>
        <w:pStyle w:val="ListParagraph"/>
        <w:numPr>
          <w:ilvl w:val="0"/>
          <w:numId w:val="31"/>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Pr="00243CBF">
        <w:rPr>
          <w:i w:val="0"/>
          <w:iCs w:val="0"/>
          <w:color w:val="92278F" w:themeColor="accent1"/>
          <w:sz w:val="20"/>
          <w:szCs w:val="20"/>
          <w:vertAlign w:val="superscript"/>
        </w:rPr>
        <w:t>(a)</w:t>
      </w:r>
      <w:r w:rsidRPr="00AC3621">
        <w:rPr>
          <w:i w:val="0"/>
          <w:iCs w:val="0"/>
          <w:color w:val="92278F" w:themeColor="accent1"/>
          <w:sz w:val="20"/>
          <w:szCs w:val="20"/>
        </w:rPr>
        <w:t xml:space="preserve"> of education-related travel services</w:t>
      </w:r>
    </w:p>
    <w:p w14:paraId="7CA11A39" w14:textId="77777777" w:rsidR="00233755" w:rsidRPr="007B1AE5" w:rsidRDefault="00233755" w:rsidP="00233755">
      <w:r>
        <w:rPr>
          <w:noProof/>
        </w:rPr>
        <w:drawing>
          <wp:inline distT="0" distB="0" distL="0" distR="0" wp14:anchorId="2200D34D" wp14:editId="14B70498">
            <wp:extent cx="3421961" cy="1987588"/>
            <wp:effectExtent l="0" t="0" r="7620" b="0"/>
            <wp:docPr id="1386151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1832" cy="1993321"/>
                    </a:xfrm>
                    <a:prstGeom prst="rect">
                      <a:avLst/>
                    </a:prstGeom>
                    <a:noFill/>
                    <a:ln>
                      <a:noFill/>
                    </a:ln>
                  </pic:spPr>
                </pic:pic>
              </a:graphicData>
            </a:graphic>
          </wp:inline>
        </w:drawing>
      </w:r>
    </w:p>
    <w:p w14:paraId="4B77EC5A"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r>
        <w:rPr>
          <w:sz w:val="10"/>
          <w:szCs w:val="10"/>
        </w:rPr>
        <w:t xml:space="preserve"> (a)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233755">
      <w:pPr>
        <w:rPr>
          <w:sz w:val="10"/>
          <w:szCs w:val="10"/>
        </w:rPr>
      </w:pPr>
      <w:r w:rsidRPr="00AF759E">
        <w:rPr>
          <w:sz w:val="10"/>
          <w:szCs w:val="10"/>
        </w:rPr>
        <w:t>Source: Based on ABS data.</w:t>
      </w:r>
    </w:p>
    <w:p w14:paraId="38D57AB9" w14:textId="77777777" w:rsidR="00233755" w:rsidRPr="004F2D89"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4F2D89">
        <w:rPr>
          <w:sz w:val="16"/>
          <w:szCs w:val="16"/>
        </w:rPr>
        <w:t>The value of education</w:t>
      </w:r>
      <w:r>
        <w:rPr>
          <w:sz w:val="16"/>
          <w:szCs w:val="16"/>
        </w:rPr>
        <w:noBreakHyphen/>
      </w:r>
      <w:r w:rsidRPr="004F2D89">
        <w:rPr>
          <w:sz w:val="16"/>
          <w:szCs w:val="16"/>
        </w:rPr>
        <w:t xml:space="preserve">related travel services exports </w:t>
      </w:r>
      <w:r>
        <w:rPr>
          <w:sz w:val="16"/>
          <w:szCs w:val="16"/>
        </w:rPr>
        <w:t>provides</w:t>
      </w:r>
      <w:r w:rsidRPr="004F2D89">
        <w:rPr>
          <w:sz w:val="16"/>
          <w:szCs w:val="16"/>
        </w:rPr>
        <w:t xml:space="preserve"> a measure of the </w:t>
      </w:r>
      <w:r>
        <w:rPr>
          <w:sz w:val="16"/>
          <w:szCs w:val="16"/>
        </w:rPr>
        <w:t xml:space="preserve">direct </w:t>
      </w:r>
      <w:r w:rsidRPr="004F2D89">
        <w:rPr>
          <w:sz w:val="16"/>
          <w:szCs w:val="16"/>
        </w:rPr>
        <w:t>economic contribution of the international education sector.</w:t>
      </w:r>
    </w:p>
    <w:p w14:paraId="70D1CB1E" w14:textId="77777777" w:rsidR="00233755" w:rsidRPr="009402EF"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9402EF">
        <w:rPr>
          <w:color w:val="000000" w:themeColor="text1"/>
          <w:sz w:val="16"/>
          <w:szCs w:val="16"/>
        </w:rPr>
        <w:t>In 2019, prior to the impact of the COVID</w:t>
      </w:r>
      <w:r w:rsidRPr="009402EF">
        <w:rPr>
          <w:color w:val="000000" w:themeColor="text1"/>
          <w:sz w:val="16"/>
          <w:szCs w:val="16"/>
        </w:rPr>
        <w:noBreakHyphen/>
        <w:t>19 pandemic, education</w:t>
      </w:r>
      <w:r w:rsidRPr="009402EF">
        <w:rPr>
          <w:color w:val="000000" w:themeColor="text1"/>
          <w:sz w:val="16"/>
          <w:szCs w:val="16"/>
        </w:rPr>
        <w:noBreakHyphen/>
        <w:t>related travel services exports were $2.2 billion. The value of education</w:t>
      </w:r>
      <w:r w:rsidRPr="009402EF">
        <w:rPr>
          <w:color w:val="000000" w:themeColor="text1"/>
          <w:sz w:val="16"/>
          <w:szCs w:val="16"/>
        </w:rPr>
        <w:noBreakHyphen/>
        <w:t>related travel services exports fell 41% to $1.3 billion between 2019 and 2021, as new international students were restricted from travelling to the State due to the pandemic.</w:t>
      </w:r>
    </w:p>
    <w:p w14:paraId="3B6A3BC7" w14:textId="77777777" w:rsidR="00233755" w:rsidRPr="009402EF"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9402EF">
        <w:rPr>
          <w:color w:val="000000" w:themeColor="text1"/>
          <w:sz w:val="16"/>
          <w:szCs w:val="16"/>
        </w:rPr>
        <w:t>The international education sector rebounded as international students returned following the re-opening of the State’s borders in early 2022. Western Australia’s education</w:t>
      </w:r>
      <w:r w:rsidRPr="009402EF">
        <w:rPr>
          <w:color w:val="000000" w:themeColor="text1"/>
          <w:sz w:val="16"/>
          <w:szCs w:val="16"/>
        </w:rPr>
        <w:noBreakHyphen/>
        <w:t>related travel services exports were $3.7 billion in 2024.</w:t>
      </w:r>
    </w:p>
    <w:p w14:paraId="75842120" w14:textId="77777777" w:rsidR="00233755" w:rsidRPr="004F2D89" w:rsidRDefault="00233755" w:rsidP="00233755">
      <w:pPr>
        <w:pStyle w:val="ListParagraph"/>
        <w:numPr>
          <w:ilvl w:val="0"/>
          <w:numId w:val="31"/>
        </w:numPr>
        <w:spacing w:before="40" w:after="40"/>
        <w:ind w:right="227"/>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77777777" w:rsidR="00233755" w:rsidRPr="00AC3621" w:rsidRDefault="00233755" w:rsidP="00233755">
      <w:pPr>
        <w:pStyle w:val="Heading4"/>
        <w:rPr>
          <w:i w:val="0"/>
          <w:iCs w:val="0"/>
          <w:color w:val="92278F" w:themeColor="accent1"/>
          <w:sz w:val="20"/>
          <w:szCs w:val="20"/>
        </w:rPr>
        <w:sectPr w:rsidR="00233755" w:rsidRPr="00AC3621" w:rsidSect="00233755">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00F50BFA" w14:textId="77777777" w:rsidR="00233755" w:rsidRPr="007B1AE5" w:rsidRDefault="00233755" w:rsidP="00233755">
      <w:r>
        <w:rPr>
          <w:noProof/>
        </w:rPr>
        <w:drawing>
          <wp:inline distT="0" distB="0" distL="0" distR="0" wp14:anchorId="4C3809F8" wp14:editId="1CE34544">
            <wp:extent cx="3420000" cy="2052000"/>
            <wp:effectExtent l="0" t="0" r="9525" b="5715"/>
            <wp:docPr id="3996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3D9233A" w14:textId="77777777" w:rsidR="00233755" w:rsidRPr="00665CC4" w:rsidRDefault="00233755" w:rsidP="00233755">
      <w:pPr>
        <w:rPr>
          <w:sz w:val="10"/>
          <w:szCs w:val="10"/>
        </w:rPr>
      </w:pPr>
      <w:r w:rsidRPr="000C0C45">
        <w:rPr>
          <w:sz w:val="10"/>
        </w:rPr>
        <w:t xml:space="preserve">Note – </w:t>
      </w:r>
      <w:r w:rsidRPr="00AF759E">
        <w:rPr>
          <w:sz w:val="10"/>
          <w:szCs w:val="10"/>
        </w:rPr>
        <w:t>Original series</w:t>
      </w:r>
      <w:r w:rsidRPr="00A36AF9">
        <w:rPr>
          <w:sz w:val="10"/>
          <w:szCs w:val="10"/>
        </w:rPr>
        <w:t xml:space="preserve">. </w:t>
      </w:r>
      <w:r w:rsidRPr="00665CC4">
        <w:rPr>
          <w:sz w:val="10"/>
          <w:szCs w:val="10"/>
        </w:rPr>
        <w:t>(a) Vocational education and training. (b) English language intensive courses for overseas students. (c) Enabling courses and foundation studies.</w:t>
      </w:r>
    </w:p>
    <w:p w14:paraId="4C2944C2" w14:textId="77777777" w:rsidR="00233755" w:rsidRPr="00AF759E" w:rsidRDefault="00233755" w:rsidP="00233755">
      <w:pPr>
        <w:rPr>
          <w:sz w:val="10"/>
          <w:szCs w:val="10"/>
        </w:rPr>
      </w:pPr>
      <w:r w:rsidRPr="00AF759E">
        <w:rPr>
          <w:sz w:val="10"/>
          <w:szCs w:val="10"/>
        </w:rPr>
        <w:t xml:space="preserve">Source: </w:t>
      </w:r>
      <w:r>
        <w:rPr>
          <w:sz w:val="10"/>
          <w:szCs w:val="10"/>
        </w:rPr>
        <w:t xml:space="preserve">Commonwealth </w:t>
      </w:r>
      <w:r w:rsidRPr="00AF759E">
        <w:rPr>
          <w:sz w:val="10"/>
          <w:szCs w:val="10"/>
        </w:rPr>
        <w:t xml:space="preserve">Department of </w:t>
      </w:r>
      <w:r>
        <w:rPr>
          <w:sz w:val="10"/>
          <w:szCs w:val="10"/>
        </w:rPr>
        <w:t>Education</w:t>
      </w:r>
      <w:r w:rsidRPr="00AF759E">
        <w:rPr>
          <w:sz w:val="10"/>
          <w:szCs w:val="10"/>
        </w:rPr>
        <w:t>.</w:t>
      </w:r>
    </w:p>
    <w:p w14:paraId="663F9FDD"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3E33BA">
        <w:rPr>
          <w:sz w:val="16"/>
          <w:szCs w:val="16"/>
        </w:rPr>
        <w:t>International student enrolments fell in 2020 and 2021 due to COVID</w:t>
      </w:r>
      <w:r w:rsidRPr="003E33BA">
        <w:rPr>
          <w:sz w:val="16"/>
          <w:szCs w:val="16"/>
        </w:rPr>
        <w:noBreakHyphen/>
        <w:t>19 travel restrictions but began to recover in 2022. Enrolments then grew by 60% in 2023 and a further 26% in 2024.</w:t>
      </w:r>
    </w:p>
    <w:p w14:paraId="31E4D5E0"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In 2024, Western Australia had 90,829 international student enrolments. This was 8.3% of Australia’s international student enrolments, which was Western Australia’s highest share of the Australian total since 2006.</w:t>
      </w:r>
    </w:p>
    <w:p w14:paraId="32EDBE21"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Western Australia’s international students come mostly from Asia. In 2024, the largest shares of Western Australia’s international student enrolment numbers were from:</w:t>
      </w:r>
    </w:p>
    <w:p w14:paraId="65A3C3F7"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India (17.1%)</w:t>
      </w:r>
    </w:p>
    <w:p w14:paraId="56A1BB9D"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Bhutan (13.2%)</w:t>
      </w:r>
    </w:p>
    <w:p w14:paraId="15A74A8F"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China (9.4%)</w:t>
      </w:r>
    </w:p>
    <w:p w14:paraId="4DE3FF3A"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Philippines (6.5%)</w:t>
      </w:r>
    </w:p>
    <w:p w14:paraId="3EC34583"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Pakistan (6.1%).</w:t>
      </w:r>
    </w:p>
    <w:p w14:paraId="644E8C94"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In 2024, most international student enrolments were in higher education (49%) and vocational education and training (35%).</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Default="00233755" w:rsidP="00233755">
      <w:pPr>
        <w:pStyle w:val="Heading3"/>
        <w:spacing w:before="600"/>
        <w:rPr>
          <w:color w:val="002060"/>
          <w:sz w:val="24"/>
          <w:szCs w:val="24"/>
        </w:rPr>
        <w:sectPr w:rsidR="00233755" w:rsidSect="00233755">
          <w:headerReference w:type="default" r:id="rId101"/>
          <w:pgSz w:w="16840" w:h="11907" w:orient="landscape" w:code="9"/>
          <w:pgMar w:top="567" w:right="425" w:bottom="284" w:left="567" w:header="709" w:footer="709" w:gutter="0"/>
          <w:cols w:space="720"/>
          <w:docGrid w:linePitch="360"/>
        </w:sectPr>
      </w:pPr>
      <w:bookmarkStart w:id="55" w:name="_Regions"/>
      <w:bookmarkEnd w:id="55"/>
      <w:r w:rsidRPr="00D859C6">
        <w:rPr>
          <w:color w:val="002060"/>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AC3621" w:rsidRDefault="00233755" w:rsidP="00233755">
      <w:pPr>
        <w:pStyle w:val="Heading4"/>
        <w:spacing w:before="0"/>
        <w:rPr>
          <w:i w:val="0"/>
          <w:iCs w:val="0"/>
          <w:color w:val="92278F" w:themeColor="accent1"/>
          <w:sz w:val="20"/>
          <w:szCs w:val="20"/>
        </w:rPr>
        <w:sectPr w:rsidR="00233755" w:rsidRPr="00AC3621" w:rsidSect="00233755">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6028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E25603" w:rsidRDefault="00233755" w:rsidP="00233755">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E25603" w:rsidRDefault="00233755" w:rsidP="00233755">
                      <w:pPr>
                        <w:pStyle w:val="WAEP5"/>
                        <w:jc w:val="center"/>
                        <w:rPr>
                          <w:b/>
                          <w:bCs/>
                          <w:color w:val="92278F" w:themeColor="accent1"/>
                        </w:rPr>
                      </w:pPr>
                      <w:r>
                        <w:rPr>
                          <w:b/>
                          <w:bCs/>
                          <w:color w:val="92278F" w:themeColor="accent1"/>
                        </w:rPr>
                        <w:t>Mid West</w:t>
                      </w:r>
                    </w:p>
                  </w:txbxContent>
                </v:textbox>
              </v:shape>
            </w:pict>
          </mc:Fallback>
        </mc:AlternateContent>
      </w:r>
      <w:r w:rsidRPr="007B1AE5">
        <w:rPr>
          <w:noProof/>
        </w:rPr>
        <mc:AlternateContent>
          <mc:Choice Requires="wps">
            <w:drawing>
              <wp:anchor distT="0" distB="0" distL="114300" distR="114300" simplePos="0" relativeHeight="251668480"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72576"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70528"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6192"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6336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721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9264"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65408"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75648"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74624"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E25603" w:rsidRDefault="00233755" w:rsidP="00233755">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E25603" w:rsidRDefault="00233755" w:rsidP="00233755">
                      <w:pPr>
                        <w:pStyle w:val="WAEP5"/>
                        <w:jc w:val="center"/>
                        <w:rPr>
                          <w:b/>
                          <w:bCs/>
                          <w:color w:val="92278F" w:themeColor="accent1"/>
                        </w:rPr>
                      </w:pPr>
                      <w:proofErr w:type="gramStart"/>
                      <w:r>
                        <w:rPr>
                          <w:b/>
                          <w:bCs/>
                          <w:color w:val="92278F" w:themeColor="accent1"/>
                        </w:rPr>
                        <w:t>South West</w:t>
                      </w:r>
                      <w:proofErr w:type="gramEnd"/>
                    </w:p>
                  </w:txbxContent>
                </v:textbox>
              </v:shape>
            </w:pict>
          </mc:Fallback>
        </mc:AlternateContent>
      </w:r>
      <w:r w:rsidRPr="007B1AE5">
        <w:rPr>
          <w:noProof/>
        </w:rPr>
        <mc:AlternateContent>
          <mc:Choice Requires="wps">
            <w:drawing>
              <wp:anchor distT="0" distB="0" distL="114300" distR="114300" simplePos="0" relativeHeight="251671552"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E25603" w:rsidRDefault="00233755" w:rsidP="00233755">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E25603" w:rsidRDefault="00233755" w:rsidP="00233755">
                      <w:pPr>
                        <w:pStyle w:val="WAEP5"/>
                        <w:jc w:val="center"/>
                        <w:rPr>
                          <w:b/>
                          <w:bCs/>
                          <w:color w:val="92278F" w:themeColor="accent1"/>
                        </w:rPr>
                      </w:pPr>
                      <w:r>
                        <w:rPr>
                          <w:b/>
                          <w:bCs/>
                          <w:color w:val="92278F" w:themeColor="accent1"/>
                        </w:rPr>
                        <w:t>Great Southern</w:t>
                      </w:r>
                    </w:p>
                  </w:txbxContent>
                </v:textbox>
              </v:shape>
            </w:pict>
          </mc:Fallback>
        </mc:AlternateContent>
      </w:r>
      <w:r w:rsidRPr="007B1AE5">
        <w:rPr>
          <w:noProof/>
        </w:rPr>
        <mc:AlternateContent>
          <mc:Choice Requires="wps">
            <w:drawing>
              <wp:anchor distT="0" distB="0" distL="114300" distR="114300" simplePos="0" relativeHeight="251667456"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E25603" w:rsidRDefault="00233755" w:rsidP="00233755">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E25603" w:rsidRDefault="00233755" w:rsidP="00233755">
                      <w:pPr>
                        <w:pStyle w:val="WAEP5"/>
                        <w:jc w:val="center"/>
                        <w:rPr>
                          <w:b/>
                          <w:bCs/>
                          <w:color w:val="92278F" w:themeColor="accent1"/>
                        </w:rPr>
                      </w:pPr>
                      <w:r>
                        <w:rPr>
                          <w:b/>
                          <w:bCs/>
                          <w:color w:val="92278F" w:themeColor="accent1"/>
                        </w:rPr>
                        <w:t>Peel</w:t>
                      </w:r>
                    </w:p>
                  </w:txbxContent>
                </v:textbox>
              </v:shape>
            </w:pict>
          </mc:Fallback>
        </mc:AlternateContent>
      </w:r>
      <w:r w:rsidRPr="007B1AE5">
        <w:rPr>
          <w:noProof/>
        </w:rPr>
        <mc:AlternateContent>
          <mc:Choice Requires="wps">
            <w:drawing>
              <wp:anchor distT="0" distB="0" distL="114300" distR="114300" simplePos="0" relativeHeight="251664384"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E25603" w:rsidRDefault="00233755" w:rsidP="00233755">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E25603" w:rsidRDefault="00233755" w:rsidP="00233755">
                      <w:pPr>
                        <w:pStyle w:val="WAEP5"/>
                        <w:jc w:val="center"/>
                        <w:rPr>
                          <w:b/>
                          <w:bCs/>
                          <w:color w:val="92278F" w:themeColor="accent1"/>
                        </w:rPr>
                      </w:pPr>
                      <w:r>
                        <w:rPr>
                          <w:b/>
                          <w:bCs/>
                          <w:color w:val="92278F" w:themeColor="accent1"/>
                        </w:rPr>
                        <w:t>Perth</w:t>
                      </w:r>
                    </w:p>
                  </w:txbxContent>
                </v:textbox>
              </v:shape>
            </w:pict>
          </mc:Fallback>
        </mc:AlternateContent>
      </w:r>
      <w:r w:rsidRPr="007B1AE5">
        <w:rPr>
          <w:noProof/>
        </w:rPr>
        <mc:AlternateContent>
          <mc:Choice Requires="wps">
            <w:drawing>
              <wp:anchor distT="0" distB="0" distL="114300" distR="114300" simplePos="0" relativeHeight="251661312"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E25603" w:rsidRDefault="00233755" w:rsidP="00233755">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E25603" w:rsidRDefault="00233755" w:rsidP="00233755">
                      <w:pPr>
                        <w:pStyle w:val="WAEP5"/>
                        <w:jc w:val="center"/>
                        <w:rPr>
                          <w:b/>
                          <w:bCs/>
                          <w:color w:val="92278F" w:themeColor="accent1"/>
                        </w:rPr>
                      </w:pPr>
                      <w:r>
                        <w:rPr>
                          <w:b/>
                          <w:bCs/>
                          <w:color w:val="92278F" w:themeColor="accent1"/>
                        </w:rPr>
                        <w:t>Wheatbelt</w:t>
                      </w:r>
                    </w:p>
                  </w:txbxContent>
                </v:textbox>
              </v:shape>
            </w:pict>
          </mc:Fallback>
        </mc:AlternateContent>
      </w:r>
      <w:r w:rsidRPr="007B1AE5">
        <w:rPr>
          <w:noProof/>
        </w:rPr>
        <mc:AlternateContent>
          <mc:Choice Requires="wps">
            <w:drawing>
              <wp:anchor distT="0" distB="0" distL="114300" distR="114300" simplePos="0" relativeHeight="251655168"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E25603" w:rsidRDefault="00233755" w:rsidP="00233755">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E25603" w:rsidRDefault="00233755" w:rsidP="00233755">
                      <w:pPr>
                        <w:pStyle w:val="WAEP5"/>
                        <w:jc w:val="center"/>
                        <w:rPr>
                          <w:b/>
                          <w:bCs/>
                          <w:color w:val="92278F" w:themeColor="accent1"/>
                        </w:rPr>
                      </w:pPr>
                      <w:r>
                        <w:rPr>
                          <w:b/>
                          <w:bCs/>
                          <w:color w:val="92278F" w:themeColor="accent1"/>
                        </w:rPr>
                        <w:t>Goldfields-Esperance</w:t>
                      </w:r>
                    </w:p>
                  </w:txbxContent>
                </v:textbox>
              </v:shape>
            </w:pict>
          </mc:Fallback>
        </mc:AlternateContent>
      </w:r>
      <w:r w:rsidRPr="007B1AE5">
        <w:rPr>
          <w:noProof/>
        </w:rPr>
        <mc:AlternateContent>
          <mc:Choice Requires="wps">
            <w:drawing>
              <wp:anchor distT="0" distB="0" distL="114300" distR="114300" simplePos="0" relativeHeight="251653120"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E25603" w:rsidRDefault="00233755" w:rsidP="00233755">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E25603" w:rsidRDefault="00233755" w:rsidP="00233755">
                      <w:pPr>
                        <w:pStyle w:val="WAEP5"/>
                        <w:jc w:val="center"/>
                        <w:rPr>
                          <w:b/>
                          <w:bCs/>
                          <w:color w:val="92278F" w:themeColor="accent1"/>
                        </w:rPr>
                      </w:pPr>
                      <w:r>
                        <w:rPr>
                          <w:b/>
                          <w:bCs/>
                          <w:color w:val="92278F" w:themeColor="accent1"/>
                        </w:rPr>
                        <w:t>Gascoyne</w:t>
                      </w:r>
                    </w:p>
                  </w:txbxContent>
                </v:textbox>
              </v:shape>
            </w:pict>
          </mc:Fallback>
        </mc:AlternateContent>
      </w:r>
      <w:r w:rsidRPr="007B1AE5">
        <w:rPr>
          <w:noProof/>
        </w:rPr>
        <mc:AlternateContent>
          <mc:Choice Requires="wps">
            <w:drawing>
              <wp:anchor distT="0" distB="0" distL="114300" distR="114300" simplePos="0" relativeHeight="25165107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E25603" w:rsidRDefault="00233755" w:rsidP="00233755">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E25603" w:rsidRDefault="00233755" w:rsidP="00233755">
                      <w:pPr>
                        <w:pStyle w:val="WAEP5"/>
                        <w:jc w:val="center"/>
                        <w:rPr>
                          <w:b/>
                          <w:bCs/>
                          <w:color w:val="92278F" w:themeColor="accent1"/>
                        </w:rPr>
                      </w:pPr>
                      <w:r>
                        <w:rPr>
                          <w:b/>
                          <w:bCs/>
                          <w:color w:val="92278F" w:themeColor="accent1"/>
                        </w:rPr>
                        <w:t>Offshore Western Australia</w:t>
                      </w:r>
                    </w:p>
                  </w:txbxContent>
                </v:textbox>
              </v:shape>
            </w:pict>
          </mc:Fallback>
        </mc:AlternateContent>
      </w:r>
      <w:r w:rsidRPr="007B1AE5">
        <w:rPr>
          <w:noProof/>
        </w:rPr>
        <mc:AlternateContent>
          <mc:Choice Requires="wps">
            <w:drawing>
              <wp:anchor distT="0" distB="0" distL="114300" distR="114300" simplePos="0" relativeHeight="251650048"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E25603" w:rsidRDefault="00233755" w:rsidP="00233755">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E25603" w:rsidRDefault="00233755" w:rsidP="00233755">
                      <w:pPr>
                        <w:pStyle w:val="WAEP5"/>
                        <w:jc w:val="center"/>
                        <w:rPr>
                          <w:b/>
                          <w:bCs/>
                          <w:color w:val="92278F" w:themeColor="accent1"/>
                        </w:rPr>
                      </w:pPr>
                      <w:r>
                        <w:rPr>
                          <w:b/>
                          <w:bCs/>
                          <w:color w:val="92278F" w:themeColor="accent1"/>
                        </w:rPr>
                        <w:t>Pilbara</w:t>
                      </w:r>
                    </w:p>
                  </w:txbxContent>
                </v:textbox>
              </v:shape>
            </w:pict>
          </mc:Fallback>
        </mc:AlternateContent>
      </w:r>
      <w:r w:rsidRPr="007B1AE5">
        <w:rPr>
          <w:noProof/>
        </w:rPr>
        <mc:AlternateContent>
          <mc:Choice Requires="wps">
            <w:drawing>
              <wp:anchor distT="0" distB="0" distL="114300" distR="114300" simplePos="0" relativeHeight="25164800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E25603" w:rsidRDefault="00233755" w:rsidP="00233755">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E25603" w:rsidRDefault="00233755" w:rsidP="00233755">
                      <w:pPr>
                        <w:pStyle w:val="WAEP5"/>
                        <w:jc w:val="center"/>
                        <w:rPr>
                          <w:b/>
                          <w:bCs/>
                          <w:color w:val="92278F" w:themeColor="accent1"/>
                        </w:rPr>
                      </w:pPr>
                      <w:r w:rsidRPr="00E25603">
                        <w:rPr>
                          <w:b/>
                          <w:bCs/>
                          <w:color w:val="92278F" w:themeColor="accent1"/>
                        </w:rPr>
                        <w:t>Kimberley</w:t>
                      </w:r>
                    </w:p>
                  </w:txbxContent>
                </v:textbox>
              </v:shape>
            </w:pict>
          </mc:Fallback>
        </mc:AlternateContent>
      </w:r>
      <w:r w:rsidRPr="007B1AE5">
        <w:object w:dxaOrig="11235" w:dyaOrig="15900" w14:anchorId="328FF15A">
          <v:shape id="_x0000_i1026" type="#_x0000_t75" style="width:296pt;height:410pt" o:ole="">
            <v:imagedata r:id="rId102" o:title=""/>
          </v:shape>
          <o:OLEObject Type="Embed" ProgID="PBrush" ShapeID="_x0000_i1026" DrawAspect="Content" ObjectID="_1812794341" r:id="rId103"/>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383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3CD6FE47" w14:textId="77777777" w:rsidR="00233755" w:rsidRPr="001168DD" w:rsidRDefault="00233755" w:rsidP="00383B17">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1EE5B134" w14:textId="77777777" w:rsidR="00233755" w:rsidRPr="004D42E9"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2060"/>
            <w:vAlign w:val="center"/>
          </w:tcPr>
          <w:p w14:paraId="6CCBCF56" w14:textId="77777777" w:rsidR="00233755" w:rsidRPr="004D42E9"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2060"/>
            <w:vAlign w:val="center"/>
          </w:tcPr>
          <w:p w14:paraId="61DDFFF7" w14:textId="77777777" w:rsidR="00233755" w:rsidRPr="00700D3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Mining sales 2024</w:t>
            </w:r>
          </w:p>
        </w:tc>
      </w:tr>
      <w:tr w:rsidR="00233755" w:rsidRPr="001168DD" w14:paraId="729F154B"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62531F0D" w14:textId="77777777" w:rsidR="00233755" w:rsidRPr="001168DD" w:rsidRDefault="00233755" w:rsidP="00383B17">
            <w:pPr>
              <w:rPr>
                <w:rFonts w:cstheme="minorHAnsi"/>
                <w:sz w:val="14"/>
                <w:szCs w:val="14"/>
              </w:rPr>
            </w:pPr>
          </w:p>
        </w:tc>
        <w:tc>
          <w:tcPr>
            <w:tcW w:w="993" w:type="dxa"/>
            <w:shd w:val="clear" w:color="auto" w:fill="002060"/>
            <w:vAlign w:val="center"/>
          </w:tcPr>
          <w:p w14:paraId="29DB28E4"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57BC6D45"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72B8E3FA"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3A0EEDF3"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69CB4E21"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7813370"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383B1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5C00D4A2" w14:textId="77777777" w:rsidR="00233755" w:rsidRPr="00775345" w:rsidRDefault="00233755" w:rsidP="00383B17">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26EA246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tcBorders>
              <w:top w:val="single" w:sz="4" w:space="0" w:color="000000" w:themeColor="text1"/>
            </w:tcBorders>
            <w:shd w:val="clear" w:color="auto" w:fill="FFFFFF" w:themeFill="background1"/>
          </w:tcPr>
          <w:p w14:paraId="7F82EC7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tcBorders>
              <w:top w:val="single" w:sz="4" w:space="0" w:color="000000" w:themeColor="text1"/>
            </w:tcBorders>
            <w:shd w:val="clear" w:color="auto" w:fill="FFFFFF" w:themeFill="background1"/>
          </w:tcPr>
          <w:p w14:paraId="5CB76148"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tcBorders>
              <w:top w:val="single" w:sz="4" w:space="0" w:color="000000" w:themeColor="text1"/>
            </w:tcBorders>
            <w:shd w:val="clear" w:color="auto" w:fill="FFFFFF" w:themeFill="background1"/>
          </w:tcPr>
          <w:p w14:paraId="021BFA5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tcBorders>
              <w:top w:val="single" w:sz="4" w:space="0" w:color="000000" w:themeColor="text1"/>
            </w:tcBorders>
            <w:shd w:val="clear" w:color="auto" w:fill="FFFFFF" w:themeFill="background1"/>
          </w:tcPr>
          <w:p w14:paraId="065EFC9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0.1</w:t>
            </w:r>
          </w:p>
        </w:tc>
        <w:tc>
          <w:tcPr>
            <w:tcW w:w="850" w:type="dxa"/>
            <w:tcBorders>
              <w:top w:val="single" w:sz="4" w:space="0" w:color="000000" w:themeColor="text1"/>
            </w:tcBorders>
            <w:shd w:val="clear" w:color="auto" w:fill="FFFFFF" w:themeFill="background1"/>
          </w:tcPr>
          <w:p w14:paraId="050D472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2CBBC1BF"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383B17">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129.0</w:t>
            </w:r>
          </w:p>
        </w:tc>
        <w:tc>
          <w:tcPr>
            <w:tcW w:w="850" w:type="dxa"/>
            <w:shd w:val="clear" w:color="auto" w:fill="FFFFFF" w:themeFill="background1"/>
          </w:tcPr>
          <w:p w14:paraId="064F56A6"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74.7</w:t>
            </w:r>
          </w:p>
        </w:tc>
      </w:tr>
      <w:tr w:rsidR="00233755" w:rsidRPr="00775345" w14:paraId="5556AAAC" w14:textId="77777777" w:rsidTr="00383B17">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383B17">
            <w:pPr>
              <w:rPr>
                <w:rFonts w:cstheme="minorHAnsi"/>
                <w:sz w:val="14"/>
                <w:szCs w:val="14"/>
              </w:rPr>
            </w:pPr>
            <w:r w:rsidRPr="00775345">
              <w:rPr>
                <w:rFonts w:cstheme="minorHAnsi"/>
                <w:sz w:val="14"/>
                <w:szCs w:val="14"/>
              </w:rPr>
              <w:t>South West</w:t>
            </w:r>
          </w:p>
        </w:tc>
        <w:tc>
          <w:tcPr>
            <w:tcW w:w="993" w:type="dxa"/>
            <w:shd w:val="clear" w:color="auto" w:fill="FFFFFF" w:themeFill="background1"/>
          </w:tcPr>
          <w:p w14:paraId="5C88664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2.6</w:t>
            </w:r>
          </w:p>
        </w:tc>
        <w:tc>
          <w:tcPr>
            <w:tcW w:w="850" w:type="dxa"/>
            <w:shd w:val="clear" w:color="auto" w:fill="FFFFFF" w:themeFill="background1"/>
          </w:tcPr>
          <w:p w14:paraId="1640F72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7BB7C64B"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77777777" w:rsidR="00233755" w:rsidRPr="00775345" w:rsidRDefault="00233755" w:rsidP="00383B17">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08070977"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22.7</w:t>
            </w:r>
          </w:p>
        </w:tc>
        <w:tc>
          <w:tcPr>
            <w:tcW w:w="850" w:type="dxa"/>
            <w:shd w:val="clear" w:color="auto" w:fill="FFFFFF" w:themeFill="background1"/>
          </w:tcPr>
          <w:p w14:paraId="280FA84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13.1</w:t>
            </w:r>
          </w:p>
        </w:tc>
      </w:tr>
      <w:tr w:rsidR="00233755" w:rsidRPr="00775345" w14:paraId="365AA515" w14:textId="77777777" w:rsidTr="00383B17">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383B17">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9.9</w:t>
            </w:r>
          </w:p>
        </w:tc>
        <w:tc>
          <w:tcPr>
            <w:tcW w:w="850" w:type="dxa"/>
            <w:shd w:val="clear" w:color="auto" w:fill="FFFFFF" w:themeFill="background1"/>
          </w:tcPr>
          <w:p w14:paraId="25C29F0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5.7</w:t>
            </w:r>
          </w:p>
        </w:tc>
      </w:tr>
      <w:tr w:rsidR="00233755" w:rsidRPr="00775345" w14:paraId="7BD12589"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383B17">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2.5</w:t>
            </w:r>
          </w:p>
        </w:tc>
        <w:tc>
          <w:tcPr>
            <w:tcW w:w="850" w:type="dxa"/>
            <w:shd w:val="clear" w:color="auto" w:fill="FFFFFF" w:themeFill="background1"/>
          </w:tcPr>
          <w:p w14:paraId="1F758DE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5C911A45" w14:textId="77777777" w:rsidTr="00383B17">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383B17">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5.0</w:t>
            </w:r>
          </w:p>
        </w:tc>
        <w:tc>
          <w:tcPr>
            <w:tcW w:w="850" w:type="dxa"/>
            <w:shd w:val="clear" w:color="auto" w:fill="FFFFFF" w:themeFill="background1"/>
          </w:tcPr>
          <w:p w14:paraId="5130EA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2.9</w:t>
            </w:r>
          </w:p>
        </w:tc>
      </w:tr>
      <w:tr w:rsidR="00233755" w:rsidRPr="00775345" w14:paraId="094F0FFA"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383B17">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c>
          <w:tcPr>
            <w:tcW w:w="850" w:type="dxa"/>
            <w:shd w:val="clear" w:color="auto" w:fill="FFFFFF" w:themeFill="background1"/>
          </w:tcPr>
          <w:p w14:paraId="328DE9C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1A6D6A49" w14:textId="77777777" w:rsidTr="00383B17">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383B17">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0.6</w:t>
            </w:r>
          </w:p>
        </w:tc>
        <w:tc>
          <w:tcPr>
            <w:tcW w:w="850" w:type="dxa"/>
            <w:shd w:val="clear" w:color="auto" w:fill="FFFFFF" w:themeFill="background1"/>
          </w:tcPr>
          <w:p w14:paraId="74E89A1E"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r>
      <w:tr w:rsidR="00233755" w:rsidRPr="00775345" w14:paraId="45D57833" w14:textId="77777777" w:rsidTr="003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383B17">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c>
          <w:tcPr>
            <w:tcW w:w="850" w:type="dxa"/>
            <w:shd w:val="clear" w:color="auto" w:fill="FFFFFF" w:themeFill="background1"/>
          </w:tcPr>
          <w:p w14:paraId="6080BCBD"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0.2</w:t>
            </w:r>
          </w:p>
        </w:tc>
      </w:tr>
      <w:tr w:rsidR="00233755" w:rsidRPr="00775345" w14:paraId="7A03F5BB" w14:textId="77777777" w:rsidTr="00383B17">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383B17">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172.7</w:t>
            </w:r>
          </w:p>
        </w:tc>
        <w:tc>
          <w:tcPr>
            <w:tcW w:w="850" w:type="dxa"/>
            <w:shd w:val="clear" w:color="auto" w:fill="FFFFFF" w:themeFill="background1"/>
          </w:tcPr>
          <w:p w14:paraId="0863DC3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77777777" w:rsidR="00233755" w:rsidRPr="00AF759E" w:rsidRDefault="00233755" w:rsidP="00233755">
      <w:pPr>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xml:space="preserve">; based on ABS data; and WA Department of </w:t>
      </w:r>
      <w:r>
        <w:rPr>
          <w:sz w:val="10"/>
          <w:szCs w:val="10"/>
        </w:rPr>
        <w:t>E</w:t>
      </w:r>
      <w:r w:rsidRPr="00AF759E">
        <w:rPr>
          <w:sz w:val="10"/>
          <w:szCs w:val="10"/>
        </w:rPr>
        <w:t>nergy, Mines, Industry Regulation and Safety.</w:t>
      </w:r>
    </w:p>
    <w:p w14:paraId="6D4E3852" w14:textId="77777777" w:rsidR="00233755" w:rsidRPr="00AC3621" w:rsidRDefault="00233755" w:rsidP="00233755">
      <w:pPr>
        <w:pStyle w:val="Heading4"/>
        <w:rPr>
          <w:i w:val="0"/>
          <w:iCs w:val="0"/>
          <w:color w:val="92278F" w:themeColor="accent1"/>
          <w:sz w:val="20"/>
          <w:szCs w:val="20"/>
        </w:rPr>
      </w:pPr>
      <w:r w:rsidRPr="00AC3621">
        <w:rPr>
          <w:i w:val="0"/>
          <w:iCs w:val="0"/>
          <w:color w:val="92278F" w:themeColor="accent1"/>
          <w:sz w:val="20"/>
          <w:szCs w:val="20"/>
        </w:rPr>
        <w:t>Population growth by broad region and major urban centre</w:t>
      </w:r>
      <w:r w:rsidRPr="004D42E9">
        <w:rPr>
          <w:i w:val="0"/>
          <w:iCs w:val="0"/>
          <w:color w:val="92278F" w:themeColor="accent1"/>
          <w:sz w:val="20"/>
          <w:szCs w:val="20"/>
        </w:rPr>
        <w:t>: 2003</w:t>
      </w:r>
      <w:r w:rsidRPr="004D42E9">
        <w:rPr>
          <w:i w:val="0"/>
          <w:iCs w:val="0"/>
          <w:color w:val="92278F" w:themeColor="accent1"/>
          <w:sz w:val="20"/>
          <w:szCs w:val="20"/>
        </w:rPr>
        <w:noBreakHyphen/>
        <w:t>04 to 2023</w:t>
      </w:r>
      <w:r w:rsidRPr="004D42E9">
        <w:rPr>
          <w:i w:val="0"/>
          <w:iCs w:val="0"/>
          <w:color w:val="92278F" w:themeColor="accent1"/>
          <w:sz w:val="20"/>
          <w:szCs w:val="20"/>
        </w:rPr>
        <w:noBreakHyphen/>
        <w:t>24</w:t>
      </w:r>
    </w:p>
    <w:p w14:paraId="6CD3958D" w14:textId="77777777" w:rsidR="00233755" w:rsidRPr="007B1AE5" w:rsidRDefault="00233755" w:rsidP="00233755">
      <w:r>
        <w:rPr>
          <w:noProof/>
        </w:rPr>
        <w:drawing>
          <wp:inline distT="0" distB="0" distL="0" distR="0" wp14:anchorId="6810FEB5" wp14:editId="6F085B17">
            <wp:extent cx="5745384" cy="1803400"/>
            <wp:effectExtent l="0" t="0" r="8255" b="6350"/>
            <wp:docPr id="94862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4565" cy="1828254"/>
                    </a:xfrm>
                    <a:prstGeom prst="rect">
                      <a:avLst/>
                    </a:prstGeom>
                    <a:noFill/>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77777777" w:rsidR="00233755" w:rsidRDefault="00233755" w:rsidP="00233755">
      <w:pPr>
        <w:spacing w:before="40" w:after="40"/>
        <w:jc w:val="both"/>
        <w:rPr>
          <w:sz w:val="16"/>
          <w:szCs w:val="16"/>
        </w:rPr>
      </w:pPr>
      <w:r w:rsidRPr="00B91EFC">
        <w:rPr>
          <w:sz w:val="16"/>
          <w:szCs w:val="16"/>
        </w:rPr>
        <w:t>Western Australia’s population is concentrated in the Perth metropolitan area and most of Western Australia’s gross state product is also allocated to Perth. However, most of the State’s merchandise exports and economic activity originates from production in regional areas. While mining production takes place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5" w:history="1">
        <w:r w:rsidRPr="00091D3B">
          <w:rPr>
            <w:rStyle w:val="Hyperlink"/>
            <w:b/>
            <w:bCs/>
            <w:sz w:val="16"/>
            <w:szCs w:val="16"/>
          </w:rPr>
          <w:t>Regional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233755" w14:paraId="7D075FCD" w14:textId="77777777" w:rsidTr="00383B17">
        <w:tc>
          <w:tcPr>
            <w:tcW w:w="2835" w:type="dxa"/>
          </w:tcPr>
          <w:p w14:paraId="38813A42" w14:textId="77777777" w:rsidR="00233755" w:rsidRPr="006B0630" w:rsidRDefault="00233755" w:rsidP="00383B17">
            <w:pPr>
              <w:spacing w:before="40" w:after="40"/>
              <w:jc w:val="center"/>
              <w:rPr>
                <w:b/>
                <w:bCs/>
                <w:color w:val="FF0000"/>
                <w:sz w:val="16"/>
                <w:szCs w:val="16"/>
              </w:rPr>
            </w:pPr>
            <w:hyperlink r:id="rId106" w:history="1">
              <w:r w:rsidRPr="006B0630">
                <w:rPr>
                  <w:rStyle w:val="Hyperlink"/>
                  <w:b/>
                  <w:bCs/>
                  <w:sz w:val="16"/>
                  <w:szCs w:val="16"/>
                </w:rPr>
                <w:t>Gascoyne</w:t>
              </w:r>
            </w:hyperlink>
          </w:p>
        </w:tc>
        <w:tc>
          <w:tcPr>
            <w:tcW w:w="2835" w:type="dxa"/>
          </w:tcPr>
          <w:p w14:paraId="50A4BAAF" w14:textId="77777777" w:rsidR="00233755" w:rsidRPr="006B0630" w:rsidRDefault="00233755" w:rsidP="00383B17">
            <w:pPr>
              <w:spacing w:before="40" w:after="40"/>
              <w:jc w:val="center"/>
              <w:rPr>
                <w:b/>
                <w:bCs/>
                <w:color w:val="FF0000"/>
                <w:sz w:val="16"/>
                <w:szCs w:val="16"/>
              </w:rPr>
            </w:pPr>
            <w:hyperlink r:id="rId107" w:history="1">
              <w:r w:rsidRPr="006B0630">
                <w:rPr>
                  <w:rStyle w:val="Hyperlink"/>
                  <w:b/>
                  <w:bCs/>
                  <w:sz w:val="16"/>
                  <w:szCs w:val="16"/>
                </w:rPr>
                <w:t>Kimberley</w:t>
              </w:r>
            </w:hyperlink>
          </w:p>
        </w:tc>
        <w:tc>
          <w:tcPr>
            <w:tcW w:w="2188" w:type="dxa"/>
          </w:tcPr>
          <w:p w14:paraId="5A9ABB11" w14:textId="77777777" w:rsidR="00233755" w:rsidRPr="006B0630" w:rsidRDefault="00233755" w:rsidP="00383B17">
            <w:pPr>
              <w:spacing w:before="40" w:after="40"/>
              <w:jc w:val="center"/>
              <w:rPr>
                <w:b/>
                <w:bCs/>
                <w:color w:val="FF0000"/>
                <w:sz w:val="16"/>
                <w:szCs w:val="16"/>
              </w:rPr>
            </w:pPr>
            <w:hyperlink r:id="rId108" w:history="1">
              <w:r w:rsidRPr="006B0630">
                <w:rPr>
                  <w:rStyle w:val="Hyperlink"/>
                  <w:b/>
                  <w:bCs/>
                  <w:sz w:val="16"/>
                  <w:szCs w:val="16"/>
                </w:rPr>
                <w:t>Pilbara</w:t>
              </w:r>
            </w:hyperlink>
          </w:p>
        </w:tc>
      </w:tr>
      <w:tr w:rsidR="00233755" w14:paraId="400B4C08" w14:textId="77777777" w:rsidTr="00383B17">
        <w:tc>
          <w:tcPr>
            <w:tcW w:w="2835" w:type="dxa"/>
          </w:tcPr>
          <w:p w14:paraId="1EF33981" w14:textId="77777777" w:rsidR="00233755" w:rsidRPr="006B0630" w:rsidRDefault="00233755" w:rsidP="00383B17">
            <w:pPr>
              <w:spacing w:before="40" w:after="40"/>
              <w:jc w:val="center"/>
              <w:rPr>
                <w:b/>
                <w:bCs/>
                <w:color w:val="FF0000"/>
                <w:sz w:val="16"/>
                <w:szCs w:val="16"/>
              </w:rPr>
            </w:pPr>
            <w:hyperlink r:id="rId109" w:history="1">
              <w:r w:rsidRPr="006B0630">
                <w:rPr>
                  <w:rStyle w:val="Hyperlink"/>
                  <w:b/>
                  <w:bCs/>
                  <w:sz w:val="16"/>
                  <w:szCs w:val="16"/>
                </w:rPr>
                <w:t>Goldfields-Esperance</w:t>
              </w:r>
            </w:hyperlink>
          </w:p>
        </w:tc>
        <w:tc>
          <w:tcPr>
            <w:tcW w:w="2835" w:type="dxa"/>
          </w:tcPr>
          <w:p w14:paraId="73F1D16B" w14:textId="77777777" w:rsidR="00233755" w:rsidRPr="006B0630" w:rsidRDefault="00233755" w:rsidP="00383B17">
            <w:pPr>
              <w:spacing w:before="40" w:after="40"/>
              <w:jc w:val="center"/>
              <w:rPr>
                <w:b/>
                <w:bCs/>
                <w:color w:val="FF0000"/>
                <w:sz w:val="16"/>
                <w:szCs w:val="16"/>
              </w:rPr>
            </w:pPr>
            <w:hyperlink r:id="rId110" w:history="1">
              <w:proofErr w:type="spellStart"/>
              <w:r w:rsidRPr="006B0630">
                <w:rPr>
                  <w:rStyle w:val="Hyperlink"/>
                  <w:b/>
                  <w:bCs/>
                  <w:sz w:val="16"/>
                  <w:szCs w:val="16"/>
                </w:rPr>
                <w:t>Mid West</w:t>
              </w:r>
              <w:proofErr w:type="spellEnd"/>
            </w:hyperlink>
          </w:p>
        </w:tc>
        <w:tc>
          <w:tcPr>
            <w:tcW w:w="2188" w:type="dxa"/>
          </w:tcPr>
          <w:p w14:paraId="1EFBE19F" w14:textId="77777777" w:rsidR="00233755" w:rsidRPr="006B0630" w:rsidRDefault="00233755" w:rsidP="00383B17">
            <w:pPr>
              <w:spacing w:before="40" w:after="40"/>
              <w:jc w:val="center"/>
              <w:rPr>
                <w:b/>
                <w:bCs/>
                <w:color w:val="FF0000"/>
                <w:sz w:val="16"/>
                <w:szCs w:val="16"/>
              </w:rPr>
            </w:pPr>
            <w:hyperlink r:id="rId111" w:history="1">
              <w:r w:rsidRPr="006B0630">
                <w:rPr>
                  <w:rStyle w:val="Hyperlink"/>
                  <w:b/>
                  <w:bCs/>
                  <w:sz w:val="16"/>
                  <w:szCs w:val="16"/>
                </w:rPr>
                <w:t>South West</w:t>
              </w:r>
            </w:hyperlink>
          </w:p>
        </w:tc>
      </w:tr>
      <w:tr w:rsidR="00233755" w14:paraId="01730DE1" w14:textId="77777777" w:rsidTr="00383B17">
        <w:tc>
          <w:tcPr>
            <w:tcW w:w="2835" w:type="dxa"/>
          </w:tcPr>
          <w:p w14:paraId="0C709C63" w14:textId="77777777" w:rsidR="00233755" w:rsidRPr="006B0630" w:rsidRDefault="00233755" w:rsidP="00383B17">
            <w:pPr>
              <w:spacing w:before="40" w:after="40"/>
              <w:jc w:val="center"/>
              <w:rPr>
                <w:b/>
                <w:bCs/>
                <w:color w:val="FF0000"/>
                <w:sz w:val="16"/>
                <w:szCs w:val="16"/>
              </w:rPr>
            </w:pPr>
            <w:hyperlink r:id="rId112" w:history="1">
              <w:r w:rsidRPr="006B0630">
                <w:rPr>
                  <w:rStyle w:val="Hyperlink"/>
                  <w:b/>
                  <w:bCs/>
                  <w:sz w:val="16"/>
                  <w:szCs w:val="16"/>
                </w:rPr>
                <w:t>Great Southern</w:t>
              </w:r>
            </w:hyperlink>
          </w:p>
        </w:tc>
        <w:tc>
          <w:tcPr>
            <w:tcW w:w="2835" w:type="dxa"/>
          </w:tcPr>
          <w:p w14:paraId="572C2E65" w14:textId="77777777" w:rsidR="00233755" w:rsidRPr="006B0630" w:rsidRDefault="00233755" w:rsidP="00383B17">
            <w:pPr>
              <w:spacing w:before="40" w:after="40"/>
              <w:jc w:val="center"/>
              <w:rPr>
                <w:b/>
                <w:bCs/>
                <w:color w:val="FF0000"/>
                <w:sz w:val="16"/>
                <w:szCs w:val="16"/>
              </w:rPr>
            </w:pPr>
            <w:hyperlink r:id="rId113" w:history="1">
              <w:r w:rsidRPr="006B0630">
                <w:rPr>
                  <w:rStyle w:val="Hyperlink"/>
                  <w:b/>
                  <w:bCs/>
                  <w:sz w:val="16"/>
                  <w:szCs w:val="16"/>
                </w:rPr>
                <w:t>Peel</w:t>
              </w:r>
            </w:hyperlink>
          </w:p>
        </w:tc>
        <w:tc>
          <w:tcPr>
            <w:tcW w:w="2188" w:type="dxa"/>
          </w:tcPr>
          <w:p w14:paraId="54FCCDE1" w14:textId="77777777" w:rsidR="00233755" w:rsidRPr="006B0630" w:rsidRDefault="00233755" w:rsidP="00383B17">
            <w:pPr>
              <w:spacing w:before="40" w:after="40"/>
              <w:jc w:val="center"/>
              <w:rPr>
                <w:b/>
                <w:bCs/>
                <w:color w:val="FF0000"/>
                <w:sz w:val="16"/>
                <w:szCs w:val="16"/>
              </w:rPr>
            </w:pPr>
            <w:hyperlink r:id="rId114" w:history="1">
              <w:r w:rsidRPr="006B0630">
                <w:rPr>
                  <w:rStyle w:val="Hyperlink"/>
                  <w:b/>
                  <w:bCs/>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4EE2392D" w14:textId="77777777" w:rsidR="00233755" w:rsidRDefault="00233755" w:rsidP="00233755">
      <w:pPr>
        <w:spacing w:after="12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p w14:paraId="3FC087F7" w14:textId="77777777" w:rsidR="00417035" w:rsidRPr="00FD1A9B" w:rsidRDefault="00417035" w:rsidP="00233755">
      <w:pPr>
        <w:spacing w:after="120"/>
        <w:ind w:right="-5369"/>
        <w:jc w:val="center"/>
        <w:rPr>
          <w:sz w:val="22"/>
          <w:szCs w:val="22"/>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233755" w14:paraId="79892E13" w14:textId="77777777" w:rsidTr="00383B17">
        <w:tc>
          <w:tcPr>
            <w:tcW w:w="5370" w:type="dxa"/>
          </w:tcPr>
          <w:p w14:paraId="5376279E" w14:textId="77777777" w:rsidR="00233755" w:rsidRPr="00D5173E" w:rsidRDefault="00233755" w:rsidP="00383B17">
            <w:pPr>
              <w:ind w:right="-5372"/>
              <w:rPr>
                <w:b/>
                <w:bCs/>
                <w:sz w:val="20"/>
                <w:szCs w:val="20"/>
              </w:rPr>
            </w:pPr>
            <w:r>
              <w:rPr>
                <w:b/>
                <w:bCs/>
                <w:sz w:val="20"/>
                <w:szCs w:val="20"/>
              </w:rPr>
              <w:t xml:space="preserve">                </w:t>
            </w:r>
            <w:r w:rsidRPr="00D5173E">
              <w:rPr>
                <w:b/>
                <w:bCs/>
                <w:sz w:val="20"/>
                <w:szCs w:val="20"/>
              </w:rPr>
              <w:t>Western Australia Trade Profile</w:t>
            </w:r>
          </w:p>
          <w:p w14:paraId="76DAC74A" w14:textId="77777777" w:rsidR="00233755" w:rsidRDefault="00233755" w:rsidP="00383B17">
            <w:pPr>
              <w:ind w:right="-5372"/>
              <w:rPr>
                <w:sz w:val="20"/>
                <w:szCs w:val="20"/>
              </w:rPr>
            </w:pPr>
            <w:r>
              <w:rPr>
                <w:sz w:val="20"/>
                <w:szCs w:val="20"/>
              </w:rPr>
              <w:t xml:space="preserve">    </w:t>
            </w:r>
            <w:r>
              <w:rPr>
                <w:noProof/>
              </w:rPr>
              <w:drawing>
                <wp:inline distT="0" distB="0" distL="0" distR="0" wp14:anchorId="2E9B6C6E" wp14:editId="1B9B812B">
                  <wp:extent cx="2484000" cy="3449361"/>
                  <wp:effectExtent l="133350" t="114300" r="126365" b="170180"/>
                  <wp:docPr id="208903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35638" name=""/>
                          <pic:cNvPicPr/>
                        </pic:nvPicPr>
                        <pic:blipFill>
                          <a:blip r:embed="rId116"/>
                          <a:stretch>
                            <a:fillRect/>
                          </a:stretch>
                        </pic:blipFill>
                        <pic:spPr>
                          <a:xfrm>
                            <a:off x="0" y="0"/>
                            <a:ext cx="2484000" cy="3449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1C5B7E" w14:textId="77777777" w:rsidR="00233755" w:rsidRDefault="00233755" w:rsidP="00383B17">
            <w:pPr>
              <w:ind w:right="-5372"/>
              <w:rPr>
                <w:sz w:val="20"/>
                <w:szCs w:val="20"/>
              </w:rPr>
            </w:pPr>
          </w:p>
        </w:tc>
        <w:tc>
          <w:tcPr>
            <w:tcW w:w="5370" w:type="dxa"/>
          </w:tcPr>
          <w:p w14:paraId="54EEC31E" w14:textId="77777777" w:rsidR="00233755" w:rsidRDefault="00233755" w:rsidP="00383B17">
            <w:pPr>
              <w:ind w:right="-5372"/>
              <w:rPr>
                <w:b/>
                <w:bCs/>
                <w:sz w:val="20"/>
                <w:szCs w:val="20"/>
              </w:rPr>
            </w:pPr>
            <w:r>
              <w:rPr>
                <w:b/>
                <w:bCs/>
                <w:sz w:val="20"/>
                <w:szCs w:val="20"/>
              </w:rPr>
              <w:t xml:space="preserve">              </w:t>
            </w:r>
            <w:r w:rsidRPr="00FD1A9B">
              <w:rPr>
                <w:b/>
                <w:bCs/>
                <w:sz w:val="20"/>
                <w:szCs w:val="20"/>
              </w:rPr>
              <w:t>Western Australia Iron Ore Profile</w:t>
            </w:r>
          </w:p>
          <w:p w14:paraId="66C047A3" w14:textId="77777777" w:rsidR="00233755" w:rsidRPr="00FD1A9B" w:rsidRDefault="00233755" w:rsidP="00383B1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7B713DB" wp14:editId="05818C1C">
                  <wp:extent cx="2484000" cy="3431884"/>
                  <wp:effectExtent l="133350" t="114300" r="126365" b="168910"/>
                  <wp:docPr id="183216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598" name=""/>
                          <pic:cNvPicPr/>
                        </pic:nvPicPr>
                        <pic:blipFill>
                          <a:blip r:embed="rId117"/>
                          <a:stretch>
                            <a:fillRect/>
                          </a:stretch>
                        </pic:blipFill>
                        <pic:spPr>
                          <a:xfrm>
                            <a:off x="0" y="0"/>
                            <a:ext cx="2484000" cy="3431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33755" w14:paraId="4277E561" w14:textId="77777777" w:rsidTr="00383B17">
        <w:tc>
          <w:tcPr>
            <w:tcW w:w="5370" w:type="dxa"/>
          </w:tcPr>
          <w:p w14:paraId="1EB98464" w14:textId="77777777" w:rsidR="00233755" w:rsidRDefault="00233755" w:rsidP="00383B17">
            <w:pPr>
              <w:ind w:right="-5372"/>
              <w:rPr>
                <w:b/>
                <w:bCs/>
                <w:sz w:val="20"/>
                <w:szCs w:val="20"/>
              </w:rPr>
            </w:pPr>
            <w:r>
              <w:rPr>
                <w:b/>
                <w:bCs/>
                <w:sz w:val="20"/>
                <w:szCs w:val="20"/>
              </w:rPr>
              <w:t xml:space="preserve">                </w:t>
            </w:r>
            <w:r w:rsidRPr="00FD1A9B">
              <w:rPr>
                <w:b/>
                <w:bCs/>
                <w:sz w:val="20"/>
                <w:szCs w:val="20"/>
              </w:rPr>
              <w:t>Western Australia LNG Profile</w:t>
            </w:r>
          </w:p>
          <w:p w14:paraId="4E18C2F9" w14:textId="77777777" w:rsidR="00233755" w:rsidRPr="00FD1A9B" w:rsidRDefault="00233755" w:rsidP="00383B17">
            <w:pPr>
              <w:ind w:right="-5372"/>
              <w:rPr>
                <w:sz w:val="20"/>
                <w:szCs w:val="20"/>
              </w:rPr>
            </w:pPr>
            <w:r w:rsidRPr="00FD1A9B">
              <w:rPr>
                <w:sz w:val="20"/>
                <w:szCs w:val="20"/>
              </w:rPr>
              <w:t xml:space="preserve">    </w:t>
            </w:r>
            <w:r>
              <w:rPr>
                <w:noProof/>
              </w:rPr>
              <w:drawing>
                <wp:inline distT="0" distB="0" distL="0" distR="0" wp14:anchorId="55E8AF97" wp14:editId="5AA50E25">
                  <wp:extent cx="2484000" cy="3419927"/>
                  <wp:effectExtent l="133350" t="114300" r="126365" b="161925"/>
                  <wp:docPr id="7801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2184" name=""/>
                          <pic:cNvPicPr/>
                        </pic:nvPicPr>
                        <pic:blipFill>
                          <a:blip r:embed="rId118"/>
                          <a:stretch>
                            <a:fillRect/>
                          </a:stretch>
                        </pic:blipFill>
                        <pic:spPr>
                          <a:xfrm>
                            <a:off x="0" y="0"/>
                            <a:ext cx="2484000" cy="3419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FCB1B6" w14:textId="77777777" w:rsidR="00233755" w:rsidRPr="00FD1A9B" w:rsidRDefault="00233755" w:rsidP="00383B17">
            <w:pPr>
              <w:ind w:right="-5372"/>
              <w:rPr>
                <w:b/>
                <w:bCs/>
                <w:sz w:val="20"/>
                <w:szCs w:val="20"/>
              </w:rPr>
            </w:pPr>
          </w:p>
        </w:tc>
        <w:tc>
          <w:tcPr>
            <w:tcW w:w="5370" w:type="dxa"/>
          </w:tcPr>
          <w:p w14:paraId="473A5222" w14:textId="77777777" w:rsidR="00233755" w:rsidRDefault="00233755" w:rsidP="00383B17">
            <w:pPr>
              <w:ind w:right="-5372"/>
              <w:rPr>
                <w:b/>
                <w:bCs/>
                <w:sz w:val="20"/>
                <w:szCs w:val="20"/>
              </w:rPr>
            </w:pPr>
            <w:r w:rsidRPr="00FD1A9B">
              <w:rPr>
                <w:b/>
                <w:bCs/>
                <w:sz w:val="20"/>
                <w:szCs w:val="20"/>
              </w:rPr>
              <w:t>Western Australia Battery and Critical Minerals Profile</w:t>
            </w:r>
          </w:p>
          <w:p w14:paraId="236DB2FA" w14:textId="77777777" w:rsidR="00233755" w:rsidRPr="00FD1A9B" w:rsidRDefault="00233755" w:rsidP="00383B17">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091C7690" wp14:editId="23FD32FA">
                  <wp:extent cx="2484000" cy="3432022"/>
                  <wp:effectExtent l="133350" t="114300" r="126365" b="168910"/>
                  <wp:docPr id="125436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68858" name=""/>
                          <pic:cNvPicPr/>
                        </pic:nvPicPr>
                        <pic:blipFill>
                          <a:blip r:embed="rId119"/>
                          <a:stretch>
                            <a:fillRect/>
                          </a:stretch>
                        </pic:blipFill>
                        <pic:spPr>
                          <a:xfrm>
                            <a:off x="0" y="0"/>
                            <a:ext cx="2484000" cy="3432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6BD9D6E9"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417035"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D1024" w14:textId="77777777" w:rsidR="00060FC9" w:rsidRDefault="00060FC9" w:rsidP="00A4382C">
      <w:pPr>
        <w:spacing w:line="240" w:lineRule="auto"/>
      </w:pPr>
      <w:r>
        <w:separator/>
      </w:r>
    </w:p>
  </w:endnote>
  <w:endnote w:type="continuationSeparator" w:id="0">
    <w:p w14:paraId="3A89416D" w14:textId="77777777" w:rsidR="00060FC9" w:rsidRDefault="00060FC9" w:rsidP="00A4382C">
      <w:pPr>
        <w:spacing w:line="240" w:lineRule="auto"/>
      </w:pPr>
      <w:r>
        <w:continuationSeparator/>
      </w:r>
    </w:p>
  </w:endnote>
  <w:endnote w:type="continuationNotice" w:id="1">
    <w:p w14:paraId="14A088C8" w14:textId="77777777" w:rsidR="00060FC9" w:rsidRDefault="00060F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058A0D9A" w:rsidR="00233755" w:rsidRPr="000E0B0F" w:rsidRDefault="00233755" w:rsidP="00CC5FB3">
    <w:pPr>
      <w:pStyle w:val="Footer"/>
      <w:rPr>
        <w:sz w:val="14"/>
        <w:szCs w:val="14"/>
      </w:rPr>
    </w:pPr>
    <w:r w:rsidRPr="000E0B0F">
      <w:rPr>
        <w:sz w:val="14"/>
        <w:szCs w:val="14"/>
      </w:rPr>
      <w:t xml:space="preserve">WA Economic </w:t>
    </w:r>
    <w:r>
      <w:rPr>
        <w:sz w:val="14"/>
        <w:szCs w:val="14"/>
      </w:rPr>
      <w:t>Profile</w:t>
    </w:r>
    <w:r w:rsidRPr="000E0B0F">
      <w:rPr>
        <w:sz w:val="14"/>
        <w:szCs w:val="14"/>
      </w:rPr>
      <w:ptab w:relativeTo="margin" w:alignment="center" w:leader="none"/>
    </w:r>
    <w:r w:rsidRPr="000E0B0F">
      <w:rPr>
        <w:sz w:val="14"/>
        <w:szCs w:val="14"/>
      </w:rPr>
      <w:t xml:space="preserve">Page </w:t>
    </w:r>
    <w:r w:rsidRPr="000E0B0F">
      <w:rPr>
        <w:sz w:val="14"/>
        <w:szCs w:val="14"/>
      </w:rPr>
      <w:fldChar w:fldCharType="begin"/>
    </w:r>
    <w:r w:rsidRPr="000E0B0F">
      <w:rPr>
        <w:sz w:val="14"/>
        <w:szCs w:val="14"/>
      </w:rPr>
      <w:instrText xml:space="preserve"> PAGE </w:instrText>
    </w:r>
    <w:r w:rsidRPr="000E0B0F">
      <w:rPr>
        <w:sz w:val="14"/>
        <w:szCs w:val="14"/>
      </w:rPr>
      <w:fldChar w:fldCharType="separate"/>
    </w:r>
    <w:r w:rsidRPr="000E0B0F">
      <w:rPr>
        <w:noProof/>
        <w:sz w:val="14"/>
        <w:szCs w:val="14"/>
      </w:rPr>
      <w:t>1</w:t>
    </w:r>
    <w:r w:rsidRPr="000E0B0F">
      <w:rPr>
        <w:sz w:val="14"/>
        <w:szCs w:val="14"/>
      </w:rPr>
      <w:fldChar w:fldCharType="end"/>
    </w:r>
    <w:r w:rsidRPr="000E0B0F">
      <w:rPr>
        <w:sz w:val="14"/>
        <w:szCs w:val="14"/>
      </w:rPr>
      <w:t xml:space="preserve"> of </w:t>
    </w:r>
    <w:r w:rsidRPr="000E0B0F">
      <w:rPr>
        <w:sz w:val="14"/>
        <w:szCs w:val="14"/>
      </w:rPr>
      <w:fldChar w:fldCharType="begin"/>
    </w:r>
    <w:r w:rsidRPr="000E0B0F">
      <w:rPr>
        <w:sz w:val="14"/>
        <w:szCs w:val="14"/>
      </w:rPr>
      <w:instrText xml:space="preserve"> NUMPAGES </w:instrText>
    </w:r>
    <w:r w:rsidRPr="000E0B0F">
      <w:rPr>
        <w:sz w:val="14"/>
        <w:szCs w:val="14"/>
      </w:rPr>
      <w:fldChar w:fldCharType="separate"/>
    </w:r>
    <w:r w:rsidRPr="000E0B0F">
      <w:rPr>
        <w:noProof/>
        <w:sz w:val="14"/>
        <w:szCs w:val="14"/>
      </w:rPr>
      <w:t>1</w:t>
    </w:r>
    <w:r w:rsidRPr="000E0B0F">
      <w:rPr>
        <w:sz w:val="14"/>
        <w:szCs w:val="14"/>
      </w:rPr>
      <w:fldChar w:fldCharType="end"/>
    </w:r>
    <w:r w:rsidRPr="000E0B0F">
      <w:rPr>
        <w:sz w:val="14"/>
        <w:szCs w:val="14"/>
      </w:rPr>
      <w:tab/>
    </w:r>
    <w:r>
      <w:rPr>
        <w:sz w:val="14"/>
        <w:szCs w:val="14"/>
      </w:rPr>
      <w:t xml:space="preserve">                                                                                                       </w:t>
    </w:r>
    <w:r w:rsidR="00700D3D">
      <w:rPr>
        <w:sz w:val="14"/>
        <w:szCs w:val="14"/>
      </w:rPr>
      <w:t>June</w:t>
    </w:r>
    <w:r>
      <w:rPr>
        <w:sz w:val="14"/>
        <w:szCs w:val="14"/>
      </w:rPr>
      <w:t> </w:t>
    </w:r>
    <w:r w:rsidRPr="000E0B0F">
      <w:rPr>
        <w:sz w:val="14"/>
        <w:szCs w:val="14"/>
      </w:rPr>
      <w:t>202</w:t>
    </w:r>
    <w:r>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A905" w14:textId="77777777" w:rsidR="00060FC9" w:rsidRDefault="00060FC9" w:rsidP="00A4382C">
      <w:pPr>
        <w:spacing w:line="240" w:lineRule="auto"/>
      </w:pPr>
      <w:r>
        <w:separator/>
      </w:r>
    </w:p>
  </w:footnote>
  <w:footnote w:type="continuationSeparator" w:id="0">
    <w:p w14:paraId="5185E882" w14:textId="77777777" w:rsidR="00060FC9" w:rsidRDefault="00060FC9" w:rsidP="00A4382C">
      <w:pPr>
        <w:spacing w:line="240" w:lineRule="auto"/>
      </w:pPr>
      <w:r>
        <w:continuationSeparator/>
      </w:r>
    </w:p>
  </w:footnote>
  <w:footnote w:type="continuationNotice" w:id="1">
    <w:p w14:paraId="3C1EC116" w14:textId="77777777" w:rsidR="00060FC9" w:rsidRDefault="00060F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7777777" w:rsidR="00233755" w:rsidRDefault="00233755">
    <w:pPr>
      <w:pStyle w:val="Header"/>
    </w:pPr>
    <w:r>
      <w:rPr>
        <w:noProof/>
        <w:lang w:eastAsia="en-AU"/>
      </w:rPr>
      <w:drawing>
        <wp:anchor distT="0" distB="0" distL="114300" distR="114300" simplePos="0" relativeHeight="251660800" behindDoc="1" locked="0" layoutInCell="1" allowOverlap="0" wp14:anchorId="40D56882" wp14:editId="56171532">
          <wp:simplePos x="0" y="0"/>
          <wp:positionH relativeFrom="page">
            <wp:posOffset>142875</wp:posOffset>
          </wp:positionH>
          <wp:positionV relativeFrom="page">
            <wp:posOffset>172872</wp:posOffset>
          </wp:positionV>
          <wp:extent cx="7277100" cy="869404"/>
          <wp:effectExtent l="0" t="0" r="0" b="6985"/>
          <wp:wrapNone/>
          <wp:docPr id="1010245616" name="Picture 101024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77777777" w:rsidR="00233755" w:rsidRDefault="00233755" w:rsidP="00025568">
    <w:pPr>
      <w:pStyle w:val="Header"/>
      <w:tabs>
        <w:tab w:val="left" w:pos="3063"/>
      </w:tabs>
    </w:pPr>
    <w:r>
      <w:rPr>
        <w:noProof/>
        <w:lang w:eastAsia="en-AU"/>
      </w:rPr>
      <w:drawing>
        <wp:anchor distT="0" distB="0" distL="114300" distR="114300" simplePos="0" relativeHeight="251652096" behindDoc="1" locked="0" layoutInCell="1" allowOverlap="0" wp14:anchorId="4E95146D" wp14:editId="483D7DB4">
          <wp:simplePos x="0" y="0"/>
          <wp:positionH relativeFrom="page">
            <wp:posOffset>1562243</wp:posOffset>
          </wp:positionH>
          <wp:positionV relativeFrom="page">
            <wp:posOffset>200167</wp:posOffset>
          </wp:positionV>
          <wp:extent cx="7277100" cy="869404"/>
          <wp:effectExtent l="0" t="0" r="5715" b="6985"/>
          <wp:wrapNone/>
          <wp:docPr id="2095536939" name="Picture 209553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77777777" w:rsidR="00262B79" w:rsidRDefault="00262B79">
    <w:pPr>
      <w:pStyle w:val="Header"/>
    </w:pPr>
    <w:r>
      <w:rPr>
        <w:noProof/>
        <w:lang w:eastAsia="en-AU"/>
      </w:rPr>
      <w:drawing>
        <wp:anchor distT="0" distB="0" distL="114300" distR="114300" simplePos="0" relativeHeight="251646976"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BE42288"/>
    <w:multiLevelType w:val="hybridMultilevel"/>
    <w:tmpl w:val="0DAA9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4E51557"/>
    <w:multiLevelType w:val="hybridMultilevel"/>
    <w:tmpl w:val="D7E88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1"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F464D88"/>
    <w:multiLevelType w:val="hybridMultilevel"/>
    <w:tmpl w:val="D43EC8C2"/>
    <w:lvl w:ilvl="0" w:tplc="824ACC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EF60A1"/>
    <w:multiLevelType w:val="multilevel"/>
    <w:tmpl w:val="77DEEFC4"/>
    <w:numStyleLink w:val="AgencyNumbers"/>
  </w:abstractNum>
  <w:abstractNum w:abstractNumId="16" w15:restartNumberingAfterBreak="0">
    <w:nsid w:val="41B20D18"/>
    <w:multiLevelType w:val="multilevel"/>
    <w:tmpl w:val="C4023126"/>
    <w:numStyleLink w:val="AgencyTableBullets"/>
  </w:abstractNum>
  <w:abstractNum w:abstractNumId="17" w15:restartNumberingAfterBreak="0">
    <w:nsid w:val="4474526F"/>
    <w:multiLevelType w:val="multilevel"/>
    <w:tmpl w:val="D5A4B100"/>
    <w:numStyleLink w:val="AgencyTableNumbers"/>
  </w:abstractNum>
  <w:abstractNum w:abstractNumId="18"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9"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44E7DBA"/>
    <w:multiLevelType w:val="hybridMultilevel"/>
    <w:tmpl w:val="9E0A4E8C"/>
    <w:lvl w:ilvl="0" w:tplc="B09AB3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397A90"/>
    <w:multiLevelType w:val="hybridMultilevel"/>
    <w:tmpl w:val="6F966458"/>
    <w:lvl w:ilvl="0" w:tplc="AC62AE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10"/>
  </w:num>
  <w:num w:numId="2" w16cid:durableId="793717448">
    <w:abstractNumId w:val="18"/>
  </w:num>
  <w:num w:numId="3" w16cid:durableId="265160308">
    <w:abstractNumId w:val="2"/>
  </w:num>
  <w:num w:numId="4" w16cid:durableId="1085804354">
    <w:abstractNumId w:val="7"/>
  </w:num>
  <w:num w:numId="5" w16cid:durableId="1997569189">
    <w:abstractNumId w:val="15"/>
  </w:num>
  <w:num w:numId="6" w16cid:durableId="1327245244">
    <w:abstractNumId w:val="16"/>
  </w:num>
  <w:num w:numId="7" w16cid:durableId="366493002">
    <w:abstractNumId w:val="17"/>
  </w:num>
  <w:num w:numId="8" w16cid:durableId="1318532467">
    <w:abstractNumId w:val="3"/>
  </w:num>
  <w:num w:numId="9" w16cid:durableId="1834491363">
    <w:abstractNumId w:val="3"/>
  </w:num>
  <w:num w:numId="10" w16cid:durableId="1765223757">
    <w:abstractNumId w:val="15"/>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5"/>
  </w:num>
  <w:num w:numId="16" w16cid:durableId="1695765619">
    <w:abstractNumId w:val="15"/>
  </w:num>
  <w:num w:numId="17" w16cid:durableId="1934119046">
    <w:abstractNumId w:val="15"/>
  </w:num>
  <w:num w:numId="18" w16cid:durableId="1642926503">
    <w:abstractNumId w:val="15"/>
  </w:num>
  <w:num w:numId="19" w16cid:durableId="1671716161">
    <w:abstractNumId w:val="10"/>
  </w:num>
  <w:num w:numId="20" w16cid:durableId="1480030712">
    <w:abstractNumId w:val="18"/>
  </w:num>
  <w:num w:numId="21" w16cid:durableId="462231975">
    <w:abstractNumId w:val="2"/>
  </w:num>
  <w:num w:numId="22" w16cid:durableId="1013188922">
    <w:abstractNumId w:val="7"/>
  </w:num>
  <w:num w:numId="23" w16cid:durableId="666130236">
    <w:abstractNumId w:val="16"/>
  </w:num>
  <w:num w:numId="24" w16cid:durableId="2112387496">
    <w:abstractNumId w:val="17"/>
  </w:num>
  <w:num w:numId="25" w16cid:durableId="1709573482">
    <w:abstractNumId w:val="23"/>
  </w:num>
  <w:num w:numId="26" w16cid:durableId="981230419">
    <w:abstractNumId w:val="11"/>
  </w:num>
  <w:num w:numId="27" w16cid:durableId="99424136">
    <w:abstractNumId w:val="26"/>
  </w:num>
  <w:num w:numId="28" w16cid:durableId="1930308050">
    <w:abstractNumId w:val="14"/>
  </w:num>
  <w:num w:numId="29" w16cid:durableId="1206067869">
    <w:abstractNumId w:val="6"/>
  </w:num>
  <w:num w:numId="30" w16cid:durableId="367727341">
    <w:abstractNumId w:val="10"/>
  </w:num>
  <w:num w:numId="31" w16cid:durableId="1087112055">
    <w:abstractNumId w:val="9"/>
  </w:num>
  <w:num w:numId="32" w16cid:durableId="361976602">
    <w:abstractNumId w:val="1"/>
  </w:num>
  <w:num w:numId="33" w16cid:durableId="1065110254">
    <w:abstractNumId w:val="20"/>
  </w:num>
  <w:num w:numId="34" w16cid:durableId="453716828">
    <w:abstractNumId w:val="12"/>
  </w:num>
  <w:num w:numId="35" w16cid:durableId="757212879">
    <w:abstractNumId w:val="27"/>
  </w:num>
  <w:num w:numId="36" w16cid:durableId="1206991936">
    <w:abstractNumId w:val="5"/>
  </w:num>
  <w:num w:numId="37" w16cid:durableId="816192578">
    <w:abstractNumId w:val="21"/>
  </w:num>
  <w:num w:numId="38" w16cid:durableId="839152560">
    <w:abstractNumId w:val="28"/>
  </w:num>
  <w:num w:numId="39" w16cid:durableId="119153172">
    <w:abstractNumId w:val="0"/>
  </w:num>
  <w:num w:numId="40" w16cid:durableId="1278486881">
    <w:abstractNumId w:val="24"/>
  </w:num>
  <w:num w:numId="41" w16cid:durableId="2080864252">
    <w:abstractNumId w:val="19"/>
  </w:num>
  <w:num w:numId="42" w16cid:durableId="49622866">
    <w:abstractNumId w:val="8"/>
  </w:num>
  <w:num w:numId="43" w16cid:durableId="252514462">
    <w:abstractNumId w:val="4"/>
  </w:num>
  <w:num w:numId="44" w16cid:durableId="634527283">
    <w:abstractNumId w:val="13"/>
  </w:num>
  <w:num w:numId="45" w16cid:durableId="1326475860">
    <w:abstractNumId w:val="25"/>
  </w:num>
  <w:num w:numId="46" w16cid:durableId="43524943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EF4"/>
    <w:rsid w:val="000020DA"/>
    <w:rsid w:val="0000324C"/>
    <w:rsid w:val="00003B9E"/>
    <w:rsid w:val="0000428B"/>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764F"/>
    <w:rsid w:val="00017B94"/>
    <w:rsid w:val="000204CB"/>
    <w:rsid w:val="00021EE6"/>
    <w:rsid w:val="0002225F"/>
    <w:rsid w:val="0002233D"/>
    <w:rsid w:val="00023616"/>
    <w:rsid w:val="0002363C"/>
    <w:rsid w:val="0002437F"/>
    <w:rsid w:val="0002512F"/>
    <w:rsid w:val="00025568"/>
    <w:rsid w:val="00025C17"/>
    <w:rsid w:val="00026EBD"/>
    <w:rsid w:val="00027DB7"/>
    <w:rsid w:val="00030161"/>
    <w:rsid w:val="000309D2"/>
    <w:rsid w:val="00030FB3"/>
    <w:rsid w:val="00031725"/>
    <w:rsid w:val="00031876"/>
    <w:rsid w:val="00031986"/>
    <w:rsid w:val="00031C68"/>
    <w:rsid w:val="00031EED"/>
    <w:rsid w:val="00032D96"/>
    <w:rsid w:val="0003392D"/>
    <w:rsid w:val="000341C3"/>
    <w:rsid w:val="0003531E"/>
    <w:rsid w:val="00036AAB"/>
    <w:rsid w:val="00036B5D"/>
    <w:rsid w:val="00036E7D"/>
    <w:rsid w:val="00040439"/>
    <w:rsid w:val="000415F9"/>
    <w:rsid w:val="00041688"/>
    <w:rsid w:val="000422AD"/>
    <w:rsid w:val="000424E5"/>
    <w:rsid w:val="000427A2"/>
    <w:rsid w:val="00042E76"/>
    <w:rsid w:val="000430F4"/>
    <w:rsid w:val="00043185"/>
    <w:rsid w:val="00043350"/>
    <w:rsid w:val="000435DB"/>
    <w:rsid w:val="0004524F"/>
    <w:rsid w:val="00045984"/>
    <w:rsid w:val="00045BFA"/>
    <w:rsid w:val="00045CA0"/>
    <w:rsid w:val="00047905"/>
    <w:rsid w:val="000507BF"/>
    <w:rsid w:val="00050B09"/>
    <w:rsid w:val="00051324"/>
    <w:rsid w:val="0005177A"/>
    <w:rsid w:val="00051A1B"/>
    <w:rsid w:val="00052D69"/>
    <w:rsid w:val="00052E38"/>
    <w:rsid w:val="00053DF1"/>
    <w:rsid w:val="00055024"/>
    <w:rsid w:val="000554C4"/>
    <w:rsid w:val="00055BCE"/>
    <w:rsid w:val="00055F6B"/>
    <w:rsid w:val="00056467"/>
    <w:rsid w:val="00056D23"/>
    <w:rsid w:val="00057D1C"/>
    <w:rsid w:val="00060FC9"/>
    <w:rsid w:val="00060FEF"/>
    <w:rsid w:val="000610F9"/>
    <w:rsid w:val="000615DE"/>
    <w:rsid w:val="000628DD"/>
    <w:rsid w:val="00062E2A"/>
    <w:rsid w:val="0006350C"/>
    <w:rsid w:val="00063523"/>
    <w:rsid w:val="00063C75"/>
    <w:rsid w:val="00063D33"/>
    <w:rsid w:val="00063EB4"/>
    <w:rsid w:val="00063EBF"/>
    <w:rsid w:val="000644AF"/>
    <w:rsid w:val="000645D4"/>
    <w:rsid w:val="0006495D"/>
    <w:rsid w:val="00064E3C"/>
    <w:rsid w:val="0006508C"/>
    <w:rsid w:val="00065248"/>
    <w:rsid w:val="0006564C"/>
    <w:rsid w:val="000658F1"/>
    <w:rsid w:val="00065C3B"/>
    <w:rsid w:val="000662B6"/>
    <w:rsid w:val="00066413"/>
    <w:rsid w:val="00066E51"/>
    <w:rsid w:val="000670EE"/>
    <w:rsid w:val="000677DC"/>
    <w:rsid w:val="00067940"/>
    <w:rsid w:val="000679E8"/>
    <w:rsid w:val="00070650"/>
    <w:rsid w:val="00071DFB"/>
    <w:rsid w:val="00072A53"/>
    <w:rsid w:val="0007312D"/>
    <w:rsid w:val="00073310"/>
    <w:rsid w:val="00074217"/>
    <w:rsid w:val="000744EA"/>
    <w:rsid w:val="00074BC2"/>
    <w:rsid w:val="000758A3"/>
    <w:rsid w:val="00076F55"/>
    <w:rsid w:val="0007755A"/>
    <w:rsid w:val="0008039E"/>
    <w:rsid w:val="00080F6F"/>
    <w:rsid w:val="000812C7"/>
    <w:rsid w:val="0008135C"/>
    <w:rsid w:val="000814BA"/>
    <w:rsid w:val="000815AB"/>
    <w:rsid w:val="0008193C"/>
    <w:rsid w:val="00081DC2"/>
    <w:rsid w:val="00081F4F"/>
    <w:rsid w:val="0008248D"/>
    <w:rsid w:val="00082DED"/>
    <w:rsid w:val="00083D22"/>
    <w:rsid w:val="000850AF"/>
    <w:rsid w:val="00085430"/>
    <w:rsid w:val="00085652"/>
    <w:rsid w:val="000856B0"/>
    <w:rsid w:val="00086625"/>
    <w:rsid w:val="00087259"/>
    <w:rsid w:val="000872B4"/>
    <w:rsid w:val="0008771C"/>
    <w:rsid w:val="00087BFF"/>
    <w:rsid w:val="00087D7D"/>
    <w:rsid w:val="00087E7C"/>
    <w:rsid w:val="0009054B"/>
    <w:rsid w:val="0009106C"/>
    <w:rsid w:val="00091469"/>
    <w:rsid w:val="00091CFF"/>
    <w:rsid w:val="00091D3B"/>
    <w:rsid w:val="00093A98"/>
    <w:rsid w:val="00093C96"/>
    <w:rsid w:val="0009403D"/>
    <w:rsid w:val="00094DE9"/>
    <w:rsid w:val="00095236"/>
    <w:rsid w:val="00095902"/>
    <w:rsid w:val="00095FC7"/>
    <w:rsid w:val="0009626D"/>
    <w:rsid w:val="000976FE"/>
    <w:rsid w:val="0009772E"/>
    <w:rsid w:val="000979FB"/>
    <w:rsid w:val="00097F44"/>
    <w:rsid w:val="00097FAF"/>
    <w:rsid w:val="000A0DA8"/>
    <w:rsid w:val="000A1F0E"/>
    <w:rsid w:val="000A2756"/>
    <w:rsid w:val="000A373B"/>
    <w:rsid w:val="000A3C28"/>
    <w:rsid w:val="000A3DF5"/>
    <w:rsid w:val="000A4284"/>
    <w:rsid w:val="000A435B"/>
    <w:rsid w:val="000A642E"/>
    <w:rsid w:val="000A6D40"/>
    <w:rsid w:val="000A762C"/>
    <w:rsid w:val="000A7E61"/>
    <w:rsid w:val="000B0F26"/>
    <w:rsid w:val="000B17D9"/>
    <w:rsid w:val="000B1823"/>
    <w:rsid w:val="000B3A12"/>
    <w:rsid w:val="000B437C"/>
    <w:rsid w:val="000B44DB"/>
    <w:rsid w:val="000B489F"/>
    <w:rsid w:val="000B4964"/>
    <w:rsid w:val="000B4BE2"/>
    <w:rsid w:val="000B59AC"/>
    <w:rsid w:val="000B623B"/>
    <w:rsid w:val="000B6430"/>
    <w:rsid w:val="000B6D31"/>
    <w:rsid w:val="000B7103"/>
    <w:rsid w:val="000B7B67"/>
    <w:rsid w:val="000C09AB"/>
    <w:rsid w:val="000C0CC8"/>
    <w:rsid w:val="000C1108"/>
    <w:rsid w:val="000C1381"/>
    <w:rsid w:val="000C1618"/>
    <w:rsid w:val="000C1634"/>
    <w:rsid w:val="000C1F87"/>
    <w:rsid w:val="000C2FB3"/>
    <w:rsid w:val="000C425A"/>
    <w:rsid w:val="000C481B"/>
    <w:rsid w:val="000C4A8D"/>
    <w:rsid w:val="000C591A"/>
    <w:rsid w:val="000C5AD8"/>
    <w:rsid w:val="000C5C85"/>
    <w:rsid w:val="000C6FD5"/>
    <w:rsid w:val="000C74BD"/>
    <w:rsid w:val="000D027C"/>
    <w:rsid w:val="000D02D9"/>
    <w:rsid w:val="000D04DA"/>
    <w:rsid w:val="000D07EF"/>
    <w:rsid w:val="000D104D"/>
    <w:rsid w:val="000D1BFC"/>
    <w:rsid w:val="000D2816"/>
    <w:rsid w:val="000D2E1A"/>
    <w:rsid w:val="000D3B1E"/>
    <w:rsid w:val="000D3B8A"/>
    <w:rsid w:val="000D3E1E"/>
    <w:rsid w:val="000D4185"/>
    <w:rsid w:val="000D491D"/>
    <w:rsid w:val="000D6073"/>
    <w:rsid w:val="000D61B6"/>
    <w:rsid w:val="000D6278"/>
    <w:rsid w:val="000D7209"/>
    <w:rsid w:val="000D7379"/>
    <w:rsid w:val="000D75A3"/>
    <w:rsid w:val="000E0341"/>
    <w:rsid w:val="000E067A"/>
    <w:rsid w:val="000E07FB"/>
    <w:rsid w:val="000E0B0F"/>
    <w:rsid w:val="000E0F5C"/>
    <w:rsid w:val="000E114E"/>
    <w:rsid w:val="000E116D"/>
    <w:rsid w:val="000E1422"/>
    <w:rsid w:val="000E3626"/>
    <w:rsid w:val="000E3C09"/>
    <w:rsid w:val="000E4417"/>
    <w:rsid w:val="000E4A89"/>
    <w:rsid w:val="000E4D27"/>
    <w:rsid w:val="000E5273"/>
    <w:rsid w:val="000E5FB3"/>
    <w:rsid w:val="000E7F62"/>
    <w:rsid w:val="000F072C"/>
    <w:rsid w:val="000F0AA7"/>
    <w:rsid w:val="000F0FB3"/>
    <w:rsid w:val="000F1B6A"/>
    <w:rsid w:val="000F2582"/>
    <w:rsid w:val="000F26D3"/>
    <w:rsid w:val="000F35F7"/>
    <w:rsid w:val="000F3FFE"/>
    <w:rsid w:val="000F41B2"/>
    <w:rsid w:val="000F4B54"/>
    <w:rsid w:val="000F6933"/>
    <w:rsid w:val="000F72AA"/>
    <w:rsid w:val="000F767F"/>
    <w:rsid w:val="0010049A"/>
    <w:rsid w:val="00100A9F"/>
    <w:rsid w:val="00100FB9"/>
    <w:rsid w:val="00101813"/>
    <w:rsid w:val="00101A4E"/>
    <w:rsid w:val="00101F1C"/>
    <w:rsid w:val="001027DF"/>
    <w:rsid w:val="001028B7"/>
    <w:rsid w:val="00103125"/>
    <w:rsid w:val="00103730"/>
    <w:rsid w:val="001037F7"/>
    <w:rsid w:val="00103E1F"/>
    <w:rsid w:val="00104FFE"/>
    <w:rsid w:val="001053C1"/>
    <w:rsid w:val="00105887"/>
    <w:rsid w:val="001059CA"/>
    <w:rsid w:val="00105AED"/>
    <w:rsid w:val="00106140"/>
    <w:rsid w:val="001063F8"/>
    <w:rsid w:val="0010670E"/>
    <w:rsid w:val="001067D5"/>
    <w:rsid w:val="00106C02"/>
    <w:rsid w:val="0010743B"/>
    <w:rsid w:val="0010795B"/>
    <w:rsid w:val="00107E8D"/>
    <w:rsid w:val="001102CE"/>
    <w:rsid w:val="00110466"/>
    <w:rsid w:val="001106B3"/>
    <w:rsid w:val="00110E0B"/>
    <w:rsid w:val="00111D44"/>
    <w:rsid w:val="00112067"/>
    <w:rsid w:val="0011211E"/>
    <w:rsid w:val="00112737"/>
    <w:rsid w:val="00112FE2"/>
    <w:rsid w:val="00113093"/>
    <w:rsid w:val="00113333"/>
    <w:rsid w:val="001138A7"/>
    <w:rsid w:val="0011402D"/>
    <w:rsid w:val="001142F5"/>
    <w:rsid w:val="00114882"/>
    <w:rsid w:val="00115959"/>
    <w:rsid w:val="001160D7"/>
    <w:rsid w:val="001168DD"/>
    <w:rsid w:val="00116C65"/>
    <w:rsid w:val="00116DB8"/>
    <w:rsid w:val="00117846"/>
    <w:rsid w:val="00120C9F"/>
    <w:rsid w:val="0012127E"/>
    <w:rsid w:val="00121672"/>
    <w:rsid w:val="00122B38"/>
    <w:rsid w:val="001238B8"/>
    <w:rsid w:val="001242FD"/>
    <w:rsid w:val="00124EFC"/>
    <w:rsid w:val="0012550E"/>
    <w:rsid w:val="00126735"/>
    <w:rsid w:val="0012682B"/>
    <w:rsid w:val="00126A24"/>
    <w:rsid w:val="00126EEE"/>
    <w:rsid w:val="001279ED"/>
    <w:rsid w:val="00127A81"/>
    <w:rsid w:val="00127B94"/>
    <w:rsid w:val="001304D3"/>
    <w:rsid w:val="00130B16"/>
    <w:rsid w:val="00130BF4"/>
    <w:rsid w:val="00131919"/>
    <w:rsid w:val="00131D71"/>
    <w:rsid w:val="001320E4"/>
    <w:rsid w:val="001328B8"/>
    <w:rsid w:val="00132A53"/>
    <w:rsid w:val="00132C3D"/>
    <w:rsid w:val="00134268"/>
    <w:rsid w:val="001346D1"/>
    <w:rsid w:val="0013652F"/>
    <w:rsid w:val="00136745"/>
    <w:rsid w:val="00137615"/>
    <w:rsid w:val="00140EBD"/>
    <w:rsid w:val="00141C6F"/>
    <w:rsid w:val="001431F3"/>
    <w:rsid w:val="00143324"/>
    <w:rsid w:val="00143820"/>
    <w:rsid w:val="00143ADC"/>
    <w:rsid w:val="00143DC7"/>
    <w:rsid w:val="00143ECB"/>
    <w:rsid w:val="00144F91"/>
    <w:rsid w:val="0014586E"/>
    <w:rsid w:val="001458DD"/>
    <w:rsid w:val="0014629D"/>
    <w:rsid w:val="0014638D"/>
    <w:rsid w:val="0014664E"/>
    <w:rsid w:val="00146D57"/>
    <w:rsid w:val="00146E6E"/>
    <w:rsid w:val="00147C05"/>
    <w:rsid w:val="0015005D"/>
    <w:rsid w:val="001504E1"/>
    <w:rsid w:val="00150607"/>
    <w:rsid w:val="00150890"/>
    <w:rsid w:val="00150D6F"/>
    <w:rsid w:val="00150D90"/>
    <w:rsid w:val="0015151C"/>
    <w:rsid w:val="00151C88"/>
    <w:rsid w:val="00151C97"/>
    <w:rsid w:val="0015239F"/>
    <w:rsid w:val="00152855"/>
    <w:rsid w:val="0015286C"/>
    <w:rsid w:val="00152A7E"/>
    <w:rsid w:val="0015302E"/>
    <w:rsid w:val="001534B4"/>
    <w:rsid w:val="00153AAD"/>
    <w:rsid w:val="00154636"/>
    <w:rsid w:val="001549EE"/>
    <w:rsid w:val="00155129"/>
    <w:rsid w:val="001551AB"/>
    <w:rsid w:val="00155475"/>
    <w:rsid w:val="00155759"/>
    <w:rsid w:val="00155B5C"/>
    <w:rsid w:val="00156435"/>
    <w:rsid w:val="001566FA"/>
    <w:rsid w:val="00156EFA"/>
    <w:rsid w:val="00157210"/>
    <w:rsid w:val="001579DA"/>
    <w:rsid w:val="00157EC2"/>
    <w:rsid w:val="0016078B"/>
    <w:rsid w:val="001611DC"/>
    <w:rsid w:val="00161BAC"/>
    <w:rsid w:val="00161CA0"/>
    <w:rsid w:val="00164438"/>
    <w:rsid w:val="00164644"/>
    <w:rsid w:val="00164E5F"/>
    <w:rsid w:val="001650C1"/>
    <w:rsid w:val="001652E0"/>
    <w:rsid w:val="00165EBE"/>
    <w:rsid w:val="00166037"/>
    <w:rsid w:val="0016660F"/>
    <w:rsid w:val="00166F4F"/>
    <w:rsid w:val="00167E71"/>
    <w:rsid w:val="001707F8"/>
    <w:rsid w:val="00170A05"/>
    <w:rsid w:val="001710E4"/>
    <w:rsid w:val="00171715"/>
    <w:rsid w:val="00171D37"/>
    <w:rsid w:val="001723E2"/>
    <w:rsid w:val="001724A2"/>
    <w:rsid w:val="00172A91"/>
    <w:rsid w:val="0017376A"/>
    <w:rsid w:val="00173DC3"/>
    <w:rsid w:val="0017460A"/>
    <w:rsid w:val="00175B21"/>
    <w:rsid w:val="00175C74"/>
    <w:rsid w:val="00175F86"/>
    <w:rsid w:val="001767AA"/>
    <w:rsid w:val="001773C2"/>
    <w:rsid w:val="001773DE"/>
    <w:rsid w:val="001803DE"/>
    <w:rsid w:val="00182033"/>
    <w:rsid w:val="00182318"/>
    <w:rsid w:val="0018240E"/>
    <w:rsid w:val="00182AA1"/>
    <w:rsid w:val="00182DD3"/>
    <w:rsid w:val="001833AC"/>
    <w:rsid w:val="00183780"/>
    <w:rsid w:val="0018378B"/>
    <w:rsid w:val="00183E53"/>
    <w:rsid w:val="0018464A"/>
    <w:rsid w:val="00184B4B"/>
    <w:rsid w:val="001853E7"/>
    <w:rsid w:val="00185501"/>
    <w:rsid w:val="00187071"/>
    <w:rsid w:val="001876B6"/>
    <w:rsid w:val="00187758"/>
    <w:rsid w:val="001879A7"/>
    <w:rsid w:val="00187AFE"/>
    <w:rsid w:val="0019016E"/>
    <w:rsid w:val="00190D6C"/>
    <w:rsid w:val="0019108A"/>
    <w:rsid w:val="001912E0"/>
    <w:rsid w:val="00192CD0"/>
    <w:rsid w:val="00192DBE"/>
    <w:rsid w:val="00194F12"/>
    <w:rsid w:val="001950B1"/>
    <w:rsid w:val="00196015"/>
    <w:rsid w:val="001967DB"/>
    <w:rsid w:val="001A0B0D"/>
    <w:rsid w:val="001A0F63"/>
    <w:rsid w:val="001A1107"/>
    <w:rsid w:val="001A1204"/>
    <w:rsid w:val="001A21E0"/>
    <w:rsid w:val="001A2453"/>
    <w:rsid w:val="001A40A2"/>
    <w:rsid w:val="001A46E1"/>
    <w:rsid w:val="001A5B0B"/>
    <w:rsid w:val="001A6A89"/>
    <w:rsid w:val="001A7004"/>
    <w:rsid w:val="001A7472"/>
    <w:rsid w:val="001A7650"/>
    <w:rsid w:val="001B0837"/>
    <w:rsid w:val="001B1DBB"/>
    <w:rsid w:val="001B2027"/>
    <w:rsid w:val="001B21C1"/>
    <w:rsid w:val="001B2E1D"/>
    <w:rsid w:val="001B37D1"/>
    <w:rsid w:val="001B3FB6"/>
    <w:rsid w:val="001B4134"/>
    <w:rsid w:val="001B444A"/>
    <w:rsid w:val="001B46BA"/>
    <w:rsid w:val="001B482D"/>
    <w:rsid w:val="001B4E1E"/>
    <w:rsid w:val="001B5112"/>
    <w:rsid w:val="001B643B"/>
    <w:rsid w:val="001B662A"/>
    <w:rsid w:val="001C0886"/>
    <w:rsid w:val="001C138D"/>
    <w:rsid w:val="001C1683"/>
    <w:rsid w:val="001C174E"/>
    <w:rsid w:val="001C316F"/>
    <w:rsid w:val="001C3307"/>
    <w:rsid w:val="001C34D4"/>
    <w:rsid w:val="001C3B4F"/>
    <w:rsid w:val="001C4019"/>
    <w:rsid w:val="001C54DB"/>
    <w:rsid w:val="001C5965"/>
    <w:rsid w:val="001C5993"/>
    <w:rsid w:val="001C5BE9"/>
    <w:rsid w:val="001C5E23"/>
    <w:rsid w:val="001C632C"/>
    <w:rsid w:val="001C692F"/>
    <w:rsid w:val="001C6C0A"/>
    <w:rsid w:val="001C7076"/>
    <w:rsid w:val="001C78ED"/>
    <w:rsid w:val="001C7D2C"/>
    <w:rsid w:val="001C7E0C"/>
    <w:rsid w:val="001D075F"/>
    <w:rsid w:val="001D1CF4"/>
    <w:rsid w:val="001D22C6"/>
    <w:rsid w:val="001D2548"/>
    <w:rsid w:val="001D2EB0"/>
    <w:rsid w:val="001D35EC"/>
    <w:rsid w:val="001D380D"/>
    <w:rsid w:val="001D5191"/>
    <w:rsid w:val="001D52D1"/>
    <w:rsid w:val="001D540F"/>
    <w:rsid w:val="001D5CF7"/>
    <w:rsid w:val="001D5E4B"/>
    <w:rsid w:val="001D612C"/>
    <w:rsid w:val="001D6BF1"/>
    <w:rsid w:val="001D6D5D"/>
    <w:rsid w:val="001D7934"/>
    <w:rsid w:val="001E06AD"/>
    <w:rsid w:val="001E0A20"/>
    <w:rsid w:val="001E10B1"/>
    <w:rsid w:val="001E18D5"/>
    <w:rsid w:val="001E28CF"/>
    <w:rsid w:val="001E2A4E"/>
    <w:rsid w:val="001E38AF"/>
    <w:rsid w:val="001E4019"/>
    <w:rsid w:val="001E6659"/>
    <w:rsid w:val="001E6A7B"/>
    <w:rsid w:val="001E733A"/>
    <w:rsid w:val="001E7953"/>
    <w:rsid w:val="001F023E"/>
    <w:rsid w:val="001F0D3C"/>
    <w:rsid w:val="001F1168"/>
    <w:rsid w:val="001F1B14"/>
    <w:rsid w:val="001F1CD3"/>
    <w:rsid w:val="001F217E"/>
    <w:rsid w:val="001F26CE"/>
    <w:rsid w:val="001F31D9"/>
    <w:rsid w:val="001F340F"/>
    <w:rsid w:val="001F3E09"/>
    <w:rsid w:val="001F40B1"/>
    <w:rsid w:val="001F488B"/>
    <w:rsid w:val="001F584D"/>
    <w:rsid w:val="001F5CF4"/>
    <w:rsid w:val="001F5F6A"/>
    <w:rsid w:val="001F6013"/>
    <w:rsid w:val="001F639E"/>
    <w:rsid w:val="001F6F3C"/>
    <w:rsid w:val="001F7855"/>
    <w:rsid w:val="001F7A41"/>
    <w:rsid w:val="001F7A4E"/>
    <w:rsid w:val="001F7E11"/>
    <w:rsid w:val="002005DE"/>
    <w:rsid w:val="002008E2"/>
    <w:rsid w:val="002008E7"/>
    <w:rsid w:val="00200DC9"/>
    <w:rsid w:val="002019D1"/>
    <w:rsid w:val="0020240B"/>
    <w:rsid w:val="00202880"/>
    <w:rsid w:val="00203267"/>
    <w:rsid w:val="002034A3"/>
    <w:rsid w:val="00203C5F"/>
    <w:rsid w:val="0020429F"/>
    <w:rsid w:val="002056D1"/>
    <w:rsid w:val="0020594A"/>
    <w:rsid w:val="00205B1C"/>
    <w:rsid w:val="00206A8C"/>
    <w:rsid w:val="00207329"/>
    <w:rsid w:val="00207459"/>
    <w:rsid w:val="00210492"/>
    <w:rsid w:val="002120B5"/>
    <w:rsid w:val="0021319C"/>
    <w:rsid w:val="00213572"/>
    <w:rsid w:val="002146ED"/>
    <w:rsid w:val="00214817"/>
    <w:rsid w:val="002156F1"/>
    <w:rsid w:val="0021649D"/>
    <w:rsid w:val="00216764"/>
    <w:rsid w:val="00216907"/>
    <w:rsid w:val="00216C92"/>
    <w:rsid w:val="00217131"/>
    <w:rsid w:val="002173B9"/>
    <w:rsid w:val="00217BF0"/>
    <w:rsid w:val="0022029C"/>
    <w:rsid w:val="00220AD9"/>
    <w:rsid w:val="002220F3"/>
    <w:rsid w:val="00222C84"/>
    <w:rsid w:val="00222E8B"/>
    <w:rsid w:val="00223137"/>
    <w:rsid w:val="002235FA"/>
    <w:rsid w:val="00223710"/>
    <w:rsid w:val="00223BEC"/>
    <w:rsid w:val="0022511B"/>
    <w:rsid w:val="002254FB"/>
    <w:rsid w:val="0022551B"/>
    <w:rsid w:val="002262C5"/>
    <w:rsid w:val="002267D5"/>
    <w:rsid w:val="00227208"/>
    <w:rsid w:val="00230487"/>
    <w:rsid w:val="00230C00"/>
    <w:rsid w:val="00232515"/>
    <w:rsid w:val="00232D31"/>
    <w:rsid w:val="002331B3"/>
    <w:rsid w:val="00233755"/>
    <w:rsid w:val="0023381F"/>
    <w:rsid w:val="00234088"/>
    <w:rsid w:val="00234D23"/>
    <w:rsid w:val="00234DF2"/>
    <w:rsid w:val="00235BE8"/>
    <w:rsid w:val="00236B07"/>
    <w:rsid w:val="002375B1"/>
    <w:rsid w:val="002378A7"/>
    <w:rsid w:val="00237BFA"/>
    <w:rsid w:val="00240A5F"/>
    <w:rsid w:val="00241025"/>
    <w:rsid w:val="00241B12"/>
    <w:rsid w:val="00242077"/>
    <w:rsid w:val="0024215C"/>
    <w:rsid w:val="00242464"/>
    <w:rsid w:val="00242D2D"/>
    <w:rsid w:val="00242D68"/>
    <w:rsid w:val="0024308B"/>
    <w:rsid w:val="00243CBF"/>
    <w:rsid w:val="00245D05"/>
    <w:rsid w:val="00245EF8"/>
    <w:rsid w:val="00246321"/>
    <w:rsid w:val="00247242"/>
    <w:rsid w:val="00247A35"/>
    <w:rsid w:val="002506B7"/>
    <w:rsid w:val="00250703"/>
    <w:rsid w:val="002514EE"/>
    <w:rsid w:val="00251DE1"/>
    <w:rsid w:val="002531E3"/>
    <w:rsid w:val="002536B2"/>
    <w:rsid w:val="002536FE"/>
    <w:rsid w:val="002548A9"/>
    <w:rsid w:val="002549B2"/>
    <w:rsid w:val="00254FD3"/>
    <w:rsid w:val="00255543"/>
    <w:rsid w:val="00255665"/>
    <w:rsid w:val="0025586D"/>
    <w:rsid w:val="0025670A"/>
    <w:rsid w:val="00256FC4"/>
    <w:rsid w:val="002577A7"/>
    <w:rsid w:val="002579F6"/>
    <w:rsid w:val="00260326"/>
    <w:rsid w:val="00260EC8"/>
    <w:rsid w:val="00261A27"/>
    <w:rsid w:val="00261D91"/>
    <w:rsid w:val="0026207D"/>
    <w:rsid w:val="00262823"/>
    <w:rsid w:val="00262B79"/>
    <w:rsid w:val="00262F16"/>
    <w:rsid w:val="0026344A"/>
    <w:rsid w:val="00263CF3"/>
    <w:rsid w:val="00263D40"/>
    <w:rsid w:val="00263FD2"/>
    <w:rsid w:val="0026425A"/>
    <w:rsid w:val="0026459B"/>
    <w:rsid w:val="00264713"/>
    <w:rsid w:val="00266577"/>
    <w:rsid w:val="00266ECF"/>
    <w:rsid w:val="002673DE"/>
    <w:rsid w:val="0026741A"/>
    <w:rsid w:val="00267B62"/>
    <w:rsid w:val="00267E22"/>
    <w:rsid w:val="002702A1"/>
    <w:rsid w:val="0027095F"/>
    <w:rsid w:val="00270F8E"/>
    <w:rsid w:val="00271F41"/>
    <w:rsid w:val="002720F9"/>
    <w:rsid w:val="00272CAB"/>
    <w:rsid w:val="00272E75"/>
    <w:rsid w:val="00273906"/>
    <w:rsid w:val="00273B89"/>
    <w:rsid w:val="00273C5E"/>
    <w:rsid w:val="00273D8E"/>
    <w:rsid w:val="00274038"/>
    <w:rsid w:val="00275A90"/>
    <w:rsid w:val="00275D0F"/>
    <w:rsid w:val="00275F6B"/>
    <w:rsid w:val="002760CB"/>
    <w:rsid w:val="00276405"/>
    <w:rsid w:val="00276F61"/>
    <w:rsid w:val="00277649"/>
    <w:rsid w:val="00277B0E"/>
    <w:rsid w:val="00277DFB"/>
    <w:rsid w:val="002816A3"/>
    <w:rsid w:val="00282129"/>
    <w:rsid w:val="00282729"/>
    <w:rsid w:val="0028277F"/>
    <w:rsid w:val="00282BAF"/>
    <w:rsid w:val="00283B18"/>
    <w:rsid w:val="00283C42"/>
    <w:rsid w:val="00284264"/>
    <w:rsid w:val="002858DB"/>
    <w:rsid w:val="00285D41"/>
    <w:rsid w:val="00285E49"/>
    <w:rsid w:val="00286513"/>
    <w:rsid w:val="00286F0F"/>
    <w:rsid w:val="0028736E"/>
    <w:rsid w:val="0028762B"/>
    <w:rsid w:val="00290296"/>
    <w:rsid w:val="00291C04"/>
    <w:rsid w:val="00291E63"/>
    <w:rsid w:val="00291FE4"/>
    <w:rsid w:val="00292239"/>
    <w:rsid w:val="0029255F"/>
    <w:rsid w:val="0029280E"/>
    <w:rsid w:val="00295F72"/>
    <w:rsid w:val="0029601B"/>
    <w:rsid w:val="00296F9C"/>
    <w:rsid w:val="002970A3"/>
    <w:rsid w:val="00297A89"/>
    <w:rsid w:val="00297FD2"/>
    <w:rsid w:val="002A0280"/>
    <w:rsid w:val="002A1512"/>
    <w:rsid w:val="002A2B95"/>
    <w:rsid w:val="002A2E25"/>
    <w:rsid w:val="002A36CB"/>
    <w:rsid w:val="002A427F"/>
    <w:rsid w:val="002A4456"/>
    <w:rsid w:val="002A455B"/>
    <w:rsid w:val="002A5031"/>
    <w:rsid w:val="002A609E"/>
    <w:rsid w:val="002A6840"/>
    <w:rsid w:val="002A7CFA"/>
    <w:rsid w:val="002A7D23"/>
    <w:rsid w:val="002B0227"/>
    <w:rsid w:val="002B0839"/>
    <w:rsid w:val="002B0A0A"/>
    <w:rsid w:val="002B0BBB"/>
    <w:rsid w:val="002B169D"/>
    <w:rsid w:val="002B1797"/>
    <w:rsid w:val="002B27D2"/>
    <w:rsid w:val="002B2E8A"/>
    <w:rsid w:val="002B359D"/>
    <w:rsid w:val="002B3E7D"/>
    <w:rsid w:val="002B4575"/>
    <w:rsid w:val="002B4AF8"/>
    <w:rsid w:val="002B4D7A"/>
    <w:rsid w:val="002B5739"/>
    <w:rsid w:val="002B592A"/>
    <w:rsid w:val="002B5BC1"/>
    <w:rsid w:val="002B62E6"/>
    <w:rsid w:val="002B6630"/>
    <w:rsid w:val="002B7444"/>
    <w:rsid w:val="002B763D"/>
    <w:rsid w:val="002B7890"/>
    <w:rsid w:val="002B789F"/>
    <w:rsid w:val="002B7A19"/>
    <w:rsid w:val="002B7B6A"/>
    <w:rsid w:val="002B7FB0"/>
    <w:rsid w:val="002C2B0F"/>
    <w:rsid w:val="002C2B11"/>
    <w:rsid w:val="002C2CFA"/>
    <w:rsid w:val="002C31F5"/>
    <w:rsid w:val="002C3565"/>
    <w:rsid w:val="002C3BE4"/>
    <w:rsid w:val="002C440C"/>
    <w:rsid w:val="002C58F0"/>
    <w:rsid w:val="002C5BF1"/>
    <w:rsid w:val="002C5D2C"/>
    <w:rsid w:val="002C5EE3"/>
    <w:rsid w:val="002C72CC"/>
    <w:rsid w:val="002C77C4"/>
    <w:rsid w:val="002C7CC0"/>
    <w:rsid w:val="002D000F"/>
    <w:rsid w:val="002D03C1"/>
    <w:rsid w:val="002D03F7"/>
    <w:rsid w:val="002D046B"/>
    <w:rsid w:val="002D0D6A"/>
    <w:rsid w:val="002D0E66"/>
    <w:rsid w:val="002D13CB"/>
    <w:rsid w:val="002D1F2E"/>
    <w:rsid w:val="002D23BF"/>
    <w:rsid w:val="002D2544"/>
    <w:rsid w:val="002D260E"/>
    <w:rsid w:val="002D2AF5"/>
    <w:rsid w:val="002D34F9"/>
    <w:rsid w:val="002D3762"/>
    <w:rsid w:val="002D3903"/>
    <w:rsid w:val="002D3937"/>
    <w:rsid w:val="002D3975"/>
    <w:rsid w:val="002D4021"/>
    <w:rsid w:val="002D4198"/>
    <w:rsid w:val="002D4377"/>
    <w:rsid w:val="002D439A"/>
    <w:rsid w:val="002D4783"/>
    <w:rsid w:val="002D4A62"/>
    <w:rsid w:val="002D5248"/>
    <w:rsid w:val="002D640C"/>
    <w:rsid w:val="002D6A15"/>
    <w:rsid w:val="002D6DB7"/>
    <w:rsid w:val="002D6EF4"/>
    <w:rsid w:val="002D746B"/>
    <w:rsid w:val="002D7B5E"/>
    <w:rsid w:val="002D7F30"/>
    <w:rsid w:val="002E09F9"/>
    <w:rsid w:val="002E1054"/>
    <w:rsid w:val="002E23AD"/>
    <w:rsid w:val="002E2991"/>
    <w:rsid w:val="002E323C"/>
    <w:rsid w:val="002E38C9"/>
    <w:rsid w:val="002E392B"/>
    <w:rsid w:val="002E4BC4"/>
    <w:rsid w:val="002E4ECD"/>
    <w:rsid w:val="002E5090"/>
    <w:rsid w:val="002E596A"/>
    <w:rsid w:val="002E5B58"/>
    <w:rsid w:val="002E67AC"/>
    <w:rsid w:val="002E6F8E"/>
    <w:rsid w:val="002E7D71"/>
    <w:rsid w:val="002E7DD3"/>
    <w:rsid w:val="002F076E"/>
    <w:rsid w:val="002F0A48"/>
    <w:rsid w:val="002F0DD4"/>
    <w:rsid w:val="002F122E"/>
    <w:rsid w:val="002F1314"/>
    <w:rsid w:val="002F15A4"/>
    <w:rsid w:val="002F1651"/>
    <w:rsid w:val="002F1973"/>
    <w:rsid w:val="002F1D3E"/>
    <w:rsid w:val="002F1F54"/>
    <w:rsid w:val="002F3040"/>
    <w:rsid w:val="002F3330"/>
    <w:rsid w:val="002F35C8"/>
    <w:rsid w:val="002F37AD"/>
    <w:rsid w:val="002F391C"/>
    <w:rsid w:val="002F4105"/>
    <w:rsid w:val="002F47B6"/>
    <w:rsid w:val="002F47DF"/>
    <w:rsid w:val="002F5037"/>
    <w:rsid w:val="002F525F"/>
    <w:rsid w:val="002F57FF"/>
    <w:rsid w:val="002F5BBA"/>
    <w:rsid w:val="002F65B6"/>
    <w:rsid w:val="002F6AFC"/>
    <w:rsid w:val="002F7848"/>
    <w:rsid w:val="003009D1"/>
    <w:rsid w:val="003020E2"/>
    <w:rsid w:val="00302B73"/>
    <w:rsid w:val="00303126"/>
    <w:rsid w:val="00303187"/>
    <w:rsid w:val="003034C5"/>
    <w:rsid w:val="00303A8C"/>
    <w:rsid w:val="00303B16"/>
    <w:rsid w:val="00304106"/>
    <w:rsid w:val="00306435"/>
    <w:rsid w:val="003067A9"/>
    <w:rsid w:val="003068FD"/>
    <w:rsid w:val="00306A22"/>
    <w:rsid w:val="00306FAF"/>
    <w:rsid w:val="003071FB"/>
    <w:rsid w:val="00307B64"/>
    <w:rsid w:val="00307C34"/>
    <w:rsid w:val="00307FA9"/>
    <w:rsid w:val="003103C1"/>
    <w:rsid w:val="00310F7B"/>
    <w:rsid w:val="00311744"/>
    <w:rsid w:val="00311AD2"/>
    <w:rsid w:val="00311CF1"/>
    <w:rsid w:val="00313BE3"/>
    <w:rsid w:val="00313F8E"/>
    <w:rsid w:val="0031421F"/>
    <w:rsid w:val="003142DA"/>
    <w:rsid w:val="0031454D"/>
    <w:rsid w:val="00314C06"/>
    <w:rsid w:val="00315DFC"/>
    <w:rsid w:val="00315E53"/>
    <w:rsid w:val="003161CD"/>
    <w:rsid w:val="00316310"/>
    <w:rsid w:val="003174AA"/>
    <w:rsid w:val="00317662"/>
    <w:rsid w:val="003208EE"/>
    <w:rsid w:val="00320950"/>
    <w:rsid w:val="00320D8E"/>
    <w:rsid w:val="003212A7"/>
    <w:rsid w:val="003212CC"/>
    <w:rsid w:val="00321317"/>
    <w:rsid w:val="00321862"/>
    <w:rsid w:val="00321C39"/>
    <w:rsid w:val="003235F8"/>
    <w:rsid w:val="00323659"/>
    <w:rsid w:val="00323EA3"/>
    <w:rsid w:val="00324CFB"/>
    <w:rsid w:val="00327765"/>
    <w:rsid w:val="00327AE6"/>
    <w:rsid w:val="00327D01"/>
    <w:rsid w:val="0033042D"/>
    <w:rsid w:val="00331428"/>
    <w:rsid w:val="0033198E"/>
    <w:rsid w:val="003320A3"/>
    <w:rsid w:val="0033283D"/>
    <w:rsid w:val="00332FCC"/>
    <w:rsid w:val="003336EB"/>
    <w:rsid w:val="003339CE"/>
    <w:rsid w:val="0033401D"/>
    <w:rsid w:val="00334462"/>
    <w:rsid w:val="00334AA4"/>
    <w:rsid w:val="00334E55"/>
    <w:rsid w:val="00335140"/>
    <w:rsid w:val="00335B74"/>
    <w:rsid w:val="003405A6"/>
    <w:rsid w:val="003409D1"/>
    <w:rsid w:val="00340F3E"/>
    <w:rsid w:val="00341104"/>
    <w:rsid w:val="00341196"/>
    <w:rsid w:val="00342E7B"/>
    <w:rsid w:val="00343B3F"/>
    <w:rsid w:val="003441B2"/>
    <w:rsid w:val="00344C34"/>
    <w:rsid w:val="00345213"/>
    <w:rsid w:val="00345340"/>
    <w:rsid w:val="00345D9C"/>
    <w:rsid w:val="00346641"/>
    <w:rsid w:val="00346C8E"/>
    <w:rsid w:val="00346CDD"/>
    <w:rsid w:val="003471AE"/>
    <w:rsid w:val="00347567"/>
    <w:rsid w:val="00347764"/>
    <w:rsid w:val="00347A2C"/>
    <w:rsid w:val="003508E5"/>
    <w:rsid w:val="0035212B"/>
    <w:rsid w:val="003522D3"/>
    <w:rsid w:val="003536E6"/>
    <w:rsid w:val="00354267"/>
    <w:rsid w:val="00354F34"/>
    <w:rsid w:val="0035595B"/>
    <w:rsid w:val="00355ACF"/>
    <w:rsid w:val="00356A9B"/>
    <w:rsid w:val="00357079"/>
    <w:rsid w:val="00357FEB"/>
    <w:rsid w:val="00360913"/>
    <w:rsid w:val="00360F6B"/>
    <w:rsid w:val="0036116B"/>
    <w:rsid w:val="0036225B"/>
    <w:rsid w:val="00362EAF"/>
    <w:rsid w:val="00363093"/>
    <w:rsid w:val="0036321E"/>
    <w:rsid w:val="0036381E"/>
    <w:rsid w:val="003639B9"/>
    <w:rsid w:val="00363D48"/>
    <w:rsid w:val="0036435F"/>
    <w:rsid w:val="003646E9"/>
    <w:rsid w:val="00364C82"/>
    <w:rsid w:val="00364DD8"/>
    <w:rsid w:val="00365274"/>
    <w:rsid w:val="00366190"/>
    <w:rsid w:val="0036660C"/>
    <w:rsid w:val="003666FC"/>
    <w:rsid w:val="00366DAE"/>
    <w:rsid w:val="00371D17"/>
    <w:rsid w:val="00371FB3"/>
    <w:rsid w:val="003722DD"/>
    <w:rsid w:val="003730EB"/>
    <w:rsid w:val="003738DA"/>
    <w:rsid w:val="0037422E"/>
    <w:rsid w:val="00374347"/>
    <w:rsid w:val="00374351"/>
    <w:rsid w:val="00374EA3"/>
    <w:rsid w:val="0037519D"/>
    <w:rsid w:val="00375984"/>
    <w:rsid w:val="003764B0"/>
    <w:rsid w:val="003767A8"/>
    <w:rsid w:val="00376FF2"/>
    <w:rsid w:val="00377543"/>
    <w:rsid w:val="003800FF"/>
    <w:rsid w:val="00381007"/>
    <w:rsid w:val="00381D09"/>
    <w:rsid w:val="00381E7F"/>
    <w:rsid w:val="00382632"/>
    <w:rsid w:val="0038356A"/>
    <w:rsid w:val="003839F9"/>
    <w:rsid w:val="003846E7"/>
    <w:rsid w:val="00385218"/>
    <w:rsid w:val="00386403"/>
    <w:rsid w:val="003864ED"/>
    <w:rsid w:val="00386BEA"/>
    <w:rsid w:val="00387406"/>
    <w:rsid w:val="00390202"/>
    <w:rsid w:val="00391638"/>
    <w:rsid w:val="0039173F"/>
    <w:rsid w:val="0039244D"/>
    <w:rsid w:val="00392AF2"/>
    <w:rsid w:val="00392FC8"/>
    <w:rsid w:val="00393B82"/>
    <w:rsid w:val="00393EB3"/>
    <w:rsid w:val="00394CA4"/>
    <w:rsid w:val="003950F3"/>
    <w:rsid w:val="0039609D"/>
    <w:rsid w:val="00396A36"/>
    <w:rsid w:val="00396CB2"/>
    <w:rsid w:val="0039735C"/>
    <w:rsid w:val="003A0215"/>
    <w:rsid w:val="003A08A2"/>
    <w:rsid w:val="003A08E7"/>
    <w:rsid w:val="003A11C3"/>
    <w:rsid w:val="003A187C"/>
    <w:rsid w:val="003A2309"/>
    <w:rsid w:val="003A3FB6"/>
    <w:rsid w:val="003A6386"/>
    <w:rsid w:val="003A6765"/>
    <w:rsid w:val="003A69F5"/>
    <w:rsid w:val="003A6EFB"/>
    <w:rsid w:val="003B03AE"/>
    <w:rsid w:val="003B096A"/>
    <w:rsid w:val="003B0BE7"/>
    <w:rsid w:val="003B15C9"/>
    <w:rsid w:val="003B1DD4"/>
    <w:rsid w:val="003B21B0"/>
    <w:rsid w:val="003B2425"/>
    <w:rsid w:val="003B299E"/>
    <w:rsid w:val="003B2C5F"/>
    <w:rsid w:val="003B2C82"/>
    <w:rsid w:val="003B3AB5"/>
    <w:rsid w:val="003B3D7E"/>
    <w:rsid w:val="003B4FD7"/>
    <w:rsid w:val="003B501F"/>
    <w:rsid w:val="003B51D1"/>
    <w:rsid w:val="003B57B0"/>
    <w:rsid w:val="003B68D0"/>
    <w:rsid w:val="003B71CA"/>
    <w:rsid w:val="003B7578"/>
    <w:rsid w:val="003C015D"/>
    <w:rsid w:val="003C0241"/>
    <w:rsid w:val="003C191A"/>
    <w:rsid w:val="003C1D65"/>
    <w:rsid w:val="003C22CA"/>
    <w:rsid w:val="003C241A"/>
    <w:rsid w:val="003C2468"/>
    <w:rsid w:val="003C36C9"/>
    <w:rsid w:val="003C3CC5"/>
    <w:rsid w:val="003C4DCF"/>
    <w:rsid w:val="003C5D82"/>
    <w:rsid w:val="003C6961"/>
    <w:rsid w:val="003C7C7A"/>
    <w:rsid w:val="003D018A"/>
    <w:rsid w:val="003D0457"/>
    <w:rsid w:val="003D2C95"/>
    <w:rsid w:val="003D2F72"/>
    <w:rsid w:val="003D3247"/>
    <w:rsid w:val="003D3B43"/>
    <w:rsid w:val="003D4F5F"/>
    <w:rsid w:val="003D523C"/>
    <w:rsid w:val="003D5D4E"/>
    <w:rsid w:val="003D60C9"/>
    <w:rsid w:val="003D6F49"/>
    <w:rsid w:val="003D78F6"/>
    <w:rsid w:val="003D7A40"/>
    <w:rsid w:val="003E02C5"/>
    <w:rsid w:val="003E0544"/>
    <w:rsid w:val="003E10E1"/>
    <w:rsid w:val="003E12D3"/>
    <w:rsid w:val="003E13D6"/>
    <w:rsid w:val="003E1847"/>
    <w:rsid w:val="003E1C49"/>
    <w:rsid w:val="003E2B92"/>
    <w:rsid w:val="003E3097"/>
    <w:rsid w:val="003E33BA"/>
    <w:rsid w:val="003E4E21"/>
    <w:rsid w:val="003E4E9C"/>
    <w:rsid w:val="003E512A"/>
    <w:rsid w:val="003E59B3"/>
    <w:rsid w:val="003E65FF"/>
    <w:rsid w:val="003E753B"/>
    <w:rsid w:val="003E7672"/>
    <w:rsid w:val="003E7939"/>
    <w:rsid w:val="003F042C"/>
    <w:rsid w:val="003F0B01"/>
    <w:rsid w:val="003F1054"/>
    <w:rsid w:val="003F1391"/>
    <w:rsid w:val="003F14EC"/>
    <w:rsid w:val="003F17D8"/>
    <w:rsid w:val="003F1868"/>
    <w:rsid w:val="003F2185"/>
    <w:rsid w:val="003F27F7"/>
    <w:rsid w:val="003F2DDE"/>
    <w:rsid w:val="003F304B"/>
    <w:rsid w:val="003F3473"/>
    <w:rsid w:val="003F4077"/>
    <w:rsid w:val="003F4681"/>
    <w:rsid w:val="003F4E8C"/>
    <w:rsid w:val="003F5194"/>
    <w:rsid w:val="003F5D57"/>
    <w:rsid w:val="003F61D7"/>
    <w:rsid w:val="003F68F5"/>
    <w:rsid w:val="003F7D47"/>
    <w:rsid w:val="003F7F13"/>
    <w:rsid w:val="0040022D"/>
    <w:rsid w:val="00400CE2"/>
    <w:rsid w:val="00401048"/>
    <w:rsid w:val="004020B7"/>
    <w:rsid w:val="0040228E"/>
    <w:rsid w:val="004034C6"/>
    <w:rsid w:val="00403ED6"/>
    <w:rsid w:val="004049D9"/>
    <w:rsid w:val="00404CF2"/>
    <w:rsid w:val="00405065"/>
    <w:rsid w:val="0040576A"/>
    <w:rsid w:val="00406269"/>
    <w:rsid w:val="00406449"/>
    <w:rsid w:val="004064F7"/>
    <w:rsid w:val="00406C5A"/>
    <w:rsid w:val="00406F1A"/>
    <w:rsid w:val="00407270"/>
    <w:rsid w:val="00407D4B"/>
    <w:rsid w:val="00407D9C"/>
    <w:rsid w:val="0041087D"/>
    <w:rsid w:val="004108AE"/>
    <w:rsid w:val="004113E4"/>
    <w:rsid w:val="004115E1"/>
    <w:rsid w:val="00411E11"/>
    <w:rsid w:val="00412416"/>
    <w:rsid w:val="00412786"/>
    <w:rsid w:val="00412EE9"/>
    <w:rsid w:val="00413516"/>
    <w:rsid w:val="0041382E"/>
    <w:rsid w:val="0041389C"/>
    <w:rsid w:val="00413B73"/>
    <w:rsid w:val="0041463E"/>
    <w:rsid w:val="00415243"/>
    <w:rsid w:val="00415784"/>
    <w:rsid w:val="00417035"/>
    <w:rsid w:val="004173D9"/>
    <w:rsid w:val="0041775E"/>
    <w:rsid w:val="00417ACB"/>
    <w:rsid w:val="00417B16"/>
    <w:rsid w:val="00417BCF"/>
    <w:rsid w:val="00421178"/>
    <w:rsid w:val="0042190B"/>
    <w:rsid w:val="00422FBC"/>
    <w:rsid w:val="0042358D"/>
    <w:rsid w:val="00424652"/>
    <w:rsid w:val="00425118"/>
    <w:rsid w:val="00425C0D"/>
    <w:rsid w:val="00425F10"/>
    <w:rsid w:val="00426978"/>
    <w:rsid w:val="00426B61"/>
    <w:rsid w:val="00426CC9"/>
    <w:rsid w:val="00426E27"/>
    <w:rsid w:val="00430381"/>
    <w:rsid w:val="004309EC"/>
    <w:rsid w:val="004315BA"/>
    <w:rsid w:val="00431785"/>
    <w:rsid w:val="004325A2"/>
    <w:rsid w:val="00432D23"/>
    <w:rsid w:val="00432DA4"/>
    <w:rsid w:val="00433105"/>
    <w:rsid w:val="0043314A"/>
    <w:rsid w:val="00433294"/>
    <w:rsid w:val="004336E5"/>
    <w:rsid w:val="0043383A"/>
    <w:rsid w:val="00433CD9"/>
    <w:rsid w:val="00433FA4"/>
    <w:rsid w:val="00433FC0"/>
    <w:rsid w:val="0043455F"/>
    <w:rsid w:val="004352AB"/>
    <w:rsid w:val="004358FD"/>
    <w:rsid w:val="00435C91"/>
    <w:rsid w:val="004364F5"/>
    <w:rsid w:val="00436855"/>
    <w:rsid w:val="00436932"/>
    <w:rsid w:val="00437535"/>
    <w:rsid w:val="00437FF9"/>
    <w:rsid w:val="00440A01"/>
    <w:rsid w:val="00440D1B"/>
    <w:rsid w:val="004417F2"/>
    <w:rsid w:val="00441C8E"/>
    <w:rsid w:val="004420D6"/>
    <w:rsid w:val="00442585"/>
    <w:rsid w:val="004425F8"/>
    <w:rsid w:val="00443017"/>
    <w:rsid w:val="00443BB5"/>
    <w:rsid w:val="00444841"/>
    <w:rsid w:val="00444F11"/>
    <w:rsid w:val="00444F96"/>
    <w:rsid w:val="00445BD5"/>
    <w:rsid w:val="00445D08"/>
    <w:rsid w:val="0044693C"/>
    <w:rsid w:val="004469E0"/>
    <w:rsid w:val="00446BD1"/>
    <w:rsid w:val="00446EA0"/>
    <w:rsid w:val="00447161"/>
    <w:rsid w:val="00450D72"/>
    <w:rsid w:val="00451408"/>
    <w:rsid w:val="00451D4D"/>
    <w:rsid w:val="00452ABB"/>
    <w:rsid w:val="00452F6C"/>
    <w:rsid w:val="0045458C"/>
    <w:rsid w:val="004546B5"/>
    <w:rsid w:val="00455179"/>
    <w:rsid w:val="004579E7"/>
    <w:rsid w:val="00461338"/>
    <w:rsid w:val="00461B1B"/>
    <w:rsid w:val="00461ED8"/>
    <w:rsid w:val="00462556"/>
    <w:rsid w:val="004626ED"/>
    <w:rsid w:val="0046310A"/>
    <w:rsid w:val="00463622"/>
    <w:rsid w:val="00463DBD"/>
    <w:rsid w:val="00464D4B"/>
    <w:rsid w:val="00465178"/>
    <w:rsid w:val="00465482"/>
    <w:rsid w:val="00465669"/>
    <w:rsid w:val="004656D0"/>
    <w:rsid w:val="00465884"/>
    <w:rsid w:val="00466658"/>
    <w:rsid w:val="00467857"/>
    <w:rsid w:val="00467AA0"/>
    <w:rsid w:val="0047002A"/>
    <w:rsid w:val="004703B4"/>
    <w:rsid w:val="00471891"/>
    <w:rsid w:val="0047193A"/>
    <w:rsid w:val="00471DC1"/>
    <w:rsid w:val="00471E1C"/>
    <w:rsid w:val="00471EE1"/>
    <w:rsid w:val="00472036"/>
    <w:rsid w:val="0047294B"/>
    <w:rsid w:val="00475081"/>
    <w:rsid w:val="004759B3"/>
    <w:rsid w:val="00475EF4"/>
    <w:rsid w:val="00476448"/>
    <w:rsid w:val="00480729"/>
    <w:rsid w:val="00480E92"/>
    <w:rsid w:val="00481CA1"/>
    <w:rsid w:val="004822E1"/>
    <w:rsid w:val="0048318A"/>
    <w:rsid w:val="00483C75"/>
    <w:rsid w:val="00483C8C"/>
    <w:rsid w:val="00484464"/>
    <w:rsid w:val="004849F9"/>
    <w:rsid w:val="00484C97"/>
    <w:rsid w:val="00484CDB"/>
    <w:rsid w:val="00485DE5"/>
    <w:rsid w:val="004862AA"/>
    <w:rsid w:val="00486A6F"/>
    <w:rsid w:val="00490548"/>
    <w:rsid w:val="0049055E"/>
    <w:rsid w:val="00490D59"/>
    <w:rsid w:val="00490E73"/>
    <w:rsid w:val="00491026"/>
    <w:rsid w:val="00491417"/>
    <w:rsid w:val="00492A21"/>
    <w:rsid w:val="00493441"/>
    <w:rsid w:val="00493EBD"/>
    <w:rsid w:val="00496146"/>
    <w:rsid w:val="00496890"/>
    <w:rsid w:val="004A0372"/>
    <w:rsid w:val="004A1CE7"/>
    <w:rsid w:val="004A1E85"/>
    <w:rsid w:val="004A1F5A"/>
    <w:rsid w:val="004A256A"/>
    <w:rsid w:val="004A2643"/>
    <w:rsid w:val="004A28A0"/>
    <w:rsid w:val="004A32EF"/>
    <w:rsid w:val="004A357A"/>
    <w:rsid w:val="004A3A12"/>
    <w:rsid w:val="004A4A1E"/>
    <w:rsid w:val="004A5ED8"/>
    <w:rsid w:val="004A6C59"/>
    <w:rsid w:val="004A6DFC"/>
    <w:rsid w:val="004A733C"/>
    <w:rsid w:val="004B0508"/>
    <w:rsid w:val="004B060F"/>
    <w:rsid w:val="004B0FA0"/>
    <w:rsid w:val="004B1044"/>
    <w:rsid w:val="004B26B7"/>
    <w:rsid w:val="004B28BA"/>
    <w:rsid w:val="004B2A4E"/>
    <w:rsid w:val="004B3404"/>
    <w:rsid w:val="004B379B"/>
    <w:rsid w:val="004B3A6A"/>
    <w:rsid w:val="004B3A91"/>
    <w:rsid w:val="004B4443"/>
    <w:rsid w:val="004B485A"/>
    <w:rsid w:val="004B5170"/>
    <w:rsid w:val="004B54C1"/>
    <w:rsid w:val="004B5B3A"/>
    <w:rsid w:val="004B5DEC"/>
    <w:rsid w:val="004B61DD"/>
    <w:rsid w:val="004B6E5B"/>
    <w:rsid w:val="004B716D"/>
    <w:rsid w:val="004B751F"/>
    <w:rsid w:val="004B7693"/>
    <w:rsid w:val="004B791F"/>
    <w:rsid w:val="004C00DB"/>
    <w:rsid w:val="004C08A9"/>
    <w:rsid w:val="004C12D6"/>
    <w:rsid w:val="004C3011"/>
    <w:rsid w:val="004C31F2"/>
    <w:rsid w:val="004C349A"/>
    <w:rsid w:val="004C3B9E"/>
    <w:rsid w:val="004C3CEB"/>
    <w:rsid w:val="004C473D"/>
    <w:rsid w:val="004C48B2"/>
    <w:rsid w:val="004C49F9"/>
    <w:rsid w:val="004C4AE2"/>
    <w:rsid w:val="004C5089"/>
    <w:rsid w:val="004C536C"/>
    <w:rsid w:val="004C5B17"/>
    <w:rsid w:val="004C5FFA"/>
    <w:rsid w:val="004C62C9"/>
    <w:rsid w:val="004C630E"/>
    <w:rsid w:val="004C7B85"/>
    <w:rsid w:val="004D0863"/>
    <w:rsid w:val="004D0A23"/>
    <w:rsid w:val="004D0DFB"/>
    <w:rsid w:val="004D1410"/>
    <w:rsid w:val="004D18E5"/>
    <w:rsid w:val="004D1A7B"/>
    <w:rsid w:val="004D1BD1"/>
    <w:rsid w:val="004D2AA8"/>
    <w:rsid w:val="004D2CC8"/>
    <w:rsid w:val="004D354F"/>
    <w:rsid w:val="004D42E9"/>
    <w:rsid w:val="004D42FD"/>
    <w:rsid w:val="004D449D"/>
    <w:rsid w:val="004D4CE7"/>
    <w:rsid w:val="004D53BA"/>
    <w:rsid w:val="004D61FB"/>
    <w:rsid w:val="004D6F1F"/>
    <w:rsid w:val="004D7014"/>
    <w:rsid w:val="004D7071"/>
    <w:rsid w:val="004D714C"/>
    <w:rsid w:val="004E0DE5"/>
    <w:rsid w:val="004E145D"/>
    <w:rsid w:val="004E1A19"/>
    <w:rsid w:val="004E2061"/>
    <w:rsid w:val="004E2CFE"/>
    <w:rsid w:val="004E327B"/>
    <w:rsid w:val="004E3BA8"/>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A41"/>
    <w:rsid w:val="004F2AB6"/>
    <w:rsid w:val="004F2D89"/>
    <w:rsid w:val="004F3DC9"/>
    <w:rsid w:val="004F47BB"/>
    <w:rsid w:val="004F4FCB"/>
    <w:rsid w:val="004F57CD"/>
    <w:rsid w:val="004F584D"/>
    <w:rsid w:val="004F5D84"/>
    <w:rsid w:val="004F688C"/>
    <w:rsid w:val="004F6AB4"/>
    <w:rsid w:val="004F6F75"/>
    <w:rsid w:val="004F7472"/>
    <w:rsid w:val="004F74CD"/>
    <w:rsid w:val="004F7590"/>
    <w:rsid w:val="005008CB"/>
    <w:rsid w:val="00500ED0"/>
    <w:rsid w:val="005012D6"/>
    <w:rsid w:val="00501A57"/>
    <w:rsid w:val="00502172"/>
    <w:rsid w:val="0050241C"/>
    <w:rsid w:val="00502FFE"/>
    <w:rsid w:val="0050362F"/>
    <w:rsid w:val="00503DBD"/>
    <w:rsid w:val="00504517"/>
    <w:rsid w:val="00504B83"/>
    <w:rsid w:val="00505196"/>
    <w:rsid w:val="00505AC4"/>
    <w:rsid w:val="005064AE"/>
    <w:rsid w:val="00506CB8"/>
    <w:rsid w:val="00507387"/>
    <w:rsid w:val="005107BB"/>
    <w:rsid w:val="00510C3F"/>
    <w:rsid w:val="00510C5D"/>
    <w:rsid w:val="00510D58"/>
    <w:rsid w:val="005114BC"/>
    <w:rsid w:val="005114FC"/>
    <w:rsid w:val="00511C7F"/>
    <w:rsid w:val="00511E7F"/>
    <w:rsid w:val="00511EA2"/>
    <w:rsid w:val="00511FE4"/>
    <w:rsid w:val="005121A3"/>
    <w:rsid w:val="00512781"/>
    <w:rsid w:val="00513572"/>
    <w:rsid w:val="005142CF"/>
    <w:rsid w:val="00514502"/>
    <w:rsid w:val="00514974"/>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34D6"/>
    <w:rsid w:val="00523DD8"/>
    <w:rsid w:val="00523E44"/>
    <w:rsid w:val="005246D2"/>
    <w:rsid w:val="00524929"/>
    <w:rsid w:val="0052524B"/>
    <w:rsid w:val="00525441"/>
    <w:rsid w:val="005259BF"/>
    <w:rsid w:val="00525D7F"/>
    <w:rsid w:val="00525FAC"/>
    <w:rsid w:val="0052673A"/>
    <w:rsid w:val="00526F8B"/>
    <w:rsid w:val="005275C8"/>
    <w:rsid w:val="00527AA9"/>
    <w:rsid w:val="00527C67"/>
    <w:rsid w:val="00527CDF"/>
    <w:rsid w:val="00531334"/>
    <w:rsid w:val="00531480"/>
    <w:rsid w:val="005317B9"/>
    <w:rsid w:val="0053242F"/>
    <w:rsid w:val="00533E56"/>
    <w:rsid w:val="00534295"/>
    <w:rsid w:val="005343FA"/>
    <w:rsid w:val="00535FB1"/>
    <w:rsid w:val="0053619C"/>
    <w:rsid w:val="00536651"/>
    <w:rsid w:val="00536729"/>
    <w:rsid w:val="00536854"/>
    <w:rsid w:val="00536881"/>
    <w:rsid w:val="00536DA1"/>
    <w:rsid w:val="00536FFF"/>
    <w:rsid w:val="00537E6B"/>
    <w:rsid w:val="0054010D"/>
    <w:rsid w:val="0054038D"/>
    <w:rsid w:val="005404FC"/>
    <w:rsid w:val="00541033"/>
    <w:rsid w:val="00541961"/>
    <w:rsid w:val="00542DC7"/>
    <w:rsid w:val="005432B3"/>
    <w:rsid w:val="0054391C"/>
    <w:rsid w:val="00543A22"/>
    <w:rsid w:val="00545455"/>
    <w:rsid w:val="00545768"/>
    <w:rsid w:val="00546775"/>
    <w:rsid w:val="00547353"/>
    <w:rsid w:val="00547B9C"/>
    <w:rsid w:val="00547C08"/>
    <w:rsid w:val="00550D4A"/>
    <w:rsid w:val="00550F67"/>
    <w:rsid w:val="00551296"/>
    <w:rsid w:val="005513B0"/>
    <w:rsid w:val="005513B5"/>
    <w:rsid w:val="0055190D"/>
    <w:rsid w:val="00552315"/>
    <w:rsid w:val="0055360E"/>
    <w:rsid w:val="0055484B"/>
    <w:rsid w:val="00554D9B"/>
    <w:rsid w:val="00554DF4"/>
    <w:rsid w:val="0055583C"/>
    <w:rsid w:val="00555A48"/>
    <w:rsid w:val="00555AF8"/>
    <w:rsid w:val="00555B73"/>
    <w:rsid w:val="0055602D"/>
    <w:rsid w:val="00556039"/>
    <w:rsid w:val="005568F1"/>
    <w:rsid w:val="00556A5A"/>
    <w:rsid w:val="00556CD6"/>
    <w:rsid w:val="0055734C"/>
    <w:rsid w:val="00557535"/>
    <w:rsid w:val="0055780D"/>
    <w:rsid w:val="0056034A"/>
    <w:rsid w:val="0056053B"/>
    <w:rsid w:val="0056080F"/>
    <w:rsid w:val="00560A1B"/>
    <w:rsid w:val="00561281"/>
    <w:rsid w:val="005612C0"/>
    <w:rsid w:val="005612DA"/>
    <w:rsid w:val="00561BFE"/>
    <w:rsid w:val="00561D0A"/>
    <w:rsid w:val="005621A3"/>
    <w:rsid w:val="00562755"/>
    <w:rsid w:val="00563548"/>
    <w:rsid w:val="005668A2"/>
    <w:rsid w:val="00566E89"/>
    <w:rsid w:val="00566EAD"/>
    <w:rsid w:val="00566FDF"/>
    <w:rsid w:val="0056748A"/>
    <w:rsid w:val="005720EE"/>
    <w:rsid w:val="00572982"/>
    <w:rsid w:val="00572F00"/>
    <w:rsid w:val="005737CA"/>
    <w:rsid w:val="0057386E"/>
    <w:rsid w:val="005739EB"/>
    <w:rsid w:val="00574787"/>
    <w:rsid w:val="00574825"/>
    <w:rsid w:val="0057500E"/>
    <w:rsid w:val="0057506E"/>
    <w:rsid w:val="00575EC6"/>
    <w:rsid w:val="00576010"/>
    <w:rsid w:val="0057650B"/>
    <w:rsid w:val="005767E0"/>
    <w:rsid w:val="0057770B"/>
    <w:rsid w:val="00577733"/>
    <w:rsid w:val="00580808"/>
    <w:rsid w:val="00581EEA"/>
    <w:rsid w:val="00582746"/>
    <w:rsid w:val="0058420F"/>
    <w:rsid w:val="00584C78"/>
    <w:rsid w:val="00585D0A"/>
    <w:rsid w:val="00586188"/>
    <w:rsid w:val="00586A00"/>
    <w:rsid w:val="00586ADE"/>
    <w:rsid w:val="00586CBA"/>
    <w:rsid w:val="00587081"/>
    <w:rsid w:val="00587952"/>
    <w:rsid w:val="00587A7F"/>
    <w:rsid w:val="00587A9A"/>
    <w:rsid w:val="00587FA2"/>
    <w:rsid w:val="0059028F"/>
    <w:rsid w:val="00590783"/>
    <w:rsid w:val="00590CD5"/>
    <w:rsid w:val="00591B1E"/>
    <w:rsid w:val="00592BCC"/>
    <w:rsid w:val="005931F7"/>
    <w:rsid w:val="0059337E"/>
    <w:rsid w:val="00593BCE"/>
    <w:rsid w:val="005944E3"/>
    <w:rsid w:val="00594BA5"/>
    <w:rsid w:val="00594C00"/>
    <w:rsid w:val="0059500D"/>
    <w:rsid w:val="0059541D"/>
    <w:rsid w:val="00595656"/>
    <w:rsid w:val="0059654A"/>
    <w:rsid w:val="00596B8D"/>
    <w:rsid w:val="00596FFA"/>
    <w:rsid w:val="00597D8A"/>
    <w:rsid w:val="005A0047"/>
    <w:rsid w:val="005A04BE"/>
    <w:rsid w:val="005A175D"/>
    <w:rsid w:val="005A1CB4"/>
    <w:rsid w:val="005A2482"/>
    <w:rsid w:val="005A27EB"/>
    <w:rsid w:val="005A3377"/>
    <w:rsid w:val="005A33C7"/>
    <w:rsid w:val="005A3F7F"/>
    <w:rsid w:val="005A43CA"/>
    <w:rsid w:val="005A4E0B"/>
    <w:rsid w:val="005A57BE"/>
    <w:rsid w:val="005A5F24"/>
    <w:rsid w:val="005A6329"/>
    <w:rsid w:val="005A721F"/>
    <w:rsid w:val="005A75E1"/>
    <w:rsid w:val="005A7AD4"/>
    <w:rsid w:val="005A7AF4"/>
    <w:rsid w:val="005B0300"/>
    <w:rsid w:val="005B0DC9"/>
    <w:rsid w:val="005B1C23"/>
    <w:rsid w:val="005B1E68"/>
    <w:rsid w:val="005B333F"/>
    <w:rsid w:val="005B3572"/>
    <w:rsid w:val="005B44FB"/>
    <w:rsid w:val="005B4694"/>
    <w:rsid w:val="005B58F5"/>
    <w:rsid w:val="005B76C1"/>
    <w:rsid w:val="005B7D30"/>
    <w:rsid w:val="005C040C"/>
    <w:rsid w:val="005C08FC"/>
    <w:rsid w:val="005C1D7D"/>
    <w:rsid w:val="005C2835"/>
    <w:rsid w:val="005C3976"/>
    <w:rsid w:val="005C39C9"/>
    <w:rsid w:val="005C3CA4"/>
    <w:rsid w:val="005C448D"/>
    <w:rsid w:val="005C4636"/>
    <w:rsid w:val="005C49A6"/>
    <w:rsid w:val="005C5510"/>
    <w:rsid w:val="005C60BB"/>
    <w:rsid w:val="005C6A41"/>
    <w:rsid w:val="005C714F"/>
    <w:rsid w:val="005C77E9"/>
    <w:rsid w:val="005C7CB9"/>
    <w:rsid w:val="005C7D4F"/>
    <w:rsid w:val="005C7F45"/>
    <w:rsid w:val="005D1957"/>
    <w:rsid w:val="005D231D"/>
    <w:rsid w:val="005D30C8"/>
    <w:rsid w:val="005D32E0"/>
    <w:rsid w:val="005D3315"/>
    <w:rsid w:val="005D43A4"/>
    <w:rsid w:val="005D52FC"/>
    <w:rsid w:val="005D5A5D"/>
    <w:rsid w:val="005D5AAA"/>
    <w:rsid w:val="005D66A4"/>
    <w:rsid w:val="005D680D"/>
    <w:rsid w:val="005D6CD5"/>
    <w:rsid w:val="005D702E"/>
    <w:rsid w:val="005D75FC"/>
    <w:rsid w:val="005D7B3C"/>
    <w:rsid w:val="005D7E32"/>
    <w:rsid w:val="005E069B"/>
    <w:rsid w:val="005E13EE"/>
    <w:rsid w:val="005E1D0F"/>
    <w:rsid w:val="005E2D10"/>
    <w:rsid w:val="005E374C"/>
    <w:rsid w:val="005E40B2"/>
    <w:rsid w:val="005E412E"/>
    <w:rsid w:val="005E4450"/>
    <w:rsid w:val="005E5034"/>
    <w:rsid w:val="005E552C"/>
    <w:rsid w:val="005E59AB"/>
    <w:rsid w:val="005E5DDF"/>
    <w:rsid w:val="005E6D25"/>
    <w:rsid w:val="005E7C48"/>
    <w:rsid w:val="005F0145"/>
    <w:rsid w:val="005F0977"/>
    <w:rsid w:val="005F0AA1"/>
    <w:rsid w:val="005F1242"/>
    <w:rsid w:val="005F1DB7"/>
    <w:rsid w:val="005F230C"/>
    <w:rsid w:val="005F2B93"/>
    <w:rsid w:val="005F2D86"/>
    <w:rsid w:val="005F348A"/>
    <w:rsid w:val="005F410F"/>
    <w:rsid w:val="005F4911"/>
    <w:rsid w:val="005F518E"/>
    <w:rsid w:val="005F6D5B"/>
    <w:rsid w:val="005F74CC"/>
    <w:rsid w:val="005F75AE"/>
    <w:rsid w:val="005F78EC"/>
    <w:rsid w:val="005F7F9C"/>
    <w:rsid w:val="00600353"/>
    <w:rsid w:val="0060188B"/>
    <w:rsid w:val="006020F5"/>
    <w:rsid w:val="0060234F"/>
    <w:rsid w:val="00603019"/>
    <w:rsid w:val="0060307D"/>
    <w:rsid w:val="00603C13"/>
    <w:rsid w:val="00604409"/>
    <w:rsid w:val="0060468E"/>
    <w:rsid w:val="006047D0"/>
    <w:rsid w:val="00604AAB"/>
    <w:rsid w:val="00605722"/>
    <w:rsid w:val="006059D2"/>
    <w:rsid w:val="00605F88"/>
    <w:rsid w:val="00606214"/>
    <w:rsid w:val="006066E3"/>
    <w:rsid w:val="00606D0D"/>
    <w:rsid w:val="00610395"/>
    <w:rsid w:val="0061131A"/>
    <w:rsid w:val="00611CC3"/>
    <w:rsid w:val="00611F0C"/>
    <w:rsid w:val="00611FC5"/>
    <w:rsid w:val="00612565"/>
    <w:rsid w:val="006133B4"/>
    <w:rsid w:val="00613A91"/>
    <w:rsid w:val="0061471B"/>
    <w:rsid w:val="00615A54"/>
    <w:rsid w:val="00615AAB"/>
    <w:rsid w:val="00616C5F"/>
    <w:rsid w:val="00617BC1"/>
    <w:rsid w:val="00620197"/>
    <w:rsid w:val="006211A3"/>
    <w:rsid w:val="006212BA"/>
    <w:rsid w:val="00622CE4"/>
    <w:rsid w:val="006234E3"/>
    <w:rsid w:val="00623BF4"/>
    <w:rsid w:val="00623FBC"/>
    <w:rsid w:val="006242DA"/>
    <w:rsid w:val="00624873"/>
    <w:rsid w:val="00624C48"/>
    <w:rsid w:val="006252A9"/>
    <w:rsid w:val="0062566D"/>
    <w:rsid w:val="00625EBB"/>
    <w:rsid w:val="00625F8B"/>
    <w:rsid w:val="00626968"/>
    <w:rsid w:val="00626BA4"/>
    <w:rsid w:val="00626CE1"/>
    <w:rsid w:val="00626EDC"/>
    <w:rsid w:val="00627677"/>
    <w:rsid w:val="0062794F"/>
    <w:rsid w:val="00627B9C"/>
    <w:rsid w:val="00627E84"/>
    <w:rsid w:val="00630559"/>
    <w:rsid w:val="00630CC4"/>
    <w:rsid w:val="00631181"/>
    <w:rsid w:val="0063160B"/>
    <w:rsid w:val="00631853"/>
    <w:rsid w:val="006318A4"/>
    <w:rsid w:val="00632366"/>
    <w:rsid w:val="0063281A"/>
    <w:rsid w:val="00632CA8"/>
    <w:rsid w:val="0063300F"/>
    <w:rsid w:val="00633709"/>
    <w:rsid w:val="006338A9"/>
    <w:rsid w:val="00633B3C"/>
    <w:rsid w:val="00633DBD"/>
    <w:rsid w:val="006346A1"/>
    <w:rsid w:val="00635C58"/>
    <w:rsid w:val="00635E0E"/>
    <w:rsid w:val="0063616E"/>
    <w:rsid w:val="00636415"/>
    <w:rsid w:val="00636D98"/>
    <w:rsid w:val="006375F4"/>
    <w:rsid w:val="00637E22"/>
    <w:rsid w:val="0064046B"/>
    <w:rsid w:val="00640867"/>
    <w:rsid w:val="006413D4"/>
    <w:rsid w:val="006424D5"/>
    <w:rsid w:val="006426AB"/>
    <w:rsid w:val="006433F5"/>
    <w:rsid w:val="006435B1"/>
    <w:rsid w:val="00643C1E"/>
    <w:rsid w:val="00644735"/>
    <w:rsid w:val="00644C11"/>
    <w:rsid w:val="00645638"/>
    <w:rsid w:val="00645AC0"/>
    <w:rsid w:val="0064615C"/>
    <w:rsid w:val="006462B8"/>
    <w:rsid w:val="00647BAF"/>
    <w:rsid w:val="0065044A"/>
    <w:rsid w:val="006504F6"/>
    <w:rsid w:val="006508AF"/>
    <w:rsid w:val="00650CE0"/>
    <w:rsid w:val="0065164E"/>
    <w:rsid w:val="00652A2D"/>
    <w:rsid w:val="0065347C"/>
    <w:rsid w:val="00654289"/>
    <w:rsid w:val="00654602"/>
    <w:rsid w:val="00654CCF"/>
    <w:rsid w:val="00654E22"/>
    <w:rsid w:val="00655596"/>
    <w:rsid w:val="00656C2E"/>
    <w:rsid w:val="006572CA"/>
    <w:rsid w:val="0065749F"/>
    <w:rsid w:val="006577FB"/>
    <w:rsid w:val="006577FF"/>
    <w:rsid w:val="00657B60"/>
    <w:rsid w:val="00657CF1"/>
    <w:rsid w:val="006600FD"/>
    <w:rsid w:val="006601B5"/>
    <w:rsid w:val="0066031B"/>
    <w:rsid w:val="006607B3"/>
    <w:rsid w:val="006610C1"/>
    <w:rsid w:val="006614D1"/>
    <w:rsid w:val="00662E4F"/>
    <w:rsid w:val="00662F68"/>
    <w:rsid w:val="00663178"/>
    <w:rsid w:val="00663743"/>
    <w:rsid w:val="0066414C"/>
    <w:rsid w:val="00664592"/>
    <w:rsid w:val="0066487C"/>
    <w:rsid w:val="00664B55"/>
    <w:rsid w:val="00665621"/>
    <w:rsid w:val="00665CC4"/>
    <w:rsid w:val="00670164"/>
    <w:rsid w:val="00670EC2"/>
    <w:rsid w:val="0067135E"/>
    <w:rsid w:val="00671384"/>
    <w:rsid w:val="006716BB"/>
    <w:rsid w:val="006720FA"/>
    <w:rsid w:val="00672434"/>
    <w:rsid w:val="00672850"/>
    <w:rsid w:val="00672CE1"/>
    <w:rsid w:val="00673CE6"/>
    <w:rsid w:val="006748F1"/>
    <w:rsid w:val="00675557"/>
    <w:rsid w:val="00675B1A"/>
    <w:rsid w:val="00676139"/>
    <w:rsid w:val="0067696D"/>
    <w:rsid w:val="00676993"/>
    <w:rsid w:val="00677167"/>
    <w:rsid w:val="0067766F"/>
    <w:rsid w:val="006811E4"/>
    <w:rsid w:val="00681B6A"/>
    <w:rsid w:val="00682154"/>
    <w:rsid w:val="00682ACD"/>
    <w:rsid w:val="00682EF4"/>
    <w:rsid w:val="00683A31"/>
    <w:rsid w:val="00684034"/>
    <w:rsid w:val="006841AB"/>
    <w:rsid w:val="006844DA"/>
    <w:rsid w:val="006856E4"/>
    <w:rsid w:val="00685942"/>
    <w:rsid w:val="00685D70"/>
    <w:rsid w:val="00685E23"/>
    <w:rsid w:val="00686715"/>
    <w:rsid w:val="00687E8C"/>
    <w:rsid w:val="006909FF"/>
    <w:rsid w:val="00690BA1"/>
    <w:rsid w:val="0069124D"/>
    <w:rsid w:val="00691AD6"/>
    <w:rsid w:val="00691BA5"/>
    <w:rsid w:val="00692294"/>
    <w:rsid w:val="00692319"/>
    <w:rsid w:val="00692DE7"/>
    <w:rsid w:val="00692E5F"/>
    <w:rsid w:val="00692F34"/>
    <w:rsid w:val="0069363D"/>
    <w:rsid w:val="0069411A"/>
    <w:rsid w:val="006944E4"/>
    <w:rsid w:val="006945E0"/>
    <w:rsid w:val="00694823"/>
    <w:rsid w:val="00695314"/>
    <w:rsid w:val="006956FA"/>
    <w:rsid w:val="006956FC"/>
    <w:rsid w:val="00695AE6"/>
    <w:rsid w:val="00695EAE"/>
    <w:rsid w:val="00696D32"/>
    <w:rsid w:val="00697015"/>
    <w:rsid w:val="00697859"/>
    <w:rsid w:val="00697D9E"/>
    <w:rsid w:val="006A0352"/>
    <w:rsid w:val="006A0743"/>
    <w:rsid w:val="006A0B7C"/>
    <w:rsid w:val="006A0C7E"/>
    <w:rsid w:val="006A0DE6"/>
    <w:rsid w:val="006A1C88"/>
    <w:rsid w:val="006A2429"/>
    <w:rsid w:val="006A2BF0"/>
    <w:rsid w:val="006A2C68"/>
    <w:rsid w:val="006A3834"/>
    <w:rsid w:val="006A3A43"/>
    <w:rsid w:val="006A3A77"/>
    <w:rsid w:val="006A3BF4"/>
    <w:rsid w:val="006A4882"/>
    <w:rsid w:val="006A568D"/>
    <w:rsid w:val="006A5F0C"/>
    <w:rsid w:val="006A5F63"/>
    <w:rsid w:val="006A6F09"/>
    <w:rsid w:val="006A780D"/>
    <w:rsid w:val="006B0630"/>
    <w:rsid w:val="006B08A3"/>
    <w:rsid w:val="006B0EA7"/>
    <w:rsid w:val="006B1C59"/>
    <w:rsid w:val="006B1E28"/>
    <w:rsid w:val="006B1F59"/>
    <w:rsid w:val="006B1FA8"/>
    <w:rsid w:val="006B26C0"/>
    <w:rsid w:val="006B2B6D"/>
    <w:rsid w:val="006B2DA7"/>
    <w:rsid w:val="006B3432"/>
    <w:rsid w:val="006B372C"/>
    <w:rsid w:val="006B3B5E"/>
    <w:rsid w:val="006B3CAB"/>
    <w:rsid w:val="006B4813"/>
    <w:rsid w:val="006B4F03"/>
    <w:rsid w:val="006B5121"/>
    <w:rsid w:val="006B5597"/>
    <w:rsid w:val="006B6520"/>
    <w:rsid w:val="006B655C"/>
    <w:rsid w:val="006B6A6E"/>
    <w:rsid w:val="006B6BA9"/>
    <w:rsid w:val="006B7558"/>
    <w:rsid w:val="006C086B"/>
    <w:rsid w:val="006C0A76"/>
    <w:rsid w:val="006C0BA6"/>
    <w:rsid w:val="006C1444"/>
    <w:rsid w:val="006C1EF2"/>
    <w:rsid w:val="006C224F"/>
    <w:rsid w:val="006C234A"/>
    <w:rsid w:val="006C2356"/>
    <w:rsid w:val="006C23FE"/>
    <w:rsid w:val="006C25E0"/>
    <w:rsid w:val="006C42F9"/>
    <w:rsid w:val="006C4596"/>
    <w:rsid w:val="006C502E"/>
    <w:rsid w:val="006C577F"/>
    <w:rsid w:val="006C58B8"/>
    <w:rsid w:val="006C5E29"/>
    <w:rsid w:val="006C5F9A"/>
    <w:rsid w:val="006C6A44"/>
    <w:rsid w:val="006D02C6"/>
    <w:rsid w:val="006D02D4"/>
    <w:rsid w:val="006D0442"/>
    <w:rsid w:val="006D1199"/>
    <w:rsid w:val="006D11AC"/>
    <w:rsid w:val="006D4AD1"/>
    <w:rsid w:val="006D5311"/>
    <w:rsid w:val="006D5CEB"/>
    <w:rsid w:val="006D6268"/>
    <w:rsid w:val="006D6F24"/>
    <w:rsid w:val="006D7361"/>
    <w:rsid w:val="006D777D"/>
    <w:rsid w:val="006E0938"/>
    <w:rsid w:val="006E0A0A"/>
    <w:rsid w:val="006E0C51"/>
    <w:rsid w:val="006E0F8E"/>
    <w:rsid w:val="006E15E8"/>
    <w:rsid w:val="006E1B9D"/>
    <w:rsid w:val="006E1D65"/>
    <w:rsid w:val="006E2462"/>
    <w:rsid w:val="006E35E2"/>
    <w:rsid w:val="006E3DB5"/>
    <w:rsid w:val="006E470C"/>
    <w:rsid w:val="006E515A"/>
    <w:rsid w:val="006E520E"/>
    <w:rsid w:val="006E6454"/>
    <w:rsid w:val="006E65F4"/>
    <w:rsid w:val="006E6F3F"/>
    <w:rsid w:val="006E7AAA"/>
    <w:rsid w:val="006F00AB"/>
    <w:rsid w:val="006F144C"/>
    <w:rsid w:val="006F184F"/>
    <w:rsid w:val="006F1C54"/>
    <w:rsid w:val="006F33E7"/>
    <w:rsid w:val="006F3E67"/>
    <w:rsid w:val="006F408A"/>
    <w:rsid w:val="006F40F4"/>
    <w:rsid w:val="006F477A"/>
    <w:rsid w:val="006F4EA1"/>
    <w:rsid w:val="006F519E"/>
    <w:rsid w:val="006F554A"/>
    <w:rsid w:val="006F5D08"/>
    <w:rsid w:val="006F63B2"/>
    <w:rsid w:val="006F6988"/>
    <w:rsid w:val="006F6E18"/>
    <w:rsid w:val="006F7160"/>
    <w:rsid w:val="006F76EF"/>
    <w:rsid w:val="006F778C"/>
    <w:rsid w:val="006F7A55"/>
    <w:rsid w:val="006F7C84"/>
    <w:rsid w:val="006F7EC1"/>
    <w:rsid w:val="00700111"/>
    <w:rsid w:val="00700201"/>
    <w:rsid w:val="00700256"/>
    <w:rsid w:val="0070075C"/>
    <w:rsid w:val="00700D3D"/>
    <w:rsid w:val="0070100B"/>
    <w:rsid w:val="00701C57"/>
    <w:rsid w:val="00701FEF"/>
    <w:rsid w:val="007026CC"/>
    <w:rsid w:val="00703CBD"/>
    <w:rsid w:val="00703F42"/>
    <w:rsid w:val="00704109"/>
    <w:rsid w:val="00704452"/>
    <w:rsid w:val="0070540D"/>
    <w:rsid w:val="00705432"/>
    <w:rsid w:val="0070548B"/>
    <w:rsid w:val="00707D19"/>
    <w:rsid w:val="00707F79"/>
    <w:rsid w:val="00710C6A"/>
    <w:rsid w:val="00711503"/>
    <w:rsid w:val="00711D23"/>
    <w:rsid w:val="00711DB7"/>
    <w:rsid w:val="007135B6"/>
    <w:rsid w:val="00713C3C"/>
    <w:rsid w:val="007150A9"/>
    <w:rsid w:val="007154D4"/>
    <w:rsid w:val="0071613F"/>
    <w:rsid w:val="00716FF6"/>
    <w:rsid w:val="0072080E"/>
    <w:rsid w:val="00720AA2"/>
    <w:rsid w:val="007218E4"/>
    <w:rsid w:val="0072213F"/>
    <w:rsid w:val="007222EF"/>
    <w:rsid w:val="00722A31"/>
    <w:rsid w:val="00722C8F"/>
    <w:rsid w:val="007233D6"/>
    <w:rsid w:val="007249A1"/>
    <w:rsid w:val="007256F4"/>
    <w:rsid w:val="00725843"/>
    <w:rsid w:val="00725A5D"/>
    <w:rsid w:val="00725F76"/>
    <w:rsid w:val="00726341"/>
    <w:rsid w:val="0072683D"/>
    <w:rsid w:val="0072742A"/>
    <w:rsid w:val="00727A4E"/>
    <w:rsid w:val="00727F6A"/>
    <w:rsid w:val="00727F9D"/>
    <w:rsid w:val="007314DE"/>
    <w:rsid w:val="00731A1F"/>
    <w:rsid w:val="00731BCD"/>
    <w:rsid w:val="00732C95"/>
    <w:rsid w:val="00732CB3"/>
    <w:rsid w:val="007339A1"/>
    <w:rsid w:val="00735B97"/>
    <w:rsid w:val="00735BFA"/>
    <w:rsid w:val="00736097"/>
    <w:rsid w:val="00736128"/>
    <w:rsid w:val="007369E6"/>
    <w:rsid w:val="00736B45"/>
    <w:rsid w:val="0073726A"/>
    <w:rsid w:val="00737504"/>
    <w:rsid w:val="007379FB"/>
    <w:rsid w:val="00737F4C"/>
    <w:rsid w:val="00740165"/>
    <w:rsid w:val="0074080C"/>
    <w:rsid w:val="00740B29"/>
    <w:rsid w:val="00741513"/>
    <w:rsid w:val="00741FB9"/>
    <w:rsid w:val="00742496"/>
    <w:rsid w:val="007429DB"/>
    <w:rsid w:val="00742BF7"/>
    <w:rsid w:val="007433A9"/>
    <w:rsid w:val="00743401"/>
    <w:rsid w:val="00746B1C"/>
    <w:rsid w:val="00746CB2"/>
    <w:rsid w:val="00746EBA"/>
    <w:rsid w:val="00750465"/>
    <w:rsid w:val="00750795"/>
    <w:rsid w:val="00750950"/>
    <w:rsid w:val="007509B0"/>
    <w:rsid w:val="00750B55"/>
    <w:rsid w:val="00750CC2"/>
    <w:rsid w:val="00751E69"/>
    <w:rsid w:val="0075253D"/>
    <w:rsid w:val="00752795"/>
    <w:rsid w:val="007528AA"/>
    <w:rsid w:val="007537A5"/>
    <w:rsid w:val="007540D1"/>
    <w:rsid w:val="0075443C"/>
    <w:rsid w:val="0075463D"/>
    <w:rsid w:val="00754BF0"/>
    <w:rsid w:val="00754D4F"/>
    <w:rsid w:val="00754E11"/>
    <w:rsid w:val="00755670"/>
    <w:rsid w:val="00755EDF"/>
    <w:rsid w:val="00755FE7"/>
    <w:rsid w:val="00756CD4"/>
    <w:rsid w:val="00756E58"/>
    <w:rsid w:val="0075755B"/>
    <w:rsid w:val="007578F9"/>
    <w:rsid w:val="00757A2A"/>
    <w:rsid w:val="00757EE3"/>
    <w:rsid w:val="00760DA2"/>
    <w:rsid w:val="007610EA"/>
    <w:rsid w:val="007612E7"/>
    <w:rsid w:val="00761777"/>
    <w:rsid w:val="007619CC"/>
    <w:rsid w:val="00762E9C"/>
    <w:rsid w:val="00762EBE"/>
    <w:rsid w:val="00763186"/>
    <w:rsid w:val="00764FA2"/>
    <w:rsid w:val="00765079"/>
    <w:rsid w:val="00765AC2"/>
    <w:rsid w:val="0076657F"/>
    <w:rsid w:val="007666C4"/>
    <w:rsid w:val="00766877"/>
    <w:rsid w:val="00766F40"/>
    <w:rsid w:val="00767841"/>
    <w:rsid w:val="00770526"/>
    <w:rsid w:val="00770FD7"/>
    <w:rsid w:val="00771927"/>
    <w:rsid w:val="00772725"/>
    <w:rsid w:val="007732EE"/>
    <w:rsid w:val="0077489D"/>
    <w:rsid w:val="00774C32"/>
    <w:rsid w:val="00775345"/>
    <w:rsid w:val="007757DA"/>
    <w:rsid w:val="00776148"/>
    <w:rsid w:val="00776EAE"/>
    <w:rsid w:val="0077738A"/>
    <w:rsid w:val="007773A9"/>
    <w:rsid w:val="007775AD"/>
    <w:rsid w:val="00777BE0"/>
    <w:rsid w:val="00777D6B"/>
    <w:rsid w:val="0078068C"/>
    <w:rsid w:val="00780BE5"/>
    <w:rsid w:val="00780D88"/>
    <w:rsid w:val="0078115D"/>
    <w:rsid w:val="00781450"/>
    <w:rsid w:val="00781CEB"/>
    <w:rsid w:val="00782120"/>
    <w:rsid w:val="00783232"/>
    <w:rsid w:val="00783699"/>
    <w:rsid w:val="0078375D"/>
    <w:rsid w:val="0078398C"/>
    <w:rsid w:val="007842F7"/>
    <w:rsid w:val="0078459E"/>
    <w:rsid w:val="00785D55"/>
    <w:rsid w:val="00786DB3"/>
    <w:rsid w:val="007876E3"/>
    <w:rsid w:val="007877C6"/>
    <w:rsid w:val="00790CBF"/>
    <w:rsid w:val="00790F53"/>
    <w:rsid w:val="00791379"/>
    <w:rsid w:val="00791862"/>
    <w:rsid w:val="00792ABE"/>
    <w:rsid w:val="00793521"/>
    <w:rsid w:val="007936DE"/>
    <w:rsid w:val="00793868"/>
    <w:rsid w:val="00794AC3"/>
    <w:rsid w:val="00794C76"/>
    <w:rsid w:val="007954F9"/>
    <w:rsid w:val="00795A1B"/>
    <w:rsid w:val="00795DA3"/>
    <w:rsid w:val="00795DC0"/>
    <w:rsid w:val="007963ED"/>
    <w:rsid w:val="00796B29"/>
    <w:rsid w:val="007971F4"/>
    <w:rsid w:val="007A2FB8"/>
    <w:rsid w:val="007A41F2"/>
    <w:rsid w:val="007A454A"/>
    <w:rsid w:val="007A4B00"/>
    <w:rsid w:val="007A4D8B"/>
    <w:rsid w:val="007A5186"/>
    <w:rsid w:val="007A54B1"/>
    <w:rsid w:val="007A67D7"/>
    <w:rsid w:val="007A73FE"/>
    <w:rsid w:val="007B0890"/>
    <w:rsid w:val="007B09C9"/>
    <w:rsid w:val="007B0E7B"/>
    <w:rsid w:val="007B0EBF"/>
    <w:rsid w:val="007B0FBA"/>
    <w:rsid w:val="007B11B3"/>
    <w:rsid w:val="007B1942"/>
    <w:rsid w:val="007B1AE5"/>
    <w:rsid w:val="007B3C34"/>
    <w:rsid w:val="007B472A"/>
    <w:rsid w:val="007B6204"/>
    <w:rsid w:val="007B63BA"/>
    <w:rsid w:val="007B6BBE"/>
    <w:rsid w:val="007B6DAE"/>
    <w:rsid w:val="007B730E"/>
    <w:rsid w:val="007B7483"/>
    <w:rsid w:val="007B7CBC"/>
    <w:rsid w:val="007B7CE5"/>
    <w:rsid w:val="007C02F1"/>
    <w:rsid w:val="007C0809"/>
    <w:rsid w:val="007C0967"/>
    <w:rsid w:val="007C0E10"/>
    <w:rsid w:val="007C1353"/>
    <w:rsid w:val="007C1830"/>
    <w:rsid w:val="007C19D0"/>
    <w:rsid w:val="007C241B"/>
    <w:rsid w:val="007C288E"/>
    <w:rsid w:val="007C406B"/>
    <w:rsid w:val="007C444D"/>
    <w:rsid w:val="007C4A5C"/>
    <w:rsid w:val="007C4AA7"/>
    <w:rsid w:val="007C4D74"/>
    <w:rsid w:val="007C5460"/>
    <w:rsid w:val="007C6117"/>
    <w:rsid w:val="007C6646"/>
    <w:rsid w:val="007C74F8"/>
    <w:rsid w:val="007C7757"/>
    <w:rsid w:val="007C7AF9"/>
    <w:rsid w:val="007C7B9C"/>
    <w:rsid w:val="007C7F49"/>
    <w:rsid w:val="007D03C0"/>
    <w:rsid w:val="007D08EF"/>
    <w:rsid w:val="007D0E1F"/>
    <w:rsid w:val="007D0EB9"/>
    <w:rsid w:val="007D10C1"/>
    <w:rsid w:val="007D2AFA"/>
    <w:rsid w:val="007D2CBB"/>
    <w:rsid w:val="007D2F09"/>
    <w:rsid w:val="007D33B3"/>
    <w:rsid w:val="007D4BD4"/>
    <w:rsid w:val="007D4D80"/>
    <w:rsid w:val="007D5337"/>
    <w:rsid w:val="007D5653"/>
    <w:rsid w:val="007D70FB"/>
    <w:rsid w:val="007D79B5"/>
    <w:rsid w:val="007D7AF1"/>
    <w:rsid w:val="007E0590"/>
    <w:rsid w:val="007E060D"/>
    <w:rsid w:val="007E0A5F"/>
    <w:rsid w:val="007E139F"/>
    <w:rsid w:val="007E16C7"/>
    <w:rsid w:val="007E1895"/>
    <w:rsid w:val="007E1FB4"/>
    <w:rsid w:val="007E2834"/>
    <w:rsid w:val="007E3126"/>
    <w:rsid w:val="007E3311"/>
    <w:rsid w:val="007E3EBE"/>
    <w:rsid w:val="007E43EB"/>
    <w:rsid w:val="007E4A24"/>
    <w:rsid w:val="007E5255"/>
    <w:rsid w:val="007E616A"/>
    <w:rsid w:val="007E6995"/>
    <w:rsid w:val="007E6C62"/>
    <w:rsid w:val="007F0C10"/>
    <w:rsid w:val="007F0DCC"/>
    <w:rsid w:val="007F129B"/>
    <w:rsid w:val="007F1BE8"/>
    <w:rsid w:val="007F2898"/>
    <w:rsid w:val="007F2C1D"/>
    <w:rsid w:val="007F2C91"/>
    <w:rsid w:val="007F3D91"/>
    <w:rsid w:val="007F3F73"/>
    <w:rsid w:val="007F4B4F"/>
    <w:rsid w:val="007F5200"/>
    <w:rsid w:val="007F5950"/>
    <w:rsid w:val="007F6039"/>
    <w:rsid w:val="007F7823"/>
    <w:rsid w:val="007F7BDB"/>
    <w:rsid w:val="0080040A"/>
    <w:rsid w:val="0080040F"/>
    <w:rsid w:val="008006CB"/>
    <w:rsid w:val="00800E9D"/>
    <w:rsid w:val="008016DF"/>
    <w:rsid w:val="00801CEF"/>
    <w:rsid w:val="00802B9D"/>
    <w:rsid w:val="00802F61"/>
    <w:rsid w:val="00803676"/>
    <w:rsid w:val="00804138"/>
    <w:rsid w:val="008046C9"/>
    <w:rsid w:val="00804715"/>
    <w:rsid w:val="0080519D"/>
    <w:rsid w:val="0080524B"/>
    <w:rsid w:val="00805502"/>
    <w:rsid w:val="00805CDA"/>
    <w:rsid w:val="0080681D"/>
    <w:rsid w:val="008078D4"/>
    <w:rsid w:val="00810471"/>
    <w:rsid w:val="00810D2D"/>
    <w:rsid w:val="00810DCA"/>
    <w:rsid w:val="00811E29"/>
    <w:rsid w:val="00811FE2"/>
    <w:rsid w:val="0081243F"/>
    <w:rsid w:val="00812575"/>
    <w:rsid w:val="008127B1"/>
    <w:rsid w:val="00814596"/>
    <w:rsid w:val="0081480B"/>
    <w:rsid w:val="008148AB"/>
    <w:rsid w:val="00814C57"/>
    <w:rsid w:val="00814E62"/>
    <w:rsid w:val="00815178"/>
    <w:rsid w:val="0081592E"/>
    <w:rsid w:val="00816789"/>
    <w:rsid w:val="00816FE9"/>
    <w:rsid w:val="00817C65"/>
    <w:rsid w:val="00817D18"/>
    <w:rsid w:val="00820CFA"/>
    <w:rsid w:val="00822028"/>
    <w:rsid w:val="0082213A"/>
    <w:rsid w:val="00822355"/>
    <w:rsid w:val="00822D91"/>
    <w:rsid w:val="00823051"/>
    <w:rsid w:val="0082306F"/>
    <w:rsid w:val="008239ED"/>
    <w:rsid w:val="008240A2"/>
    <w:rsid w:val="00824748"/>
    <w:rsid w:val="00824E83"/>
    <w:rsid w:val="008261E6"/>
    <w:rsid w:val="008263A6"/>
    <w:rsid w:val="00826564"/>
    <w:rsid w:val="0082674F"/>
    <w:rsid w:val="00826C31"/>
    <w:rsid w:val="0082796C"/>
    <w:rsid w:val="008300B4"/>
    <w:rsid w:val="008308B6"/>
    <w:rsid w:val="00830CF3"/>
    <w:rsid w:val="00830D79"/>
    <w:rsid w:val="00831010"/>
    <w:rsid w:val="00831558"/>
    <w:rsid w:val="008323F7"/>
    <w:rsid w:val="008326E0"/>
    <w:rsid w:val="0083282E"/>
    <w:rsid w:val="00832B7C"/>
    <w:rsid w:val="00833FBD"/>
    <w:rsid w:val="00834763"/>
    <w:rsid w:val="00834E44"/>
    <w:rsid w:val="0083510D"/>
    <w:rsid w:val="00835243"/>
    <w:rsid w:val="00835384"/>
    <w:rsid w:val="0083572D"/>
    <w:rsid w:val="00835F47"/>
    <w:rsid w:val="00836E82"/>
    <w:rsid w:val="008375DE"/>
    <w:rsid w:val="00837A99"/>
    <w:rsid w:val="00840AA1"/>
    <w:rsid w:val="008411A9"/>
    <w:rsid w:val="00841488"/>
    <w:rsid w:val="0084175C"/>
    <w:rsid w:val="00841CD5"/>
    <w:rsid w:val="0084230F"/>
    <w:rsid w:val="00842C0C"/>
    <w:rsid w:val="00843B65"/>
    <w:rsid w:val="00843BC8"/>
    <w:rsid w:val="008442E3"/>
    <w:rsid w:val="008444BD"/>
    <w:rsid w:val="0084468A"/>
    <w:rsid w:val="00844BF8"/>
    <w:rsid w:val="00844ECF"/>
    <w:rsid w:val="008459E2"/>
    <w:rsid w:val="00845A8D"/>
    <w:rsid w:val="00847561"/>
    <w:rsid w:val="008476A2"/>
    <w:rsid w:val="0084787A"/>
    <w:rsid w:val="00847969"/>
    <w:rsid w:val="00850083"/>
    <w:rsid w:val="008508CF"/>
    <w:rsid w:val="00851ABF"/>
    <w:rsid w:val="00851DE0"/>
    <w:rsid w:val="00852D65"/>
    <w:rsid w:val="00852E7C"/>
    <w:rsid w:val="00852EE0"/>
    <w:rsid w:val="00852FDE"/>
    <w:rsid w:val="008535C5"/>
    <w:rsid w:val="00853BDB"/>
    <w:rsid w:val="0085612A"/>
    <w:rsid w:val="008565C8"/>
    <w:rsid w:val="00856741"/>
    <w:rsid w:val="00856B3B"/>
    <w:rsid w:val="00857EED"/>
    <w:rsid w:val="00860A4F"/>
    <w:rsid w:val="00860F4E"/>
    <w:rsid w:val="008610BA"/>
    <w:rsid w:val="008616EE"/>
    <w:rsid w:val="008625B0"/>
    <w:rsid w:val="00862696"/>
    <w:rsid w:val="008628B4"/>
    <w:rsid w:val="00862AF6"/>
    <w:rsid w:val="00863AA3"/>
    <w:rsid w:val="008644DE"/>
    <w:rsid w:val="00864D7E"/>
    <w:rsid w:val="00870983"/>
    <w:rsid w:val="00870AA2"/>
    <w:rsid w:val="00871085"/>
    <w:rsid w:val="008714BB"/>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7A2"/>
    <w:rsid w:val="008757E2"/>
    <w:rsid w:val="00875B10"/>
    <w:rsid w:val="00875FE3"/>
    <w:rsid w:val="008762B5"/>
    <w:rsid w:val="00876889"/>
    <w:rsid w:val="00876D72"/>
    <w:rsid w:val="00877277"/>
    <w:rsid w:val="00877882"/>
    <w:rsid w:val="0087789D"/>
    <w:rsid w:val="00877B34"/>
    <w:rsid w:val="00880D7F"/>
    <w:rsid w:val="00880D92"/>
    <w:rsid w:val="00880E84"/>
    <w:rsid w:val="0088321D"/>
    <w:rsid w:val="0088348E"/>
    <w:rsid w:val="00883ADD"/>
    <w:rsid w:val="00883BAA"/>
    <w:rsid w:val="0088413D"/>
    <w:rsid w:val="008842C9"/>
    <w:rsid w:val="008848D5"/>
    <w:rsid w:val="00884AEE"/>
    <w:rsid w:val="00884DCE"/>
    <w:rsid w:val="00884F47"/>
    <w:rsid w:val="00886C8D"/>
    <w:rsid w:val="00886F80"/>
    <w:rsid w:val="008878D1"/>
    <w:rsid w:val="0089012F"/>
    <w:rsid w:val="008903B4"/>
    <w:rsid w:val="008906AB"/>
    <w:rsid w:val="00891800"/>
    <w:rsid w:val="00892773"/>
    <w:rsid w:val="00892A50"/>
    <w:rsid w:val="00892BC9"/>
    <w:rsid w:val="00892E13"/>
    <w:rsid w:val="00892F70"/>
    <w:rsid w:val="008930F0"/>
    <w:rsid w:val="008934B0"/>
    <w:rsid w:val="008934CB"/>
    <w:rsid w:val="0089355D"/>
    <w:rsid w:val="00893A23"/>
    <w:rsid w:val="008943B8"/>
    <w:rsid w:val="00895FEE"/>
    <w:rsid w:val="00896C15"/>
    <w:rsid w:val="00896FCC"/>
    <w:rsid w:val="008A0283"/>
    <w:rsid w:val="008A31F0"/>
    <w:rsid w:val="008A3784"/>
    <w:rsid w:val="008A3EE4"/>
    <w:rsid w:val="008A3F1C"/>
    <w:rsid w:val="008A4342"/>
    <w:rsid w:val="008A43DB"/>
    <w:rsid w:val="008A4AAF"/>
    <w:rsid w:val="008A4D2E"/>
    <w:rsid w:val="008A4E88"/>
    <w:rsid w:val="008A54CD"/>
    <w:rsid w:val="008A72AE"/>
    <w:rsid w:val="008A7B6A"/>
    <w:rsid w:val="008A7F0E"/>
    <w:rsid w:val="008B0B09"/>
    <w:rsid w:val="008B0D79"/>
    <w:rsid w:val="008B1447"/>
    <w:rsid w:val="008B1526"/>
    <w:rsid w:val="008B1627"/>
    <w:rsid w:val="008B2693"/>
    <w:rsid w:val="008B4564"/>
    <w:rsid w:val="008B4AC2"/>
    <w:rsid w:val="008B4D34"/>
    <w:rsid w:val="008B5015"/>
    <w:rsid w:val="008B61B2"/>
    <w:rsid w:val="008B628D"/>
    <w:rsid w:val="008B6C41"/>
    <w:rsid w:val="008B7E9A"/>
    <w:rsid w:val="008B7EA9"/>
    <w:rsid w:val="008C086F"/>
    <w:rsid w:val="008C0A2D"/>
    <w:rsid w:val="008C0D1A"/>
    <w:rsid w:val="008C40A8"/>
    <w:rsid w:val="008C4EB8"/>
    <w:rsid w:val="008C56B4"/>
    <w:rsid w:val="008C56D1"/>
    <w:rsid w:val="008C594A"/>
    <w:rsid w:val="008C5B50"/>
    <w:rsid w:val="008C5BA6"/>
    <w:rsid w:val="008C5EC9"/>
    <w:rsid w:val="008C7B00"/>
    <w:rsid w:val="008C7B5A"/>
    <w:rsid w:val="008C7C52"/>
    <w:rsid w:val="008D00AD"/>
    <w:rsid w:val="008D1956"/>
    <w:rsid w:val="008D2C38"/>
    <w:rsid w:val="008D2DE8"/>
    <w:rsid w:val="008D557F"/>
    <w:rsid w:val="008D58E2"/>
    <w:rsid w:val="008D7259"/>
    <w:rsid w:val="008D747D"/>
    <w:rsid w:val="008E0BD3"/>
    <w:rsid w:val="008E0C54"/>
    <w:rsid w:val="008E0D74"/>
    <w:rsid w:val="008E0DBA"/>
    <w:rsid w:val="008E13A2"/>
    <w:rsid w:val="008E148F"/>
    <w:rsid w:val="008E1C58"/>
    <w:rsid w:val="008E1D73"/>
    <w:rsid w:val="008E1E60"/>
    <w:rsid w:val="008E2104"/>
    <w:rsid w:val="008E28A0"/>
    <w:rsid w:val="008E2A92"/>
    <w:rsid w:val="008E3C0B"/>
    <w:rsid w:val="008E3C65"/>
    <w:rsid w:val="008E41EC"/>
    <w:rsid w:val="008E53CB"/>
    <w:rsid w:val="008E5CE5"/>
    <w:rsid w:val="008E65AB"/>
    <w:rsid w:val="008E6944"/>
    <w:rsid w:val="008E742A"/>
    <w:rsid w:val="008E76C6"/>
    <w:rsid w:val="008F153A"/>
    <w:rsid w:val="008F17A6"/>
    <w:rsid w:val="008F2165"/>
    <w:rsid w:val="008F2B0E"/>
    <w:rsid w:val="008F2B1C"/>
    <w:rsid w:val="008F2D5A"/>
    <w:rsid w:val="008F43AA"/>
    <w:rsid w:val="008F5159"/>
    <w:rsid w:val="008F5990"/>
    <w:rsid w:val="008F5E55"/>
    <w:rsid w:val="008F6185"/>
    <w:rsid w:val="008F6E26"/>
    <w:rsid w:val="008F7601"/>
    <w:rsid w:val="008F7701"/>
    <w:rsid w:val="008F7F87"/>
    <w:rsid w:val="00900EB1"/>
    <w:rsid w:val="00901561"/>
    <w:rsid w:val="00901756"/>
    <w:rsid w:val="00902368"/>
    <w:rsid w:val="00902377"/>
    <w:rsid w:val="00902397"/>
    <w:rsid w:val="00902841"/>
    <w:rsid w:val="009028F8"/>
    <w:rsid w:val="00902EA1"/>
    <w:rsid w:val="00903034"/>
    <w:rsid w:val="009030AC"/>
    <w:rsid w:val="0090339D"/>
    <w:rsid w:val="00903807"/>
    <w:rsid w:val="00904110"/>
    <w:rsid w:val="009050AC"/>
    <w:rsid w:val="009058CB"/>
    <w:rsid w:val="00905931"/>
    <w:rsid w:val="00905FB7"/>
    <w:rsid w:val="00906718"/>
    <w:rsid w:val="00907347"/>
    <w:rsid w:val="00910427"/>
    <w:rsid w:val="0091047F"/>
    <w:rsid w:val="00910B17"/>
    <w:rsid w:val="009123AF"/>
    <w:rsid w:val="009126C1"/>
    <w:rsid w:val="00912E83"/>
    <w:rsid w:val="009137C6"/>
    <w:rsid w:val="0091385D"/>
    <w:rsid w:val="009138C2"/>
    <w:rsid w:val="009140AE"/>
    <w:rsid w:val="0091440C"/>
    <w:rsid w:val="00914BBD"/>
    <w:rsid w:val="00914F17"/>
    <w:rsid w:val="00915822"/>
    <w:rsid w:val="00915B7A"/>
    <w:rsid w:val="00915C1C"/>
    <w:rsid w:val="00915E96"/>
    <w:rsid w:val="0091688C"/>
    <w:rsid w:val="00917134"/>
    <w:rsid w:val="00917477"/>
    <w:rsid w:val="00917E78"/>
    <w:rsid w:val="009207EB"/>
    <w:rsid w:val="00920E97"/>
    <w:rsid w:val="00921E00"/>
    <w:rsid w:val="009221CF"/>
    <w:rsid w:val="00922208"/>
    <w:rsid w:val="00922FE6"/>
    <w:rsid w:val="00923532"/>
    <w:rsid w:val="00923707"/>
    <w:rsid w:val="00924A36"/>
    <w:rsid w:val="00925559"/>
    <w:rsid w:val="00925581"/>
    <w:rsid w:val="00925D2D"/>
    <w:rsid w:val="00925DE7"/>
    <w:rsid w:val="009265E4"/>
    <w:rsid w:val="00926976"/>
    <w:rsid w:val="00926CC3"/>
    <w:rsid w:val="00926FF8"/>
    <w:rsid w:val="00927269"/>
    <w:rsid w:val="009275FD"/>
    <w:rsid w:val="00927E1F"/>
    <w:rsid w:val="009300C3"/>
    <w:rsid w:val="00930270"/>
    <w:rsid w:val="00930355"/>
    <w:rsid w:val="0093074D"/>
    <w:rsid w:val="00930AD6"/>
    <w:rsid w:val="00930BCD"/>
    <w:rsid w:val="00931606"/>
    <w:rsid w:val="00932039"/>
    <w:rsid w:val="009321BD"/>
    <w:rsid w:val="009326C3"/>
    <w:rsid w:val="00932BA8"/>
    <w:rsid w:val="00933174"/>
    <w:rsid w:val="0093370E"/>
    <w:rsid w:val="00933A1B"/>
    <w:rsid w:val="00933BD1"/>
    <w:rsid w:val="00933D46"/>
    <w:rsid w:val="00934181"/>
    <w:rsid w:val="0093428E"/>
    <w:rsid w:val="009344C9"/>
    <w:rsid w:val="009347EA"/>
    <w:rsid w:val="00934ADD"/>
    <w:rsid w:val="00934C9E"/>
    <w:rsid w:val="00935399"/>
    <w:rsid w:val="00935B0B"/>
    <w:rsid w:val="00936077"/>
    <w:rsid w:val="009364EF"/>
    <w:rsid w:val="00937949"/>
    <w:rsid w:val="00937BD9"/>
    <w:rsid w:val="009404A2"/>
    <w:rsid w:val="00940905"/>
    <w:rsid w:val="00941049"/>
    <w:rsid w:val="00941BE0"/>
    <w:rsid w:val="009420F9"/>
    <w:rsid w:val="0094285C"/>
    <w:rsid w:val="00942985"/>
    <w:rsid w:val="009429E6"/>
    <w:rsid w:val="009429FB"/>
    <w:rsid w:val="00942B93"/>
    <w:rsid w:val="00942E96"/>
    <w:rsid w:val="00943305"/>
    <w:rsid w:val="00943CC7"/>
    <w:rsid w:val="0094410A"/>
    <w:rsid w:val="00944D7D"/>
    <w:rsid w:val="00944FAC"/>
    <w:rsid w:val="009457FE"/>
    <w:rsid w:val="00945D27"/>
    <w:rsid w:val="00945DC3"/>
    <w:rsid w:val="0094600B"/>
    <w:rsid w:val="00946CF9"/>
    <w:rsid w:val="00946D24"/>
    <w:rsid w:val="00946E0D"/>
    <w:rsid w:val="00947CEA"/>
    <w:rsid w:val="00947D2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9E"/>
    <w:rsid w:val="009575F1"/>
    <w:rsid w:val="00957E4B"/>
    <w:rsid w:val="00960102"/>
    <w:rsid w:val="00961F97"/>
    <w:rsid w:val="0096315C"/>
    <w:rsid w:val="00963815"/>
    <w:rsid w:val="0096464F"/>
    <w:rsid w:val="00964913"/>
    <w:rsid w:val="00964B1B"/>
    <w:rsid w:val="00966DAB"/>
    <w:rsid w:val="00966E88"/>
    <w:rsid w:val="00966E8C"/>
    <w:rsid w:val="009672C3"/>
    <w:rsid w:val="0096764D"/>
    <w:rsid w:val="00970FC9"/>
    <w:rsid w:val="00971292"/>
    <w:rsid w:val="00971884"/>
    <w:rsid w:val="00971B56"/>
    <w:rsid w:val="009728CF"/>
    <w:rsid w:val="00972FEF"/>
    <w:rsid w:val="00973AC6"/>
    <w:rsid w:val="00973EFC"/>
    <w:rsid w:val="00974AF3"/>
    <w:rsid w:val="00974C90"/>
    <w:rsid w:val="00974DDF"/>
    <w:rsid w:val="0097596A"/>
    <w:rsid w:val="009768B4"/>
    <w:rsid w:val="00977528"/>
    <w:rsid w:val="00977FE8"/>
    <w:rsid w:val="00980E73"/>
    <w:rsid w:val="00981892"/>
    <w:rsid w:val="00982D3E"/>
    <w:rsid w:val="00983BE4"/>
    <w:rsid w:val="009846D5"/>
    <w:rsid w:val="00984842"/>
    <w:rsid w:val="0098516B"/>
    <w:rsid w:val="00985266"/>
    <w:rsid w:val="0098545E"/>
    <w:rsid w:val="00986038"/>
    <w:rsid w:val="0098661A"/>
    <w:rsid w:val="00986A7E"/>
    <w:rsid w:val="0098704D"/>
    <w:rsid w:val="00987832"/>
    <w:rsid w:val="00987A16"/>
    <w:rsid w:val="00987B71"/>
    <w:rsid w:val="00990118"/>
    <w:rsid w:val="00990BB9"/>
    <w:rsid w:val="00990CA2"/>
    <w:rsid w:val="00991368"/>
    <w:rsid w:val="00991985"/>
    <w:rsid w:val="0099255B"/>
    <w:rsid w:val="009927B6"/>
    <w:rsid w:val="00993615"/>
    <w:rsid w:val="009947A4"/>
    <w:rsid w:val="00994EE1"/>
    <w:rsid w:val="0099593D"/>
    <w:rsid w:val="00996A44"/>
    <w:rsid w:val="0099740E"/>
    <w:rsid w:val="009976FD"/>
    <w:rsid w:val="009A0E5E"/>
    <w:rsid w:val="009A14F5"/>
    <w:rsid w:val="009A1819"/>
    <w:rsid w:val="009A1935"/>
    <w:rsid w:val="009A1D6C"/>
    <w:rsid w:val="009A3287"/>
    <w:rsid w:val="009A3352"/>
    <w:rsid w:val="009A34A0"/>
    <w:rsid w:val="009A364C"/>
    <w:rsid w:val="009A4170"/>
    <w:rsid w:val="009A5213"/>
    <w:rsid w:val="009A588D"/>
    <w:rsid w:val="009A588F"/>
    <w:rsid w:val="009A5941"/>
    <w:rsid w:val="009A5AB4"/>
    <w:rsid w:val="009A5DE1"/>
    <w:rsid w:val="009A74E2"/>
    <w:rsid w:val="009A78FB"/>
    <w:rsid w:val="009B0403"/>
    <w:rsid w:val="009B0BD9"/>
    <w:rsid w:val="009B0D08"/>
    <w:rsid w:val="009B1279"/>
    <w:rsid w:val="009B20A0"/>
    <w:rsid w:val="009B2592"/>
    <w:rsid w:val="009B2ABE"/>
    <w:rsid w:val="009B367D"/>
    <w:rsid w:val="009B4B8B"/>
    <w:rsid w:val="009B5250"/>
    <w:rsid w:val="009B5844"/>
    <w:rsid w:val="009B5A48"/>
    <w:rsid w:val="009B5ABA"/>
    <w:rsid w:val="009B5D46"/>
    <w:rsid w:val="009B6A4E"/>
    <w:rsid w:val="009B75B8"/>
    <w:rsid w:val="009B7FC6"/>
    <w:rsid w:val="009C02A5"/>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CE8"/>
    <w:rsid w:val="009C5B94"/>
    <w:rsid w:val="009C6104"/>
    <w:rsid w:val="009C6CFE"/>
    <w:rsid w:val="009C7F49"/>
    <w:rsid w:val="009D0189"/>
    <w:rsid w:val="009D03A0"/>
    <w:rsid w:val="009D1027"/>
    <w:rsid w:val="009D3193"/>
    <w:rsid w:val="009D3534"/>
    <w:rsid w:val="009D41E5"/>
    <w:rsid w:val="009D438A"/>
    <w:rsid w:val="009D4884"/>
    <w:rsid w:val="009D4CA5"/>
    <w:rsid w:val="009D4F3F"/>
    <w:rsid w:val="009D5141"/>
    <w:rsid w:val="009D7C1D"/>
    <w:rsid w:val="009D7CEA"/>
    <w:rsid w:val="009E1469"/>
    <w:rsid w:val="009E1C8E"/>
    <w:rsid w:val="009E262C"/>
    <w:rsid w:val="009E29CA"/>
    <w:rsid w:val="009E2AB6"/>
    <w:rsid w:val="009E325F"/>
    <w:rsid w:val="009E444E"/>
    <w:rsid w:val="009E4F2E"/>
    <w:rsid w:val="009E5294"/>
    <w:rsid w:val="009E5702"/>
    <w:rsid w:val="009E5772"/>
    <w:rsid w:val="009E5F0C"/>
    <w:rsid w:val="009F0BDD"/>
    <w:rsid w:val="009F0F1D"/>
    <w:rsid w:val="009F10B0"/>
    <w:rsid w:val="009F1467"/>
    <w:rsid w:val="009F1C0E"/>
    <w:rsid w:val="009F314B"/>
    <w:rsid w:val="009F322C"/>
    <w:rsid w:val="009F3E14"/>
    <w:rsid w:val="009F4AC8"/>
    <w:rsid w:val="009F53A8"/>
    <w:rsid w:val="009F595C"/>
    <w:rsid w:val="009F682B"/>
    <w:rsid w:val="009F7BBA"/>
    <w:rsid w:val="009F7BBC"/>
    <w:rsid w:val="00A00D20"/>
    <w:rsid w:val="00A01191"/>
    <w:rsid w:val="00A01214"/>
    <w:rsid w:val="00A014BA"/>
    <w:rsid w:val="00A01997"/>
    <w:rsid w:val="00A01E0F"/>
    <w:rsid w:val="00A027AD"/>
    <w:rsid w:val="00A0280D"/>
    <w:rsid w:val="00A02E80"/>
    <w:rsid w:val="00A03136"/>
    <w:rsid w:val="00A031C8"/>
    <w:rsid w:val="00A033C0"/>
    <w:rsid w:val="00A04156"/>
    <w:rsid w:val="00A050BF"/>
    <w:rsid w:val="00A053BA"/>
    <w:rsid w:val="00A05801"/>
    <w:rsid w:val="00A107EF"/>
    <w:rsid w:val="00A11594"/>
    <w:rsid w:val="00A139BD"/>
    <w:rsid w:val="00A13C15"/>
    <w:rsid w:val="00A1422B"/>
    <w:rsid w:val="00A147D1"/>
    <w:rsid w:val="00A14A28"/>
    <w:rsid w:val="00A15275"/>
    <w:rsid w:val="00A1624F"/>
    <w:rsid w:val="00A165A7"/>
    <w:rsid w:val="00A16C12"/>
    <w:rsid w:val="00A17165"/>
    <w:rsid w:val="00A1742D"/>
    <w:rsid w:val="00A1757A"/>
    <w:rsid w:val="00A20E56"/>
    <w:rsid w:val="00A21B87"/>
    <w:rsid w:val="00A22A52"/>
    <w:rsid w:val="00A22E13"/>
    <w:rsid w:val="00A22F1C"/>
    <w:rsid w:val="00A237CC"/>
    <w:rsid w:val="00A24300"/>
    <w:rsid w:val="00A25626"/>
    <w:rsid w:val="00A2563E"/>
    <w:rsid w:val="00A25B14"/>
    <w:rsid w:val="00A25CA0"/>
    <w:rsid w:val="00A2672C"/>
    <w:rsid w:val="00A26AB8"/>
    <w:rsid w:val="00A2750A"/>
    <w:rsid w:val="00A276C6"/>
    <w:rsid w:val="00A27C5C"/>
    <w:rsid w:val="00A3017E"/>
    <w:rsid w:val="00A30D31"/>
    <w:rsid w:val="00A314C9"/>
    <w:rsid w:val="00A3198A"/>
    <w:rsid w:val="00A32402"/>
    <w:rsid w:val="00A32BC0"/>
    <w:rsid w:val="00A32E9D"/>
    <w:rsid w:val="00A32F56"/>
    <w:rsid w:val="00A33DD4"/>
    <w:rsid w:val="00A33ED0"/>
    <w:rsid w:val="00A3424C"/>
    <w:rsid w:val="00A34A55"/>
    <w:rsid w:val="00A34E50"/>
    <w:rsid w:val="00A36AF9"/>
    <w:rsid w:val="00A36C42"/>
    <w:rsid w:val="00A379C4"/>
    <w:rsid w:val="00A37C84"/>
    <w:rsid w:val="00A400CD"/>
    <w:rsid w:val="00A40462"/>
    <w:rsid w:val="00A41B39"/>
    <w:rsid w:val="00A423E3"/>
    <w:rsid w:val="00A43032"/>
    <w:rsid w:val="00A43539"/>
    <w:rsid w:val="00A4382C"/>
    <w:rsid w:val="00A43891"/>
    <w:rsid w:val="00A43B98"/>
    <w:rsid w:val="00A441BB"/>
    <w:rsid w:val="00A4544F"/>
    <w:rsid w:val="00A47876"/>
    <w:rsid w:val="00A47C35"/>
    <w:rsid w:val="00A50F95"/>
    <w:rsid w:val="00A513CC"/>
    <w:rsid w:val="00A518AB"/>
    <w:rsid w:val="00A5193F"/>
    <w:rsid w:val="00A51BE3"/>
    <w:rsid w:val="00A51C46"/>
    <w:rsid w:val="00A51FDF"/>
    <w:rsid w:val="00A52456"/>
    <w:rsid w:val="00A525C0"/>
    <w:rsid w:val="00A52D4C"/>
    <w:rsid w:val="00A53AF2"/>
    <w:rsid w:val="00A5410B"/>
    <w:rsid w:val="00A54730"/>
    <w:rsid w:val="00A54DFF"/>
    <w:rsid w:val="00A54FFF"/>
    <w:rsid w:val="00A55F2C"/>
    <w:rsid w:val="00A5663E"/>
    <w:rsid w:val="00A56761"/>
    <w:rsid w:val="00A5709B"/>
    <w:rsid w:val="00A573A3"/>
    <w:rsid w:val="00A57459"/>
    <w:rsid w:val="00A57821"/>
    <w:rsid w:val="00A57C70"/>
    <w:rsid w:val="00A603B3"/>
    <w:rsid w:val="00A60CC2"/>
    <w:rsid w:val="00A61552"/>
    <w:rsid w:val="00A62443"/>
    <w:rsid w:val="00A63B4F"/>
    <w:rsid w:val="00A642EA"/>
    <w:rsid w:val="00A64606"/>
    <w:rsid w:val="00A6474D"/>
    <w:rsid w:val="00A65692"/>
    <w:rsid w:val="00A663DD"/>
    <w:rsid w:val="00A666A8"/>
    <w:rsid w:val="00A66D57"/>
    <w:rsid w:val="00A6706E"/>
    <w:rsid w:val="00A67669"/>
    <w:rsid w:val="00A67B68"/>
    <w:rsid w:val="00A70179"/>
    <w:rsid w:val="00A7038E"/>
    <w:rsid w:val="00A703FF"/>
    <w:rsid w:val="00A70753"/>
    <w:rsid w:val="00A714DB"/>
    <w:rsid w:val="00A71A0A"/>
    <w:rsid w:val="00A73213"/>
    <w:rsid w:val="00A7332D"/>
    <w:rsid w:val="00A737DC"/>
    <w:rsid w:val="00A7396B"/>
    <w:rsid w:val="00A73D28"/>
    <w:rsid w:val="00A7578E"/>
    <w:rsid w:val="00A75C31"/>
    <w:rsid w:val="00A75CBB"/>
    <w:rsid w:val="00A76662"/>
    <w:rsid w:val="00A768BE"/>
    <w:rsid w:val="00A76D13"/>
    <w:rsid w:val="00A804F9"/>
    <w:rsid w:val="00A813A7"/>
    <w:rsid w:val="00A81E3B"/>
    <w:rsid w:val="00A826CA"/>
    <w:rsid w:val="00A8286A"/>
    <w:rsid w:val="00A82A74"/>
    <w:rsid w:val="00A83A6C"/>
    <w:rsid w:val="00A8568C"/>
    <w:rsid w:val="00A85D7A"/>
    <w:rsid w:val="00A85E8C"/>
    <w:rsid w:val="00A865D9"/>
    <w:rsid w:val="00A86823"/>
    <w:rsid w:val="00A86A30"/>
    <w:rsid w:val="00A90204"/>
    <w:rsid w:val="00A9091F"/>
    <w:rsid w:val="00A92349"/>
    <w:rsid w:val="00A928E3"/>
    <w:rsid w:val="00A932A7"/>
    <w:rsid w:val="00A93A8A"/>
    <w:rsid w:val="00A93CAC"/>
    <w:rsid w:val="00A93D35"/>
    <w:rsid w:val="00A94486"/>
    <w:rsid w:val="00A94BA5"/>
    <w:rsid w:val="00A95073"/>
    <w:rsid w:val="00A9583F"/>
    <w:rsid w:val="00A95EF6"/>
    <w:rsid w:val="00A96DD4"/>
    <w:rsid w:val="00A971E7"/>
    <w:rsid w:val="00A9761D"/>
    <w:rsid w:val="00A97EEE"/>
    <w:rsid w:val="00AA0127"/>
    <w:rsid w:val="00AA016F"/>
    <w:rsid w:val="00AA1680"/>
    <w:rsid w:val="00AA1BFB"/>
    <w:rsid w:val="00AA1E93"/>
    <w:rsid w:val="00AA20E2"/>
    <w:rsid w:val="00AA2237"/>
    <w:rsid w:val="00AA2FD6"/>
    <w:rsid w:val="00AA33ED"/>
    <w:rsid w:val="00AA34C8"/>
    <w:rsid w:val="00AA385C"/>
    <w:rsid w:val="00AA3D55"/>
    <w:rsid w:val="00AA4F0D"/>
    <w:rsid w:val="00AA581E"/>
    <w:rsid w:val="00AA5A53"/>
    <w:rsid w:val="00AA6975"/>
    <w:rsid w:val="00AA6C9A"/>
    <w:rsid w:val="00AB04AC"/>
    <w:rsid w:val="00AB106C"/>
    <w:rsid w:val="00AB1ACA"/>
    <w:rsid w:val="00AB1BBF"/>
    <w:rsid w:val="00AB2A2E"/>
    <w:rsid w:val="00AB343F"/>
    <w:rsid w:val="00AB3785"/>
    <w:rsid w:val="00AB3AED"/>
    <w:rsid w:val="00AB4691"/>
    <w:rsid w:val="00AB5291"/>
    <w:rsid w:val="00AB587A"/>
    <w:rsid w:val="00AB5CA1"/>
    <w:rsid w:val="00AB6221"/>
    <w:rsid w:val="00AB6345"/>
    <w:rsid w:val="00AB6986"/>
    <w:rsid w:val="00AB6987"/>
    <w:rsid w:val="00AC0777"/>
    <w:rsid w:val="00AC0795"/>
    <w:rsid w:val="00AC1F4C"/>
    <w:rsid w:val="00AC2160"/>
    <w:rsid w:val="00AC3621"/>
    <w:rsid w:val="00AC3AFA"/>
    <w:rsid w:val="00AC3BE2"/>
    <w:rsid w:val="00AC4257"/>
    <w:rsid w:val="00AC4296"/>
    <w:rsid w:val="00AC485F"/>
    <w:rsid w:val="00AC4967"/>
    <w:rsid w:val="00AC4A32"/>
    <w:rsid w:val="00AC52F3"/>
    <w:rsid w:val="00AC6125"/>
    <w:rsid w:val="00AC67F0"/>
    <w:rsid w:val="00AC70AE"/>
    <w:rsid w:val="00AC7274"/>
    <w:rsid w:val="00AC74B6"/>
    <w:rsid w:val="00AC7582"/>
    <w:rsid w:val="00AC781A"/>
    <w:rsid w:val="00AD04C0"/>
    <w:rsid w:val="00AD0559"/>
    <w:rsid w:val="00AD2986"/>
    <w:rsid w:val="00AD2E8F"/>
    <w:rsid w:val="00AD33BE"/>
    <w:rsid w:val="00AD3D34"/>
    <w:rsid w:val="00AD3FDF"/>
    <w:rsid w:val="00AD43CB"/>
    <w:rsid w:val="00AD44F9"/>
    <w:rsid w:val="00AD5221"/>
    <w:rsid w:val="00AD5948"/>
    <w:rsid w:val="00AD5BC0"/>
    <w:rsid w:val="00AD7071"/>
    <w:rsid w:val="00AD7EDE"/>
    <w:rsid w:val="00AE0176"/>
    <w:rsid w:val="00AE0815"/>
    <w:rsid w:val="00AE125A"/>
    <w:rsid w:val="00AE251A"/>
    <w:rsid w:val="00AE28D6"/>
    <w:rsid w:val="00AE2901"/>
    <w:rsid w:val="00AE2E09"/>
    <w:rsid w:val="00AE2E28"/>
    <w:rsid w:val="00AE32ED"/>
    <w:rsid w:val="00AE3B1B"/>
    <w:rsid w:val="00AE3E60"/>
    <w:rsid w:val="00AE43C9"/>
    <w:rsid w:val="00AE4F74"/>
    <w:rsid w:val="00AE574B"/>
    <w:rsid w:val="00AE5A5F"/>
    <w:rsid w:val="00AE662E"/>
    <w:rsid w:val="00AE6771"/>
    <w:rsid w:val="00AE6A22"/>
    <w:rsid w:val="00AE6CF0"/>
    <w:rsid w:val="00AE6F59"/>
    <w:rsid w:val="00AE7324"/>
    <w:rsid w:val="00AE7C52"/>
    <w:rsid w:val="00AF004C"/>
    <w:rsid w:val="00AF19DD"/>
    <w:rsid w:val="00AF22DE"/>
    <w:rsid w:val="00AF2441"/>
    <w:rsid w:val="00AF2DD9"/>
    <w:rsid w:val="00AF46B7"/>
    <w:rsid w:val="00AF4BAD"/>
    <w:rsid w:val="00AF4D53"/>
    <w:rsid w:val="00AF4DE6"/>
    <w:rsid w:val="00AF5353"/>
    <w:rsid w:val="00AF5794"/>
    <w:rsid w:val="00AF5EEA"/>
    <w:rsid w:val="00AF5F4C"/>
    <w:rsid w:val="00AF6CA6"/>
    <w:rsid w:val="00AF759E"/>
    <w:rsid w:val="00AF7A1A"/>
    <w:rsid w:val="00B021BF"/>
    <w:rsid w:val="00B02380"/>
    <w:rsid w:val="00B02930"/>
    <w:rsid w:val="00B03260"/>
    <w:rsid w:val="00B03768"/>
    <w:rsid w:val="00B03828"/>
    <w:rsid w:val="00B0446E"/>
    <w:rsid w:val="00B04977"/>
    <w:rsid w:val="00B04CA6"/>
    <w:rsid w:val="00B05489"/>
    <w:rsid w:val="00B057FD"/>
    <w:rsid w:val="00B0687E"/>
    <w:rsid w:val="00B112C2"/>
    <w:rsid w:val="00B1181A"/>
    <w:rsid w:val="00B11E14"/>
    <w:rsid w:val="00B12E24"/>
    <w:rsid w:val="00B13412"/>
    <w:rsid w:val="00B13916"/>
    <w:rsid w:val="00B155EA"/>
    <w:rsid w:val="00B15AD5"/>
    <w:rsid w:val="00B15D00"/>
    <w:rsid w:val="00B16824"/>
    <w:rsid w:val="00B16AA7"/>
    <w:rsid w:val="00B17728"/>
    <w:rsid w:val="00B203B3"/>
    <w:rsid w:val="00B2069F"/>
    <w:rsid w:val="00B21771"/>
    <w:rsid w:val="00B21C9E"/>
    <w:rsid w:val="00B22104"/>
    <w:rsid w:val="00B22F6C"/>
    <w:rsid w:val="00B23326"/>
    <w:rsid w:val="00B2332C"/>
    <w:rsid w:val="00B24FD7"/>
    <w:rsid w:val="00B24FF6"/>
    <w:rsid w:val="00B25386"/>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3B6"/>
    <w:rsid w:val="00B36C20"/>
    <w:rsid w:val="00B36E92"/>
    <w:rsid w:val="00B36FB9"/>
    <w:rsid w:val="00B37243"/>
    <w:rsid w:val="00B37DDF"/>
    <w:rsid w:val="00B40E8E"/>
    <w:rsid w:val="00B416D8"/>
    <w:rsid w:val="00B41B01"/>
    <w:rsid w:val="00B4205B"/>
    <w:rsid w:val="00B4233A"/>
    <w:rsid w:val="00B42595"/>
    <w:rsid w:val="00B42732"/>
    <w:rsid w:val="00B42FAA"/>
    <w:rsid w:val="00B44B33"/>
    <w:rsid w:val="00B45BCE"/>
    <w:rsid w:val="00B4630B"/>
    <w:rsid w:val="00B466BD"/>
    <w:rsid w:val="00B478FA"/>
    <w:rsid w:val="00B47DE0"/>
    <w:rsid w:val="00B50070"/>
    <w:rsid w:val="00B503C6"/>
    <w:rsid w:val="00B50527"/>
    <w:rsid w:val="00B506CA"/>
    <w:rsid w:val="00B50FB9"/>
    <w:rsid w:val="00B51765"/>
    <w:rsid w:val="00B52DB1"/>
    <w:rsid w:val="00B52E11"/>
    <w:rsid w:val="00B52F3B"/>
    <w:rsid w:val="00B52FAA"/>
    <w:rsid w:val="00B53159"/>
    <w:rsid w:val="00B53237"/>
    <w:rsid w:val="00B53A04"/>
    <w:rsid w:val="00B542C4"/>
    <w:rsid w:val="00B542C5"/>
    <w:rsid w:val="00B54491"/>
    <w:rsid w:val="00B549E5"/>
    <w:rsid w:val="00B54C2E"/>
    <w:rsid w:val="00B552A6"/>
    <w:rsid w:val="00B55629"/>
    <w:rsid w:val="00B55A48"/>
    <w:rsid w:val="00B55F0A"/>
    <w:rsid w:val="00B60070"/>
    <w:rsid w:val="00B604EF"/>
    <w:rsid w:val="00B60529"/>
    <w:rsid w:val="00B60EB1"/>
    <w:rsid w:val="00B60FEC"/>
    <w:rsid w:val="00B61BB2"/>
    <w:rsid w:val="00B6218D"/>
    <w:rsid w:val="00B6223D"/>
    <w:rsid w:val="00B6255A"/>
    <w:rsid w:val="00B637F3"/>
    <w:rsid w:val="00B63C44"/>
    <w:rsid w:val="00B64837"/>
    <w:rsid w:val="00B64A9F"/>
    <w:rsid w:val="00B65736"/>
    <w:rsid w:val="00B659A1"/>
    <w:rsid w:val="00B65CCF"/>
    <w:rsid w:val="00B65F5C"/>
    <w:rsid w:val="00B660B4"/>
    <w:rsid w:val="00B664F7"/>
    <w:rsid w:val="00B6656B"/>
    <w:rsid w:val="00B66A18"/>
    <w:rsid w:val="00B66CA1"/>
    <w:rsid w:val="00B6700F"/>
    <w:rsid w:val="00B67388"/>
    <w:rsid w:val="00B67695"/>
    <w:rsid w:val="00B677B2"/>
    <w:rsid w:val="00B67870"/>
    <w:rsid w:val="00B67AFC"/>
    <w:rsid w:val="00B700D5"/>
    <w:rsid w:val="00B715D2"/>
    <w:rsid w:val="00B7227B"/>
    <w:rsid w:val="00B72BE2"/>
    <w:rsid w:val="00B738C1"/>
    <w:rsid w:val="00B74BC7"/>
    <w:rsid w:val="00B75653"/>
    <w:rsid w:val="00B75F67"/>
    <w:rsid w:val="00B7643A"/>
    <w:rsid w:val="00B76EF2"/>
    <w:rsid w:val="00B77055"/>
    <w:rsid w:val="00B77DAA"/>
    <w:rsid w:val="00B81C59"/>
    <w:rsid w:val="00B820B4"/>
    <w:rsid w:val="00B82296"/>
    <w:rsid w:val="00B825E2"/>
    <w:rsid w:val="00B82B23"/>
    <w:rsid w:val="00B83E31"/>
    <w:rsid w:val="00B83FEE"/>
    <w:rsid w:val="00B842CA"/>
    <w:rsid w:val="00B84D26"/>
    <w:rsid w:val="00B86179"/>
    <w:rsid w:val="00B861CA"/>
    <w:rsid w:val="00B86474"/>
    <w:rsid w:val="00B86FDE"/>
    <w:rsid w:val="00B87A76"/>
    <w:rsid w:val="00B87E32"/>
    <w:rsid w:val="00B87F1E"/>
    <w:rsid w:val="00B907EE"/>
    <w:rsid w:val="00B90DB0"/>
    <w:rsid w:val="00B912D3"/>
    <w:rsid w:val="00B91316"/>
    <w:rsid w:val="00B91EFC"/>
    <w:rsid w:val="00B9266C"/>
    <w:rsid w:val="00B928A2"/>
    <w:rsid w:val="00B92B9E"/>
    <w:rsid w:val="00B93450"/>
    <w:rsid w:val="00B94B71"/>
    <w:rsid w:val="00B9517A"/>
    <w:rsid w:val="00B954E3"/>
    <w:rsid w:val="00B95CF1"/>
    <w:rsid w:val="00B95DC1"/>
    <w:rsid w:val="00B96425"/>
    <w:rsid w:val="00B966C7"/>
    <w:rsid w:val="00B9686F"/>
    <w:rsid w:val="00B96B1B"/>
    <w:rsid w:val="00BA0518"/>
    <w:rsid w:val="00BA06F9"/>
    <w:rsid w:val="00BA0D60"/>
    <w:rsid w:val="00BA0EA6"/>
    <w:rsid w:val="00BA1EDF"/>
    <w:rsid w:val="00BA2354"/>
    <w:rsid w:val="00BA2C38"/>
    <w:rsid w:val="00BA30BC"/>
    <w:rsid w:val="00BA39CD"/>
    <w:rsid w:val="00BA423D"/>
    <w:rsid w:val="00BA453B"/>
    <w:rsid w:val="00BA48A3"/>
    <w:rsid w:val="00BA4A8D"/>
    <w:rsid w:val="00BA4DC4"/>
    <w:rsid w:val="00BA5249"/>
    <w:rsid w:val="00BA6927"/>
    <w:rsid w:val="00BA6AE4"/>
    <w:rsid w:val="00BA6E9B"/>
    <w:rsid w:val="00BA74DE"/>
    <w:rsid w:val="00BA7660"/>
    <w:rsid w:val="00BA7FD0"/>
    <w:rsid w:val="00BB001B"/>
    <w:rsid w:val="00BB037B"/>
    <w:rsid w:val="00BB0D38"/>
    <w:rsid w:val="00BB0E87"/>
    <w:rsid w:val="00BB1222"/>
    <w:rsid w:val="00BB1335"/>
    <w:rsid w:val="00BB2119"/>
    <w:rsid w:val="00BB2418"/>
    <w:rsid w:val="00BB241A"/>
    <w:rsid w:val="00BB30ED"/>
    <w:rsid w:val="00BB36B1"/>
    <w:rsid w:val="00BB40E8"/>
    <w:rsid w:val="00BB46F5"/>
    <w:rsid w:val="00BB6DBE"/>
    <w:rsid w:val="00BB70D3"/>
    <w:rsid w:val="00BB7411"/>
    <w:rsid w:val="00BB78D3"/>
    <w:rsid w:val="00BB7E83"/>
    <w:rsid w:val="00BC0D54"/>
    <w:rsid w:val="00BC179A"/>
    <w:rsid w:val="00BC2D8A"/>
    <w:rsid w:val="00BC397C"/>
    <w:rsid w:val="00BC3F97"/>
    <w:rsid w:val="00BC4096"/>
    <w:rsid w:val="00BC4BA0"/>
    <w:rsid w:val="00BC5446"/>
    <w:rsid w:val="00BC55E6"/>
    <w:rsid w:val="00BC5B97"/>
    <w:rsid w:val="00BC5DE0"/>
    <w:rsid w:val="00BC7438"/>
    <w:rsid w:val="00BC790D"/>
    <w:rsid w:val="00BD0B71"/>
    <w:rsid w:val="00BD19B8"/>
    <w:rsid w:val="00BD264A"/>
    <w:rsid w:val="00BD2C17"/>
    <w:rsid w:val="00BD35C4"/>
    <w:rsid w:val="00BD37BD"/>
    <w:rsid w:val="00BD44DA"/>
    <w:rsid w:val="00BD452D"/>
    <w:rsid w:val="00BD4698"/>
    <w:rsid w:val="00BD4DFC"/>
    <w:rsid w:val="00BD51B8"/>
    <w:rsid w:val="00BD6658"/>
    <w:rsid w:val="00BD6AC1"/>
    <w:rsid w:val="00BD76A1"/>
    <w:rsid w:val="00BD76AC"/>
    <w:rsid w:val="00BD7A1F"/>
    <w:rsid w:val="00BD7FE2"/>
    <w:rsid w:val="00BE0BF8"/>
    <w:rsid w:val="00BE1577"/>
    <w:rsid w:val="00BE1680"/>
    <w:rsid w:val="00BE22F0"/>
    <w:rsid w:val="00BE256D"/>
    <w:rsid w:val="00BE2859"/>
    <w:rsid w:val="00BE3AD1"/>
    <w:rsid w:val="00BE3CF1"/>
    <w:rsid w:val="00BE4F42"/>
    <w:rsid w:val="00BE4FE9"/>
    <w:rsid w:val="00BE7199"/>
    <w:rsid w:val="00BF0314"/>
    <w:rsid w:val="00BF0ACF"/>
    <w:rsid w:val="00BF1734"/>
    <w:rsid w:val="00BF225D"/>
    <w:rsid w:val="00BF2FC3"/>
    <w:rsid w:val="00BF5C8F"/>
    <w:rsid w:val="00BF5D04"/>
    <w:rsid w:val="00BF5E08"/>
    <w:rsid w:val="00BF65D8"/>
    <w:rsid w:val="00BF6627"/>
    <w:rsid w:val="00BF6B7F"/>
    <w:rsid w:val="00BF6D23"/>
    <w:rsid w:val="00BF79B9"/>
    <w:rsid w:val="00C00CB6"/>
    <w:rsid w:val="00C01769"/>
    <w:rsid w:val="00C01CE8"/>
    <w:rsid w:val="00C01EE5"/>
    <w:rsid w:val="00C02293"/>
    <w:rsid w:val="00C02568"/>
    <w:rsid w:val="00C02F2D"/>
    <w:rsid w:val="00C03887"/>
    <w:rsid w:val="00C03F23"/>
    <w:rsid w:val="00C049E7"/>
    <w:rsid w:val="00C05502"/>
    <w:rsid w:val="00C06B72"/>
    <w:rsid w:val="00C100F8"/>
    <w:rsid w:val="00C1068F"/>
    <w:rsid w:val="00C10F51"/>
    <w:rsid w:val="00C118A5"/>
    <w:rsid w:val="00C1329B"/>
    <w:rsid w:val="00C13F74"/>
    <w:rsid w:val="00C145A7"/>
    <w:rsid w:val="00C14B33"/>
    <w:rsid w:val="00C15EB3"/>
    <w:rsid w:val="00C161D9"/>
    <w:rsid w:val="00C168BC"/>
    <w:rsid w:val="00C169C6"/>
    <w:rsid w:val="00C16EC8"/>
    <w:rsid w:val="00C1794F"/>
    <w:rsid w:val="00C17C2B"/>
    <w:rsid w:val="00C206FB"/>
    <w:rsid w:val="00C20954"/>
    <w:rsid w:val="00C20960"/>
    <w:rsid w:val="00C21070"/>
    <w:rsid w:val="00C23019"/>
    <w:rsid w:val="00C23498"/>
    <w:rsid w:val="00C23B05"/>
    <w:rsid w:val="00C26E66"/>
    <w:rsid w:val="00C272B5"/>
    <w:rsid w:val="00C304FA"/>
    <w:rsid w:val="00C30807"/>
    <w:rsid w:val="00C319EA"/>
    <w:rsid w:val="00C32ECB"/>
    <w:rsid w:val="00C32FC0"/>
    <w:rsid w:val="00C33609"/>
    <w:rsid w:val="00C33CE4"/>
    <w:rsid w:val="00C33E9C"/>
    <w:rsid w:val="00C34A50"/>
    <w:rsid w:val="00C34CFE"/>
    <w:rsid w:val="00C356AB"/>
    <w:rsid w:val="00C35800"/>
    <w:rsid w:val="00C35866"/>
    <w:rsid w:val="00C36306"/>
    <w:rsid w:val="00C364C2"/>
    <w:rsid w:val="00C36902"/>
    <w:rsid w:val="00C36BEA"/>
    <w:rsid w:val="00C36FCB"/>
    <w:rsid w:val="00C3712A"/>
    <w:rsid w:val="00C3723C"/>
    <w:rsid w:val="00C37A39"/>
    <w:rsid w:val="00C37F46"/>
    <w:rsid w:val="00C40139"/>
    <w:rsid w:val="00C41EE6"/>
    <w:rsid w:val="00C4203C"/>
    <w:rsid w:val="00C42A4A"/>
    <w:rsid w:val="00C42C4D"/>
    <w:rsid w:val="00C43DA2"/>
    <w:rsid w:val="00C44E2F"/>
    <w:rsid w:val="00C45816"/>
    <w:rsid w:val="00C45A96"/>
    <w:rsid w:val="00C46B55"/>
    <w:rsid w:val="00C47F01"/>
    <w:rsid w:val="00C50DAB"/>
    <w:rsid w:val="00C50FBE"/>
    <w:rsid w:val="00C5176C"/>
    <w:rsid w:val="00C5183A"/>
    <w:rsid w:val="00C524D8"/>
    <w:rsid w:val="00C52A0F"/>
    <w:rsid w:val="00C52AEB"/>
    <w:rsid w:val="00C5317B"/>
    <w:rsid w:val="00C5334D"/>
    <w:rsid w:val="00C54A43"/>
    <w:rsid w:val="00C54F04"/>
    <w:rsid w:val="00C5562B"/>
    <w:rsid w:val="00C55D31"/>
    <w:rsid w:val="00C6006A"/>
    <w:rsid w:val="00C607D4"/>
    <w:rsid w:val="00C60F56"/>
    <w:rsid w:val="00C61373"/>
    <w:rsid w:val="00C61811"/>
    <w:rsid w:val="00C62D14"/>
    <w:rsid w:val="00C636CB"/>
    <w:rsid w:val="00C63C49"/>
    <w:rsid w:val="00C64143"/>
    <w:rsid w:val="00C6473E"/>
    <w:rsid w:val="00C64823"/>
    <w:rsid w:val="00C64EF2"/>
    <w:rsid w:val="00C65996"/>
    <w:rsid w:val="00C65D8A"/>
    <w:rsid w:val="00C66D94"/>
    <w:rsid w:val="00C67D65"/>
    <w:rsid w:val="00C7030D"/>
    <w:rsid w:val="00C7046E"/>
    <w:rsid w:val="00C7063C"/>
    <w:rsid w:val="00C70860"/>
    <w:rsid w:val="00C71668"/>
    <w:rsid w:val="00C71A34"/>
    <w:rsid w:val="00C72156"/>
    <w:rsid w:val="00C7245A"/>
    <w:rsid w:val="00C73207"/>
    <w:rsid w:val="00C74213"/>
    <w:rsid w:val="00C74436"/>
    <w:rsid w:val="00C74593"/>
    <w:rsid w:val="00C74A9E"/>
    <w:rsid w:val="00C75B5A"/>
    <w:rsid w:val="00C75F07"/>
    <w:rsid w:val="00C76443"/>
    <w:rsid w:val="00C764CE"/>
    <w:rsid w:val="00C7653E"/>
    <w:rsid w:val="00C765A7"/>
    <w:rsid w:val="00C76CA7"/>
    <w:rsid w:val="00C7737F"/>
    <w:rsid w:val="00C77718"/>
    <w:rsid w:val="00C777ED"/>
    <w:rsid w:val="00C77FF1"/>
    <w:rsid w:val="00C800E5"/>
    <w:rsid w:val="00C80620"/>
    <w:rsid w:val="00C80754"/>
    <w:rsid w:val="00C8222B"/>
    <w:rsid w:val="00C82755"/>
    <w:rsid w:val="00C82E3F"/>
    <w:rsid w:val="00C83916"/>
    <w:rsid w:val="00C83D1C"/>
    <w:rsid w:val="00C84623"/>
    <w:rsid w:val="00C851DC"/>
    <w:rsid w:val="00C85258"/>
    <w:rsid w:val="00C859C6"/>
    <w:rsid w:val="00C865F6"/>
    <w:rsid w:val="00C86BD5"/>
    <w:rsid w:val="00C86F47"/>
    <w:rsid w:val="00C87063"/>
    <w:rsid w:val="00C87727"/>
    <w:rsid w:val="00C905B4"/>
    <w:rsid w:val="00C90EF5"/>
    <w:rsid w:val="00C912C5"/>
    <w:rsid w:val="00C9166A"/>
    <w:rsid w:val="00C91BC4"/>
    <w:rsid w:val="00C931D7"/>
    <w:rsid w:val="00C93255"/>
    <w:rsid w:val="00C93FB3"/>
    <w:rsid w:val="00C94758"/>
    <w:rsid w:val="00C9510F"/>
    <w:rsid w:val="00C95C39"/>
    <w:rsid w:val="00C95D5F"/>
    <w:rsid w:val="00C95F67"/>
    <w:rsid w:val="00C96948"/>
    <w:rsid w:val="00C97054"/>
    <w:rsid w:val="00C9728B"/>
    <w:rsid w:val="00C972BD"/>
    <w:rsid w:val="00C974F0"/>
    <w:rsid w:val="00C97A98"/>
    <w:rsid w:val="00CA0147"/>
    <w:rsid w:val="00CA02BF"/>
    <w:rsid w:val="00CA0751"/>
    <w:rsid w:val="00CA0A25"/>
    <w:rsid w:val="00CA0AC8"/>
    <w:rsid w:val="00CA0E86"/>
    <w:rsid w:val="00CA1479"/>
    <w:rsid w:val="00CA2B35"/>
    <w:rsid w:val="00CA3BA9"/>
    <w:rsid w:val="00CA4321"/>
    <w:rsid w:val="00CA451C"/>
    <w:rsid w:val="00CA51DF"/>
    <w:rsid w:val="00CA53D7"/>
    <w:rsid w:val="00CA5D72"/>
    <w:rsid w:val="00CA6F61"/>
    <w:rsid w:val="00CA71C5"/>
    <w:rsid w:val="00CA771C"/>
    <w:rsid w:val="00CA7D36"/>
    <w:rsid w:val="00CB000A"/>
    <w:rsid w:val="00CB0034"/>
    <w:rsid w:val="00CB03A3"/>
    <w:rsid w:val="00CB079B"/>
    <w:rsid w:val="00CB0BFB"/>
    <w:rsid w:val="00CB0C28"/>
    <w:rsid w:val="00CB0D05"/>
    <w:rsid w:val="00CB0F65"/>
    <w:rsid w:val="00CB1234"/>
    <w:rsid w:val="00CB1CF7"/>
    <w:rsid w:val="00CB23AF"/>
    <w:rsid w:val="00CB23E1"/>
    <w:rsid w:val="00CB35B0"/>
    <w:rsid w:val="00CB3919"/>
    <w:rsid w:val="00CB396D"/>
    <w:rsid w:val="00CB3DD0"/>
    <w:rsid w:val="00CB4353"/>
    <w:rsid w:val="00CB4FB0"/>
    <w:rsid w:val="00CB54AD"/>
    <w:rsid w:val="00CB5AC1"/>
    <w:rsid w:val="00CB60DF"/>
    <w:rsid w:val="00CB67E3"/>
    <w:rsid w:val="00CB68DA"/>
    <w:rsid w:val="00CB6E94"/>
    <w:rsid w:val="00CB6F42"/>
    <w:rsid w:val="00CB75C6"/>
    <w:rsid w:val="00CB7FCD"/>
    <w:rsid w:val="00CC01A4"/>
    <w:rsid w:val="00CC038E"/>
    <w:rsid w:val="00CC039D"/>
    <w:rsid w:val="00CC110F"/>
    <w:rsid w:val="00CC1463"/>
    <w:rsid w:val="00CC17EA"/>
    <w:rsid w:val="00CC1868"/>
    <w:rsid w:val="00CC1E30"/>
    <w:rsid w:val="00CC239A"/>
    <w:rsid w:val="00CC26A8"/>
    <w:rsid w:val="00CC2C12"/>
    <w:rsid w:val="00CC3D04"/>
    <w:rsid w:val="00CC4376"/>
    <w:rsid w:val="00CC43BA"/>
    <w:rsid w:val="00CC47FB"/>
    <w:rsid w:val="00CC5D8D"/>
    <w:rsid w:val="00CC5FB3"/>
    <w:rsid w:val="00CC7602"/>
    <w:rsid w:val="00CC796A"/>
    <w:rsid w:val="00CD0762"/>
    <w:rsid w:val="00CD0CE9"/>
    <w:rsid w:val="00CD1206"/>
    <w:rsid w:val="00CD1260"/>
    <w:rsid w:val="00CD1372"/>
    <w:rsid w:val="00CD1665"/>
    <w:rsid w:val="00CD179F"/>
    <w:rsid w:val="00CD28A1"/>
    <w:rsid w:val="00CD28EF"/>
    <w:rsid w:val="00CD2940"/>
    <w:rsid w:val="00CD3030"/>
    <w:rsid w:val="00CD3A85"/>
    <w:rsid w:val="00CD4294"/>
    <w:rsid w:val="00CD4688"/>
    <w:rsid w:val="00CD4E8D"/>
    <w:rsid w:val="00CD55D7"/>
    <w:rsid w:val="00CD65C8"/>
    <w:rsid w:val="00CD68C2"/>
    <w:rsid w:val="00CD6C53"/>
    <w:rsid w:val="00CD776F"/>
    <w:rsid w:val="00CD7A1E"/>
    <w:rsid w:val="00CD7C3C"/>
    <w:rsid w:val="00CD7CC6"/>
    <w:rsid w:val="00CD7F57"/>
    <w:rsid w:val="00CE00EC"/>
    <w:rsid w:val="00CE0979"/>
    <w:rsid w:val="00CE09CA"/>
    <w:rsid w:val="00CE1600"/>
    <w:rsid w:val="00CE1833"/>
    <w:rsid w:val="00CE1D0E"/>
    <w:rsid w:val="00CE1E7A"/>
    <w:rsid w:val="00CE293A"/>
    <w:rsid w:val="00CE294F"/>
    <w:rsid w:val="00CE2A4B"/>
    <w:rsid w:val="00CE3519"/>
    <w:rsid w:val="00CE399C"/>
    <w:rsid w:val="00CE3D92"/>
    <w:rsid w:val="00CE4927"/>
    <w:rsid w:val="00CE54DB"/>
    <w:rsid w:val="00CE57E3"/>
    <w:rsid w:val="00CE583E"/>
    <w:rsid w:val="00CE5C9A"/>
    <w:rsid w:val="00CE6042"/>
    <w:rsid w:val="00CE61E4"/>
    <w:rsid w:val="00CE66D3"/>
    <w:rsid w:val="00CE6B36"/>
    <w:rsid w:val="00CE6FF4"/>
    <w:rsid w:val="00CF077C"/>
    <w:rsid w:val="00CF15AF"/>
    <w:rsid w:val="00CF1E5A"/>
    <w:rsid w:val="00CF277A"/>
    <w:rsid w:val="00CF31D3"/>
    <w:rsid w:val="00CF3F14"/>
    <w:rsid w:val="00CF411A"/>
    <w:rsid w:val="00CF4EDA"/>
    <w:rsid w:val="00CF5A08"/>
    <w:rsid w:val="00CF5CC0"/>
    <w:rsid w:val="00CF620F"/>
    <w:rsid w:val="00CF6ACE"/>
    <w:rsid w:val="00D016D8"/>
    <w:rsid w:val="00D01C22"/>
    <w:rsid w:val="00D0240E"/>
    <w:rsid w:val="00D02918"/>
    <w:rsid w:val="00D03780"/>
    <w:rsid w:val="00D0378E"/>
    <w:rsid w:val="00D03E7E"/>
    <w:rsid w:val="00D045B1"/>
    <w:rsid w:val="00D0469F"/>
    <w:rsid w:val="00D0534E"/>
    <w:rsid w:val="00D061AC"/>
    <w:rsid w:val="00D06BBE"/>
    <w:rsid w:val="00D07418"/>
    <w:rsid w:val="00D07D72"/>
    <w:rsid w:val="00D07F9C"/>
    <w:rsid w:val="00D100AA"/>
    <w:rsid w:val="00D10981"/>
    <w:rsid w:val="00D11650"/>
    <w:rsid w:val="00D11A01"/>
    <w:rsid w:val="00D11DC7"/>
    <w:rsid w:val="00D11E16"/>
    <w:rsid w:val="00D12751"/>
    <w:rsid w:val="00D14782"/>
    <w:rsid w:val="00D14C0E"/>
    <w:rsid w:val="00D14F87"/>
    <w:rsid w:val="00D15517"/>
    <w:rsid w:val="00D156E7"/>
    <w:rsid w:val="00D16B27"/>
    <w:rsid w:val="00D16D2A"/>
    <w:rsid w:val="00D20941"/>
    <w:rsid w:val="00D22893"/>
    <w:rsid w:val="00D22CD8"/>
    <w:rsid w:val="00D22EB6"/>
    <w:rsid w:val="00D246BB"/>
    <w:rsid w:val="00D24A7D"/>
    <w:rsid w:val="00D24BF6"/>
    <w:rsid w:val="00D24C65"/>
    <w:rsid w:val="00D2550F"/>
    <w:rsid w:val="00D2598B"/>
    <w:rsid w:val="00D25C8F"/>
    <w:rsid w:val="00D25EC5"/>
    <w:rsid w:val="00D25F36"/>
    <w:rsid w:val="00D26312"/>
    <w:rsid w:val="00D2779E"/>
    <w:rsid w:val="00D27E58"/>
    <w:rsid w:val="00D30A66"/>
    <w:rsid w:val="00D31DC7"/>
    <w:rsid w:val="00D3233F"/>
    <w:rsid w:val="00D33368"/>
    <w:rsid w:val="00D34332"/>
    <w:rsid w:val="00D34EAA"/>
    <w:rsid w:val="00D34FC3"/>
    <w:rsid w:val="00D36036"/>
    <w:rsid w:val="00D37645"/>
    <w:rsid w:val="00D3792E"/>
    <w:rsid w:val="00D4055C"/>
    <w:rsid w:val="00D405BD"/>
    <w:rsid w:val="00D41CD9"/>
    <w:rsid w:val="00D41EF4"/>
    <w:rsid w:val="00D42C61"/>
    <w:rsid w:val="00D43849"/>
    <w:rsid w:val="00D4427A"/>
    <w:rsid w:val="00D4454B"/>
    <w:rsid w:val="00D445BD"/>
    <w:rsid w:val="00D4464D"/>
    <w:rsid w:val="00D4468C"/>
    <w:rsid w:val="00D44F16"/>
    <w:rsid w:val="00D4554C"/>
    <w:rsid w:val="00D45555"/>
    <w:rsid w:val="00D46519"/>
    <w:rsid w:val="00D468C0"/>
    <w:rsid w:val="00D46D7A"/>
    <w:rsid w:val="00D47EFB"/>
    <w:rsid w:val="00D50514"/>
    <w:rsid w:val="00D50F0F"/>
    <w:rsid w:val="00D510B8"/>
    <w:rsid w:val="00D5173E"/>
    <w:rsid w:val="00D51D9B"/>
    <w:rsid w:val="00D520AB"/>
    <w:rsid w:val="00D52678"/>
    <w:rsid w:val="00D5302E"/>
    <w:rsid w:val="00D530D6"/>
    <w:rsid w:val="00D5341D"/>
    <w:rsid w:val="00D53D1B"/>
    <w:rsid w:val="00D54F4E"/>
    <w:rsid w:val="00D5516D"/>
    <w:rsid w:val="00D55721"/>
    <w:rsid w:val="00D55E80"/>
    <w:rsid w:val="00D55ECF"/>
    <w:rsid w:val="00D56718"/>
    <w:rsid w:val="00D56AF8"/>
    <w:rsid w:val="00D56F07"/>
    <w:rsid w:val="00D56F0D"/>
    <w:rsid w:val="00D57028"/>
    <w:rsid w:val="00D61295"/>
    <w:rsid w:val="00D62186"/>
    <w:rsid w:val="00D62486"/>
    <w:rsid w:val="00D638AE"/>
    <w:rsid w:val="00D6395F"/>
    <w:rsid w:val="00D645F9"/>
    <w:rsid w:val="00D6480A"/>
    <w:rsid w:val="00D652C8"/>
    <w:rsid w:val="00D65355"/>
    <w:rsid w:val="00D67B21"/>
    <w:rsid w:val="00D67D5C"/>
    <w:rsid w:val="00D70466"/>
    <w:rsid w:val="00D711F9"/>
    <w:rsid w:val="00D7139F"/>
    <w:rsid w:val="00D71AA8"/>
    <w:rsid w:val="00D71CF0"/>
    <w:rsid w:val="00D72405"/>
    <w:rsid w:val="00D727EC"/>
    <w:rsid w:val="00D735F8"/>
    <w:rsid w:val="00D744E1"/>
    <w:rsid w:val="00D74E68"/>
    <w:rsid w:val="00D74F02"/>
    <w:rsid w:val="00D75ACA"/>
    <w:rsid w:val="00D75C9E"/>
    <w:rsid w:val="00D774D6"/>
    <w:rsid w:val="00D77BB4"/>
    <w:rsid w:val="00D77D98"/>
    <w:rsid w:val="00D80EF1"/>
    <w:rsid w:val="00D80F81"/>
    <w:rsid w:val="00D82C92"/>
    <w:rsid w:val="00D831A9"/>
    <w:rsid w:val="00D84322"/>
    <w:rsid w:val="00D84377"/>
    <w:rsid w:val="00D844C1"/>
    <w:rsid w:val="00D84886"/>
    <w:rsid w:val="00D849F4"/>
    <w:rsid w:val="00D84E49"/>
    <w:rsid w:val="00D859C6"/>
    <w:rsid w:val="00D86547"/>
    <w:rsid w:val="00D86D72"/>
    <w:rsid w:val="00D87597"/>
    <w:rsid w:val="00D90667"/>
    <w:rsid w:val="00D907A6"/>
    <w:rsid w:val="00D9127D"/>
    <w:rsid w:val="00D92300"/>
    <w:rsid w:val="00D929D9"/>
    <w:rsid w:val="00D938C5"/>
    <w:rsid w:val="00D93EEC"/>
    <w:rsid w:val="00D9459D"/>
    <w:rsid w:val="00D949AE"/>
    <w:rsid w:val="00D95011"/>
    <w:rsid w:val="00D959D5"/>
    <w:rsid w:val="00D96497"/>
    <w:rsid w:val="00D9654D"/>
    <w:rsid w:val="00D9699B"/>
    <w:rsid w:val="00D97611"/>
    <w:rsid w:val="00D97EE3"/>
    <w:rsid w:val="00DA09CE"/>
    <w:rsid w:val="00DA124E"/>
    <w:rsid w:val="00DA18C3"/>
    <w:rsid w:val="00DA18E0"/>
    <w:rsid w:val="00DA1B06"/>
    <w:rsid w:val="00DA2246"/>
    <w:rsid w:val="00DA24D0"/>
    <w:rsid w:val="00DA2F4F"/>
    <w:rsid w:val="00DA3340"/>
    <w:rsid w:val="00DA3769"/>
    <w:rsid w:val="00DA3B98"/>
    <w:rsid w:val="00DA538F"/>
    <w:rsid w:val="00DA55CF"/>
    <w:rsid w:val="00DA5D9B"/>
    <w:rsid w:val="00DA5E4C"/>
    <w:rsid w:val="00DA6496"/>
    <w:rsid w:val="00DA6811"/>
    <w:rsid w:val="00DA6C68"/>
    <w:rsid w:val="00DA74CE"/>
    <w:rsid w:val="00DA7AD9"/>
    <w:rsid w:val="00DA7FB3"/>
    <w:rsid w:val="00DB0469"/>
    <w:rsid w:val="00DB0DCF"/>
    <w:rsid w:val="00DB2637"/>
    <w:rsid w:val="00DB29E0"/>
    <w:rsid w:val="00DB3199"/>
    <w:rsid w:val="00DB3B0A"/>
    <w:rsid w:val="00DB3BF2"/>
    <w:rsid w:val="00DB423F"/>
    <w:rsid w:val="00DB455F"/>
    <w:rsid w:val="00DB4578"/>
    <w:rsid w:val="00DB4FE3"/>
    <w:rsid w:val="00DB5D32"/>
    <w:rsid w:val="00DB5FB7"/>
    <w:rsid w:val="00DB6721"/>
    <w:rsid w:val="00DB68A2"/>
    <w:rsid w:val="00DB6E8F"/>
    <w:rsid w:val="00DB753A"/>
    <w:rsid w:val="00DB78C9"/>
    <w:rsid w:val="00DB7DB0"/>
    <w:rsid w:val="00DC04B3"/>
    <w:rsid w:val="00DC071F"/>
    <w:rsid w:val="00DC07FF"/>
    <w:rsid w:val="00DC1308"/>
    <w:rsid w:val="00DC1439"/>
    <w:rsid w:val="00DC2414"/>
    <w:rsid w:val="00DC2572"/>
    <w:rsid w:val="00DC2ED1"/>
    <w:rsid w:val="00DC3667"/>
    <w:rsid w:val="00DC37E4"/>
    <w:rsid w:val="00DC4132"/>
    <w:rsid w:val="00DC4769"/>
    <w:rsid w:val="00DC4955"/>
    <w:rsid w:val="00DC5134"/>
    <w:rsid w:val="00DC52A0"/>
    <w:rsid w:val="00DC569E"/>
    <w:rsid w:val="00DC581A"/>
    <w:rsid w:val="00DC58F4"/>
    <w:rsid w:val="00DC5E24"/>
    <w:rsid w:val="00DC644F"/>
    <w:rsid w:val="00DC65ED"/>
    <w:rsid w:val="00DC7F7F"/>
    <w:rsid w:val="00DD05A6"/>
    <w:rsid w:val="00DD0D1B"/>
    <w:rsid w:val="00DD10B2"/>
    <w:rsid w:val="00DD1288"/>
    <w:rsid w:val="00DD1D80"/>
    <w:rsid w:val="00DD27DC"/>
    <w:rsid w:val="00DD2A7C"/>
    <w:rsid w:val="00DD30FC"/>
    <w:rsid w:val="00DD3950"/>
    <w:rsid w:val="00DD3C50"/>
    <w:rsid w:val="00DD44C7"/>
    <w:rsid w:val="00DD49B3"/>
    <w:rsid w:val="00DD4E72"/>
    <w:rsid w:val="00DD5584"/>
    <w:rsid w:val="00DD58C4"/>
    <w:rsid w:val="00DD61E0"/>
    <w:rsid w:val="00DD6557"/>
    <w:rsid w:val="00DD6D6A"/>
    <w:rsid w:val="00DD703A"/>
    <w:rsid w:val="00DD7C4E"/>
    <w:rsid w:val="00DD7DAB"/>
    <w:rsid w:val="00DE0A4C"/>
    <w:rsid w:val="00DE1BB3"/>
    <w:rsid w:val="00DE1D34"/>
    <w:rsid w:val="00DE1D96"/>
    <w:rsid w:val="00DE26D1"/>
    <w:rsid w:val="00DE2B73"/>
    <w:rsid w:val="00DE3271"/>
    <w:rsid w:val="00DE337A"/>
    <w:rsid w:val="00DE4A22"/>
    <w:rsid w:val="00DE57DE"/>
    <w:rsid w:val="00DE5B3B"/>
    <w:rsid w:val="00DE65CE"/>
    <w:rsid w:val="00DE6733"/>
    <w:rsid w:val="00DE6F4B"/>
    <w:rsid w:val="00DE77E6"/>
    <w:rsid w:val="00DF0472"/>
    <w:rsid w:val="00DF1008"/>
    <w:rsid w:val="00DF1032"/>
    <w:rsid w:val="00DF1731"/>
    <w:rsid w:val="00DF2343"/>
    <w:rsid w:val="00DF2EE8"/>
    <w:rsid w:val="00DF38BD"/>
    <w:rsid w:val="00DF3EFE"/>
    <w:rsid w:val="00DF478D"/>
    <w:rsid w:val="00DF5D10"/>
    <w:rsid w:val="00DF6015"/>
    <w:rsid w:val="00DF6452"/>
    <w:rsid w:val="00DF6799"/>
    <w:rsid w:val="00DF6A21"/>
    <w:rsid w:val="00DF7106"/>
    <w:rsid w:val="00DF756F"/>
    <w:rsid w:val="00DF7BE7"/>
    <w:rsid w:val="00E01050"/>
    <w:rsid w:val="00E01353"/>
    <w:rsid w:val="00E015FD"/>
    <w:rsid w:val="00E0278A"/>
    <w:rsid w:val="00E032A0"/>
    <w:rsid w:val="00E03324"/>
    <w:rsid w:val="00E03C71"/>
    <w:rsid w:val="00E040F1"/>
    <w:rsid w:val="00E04596"/>
    <w:rsid w:val="00E0462C"/>
    <w:rsid w:val="00E05888"/>
    <w:rsid w:val="00E05C5B"/>
    <w:rsid w:val="00E06E90"/>
    <w:rsid w:val="00E101C1"/>
    <w:rsid w:val="00E102D5"/>
    <w:rsid w:val="00E10C51"/>
    <w:rsid w:val="00E10C91"/>
    <w:rsid w:val="00E11E49"/>
    <w:rsid w:val="00E127A9"/>
    <w:rsid w:val="00E1296E"/>
    <w:rsid w:val="00E13F09"/>
    <w:rsid w:val="00E15166"/>
    <w:rsid w:val="00E15AD0"/>
    <w:rsid w:val="00E165D4"/>
    <w:rsid w:val="00E16D0E"/>
    <w:rsid w:val="00E170A3"/>
    <w:rsid w:val="00E17921"/>
    <w:rsid w:val="00E2061A"/>
    <w:rsid w:val="00E20CDD"/>
    <w:rsid w:val="00E21BC6"/>
    <w:rsid w:val="00E21D4A"/>
    <w:rsid w:val="00E21DBC"/>
    <w:rsid w:val="00E21EDD"/>
    <w:rsid w:val="00E22006"/>
    <w:rsid w:val="00E2223D"/>
    <w:rsid w:val="00E23626"/>
    <w:rsid w:val="00E240F0"/>
    <w:rsid w:val="00E2444F"/>
    <w:rsid w:val="00E2487B"/>
    <w:rsid w:val="00E24B7A"/>
    <w:rsid w:val="00E25582"/>
    <w:rsid w:val="00E25603"/>
    <w:rsid w:val="00E261BC"/>
    <w:rsid w:val="00E262D6"/>
    <w:rsid w:val="00E26C37"/>
    <w:rsid w:val="00E26EED"/>
    <w:rsid w:val="00E274B2"/>
    <w:rsid w:val="00E27A7F"/>
    <w:rsid w:val="00E27B3E"/>
    <w:rsid w:val="00E30ABB"/>
    <w:rsid w:val="00E3111A"/>
    <w:rsid w:val="00E319D2"/>
    <w:rsid w:val="00E31BC7"/>
    <w:rsid w:val="00E32C4C"/>
    <w:rsid w:val="00E332D2"/>
    <w:rsid w:val="00E3333B"/>
    <w:rsid w:val="00E335C1"/>
    <w:rsid w:val="00E373E2"/>
    <w:rsid w:val="00E3753C"/>
    <w:rsid w:val="00E37DC0"/>
    <w:rsid w:val="00E40C02"/>
    <w:rsid w:val="00E411C3"/>
    <w:rsid w:val="00E419CA"/>
    <w:rsid w:val="00E42221"/>
    <w:rsid w:val="00E436EB"/>
    <w:rsid w:val="00E438B2"/>
    <w:rsid w:val="00E43C3B"/>
    <w:rsid w:val="00E43D6D"/>
    <w:rsid w:val="00E44272"/>
    <w:rsid w:val="00E44D33"/>
    <w:rsid w:val="00E4572E"/>
    <w:rsid w:val="00E459E6"/>
    <w:rsid w:val="00E467C4"/>
    <w:rsid w:val="00E4713E"/>
    <w:rsid w:val="00E471D8"/>
    <w:rsid w:val="00E5054B"/>
    <w:rsid w:val="00E509B9"/>
    <w:rsid w:val="00E509EA"/>
    <w:rsid w:val="00E50B06"/>
    <w:rsid w:val="00E50D1E"/>
    <w:rsid w:val="00E50F9B"/>
    <w:rsid w:val="00E50FE2"/>
    <w:rsid w:val="00E511B5"/>
    <w:rsid w:val="00E51B19"/>
    <w:rsid w:val="00E521B8"/>
    <w:rsid w:val="00E52741"/>
    <w:rsid w:val="00E529BC"/>
    <w:rsid w:val="00E538D7"/>
    <w:rsid w:val="00E54250"/>
    <w:rsid w:val="00E553CD"/>
    <w:rsid w:val="00E561E3"/>
    <w:rsid w:val="00E56637"/>
    <w:rsid w:val="00E57032"/>
    <w:rsid w:val="00E572CB"/>
    <w:rsid w:val="00E57666"/>
    <w:rsid w:val="00E577C4"/>
    <w:rsid w:val="00E57ED1"/>
    <w:rsid w:val="00E6087C"/>
    <w:rsid w:val="00E611D9"/>
    <w:rsid w:val="00E612E0"/>
    <w:rsid w:val="00E61955"/>
    <w:rsid w:val="00E61C54"/>
    <w:rsid w:val="00E622D4"/>
    <w:rsid w:val="00E62BC8"/>
    <w:rsid w:val="00E6358C"/>
    <w:rsid w:val="00E643BE"/>
    <w:rsid w:val="00E64A98"/>
    <w:rsid w:val="00E64AD7"/>
    <w:rsid w:val="00E65BBC"/>
    <w:rsid w:val="00E667D8"/>
    <w:rsid w:val="00E678D4"/>
    <w:rsid w:val="00E6799A"/>
    <w:rsid w:val="00E709CA"/>
    <w:rsid w:val="00E711D8"/>
    <w:rsid w:val="00E718A7"/>
    <w:rsid w:val="00E71AE3"/>
    <w:rsid w:val="00E72117"/>
    <w:rsid w:val="00E72B92"/>
    <w:rsid w:val="00E72B93"/>
    <w:rsid w:val="00E7380C"/>
    <w:rsid w:val="00E73EFD"/>
    <w:rsid w:val="00E74181"/>
    <w:rsid w:val="00E74497"/>
    <w:rsid w:val="00E74A9D"/>
    <w:rsid w:val="00E75265"/>
    <w:rsid w:val="00E752D8"/>
    <w:rsid w:val="00E760CC"/>
    <w:rsid w:val="00E7615C"/>
    <w:rsid w:val="00E76D31"/>
    <w:rsid w:val="00E77025"/>
    <w:rsid w:val="00E7791F"/>
    <w:rsid w:val="00E800BA"/>
    <w:rsid w:val="00E800C6"/>
    <w:rsid w:val="00E80CBC"/>
    <w:rsid w:val="00E80ED2"/>
    <w:rsid w:val="00E81240"/>
    <w:rsid w:val="00E82896"/>
    <w:rsid w:val="00E82F38"/>
    <w:rsid w:val="00E83853"/>
    <w:rsid w:val="00E83D96"/>
    <w:rsid w:val="00E83F83"/>
    <w:rsid w:val="00E84C2E"/>
    <w:rsid w:val="00E86E07"/>
    <w:rsid w:val="00E874DF"/>
    <w:rsid w:val="00E87942"/>
    <w:rsid w:val="00E879CE"/>
    <w:rsid w:val="00E907B4"/>
    <w:rsid w:val="00E909AB"/>
    <w:rsid w:val="00E91361"/>
    <w:rsid w:val="00E914F3"/>
    <w:rsid w:val="00E9268D"/>
    <w:rsid w:val="00E92A5F"/>
    <w:rsid w:val="00E93960"/>
    <w:rsid w:val="00E93D92"/>
    <w:rsid w:val="00E9408A"/>
    <w:rsid w:val="00E94533"/>
    <w:rsid w:val="00E95415"/>
    <w:rsid w:val="00E957CB"/>
    <w:rsid w:val="00E96492"/>
    <w:rsid w:val="00E97330"/>
    <w:rsid w:val="00E973D9"/>
    <w:rsid w:val="00EA0402"/>
    <w:rsid w:val="00EA15E0"/>
    <w:rsid w:val="00EA17B4"/>
    <w:rsid w:val="00EA321F"/>
    <w:rsid w:val="00EA3441"/>
    <w:rsid w:val="00EA3F65"/>
    <w:rsid w:val="00EA408F"/>
    <w:rsid w:val="00EA4791"/>
    <w:rsid w:val="00EA7191"/>
    <w:rsid w:val="00EA7398"/>
    <w:rsid w:val="00EA7587"/>
    <w:rsid w:val="00EA7BCF"/>
    <w:rsid w:val="00EB0147"/>
    <w:rsid w:val="00EB01F6"/>
    <w:rsid w:val="00EB048B"/>
    <w:rsid w:val="00EB088D"/>
    <w:rsid w:val="00EB093E"/>
    <w:rsid w:val="00EB138F"/>
    <w:rsid w:val="00EB1814"/>
    <w:rsid w:val="00EB18AD"/>
    <w:rsid w:val="00EB222E"/>
    <w:rsid w:val="00EB3187"/>
    <w:rsid w:val="00EB3395"/>
    <w:rsid w:val="00EB4985"/>
    <w:rsid w:val="00EB4D6B"/>
    <w:rsid w:val="00EB4D88"/>
    <w:rsid w:val="00EB61F2"/>
    <w:rsid w:val="00EB65FD"/>
    <w:rsid w:val="00EB6668"/>
    <w:rsid w:val="00EB7DDA"/>
    <w:rsid w:val="00EC15C1"/>
    <w:rsid w:val="00EC1FBF"/>
    <w:rsid w:val="00EC1FDB"/>
    <w:rsid w:val="00EC2080"/>
    <w:rsid w:val="00EC2AD7"/>
    <w:rsid w:val="00EC2B34"/>
    <w:rsid w:val="00EC35CB"/>
    <w:rsid w:val="00EC4B74"/>
    <w:rsid w:val="00EC5933"/>
    <w:rsid w:val="00EC6923"/>
    <w:rsid w:val="00EC7135"/>
    <w:rsid w:val="00EC76EC"/>
    <w:rsid w:val="00ED0522"/>
    <w:rsid w:val="00ED0BDB"/>
    <w:rsid w:val="00ED0D81"/>
    <w:rsid w:val="00ED12AB"/>
    <w:rsid w:val="00ED14AB"/>
    <w:rsid w:val="00ED18C7"/>
    <w:rsid w:val="00ED1BF2"/>
    <w:rsid w:val="00ED1F45"/>
    <w:rsid w:val="00ED289D"/>
    <w:rsid w:val="00ED2D64"/>
    <w:rsid w:val="00ED3AF1"/>
    <w:rsid w:val="00ED49D8"/>
    <w:rsid w:val="00ED4C0A"/>
    <w:rsid w:val="00ED551E"/>
    <w:rsid w:val="00ED5D31"/>
    <w:rsid w:val="00ED66FD"/>
    <w:rsid w:val="00ED6A2E"/>
    <w:rsid w:val="00ED6E0D"/>
    <w:rsid w:val="00ED7778"/>
    <w:rsid w:val="00ED7E50"/>
    <w:rsid w:val="00EE0676"/>
    <w:rsid w:val="00EE072B"/>
    <w:rsid w:val="00EE0CBF"/>
    <w:rsid w:val="00EE1129"/>
    <w:rsid w:val="00EE1165"/>
    <w:rsid w:val="00EE13A0"/>
    <w:rsid w:val="00EE1698"/>
    <w:rsid w:val="00EE1D01"/>
    <w:rsid w:val="00EE1DA6"/>
    <w:rsid w:val="00EE2996"/>
    <w:rsid w:val="00EE2BC9"/>
    <w:rsid w:val="00EE2C3C"/>
    <w:rsid w:val="00EE3D47"/>
    <w:rsid w:val="00EE4D67"/>
    <w:rsid w:val="00EE5927"/>
    <w:rsid w:val="00EE601C"/>
    <w:rsid w:val="00EE60C0"/>
    <w:rsid w:val="00EE6F64"/>
    <w:rsid w:val="00EE7532"/>
    <w:rsid w:val="00EE76AC"/>
    <w:rsid w:val="00EE7976"/>
    <w:rsid w:val="00EF094D"/>
    <w:rsid w:val="00EF0A31"/>
    <w:rsid w:val="00EF1587"/>
    <w:rsid w:val="00EF1ED9"/>
    <w:rsid w:val="00EF225C"/>
    <w:rsid w:val="00EF2437"/>
    <w:rsid w:val="00EF3784"/>
    <w:rsid w:val="00EF3B4B"/>
    <w:rsid w:val="00EF3C6C"/>
    <w:rsid w:val="00EF454F"/>
    <w:rsid w:val="00EF4E53"/>
    <w:rsid w:val="00EF516E"/>
    <w:rsid w:val="00EF57ED"/>
    <w:rsid w:val="00EF5B06"/>
    <w:rsid w:val="00EF5D42"/>
    <w:rsid w:val="00EF639F"/>
    <w:rsid w:val="00EF64DB"/>
    <w:rsid w:val="00EF6CD3"/>
    <w:rsid w:val="00EF6CF7"/>
    <w:rsid w:val="00EF7087"/>
    <w:rsid w:val="00EF73DB"/>
    <w:rsid w:val="00EF7609"/>
    <w:rsid w:val="00EF7B88"/>
    <w:rsid w:val="00F02EAB"/>
    <w:rsid w:val="00F037CD"/>
    <w:rsid w:val="00F03824"/>
    <w:rsid w:val="00F04794"/>
    <w:rsid w:val="00F04F8F"/>
    <w:rsid w:val="00F052B8"/>
    <w:rsid w:val="00F054DC"/>
    <w:rsid w:val="00F05F7A"/>
    <w:rsid w:val="00F060DA"/>
    <w:rsid w:val="00F06689"/>
    <w:rsid w:val="00F06708"/>
    <w:rsid w:val="00F0733E"/>
    <w:rsid w:val="00F07494"/>
    <w:rsid w:val="00F078A9"/>
    <w:rsid w:val="00F07B31"/>
    <w:rsid w:val="00F1106B"/>
    <w:rsid w:val="00F11EC0"/>
    <w:rsid w:val="00F1295A"/>
    <w:rsid w:val="00F130DE"/>
    <w:rsid w:val="00F143D7"/>
    <w:rsid w:val="00F14A0E"/>
    <w:rsid w:val="00F14A28"/>
    <w:rsid w:val="00F16597"/>
    <w:rsid w:val="00F172D4"/>
    <w:rsid w:val="00F17A22"/>
    <w:rsid w:val="00F201C8"/>
    <w:rsid w:val="00F2095B"/>
    <w:rsid w:val="00F20B48"/>
    <w:rsid w:val="00F20DCA"/>
    <w:rsid w:val="00F216EF"/>
    <w:rsid w:val="00F21EFB"/>
    <w:rsid w:val="00F221CD"/>
    <w:rsid w:val="00F22DFD"/>
    <w:rsid w:val="00F22E27"/>
    <w:rsid w:val="00F23166"/>
    <w:rsid w:val="00F234F8"/>
    <w:rsid w:val="00F235EB"/>
    <w:rsid w:val="00F23E0E"/>
    <w:rsid w:val="00F24903"/>
    <w:rsid w:val="00F24A1D"/>
    <w:rsid w:val="00F24D43"/>
    <w:rsid w:val="00F25221"/>
    <w:rsid w:val="00F277A9"/>
    <w:rsid w:val="00F3049B"/>
    <w:rsid w:val="00F306C2"/>
    <w:rsid w:val="00F30D5F"/>
    <w:rsid w:val="00F31725"/>
    <w:rsid w:val="00F3175B"/>
    <w:rsid w:val="00F3177E"/>
    <w:rsid w:val="00F3245C"/>
    <w:rsid w:val="00F32BC5"/>
    <w:rsid w:val="00F34AAA"/>
    <w:rsid w:val="00F35697"/>
    <w:rsid w:val="00F359DF"/>
    <w:rsid w:val="00F360E3"/>
    <w:rsid w:val="00F36787"/>
    <w:rsid w:val="00F367E9"/>
    <w:rsid w:val="00F3685E"/>
    <w:rsid w:val="00F36BCA"/>
    <w:rsid w:val="00F37D12"/>
    <w:rsid w:val="00F40228"/>
    <w:rsid w:val="00F406CE"/>
    <w:rsid w:val="00F4155D"/>
    <w:rsid w:val="00F422CC"/>
    <w:rsid w:val="00F429A1"/>
    <w:rsid w:val="00F42B9C"/>
    <w:rsid w:val="00F4531B"/>
    <w:rsid w:val="00F45E82"/>
    <w:rsid w:val="00F45EEC"/>
    <w:rsid w:val="00F4698C"/>
    <w:rsid w:val="00F46C0C"/>
    <w:rsid w:val="00F46DC5"/>
    <w:rsid w:val="00F46E95"/>
    <w:rsid w:val="00F47CE2"/>
    <w:rsid w:val="00F47FD1"/>
    <w:rsid w:val="00F51296"/>
    <w:rsid w:val="00F51797"/>
    <w:rsid w:val="00F53017"/>
    <w:rsid w:val="00F53BB2"/>
    <w:rsid w:val="00F54905"/>
    <w:rsid w:val="00F55001"/>
    <w:rsid w:val="00F5539D"/>
    <w:rsid w:val="00F55AC7"/>
    <w:rsid w:val="00F56887"/>
    <w:rsid w:val="00F56D3D"/>
    <w:rsid w:val="00F56F07"/>
    <w:rsid w:val="00F57832"/>
    <w:rsid w:val="00F60276"/>
    <w:rsid w:val="00F60C83"/>
    <w:rsid w:val="00F612FC"/>
    <w:rsid w:val="00F61348"/>
    <w:rsid w:val="00F62F78"/>
    <w:rsid w:val="00F63063"/>
    <w:rsid w:val="00F636D1"/>
    <w:rsid w:val="00F6388D"/>
    <w:rsid w:val="00F63F86"/>
    <w:rsid w:val="00F64B6A"/>
    <w:rsid w:val="00F66095"/>
    <w:rsid w:val="00F6694E"/>
    <w:rsid w:val="00F66E21"/>
    <w:rsid w:val="00F67A93"/>
    <w:rsid w:val="00F70562"/>
    <w:rsid w:val="00F71005"/>
    <w:rsid w:val="00F7358D"/>
    <w:rsid w:val="00F7392C"/>
    <w:rsid w:val="00F73A39"/>
    <w:rsid w:val="00F74329"/>
    <w:rsid w:val="00F74EBC"/>
    <w:rsid w:val="00F751DB"/>
    <w:rsid w:val="00F75426"/>
    <w:rsid w:val="00F756E6"/>
    <w:rsid w:val="00F75B80"/>
    <w:rsid w:val="00F765BD"/>
    <w:rsid w:val="00F77ADA"/>
    <w:rsid w:val="00F81019"/>
    <w:rsid w:val="00F81613"/>
    <w:rsid w:val="00F81DCE"/>
    <w:rsid w:val="00F82106"/>
    <w:rsid w:val="00F8268A"/>
    <w:rsid w:val="00F826BD"/>
    <w:rsid w:val="00F82AAA"/>
    <w:rsid w:val="00F82F9F"/>
    <w:rsid w:val="00F836D0"/>
    <w:rsid w:val="00F83A9A"/>
    <w:rsid w:val="00F83C97"/>
    <w:rsid w:val="00F8615D"/>
    <w:rsid w:val="00F8633B"/>
    <w:rsid w:val="00F872CB"/>
    <w:rsid w:val="00F8756F"/>
    <w:rsid w:val="00F876BF"/>
    <w:rsid w:val="00F90236"/>
    <w:rsid w:val="00F903C4"/>
    <w:rsid w:val="00F9072B"/>
    <w:rsid w:val="00F90BE1"/>
    <w:rsid w:val="00F90FB3"/>
    <w:rsid w:val="00F91BCB"/>
    <w:rsid w:val="00F92566"/>
    <w:rsid w:val="00F92BF6"/>
    <w:rsid w:val="00F9431C"/>
    <w:rsid w:val="00F95868"/>
    <w:rsid w:val="00F95DD9"/>
    <w:rsid w:val="00F963D3"/>
    <w:rsid w:val="00F968DB"/>
    <w:rsid w:val="00F96F6F"/>
    <w:rsid w:val="00F97318"/>
    <w:rsid w:val="00FA0DCB"/>
    <w:rsid w:val="00FA164E"/>
    <w:rsid w:val="00FA179C"/>
    <w:rsid w:val="00FA2372"/>
    <w:rsid w:val="00FA286A"/>
    <w:rsid w:val="00FA3B9E"/>
    <w:rsid w:val="00FA3EC7"/>
    <w:rsid w:val="00FA587F"/>
    <w:rsid w:val="00FA5B19"/>
    <w:rsid w:val="00FA5C3E"/>
    <w:rsid w:val="00FA6839"/>
    <w:rsid w:val="00FA7532"/>
    <w:rsid w:val="00FA7C86"/>
    <w:rsid w:val="00FB05CF"/>
    <w:rsid w:val="00FB0866"/>
    <w:rsid w:val="00FB0932"/>
    <w:rsid w:val="00FB1B67"/>
    <w:rsid w:val="00FB1CCB"/>
    <w:rsid w:val="00FB210A"/>
    <w:rsid w:val="00FB2850"/>
    <w:rsid w:val="00FB2D69"/>
    <w:rsid w:val="00FB396D"/>
    <w:rsid w:val="00FB3CDE"/>
    <w:rsid w:val="00FB3F83"/>
    <w:rsid w:val="00FB4103"/>
    <w:rsid w:val="00FB5270"/>
    <w:rsid w:val="00FB5DD2"/>
    <w:rsid w:val="00FB65A4"/>
    <w:rsid w:val="00FB78AA"/>
    <w:rsid w:val="00FC01F7"/>
    <w:rsid w:val="00FC0401"/>
    <w:rsid w:val="00FC0DC3"/>
    <w:rsid w:val="00FC1402"/>
    <w:rsid w:val="00FC2242"/>
    <w:rsid w:val="00FC2840"/>
    <w:rsid w:val="00FC451F"/>
    <w:rsid w:val="00FC4C32"/>
    <w:rsid w:val="00FC5130"/>
    <w:rsid w:val="00FC5BB0"/>
    <w:rsid w:val="00FC5BDC"/>
    <w:rsid w:val="00FC65EB"/>
    <w:rsid w:val="00FD032E"/>
    <w:rsid w:val="00FD0816"/>
    <w:rsid w:val="00FD16A8"/>
    <w:rsid w:val="00FD16E4"/>
    <w:rsid w:val="00FD1942"/>
    <w:rsid w:val="00FD1A9B"/>
    <w:rsid w:val="00FD1BF9"/>
    <w:rsid w:val="00FD211D"/>
    <w:rsid w:val="00FD2136"/>
    <w:rsid w:val="00FD2A9D"/>
    <w:rsid w:val="00FD2AF9"/>
    <w:rsid w:val="00FD2B42"/>
    <w:rsid w:val="00FD2C18"/>
    <w:rsid w:val="00FD2C40"/>
    <w:rsid w:val="00FD2D5A"/>
    <w:rsid w:val="00FD3477"/>
    <w:rsid w:val="00FD3F8E"/>
    <w:rsid w:val="00FD5004"/>
    <w:rsid w:val="00FD5250"/>
    <w:rsid w:val="00FD54FB"/>
    <w:rsid w:val="00FD5A4A"/>
    <w:rsid w:val="00FD5B44"/>
    <w:rsid w:val="00FD5D88"/>
    <w:rsid w:val="00FD5F9E"/>
    <w:rsid w:val="00FD6A09"/>
    <w:rsid w:val="00FD731A"/>
    <w:rsid w:val="00FD7B86"/>
    <w:rsid w:val="00FE02E3"/>
    <w:rsid w:val="00FE06A1"/>
    <w:rsid w:val="00FE0B8C"/>
    <w:rsid w:val="00FE2101"/>
    <w:rsid w:val="00FE24FE"/>
    <w:rsid w:val="00FE271A"/>
    <w:rsid w:val="00FE2D3F"/>
    <w:rsid w:val="00FE34A1"/>
    <w:rsid w:val="00FE3587"/>
    <w:rsid w:val="00FE457E"/>
    <w:rsid w:val="00FE46A2"/>
    <w:rsid w:val="00FE4861"/>
    <w:rsid w:val="00FE59E5"/>
    <w:rsid w:val="00FE68D3"/>
    <w:rsid w:val="00FE6C25"/>
    <w:rsid w:val="00FE7505"/>
    <w:rsid w:val="00FE7A0B"/>
    <w:rsid w:val="00FE7A6E"/>
    <w:rsid w:val="00FE7BAE"/>
    <w:rsid w:val="00FF08A8"/>
    <w:rsid w:val="00FF0C1A"/>
    <w:rsid w:val="00FF0EFB"/>
    <w:rsid w:val="00FF250C"/>
    <w:rsid w:val="00FF28FC"/>
    <w:rsid w:val="00FF2DC3"/>
    <w:rsid w:val="00FF3445"/>
    <w:rsid w:val="00FF377B"/>
    <w:rsid w:val="00FF386B"/>
    <w:rsid w:val="00FF3A46"/>
    <w:rsid w:val="00FF3AAC"/>
    <w:rsid w:val="00FF4673"/>
    <w:rsid w:val="00FF5005"/>
    <w:rsid w:val="00FF53E6"/>
    <w:rsid w:val="00FF53FA"/>
    <w:rsid w:val="00FF5A34"/>
    <w:rsid w:val="00FF606D"/>
    <w:rsid w:val="00FF68A1"/>
    <w:rsid w:val="00FF6A12"/>
    <w:rsid w:val="00FF72B6"/>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88.png"/><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hyperlink" Target="https://gsdc.wa.gov.au/" TargetMode="External"/><Relationship Id="rId16" Type="http://schemas.openxmlformats.org/officeDocument/2006/relationships/image" Target="media/image2.emf"/><Relationship Id="rId107" Type="http://schemas.openxmlformats.org/officeDocument/2006/relationships/hyperlink" Target="https://www.kdc.wa.gov.au/" TargetMode="External"/><Relationship Id="rId11" Type="http://schemas.openxmlformats.org/officeDocument/2006/relationships/endnotes" Target="endnotes.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hyperlink" Target="https://www.wa.gov.au/organisation/department-of-jobs-tourism-science-and-innovation/diversify-wa-economic-development-framework" TargetMode="External"/><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5.png"/><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hyperlink" Target="https://www.peel.wa.gov.au/" TargetMode="External"/><Relationship Id="rId118" Type="http://schemas.openxmlformats.org/officeDocument/2006/relationships/image" Target="media/image89.png"/><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hyperlink" Target="https://www.wa.gov.au/government/publications/diversify-wa-future-state" TargetMode="External"/><Relationship Id="rId103" Type="http://schemas.openxmlformats.org/officeDocument/2006/relationships/oleObject" Target="embeddings/oleObject1.bin"/><Relationship Id="rId108" Type="http://schemas.openxmlformats.org/officeDocument/2006/relationships/hyperlink" Target="https://www.pdc.wa.gov.au/" TargetMode="External"/><Relationship Id="rId54" Type="http://schemas.openxmlformats.org/officeDocument/2006/relationships/image" Target="media/image40.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image" Target="media/image35.emf"/><Relationship Id="rId114" Type="http://schemas.openxmlformats.org/officeDocument/2006/relationships/hyperlink" Target="https://www.wheatbelt.wa.gov.au/" TargetMode="External"/><Relationship Id="rId119" Type="http://schemas.openxmlformats.org/officeDocument/2006/relationships/image" Target="media/image90.png"/><Relationship Id="rId44" Type="http://schemas.openxmlformats.org/officeDocument/2006/relationships/image" Target="media/image30.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hyperlink" Target="https://www.gedc.wa.gov.au/" TargetMode="External"/><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6.jpeg"/><Relationship Id="rId120" Type="http://schemas.openxmlformats.org/officeDocument/2006/relationships/hyperlink" Target="mailto:economic.analysis@jtsi.wa.gov.au" TargetMode="External"/><Relationship Id="rId7" Type="http://schemas.openxmlformats.org/officeDocument/2006/relationships/styles" Target="style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hyperlink" Target="https://regional-wa-rdmp.opendata.arcgis.com/" TargetMode="External"/><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image" Target="media/image51.emf"/><Relationship Id="rId116" Type="http://schemas.openxmlformats.org/officeDocument/2006/relationships/image" Target="media/image87.png"/><Relationship Id="rId20" Type="http://schemas.openxmlformats.org/officeDocument/2006/relationships/image" Target="media/image6.emf"/><Relationship Id="rId41" Type="http://schemas.openxmlformats.org/officeDocument/2006/relationships/image" Target="media/image27.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hyperlink" Target="https://www.swdc.wa.gov.au/" TargetMode="External"/><Relationship Id="rId15" Type="http://schemas.openxmlformats.org/officeDocument/2006/relationships/hyperlink" Target="https://www.wa.gov.au/government/publications/western-australias-economy-and-international-trade" TargetMode="External"/><Relationship Id="rId36" Type="http://schemas.openxmlformats.org/officeDocument/2006/relationships/image" Target="media/image22.emf"/><Relationship Id="rId57" Type="http://schemas.openxmlformats.org/officeDocument/2006/relationships/image" Target="media/image43.emf"/><Relationship Id="rId106" Type="http://schemas.openxmlformats.org/officeDocument/2006/relationships/hyperlink" Target="https://www.gdc.wa.gov.au/" TargetMode="External"/><Relationship Id="rId10" Type="http://schemas.openxmlformats.org/officeDocument/2006/relationships/footnotes" Target="footnotes.xml"/><Relationship Id="rId31" Type="http://schemas.openxmlformats.org/officeDocument/2006/relationships/image" Target="media/image17.emf"/><Relationship Id="rId52" Type="http://schemas.openxmlformats.org/officeDocument/2006/relationships/image" Target="media/image38.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header" Target="header2.xm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003606policy.data</OurDocsDocId>
    <OurDocsVersionCreatedBy xmlns="0c56a47d-469b-460c-81a1-345d54cdeeee">MIDSDEP</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2024-07-25T16:00:00+00:00</OurDocsDocumentDate>
    <OurDocsVersionCreatedAt xmlns="0c56a47d-469b-460c-81a1-345d54cdeeee">2024-07-26T05:07:21+00:00</OurDocsVersionCreatedAt>
    <OurDocsReleaseClassification xmlns="0c56a47d-469b-460c-81a1-345d54cdeeee">For Public Release</OurDocsReleaseClassification>
    <OurDocsTitle xmlns="0c56a47d-469b-460c-81a1-345d54cdeeee">WA ECONOMIC PROFILE - MASTER</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bc37dfbe-9a1a-4235-abd7-8bc54474f3d7" ContentTypeId="0x0101000AC6246A9CD2FC45B52DC6FEC0F0AAAA" PreviousValue="false"/>
</file>

<file path=customXml/item5.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customXml/itemProps3.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4.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5.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15166</Words>
  <Characters>86451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FOO, Lee Mei</cp:lastModifiedBy>
  <cp:revision>2</cp:revision>
  <cp:lastPrinted>2024-06-21T07:54:00Z</cp:lastPrinted>
  <dcterms:created xsi:type="dcterms:W3CDTF">2025-06-30T05:13:00Z</dcterms:created>
  <dcterms:modified xsi:type="dcterms:W3CDTF">2025-06-30T05:13:00Z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