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0C1CB" w14:textId="22FE55AC" w:rsidR="00F140D9" w:rsidRPr="004D0F80" w:rsidRDefault="002C4629" w:rsidP="004C4E83">
      <w:pPr>
        <w:pStyle w:val="Heading1"/>
        <w:spacing w:before="720" w:beforeAutospacing="0" w:after="24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8CA54A" wp14:editId="35FB1A3A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534551" cy="1580707"/>
            <wp:effectExtent l="0" t="0" r="0" b="635"/>
            <wp:wrapNone/>
            <wp:docPr id="21" name="Picture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551" cy="15807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40D9" w:rsidRPr="004D0F80">
        <w:t xml:space="preserve">Western Australian </w:t>
      </w:r>
      <w:r w:rsidR="00235D77">
        <w:t>p</w:t>
      </w:r>
      <w:r w:rsidR="00F140D9" w:rsidRPr="004D0F80">
        <w:t xml:space="preserve">ublic </w:t>
      </w:r>
      <w:r w:rsidR="00235D77">
        <w:t>s</w:t>
      </w:r>
      <w:r w:rsidR="00F140D9" w:rsidRPr="004D0F80">
        <w:t xml:space="preserve">ector </w:t>
      </w:r>
      <w:r w:rsidR="00C51C2E" w:rsidRPr="004D0F80">
        <w:t>workforce report</w:t>
      </w:r>
      <w:r w:rsidR="00D26919">
        <w:t>:</w:t>
      </w:r>
      <w:r w:rsidR="00607466">
        <w:t xml:space="preserve"> </w:t>
      </w:r>
      <w:r w:rsidR="00332133">
        <w:t xml:space="preserve">March </w:t>
      </w:r>
      <w:r w:rsidR="001308FA">
        <w:t>202</w:t>
      </w:r>
      <w:r w:rsidR="00332133">
        <w:t>5</w:t>
      </w:r>
    </w:p>
    <w:p w14:paraId="6D273999" w14:textId="11743C42" w:rsidR="00CC76B7" w:rsidRDefault="00CC76B7" w:rsidP="004C4E83">
      <w:pPr>
        <w:pStyle w:val="Heading2"/>
        <w:spacing w:before="360" w:line="240" w:lineRule="exact"/>
      </w:pPr>
      <w:r w:rsidRPr="004D0F80">
        <w:t>About</w:t>
      </w:r>
      <w:r>
        <w:t xml:space="preserve"> this information</w:t>
      </w:r>
    </w:p>
    <w:p w14:paraId="14D98CE9" w14:textId="27CABC41" w:rsidR="00CC76B7" w:rsidRDefault="00CC76B7" w:rsidP="007735B4">
      <w:pPr>
        <w:spacing w:before="0" w:beforeAutospacing="0" w:after="120"/>
        <w:rPr>
          <w:noProof/>
        </w:rPr>
      </w:pPr>
      <w:r w:rsidRPr="00484458">
        <w:t xml:space="preserve">This page presents a snapshot of the </w:t>
      </w:r>
      <w:r w:rsidR="000E1883">
        <w:t>p</w:t>
      </w:r>
      <w:r w:rsidRPr="00484458">
        <w:t xml:space="preserve">ublic </w:t>
      </w:r>
      <w:r w:rsidR="000E1883">
        <w:t>s</w:t>
      </w:r>
      <w:r w:rsidRPr="00484458">
        <w:t xml:space="preserve">ector workforce </w:t>
      </w:r>
      <w:r w:rsidR="0027558C" w:rsidRPr="00484458">
        <w:t xml:space="preserve">based on </w:t>
      </w:r>
      <w:r w:rsidRPr="00484458">
        <w:t>the mo</w:t>
      </w:r>
      <w:r w:rsidRPr="008B64B5">
        <w:t>st recent data available. More detailed workforce information (including information on other government entities) is in the</w:t>
      </w:r>
      <w:r w:rsidR="0052376E">
        <w:t xml:space="preserve"> </w:t>
      </w:r>
      <w:hyperlink r:id="rId9" w:history="1">
        <w:r w:rsidR="0052376E" w:rsidRPr="0052376E">
          <w:rPr>
            <w:rStyle w:val="Hyperlink"/>
          </w:rPr>
          <w:t>State of WA Government Sector Workforce 2023-24</w:t>
        </w:r>
      </w:hyperlink>
      <w:r w:rsidR="0052376E">
        <w:t>.</w:t>
      </w:r>
      <w:r w:rsidRPr="008B64B5">
        <w:t xml:space="preserve"> </w:t>
      </w:r>
    </w:p>
    <w:p w14:paraId="787158A3" w14:textId="4D143E49" w:rsidR="00C910D3" w:rsidRPr="008B64B5" w:rsidRDefault="002C49E1" w:rsidP="000002FD">
      <w:pPr>
        <w:spacing w:before="0" w:beforeAutospacing="0" w:after="0"/>
      </w:pPr>
      <w:r>
        <w:t>T</w:t>
      </w:r>
      <w:r w:rsidR="00C910D3" w:rsidRPr="008B64B5">
        <w:t xml:space="preserve">he Commission’s </w:t>
      </w:r>
      <w:hyperlink r:id="rId10" w:history="1">
        <w:r w:rsidR="00C910D3" w:rsidRPr="008B64B5">
          <w:rPr>
            <w:rStyle w:val="Hyperlink"/>
          </w:rPr>
          <w:t>About our workforce data</w:t>
        </w:r>
      </w:hyperlink>
      <w:r w:rsidR="00C910D3" w:rsidRPr="008B64B5">
        <w:t xml:space="preserve"> </w:t>
      </w:r>
      <w:r>
        <w:t>has</w:t>
      </w:r>
      <w:r w:rsidR="00C910D3" w:rsidRPr="008B64B5">
        <w:t xml:space="preserve"> </w:t>
      </w:r>
      <w:r w:rsidR="00142732" w:rsidRPr="008B64B5">
        <w:t>additional contextual</w:t>
      </w:r>
      <w:r w:rsidR="00C910D3" w:rsidRPr="008B64B5">
        <w:t xml:space="preserve"> information.</w:t>
      </w:r>
    </w:p>
    <w:p w14:paraId="78FF7087" w14:textId="0E2EDBBB" w:rsidR="00F140D9" w:rsidRPr="001327BA" w:rsidRDefault="006258A2" w:rsidP="004C4E83">
      <w:pPr>
        <w:pStyle w:val="Heading2"/>
        <w:spacing w:before="360" w:line="240" w:lineRule="exact"/>
        <w:rPr>
          <w:color w:val="000000"/>
          <w14:textFill>
            <w14:solidFill>
              <w14:srgbClr w14:val="000000">
                <w14:lumMod w14:val="85000"/>
                <w14:lumOff w14:val="15000"/>
                <w14:lumMod w14:val="25000"/>
              </w14:srgbClr>
            </w14:solidFill>
          </w14:textFill>
        </w:rPr>
      </w:pPr>
      <w:r w:rsidRPr="001327BA">
        <w:rPr>
          <w:color w:val="000000"/>
          <w14:textFill>
            <w14:solidFill>
              <w14:srgbClr w14:val="000000">
                <w14:lumMod w14:val="85000"/>
                <w14:lumOff w14:val="15000"/>
                <w14:lumMod w14:val="25000"/>
              </w14:srgbClr>
            </w14:solidFill>
          </w14:textFill>
        </w:rPr>
        <w:t>Overview</w:t>
      </w:r>
      <w:r w:rsidR="002500BA" w:rsidRPr="001327BA">
        <w:rPr>
          <w:color w:val="000000"/>
          <w14:textFill>
            <w14:solidFill>
              <w14:srgbClr w14:val="000000">
                <w14:lumMod w14:val="85000"/>
                <w14:lumOff w14:val="15000"/>
                <w14:lumMod w14:val="25000"/>
              </w14:srgbClr>
            </w14:solidFill>
          </w14:textFill>
        </w:rPr>
        <w:t xml:space="preserve"> of the </w:t>
      </w:r>
      <w:r w:rsidR="000E1883" w:rsidRPr="001327BA">
        <w:rPr>
          <w:color w:val="000000"/>
          <w14:textFill>
            <w14:solidFill>
              <w14:srgbClr w14:val="000000">
                <w14:lumMod w14:val="85000"/>
                <w14:lumOff w14:val="15000"/>
                <w14:lumMod w14:val="25000"/>
              </w14:srgbClr>
            </w14:solidFill>
          </w14:textFill>
        </w:rPr>
        <w:t>p</w:t>
      </w:r>
      <w:r w:rsidR="002500BA" w:rsidRPr="001327BA">
        <w:rPr>
          <w:color w:val="000000"/>
          <w14:textFill>
            <w14:solidFill>
              <w14:srgbClr w14:val="000000">
                <w14:lumMod w14:val="85000"/>
                <w14:lumOff w14:val="15000"/>
                <w14:lumMod w14:val="25000"/>
              </w14:srgbClr>
            </w14:solidFill>
          </w14:textFill>
        </w:rPr>
        <w:t xml:space="preserve">ublic </w:t>
      </w:r>
      <w:r w:rsidR="000E1883" w:rsidRPr="001327BA">
        <w:rPr>
          <w:color w:val="000000"/>
          <w14:textFill>
            <w14:solidFill>
              <w14:srgbClr w14:val="000000">
                <w14:lumMod w14:val="85000"/>
                <w14:lumOff w14:val="15000"/>
                <w14:lumMod w14:val="25000"/>
              </w14:srgbClr>
            </w14:solidFill>
          </w14:textFill>
        </w:rPr>
        <w:t>s</w:t>
      </w:r>
      <w:r w:rsidR="00917C55" w:rsidRPr="001327BA">
        <w:rPr>
          <w:color w:val="000000"/>
          <w14:textFill>
            <w14:solidFill>
              <w14:srgbClr w14:val="000000">
                <w14:lumMod w14:val="85000"/>
                <w14:lumOff w14:val="15000"/>
                <w14:lumMod w14:val="25000"/>
              </w14:srgbClr>
            </w14:solidFill>
          </w14:textFill>
        </w:rPr>
        <w:t xml:space="preserve">ector </w:t>
      </w:r>
      <w:r w:rsidR="00824937">
        <w:rPr>
          <w:color w:val="000000"/>
          <w14:textFill>
            <w14:solidFill>
              <w14:srgbClr w14:val="000000">
                <w14:lumMod w14:val="85000"/>
                <w14:lumOff w14:val="15000"/>
                <w14:lumMod w14:val="25000"/>
              </w14:srgbClr>
            </w14:solidFill>
          </w14:textFill>
        </w:rPr>
        <w:t xml:space="preserve">workforce </w:t>
      </w:r>
      <w:r w:rsidR="00917C55" w:rsidRPr="001327BA">
        <w:rPr>
          <w:color w:val="000000"/>
          <w14:textFill>
            <w14:solidFill>
              <w14:srgbClr w14:val="000000">
                <w14:lumMod w14:val="85000"/>
                <w14:lumOff w14:val="15000"/>
                <w14:lumMod w14:val="25000"/>
              </w14:srgbClr>
            </w14:solidFill>
          </w14:textFill>
        </w:rPr>
        <w:t>at</w:t>
      </w:r>
      <w:r w:rsidR="00CC76B7" w:rsidRPr="001327BA">
        <w:rPr>
          <w:color w:val="000000"/>
          <w14:textFill>
            <w14:solidFill>
              <w14:srgbClr w14:val="000000">
                <w14:lumMod w14:val="85000"/>
                <w14:lumOff w14:val="15000"/>
                <w14:lumMod w14:val="25000"/>
              </w14:srgbClr>
            </w14:solidFill>
          </w14:textFill>
        </w:rPr>
        <w:t xml:space="preserve"> </w:t>
      </w:r>
      <w:r w:rsidR="00332133">
        <w:rPr>
          <w:color w:val="000000"/>
          <w14:textFill>
            <w14:solidFill>
              <w14:srgbClr w14:val="000000">
                <w14:lumMod w14:val="85000"/>
                <w14:lumOff w14:val="15000"/>
                <w14:lumMod w14:val="25000"/>
              </w14:srgbClr>
            </w14:solidFill>
          </w14:textFill>
        </w:rPr>
        <w:t>March</w:t>
      </w:r>
      <w:r w:rsidR="00BF5262" w:rsidRPr="001327BA">
        <w:rPr>
          <w:color w:val="000000"/>
          <w14:textFill>
            <w14:solidFill>
              <w14:srgbClr w14:val="000000">
                <w14:lumMod w14:val="85000"/>
                <w14:lumOff w14:val="15000"/>
                <w14:lumMod w14:val="25000"/>
              </w14:srgbClr>
            </w14:solidFill>
          </w14:textFill>
        </w:rPr>
        <w:t xml:space="preserve"> 202</w:t>
      </w:r>
      <w:r w:rsidR="00332133">
        <w:rPr>
          <w:color w:val="000000"/>
          <w14:textFill>
            <w14:solidFill>
              <w14:srgbClr w14:val="000000">
                <w14:lumMod w14:val="85000"/>
                <w14:lumOff w14:val="15000"/>
                <w14:lumMod w14:val="25000"/>
              </w14:srgbClr>
            </w14:solidFill>
          </w14:textFill>
        </w:rPr>
        <w:t>5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539"/>
        <w:gridCol w:w="3260"/>
        <w:gridCol w:w="2835"/>
      </w:tblGrid>
      <w:tr w:rsidR="001327BA" w:rsidRPr="007735B4" w14:paraId="4F4C340A" w14:textId="77777777" w:rsidTr="004C4E83">
        <w:tc>
          <w:tcPr>
            <w:tcW w:w="6799" w:type="dxa"/>
            <w:gridSpan w:val="2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5A966609" w14:textId="48F826EB" w:rsidR="00F86D38" w:rsidRPr="008934B7" w:rsidRDefault="00F86D38" w:rsidP="007735B4">
            <w:pPr>
              <w:pStyle w:val="TableText"/>
              <w:spacing w:beforeAutospacing="0" w:line="240" w:lineRule="auto"/>
              <w:rPr>
                <w:b/>
                <w:color w:val="auto"/>
                <w:sz w:val="22"/>
                <w:szCs w:val="22"/>
                <w:shd w:val="clear" w:color="auto" w:fill="FFFFFF"/>
              </w:rPr>
            </w:pPr>
            <w:r w:rsidRPr="008934B7">
              <w:rPr>
                <w:color w:val="auto"/>
                <w:sz w:val="22"/>
                <w:szCs w:val="22"/>
                <w:shd w:val="clear" w:color="auto" w:fill="FFFFFF"/>
              </w:rPr>
              <w:t>Headcount</w:t>
            </w:r>
          </w:p>
        </w:tc>
        <w:tc>
          <w:tcPr>
            <w:tcW w:w="283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56D54886" w14:textId="7F8F0630" w:rsidR="00F86D38" w:rsidRPr="008934B7" w:rsidRDefault="00332133" w:rsidP="007735B4">
            <w:pPr>
              <w:pStyle w:val="TableText"/>
              <w:spacing w:beforeAutospacing="0" w:line="240" w:lineRule="auto"/>
              <w:ind w:left="720" w:hanging="720"/>
              <w:jc w:val="right"/>
              <w:rPr>
                <w:b/>
                <w:color w:val="auto"/>
                <w:sz w:val="22"/>
                <w:szCs w:val="22"/>
                <w:highlight w:val="yellow"/>
                <w:shd w:val="clear" w:color="auto" w:fill="FFFFFF"/>
              </w:rPr>
            </w:pPr>
            <w:r w:rsidRPr="008934B7">
              <w:rPr>
                <w:color w:val="auto"/>
                <w:sz w:val="22"/>
                <w:szCs w:val="22"/>
                <w:shd w:val="clear" w:color="auto" w:fill="FFFFFF"/>
              </w:rPr>
              <w:t>181,145</w:t>
            </w:r>
          </w:p>
        </w:tc>
      </w:tr>
      <w:tr w:rsidR="001327BA" w:rsidRPr="007735B4" w14:paraId="33540417" w14:textId="77777777" w:rsidTr="004C4E83">
        <w:tc>
          <w:tcPr>
            <w:tcW w:w="6799" w:type="dxa"/>
            <w:gridSpan w:val="2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39754B09" w14:textId="314E34AB" w:rsidR="00F86D38" w:rsidRPr="008934B7" w:rsidRDefault="00F86D38" w:rsidP="007735B4">
            <w:pPr>
              <w:pStyle w:val="TableText"/>
              <w:spacing w:beforeAutospacing="0" w:line="240" w:lineRule="auto"/>
              <w:rPr>
                <w:b/>
                <w:color w:val="auto"/>
                <w:sz w:val="22"/>
                <w:szCs w:val="22"/>
                <w:shd w:val="clear" w:color="auto" w:fill="FFFFFF"/>
              </w:rPr>
            </w:pPr>
            <w:r w:rsidRPr="008934B7">
              <w:rPr>
                <w:color w:val="auto"/>
                <w:sz w:val="22"/>
                <w:szCs w:val="22"/>
                <w:shd w:val="clear" w:color="auto" w:fill="FFFFFF"/>
              </w:rPr>
              <w:t>Full</w:t>
            </w:r>
            <w:r w:rsidR="008934B7" w:rsidRPr="008934B7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8934B7">
              <w:rPr>
                <w:color w:val="auto"/>
                <w:sz w:val="22"/>
                <w:szCs w:val="22"/>
                <w:shd w:val="clear" w:color="auto" w:fill="FFFFFF"/>
              </w:rPr>
              <w:t>time equivalent (FTE)</w:t>
            </w:r>
          </w:p>
        </w:tc>
        <w:tc>
          <w:tcPr>
            <w:tcW w:w="283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63CC6538" w14:textId="07EEFA0A" w:rsidR="00F86D38" w:rsidRPr="008934B7" w:rsidRDefault="00332133" w:rsidP="007735B4">
            <w:pPr>
              <w:pStyle w:val="TableText"/>
              <w:spacing w:beforeAutospacing="0" w:line="240" w:lineRule="auto"/>
              <w:jc w:val="right"/>
              <w:rPr>
                <w:color w:val="auto"/>
                <w:sz w:val="22"/>
                <w:szCs w:val="22"/>
                <w:highlight w:val="yellow"/>
                <w:shd w:val="clear" w:color="auto" w:fill="FFFFFF"/>
              </w:rPr>
            </w:pPr>
            <w:r w:rsidRPr="008934B7">
              <w:rPr>
                <w:color w:val="auto"/>
                <w:sz w:val="22"/>
                <w:szCs w:val="22"/>
                <w:shd w:val="clear" w:color="auto" w:fill="FFFFFF"/>
              </w:rPr>
              <w:t>142,317</w:t>
            </w:r>
          </w:p>
        </w:tc>
      </w:tr>
      <w:tr w:rsidR="001327BA" w:rsidRPr="007735B4" w14:paraId="5214CC2A" w14:textId="4801395B" w:rsidTr="004C4E83">
        <w:tc>
          <w:tcPr>
            <w:tcW w:w="6799" w:type="dxa"/>
            <w:gridSpan w:val="2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1D20AED2" w14:textId="77777777" w:rsidR="00036DCA" w:rsidRPr="008934B7" w:rsidRDefault="008750E6" w:rsidP="007735B4">
            <w:pPr>
              <w:pStyle w:val="TableText"/>
              <w:spacing w:beforeAutospacing="0" w:line="240" w:lineRule="auto"/>
              <w:rPr>
                <w:bCs w:val="0"/>
                <w:color w:val="auto"/>
                <w:sz w:val="22"/>
                <w:szCs w:val="22"/>
                <w:shd w:val="clear" w:color="auto" w:fill="FFFFFF"/>
              </w:rPr>
            </w:pPr>
            <w:r w:rsidRPr="008934B7">
              <w:rPr>
                <w:color w:val="auto"/>
                <w:sz w:val="22"/>
                <w:szCs w:val="22"/>
                <w:shd w:val="clear" w:color="auto" w:fill="FFFFFF"/>
              </w:rPr>
              <w:t xml:space="preserve">General government </w:t>
            </w:r>
            <w:r w:rsidR="006926A7" w:rsidRPr="008934B7">
              <w:rPr>
                <w:color w:val="auto"/>
                <w:sz w:val="22"/>
                <w:szCs w:val="22"/>
                <w:shd w:val="clear" w:color="auto" w:fill="FFFFFF"/>
              </w:rPr>
              <w:t xml:space="preserve">salaries </w:t>
            </w:r>
            <w:r w:rsidRPr="008934B7">
              <w:rPr>
                <w:color w:val="auto"/>
                <w:sz w:val="22"/>
                <w:szCs w:val="22"/>
                <w:shd w:val="clear" w:color="auto" w:fill="FFFFFF"/>
              </w:rPr>
              <w:t>expenses</w:t>
            </w:r>
          </w:p>
          <w:p w14:paraId="642B25AC" w14:textId="577C490B" w:rsidR="008750E6" w:rsidRPr="008934B7" w:rsidRDefault="00073448" w:rsidP="007735B4">
            <w:pPr>
              <w:pStyle w:val="TableText"/>
              <w:spacing w:beforeAutospacing="0" w:line="240" w:lineRule="auto"/>
              <w:rPr>
                <w:b/>
                <w:color w:val="auto"/>
                <w:sz w:val="22"/>
                <w:szCs w:val="22"/>
                <w:shd w:val="clear" w:color="auto" w:fill="FFFFFF"/>
              </w:rPr>
            </w:pPr>
            <w:r w:rsidRPr="008934B7">
              <w:rPr>
                <w:color w:val="auto"/>
                <w:sz w:val="22"/>
                <w:szCs w:val="22"/>
                <w:shd w:val="clear" w:color="auto" w:fill="FFFFFF"/>
              </w:rPr>
              <w:t>(</w:t>
            </w:r>
            <w:r w:rsidR="00332133" w:rsidRPr="008934B7">
              <w:rPr>
                <w:color w:val="auto"/>
                <w:sz w:val="22"/>
                <w:szCs w:val="22"/>
                <w:shd w:val="clear" w:color="auto" w:fill="FFFFFF"/>
              </w:rPr>
              <w:t>March</w:t>
            </w:r>
            <w:r w:rsidRPr="008934B7">
              <w:rPr>
                <w:color w:val="auto"/>
                <w:sz w:val="22"/>
                <w:szCs w:val="22"/>
                <w:shd w:val="clear" w:color="auto" w:fill="FFFFFF"/>
              </w:rPr>
              <w:t xml:space="preserve"> quarter)</w:t>
            </w:r>
          </w:p>
        </w:tc>
        <w:tc>
          <w:tcPr>
            <w:tcW w:w="283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66512567" w14:textId="650F2700" w:rsidR="008750E6" w:rsidRPr="004C4E83" w:rsidRDefault="0052376E" w:rsidP="007735B4">
            <w:pPr>
              <w:pStyle w:val="TableText"/>
              <w:spacing w:beforeAutospacing="0" w:line="240" w:lineRule="auto"/>
              <w:jc w:val="right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4C4E83">
              <w:rPr>
                <w:color w:val="auto"/>
                <w:sz w:val="22"/>
                <w:szCs w:val="22"/>
                <w:shd w:val="clear" w:color="auto" w:fill="FFFFFF"/>
              </w:rPr>
              <w:t xml:space="preserve">To be published in </w:t>
            </w:r>
            <w:hyperlink r:id="rId11" w:history="1">
              <w:r w:rsidR="00202E31" w:rsidRPr="00202E31">
                <w:rPr>
                  <w:rStyle w:val="Hyperlink"/>
                  <w:sz w:val="22"/>
                  <w:szCs w:val="22"/>
                  <w:shd w:val="clear" w:color="auto" w:fill="FFFFFF"/>
                </w:rPr>
                <w:t>Quarterly Report on State Finances</w:t>
              </w:r>
            </w:hyperlink>
          </w:p>
        </w:tc>
      </w:tr>
      <w:tr w:rsidR="001327BA" w:rsidRPr="007735B4" w14:paraId="2903238C" w14:textId="77777777" w:rsidTr="004C4E83">
        <w:tc>
          <w:tcPr>
            <w:tcW w:w="6799" w:type="dxa"/>
            <w:gridSpan w:val="2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5B9D79AB" w14:textId="75D1B13D" w:rsidR="00F86D38" w:rsidRPr="008934B7" w:rsidRDefault="006A5FF7" w:rsidP="007735B4">
            <w:pPr>
              <w:pStyle w:val="TableText"/>
              <w:spacing w:beforeAutospacing="0" w:line="240" w:lineRule="auto"/>
              <w:rPr>
                <w:b/>
                <w:color w:val="auto"/>
                <w:sz w:val="22"/>
                <w:szCs w:val="22"/>
                <w:shd w:val="clear" w:color="auto" w:fill="FFFFFF"/>
              </w:rPr>
            </w:pPr>
            <w:r w:rsidRPr="008934B7">
              <w:rPr>
                <w:color w:val="auto"/>
                <w:sz w:val="22"/>
                <w:szCs w:val="22"/>
                <w:shd w:val="clear" w:color="auto" w:fill="FFFFFF"/>
              </w:rPr>
              <w:t>Public sector m</w:t>
            </w:r>
            <w:r w:rsidR="00F86D38" w:rsidRPr="008934B7">
              <w:rPr>
                <w:color w:val="auto"/>
                <w:sz w:val="22"/>
                <w:szCs w:val="22"/>
                <w:shd w:val="clear" w:color="auto" w:fill="FFFFFF"/>
              </w:rPr>
              <w:t>edian age</w:t>
            </w:r>
          </w:p>
        </w:tc>
        <w:tc>
          <w:tcPr>
            <w:tcW w:w="283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4351825E" w14:textId="6A18E8CC" w:rsidR="00F86D38" w:rsidRPr="004C4E83" w:rsidRDefault="007922A5" w:rsidP="007735B4">
            <w:pPr>
              <w:pStyle w:val="TableText"/>
              <w:spacing w:beforeAutospacing="0" w:line="240" w:lineRule="auto"/>
              <w:jc w:val="right"/>
              <w:rPr>
                <w:color w:val="auto"/>
                <w:sz w:val="22"/>
                <w:szCs w:val="22"/>
                <w:highlight w:val="yellow"/>
                <w:shd w:val="clear" w:color="auto" w:fill="FFFFFF"/>
              </w:rPr>
            </w:pPr>
            <w:r w:rsidRPr="008934B7">
              <w:rPr>
                <w:color w:val="auto"/>
                <w:sz w:val="22"/>
                <w:szCs w:val="22"/>
                <w:shd w:val="clear" w:color="auto" w:fill="FFFFFF"/>
              </w:rPr>
              <w:t>4</w:t>
            </w:r>
            <w:r w:rsidR="00BF5262" w:rsidRPr="008934B7">
              <w:rPr>
                <w:color w:val="auto"/>
                <w:sz w:val="22"/>
                <w:szCs w:val="22"/>
                <w:shd w:val="clear" w:color="auto" w:fill="FFFFFF"/>
              </w:rPr>
              <w:t>4</w:t>
            </w:r>
          </w:p>
        </w:tc>
      </w:tr>
      <w:tr w:rsidR="001327BA" w:rsidRPr="007735B4" w14:paraId="609145EC" w14:textId="77777777" w:rsidTr="004C4E83">
        <w:tc>
          <w:tcPr>
            <w:tcW w:w="3539" w:type="dxa"/>
            <w:vMerge w:val="restart"/>
            <w:tcBorders>
              <w:top w:val="single" w:sz="4" w:space="0" w:color="00B050"/>
              <w:left w:val="single" w:sz="4" w:space="0" w:color="00B050"/>
              <w:right w:val="single" w:sz="4" w:space="0" w:color="00B050"/>
            </w:tcBorders>
          </w:tcPr>
          <w:p w14:paraId="1DE8E763" w14:textId="2B84DB0B" w:rsidR="00F86D38" w:rsidRPr="004C4E83" w:rsidRDefault="00F86D38" w:rsidP="007735B4">
            <w:pPr>
              <w:pStyle w:val="TableText"/>
              <w:spacing w:beforeAutospacing="0" w:line="240" w:lineRule="auto"/>
              <w:rPr>
                <w:b/>
                <w:color w:val="auto"/>
                <w:sz w:val="22"/>
                <w:szCs w:val="22"/>
                <w:shd w:val="clear" w:color="auto" w:fill="FFFFFF"/>
              </w:rPr>
            </w:pPr>
            <w:r w:rsidRPr="008934B7">
              <w:rPr>
                <w:color w:val="auto"/>
                <w:sz w:val="22"/>
                <w:szCs w:val="22"/>
                <w:shd w:val="clear" w:color="auto" w:fill="FFFFFF"/>
              </w:rPr>
              <w:t>Top 3 occupation groups (FTE)</w:t>
            </w:r>
          </w:p>
        </w:tc>
        <w:tc>
          <w:tcPr>
            <w:tcW w:w="326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0B019051" w14:textId="3955FB6D" w:rsidR="00F86D38" w:rsidRPr="008934B7" w:rsidRDefault="00F86D38" w:rsidP="007735B4">
            <w:pPr>
              <w:pStyle w:val="TableText"/>
              <w:spacing w:beforeAutospacing="0" w:line="240" w:lineRule="auto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8934B7">
              <w:rPr>
                <w:color w:val="auto"/>
                <w:sz w:val="22"/>
                <w:szCs w:val="22"/>
                <w:shd w:val="clear" w:color="auto" w:fill="FFFFFF"/>
              </w:rPr>
              <w:t>Teachers</w:t>
            </w:r>
          </w:p>
        </w:tc>
        <w:tc>
          <w:tcPr>
            <w:tcW w:w="283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560A349D" w14:textId="3A6D0FEE" w:rsidR="00F86D38" w:rsidRPr="008934B7" w:rsidRDefault="001D21F5" w:rsidP="007735B4">
            <w:pPr>
              <w:pStyle w:val="TableText"/>
              <w:spacing w:beforeAutospacing="0" w:line="240" w:lineRule="auto"/>
              <w:jc w:val="right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8934B7">
              <w:rPr>
                <w:color w:val="auto"/>
                <w:sz w:val="22"/>
                <w:szCs w:val="22"/>
                <w:shd w:val="clear" w:color="auto" w:fill="FFFFFF"/>
              </w:rPr>
              <w:t>1</w:t>
            </w:r>
            <w:r w:rsidR="004611D7" w:rsidRPr="008934B7">
              <w:rPr>
                <w:color w:val="auto"/>
                <w:sz w:val="22"/>
                <w:szCs w:val="22"/>
                <w:shd w:val="clear" w:color="auto" w:fill="FFFFFF"/>
              </w:rPr>
              <w:t>7</w:t>
            </w:r>
            <w:r w:rsidRPr="008934B7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  <w:r w:rsidR="00332133" w:rsidRPr="008934B7">
              <w:rPr>
                <w:color w:val="auto"/>
                <w:sz w:val="22"/>
                <w:szCs w:val="22"/>
                <w:shd w:val="clear" w:color="auto" w:fill="FFFFFF"/>
              </w:rPr>
              <w:t>2</w:t>
            </w:r>
            <w:r w:rsidR="007922A5" w:rsidRPr="008934B7">
              <w:rPr>
                <w:color w:val="auto"/>
                <w:sz w:val="22"/>
                <w:szCs w:val="22"/>
                <w:shd w:val="clear" w:color="auto" w:fill="FFFFFF"/>
              </w:rPr>
              <w:t>%</w:t>
            </w:r>
          </w:p>
        </w:tc>
      </w:tr>
      <w:tr w:rsidR="001327BA" w:rsidRPr="007735B4" w14:paraId="526F70BD" w14:textId="77777777" w:rsidTr="004C4E83">
        <w:tc>
          <w:tcPr>
            <w:tcW w:w="3539" w:type="dxa"/>
            <w:vMerge/>
            <w:tcBorders>
              <w:left w:val="single" w:sz="4" w:space="0" w:color="00B050"/>
              <w:right w:val="single" w:sz="4" w:space="0" w:color="00B050"/>
            </w:tcBorders>
          </w:tcPr>
          <w:p w14:paraId="4034553D" w14:textId="77777777" w:rsidR="00F86D38" w:rsidRPr="00AF3B70" w:rsidRDefault="00F86D38" w:rsidP="007735B4">
            <w:pPr>
              <w:pStyle w:val="TableText"/>
              <w:spacing w:beforeAutospacing="0" w:line="240" w:lineRule="auto"/>
              <w:rPr>
                <w:b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32B6CB38" w14:textId="0EE45075" w:rsidR="00F86D38" w:rsidRPr="008934B7" w:rsidRDefault="00F86D38" w:rsidP="007735B4">
            <w:pPr>
              <w:pStyle w:val="TableText"/>
              <w:spacing w:beforeAutospacing="0" w:line="240" w:lineRule="auto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8934B7">
              <w:rPr>
                <w:color w:val="auto"/>
                <w:sz w:val="22"/>
                <w:szCs w:val="22"/>
                <w:shd w:val="clear" w:color="auto" w:fill="FFFFFF"/>
              </w:rPr>
              <w:t>Clerical workers</w:t>
            </w:r>
          </w:p>
        </w:tc>
        <w:tc>
          <w:tcPr>
            <w:tcW w:w="283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299EF6D1" w14:textId="2C6EE7C8" w:rsidR="00F86D38" w:rsidRPr="008934B7" w:rsidRDefault="00994D7A" w:rsidP="007735B4">
            <w:pPr>
              <w:pStyle w:val="TableText"/>
              <w:spacing w:beforeAutospacing="0" w:line="240" w:lineRule="auto"/>
              <w:jc w:val="right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8934B7">
              <w:rPr>
                <w:color w:val="auto"/>
                <w:sz w:val="22"/>
                <w:szCs w:val="22"/>
                <w:shd w:val="clear" w:color="auto" w:fill="FFFFFF"/>
              </w:rPr>
              <w:t>1</w:t>
            </w:r>
            <w:r w:rsidR="00332133" w:rsidRPr="008934B7">
              <w:rPr>
                <w:color w:val="auto"/>
                <w:sz w:val="22"/>
                <w:szCs w:val="22"/>
                <w:shd w:val="clear" w:color="auto" w:fill="FFFFFF"/>
              </w:rPr>
              <w:t>7</w:t>
            </w:r>
            <w:r w:rsidRPr="008934B7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  <w:r w:rsidR="00332133" w:rsidRPr="008934B7">
              <w:rPr>
                <w:color w:val="auto"/>
                <w:sz w:val="22"/>
                <w:szCs w:val="22"/>
                <w:shd w:val="clear" w:color="auto" w:fill="FFFFFF"/>
              </w:rPr>
              <w:t>0</w:t>
            </w:r>
            <w:r w:rsidR="007922A5" w:rsidRPr="008934B7">
              <w:rPr>
                <w:color w:val="auto"/>
                <w:sz w:val="22"/>
                <w:szCs w:val="22"/>
                <w:shd w:val="clear" w:color="auto" w:fill="FFFFFF"/>
              </w:rPr>
              <w:t>%</w:t>
            </w:r>
          </w:p>
        </w:tc>
      </w:tr>
      <w:tr w:rsidR="001327BA" w:rsidRPr="007735B4" w14:paraId="2278A679" w14:textId="77777777" w:rsidTr="004C4E83">
        <w:tc>
          <w:tcPr>
            <w:tcW w:w="3539" w:type="dxa"/>
            <w:vMerge/>
            <w:tcBorders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1844E113" w14:textId="77777777" w:rsidR="00F86D38" w:rsidRPr="00AF3B70" w:rsidRDefault="00F86D38" w:rsidP="007735B4">
            <w:pPr>
              <w:pStyle w:val="TableText"/>
              <w:spacing w:beforeAutospacing="0" w:line="240" w:lineRule="auto"/>
              <w:rPr>
                <w:b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257B4449" w14:textId="60F81CBA" w:rsidR="00F86D38" w:rsidRPr="008934B7" w:rsidRDefault="00F86D38" w:rsidP="007735B4">
            <w:pPr>
              <w:pStyle w:val="TableText"/>
              <w:spacing w:beforeAutospacing="0" w:line="240" w:lineRule="auto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8934B7">
              <w:rPr>
                <w:color w:val="auto"/>
                <w:sz w:val="22"/>
                <w:szCs w:val="22"/>
                <w:shd w:val="clear" w:color="auto" w:fill="FFFFFF"/>
              </w:rPr>
              <w:t>Nurses and midwives</w:t>
            </w:r>
          </w:p>
        </w:tc>
        <w:tc>
          <w:tcPr>
            <w:tcW w:w="283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04F768B5" w14:textId="437A1CDA" w:rsidR="00F86D38" w:rsidRPr="008934B7" w:rsidRDefault="007922A5" w:rsidP="007735B4">
            <w:pPr>
              <w:pStyle w:val="TableText"/>
              <w:spacing w:beforeAutospacing="0" w:line="240" w:lineRule="auto"/>
              <w:jc w:val="right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8934B7">
              <w:rPr>
                <w:color w:val="auto"/>
                <w:sz w:val="22"/>
                <w:szCs w:val="22"/>
                <w:shd w:val="clear" w:color="auto" w:fill="FFFFFF"/>
              </w:rPr>
              <w:t>11.</w:t>
            </w:r>
            <w:r w:rsidR="00332133" w:rsidRPr="008934B7">
              <w:rPr>
                <w:color w:val="auto"/>
                <w:sz w:val="22"/>
                <w:szCs w:val="22"/>
                <w:shd w:val="clear" w:color="auto" w:fill="FFFFFF"/>
              </w:rPr>
              <w:t>5</w:t>
            </w:r>
            <w:r w:rsidRPr="008934B7">
              <w:rPr>
                <w:color w:val="auto"/>
                <w:sz w:val="22"/>
                <w:szCs w:val="22"/>
                <w:shd w:val="clear" w:color="auto" w:fill="FFFFFF"/>
              </w:rPr>
              <w:t>%</w:t>
            </w:r>
          </w:p>
        </w:tc>
      </w:tr>
    </w:tbl>
    <w:p w14:paraId="00DE3416" w14:textId="77777777" w:rsidR="006F3EC6" w:rsidRPr="006A5FF7" w:rsidRDefault="006F3EC6" w:rsidP="006926A7">
      <w:pPr>
        <w:spacing w:after="0"/>
        <w:rPr>
          <w:sz w:val="2"/>
          <w:shd w:val="clear" w:color="auto" w:fill="FFFFFF"/>
        </w:rPr>
      </w:pPr>
    </w:p>
    <w:tbl>
      <w:tblPr>
        <w:tblStyle w:val="CommissionTable1"/>
        <w:tblW w:w="9634" w:type="dxa"/>
        <w:tblBorders>
          <w:top w:val="single" w:sz="4" w:space="0" w:color="2B9947"/>
          <w:left w:val="single" w:sz="4" w:space="0" w:color="2B9947"/>
          <w:bottom w:val="single" w:sz="4" w:space="0" w:color="2B9947"/>
          <w:right w:val="single" w:sz="4" w:space="0" w:color="2B9947"/>
          <w:insideH w:val="single" w:sz="4" w:space="0" w:color="2B9947"/>
          <w:insideV w:val="single" w:sz="4" w:space="0" w:color="2B9947"/>
        </w:tblBorders>
        <w:tblLook w:val="04A0" w:firstRow="1" w:lastRow="0" w:firstColumn="1" w:lastColumn="0" w:noHBand="0" w:noVBand="1"/>
      </w:tblPr>
      <w:tblGrid>
        <w:gridCol w:w="3539"/>
        <w:gridCol w:w="1776"/>
        <w:gridCol w:w="1525"/>
        <w:gridCol w:w="2794"/>
      </w:tblGrid>
      <w:tr w:rsidR="00B271FA" w:rsidRPr="007735B4" w14:paraId="550C2343" w14:textId="77777777" w:rsidTr="004C4E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tcW w:w="0" w:type="dxa"/>
            <w:tcBorders>
              <w:right w:val="single" w:sz="4" w:space="0" w:color="FFFFFF" w:themeColor="background1"/>
            </w:tcBorders>
          </w:tcPr>
          <w:p w14:paraId="577EF88F" w14:textId="77777777" w:rsidR="00B271FA" w:rsidRPr="005374A5" w:rsidRDefault="00B271FA" w:rsidP="00C04436">
            <w:pPr>
              <w:spacing w:before="60" w:beforeAutospacing="0" w:after="60"/>
              <w:ind w:right="245"/>
              <w:rPr>
                <w:b w:val="0"/>
                <w:bCs/>
                <w:color w:val="FFFFFF" w:themeColor="background1"/>
              </w:rPr>
            </w:pPr>
            <w:r w:rsidRPr="005374A5">
              <w:rPr>
                <w:bCs/>
                <w:color w:val="FFFFFF" w:themeColor="background1"/>
              </w:rPr>
              <w:t>Diversity groups</w:t>
            </w:r>
          </w:p>
        </w:tc>
        <w:tc>
          <w:tcPr>
            <w:tcW w:w="0" w:type="dxa"/>
            <w:gridSpan w:val="2"/>
            <w:tcBorders>
              <w:left w:val="single" w:sz="4" w:space="0" w:color="FFFFFF" w:themeColor="background1"/>
              <w:bottom w:val="single" w:sz="4" w:space="0" w:color="2B9947"/>
              <w:right w:val="single" w:sz="4" w:space="0" w:color="FFFFFF" w:themeColor="background1"/>
            </w:tcBorders>
          </w:tcPr>
          <w:p w14:paraId="3D126E53" w14:textId="45ACC74A" w:rsidR="00B271FA" w:rsidRPr="005374A5" w:rsidRDefault="002C7728" w:rsidP="004C4E83">
            <w:pPr>
              <w:spacing w:before="60" w:beforeAutospacing="0" w:after="60"/>
              <w:ind w:right="245"/>
              <w:rPr>
                <w:b w:val="0"/>
                <w:bCs/>
                <w:color w:val="FFFFFF" w:themeColor="background1"/>
              </w:rPr>
            </w:pPr>
            <w:r w:rsidRPr="005374A5">
              <w:rPr>
                <w:bCs/>
                <w:color w:val="FFFFFF" w:themeColor="background1"/>
              </w:rPr>
              <w:t>March</w:t>
            </w:r>
            <w:r w:rsidR="00BF5262" w:rsidRPr="005374A5">
              <w:rPr>
                <w:bCs/>
                <w:color w:val="FFFFFF" w:themeColor="background1"/>
              </w:rPr>
              <w:t xml:space="preserve"> 202</w:t>
            </w:r>
            <w:r w:rsidRPr="005374A5">
              <w:rPr>
                <w:bCs/>
                <w:color w:val="FFFFFF" w:themeColor="background1"/>
              </w:rPr>
              <w:t>5</w:t>
            </w:r>
          </w:p>
        </w:tc>
        <w:tc>
          <w:tcPr>
            <w:tcW w:w="0" w:type="dxa"/>
            <w:tcBorders>
              <w:left w:val="single" w:sz="4" w:space="0" w:color="FFFFFF" w:themeColor="background1"/>
              <w:bottom w:val="single" w:sz="4" w:space="0" w:color="2B9947"/>
            </w:tcBorders>
          </w:tcPr>
          <w:p w14:paraId="071F40F8" w14:textId="77777777" w:rsidR="00B271FA" w:rsidRPr="005374A5" w:rsidRDefault="00B271FA" w:rsidP="003D7A16">
            <w:pPr>
              <w:spacing w:before="60" w:beforeAutospacing="0" w:after="60"/>
              <w:jc w:val="center"/>
              <w:rPr>
                <w:b w:val="0"/>
                <w:bCs/>
                <w:color w:val="FFFFFF" w:themeColor="background1"/>
                <w:shd w:val="clear" w:color="auto" w:fill="FFFFFF"/>
              </w:rPr>
            </w:pPr>
            <w:r w:rsidRPr="005374A5">
              <w:rPr>
                <w:bCs/>
                <w:color w:val="FFFFFF" w:themeColor="background1"/>
              </w:rPr>
              <w:t>Aspirational target</w:t>
            </w:r>
          </w:p>
        </w:tc>
      </w:tr>
      <w:tr w:rsidR="00C45D44" w:rsidRPr="007735B4" w14:paraId="28E26A0F" w14:textId="77777777" w:rsidTr="007735B4">
        <w:trPr>
          <w:trHeight w:val="424"/>
        </w:trPr>
        <w:tc>
          <w:tcPr>
            <w:tcW w:w="3539" w:type="dxa"/>
          </w:tcPr>
          <w:p w14:paraId="4DB1B1E2" w14:textId="37C9DEAA" w:rsidR="00C45D44" w:rsidRPr="007735B4" w:rsidRDefault="00C45D44" w:rsidP="007735B4">
            <w:pPr>
              <w:pStyle w:val="TableText"/>
              <w:spacing w:beforeAutospacing="0" w:line="240" w:lineRule="auto"/>
              <w:contextualSpacing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7735B4">
              <w:rPr>
                <w:rFonts w:cs="Arial"/>
                <w:sz w:val="22"/>
                <w:szCs w:val="22"/>
                <w:shd w:val="clear" w:color="auto" w:fill="FFFFFF"/>
              </w:rPr>
              <w:t>Women in the SES</w:t>
            </w:r>
          </w:p>
        </w:tc>
        <w:tc>
          <w:tcPr>
            <w:tcW w:w="1776" w:type="dxa"/>
            <w:tcBorders>
              <w:right w:val="nil"/>
            </w:tcBorders>
          </w:tcPr>
          <w:p w14:paraId="3501FE33" w14:textId="4C918C0F" w:rsidR="00C45D44" w:rsidRPr="007735B4" w:rsidRDefault="00C45D44" w:rsidP="007735B4">
            <w:pPr>
              <w:pStyle w:val="TableText"/>
              <w:spacing w:beforeAutospacing="0" w:line="240" w:lineRule="auto"/>
              <w:contextualSpacing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7735B4">
              <w:rPr>
                <w:rFonts w:cs="Arial"/>
                <w:sz w:val="22"/>
                <w:szCs w:val="22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</w:tcPr>
          <w:p w14:paraId="2881AEDD" w14:textId="256F7BDD" w:rsidR="00C45D44" w:rsidRPr="004C4E83" w:rsidRDefault="002C7728" w:rsidP="007735B4">
            <w:pPr>
              <w:pStyle w:val="TableText"/>
              <w:spacing w:beforeAutospacing="0" w:line="240" w:lineRule="auto"/>
              <w:contextualSpacing w:val="0"/>
              <w:jc w:val="right"/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</w:pPr>
            <w:r w:rsidRPr="00C04436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51</w:t>
            </w:r>
            <w:r w:rsidR="00926AAB" w:rsidRPr="00C04436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.</w:t>
            </w:r>
            <w:r w:rsidR="00873DF5" w:rsidRPr="00C04436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2</w:t>
            </w:r>
            <w:r w:rsidR="00C45D44" w:rsidRPr="00C04436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%</w:t>
            </w:r>
            <w:r w:rsidR="007735B4" w:rsidRPr="00C04436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 xml:space="preserve">    </w:t>
            </w:r>
          </w:p>
        </w:tc>
        <w:tc>
          <w:tcPr>
            <w:tcW w:w="2794" w:type="dxa"/>
          </w:tcPr>
          <w:p w14:paraId="121E20F1" w14:textId="77777777" w:rsidR="00C45D44" w:rsidRPr="007735B4" w:rsidRDefault="00C45D44" w:rsidP="007735B4">
            <w:pPr>
              <w:pStyle w:val="TableText"/>
              <w:spacing w:beforeAutospacing="0" w:line="240" w:lineRule="auto"/>
              <w:contextualSpacing w:val="0"/>
              <w:jc w:val="center"/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</w:pPr>
            <w:r w:rsidRPr="007735B4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50.0%</w:t>
            </w:r>
          </w:p>
        </w:tc>
      </w:tr>
      <w:tr w:rsidR="0040733D" w:rsidRPr="007735B4" w14:paraId="6AECC508" w14:textId="77777777" w:rsidTr="007735B4">
        <w:trPr>
          <w:trHeight w:val="20"/>
        </w:trPr>
        <w:tc>
          <w:tcPr>
            <w:tcW w:w="3539" w:type="dxa"/>
            <w:vMerge w:val="restart"/>
          </w:tcPr>
          <w:p w14:paraId="3BDEF391" w14:textId="7F3AAE93" w:rsidR="0040733D" w:rsidRPr="007735B4" w:rsidRDefault="0040733D" w:rsidP="007735B4">
            <w:pPr>
              <w:pStyle w:val="TableText"/>
              <w:spacing w:beforeAutospacing="0" w:line="240" w:lineRule="auto"/>
              <w:contextualSpacing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7735B4">
              <w:rPr>
                <w:rFonts w:cs="Arial"/>
                <w:sz w:val="22"/>
                <w:szCs w:val="22"/>
                <w:shd w:val="clear" w:color="auto" w:fill="FFFFFF"/>
              </w:rPr>
              <w:t>Aboriginal and Torres Strait Islander people</w:t>
            </w:r>
          </w:p>
        </w:tc>
        <w:tc>
          <w:tcPr>
            <w:tcW w:w="1776" w:type="dxa"/>
            <w:tcBorders>
              <w:right w:val="nil"/>
            </w:tcBorders>
          </w:tcPr>
          <w:p w14:paraId="7332D598" w14:textId="77777777" w:rsidR="0040733D" w:rsidRPr="007735B4" w:rsidRDefault="0040733D" w:rsidP="007735B4">
            <w:pPr>
              <w:pStyle w:val="TableText"/>
              <w:spacing w:beforeAutospacing="0" w:line="240" w:lineRule="auto"/>
              <w:contextualSpacing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7735B4">
              <w:rPr>
                <w:rFonts w:cs="Arial"/>
                <w:sz w:val="22"/>
                <w:szCs w:val="22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003912D9" w14:textId="25F27A21" w:rsidR="0040733D" w:rsidRPr="004C4E83" w:rsidRDefault="007922A5" w:rsidP="007735B4">
            <w:pPr>
              <w:pStyle w:val="TableText"/>
              <w:spacing w:beforeAutospacing="0" w:line="240" w:lineRule="auto"/>
              <w:contextualSpacing w:val="0"/>
              <w:jc w:val="right"/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</w:pPr>
            <w:r w:rsidRPr="00C04436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2.</w:t>
            </w:r>
            <w:r w:rsidR="00960F3E" w:rsidRPr="00C04436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8</w:t>
            </w:r>
            <w:r w:rsidRPr="00C04436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%</w:t>
            </w:r>
          </w:p>
        </w:tc>
        <w:tc>
          <w:tcPr>
            <w:tcW w:w="2794" w:type="dxa"/>
            <w:tcBorders>
              <w:bottom w:val="nil"/>
            </w:tcBorders>
          </w:tcPr>
          <w:p w14:paraId="2894AE3B" w14:textId="48293FCE" w:rsidR="0040733D" w:rsidRPr="007735B4" w:rsidRDefault="0040733D" w:rsidP="007735B4">
            <w:pPr>
              <w:pStyle w:val="TableText"/>
              <w:spacing w:beforeAutospacing="0" w:line="240" w:lineRule="auto"/>
              <w:contextualSpacing w:val="0"/>
              <w:jc w:val="center"/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</w:pPr>
            <w:r w:rsidRPr="007735B4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3.7%</w:t>
            </w:r>
          </w:p>
        </w:tc>
      </w:tr>
      <w:tr w:rsidR="0040733D" w:rsidRPr="007735B4" w14:paraId="0979DF9F" w14:textId="77777777" w:rsidTr="007735B4">
        <w:trPr>
          <w:trHeight w:val="20"/>
        </w:trPr>
        <w:tc>
          <w:tcPr>
            <w:tcW w:w="3539" w:type="dxa"/>
            <w:vMerge/>
          </w:tcPr>
          <w:p w14:paraId="184FA398" w14:textId="77777777" w:rsidR="0040733D" w:rsidRPr="007735B4" w:rsidRDefault="0040733D" w:rsidP="007735B4">
            <w:pPr>
              <w:pStyle w:val="TableText"/>
              <w:spacing w:beforeAutospacing="0" w:line="240" w:lineRule="auto"/>
              <w:contextualSpacing w:val="0"/>
              <w:rPr>
                <w:rFonts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76" w:type="dxa"/>
            <w:tcBorders>
              <w:right w:val="nil"/>
            </w:tcBorders>
          </w:tcPr>
          <w:p w14:paraId="4243B00C" w14:textId="77777777" w:rsidR="0040733D" w:rsidRPr="007735B4" w:rsidRDefault="0040733D" w:rsidP="007735B4">
            <w:pPr>
              <w:pStyle w:val="TableText"/>
              <w:spacing w:beforeAutospacing="0" w:line="240" w:lineRule="auto"/>
              <w:contextualSpacing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7735B4">
              <w:rPr>
                <w:rFonts w:cs="Arial"/>
                <w:sz w:val="22"/>
                <w:szCs w:val="22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39C58E2F" w14:textId="08B53B7D" w:rsidR="0040733D" w:rsidRPr="004C4E83" w:rsidRDefault="00EC3C33" w:rsidP="007735B4">
            <w:pPr>
              <w:pStyle w:val="TableText"/>
              <w:spacing w:beforeAutospacing="0" w:line="240" w:lineRule="auto"/>
              <w:contextualSpacing w:val="0"/>
              <w:jc w:val="right"/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</w:pPr>
            <w:r w:rsidRPr="00C04436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3,</w:t>
            </w:r>
            <w:r w:rsidR="002C7728" w:rsidRPr="00C04436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794</w:t>
            </w:r>
          </w:p>
        </w:tc>
        <w:tc>
          <w:tcPr>
            <w:tcW w:w="2794" w:type="dxa"/>
            <w:tcBorders>
              <w:top w:val="nil"/>
              <w:bottom w:val="single" w:sz="4" w:space="0" w:color="2B9947"/>
            </w:tcBorders>
          </w:tcPr>
          <w:p w14:paraId="6AEC6209" w14:textId="77777777" w:rsidR="0040733D" w:rsidRPr="007735B4" w:rsidRDefault="0040733D" w:rsidP="007735B4">
            <w:pPr>
              <w:pStyle w:val="TableText"/>
              <w:spacing w:beforeAutospacing="0" w:line="240" w:lineRule="auto"/>
              <w:contextualSpacing w:val="0"/>
              <w:jc w:val="center"/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</w:pPr>
          </w:p>
        </w:tc>
      </w:tr>
      <w:tr w:rsidR="0040733D" w:rsidRPr="007735B4" w14:paraId="02B3A48F" w14:textId="77777777" w:rsidTr="007735B4">
        <w:trPr>
          <w:trHeight w:val="20"/>
        </w:trPr>
        <w:tc>
          <w:tcPr>
            <w:tcW w:w="3539" w:type="dxa"/>
            <w:vMerge w:val="restart"/>
          </w:tcPr>
          <w:p w14:paraId="23847D0D" w14:textId="34C6C4E0" w:rsidR="0040733D" w:rsidRPr="007735B4" w:rsidRDefault="0040733D" w:rsidP="007735B4">
            <w:pPr>
              <w:pStyle w:val="TableText"/>
              <w:spacing w:beforeAutospacing="0" w:line="240" w:lineRule="auto"/>
              <w:contextualSpacing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7735B4">
              <w:rPr>
                <w:rFonts w:cs="Arial"/>
                <w:sz w:val="22"/>
                <w:szCs w:val="22"/>
                <w:shd w:val="clear" w:color="auto" w:fill="FFFFFF"/>
              </w:rPr>
              <w:t>People with disability</w:t>
            </w:r>
          </w:p>
        </w:tc>
        <w:tc>
          <w:tcPr>
            <w:tcW w:w="1776" w:type="dxa"/>
            <w:tcBorders>
              <w:right w:val="nil"/>
            </w:tcBorders>
          </w:tcPr>
          <w:p w14:paraId="2CBE2E98" w14:textId="77777777" w:rsidR="0040733D" w:rsidRPr="007735B4" w:rsidRDefault="0040733D" w:rsidP="007735B4">
            <w:pPr>
              <w:pStyle w:val="TableText"/>
              <w:spacing w:beforeAutospacing="0" w:line="240" w:lineRule="auto"/>
              <w:contextualSpacing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7735B4">
              <w:rPr>
                <w:rFonts w:cs="Arial"/>
                <w:sz w:val="22"/>
                <w:szCs w:val="22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170E5304" w14:textId="79476E59" w:rsidR="0040733D" w:rsidRPr="00C04436" w:rsidRDefault="00C05B59" w:rsidP="007735B4">
            <w:pPr>
              <w:pStyle w:val="TableText"/>
              <w:spacing w:beforeAutospacing="0" w:line="240" w:lineRule="auto"/>
              <w:contextualSpacing w:val="0"/>
              <w:jc w:val="right"/>
              <w:rPr>
                <w:rFonts w:cs="Arial"/>
                <w:color w:val="auto"/>
                <w:sz w:val="22"/>
                <w:szCs w:val="22"/>
                <w:highlight w:val="yellow"/>
                <w:shd w:val="clear" w:color="auto" w:fill="FFFFFF"/>
              </w:rPr>
            </w:pPr>
            <w:r w:rsidRPr="00C04436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1.</w:t>
            </w:r>
            <w:r w:rsidR="008A4A95" w:rsidRPr="00C04436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7</w:t>
            </w:r>
            <w:r w:rsidR="0050478D" w:rsidRPr="00C04436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%</w:t>
            </w:r>
          </w:p>
        </w:tc>
        <w:tc>
          <w:tcPr>
            <w:tcW w:w="2794" w:type="dxa"/>
            <w:tcBorders>
              <w:bottom w:val="nil"/>
            </w:tcBorders>
          </w:tcPr>
          <w:p w14:paraId="1B93731B" w14:textId="220A3EC1" w:rsidR="0040733D" w:rsidRPr="007735B4" w:rsidRDefault="0040733D" w:rsidP="007735B4">
            <w:pPr>
              <w:pStyle w:val="TableText"/>
              <w:spacing w:beforeAutospacing="0" w:line="240" w:lineRule="auto"/>
              <w:contextualSpacing w:val="0"/>
              <w:jc w:val="center"/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</w:pPr>
            <w:r w:rsidRPr="007735B4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5.0%</w:t>
            </w:r>
          </w:p>
        </w:tc>
      </w:tr>
      <w:tr w:rsidR="0040733D" w:rsidRPr="007735B4" w14:paraId="029D7560" w14:textId="77777777" w:rsidTr="007735B4">
        <w:trPr>
          <w:trHeight w:val="20"/>
        </w:trPr>
        <w:tc>
          <w:tcPr>
            <w:tcW w:w="3539" w:type="dxa"/>
            <w:vMerge/>
          </w:tcPr>
          <w:p w14:paraId="40BCBBF2" w14:textId="77777777" w:rsidR="0040733D" w:rsidRPr="007735B4" w:rsidRDefault="0040733D" w:rsidP="007735B4">
            <w:pPr>
              <w:pStyle w:val="TableText"/>
              <w:spacing w:beforeAutospacing="0" w:line="240" w:lineRule="auto"/>
              <w:contextualSpacing w:val="0"/>
              <w:rPr>
                <w:rFonts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76" w:type="dxa"/>
            <w:tcBorders>
              <w:right w:val="nil"/>
            </w:tcBorders>
          </w:tcPr>
          <w:p w14:paraId="2382FD06" w14:textId="77777777" w:rsidR="0040733D" w:rsidRPr="007735B4" w:rsidRDefault="0040733D" w:rsidP="007735B4">
            <w:pPr>
              <w:pStyle w:val="TableText"/>
              <w:spacing w:beforeAutospacing="0" w:line="240" w:lineRule="auto"/>
              <w:contextualSpacing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7735B4">
              <w:rPr>
                <w:rFonts w:cs="Arial"/>
                <w:sz w:val="22"/>
                <w:szCs w:val="22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73318BF2" w14:textId="2B5E6DE7" w:rsidR="0040733D" w:rsidRPr="007735B4" w:rsidRDefault="00EC3C33" w:rsidP="007735B4">
            <w:pPr>
              <w:pStyle w:val="TableText"/>
              <w:spacing w:beforeAutospacing="0" w:line="240" w:lineRule="auto"/>
              <w:contextualSpacing w:val="0"/>
              <w:jc w:val="right"/>
              <w:rPr>
                <w:rFonts w:cs="Arial"/>
                <w:color w:val="auto"/>
                <w:sz w:val="22"/>
                <w:szCs w:val="22"/>
                <w:highlight w:val="yellow"/>
                <w:shd w:val="clear" w:color="auto" w:fill="FFFFFF"/>
              </w:rPr>
            </w:pPr>
            <w:r w:rsidRPr="007735B4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2,</w:t>
            </w:r>
            <w:r w:rsidR="002C7728" w:rsidRPr="007735B4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323</w:t>
            </w:r>
          </w:p>
        </w:tc>
        <w:tc>
          <w:tcPr>
            <w:tcW w:w="2794" w:type="dxa"/>
            <w:tcBorders>
              <w:top w:val="nil"/>
              <w:bottom w:val="single" w:sz="4" w:space="0" w:color="2B9947"/>
            </w:tcBorders>
          </w:tcPr>
          <w:p w14:paraId="4ED2A8AB" w14:textId="77777777" w:rsidR="0040733D" w:rsidRPr="007735B4" w:rsidRDefault="0040733D" w:rsidP="007735B4">
            <w:pPr>
              <w:pStyle w:val="TableText"/>
              <w:spacing w:beforeAutospacing="0" w:line="240" w:lineRule="auto"/>
              <w:contextualSpacing w:val="0"/>
              <w:jc w:val="center"/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</w:pPr>
          </w:p>
        </w:tc>
      </w:tr>
      <w:tr w:rsidR="0040733D" w:rsidRPr="007735B4" w14:paraId="7B27020C" w14:textId="77777777" w:rsidTr="007735B4">
        <w:trPr>
          <w:trHeight w:val="20"/>
        </w:trPr>
        <w:tc>
          <w:tcPr>
            <w:tcW w:w="3539" w:type="dxa"/>
            <w:vMerge w:val="restart"/>
          </w:tcPr>
          <w:p w14:paraId="6DACA1C3" w14:textId="3B719024" w:rsidR="0040733D" w:rsidRPr="007735B4" w:rsidRDefault="0040733D" w:rsidP="007735B4">
            <w:pPr>
              <w:pStyle w:val="TableText"/>
              <w:spacing w:beforeAutospacing="0" w:line="240" w:lineRule="auto"/>
              <w:contextualSpacing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7735B4">
              <w:rPr>
                <w:rFonts w:cs="Arial"/>
                <w:sz w:val="22"/>
                <w:szCs w:val="22"/>
                <w:shd w:val="clear" w:color="auto" w:fill="FFFFFF"/>
              </w:rPr>
              <w:t>Culturally and linguistically diverse people</w:t>
            </w:r>
          </w:p>
        </w:tc>
        <w:tc>
          <w:tcPr>
            <w:tcW w:w="1776" w:type="dxa"/>
            <w:tcBorders>
              <w:right w:val="nil"/>
            </w:tcBorders>
          </w:tcPr>
          <w:p w14:paraId="12C6B765" w14:textId="77777777" w:rsidR="0040733D" w:rsidRPr="007735B4" w:rsidRDefault="0040733D" w:rsidP="007735B4">
            <w:pPr>
              <w:pStyle w:val="TableText"/>
              <w:spacing w:beforeAutospacing="0" w:line="240" w:lineRule="auto"/>
              <w:contextualSpacing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7735B4">
              <w:rPr>
                <w:rFonts w:cs="Arial"/>
                <w:sz w:val="22"/>
                <w:szCs w:val="22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6C766A57" w14:textId="1A6759EA" w:rsidR="0040733D" w:rsidRPr="007735B4" w:rsidRDefault="00B120ED" w:rsidP="007735B4">
            <w:pPr>
              <w:pStyle w:val="TableText"/>
              <w:spacing w:beforeAutospacing="0" w:line="240" w:lineRule="auto"/>
              <w:contextualSpacing w:val="0"/>
              <w:jc w:val="right"/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</w:pPr>
            <w:r w:rsidRPr="007735B4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18.</w:t>
            </w:r>
            <w:r w:rsidR="002C7728" w:rsidRPr="007735B4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5</w:t>
            </w:r>
            <w:r w:rsidR="00C05B59" w:rsidRPr="007735B4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%</w:t>
            </w:r>
          </w:p>
        </w:tc>
        <w:tc>
          <w:tcPr>
            <w:tcW w:w="2794" w:type="dxa"/>
            <w:tcBorders>
              <w:bottom w:val="nil"/>
            </w:tcBorders>
          </w:tcPr>
          <w:p w14:paraId="15DA84D8" w14:textId="79F42285" w:rsidR="0040733D" w:rsidRPr="007735B4" w:rsidRDefault="0040733D" w:rsidP="007735B4">
            <w:pPr>
              <w:pStyle w:val="TableText"/>
              <w:spacing w:beforeAutospacing="0" w:line="240" w:lineRule="auto"/>
              <w:contextualSpacing w:val="0"/>
              <w:jc w:val="center"/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</w:pPr>
            <w:r w:rsidRPr="007735B4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15.5%</w:t>
            </w:r>
          </w:p>
        </w:tc>
      </w:tr>
      <w:tr w:rsidR="0040733D" w:rsidRPr="007735B4" w14:paraId="57293750" w14:textId="77777777" w:rsidTr="007735B4">
        <w:trPr>
          <w:trHeight w:val="70"/>
        </w:trPr>
        <w:tc>
          <w:tcPr>
            <w:tcW w:w="3539" w:type="dxa"/>
            <w:vMerge/>
          </w:tcPr>
          <w:p w14:paraId="22866D50" w14:textId="77777777" w:rsidR="0040733D" w:rsidRPr="007735B4" w:rsidRDefault="0040733D" w:rsidP="007735B4">
            <w:pPr>
              <w:pStyle w:val="TableText"/>
              <w:spacing w:beforeAutospacing="0" w:line="240" w:lineRule="auto"/>
              <w:contextualSpacing w:val="0"/>
              <w:rPr>
                <w:rFonts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76" w:type="dxa"/>
            <w:tcBorders>
              <w:right w:val="nil"/>
            </w:tcBorders>
          </w:tcPr>
          <w:p w14:paraId="1A1C5FB8" w14:textId="77777777" w:rsidR="0040733D" w:rsidRPr="007735B4" w:rsidRDefault="0040733D" w:rsidP="007735B4">
            <w:pPr>
              <w:pStyle w:val="TableText"/>
              <w:spacing w:beforeAutospacing="0" w:line="240" w:lineRule="auto"/>
              <w:contextualSpacing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7735B4">
              <w:rPr>
                <w:rFonts w:cs="Arial"/>
                <w:sz w:val="22"/>
                <w:szCs w:val="22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4D90DE86" w14:textId="48CCD243" w:rsidR="0040733D" w:rsidRPr="007735B4" w:rsidRDefault="00B120ED" w:rsidP="007735B4">
            <w:pPr>
              <w:pStyle w:val="TableText"/>
              <w:spacing w:beforeAutospacing="0" w:line="240" w:lineRule="auto"/>
              <w:contextualSpacing w:val="0"/>
              <w:jc w:val="right"/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</w:pPr>
            <w:r w:rsidRPr="007735B4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2</w:t>
            </w:r>
            <w:r w:rsidR="002C7728" w:rsidRPr="007735B4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3</w:t>
            </w:r>
            <w:r w:rsidRPr="007735B4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,</w:t>
            </w:r>
            <w:r w:rsidR="002C7728" w:rsidRPr="007735B4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396</w:t>
            </w:r>
          </w:p>
        </w:tc>
        <w:tc>
          <w:tcPr>
            <w:tcW w:w="2794" w:type="dxa"/>
            <w:tcBorders>
              <w:top w:val="nil"/>
              <w:bottom w:val="single" w:sz="4" w:space="0" w:color="2B9947"/>
            </w:tcBorders>
          </w:tcPr>
          <w:p w14:paraId="49B59BDD" w14:textId="77777777" w:rsidR="0040733D" w:rsidRPr="007735B4" w:rsidRDefault="0040733D" w:rsidP="007735B4">
            <w:pPr>
              <w:pStyle w:val="TableText"/>
              <w:spacing w:beforeAutospacing="0" w:line="240" w:lineRule="auto"/>
              <w:contextualSpacing w:val="0"/>
              <w:jc w:val="center"/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</w:pPr>
          </w:p>
        </w:tc>
      </w:tr>
      <w:tr w:rsidR="0040733D" w:rsidRPr="007735B4" w14:paraId="2A45285F" w14:textId="77777777" w:rsidTr="007735B4">
        <w:trPr>
          <w:trHeight w:val="20"/>
        </w:trPr>
        <w:tc>
          <w:tcPr>
            <w:tcW w:w="3539" w:type="dxa"/>
            <w:vMerge w:val="restart"/>
          </w:tcPr>
          <w:p w14:paraId="633BE395" w14:textId="63B009F8" w:rsidR="0040733D" w:rsidRPr="007735B4" w:rsidRDefault="0040733D" w:rsidP="007735B4">
            <w:pPr>
              <w:pStyle w:val="TableText"/>
              <w:spacing w:beforeAutospacing="0" w:line="240" w:lineRule="auto"/>
              <w:contextualSpacing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7735B4">
              <w:rPr>
                <w:rFonts w:cs="Arial"/>
                <w:sz w:val="22"/>
                <w:szCs w:val="22"/>
                <w:shd w:val="clear" w:color="auto" w:fill="FFFFFF"/>
              </w:rPr>
              <w:t xml:space="preserve">Youth </w:t>
            </w:r>
            <w:r w:rsidRPr="007735B4">
              <w:rPr>
                <w:rFonts w:cs="Arial"/>
                <w:sz w:val="22"/>
                <w:szCs w:val="22"/>
                <w:shd w:val="clear" w:color="auto" w:fill="FFFFFF"/>
              </w:rPr>
              <w:br/>
              <w:t>(aged 24 and under)</w:t>
            </w:r>
          </w:p>
        </w:tc>
        <w:tc>
          <w:tcPr>
            <w:tcW w:w="1776" w:type="dxa"/>
            <w:tcBorders>
              <w:right w:val="nil"/>
            </w:tcBorders>
          </w:tcPr>
          <w:p w14:paraId="0B96BE13" w14:textId="77777777" w:rsidR="0040733D" w:rsidRPr="007735B4" w:rsidRDefault="0040733D" w:rsidP="007735B4">
            <w:pPr>
              <w:pStyle w:val="TableText"/>
              <w:spacing w:beforeAutospacing="0" w:line="240" w:lineRule="auto"/>
              <w:contextualSpacing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7735B4">
              <w:rPr>
                <w:rFonts w:cs="Arial"/>
                <w:sz w:val="22"/>
                <w:szCs w:val="22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31068471" w14:textId="6750BE49" w:rsidR="0040733D" w:rsidRPr="007735B4" w:rsidRDefault="00C05B59" w:rsidP="007735B4">
            <w:pPr>
              <w:pStyle w:val="TableText"/>
              <w:spacing w:beforeAutospacing="0" w:line="240" w:lineRule="auto"/>
              <w:contextualSpacing w:val="0"/>
              <w:jc w:val="right"/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</w:pPr>
            <w:r w:rsidRPr="007735B4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5.</w:t>
            </w:r>
            <w:r w:rsidR="002C7728" w:rsidRPr="007735B4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8</w:t>
            </w:r>
            <w:r w:rsidRPr="007735B4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%</w:t>
            </w:r>
          </w:p>
        </w:tc>
        <w:tc>
          <w:tcPr>
            <w:tcW w:w="2794" w:type="dxa"/>
            <w:tcBorders>
              <w:bottom w:val="nil"/>
            </w:tcBorders>
          </w:tcPr>
          <w:p w14:paraId="6213BCF7" w14:textId="7A92D290" w:rsidR="0040733D" w:rsidRPr="007735B4" w:rsidRDefault="0040733D" w:rsidP="007735B4">
            <w:pPr>
              <w:pStyle w:val="TableText"/>
              <w:spacing w:beforeAutospacing="0" w:line="240" w:lineRule="auto"/>
              <w:contextualSpacing w:val="0"/>
              <w:jc w:val="center"/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</w:pPr>
            <w:r w:rsidRPr="007735B4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5.8%</w:t>
            </w:r>
          </w:p>
        </w:tc>
      </w:tr>
      <w:tr w:rsidR="0040733D" w:rsidRPr="007735B4" w14:paraId="16C27AAB" w14:textId="77777777" w:rsidTr="007735B4">
        <w:trPr>
          <w:trHeight w:val="20"/>
        </w:trPr>
        <w:tc>
          <w:tcPr>
            <w:tcW w:w="3539" w:type="dxa"/>
            <w:vMerge/>
          </w:tcPr>
          <w:p w14:paraId="3A2A99C8" w14:textId="77777777" w:rsidR="0040733D" w:rsidRPr="007735B4" w:rsidRDefault="0040733D" w:rsidP="007735B4">
            <w:pPr>
              <w:pStyle w:val="TableText"/>
              <w:spacing w:beforeAutospacing="0" w:line="240" w:lineRule="auto"/>
              <w:contextualSpacing w:val="0"/>
              <w:rPr>
                <w:rFonts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76" w:type="dxa"/>
            <w:tcBorders>
              <w:bottom w:val="single" w:sz="4" w:space="0" w:color="2B9947"/>
              <w:right w:val="nil"/>
            </w:tcBorders>
          </w:tcPr>
          <w:p w14:paraId="0F5A5C42" w14:textId="77777777" w:rsidR="0040733D" w:rsidRPr="007735B4" w:rsidRDefault="0040733D" w:rsidP="007735B4">
            <w:pPr>
              <w:pStyle w:val="TableText"/>
              <w:spacing w:beforeAutospacing="0" w:line="240" w:lineRule="auto"/>
              <w:contextualSpacing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7735B4">
              <w:rPr>
                <w:rFonts w:cs="Arial"/>
                <w:sz w:val="22"/>
                <w:szCs w:val="22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  <w:bottom w:val="single" w:sz="4" w:space="0" w:color="2B9947"/>
            </w:tcBorders>
            <w:vAlign w:val="bottom"/>
          </w:tcPr>
          <w:p w14:paraId="18921836" w14:textId="3A9687AD" w:rsidR="0040733D" w:rsidRPr="007735B4" w:rsidRDefault="002C7728" w:rsidP="007735B4">
            <w:pPr>
              <w:pStyle w:val="TableText"/>
              <w:spacing w:beforeAutospacing="0" w:line="240" w:lineRule="auto"/>
              <w:contextualSpacing w:val="0"/>
              <w:jc w:val="right"/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</w:pPr>
            <w:r w:rsidRPr="007735B4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10,494</w:t>
            </w:r>
          </w:p>
        </w:tc>
        <w:tc>
          <w:tcPr>
            <w:tcW w:w="2794" w:type="dxa"/>
            <w:tcBorders>
              <w:top w:val="nil"/>
              <w:bottom w:val="single" w:sz="4" w:space="0" w:color="2B9947"/>
            </w:tcBorders>
          </w:tcPr>
          <w:p w14:paraId="37B786FD" w14:textId="77777777" w:rsidR="0040733D" w:rsidRPr="007735B4" w:rsidRDefault="0040733D" w:rsidP="007735B4">
            <w:pPr>
              <w:pStyle w:val="TableText"/>
              <w:spacing w:beforeAutospacing="0" w:line="240" w:lineRule="auto"/>
              <w:contextualSpacing w:val="0"/>
              <w:jc w:val="center"/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</w:pPr>
          </w:p>
        </w:tc>
      </w:tr>
      <w:tr w:rsidR="0040733D" w:rsidRPr="007735B4" w14:paraId="72F15DC5" w14:textId="77777777" w:rsidTr="007735B4">
        <w:trPr>
          <w:trHeight w:val="20"/>
        </w:trPr>
        <w:tc>
          <w:tcPr>
            <w:tcW w:w="3539" w:type="dxa"/>
            <w:vMerge w:val="restart"/>
          </w:tcPr>
          <w:p w14:paraId="3DE8B508" w14:textId="22AF43B2" w:rsidR="0040733D" w:rsidRPr="007735B4" w:rsidRDefault="0040733D" w:rsidP="007735B4">
            <w:pPr>
              <w:pStyle w:val="TableText"/>
              <w:spacing w:beforeAutospacing="0" w:line="240" w:lineRule="auto"/>
              <w:contextualSpacing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7735B4">
              <w:rPr>
                <w:rFonts w:cs="Arial"/>
                <w:sz w:val="22"/>
                <w:szCs w:val="22"/>
                <w:shd w:val="clear" w:color="auto" w:fill="FFFFFF"/>
              </w:rPr>
              <w:t xml:space="preserve">Mature </w:t>
            </w:r>
            <w:r w:rsidRPr="007735B4">
              <w:rPr>
                <w:rFonts w:cs="Arial"/>
                <w:sz w:val="22"/>
                <w:szCs w:val="22"/>
                <w:shd w:val="clear" w:color="auto" w:fill="FFFFFF"/>
              </w:rPr>
              <w:br/>
              <w:t>(aged 45 and over)</w:t>
            </w:r>
          </w:p>
        </w:tc>
        <w:tc>
          <w:tcPr>
            <w:tcW w:w="1776" w:type="dxa"/>
            <w:tcBorders>
              <w:right w:val="nil"/>
            </w:tcBorders>
          </w:tcPr>
          <w:p w14:paraId="2375D59D" w14:textId="77777777" w:rsidR="0040733D" w:rsidRPr="007735B4" w:rsidRDefault="0040733D" w:rsidP="007735B4">
            <w:pPr>
              <w:pStyle w:val="TableText"/>
              <w:spacing w:beforeAutospacing="0" w:line="240" w:lineRule="auto"/>
              <w:contextualSpacing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7735B4">
              <w:rPr>
                <w:rFonts w:cs="Arial"/>
                <w:sz w:val="22"/>
                <w:szCs w:val="22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7A90BC7A" w14:textId="5120A848" w:rsidR="0040733D" w:rsidRPr="007735B4" w:rsidRDefault="002C7728" w:rsidP="007735B4">
            <w:pPr>
              <w:pStyle w:val="TableText"/>
              <w:spacing w:beforeAutospacing="0" w:line="240" w:lineRule="auto"/>
              <w:contextualSpacing w:val="0"/>
              <w:jc w:val="right"/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</w:pPr>
            <w:r w:rsidRPr="007735B4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47.7</w:t>
            </w:r>
            <w:r w:rsidR="00B120ED" w:rsidRPr="007735B4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%</w:t>
            </w:r>
          </w:p>
        </w:tc>
        <w:tc>
          <w:tcPr>
            <w:tcW w:w="2794" w:type="dxa"/>
            <w:tcBorders>
              <w:bottom w:val="nil"/>
            </w:tcBorders>
          </w:tcPr>
          <w:p w14:paraId="1D9B895C" w14:textId="64A32D07" w:rsidR="0040733D" w:rsidRPr="007735B4" w:rsidRDefault="007735B4" w:rsidP="007735B4">
            <w:pPr>
              <w:pStyle w:val="TableText"/>
              <w:spacing w:beforeAutospacing="0" w:line="240" w:lineRule="auto"/>
              <w:contextualSpacing w:val="0"/>
              <w:jc w:val="center"/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</w:pPr>
            <w:r w:rsidRPr="007735B4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n/a</w:t>
            </w:r>
          </w:p>
        </w:tc>
      </w:tr>
      <w:tr w:rsidR="00B271FA" w:rsidRPr="007735B4" w14:paraId="5EA0B89C" w14:textId="77777777" w:rsidTr="007735B4">
        <w:trPr>
          <w:trHeight w:val="20"/>
        </w:trPr>
        <w:tc>
          <w:tcPr>
            <w:tcW w:w="3539" w:type="dxa"/>
            <w:vMerge/>
          </w:tcPr>
          <w:p w14:paraId="30A7361E" w14:textId="77777777" w:rsidR="00B271FA" w:rsidRPr="007735B4" w:rsidRDefault="00B271FA" w:rsidP="007735B4">
            <w:pPr>
              <w:pStyle w:val="TableText"/>
              <w:spacing w:beforeAutospacing="0" w:line="240" w:lineRule="auto"/>
              <w:contextualSpacing w:val="0"/>
              <w:rPr>
                <w:rFonts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76" w:type="dxa"/>
            <w:tcBorders>
              <w:right w:val="nil"/>
            </w:tcBorders>
          </w:tcPr>
          <w:p w14:paraId="19D3F7F0" w14:textId="77777777" w:rsidR="00B271FA" w:rsidRPr="007735B4" w:rsidRDefault="00B271FA" w:rsidP="007735B4">
            <w:pPr>
              <w:pStyle w:val="TableText"/>
              <w:spacing w:beforeAutospacing="0" w:line="240" w:lineRule="auto"/>
              <w:contextualSpacing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7735B4">
              <w:rPr>
                <w:rFonts w:cs="Arial"/>
                <w:sz w:val="22"/>
                <w:szCs w:val="22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</w:tcBorders>
          </w:tcPr>
          <w:p w14:paraId="73DB8043" w14:textId="17BD2857" w:rsidR="00B271FA" w:rsidRPr="007735B4" w:rsidRDefault="002C7728" w:rsidP="007735B4">
            <w:pPr>
              <w:pStyle w:val="TableText"/>
              <w:spacing w:beforeAutospacing="0" w:line="240" w:lineRule="auto"/>
              <w:contextualSpacing w:val="0"/>
              <w:jc w:val="right"/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</w:pPr>
            <w:r w:rsidRPr="007735B4"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  <w:t>86,483</w:t>
            </w:r>
          </w:p>
        </w:tc>
        <w:tc>
          <w:tcPr>
            <w:tcW w:w="2794" w:type="dxa"/>
            <w:tcBorders>
              <w:top w:val="nil"/>
            </w:tcBorders>
          </w:tcPr>
          <w:p w14:paraId="46D46E85" w14:textId="77777777" w:rsidR="00B271FA" w:rsidRPr="007735B4" w:rsidRDefault="00B271FA" w:rsidP="007735B4">
            <w:pPr>
              <w:pStyle w:val="TableText"/>
              <w:spacing w:beforeAutospacing="0" w:line="240" w:lineRule="auto"/>
              <w:contextualSpacing w:val="0"/>
              <w:jc w:val="right"/>
              <w:rPr>
                <w:rFonts w:cs="Arial"/>
                <w:color w:val="auto"/>
                <w:sz w:val="22"/>
                <w:szCs w:val="22"/>
                <w:shd w:val="clear" w:color="auto" w:fill="FFFFFF"/>
              </w:rPr>
            </w:pPr>
          </w:p>
        </w:tc>
      </w:tr>
    </w:tbl>
    <w:p w14:paraId="58C6BD78" w14:textId="77777777" w:rsidR="00333619" w:rsidRDefault="00333619">
      <w:pPr>
        <w:spacing w:before="0" w:beforeAutospacing="0" w:after="160"/>
        <w:rPr>
          <w:rFonts w:ascii="Century Gothic" w:eastAsiaTheme="majorEastAsia" w:hAnsi="Century Gothic" w:cstheme="majorBidi"/>
          <w:color w:val="000000" w:themeColor="text1"/>
          <w:sz w:val="32"/>
          <w:szCs w:val="32"/>
          <w14:textFill>
            <w14:solidFill>
              <w14:schemeClr w14:val="tx1">
                <w14:lumMod w14:val="85000"/>
                <w14:lumOff w14:val="15000"/>
                <w14:lumMod w14:val="25000"/>
              </w14:schemeClr>
            </w14:solidFill>
          </w14:textFill>
        </w:rPr>
      </w:pPr>
      <w:r>
        <w:br w:type="page"/>
      </w:r>
    </w:p>
    <w:p w14:paraId="4D724E11" w14:textId="64E24D92" w:rsidR="00CC76B7" w:rsidRPr="000610C7" w:rsidRDefault="00CC76B7" w:rsidP="007735B4">
      <w:pPr>
        <w:pStyle w:val="Heading2"/>
      </w:pPr>
      <w:r w:rsidRPr="000610C7">
        <w:lastRenderedPageBreak/>
        <w:t>Sector profile</w:t>
      </w:r>
    </w:p>
    <w:p w14:paraId="3529C276" w14:textId="77777777" w:rsidR="004375DD" w:rsidRPr="004D0F80" w:rsidRDefault="004375DD" w:rsidP="007735B4">
      <w:pPr>
        <w:pStyle w:val="Heading3"/>
      </w:pPr>
      <w:r w:rsidRPr="004D0F80">
        <w:t>Employment trends</w:t>
      </w:r>
    </w:p>
    <w:p w14:paraId="794ADE68" w14:textId="45020B42" w:rsidR="009A3B76" w:rsidRPr="00D361C5" w:rsidRDefault="009A3B76" w:rsidP="007735B4">
      <w:pPr>
        <w:spacing w:before="120" w:beforeAutospacing="0" w:after="120"/>
        <w:rPr>
          <w:color w:val="auto"/>
        </w:rPr>
      </w:pPr>
      <w:r w:rsidRPr="00D361C5">
        <w:rPr>
          <w:color w:val="auto"/>
        </w:rPr>
        <w:t xml:space="preserve">In </w:t>
      </w:r>
      <w:r w:rsidR="00D361C5" w:rsidRPr="00D361C5">
        <w:rPr>
          <w:color w:val="auto"/>
        </w:rPr>
        <w:t>March 2025</w:t>
      </w:r>
      <w:r w:rsidRPr="00D361C5">
        <w:rPr>
          <w:color w:val="auto"/>
        </w:rPr>
        <w:t xml:space="preserve"> the WA public sector employed </w:t>
      </w:r>
      <w:r w:rsidR="00D361C5" w:rsidRPr="00D361C5">
        <w:rPr>
          <w:color w:val="auto"/>
        </w:rPr>
        <w:t>181,145</w:t>
      </w:r>
      <w:r w:rsidR="00F76406" w:rsidRPr="00D361C5">
        <w:rPr>
          <w:color w:val="auto"/>
        </w:rPr>
        <w:t xml:space="preserve"> </w:t>
      </w:r>
      <w:r w:rsidRPr="00D361C5">
        <w:rPr>
          <w:color w:val="auto"/>
        </w:rPr>
        <w:t xml:space="preserve">people, equating to </w:t>
      </w:r>
      <w:r w:rsidR="00D361C5" w:rsidRPr="00D361C5">
        <w:rPr>
          <w:color w:val="auto"/>
        </w:rPr>
        <w:t>142,317</w:t>
      </w:r>
      <w:r w:rsidRPr="00D361C5">
        <w:rPr>
          <w:color w:val="auto"/>
        </w:rPr>
        <w:t xml:space="preserve"> full time equivalent (FTE) employees.</w:t>
      </w:r>
    </w:p>
    <w:p w14:paraId="561087EA" w14:textId="30C6B73C" w:rsidR="009A3B76" w:rsidRPr="00B2495F" w:rsidRDefault="009A3B76" w:rsidP="007735B4">
      <w:pPr>
        <w:spacing w:before="120" w:beforeAutospacing="0" w:after="120"/>
        <w:rPr>
          <w:color w:val="auto"/>
        </w:rPr>
      </w:pPr>
      <w:r w:rsidRPr="00B2495F">
        <w:rPr>
          <w:color w:val="auto"/>
        </w:rPr>
        <w:t xml:space="preserve">In headcount terms, this </w:t>
      </w:r>
      <w:r w:rsidR="00D04CAD">
        <w:rPr>
          <w:color w:val="auto"/>
        </w:rPr>
        <w:t>is</w:t>
      </w:r>
      <w:r w:rsidR="00D04CAD" w:rsidRPr="00B2495F">
        <w:rPr>
          <w:color w:val="auto"/>
        </w:rPr>
        <w:t xml:space="preserve"> </w:t>
      </w:r>
      <w:r w:rsidRPr="00B2495F">
        <w:rPr>
          <w:color w:val="auto"/>
        </w:rPr>
        <w:t>a</w:t>
      </w:r>
      <w:r w:rsidR="00CE077F" w:rsidRPr="00B2495F">
        <w:rPr>
          <w:color w:val="auto"/>
        </w:rPr>
        <w:t xml:space="preserve">n </w:t>
      </w:r>
      <w:r w:rsidRPr="00B2495F">
        <w:rPr>
          <w:color w:val="auto"/>
        </w:rPr>
        <w:t xml:space="preserve">increase </w:t>
      </w:r>
      <w:r w:rsidR="00007E94" w:rsidRPr="00B2495F">
        <w:rPr>
          <w:color w:val="auto"/>
        </w:rPr>
        <w:t xml:space="preserve">of </w:t>
      </w:r>
      <w:r w:rsidR="00B2495F" w:rsidRPr="00B2495F">
        <w:rPr>
          <w:color w:val="auto"/>
        </w:rPr>
        <w:t>3,917</w:t>
      </w:r>
      <w:r w:rsidR="00007E94" w:rsidRPr="00B2495F">
        <w:rPr>
          <w:color w:val="auto"/>
        </w:rPr>
        <w:t xml:space="preserve"> (</w:t>
      </w:r>
      <w:r w:rsidR="00C970DE">
        <w:rPr>
          <w:color w:val="auto"/>
        </w:rPr>
        <w:t>+</w:t>
      </w:r>
      <w:r w:rsidR="00B2495F" w:rsidRPr="00B2495F">
        <w:rPr>
          <w:color w:val="auto"/>
        </w:rPr>
        <w:t>2</w:t>
      </w:r>
      <w:r w:rsidR="00643901" w:rsidRPr="00B2495F">
        <w:rPr>
          <w:color w:val="auto"/>
        </w:rPr>
        <w:t>.</w:t>
      </w:r>
      <w:r w:rsidR="00B2495F" w:rsidRPr="00B2495F">
        <w:rPr>
          <w:color w:val="auto"/>
        </w:rPr>
        <w:t>2</w:t>
      </w:r>
      <w:r w:rsidR="00007E94" w:rsidRPr="00B2495F">
        <w:rPr>
          <w:color w:val="auto"/>
        </w:rPr>
        <w:t xml:space="preserve">%) since </w:t>
      </w:r>
      <w:r w:rsidR="00D361C5" w:rsidRPr="00B2495F">
        <w:rPr>
          <w:color w:val="auto"/>
        </w:rPr>
        <w:t>September</w:t>
      </w:r>
      <w:r w:rsidR="00CE077F" w:rsidRPr="00B2495F">
        <w:rPr>
          <w:color w:val="auto"/>
        </w:rPr>
        <w:t xml:space="preserve"> </w:t>
      </w:r>
      <w:r w:rsidR="00007E94" w:rsidRPr="00B2495F">
        <w:rPr>
          <w:color w:val="auto"/>
        </w:rPr>
        <w:t xml:space="preserve">2024 and an annual increase of </w:t>
      </w:r>
      <w:r w:rsidR="00B2495F" w:rsidRPr="00B2495F">
        <w:rPr>
          <w:color w:val="auto"/>
        </w:rPr>
        <w:t>9</w:t>
      </w:r>
      <w:r w:rsidR="00643901" w:rsidRPr="00B2495F">
        <w:rPr>
          <w:color w:val="auto"/>
        </w:rPr>
        <w:t>,</w:t>
      </w:r>
      <w:r w:rsidR="00B2495F" w:rsidRPr="00B2495F">
        <w:rPr>
          <w:color w:val="auto"/>
        </w:rPr>
        <w:t>099</w:t>
      </w:r>
      <w:r w:rsidR="00007E94" w:rsidRPr="00B2495F">
        <w:rPr>
          <w:color w:val="auto"/>
        </w:rPr>
        <w:t xml:space="preserve"> (+</w:t>
      </w:r>
      <w:r w:rsidR="00643901" w:rsidRPr="00B2495F">
        <w:rPr>
          <w:color w:val="auto"/>
        </w:rPr>
        <w:t>5.3</w:t>
      </w:r>
      <w:r w:rsidR="00007E94" w:rsidRPr="00B2495F">
        <w:rPr>
          <w:color w:val="auto"/>
        </w:rPr>
        <w:t xml:space="preserve">%) since </w:t>
      </w:r>
      <w:r w:rsidR="00D361C5" w:rsidRPr="00B2495F">
        <w:rPr>
          <w:color w:val="auto"/>
        </w:rPr>
        <w:t>March</w:t>
      </w:r>
      <w:r w:rsidR="00007E94" w:rsidRPr="00B2495F">
        <w:rPr>
          <w:color w:val="auto"/>
        </w:rPr>
        <w:t xml:space="preserve"> 202</w:t>
      </w:r>
      <w:r w:rsidR="00D361C5" w:rsidRPr="00B2495F">
        <w:rPr>
          <w:color w:val="auto"/>
        </w:rPr>
        <w:t>4</w:t>
      </w:r>
      <w:r w:rsidR="00007E94" w:rsidRPr="00B2495F">
        <w:rPr>
          <w:color w:val="auto"/>
        </w:rPr>
        <w:t>.</w:t>
      </w:r>
    </w:p>
    <w:p w14:paraId="71858FE8" w14:textId="4CA89FCE" w:rsidR="007735B4" w:rsidRDefault="009A406D" w:rsidP="007735B4">
      <w:pPr>
        <w:spacing w:before="120" w:beforeAutospacing="0" w:after="120"/>
        <w:rPr>
          <w:color w:val="auto"/>
        </w:rPr>
      </w:pPr>
      <w:r w:rsidRPr="00B2495F">
        <w:rPr>
          <w:color w:val="auto"/>
        </w:rPr>
        <w:t xml:space="preserve">In FTE terms, this </w:t>
      </w:r>
      <w:r w:rsidR="00D04CAD">
        <w:rPr>
          <w:color w:val="auto"/>
        </w:rPr>
        <w:t>is</w:t>
      </w:r>
      <w:r w:rsidR="00D04CAD" w:rsidRPr="00B2495F">
        <w:rPr>
          <w:color w:val="auto"/>
        </w:rPr>
        <w:t xml:space="preserve"> </w:t>
      </w:r>
      <w:r w:rsidRPr="00B2495F">
        <w:rPr>
          <w:color w:val="auto"/>
        </w:rPr>
        <w:t>a</w:t>
      </w:r>
      <w:r w:rsidR="00CE077F" w:rsidRPr="00B2495F">
        <w:rPr>
          <w:color w:val="auto"/>
        </w:rPr>
        <w:t>n</w:t>
      </w:r>
      <w:r w:rsidRPr="00B2495F">
        <w:rPr>
          <w:color w:val="auto"/>
        </w:rPr>
        <w:t xml:space="preserve"> </w:t>
      </w:r>
      <w:r w:rsidR="00643901" w:rsidRPr="00B2495F">
        <w:rPr>
          <w:color w:val="auto"/>
        </w:rPr>
        <w:t>increase</w:t>
      </w:r>
      <w:r w:rsidRPr="00B2495F">
        <w:rPr>
          <w:color w:val="auto"/>
        </w:rPr>
        <w:t xml:space="preserve"> of </w:t>
      </w:r>
      <w:r w:rsidR="00CE077F" w:rsidRPr="00B2495F">
        <w:rPr>
          <w:color w:val="auto"/>
        </w:rPr>
        <w:t>3,</w:t>
      </w:r>
      <w:r w:rsidR="00B2495F" w:rsidRPr="00B2495F">
        <w:rPr>
          <w:color w:val="auto"/>
        </w:rPr>
        <w:t>496</w:t>
      </w:r>
      <w:r w:rsidRPr="00B2495F">
        <w:rPr>
          <w:color w:val="auto"/>
        </w:rPr>
        <w:t xml:space="preserve"> (</w:t>
      </w:r>
      <w:r w:rsidR="00643901" w:rsidRPr="00B2495F">
        <w:rPr>
          <w:color w:val="auto"/>
        </w:rPr>
        <w:t>+</w:t>
      </w:r>
      <w:r w:rsidR="00CE077F" w:rsidRPr="00B2495F">
        <w:rPr>
          <w:color w:val="auto"/>
        </w:rPr>
        <w:t>2.</w:t>
      </w:r>
      <w:r w:rsidR="00B2495F" w:rsidRPr="00B2495F">
        <w:rPr>
          <w:color w:val="auto"/>
        </w:rPr>
        <w:t>5</w:t>
      </w:r>
      <w:r w:rsidRPr="00B2495F">
        <w:rPr>
          <w:color w:val="auto"/>
        </w:rPr>
        <w:t xml:space="preserve">%) since </w:t>
      </w:r>
      <w:r w:rsidR="00D361C5" w:rsidRPr="00B2495F">
        <w:rPr>
          <w:color w:val="auto"/>
        </w:rPr>
        <w:t>September</w:t>
      </w:r>
      <w:r w:rsidRPr="00B2495F">
        <w:rPr>
          <w:color w:val="auto"/>
        </w:rPr>
        <w:t xml:space="preserve"> 2024 and an annual increase of </w:t>
      </w:r>
      <w:r w:rsidR="00B2495F" w:rsidRPr="00B2495F">
        <w:rPr>
          <w:color w:val="auto"/>
        </w:rPr>
        <w:t>7,252</w:t>
      </w:r>
      <w:r w:rsidRPr="00B2495F">
        <w:rPr>
          <w:color w:val="auto"/>
        </w:rPr>
        <w:t xml:space="preserve"> (+</w:t>
      </w:r>
      <w:r w:rsidR="00643901" w:rsidRPr="00B2495F">
        <w:rPr>
          <w:color w:val="auto"/>
        </w:rPr>
        <w:t>5.</w:t>
      </w:r>
      <w:r w:rsidR="00B2495F" w:rsidRPr="00B2495F">
        <w:rPr>
          <w:color w:val="auto"/>
        </w:rPr>
        <w:t>4</w:t>
      </w:r>
      <w:r w:rsidRPr="00B2495F">
        <w:rPr>
          <w:color w:val="auto"/>
        </w:rPr>
        <w:t xml:space="preserve">%) since </w:t>
      </w:r>
      <w:r w:rsidR="00D361C5" w:rsidRPr="00B2495F">
        <w:rPr>
          <w:color w:val="auto"/>
        </w:rPr>
        <w:t>March 2024</w:t>
      </w:r>
      <w:r w:rsidRPr="00B2495F">
        <w:rPr>
          <w:color w:val="auto"/>
        </w:rPr>
        <w:t>.</w:t>
      </w:r>
      <w:bookmarkStart w:id="0" w:name="_Hlk173828182"/>
    </w:p>
    <w:p w14:paraId="5AF99E68" w14:textId="4CE3DFAC" w:rsidR="00CE077F" w:rsidRPr="008A2746" w:rsidRDefault="00CE3CCB" w:rsidP="007735B4">
      <w:pPr>
        <w:spacing w:before="120" w:beforeAutospacing="0" w:after="120"/>
        <w:rPr>
          <w:color w:val="auto"/>
        </w:rPr>
      </w:pPr>
      <w:r w:rsidRPr="00B2495F">
        <w:rPr>
          <w:noProof/>
          <w:color w:val="auto"/>
        </w:rPr>
        <w:t xml:space="preserve">WA Health </w:t>
      </w:r>
      <w:r w:rsidR="00CE077F" w:rsidRPr="00B2495F">
        <w:rPr>
          <w:noProof/>
          <w:color w:val="auto"/>
        </w:rPr>
        <w:t>increased</w:t>
      </w:r>
      <w:r w:rsidRPr="00B2495F">
        <w:rPr>
          <w:noProof/>
          <w:color w:val="auto"/>
        </w:rPr>
        <w:t xml:space="preserve"> by </w:t>
      </w:r>
      <w:r w:rsidR="00CE077F" w:rsidRPr="00B2495F">
        <w:rPr>
          <w:noProof/>
          <w:color w:val="auto"/>
        </w:rPr>
        <w:t>1,</w:t>
      </w:r>
      <w:r w:rsidR="00B2495F" w:rsidRPr="00B2495F">
        <w:rPr>
          <w:noProof/>
          <w:color w:val="auto"/>
        </w:rPr>
        <w:t>971</w:t>
      </w:r>
      <w:r w:rsidRPr="00B2495F">
        <w:rPr>
          <w:noProof/>
          <w:color w:val="auto"/>
        </w:rPr>
        <w:t xml:space="preserve"> FTE (</w:t>
      </w:r>
      <w:r w:rsidR="00CE077F" w:rsidRPr="00B2495F">
        <w:rPr>
          <w:noProof/>
          <w:color w:val="auto"/>
        </w:rPr>
        <w:t>+</w:t>
      </w:r>
      <w:r w:rsidR="00B2495F" w:rsidRPr="00B2495F">
        <w:rPr>
          <w:noProof/>
          <w:color w:val="auto"/>
        </w:rPr>
        <w:t>4</w:t>
      </w:r>
      <w:r w:rsidRPr="00B2495F">
        <w:rPr>
          <w:noProof/>
          <w:color w:val="auto"/>
        </w:rPr>
        <w:t>.</w:t>
      </w:r>
      <w:r w:rsidR="00B2495F" w:rsidRPr="00B2495F">
        <w:rPr>
          <w:noProof/>
          <w:color w:val="auto"/>
        </w:rPr>
        <w:t>1</w:t>
      </w:r>
      <w:r w:rsidRPr="00B2495F">
        <w:rPr>
          <w:noProof/>
          <w:color w:val="auto"/>
        </w:rPr>
        <w:t>%)</w:t>
      </w:r>
      <w:r w:rsidR="0065611E" w:rsidRPr="00B2495F">
        <w:rPr>
          <w:noProof/>
          <w:color w:val="auto"/>
        </w:rPr>
        <w:t>.</w:t>
      </w:r>
      <w:r w:rsidRPr="00B2495F">
        <w:rPr>
          <w:noProof/>
          <w:color w:val="auto"/>
        </w:rPr>
        <w:t xml:space="preserve"> </w:t>
      </w:r>
      <w:r w:rsidR="00B2495F" w:rsidRPr="008A2746">
        <w:rPr>
          <w:noProof/>
          <w:color w:val="auto"/>
        </w:rPr>
        <w:t>The Department of Health</w:t>
      </w:r>
      <w:r w:rsidR="00CE077F" w:rsidRPr="008A2746">
        <w:rPr>
          <w:noProof/>
          <w:color w:val="auto"/>
        </w:rPr>
        <w:t xml:space="preserve"> (+</w:t>
      </w:r>
      <w:r w:rsidR="00B2495F" w:rsidRPr="008A2746">
        <w:rPr>
          <w:noProof/>
          <w:color w:val="auto"/>
        </w:rPr>
        <w:t>7.1</w:t>
      </w:r>
      <w:r w:rsidR="00CE077F" w:rsidRPr="008A2746">
        <w:rPr>
          <w:noProof/>
          <w:color w:val="auto"/>
        </w:rPr>
        <w:t>%) saw the largest</w:t>
      </w:r>
      <w:r w:rsidR="00517EC3">
        <w:rPr>
          <w:noProof/>
          <w:color w:val="auto"/>
        </w:rPr>
        <w:t xml:space="preserve"> percentage</w:t>
      </w:r>
      <w:r w:rsidR="00CE077F" w:rsidRPr="008A2746">
        <w:rPr>
          <w:noProof/>
          <w:color w:val="auto"/>
        </w:rPr>
        <w:t xml:space="preserve"> increas</w:t>
      </w:r>
      <w:r w:rsidR="008A2746" w:rsidRPr="008A2746">
        <w:rPr>
          <w:noProof/>
          <w:color w:val="auto"/>
        </w:rPr>
        <w:t>e due to the hiring of admin</w:t>
      </w:r>
      <w:r w:rsidR="00D04CAD">
        <w:rPr>
          <w:noProof/>
          <w:color w:val="auto"/>
        </w:rPr>
        <w:t>istrative</w:t>
      </w:r>
      <w:r w:rsidR="008A2746" w:rsidRPr="008A2746">
        <w:rPr>
          <w:noProof/>
          <w:color w:val="auto"/>
        </w:rPr>
        <w:t xml:space="preserve"> and clerical staff to support ongoing service demands, major health projects and system improvement initiatives</w:t>
      </w:r>
      <w:r w:rsidR="00CE077F" w:rsidRPr="008A2746">
        <w:rPr>
          <w:noProof/>
          <w:color w:val="auto"/>
        </w:rPr>
        <w:t>.</w:t>
      </w:r>
      <w:r w:rsidR="001E1FA3" w:rsidRPr="008A2746">
        <w:rPr>
          <w:noProof/>
          <w:color w:val="auto"/>
        </w:rPr>
        <w:t xml:space="preserve"> All </w:t>
      </w:r>
      <w:r w:rsidR="00CA126A">
        <w:rPr>
          <w:noProof/>
          <w:color w:val="auto"/>
        </w:rPr>
        <w:t>health service providers</w:t>
      </w:r>
      <w:r w:rsidR="001E1FA3" w:rsidRPr="008A2746">
        <w:rPr>
          <w:noProof/>
          <w:color w:val="auto"/>
        </w:rPr>
        <w:t xml:space="preserve"> saw an increase in FTE since </w:t>
      </w:r>
      <w:r w:rsidR="00D361C5" w:rsidRPr="008A2746">
        <w:rPr>
          <w:noProof/>
          <w:color w:val="auto"/>
        </w:rPr>
        <w:t>September</w:t>
      </w:r>
      <w:r w:rsidR="001E1FA3" w:rsidRPr="008A2746">
        <w:rPr>
          <w:noProof/>
          <w:color w:val="auto"/>
        </w:rPr>
        <w:t xml:space="preserve"> 2024.</w:t>
      </w:r>
    </w:p>
    <w:p w14:paraId="435E1B22" w14:textId="36B842E3" w:rsidR="00B43214" w:rsidRPr="00E82642" w:rsidRDefault="0065611E" w:rsidP="007735B4">
      <w:pPr>
        <w:spacing w:before="120" w:beforeAutospacing="0" w:after="120"/>
        <w:rPr>
          <w:noProof/>
          <w:color w:val="auto"/>
        </w:rPr>
      </w:pPr>
      <w:r w:rsidRPr="00E82642">
        <w:rPr>
          <w:noProof/>
          <w:color w:val="auto"/>
        </w:rPr>
        <w:t xml:space="preserve">There was minimal change at the Department of Education which increased by </w:t>
      </w:r>
      <w:r w:rsidR="00E82642" w:rsidRPr="00E82642">
        <w:rPr>
          <w:noProof/>
          <w:color w:val="auto"/>
        </w:rPr>
        <w:t>155</w:t>
      </w:r>
      <w:r w:rsidRPr="00E82642">
        <w:rPr>
          <w:noProof/>
          <w:color w:val="auto"/>
        </w:rPr>
        <w:t xml:space="preserve"> FTE (</w:t>
      </w:r>
      <w:r w:rsidR="00E82642" w:rsidRPr="00E82642">
        <w:rPr>
          <w:noProof/>
          <w:color w:val="auto"/>
        </w:rPr>
        <w:t>0.3</w:t>
      </w:r>
      <w:r w:rsidRPr="00E82642">
        <w:rPr>
          <w:noProof/>
          <w:color w:val="auto"/>
        </w:rPr>
        <w:t xml:space="preserve">%) from </w:t>
      </w:r>
      <w:r w:rsidR="00D361C5" w:rsidRPr="00E82642">
        <w:rPr>
          <w:noProof/>
          <w:color w:val="auto"/>
        </w:rPr>
        <w:t xml:space="preserve">September </w:t>
      </w:r>
      <w:r w:rsidRPr="00E82642">
        <w:rPr>
          <w:noProof/>
          <w:color w:val="auto"/>
        </w:rPr>
        <w:t>2024</w:t>
      </w:r>
      <w:r w:rsidR="00B43214" w:rsidRPr="00E82642">
        <w:rPr>
          <w:noProof/>
          <w:color w:val="auto"/>
        </w:rPr>
        <w:t xml:space="preserve">. </w:t>
      </w:r>
    </w:p>
    <w:p w14:paraId="560E0D76" w14:textId="5FF38792" w:rsidR="00450A20" w:rsidRPr="00450A20" w:rsidRDefault="00954E21" w:rsidP="007735B4">
      <w:pPr>
        <w:spacing w:before="120" w:beforeAutospacing="0" w:after="120"/>
        <w:rPr>
          <w:noProof/>
          <w:color w:val="auto"/>
        </w:rPr>
      </w:pPr>
      <w:r w:rsidRPr="00450A20">
        <w:rPr>
          <w:noProof/>
          <w:color w:val="auto"/>
        </w:rPr>
        <w:t xml:space="preserve">Other growth included </w:t>
      </w:r>
      <w:r w:rsidR="00450A20" w:rsidRPr="00450A20">
        <w:rPr>
          <w:noProof/>
          <w:color w:val="auto"/>
        </w:rPr>
        <w:t>increases of</w:t>
      </w:r>
      <w:r w:rsidRPr="00450A20">
        <w:rPr>
          <w:noProof/>
          <w:color w:val="auto"/>
        </w:rPr>
        <w:t xml:space="preserve"> </w:t>
      </w:r>
      <w:r w:rsidR="00450A20" w:rsidRPr="00450A20">
        <w:rPr>
          <w:noProof/>
          <w:color w:val="auto"/>
        </w:rPr>
        <w:t>123</w:t>
      </w:r>
      <w:r w:rsidRPr="00450A20">
        <w:rPr>
          <w:noProof/>
          <w:color w:val="auto"/>
        </w:rPr>
        <w:t xml:space="preserve"> FTE (</w:t>
      </w:r>
      <w:r w:rsidR="00450A20" w:rsidRPr="00450A20">
        <w:rPr>
          <w:noProof/>
          <w:color w:val="auto"/>
        </w:rPr>
        <w:t>7.2</w:t>
      </w:r>
      <w:r w:rsidRPr="00450A20">
        <w:rPr>
          <w:noProof/>
          <w:color w:val="auto"/>
        </w:rPr>
        <w:t>%) at the Department of Transport</w:t>
      </w:r>
      <w:r w:rsidR="00EB73B3">
        <w:rPr>
          <w:noProof/>
          <w:color w:val="auto"/>
        </w:rPr>
        <w:t>;</w:t>
      </w:r>
      <w:r w:rsidR="00450A20" w:rsidRPr="00450A20">
        <w:rPr>
          <w:noProof/>
          <w:color w:val="auto"/>
        </w:rPr>
        <w:t xml:space="preserve"> 116 FTE (6.7%) at Main Roads Western Australia</w:t>
      </w:r>
      <w:r w:rsidR="00EB73B3">
        <w:rPr>
          <w:noProof/>
          <w:color w:val="auto"/>
        </w:rPr>
        <w:t>;</w:t>
      </w:r>
      <w:r w:rsidR="00450A20" w:rsidRPr="00450A20">
        <w:rPr>
          <w:noProof/>
          <w:color w:val="auto"/>
        </w:rPr>
        <w:t xml:space="preserve"> and 136 FTE (6.2%) at the Department of Biodiversity, Conservation and Attractions since September 2024.</w:t>
      </w:r>
    </w:p>
    <w:bookmarkEnd w:id="0"/>
    <w:p w14:paraId="776D250A" w14:textId="624BE2A7" w:rsidR="006926A7" w:rsidRPr="00D46CC8" w:rsidRDefault="00CC76B7" w:rsidP="007C5210">
      <w:pPr>
        <w:pStyle w:val="Heading3"/>
      </w:pPr>
      <w:r w:rsidRPr="00D46CC8">
        <w:t>Salaries expenditure</w:t>
      </w:r>
    </w:p>
    <w:p w14:paraId="4C797268" w14:textId="77777777" w:rsidR="0052376E" w:rsidRPr="00B62D66" w:rsidRDefault="0052376E" w:rsidP="0052376E">
      <w:pPr>
        <w:spacing w:before="0" w:beforeAutospacing="0" w:after="0"/>
      </w:pPr>
      <w:bookmarkStart w:id="1" w:name="_Hlk136241217"/>
      <w:r w:rsidRPr="00B62D66">
        <w:rPr>
          <w:shd w:val="clear" w:color="auto" w:fill="FFFFFF"/>
        </w:rPr>
        <w:t xml:space="preserve">Salaries expenditure information will be published in the Department of Treasury’s </w:t>
      </w:r>
      <w:hyperlink r:id="rId12" w:history="1">
        <w:r>
          <w:rPr>
            <w:rStyle w:val="Hyperlink"/>
            <w:shd w:val="clear" w:color="auto" w:fill="FFFFFF"/>
          </w:rPr>
          <w:t>Quarterly Report on State Finances</w:t>
        </w:r>
      </w:hyperlink>
      <w:r w:rsidRPr="00B62D66">
        <w:rPr>
          <w:shd w:val="clear" w:color="auto" w:fill="FFFFFF"/>
        </w:rPr>
        <w:t>.</w:t>
      </w:r>
      <w:r w:rsidRPr="00B62D66">
        <w:t xml:space="preserve"> </w:t>
      </w:r>
    </w:p>
    <w:bookmarkEnd w:id="1"/>
    <w:p w14:paraId="464FD60E" w14:textId="3FF998A4" w:rsidR="007C147E" w:rsidRDefault="00C96AD0" w:rsidP="004C4E83">
      <w:pPr>
        <w:pStyle w:val="Heading2"/>
        <w:spacing w:before="360"/>
      </w:pPr>
      <w:r>
        <w:t>Historical h</w:t>
      </w:r>
      <w:r w:rsidR="007C147E" w:rsidRPr="007C147E">
        <w:t>eadcount</w:t>
      </w:r>
      <w:r w:rsidR="000610C7">
        <w:t xml:space="preserve">, FTE and salaries expenditure </w:t>
      </w:r>
    </w:p>
    <w:tbl>
      <w:tblPr>
        <w:tblStyle w:val="ListTable3-Accent6"/>
        <w:tblW w:w="9634" w:type="dxa"/>
        <w:tblBorders>
          <w:insideH w:val="single" w:sz="4" w:space="0" w:color="70AD47" w:themeColor="accent6"/>
          <w:insideV w:val="single" w:sz="4" w:space="0" w:color="70AD47" w:themeColor="accent6"/>
        </w:tblBorders>
        <w:shd w:val="clear" w:color="auto" w:fill="2B9947"/>
        <w:tblLook w:val="04A0" w:firstRow="1" w:lastRow="0" w:firstColumn="1" w:lastColumn="0" w:noHBand="0" w:noVBand="1"/>
      </w:tblPr>
      <w:tblGrid>
        <w:gridCol w:w="2408"/>
        <w:gridCol w:w="2408"/>
        <w:gridCol w:w="2409"/>
        <w:gridCol w:w="2409"/>
      </w:tblGrid>
      <w:tr w:rsidR="00607466" w:rsidRPr="006B7EA1" w14:paraId="244B2CDB" w14:textId="77777777" w:rsidTr="004C4E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5" w:type="dxa"/>
            <w:tcBorders>
              <w:right w:val="single" w:sz="4" w:space="0" w:color="FFFFFF" w:themeColor="background1"/>
            </w:tcBorders>
            <w:shd w:val="clear" w:color="auto" w:fill="2B9947"/>
            <w:vAlign w:val="center"/>
          </w:tcPr>
          <w:p w14:paraId="7FD3C022" w14:textId="77777777" w:rsidR="007C147E" w:rsidRPr="005374A5" w:rsidRDefault="007C147E" w:rsidP="003D7A16">
            <w:pPr>
              <w:spacing w:before="60" w:beforeAutospacing="0" w:after="60"/>
              <w:rPr>
                <w:b w:val="0"/>
                <w:bCs w:val="0"/>
                <w:color w:val="FFFFFF" w:themeColor="background1"/>
                <w:lang w:val="en-US" w:eastAsia="zh-CN"/>
              </w:rPr>
            </w:pPr>
            <w:r w:rsidRPr="00570FFE">
              <w:rPr>
                <w:color w:val="FFFFFF" w:themeColor="background1"/>
                <w:lang w:val="en-US" w:eastAsia="zh-CN"/>
              </w:rPr>
              <w:t>Quarter</w:t>
            </w: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B9947"/>
            <w:vAlign w:val="center"/>
          </w:tcPr>
          <w:p w14:paraId="797ECB83" w14:textId="2CA23FE8" w:rsidR="007C147E" w:rsidRPr="005374A5" w:rsidRDefault="007C147E" w:rsidP="006B7EA1">
            <w:pPr>
              <w:spacing w:before="60" w:beforeAutospacing="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:lang w:val="en-US" w:eastAsia="zh-CN"/>
              </w:rPr>
            </w:pPr>
            <w:r w:rsidRPr="00570FFE">
              <w:rPr>
                <w:color w:val="FFFFFF" w:themeColor="background1"/>
                <w:lang w:val="en-US" w:eastAsia="zh-CN"/>
              </w:rPr>
              <w:t>Headcount</w:t>
            </w:r>
            <w:bookmarkStart w:id="2" w:name="_Ref501379223"/>
            <w:bookmarkEnd w:id="2"/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B9947"/>
            <w:vAlign w:val="center"/>
          </w:tcPr>
          <w:p w14:paraId="105267D7" w14:textId="677A67F1" w:rsidR="007C147E" w:rsidRPr="005374A5" w:rsidRDefault="007C147E" w:rsidP="006B7EA1">
            <w:pPr>
              <w:spacing w:before="60" w:beforeAutospacing="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:lang w:val="en-US" w:eastAsia="zh-CN"/>
              </w:rPr>
            </w:pPr>
            <w:r w:rsidRPr="00570FFE">
              <w:rPr>
                <w:color w:val="FFFFFF" w:themeColor="background1"/>
                <w:lang w:val="en-US" w:eastAsia="zh-CN"/>
              </w:rPr>
              <w:t>FTE</w:t>
            </w:r>
            <w:bookmarkStart w:id="3" w:name="_Ref501379429"/>
            <w:bookmarkEnd w:id="3"/>
          </w:p>
        </w:tc>
        <w:tc>
          <w:tcPr>
            <w:tcW w:w="1985" w:type="dxa"/>
            <w:tcBorders>
              <w:left w:val="single" w:sz="4" w:space="0" w:color="FFFFFF" w:themeColor="background1"/>
            </w:tcBorders>
            <w:shd w:val="clear" w:color="auto" w:fill="2B9947"/>
            <w:vAlign w:val="center"/>
          </w:tcPr>
          <w:p w14:paraId="44665156" w14:textId="20C9AF14" w:rsidR="007C147E" w:rsidRPr="005374A5" w:rsidRDefault="00A966F1" w:rsidP="006B7EA1">
            <w:pPr>
              <w:spacing w:before="60" w:beforeAutospacing="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:lang w:val="en-US" w:eastAsia="zh-CN"/>
              </w:rPr>
            </w:pPr>
            <w:r w:rsidRPr="00570FFE">
              <w:rPr>
                <w:color w:val="FFFFFF" w:themeColor="background1"/>
                <w:lang w:val="en-US" w:eastAsia="zh-CN"/>
              </w:rPr>
              <w:t>Quarterly s</w:t>
            </w:r>
            <w:r w:rsidR="007C147E" w:rsidRPr="00570FFE">
              <w:rPr>
                <w:color w:val="FFFFFF" w:themeColor="background1"/>
                <w:lang w:val="en-US" w:eastAsia="zh-CN"/>
              </w:rPr>
              <w:t xml:space="preserve">alaries </w:t>
            </w:r>
            <w:r w:rsidR="00F27804" w:rsidRPr="00570FFE">
              <w:rPr>
                <w:color w:val="FFFFFF" w:themeColor="background1"/>
                <w:lang w:val="en-US" w:eastAsia="zh-CN"/>
              </w:rPr>
              <w:br/>
            </w:r>
            <w:r w:rsidR="007C147E" w:rsidRPr="00570FFE">
              <w:rPr>
                <w:color w:val="FFFFFF" w:themeColor="background1"/>
                <w:lang w:val="en-US" w:eastAsia="zh-CN"/>
              </w:rPr>
              <w:t>expenditure ($</w:t>
            </w:r>
            <w:r w:rsidR="00237EB4" w:rsidRPr="00570FFE">
              <w:rPr>
                <w:color w:val="FFFFFF" w:themeColor="background1"/>
                <w:lang w:val="en-US" w:eastAsia="zh-CN"/>
              </w:rPr>
              <w:t>m</w:t>
            </w:r>
            <w:r w:rsidR="007C147E" w:rsidRPr="00570FFE">
              <w:rPr>
                <w:color w:val="FFFFFF" w:themeColor="background1"/>
                <w:lang w:val="en-US" w:eastAsia="zh-CN"/>
              </w:rPr>
              <w:t>)</w:t>
            </w:r>
          </w:p>
        </w:tc>
      </w:tr>
      <w:tr w:rsidR="001420AB" w:rsidRPr="00EB09F0" w14:paraId="302B54F3" w14:textId="77777777" w:rsidTr="004C4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none" w:sz="0" w:space="0" w:color="auto"/>
            </w:tcBorders>
            <w:shd w:val="clear" w:color="auto" w:fill="auto"/>
          </w:tcPr>
          <w:p w14:paraId="03432A0D" w14:textId="7722AC3B" w:rsidR="001420AB" w:rsidRPr="00607466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March 2020</w:t>
            </w:r>
          </w:p>
        </w:tc>
        <w:tc>
          <w:tcPr>
            <w:tcW w:w="1985" w:type="dxa"/>
            <w:shd w:val="clear" w:color="auto" w:fill="auto"/>
          </w:tcPr>
          <w:p w14:paraId="42B0F9F5" w14:textId="265BCF97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146,343</w:t>
            </w:r>
          </w:p>
        </w:tc>
        <w:tc>
          <w:tcPr>
            <w:tcW w:w="1985" w:type="dxa"/>
            <w:shd w:val="clear" w:color="auto" w:fill="auto"/>
          </w:tcPr>
          <w:p w14:paraId="1A71FF8E" w14:textId="0C91B694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115,548</w:t>
            </w:r>
          </w:p>
        </w:tc>
        <w:tc>
          <w:tcPr>
            <w:tcW w:w="1985" w:type="dxa"/>
            <w:shd w:val="clear" w:color="auto" w:fill="auto"/>
          </w:tcPr>
          <w:p w14:paraId="2265A302" w14:textId="62E77CEC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3,147</w:t>
            </w:r>
          </w:p>
        </w:tc>
      </w:tr>
      <w:tr w:rsidR="001420AB" w:rsidRPr="00EB09F0" w14:paraId="1701671A" w14:textId="77777777" w:rsidTr="004C4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none" w:sz="0" w:space="0" w:color="auto"/>
            </w:tcBorders>
            <w:shd w:val="clear" w:color="auto" w:fill="auto"/>
          </w:tcPr>
          <w:p w14:paraId="22287206" w14:textId="376A2E97" w:rsidR="001420AB" w:rsidRPr="00607466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September 2020</w:t>
            </w:r>
          </w:p>
        </w:tc>
        <w:tc>
          <w:tcPr>
            <w:tcW w:w="1985" w:type="dxa"/>
            <w:shd w:val="clear" w:color="auto" w:fill="auto"/>
          </w:tcPr>
          <w:p w14:paraId="04AB24A1" w14:textId="74722336" w:rsidR="001420AB" w:rsidRPr="00EB09F0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148,408</w:t>
            </w:r>
          </w:p>
        </w:tc>
        <w:tc>
          <w:tcPr>
            <w:tcW w:w="1985" w:type="dxa"/>
            <w:shd w:val="clear" w:color="auto" w:fill="auto"/>
          </w:tcPr>
          <w:p w14:paraId="34A8DCCD" w14:textId="60443097" w:rsidR="001420AB" w:rsidRPr="00BB1612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117,773</w:t>
            </w:r>
          </w:p>
        </w:tc>
        <w:tc>
          <w:tcPr>
            <w:tcW w:w="1985" w:type="dxa"/>
            <w:shd w:val="clear" w:color="auto" w:fill="auto"/>
          </w:tcPr>
          <w:p w14:paraId="4D2B73AC" w14:textId="77AAA5A3" w:rsidR="001420AB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3,319</w:t>
            </w:r>
          </w:p>
        </w:tc>
      </w:tr>
      <w:tr w:rsidR="001420AB" w:rsidRPr="00EB09F0" w14:paraId="1F59F062" w14:textId="77777777" w:rsidTr="004C4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none" w:sz="0" w:space="0" w:color="auto"/>
            </w:tcBorders>
            <w:shd w:val="clear" w:color="auto" w:fill="auto"/>
          </w:tcPr>
          <w:p w14:paraId="7655105E" w14:textId="3A18DF46" w:rsidR="001420AB" w:rsidRPr="00607466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March 2021</w:t>
            </w:r>
          </w:p>
        </w:tc>
        <w:tc>
          <w:tcPr>
            <w:tcW w:w="1985" w:type="dxa"/>
            <w:shd w:val="clear" w:color="auto" w:fill="auto"/>
          </w:tcPr>
          <w:p w14:paraId="3861E48E" w14:textId="42897E84" w:rsidR="001420AB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151,753</w:t>
            </w:r>
          </w:p>
        </w:tc>
        <w:tc>
          <w:tcPr>
            <w:tcW w:w="1985" w:type="dxa"/>
            <w:shd w:val="clear" w:color="auto" w:fill="auto"/>
          </w:tcPr>
          <w:p w14:paraId="1E89DF8C" w14:textId="0FC04A1A" w:rsidR="001420AB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120,357</w:t>
            </w:r>
          </w:p>
        </w:tc>
        <w:tc>
          <w:tcPr>
            <w:tcW w:w="1985" w:type="dxa"/>
            <w:shd w:val="clear" w:color="auto" w:fill="auto"/>
          </w:tcPr>
          <w:p w14:paraId="2A51CE09" w14:textId="7399C7ED" w:rsidR="001420AB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3,298</w:t>
            </w:r>
          </w:p>
        </w:tc>
      </w:tr>
      <w:tr w:rsidR="001420AB" w:rsidRPr="00EB09F0" w14:paraId="5A6AED53" w14:textId="77777777" w:rsidTr="004C4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</w:tcPr>
          <w:p w14:paraId="7C2BB83D" w14:textId="5AD767A2" w:rsidR="001420AB" w:rsidRDefault="001420AB" w:rsidP="001420AB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 w:rsidRPr="00917C55">
              <w:rPr>
                <w:b w:val="0"/>
                <w:shd w:val="clear" w:color="auto" w:fill="FFFFFF"/>
              </w:rPr>
              <w:t>September 2021</w:t>
            </w:r>
          </w:p>
        </w:tc>
        <w:tc>
          <w:tcPr>
            <w:tcW w:w="1985" w:type="dxa"/>
            <w:shd w:val="clear" w:color="auto" w:fill="auto"/>
          </w:tcPr>
          <w:p w14:paraId="34480548" w14:textId="30FB8F88" w:rsidR="001420AB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7471C9">
              <w:t>155,931</w:t>
            </w:r>
          </w:p>
        </w:tc>
        <w:tc>
          <w:tcPr>
            <w:tcW w:w="1985" w:type="dxa"/>
            <w:shd w:val="clear" w:color="auto" w:fill="auto"/>
          </w:tcPr>
          <w:p w14:paraId="49FF5E37" w14:textId="3F8BCBE7" w:rsidR="001420AB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7471C9">
              <w:t>123,034</w:t>
            </w:r>
          </w:p>
        </w:tc>
        <w:tc>
          <w:tcPr>
            <w:tcW w:w="1985" w:type="dxa"/>
            <w:shd w:val="clear" w:color="auto" w:fill="auto"/>
          </w:tcPr>
          <w:p w14:paraId="64CE539F" w14:textId="1399FA56" w:rsidR="001420AB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color w:val="auto"/>
                <w:shd w:val="clear" w:color="auto" w:fill="FFFFFF"/>
              </w:rPr>
              <w:t>3,512</w:t>
            </w:r>
          </w:p>
        </w:tc>
      </w:tr>
      <w:tr w:rsidR="001420AB" w:rsidRPr="00917C55" w14:paraId="78F96526" w14:textId="77777777" w:rsidTr="004C4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</w:tcPr>
          <w:p w14:paraId="5CD1328A" w14:textId="46B1EFF8" w:rsidR="001420AB" w:rsidRPr="00917C55" w:rsidRDefault="001420AB" w:rsidP="001420AB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March 2022</w:t>
            </w:r>
          </w:p>
        </w:tc>
        <w:tc>
          <w:tcPr>
            <w:tcW w:w="1985" w:type="dxa"/>
            <w:shd w:val="clear" w:color="auto" w:fill="auto"/>
          </w:tcPr>
          <w:p w14:paraId="608CAEE6" w14:textId="171B15D6" w:rsidR="001420AB" w:rsidRPr="00917C55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772517">
              <w:t>159,839</w:t>
            </w:r>
          </w:p>
        </w:tc>
        <w:tc>
          <w:tcPr>
            <w:tcW w:w="1985" w:type="dxa"/>
            <w:shd w:val="clear" w:color="auto" w:fill="auto"/>
          </w:tcPr>
          <w:p w14:paraId="101E946F" w14:textId="717474CF" w:rsidR="001420AB" w:rsidRPr="00917C55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772517">
              <w:t>125,623</w:t>
            </w:r>
          </w:p>
        </w:tc>
        <w:tc>
          <w:tcPr>
            <w:tcW w:w="1985" w:type="dxa"/>
            <w:shd w:val="clear" w:color="auto" w:fill="auto"/>
          </w:tcPr>
          <w:p w14:paraId="003128DD" w14:textId="1BA654DB" w:rsidR="001420AB" w:rsidRPr="00917C55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hd w:val="clear" w:color="auto" w:fill="FFFFFF"/>
              </w:rPr>
            </w:pPr>
            <w:r w:rsidRPr="007922A5">
              <w:rPr>
                <w:color w:val="auto"/>
                <w:shd w:val="clear" w:color="auto" w:fill="FFFFFF"/>
              </w:rPr>
              <w:t>3,476</w:t>
            </w:r>
          </w:p>
        </w:tc>
      </w:tr>
      <w:tr w:rsidR="001420AB" w:rsidRPr="00917C55" w14:paraId="5F18B504" w14:textId="77777777" w:rsidTr="004C4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</w:tcPr>
          <w:p w14:paraId="02671237" w14:textId="3E3AE19A" w:rsidR="001420AB" w:rsidRDefault="001420AB" w:rsidP="001420AB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 w:rsidRPr="00DD6729">
              <w:rPr>
                <w:b w:val="0"/>
                <w:shd w:val="clear" w:color="auto" w:fill="FFFFFF"/>
              </w:rPr>
              <w:t>September 2022</w:t>
            </w:r>
          </w:p>
        </w:tc>
        <w:tc>
          <w:tcPr>
            <w:tcW w:w="1985" w:type="dxa"/>
            <w:shd w:val="clear" w:color="auto" w:fill="auto"/>
          </w:tcPr>
          <w:p w14:paraId="47326F8B" w14:textId="7F1CB9EE" w:rsidR="001420AB" w:rsidRPr="007471C9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C403A">
              <w:t>161,530</w:t>
            </w:r>
          </w:p>
        </w:tc>
        <w:tc>
          <w:tcPr>
            <w:tcW w:w="1985" w:type="dxa"/>
            <w:shd w:val="clear" w:color="auto" w:fill="auto"/>
          </w:tcPr>
          <w:p w14:paraId="74EDFDBD" w14:textId="3E3DCDFD" w:rsidR="001420AB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C403A">
              <w:t>126,421</w:t>
            </w:r>
          </w:p>
        </w:tc>
        <w:tc>
          <w:tcPr>
            <w:tcW w:w="1985" w:type="dxa"/>
            <w:shd w:val="clear" w:color="auto" w:fill="auto"/>
          </w:tcPr>
          <w:p w14:paraId="692C2F1F" w14:textId="75ED149F" w:rsidR="001420AB" w:rsidRPr="007922A5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hd w:val="clear" w:color="auto" w:fill="FFFFFF"/>
              </w:rPr>
            </w:pPr>
            <w:r w:rsidRPr="007922A5">
              <w:rPr>
                <w:color w:val="auto"/>
                <w:shd w:val="clear" w:color="auto" w:fill="FFFFFF"/>
              </w:rPr>
              <w:t>3,721</w:t>
            </w:r>
          </w:p>
        </w:tc>
      </w:tr>
      <w:tr w:rsidR="007922A5" w:rsidRPr="00917C55" w14:paraId="1B3AD650" w14:textId="77777777" w:rsidTr="004C4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</w:tcPr>
          <w:p w14:paraId="45A4BE09" w14:textId="105394B6" w:rsidR="007922A5" w:rsidRPr="00DD6729" w:rsidRDefault="001420AB" w:rsidP="007922A5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March 2023</w:t>
            </w:r>
          </w:p>
        </w:tc>
        <w:tc>
          <w:tcPr>
            <w:tcW w:w="1985" w:type="dxa"/>
            <w:shd w:val="clear" w:color="auto" w:fill="auto"/>
          </w:tcPr>
          <w:p w14:paraId="5C1B380F" w14:textId="646CEAA9" w:rsidR="007922A5" w:rsidRPr="009453B8" w:rsidRDefault="001420AB" w:rsidP="007922A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164,141</w:t>
            </w:r>
          </w:p>
        </w:tc>
        <w:tc>
          <w:tcPr>
            <w:tcW w:w="1985" w:type="dxa"/>
            <w:shd w:val="clear" w:color="auto" w:fill="auto"/>
          </w:tcPr>
          <w:p w14:paraId="1B427AA8" w14:textId="069DCD1D" w:rsidR="007922A5" w:rsidRPr="009453B8" w:rsidRDefault="001420AB" w:rsidP="007922A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128,784</w:t>
            </w:r>
          </w:p>
        </w:tc>
        <w:tc>
          <w:tcPr>
            <w:tcW w:w="1985" w:type="dxa"/>
            <w:shd w:val="clear" w:color="auto" w:fill="auto"/>
          </w:tcPr>
          <w:p w14:paraId="60684563" w14:textId="07A1FCBC" w:rsidR="007922A5" w:rsidRPr="007922A5" w:rsidRDefault="00EE31DB" w:rsidP="007922A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hd w:val="clear" w:color="auto" w:fill="FFFFFF"/>
              </w:rPr>
            </w:pPr>
            <w:r>
              <w:rPr>
                <w:color w:val="auto"/>
                <w:shd w:val="clear" w:color="auto" w:fill="FFFFFF"/>
              </w:rPr>
              <w:t>4,081</w:t>
            </w:r>
          </w:p>
        </w:tc>
      </w:tr>
      <w:tr w:rsidR="00C57D7C" w:rsidRPr="00917C55" w14:paraId="23B1E9AE" w14:textId="77777777" w:rsidTr="004C4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</w:tcPr>
          <w:p w14:paraId="638E1B63" w14:textId="299E62E7" w:rsidR="00C57D7C" w:rsidRPr="00C57D7C" w:rsidRDefault="00C57D7C" w:rsidP="007922A5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 w:rsidRPr="00C57D7C">
              <w:rPr>
                <w:b w:val="0"/>
                <w:shd w:val="clear" w:color="auto" w:fill="FFFFFF"/>
              </w:rPr>
              <w:t>September 2023</w:t>
            </w:r>
          </w:p>
        </w:tc>
        <w:tc>
          <w:tcPr>
            <w:tcW w:w="1985" w:type="dxa"/>
            <w:shd w:val="clear" w:color="auto" w:fill="auto"/>
          </w:tcPr>
          <w:p w14:paraId="5DBD804D" w14:textId="453087F2" w:rsidR="00C57D7C" w:rsidRPr="00C57D7C" w:rsidRDefault="00C57D7C" w:rsidP="007922A5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168,312</w:t>
            </w:r>
          </w:p>
        </w:tc>
        <w:tc>
          <w:tcPr>
            <w:tcW w:w="1985" w:type="dxa"/>
            <w:shd w:val="clear" w:color="auto" w:fill="auto"/>
          </w:tcPr>
          <w:p w14:paraId="49EFF3EC" w14:textId="370F466E" w:rsidR="00C57D7C" w:rsidRPr="00C57D7C" w:rsidRDefault="00C57D7C" w:rsidP="007922A5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131,859</w:t>
            </w:r>
          </w:p>
        </w:tc>
        <w:tc>
          <w:tcPr>
            <w:tcW w:w="1985" w:type="dxa"/>
            <w:shd w:val="clear" w:color="auto" w:fill="auto"/>
          </w:tcPr>
          <w:p w14:paraId="156D786F" w14:textId="471C4CF0" w:rsidR="00C57D7C" w:rsidRPr="00C57D7C" w:rsidRDefault="002C300F" w:rsidP="007922A5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4</w:t>
            </w:r>
            <w:r w:rsidR="00C57D7C">
              <w:rPr>
                <w:bCs/>
                <w:shd w:val="clear" w:color="auto" w:fill="FFFFFF"/>
              </w:rPr>
              <w:t>,</w:t>
            </w:r>
            <w:r>
              <w:rPr>
                <w:bCs/>
                <w:shd w:val="clear" w:color="auto" w:fill="FFFFFF"/>
              </w:rPr>
              <w:t>003</w:t>
            </w:r>
          </w:p>
        </w:tc>
      </w:tr>
      <w:tr w:rsidR="00DA04E0" w:rsidRPr="00917C55" w14:paraId="2A140AD5" w14:textId="77777777" w:rsidTr="004C4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</w:tcPr>
          <w:p w14:paraId="1443E0C8" w14:textId="772025A1" w:rsidR="00DA04E0" w:rsidRPr="00DA04E0" w:rsidRDefault="00DA04E0" w:rsidP="007922A5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DA04E0">
              <w:rPr>
                <w:b w:val="0"/>
                <w:bCs w:val="0"/>
                <w:shd w:val="clear" w:color="auto" w:fill="FFFFFF"/>
              </w:rPr>
              <w:t>March 2024</w:t>
            </w:r>
          </w:p>
        </w:tc>
        <w:tc>
          <w:tcPr>
            <w:tcW w:w="1985" w:type="dxa"/>
            <w:shd w:val="clear" w:color="auto" w:fill="auto"/>
          </w:tcPr>
          <w:p w14:paraId="0B13071E" w14:textId="493F7A13" w:rsidR="00DA04E0" w:rsidRPr="001E6B9B" w:rsidRDefault="00DA04E0" w:rsidP="007922A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hd w:val="clear" w:color="auto" w:fill="FFFFFF"/>
              </w:rPr>
            </w:pPr>
            <w:r w:rsidRPr="00DA04E0">
              <w:rPr>
                <w:bCs/>
                <w:shd w:val="clear" w:color="auto" w:fill="FFFFFF"/>
              </w:rPr>
              <w:t>172,046</w:t>
            </w:r>
          </w:p>
        </w:tc>
        <w:tc>
          <w:tcPr>
            <w:tcW w:w="1985" w:type="dxa"/>
            <w:shd w:val="clear" w:color="auto" w:fill="auto"/>
          </w:tcPr>
          <w:p w14:paraId="7404AEAF" w14:textId="53EBF9FA" w:rsidR="00DA04E0" w:rsidRPr="001E6B9B" w:rsidRDefault="00DA04E0" w:rsidP="007922A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hd w:val="clear" w:color="auto" w:fill="FFFFFF"/>
              </w:rPr>
            </w:pPr>
            <w:r w:rsidRPr="00DA04E0">
              <w:rPr>
                <w:bCs/>
                <w:shd w:val="clear" w:color="auto" w:fill="FFFFFF"/>
              </w:rPr>
              <w:t>135,065</w:t>
            </w:r>
          </w:p>
        </w:tc>
        <w:tc>
          <w:tcPr>
            <w:tcW w:w="1985" w:type="dxa"/>
            <w:shd w:val="clear" w:color="auto" w:fill="auto"/>
          </w:tcPr>
          <w:p w14:paraId="72AE76E4" w14:textId="29E77B26" w:rsidR="00DA04E0" w:rsidRPr="00290234" w:rsidRDefault="00290234" w:rsidP="007922A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hd w:val="clear" w:color="auto" w:fill="FFFFFF"/>
              </w:rPr>
            </w:pPr>
            <w:r w:rsidRPr="00290234">
              <w:rPr>
                <w:shd w:val="clear" w:color="auto" w:fill="FFFFFF"/>
              </w:rPr>
              <w:t>4,091</w:t>
            </w:r>
          </w:p>
        </w:tc>
      </w:tr>
      <w:tr w:rsidR="00095BA7" w:rsidRPr="00917C55" w14:paraId="077700A9" w14:textId="77777777" w:rsidTr="004C4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</w:tcPr>
          <w:p w14:paraId="04A5E180" w14:textId="23C9675A" w:rsidR="00095BA7" w:rsidRPr="00B120ED" w:rsidRDefault="00095BA7" w:rsidP="007922A5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B120ED">
              <w:rPr>
                <w:b w:val="0"/>
                <w:bCs w:val="0"/>
                <w:shd w:val="clear" w:color="auto" w:fill="FFFFFF"/>
              </w:rPr>
              <w:t>September 2024</w:t>
            </w:r>
          </w:p>
        </w:tc>
        <w:tc>
          <w:tcPr>
            <w:tcW w:w="1985" w:type="dxa"/>
            <w:shd w:val="clear" w:color="auto" w:fill="auto"/>
          </w:tcPr>
          <w:p w14:paraId="6AC896F5" w14:textId="474CDF09" w:rsidR="00095BA7" w:rsidRDefault="00B120ED" w:rsidP="007922A5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177,228</w:t>
            </w:r>
          </w:p>
        </w:tc>
        <w:tc>
          <w:tcPr>
            <w:tcW w:w="1985" w:type="dxa"/>
            <w:shd w:val="clear" w:color="auto" w:fill="auto"/>
          </w:tcPr>
          <w:p w14:paraId="2C541C55" w14:textId="4D4ECCB0" w:rsidR="00095BA7" w:rsidRDefault="00B120ED" w:rsidP="007922A5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138,821</w:t>
            </w:r>
          </w:p>
        </w:tc>
        <w:tc>
          <w:tcPr>
            <w:tcW w:w="1985" w:type="dxa"/>
            <w:shd w:val="clear" w:color="auto" w:fill="auto"/>
          </w:tcPr>
          <w:p w14:paraId="31CFAEF0" w14:textId="3076E467" w:rsidR="00095BA7" w:rsidRPr="00EA7FC5" w:rsidRDefault="00C34370" w:rsidP="007922A5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shd w:val="clear" w:color="auto" w:fill="FFFFFF"/>
              </w:rPr>
            </w:pPr>
            <w:r w:rsidRPr="00BF6314">
              <w:rPr>
                <w:color w:val="auto"/>
                <w:sz w:val="21"/>
                <w:szCs w:val="21"/>
                <w:shd w:val="clear" w:color="auto" w:fill="FFFFFF"/>
              </w:rPr>
              <w:t>4,251</w:t>
            </w:r>
          </w:p>
        </w:tc>
      </w:tr>
      <w:tr w:rsidR="001B5B8A" w:rsidRPr="00917C55" w14:paraId="1555719F" w14:textId="77777777" w:rsidTr="004C4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</w:tcPr>
          <w:p w14:paraId="3B9CFB8E" w14:textId="56067C4B" w:rsidR="001B5B8A" w:rsidRPr="00720D47" w:rsidRDefault="001B5B8A" w:rsidP="007922A5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720D47">
              <w:rPr>
                <w:b w:val="0"/>
                <w:bCs w:val="0"/>
                <w:shd w:val="clear" w:color="auto" w:fill="FFFFFF"/>
              </w:rPr>
              <w:t>March 2025</w:t>
            </w:r>
          </w:p>
        </w:tc>
        <w:tc>
          <w:tcPr>
            <w:tcW w:w="1985" w:type="dxa"/>
            <w:shd w:val="clear" w:color="auto" w:fill="auto"/>
          </w:tcPr>
          <w:p w14:paraId="106B3D2C" w14:textId="21CD8FE4" w:rsidR="001B5B8A" w:rsidRDefault="001B5B8A" w:rsidP="007922A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181,145</w:t>
            </w:r>
          </w:p>
        </w:tc>
        <w:tc>
          <w:tcPr>
            <w:tcW w:w="1985" w:type="dxa"/>
            <w:shd w:val="clear" w:color="auto" w:fill="auto"/>
          </w:tcPr>
          <w:p w14:paraId="7D167881" w14:textId="35C1AB0D" w:rsidR="001B5B8A" w:rsidRDefault="001B5B8A" w:rsidP="007922A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142,317</w:t>
            </w:r>
          </w:p>
        </w:tc>
        <w:tc>
          <w:tcPr>
            <w:tcW w:w="1985" w:type="dxa"/>
            <w:shd w:val="clear" w:color="auto" w:fill="auto"/>
          </w:tcPr>
          <w:p w14:paraId="6219DD8E" w14:textId="6888FB3D" w:rsidR="001B5B8A" w:rsidRPr="002C7728" w:rsidRDefault="00720D47" w:rsidP="007922A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highlight w:val="yellow"/>
                <w:shd w:val="clear" w:color="auto" w:fill="FFFFFF"/>
              </w:rPr>
            </w:pPr>
            <w:r w:rsidRPr="00720D47">
              <w:rPr>
                <w:sz w:val="21"/>
                <w:szCs w:val="21"/>
                <w:shd w:val="clear" w:color="auto" w:fill="FFFFFF"/>
              </w:rPr>
              <w:t>To be published in</w:t>
            </w:r>
            <w:r w:rsidRPr="00EA7FC5">
              <w:rPr>
                <w:sz w:val="21"/>
                <w:szCs w:val="21"/>
                <w:shd w:val="clear" w:color="auto" w:fill="FFFFFF"/>
              </w:rPr>
              <w:t xml:space="preserve"> </w:t>
            </w:r>
            <w:hyperlink r:id="rId13" w:history="1">
              <w:r>
                <w:rPr>
                  <w:rStyle w:val="Hyperlink"/>
                  <w:sz w:val="21"/>
                  <w:szCs w:val="21"/>
                  <w:shd w:val="clear" w:color="auto" w:fill="FFFFFF"/>
                </w:rPr>
                <w:t>Quarterly Report on State Finances</w:t>
              </w:r>
            </w:hyperlink>
          </w:p>
        </w:tc>
      </w:tr>
    </w:tbl>
    <w:p w14:paraId="77BE0EC2" w14:textId="77777777" w:rsidR="0034676E" w:rsidRDefault="0034676E">
      <w:pPr>
        <w:spacing w:before="0" w:beforeAutospacing="0" w:after="160"/>
      </w:pPr>
      <w:r>
        <w:br w:type="page"/>
      </w:r>
    </w:p>
    <w:p w14:paraId="4DCCC76B" w14:textId="2F0DB952" w:rsidR="00B72D78" w:rsidRDefault="00C96AD0" w:rsidP="00D512B4">
      <w:pPr>
        <w:pStyle w:val="Heading2"/>
      </w:pPr>
      <w:r w:rsidRPr="00E24AFF">
        <w:lastRenderedPageBreak/>
        <w:t xml:space="preserve">WA </w:t>
      </w:r>
      <w:r w:rsidR="00235D77" w:rsidRPr="00E24AFF">
        <w:t>p</w:t>
      </w:r>
      <w:r w:rsidRPr="00E24AFF">
        <w:t xml:space="preserve">ublic </w:t>
      </w:r>
      <w:r w:rsidR="00235D77" w:rsidRPr="00E24AFF">
        <w:t>s</w:t>
      </w:r>
      <w:r w:rsidRPr="00E24AFF">
        <w:t xml:space="preserve">ector </w:t>
      </w:r>
      <w:r w:rsidR="00A966F1" w:rsidRPr="00E24AFF">
        <w:t xml:space="preserve">agencies’ </w:t>
      </w:r>
      <w:r w:rsidRPr="00E24AFF">
        <w:t>staffing levels</w:t>
      </w:r>
    </w:p>
    <w:tbl>
      <w:tblPr>
        <w:tblStyle w:val="CommissionTable1"/>
        <w:tblW w:w="9605" w:type="dxa"/>
        <w:tblInd w:w="-10" w:type="dxa"/>
        <w:tblBorders>
          <w:top w:val="single" w:sz="8" w:space="0" w:color="2B9947"/>
          <w:left w:val="single" w:sz="8" w:space="0" w:color="2B9947"/>
          <w:bottom w:val="single" w:sz="8" w:space="0" w:color="2B9947"/>
          <w:right w:val="single" w:sz="8" w:space="0" w:color="2B9947"/>
          <w:insideH w:val="single" w:sz="8" w:space="0" w:color="2B9947"/>
          <w:insideV w:val="single" w:sz="8" w:space="0" w:color="2B9947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417"/>
        <w:gridCol w:w="1276"/>
        <w:gridCol w:w="1559"/>
        <w:gridCol w:w="1667"/>
      </w:tblGrid>
      <w:tr w:rsidR="00570FFE" w:rsidRPr="003D7A16" w14:paraId="4EDFC1D0" w14:textId="77777777" w:rsidTr="00570F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5"/>
          <w:tblHeader/>
        </w:trPr>
        <w:tc>
          <w:tcPr>
            <w:tcW w:w="3686" w:type="dxa"/>
            <w:tcBorders>
              <w:bottom w:val="single" w:sz="8" w:space="0" w:color="2B9947"/>
              <w:right w:val="single" w:sz="8" w:space="0" w:color="FFFFFF" w:themeColor="background1"/>
            </w:tcBorders>
            <w:hideMark/>
          </w:tcPr>
          <w:p w14:paraId="0E04D857" w14:textId="77777777" w:rsidR="004970D8" w:rsidRPr="00570FFE" w:rsidRDefault="004970D8" w:rsidP="00DF1128">
            <w:pPr>
              <w:spacing w:before="60" w:beforeAutospacing="0" w:after="60"/>
              <w:ind w:right="-63"/>
              <w:contextualSpacing w:val="0"/>
              <w:jc w:val="center"/>
              <w:rPr>
                <w:b w:val="0"/>
                <w:color w:val="FFFFFF" w:themeColor="background1"/>
              </w:rPr>
            </w:pPr>
            <w:r w:rsidRPr="00570FFE">
              <w:rPr>
                <w:b w:val="0"/>
                <w:color w:val="FFFFFF" w:themeColor="background1"/>
              </w:rPr>
              <w:t>Agency</w:t>
            </w:r>
          </w:p>
        </w:tc>
        <w:tc>
          <w:tcPr>
            <w:tcW w:w="1417" w:type="dxa"/>
            <w:tcBorders>
              <w:left w:val="single" w:sz="8" w:space="0" w:color="FFFFFF" w:themeColor="background1"/>
              <w:bottom w:val="single" w:sz="8" w:space="0" w:color="2B9947"/>
              <w:right w:val="single" w:sz="8" w:space="0" w:color="FFFFFF" w:themeColor="background1"/>
            </w:tcBorders>
          </w:tcPr>
          <w:p w14:paraId="7045C802" w14:textId="6CB9E19B" w:rsidR="004970D8" w:rsidRPr="00570FFE" w:rsidRDefault="00570FFE" w:rsidP="00570FFE">
            <w:pPr>
              <w:spacing w:before="60" w:beforeAutospacing="0" w:after="60"/>
              <w:jc w:val="center"/>
              <w:rPr>
                <w:b w:val="0"/>
                <w:color w:val="FFFFFF" w:themeColor="background1"/>
              </w:rPr>
            </w:pPr>
            <w:r>
              <w:rPr>
                <w:b w:val="0"/>
                <w:color w:val="FFFFFF" w:themeColor="background1"/>
              </w:rPr>
              <w:t>H</w:t>
            </w:r>
            <w:r w:rsidR="004970D8" w:rsidRPr="00570FFE">
              <w:rPr>
                <w:b w:val="0"/>
                <w:color w:val="FFFFFF" w:themeColor="background1"/>
              </w:rPr>
              <w:t>eadcount</w:t>
            </w:r>
            <w:r w:rsidRPr="00570FFE">
              <w:rPr>
                <w:b w:val="0"/>
                <w:color w:val="FFFFFF" w:themeColor="background1"/>
              </w:rPr>
              <w:t xml:space="preserve"> Mar</w:t>
            </w:r>
            <w:r>
              <w:rPr>
                <w:b w:val="0"/>
                <w:color w:val="FFFFFF" w:themeColor="background1"/>
              </w:rPr>
              <w:t>ch</w:t>
            </w:r>
            <w:r w:rsidRPr="00C12250">
              <w:rPr>
                <w:b w:val="0"/>
                <w:color w:val="FFFFFF" w:themeColor="background1"/>
              </w:rPr>
              <w:t xml:space="preserve"> </w:t>
            </w:r>
            <w:r w:rsidRPr="00570FFE">
              <w:rPr>
                <w:b w:val="0"/>
                <w:color w:val="FFFFFF" w:themeColor="background1"/>
              </w:rPr>
              <w:t>25</w:t>
            </w:r>
          </w:p>
        </w:tc>
        <w:tc>
          <w:tcPr>
            <w:tcW w:w="1276" w:type="dxa"/>
            <w:tcBorders>
              <w:left w:val="single" w:sz="8" w:space="0" w:color="FFFFFF" w:themeColor="background1"/>
              <w:bottom w:val="single" w:sz="8" w:space="0" w:color="2B9947"/>
              <w:right w:val="single" w:sz="8" w:space="0" w:color="FFFFFF" w:themeColor="background1"/>
            </w:tcBorders>
          </w:tcPr>
          <w:p w14:paraId="30F904DA" w14:textId="77777777" w:rsidR="00570FFE" w:rsidRDefault="00570FFE" w:rsidP="006A4577">
            <w:pPr>
              <w:spacing w:before="60" w:beforeAutospacing="0" w:after="60"/>
              <w:jc w:val="center"/>
              <w:rPr>
                <w:color w:val="FFFFFF" w:themeColor="background1"/>
              </w:rPr>
            </w:pPr>
            <w:r w:rsidRPr="00570FFE">
              <w:rPr>
                <w:b w:val="0"/>
                <w:color w:val="FFFFFF" w:themeColor="background1"/>
              </w:rPr>
              <w:t xml:space="preserve">FTE </w:t>
            </w:r>
          </w:p>
          <w:p w14:paraId="65EF3913" w14:textId="73912773" w:rsidR="004970D8" w:rsidRPr="00570FFE" w:rsidRDefault="00450A20" w:rsidP="00570FFE">
            <w:pPr>
              <w:spacing w:before="60" w:beforeAutospacing="0" w:after="60"/>
              <w:jc w:val="center"/>
              <w:rPr>
                <w:b w:val="0"/>
                <w:color w:val="FFFFFF" w:themeColor="background1"/>
              </w:rPr>
            </w:pPr>
            <w:r w:rsidRPr="00570FFE">
              <w:rPr>
                <w:b w:val="0"/>
                <w:color w:val="FFFFFF" w:themeColor="background1"/>
              </w:rPr>
              <w:t>Mar</w:t>
            </w:r>
            <w:r w:rsidR="00570FFE">
              <w:rPr>
                <w:b w:val="0"/>
                <w:color w:val="FFFFFF" w:themeColor="background1"/>
              </w:rPr>
              <w:t xml:space="preserve">ch </w:t>
            </w:r>
            <w:r w:rsidR="001308FA" w:rsidRPr="00570FFE">
              <w:rPr>
                <w:b w:val="0"/>
                <w:color w:val="FFFFFF" w:themeColor="background1"/>
              </w:rPr>
              <w:t>2</w:t>
            </w:r>
            <w:r w:rsidR="00774810" w:rsidRPr="00570FFE">
              <w:rPr>
                <w:b w:val="0"/>
                <w:color w:val="FFFFFF" w:themeColor="background1"/>
              </w:rPr>
              <w:t>5</w:t>
            </w:r>
          </w:p>
        </w:tc>
        <w:tc>
          <w:tcPr>
            <w:tcW w:w="1559" w:type="dxa"/>
            <w:tcBorders>
              <w:left w:val="single" w:sz="8" w:space="0" w:color="FFFFFF" w:themeColor="background1"/>
              <w:bottom w:val="single" w:sz="8" w:space="0" w:color="2B9947"/>
              <w:right w:val="single" w:sz="8" w:space="0" w:color="FFFFFF" w:themeColor="background1"/>
            </w:tcBorders>
            <w:hideMark/>
          </w:tcPr>
          <w:p w14:paraId="16733DD4" w14:textId="02BFDB20" w:rsidR="004970D8" w:rsidRPr="00570FFE" w:rsidRDefault="004970D8" w:rsidP="003D7A16">
            <w:pPr>
              <w:spacing w:before="60" w:beforeAutospacing="0" w:after="60"/>
              <w:jc w:val="right"/>
              <w:rPr>
                <w:b w:val="0"/>
                <w:color w:val="FFFFFF" w:themeColor="background1"/>
              </w:rPr>
            </w:pPr>
            <w:r w:rsidRPr="00570FFE">
              <w:rPr>
                <w:b w:val="0"/>
                <w:color w:val="FFFFFF" w:themeColor="background1"/>
              </w:rPr>
              <w:t xml:space="preserve">FTE change from </w:t>
            </w:r>
            <w:r w:rsidR="00450A20" w:rsidRPr="00570FFE">
              <w:rPr>
                <w:b w:val="0"/>
                <w:color w:val="FFFFFF" w:themeColor="background1"/>
              </w:rPr>
              <w:t>Sep</w:t>
            </w:r>
            <w:r w:rsidR="00570FFE">
              <w:rPr>
                <w:b w:val="0"/>
                <w:color w:val="FFFFFF" w:themeColor="background1"/>
              </w:rPr>
              <w:t>t</w:t>
            </w:r>
            <w:r w:rsidR="00615812" w:rsidRPr="00570FFE">
              <w:rPr>
                <w:color w:val="FFFFFF" w:themeColor="background1"/>
              </w:rPr>
              <w:t xml:space="preserve"> </w:t>
            </w:r>
            <w:r w:rsidR="00E825C0" w:rsidRPr="00570FFE">
              <w:rPr>
                <w:b w:val="0"/>
                <w:color w:val="FFFFFF" w:themeColor="background1"/>
              </w:rPr>
              <w:t>2</w:t>
            </w:r>
            <w:r w:rsidR="009A406D" w:rsidRPr="00570FFE">
              <w:rPr>
                <w:b w:val="0"/>
                <w:color w:val="FFFFFF" w:themeColor="background1"/>
              </w:rPr>
              <w:t>4</w:t>
            </w:r>
          </w:p>
        </w:tc>
        <w:tc>
          <w:tcPr>
            <w:tcW w:w="1667" w:type="dxa"/>
            <w:tcBorders>
              <w:left w:val="single" w:sz="8" w:space="0" w:color="FFFFFF" w:themeColor="background1"/>
              <w:bottom w:val="single" w:sz="8" w:space="0" w:color="2B9947"/>
            </w:tcBorders>
            <w:hideMark/>
          </w:tcPr>
          <w:p w14:paraId="5E17B74C" w14:textId="09BEE2B0" w:rsidR="004970D8" w:rsidRPr="00570FFE" w:rsidRDefault="004970D8" w:rsidP="003D7A16">
            <w:pPr>
              <w:spacing w:before="60" w:beforeAutospacing="0" w:after="60"/>
              <w:jc w:val="right"/>
              <w:rPr>
                <w:b w:val="0"/>
                <w:color w:val="FFFFFF" w:themeColor="background1"/>
              </w:rPr>
            </w:pPr>
            <w:r w:rsidRPr="00570FFE">
              <w:rPr>
                <w:b w:val="0"/>
                <w:color w:val="FFFFFF" w:themeColor="background1"/>
              </w:rPr>
              <w:t xml:space="preserve">FTE change from </w:t>
            </w:r>
            <w:r w:rsidR="00450A20" w:rsidRPr="00570FFE">
              <w:rPr>
                <w:b w:val="0"/>
                <w:color w:val="FFFFFF" w:themeColor="background1"/>
              </w:rPr>
              <w:t>Mar</w:t>
            </w:r>
            <w:r w:rsidR="00570FFE">
              <w:rPr>
                <w:b w:val="0"/>
                <w:color w:val="FFFFFF" w:themeColor="background1"/>
              </w:rPr>
              <w:t>ch</w:t>
            </w:r>
            <w:r w:rsidR="00615812" w:rsidRPr="00570FFE">
              <w:rPr>
                <w:color w:val="FFFFFF" w:themeColor="background1"/>
              </w:rPr>
              <w:t xml:space="preserve"> </w:t>
            </w:r>
            <w:r w:rsidR="001C7E5E" w:rsidRPr="00570FFE">
              <w:rPr>
                <w:b w:val="0"/>
                <w:color w:val="FFFFFF" w:themeColor="background1"/>
              </w:rPr>
              <w:t>2</w:t>
            </w:r>
            <w:r w:rsidR="00450A20" w:rsidRPr="00570FFE">
              <w:rPr>
                <w:b w:val="0"/>
                <w:color w:val="FFFFFF" w:themeColor="background1"/>
              </w:rPr>
              <w:t>4</w:t>
            </w:r>
          </w:p>
        </w:tc>
      </w:tr>
      <w:tr w:rsidR="00202E31" w:rsidRPr="000A5FBD" w14:paraId="282ABDF2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25F15ACB" w14:textId="2DBB3DBD" w:rsidR="001308FA" w:rsidRPr="006A4577" w:rsidRDefault="001308FA" w:rsidP="00DF1128">
            <w:pPr>
              <w:spacing w:beforeLines="20" w:before="48" w:beforeAutospacing="0" w:afterLines="20" w:after="48"/>
              <w:ind w:right="-63"/>
              <w:contextualSpacing w:val="0"/>
              <w:rPr>
                <w:b/>
                <w:bCs/>
                <w:color w:val="auto"/>
              </w:rPr>
            </w:pPr>
            <w:r w:rsidRPr="006A4577">
              <w:rPr>
                <w:b/>
                <w:bCs/>
                <w:color w:val="auto"/>
              </w:rPr>
              <w:t>WA public sector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3734F723" w14:textId="3DB23B0F" w:rsidR="001308FA" w:rsidRPr="000A5FBD" w:rsidRDefault="003D2AB1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b/>
                <w:bCs/>
                <w:color w:val="auto"/>
              </w:rPr>
            </w:pPr>
            <w:r w:rsidRPr="000A5FBD">
              <w:rPr>
                <w:b/>
                <w:bCs/>
                <w:color w:val="auto"/>
              </w:rPr>
              <w:t>181,145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05F9C7F2" w14:textId="21A5ADC8" w:rsidR="001308FA" w:rsidRPr="000A5FBD" w:rsidRDefault="003D2AB1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b/>
                <w:bCs/>
                <w:color w:val="auto"/>
              </w:rPr>
            </w:pPr>
            <w:r w:rsidRPr="000A5FBD">
              <w:rPr>
                <w:b/>
                <w:bCs/>
                <w:color w:val="auto"/>
              </w:rPr>
              <w:t>142,317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5A78344D" w14:textId="249E69E4" w:rsidR="001308FA" w:rsidRPr="000A5FBD" w:rsidRDefault="00F401F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b/>
                <w:bCs/>
                <w:color w:val="auto"/>
              </w:rPr>
            </w:pPr>
            <w:r w:rsidRPr="000A5FBD">
              <w:rPr>
                <w:b/>
                <w:bCs/>
                <w:color w:val="auto"/>
              </w:rPr>
              <w:t>3</w:t>
            </w:r>
            <w:r w:rsidR="003D2AB1" w:rsidRPr="000A5FBD">
              <w:rPr>
                <w:b/>
                <w:bCs/>
                <w:color w:val="auto"/>
              </w:rPr>
              <w:t>,496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507B6050" w14:textId="29B01A3F" w:rsidR="001308FA" w:rsidRPr="000A5FBD" w:rsidRDefault="003D2AB1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b/>
                <w:bCs/>
                <w:color w:val="auto"/>
              </w:rPr>
            </w:pPr>
            <w:r w:rsidRPr="000A5FBD">
              <w:rPr>
                <w:b/>
                <w:bCs/>
                <w:color w:val="auto"/>
              </w:rPr>
              <w:t>7,252</w:t>
            </w:r>
          </w:p>
        </w:tc>
      </w:tr>
      <w:tr w:rsidR="00202E31" w:rsidRPr="000A5FBD" w14:paraId="4B18AB74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0C3F5C68" w14:textId="58CFE1B7" w:rsidR="003D2AB1" w:rsidRPr="00DF1128" w:rsidRDefault="003D2AB1" w:rsidP="00DF1128">
            <w:pPr>
              <w:spacing w:beforeLines="20" w:before="48" w:beforeAutospacing="0" w:afterLines="20" w:after="48"/>
              <w:ind w:right="-63"/>
              <w:rPr>
                <w:color w:val="auto"/>
              </w:rPr>
            </w:pPr>
            <w:r w:rsidRPr="00DF1128">
              <w:rPr>
                <w:color w:val="auto"/>
              </w:rPr>
              <w:t>WA Health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75C8C032" w14:textId="21E2D9E7" w:rsidR="003D2AB1" w:rsidRPr="00DF1128" w:rsidRDefault="003D2AB1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66,983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318223C5" w14:textId="14663393" w:rsidR="003D2AB1" w:rsidRPr="00DF1128" w:rsidRDefault="003D2AB1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50,000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68A2FBBB" w14:textId="404B2B2B" w:rsidR="003D2AB1" w:rsidRPr="00DF1128" w:rsidRDefault="003D2AB1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1,971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4FA0137E" w14:textId="1EC3EB70" w:rsidR="003D2AB1" w:rsidRPr="00DF1128" w:rsidRDefault="003D2AB1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3,559</w:t>
            </w:r>
          </w:p>
        </w:tc>
      </w:tr>
      <w:tr w:rsidR="00202E31" w:rsidRPr="000A5FBD" w14:paraId="61FB5C40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1E74CF5" w14:textId="1C203956" w:rsidR="003D2AB1" w:rsidRPr="00DF1128" w:rsidRDefault="003D2AB1" w:rsidP="006A4577">
            <w:pPr>
              <w:spacing w:beforeLines="20" w:before="48" w:beforeAutospacing="0" w:afterLines="20" w:after="48"/>
              <w:ind w:left="179" w:right="-63"/>
              <w:contextualSpacing w:val="0"/>
              <w:rPr>
                <w:color w:val="auto"/>
              </w:rPr>
            </w:pPr>
            <w:r w:rsidRPr="00DF1128">
              <w:rPr>
                <w:color w:val="auto"/>
              </w:rPr>
              <w:t>WA Health (South Metropolitan Health Service)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5180438C" w14:textId="16CE3B9A" w:rsidR="003D2AB1" w:rsidRPr="00DF1128" w:rsidRDefault="003D2AB1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15,068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0AC251B" w14:textId="2FD54075" w:rsidR="003D2AB1" w:rsidRPr="00DF1128" w:rsidRDefault="003D2AB1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11,033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7184F15" w14:textId="6039700E" w:rsidR="003D2AB1" w:rsidRPr="00DF1128" w:rsidRDefault="003D2AB1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480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A9E9D09" w14:textId="5D2BE0DB" w:rsidR="003D2AB1" w:rsidRPr="00DF1128" w:rsidRDefault="003D2AB1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1,453</w:t>
            </w:r>
          </w:p>
        </w:tc>
      </w:tr>
      <w:tr w:rsidR="00202E31" w:rsidRPr="000A5FBD" w14:paraId="68F5A5AD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030EF85E" w14:textId="11E93E15" w:rsidR="003D2AB1" w:rsidRPr="00DF1128" w:rsidRDefault="003D2AB1" w:rsidP="00DF1128">
            <w:pPr>
              <w:spacing w:beforeLines="20" w:before="48" w:beforeAutospacing="0" w:afterLines="20" w:after="48"/>
              <w:ind w:left="167" w:right="-63"/>
              <w:contextualSpacing w:val="0"/>
              <w:rPr>
                <w:color w:val="auto"/>
              </w:rPr>
            </w:pPr>
            <w:r w:rsidRPr="00DF1128">
              <w:rPr>
                <w:color w:val="auto"/>
              </w:rPr>
              <w:t>WA Health (North Metropolitan Health Service)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05ADDF3" w14:textId="00D13DC5" w:rsidR="003D2AB1" w:rsidRPr="00DF1128" w:rsidRDefault="003D2AB1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14,317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901AF22" w14:textId="231688DF" w:rsidR="003D2AB1" w:rsidRPr="00DF1128" w:rsidRDefault="003D2AB1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10,641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00A8A5DD" w14:textId="7CF52383" w:rsidR="003D2AB1" w:rsidRPr="00DF1128" w:rsidRDefault="003D2AB1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448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0EFC216" w14:textId="7F21D92F" w:rsidR="003D2AB1" w:rsidRPr="00DF1128" w:rsidRDefault="003D2AB1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568</w:t>
            </w:r>
          </w:p>
        </w:tc>
      </w:tr>
      <w:tr w:rsidR="00202E31" w:rsidRPr="000A5FBD" w14:paraId="08C63CDC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32E1C16E" w14:textId="18F95952" w:rsidR="003D2AB1" w:rsidRPr="00DF1128" w:rsidRDefault="003D2AB1" w:rsidP="00DF1128">
            <w:pPr>
              <w:spacing w:beforeLines="20" w:before="48" w:beforeAutospacing="0" w:afterLines="20" w:after="48"/>
              <w:ind w:left="167" w:right="-63"/>
              <w:contextualSpacing w:val="0"/>
              <w:rPr>
                <w:color w:val="auto"/>
              </w:rPr>
            </w:pPr>
            <w:r w:rsidRPr="00DF1128">
              <w:rPr>
                <w:color w:val="auto"/>
              </w:rPr>
              <w:t>WA Health (WA Country Health Service)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19C65BCD" w14:textId="763B523B" w:rsidR="003D2AB1" w:rsidRPr="00DF1128" w:rsidRDefault="003D2AB1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12,205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9BC7BD8" w14:textId="328D879D" w:rsidR="003D2AB1" w:rsidRPr="00DF1128" w:rsidRDefault="003D2AB1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9,154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EE80C65" w14:textId="402E1B2D" w:rsidR="003D2AB1" w:rsidRPr="00DF1128" w:rsidRDefault="003D2AB1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254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730735B" w14:textId="6A692AB0" w:rsidR="003D2AB1" w:rsidRPr="00DF1128" w:rsidRDefault="003D2AB1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367</w:t>
            </w:r>
          </w:p>
        </w:tc>
      </w:tr>
      <w:tr w:rsidR="00202E31" w:rsidRPr="000A5FBD" w14:paraId="7B3CDB0E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38196C62" w14:textId="45960573" w:rsidR="003D2AB1" w:rsidRPr="006A4577" w:rsidRDefault="003D2AB1" w:rsidP="00DF1128">
            <w:pPr>
              <w:spacing w:beforeLines="20" w:before="48" w:beforeAutospacing="0" w:afterLines="20" w:after="48"/>
              <w:ind w:left="167" w:right="-63"/>
              <w:contextualSpacing w:val="0"/>
              <w:rPr>
                <w:color w:val="auto"/>
              </w:rPr>
            </w:pPr>
            <w:r w:rsidRPr="006A4577">
              <w:rPr>
                <w:color w:val="auto"/>
              </w:rPr>
              <w:t>WA Health (East Metropolitan Health Service)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25FC8BD" w14:textId="5CCE8CF5" w:rsidR="003D2AB1" w:rsidRPr="006A4577" w:rsidRDefault="003D2AB1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6A4577">
              <w:rPr>
                <w:color w:val="auto"/>
              </w:rPr>
              <w:t>11,007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FA4CC08" w14:textId="7A985924" w:rsidR="003D2AB1" w:rsidRPr="006A4577" w:rsidRDefault="003D2AB1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6A4577">
              <w:rPr>
                <w:color w:val="auto"/>
              </w:rPr>
              <w:t>8,364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03432CA" w14:textId="40C12C56" w:rsidR="003D2AB1" w:rsidRPr="006A4577" w:rsidRDefault="003D2AB1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6A4577">
              <w:rPr>
                <w:color w:val="auto"/>
              </w:rPr>
              <w:t>328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0D8D27CF" w14:textId="10E6B20D" w:rsidR="003D2AB1" w:rsidRPr="006A4577" w:rsidRDefault="003D2AB1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6A4577">
              <w:rPr>
                <w:color w:val="auto"/>
              </w:rPr>
              <w:t>475</w:t>
            </w:r>
          </w:p>
        </w:tc>
      </w:tr>
      <w:tr w:rsidR="00202E31" w:rsidRPr="000A5FBD" w14:paraId="0EF159C0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8ACA464" w14:textId="09AE43F7" w:rsidR="003D2AB1" w:rsidRPr="00DF1128" w:rsidRDefault="003D2AB1" w:rsidP="006A4577">
            <w:pPr>
              <w:spacing w:beforeLines="20" w:before="48" w:beforeAutospacing="0" w:afterLines="20" w:after="48"/>
              <w:ind w:left="167" w:right="-63"/>
              <w:contextualSpacing w:val="0"/>
              <w:rPr>
                <w:color w:val="auto"/>
              </w:rPr>
            </w:pPr>
            <w:r w:rsidRPr="00DF1128">
              <w:rPr>
                <w:color w:val="auto"/>
              </w:rPr>
              <w:t>WA Health (Child and Adolescent Health Service)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22B775B" w14:textId="7B026B31" w:rsidR="003D2AB1" w:rsidRPr="00DF1128" w:rsidRDefault="003D2AB1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7,144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188EAE89" w14:textId="41A0A261" w:rsidR="003D2AB1" w:rsidRPr="00DF1128" w:rsidRDefault="003D2AB1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5,095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34CA7465" w14:textId="78F512EE" w:rsidR="003D2AB1" w:rsidRPr="00DF1128" w:rsidRDefault="003D2AB1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203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55E00A20" w14:textId="0AE7825F" w:rsidR="003D2AB1" w:rsidRPr="00DF1128" w:rsidRDefault="003D2AB1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284</w:t>
            </w:r>
          </w:p>
        </w:tc>
      </w:tr>
      <w:tr w:rsidR="00202E31" w:rsidRPr="000A5FBD" w14:paraId="700DD88D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5C0CD258" w14:textId="1B9AB8CD" w:rsidR="003D2AB1" w:rsidRPr="006A4577" w:rsidRDefault="003D2AB1" w:rsidP="006A4577">
            <w:pPr>
              <w:spacing w:beforeLines="20" w:before="48" w:beforeAutospacing="0" w:afterLines="20" w:after="48"/>
              <w:ind w:left="167" w:right="-63"/>
              <w:contextualSpacing w:val="0"/>
              <w:rPr>
                <w:color w:val="auto"/>
              </w:rPr>
            </w:pPr>
            <w:r w:rsidRPr="006A4577">
              <w:rPr>
                <w:color w:val="auto"/>
              </w:rPr>
              <w:t>WA Health (Health Support Services)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2EE71A0" w14:textId="26D72EFD" w:rsidR="003D2AB1" w:rsidRPr="006A4577" w:rsidRDefault="003D2AB1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6A4577">
              <w:rPr>
                <w:color w:val="auto"/>
              </w:rPr>
              <w:t>3,075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08A0A66" w14:textId="4A823715" w:rsidR="003D2AB1" w:rsidRPr="006A4577" w:rsidRDefault="003D2AB1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6A4577">
              <w:rPr>
                <w:color w:val="auto"/>
              </w:rPr>
              <w:t>2,279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0ABDCDE4" w14:textId="1E5D7BCA" w:rsidR="003D2AB1" w:rsidRPr="006A4577" w:rsidRDefault="003D2AB1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6A4577">
              <w:rPr>
                <w:color w:val="auto"/>
              </w:rPr>
              <w:t>137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E904758" w14:textId="7DD691AC" w:rsidR="003D2AB1" w:rsidRPr="006A4577" w:rsidRDefault="003D2AB1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6A4577">
              <w:rPr>
                <w:color w:val="auto"/>
              </w:rPr>
              <w:t>203</w:t>
            </w:r>
          </w:p>
        </w:tc>
      </w:tr>
      <w:tr w:rsidR="00202E31" w:rsidRPr="000A5FBD" w14:paraId="67AD882E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5E399467" w14:textId="197F1AB6" w:rsidR="003D2AB1" w:rsidRPr="006A4577" w:rsidRDefault="003D2AB1" w:rsidP="006A4577">
            <w:pPr>
              <w:spacing w:beforeLines="20" w:before="48" w:beforeAutospacing="0" w:afterLines="20" w:after="48"/>
              <w:ind w:left="167" w:right="-63"/>
              <w:contextualSpacing w:val="0"/>
              <w:rPr>
                <w:color w:val="auto"/>
              </w:rPr>
            </w:pPr>
            <w:r w:rsidRPr="006A4577">
              <w:rPr>
                <w:color w:val="auto"/>
              </w:rPr>
              <w:t>WA Health (PathWest)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1FF24EF" w14:textId="283260E0" w:rsidR="003D2AB1" w:rsidRPr="006A4577" w:rsidRDefault="003D2AB1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6A4577">
              <w:rPr>
                <w:color w:val="auto"/>
              </w:rPr>
              <w:t>2,582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1438C5C9" w14:textId="0088044A" w:rsidR="003D2AB1" w:rsidRPr="006A4577" w:rsidRDefault="003D2AB1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6A4577">
              <w:rPr>
                <w:color w:val="auto"/>
              </w:rPr>
              <w:t>2,058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1086524" w14:textId="6DFE0F0F" w:rsidR="003D2AB1" w:rsidRPr="006A4577" w:rsidRDefault="003D2AB1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6A4577">
              <w:rPr>
                <w:color w:val="auto"/>
              </w:rPr>
              <w:t>30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1A1D0DF7" w14:textId="4D4F5F27" w:rsidR="003D2AB1" w:rsidRPr="006A4577" w:rsidRDefault="003D2AB1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6A4577">
              <w:rPr>
                <w:color w:val="auto"/>
              </w:rPr>
              <w:t>61</w:t>
            </w:r>
          </w:p>
        </w:tc>
      </w:tr>
      <w:tr w:rsidR="00202E31" w:rsidRPr="000A5FBD" w14:paraId="186A1ECC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074E498C" w14:textId="2B1A9B2F" w:rsidR="003D2AB1" w:rsidRPr="00DF1128" w:rsidRDefault="003D2AB1" w:rsidP="006A4577">
            <w:pPr>
              <w:spacing w:beforeLines="20" w:before="48" w:beforeAutospacing="0" w:afterLines="20" w:after="48"/>
              <w:ind w:left="167" w:right="-63"/>
              <w:contextualSpacing w:val="0"/>
              <w:rPr>
                <w:color w:val="auto"/>
              </w:rPr>
            </w:pPr>
            <w:r w:rsidRPr="00DF1128">
              <w:rPr>
                <w:color w:val="auto"/>
              </w:rPr>
              <w:t>WA Health (Department of Health)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168247F" w14:textId="2FBB375C" w:rsidR="003D2AB1" w:rsidRPr="00DF1128" w:rsidRDefault="003D2AB1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1,585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34D1585" w14:textId="7D192E52" w:rsidR="003D2AB1" w:rsidRPr="00DF1128" w:rsidRDefault="003D2AB1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1,376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F3F730B" w14:textId="71380164" w:rsidR="003D2AB1" w:rsidRPr="00DF1128" w:rsidRDefault="003D2AB1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91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02D6434" w14:textId="18D3E34C" w:rsidR="003D2AB1" w:rsidRPr="00DF1128" w:rsidRDefault="003D2AB1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148</w:t>
            </w:r>
          </w:p>
        </w:tc>
      </w:tr>
      <w:tr w:rsidR="00202E31" w:rsidRPr="000A5FBD" w14:paraId="619ADB29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237625EB" w14:textId="3A480CF0" w:rsidR="003D2AB1" w:rsidRPr="006A4577" w:rsidRDefault="003D2AB1" w:rsidP="006A4577">
            <w:pPr>
              <w:spacing w:beforeLines="20" w:before="48" w:beforeAutospacing="0" w:afterLines="20" w:after="48"/>
              <w:ind w:right="-63"/>
              <w:rPr>
                <w:color w:val="auto"/>
              </w:rPr>
            </w:pPr>
            <w:r w:rsidRPr="006A4577">
              <w:rPr>
                <w:color w:val="auto"/>
              </w:rPr>
              <w:t>Department of Education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06996165" w14:textId="3C4790ED" w:rsidR="003D2AB1" w:rsidRPr="006A4577" w:rsidRDefault="003D2AB1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6A4577">
              <w:rPr>
                <w:color w:val="auto"/>
              </w:rPr>
              <w:t>62,836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453A1BEF" w14:textId="4A12FCC5" w:rsidR="003D2AB1" w:rsidRPr="006A4577" w:rsidRDefault="003D2AB1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6A4577">
              <w:rPr>
                <w:color w:val="auto"/>
              </w:rPr>
              <w:t>46,895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614E7B29" w14:textId="697E7BB7" w:rsidR="003D2AB1" w:rsidRPr="006A4577" w:rsidRDefault="003D2AB1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6A4577">
              <w:rPr>
                <w:color w:val="auto"/>
              </w:rPr>
              <w:t>155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1AD7BDD9" w14:textId="775E2219" w:rsidR="003D2AB1" w:rsidRPr="006A4577" w:rsidRDefault="003D2AB1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6A4577">
              <w:rPr>
                <w:color w:val="auto"/>
              </w:rPr>
              <w:t>1,423</w:t>
            </w:r>
          </w:p>
        </w:tc>
      </w:tr>
      <w:tr w:rsidR="00202E31" w:rsidRPr="000A5FBD" w14:paraId="20FEE38E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D132ED6" w14:textId="273135F5" w:rsidR="003D2AB1" w:rsidRPr="00DF1128" w:rsidRDefault="003D2AB1" w:rsidP="006A4577">
            <w:pPr>
              <w:spacing w:beforeLines="20" w:before="48" w:beforeAutospacing="0" w:afterLines="20" w:after="48"/>
              <w:ind w:right="-63"/>
              <w:contextualSpacing w:val="0"/>
              <w:rPr>
                <w:color w:val="auto"/>
              </w:rPr>
            </w:pPr>
            <w:r w:rsidRPr="00DF1128">
              <w:rPr>
                <w:color w:val="auto"/>
              </w:rPr>
              <w:t>Department of Justice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3F8A852" w14:textId="208F9909" w:rsidR="003D2AB1" w:rsidRPr="00DF1128" w:rsidRDefault="003D2AB1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8,300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55E572A" w14:textId="5577F60B" w:rsidR="003D2AB1" w:rsidRPr="00DF1128" w:rsidRDefault="003D2AB1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7,630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F42A606" w14:textId="5325A007" w:rsidR="003D2AB1" w:rsidRPr="00DF1128" w:rsidRDefault="003D2AB1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320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AE7FDC3" w14:textId="6EFC6F03" w:rsidR="003D2AB1" w:rsidRPr="00DF1128" w:rsidRDefault="003D2AB1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578</w:t>
            </w:r>
          </w:p>
        </w:tc>
      </w:tr>
      <w:tr w:rsidR="00202E31" w:rsidRPr="000A5FBD" w14:paraId="1C1604C0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D6C7D86" w14:textId="786F89E2" w:rsidR="003D2AB1" w:rsidRPr="006A4577" w:rsidRDefault="003D2AB1" w:rsidP="00DF1128">
            <w:pPr>
              <w:spacing w:beforeLines="20" w:before="48" w:beforeAutospacing="0" w:afterLines="20" w:after="48"/>
              <w:ind w:right="-63"/>
              <w:contextualSpacing w:val="0"/>
              <w:rPr>
                <w:color w:val="auto"/>
              </w:rPr>
            </w:pPr>
            <w:r w:rsidRPr="006A4577">
              <w:rPr>
                <w:color w:val="auto"/>
              </w:rPr>
              <w:t>Department of Communities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6186DB2" w14:textId="3FEEA5F1" w:rsidR="003D2AB1" w:rsidRPr="006A4577" w:rsidRDefault="003D2AB1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6A4577">
              <w:rPr>
                <w:color w:val="auto"/>
              </w:rPr>
              <w:t>6,810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23534C9" w14:textId="7626F416" w:rsidR="003D2AB1" w:rsidRPr="006A4577" w:rsidRDefault="003D2AB1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6A4577">
              <w:rPr>
                <w:color w:val="auto"/>
              </w:rPr>
              <w:t>6,021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E36C4E1" w14:textId="059622AA" w:rsidR="003D2AB1" w:rsidRPr="006A4577" w:rsidRDefault="003D2AB1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6A4577">
              <w:rPr>
                <w:color w:val="auto"/>
              </w:rPr>
              <w:t>73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62BDEFA" w14:textId="3A82FBA2" w:rsidR="003D2AB1" w:rsidRPr="006A4577" w:rsidRDefault="003D2AB1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6A4577">
              <w:rPr>
                <w:color w:val="auto"/>
              </w:rPr>
              <w:t>182</w:t>
            </w:r>
          </w:p>
        </w:tc>
      </w:tr>
      <w:tr w:rsidR="00202E31" w:rsidRPr="000A5FBD" w14:paraId="776B8BC9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13C0EAC2" w14:textId="0FB0AEBD" w:rsidR="003D2AB1" w:rsidRPr="006A4577" w:rsidRDefault="003D2AB1" w:rsidP="00DF1128">
            <w:pPr>
              <w:spacing w:beforeLines="20" w:before="48" w:beforeAutospacing="0" w:afterLines="20" w:after="48"/>
              <w:ind w:right="-63"/>
              <w:contextualSpacing w:val="0"/>
              <w:rPr>
                <w:color w:val="auto"/>
              </w:rPr>
            </w:pPr>
            <w:r w:rsidRPr="006A4577">
              <w:rPr>
                <w:color w:val="auto"/>
              </w:rPr>
              <w:t>Western Australia Police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AFAC002" w14:textId="4160E6D1" w:rsidR="003D2AB1" w:rsidRPr="006A4577" w:rsidRDefault="003D2AB1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6A4577">
              <w:rPr>
                <w:color w:val="auto"/>
              </w:rPr>
              <w:t>3,074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30A4FB06" w14:textId="4F6EE601" w:rsidR="003D2AB1" w:rsidRPr="006A4577" w:rsidRDefault="003D2AB1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6A4577">
              <w:rPr>
                <w:color w:val="auto"/>
              </w:rPr>
              <w:t>2,283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43ED70B" w14:textId="3CFBF7ED" w:rsidR="003D2AB1" w:rsidRPr="006A4577" w:rsidRDefault="003D2AB1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6A4577">
              <w:rPr>
                <w:color w:val="auto"/>
              </w:rPr>
              <w:t>36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39CC8DE0" w14:textId="5A61799E" w:rsidR="003D2AB1" w:rsidRPr="006A4577" w:rsidRDefault="003D2AB1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6A4577">
              <w:rPr>
                <w:color w:val="auto"/>
              </w:rPr>
              <w:t>17</w:t>
            </w:r>
          </w:p>
        </w:tc>
      </w:tr>
      <w:tr w:rsidR="00202E31" w:rsidRPr="000A5FBD" w14:paraId="363B1F35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3DE8DCF" w14:textId="275BD63D" w:rsidR="003D2AB1" w:rsidRPr="006A4577" w:rsidRDefault="003D2AB1" w:rsidP="00DF1128">
            <w:pPr>
              <w:spacing w:beforeLines="20" w:before="48" w:beforeAutospacing="0" w:afterLines="20" w:after="48"/>
              <w:ind w:right="-63"/>
              <w:contextualSpacing w:val="0"/>
              <w:rPr>
                <w:color w:val="auto"/>
              </w:rPr>
            </w:pPr>
            <w:r w:rsidRPr="006A4577">
              <w:rPr>
                <w:color w:val="auto"/>
              </w:rPr>
              <w:t>Public Transport Authority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3BF33EB4" w14:textId="47C9514C" w:rsidR="003D2AB1" w:rsidRPr="006A4577" w:rsidRDefault="003D2AB1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6A4577">
              <w:rPr>
                <w:color w:val="auto"/>
              </w:rPr>
              <w:t>2,920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DB946A5" w14:textId="6C7A917F" w:rsidR="003D2AB1" w:rsidRPr="006A4577" w:rsidRDefault="003D2AB1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6A4577">
              <w:rPr>
                <w:color w:val="auto"/>
              </w:rPr>
              <w:t>2,806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7D81E2E" w14:textId="27311CCA" w:rsidR="003D2AB1" w:rsidRPr="006A4577" w:rsidRDefault="003D2AB1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6A4577">
              <w:rPr>
                <w:color w:val="auto"/>
              </w:rPr>
              <w:t>137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90A9677" w14:textId="48B4BC7C" w:rsidR="003D2AB1" w:rsidRPr="006A4577" w:rsidRDefault="003D2AB1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6A4577">
              <w:rPr>
                <w:color w:val="auto"/>
              </w:rPr>
              <w:t>254</w:t>
            </w:r>
          </w:p>
        </w:tc>
      </w:tr>
      <w:tr w:rsidR="00202E31" w:rsidRPr="000A5FBD" w14:paraId="5C94326D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15291524" w14:textId="0FCF2C1A" w:rsidR="003D2AB1" w:rsidRPr="006A4577" w:rsidRDefault="003D2AB1" w:rsidP="006A4577">
            <w:pPr>
              <w:spacing w:beforeLines="20" w:before="48" w:beforeAutospacing="0" w:afterLines="20" w:after="48"/>
              <w:ind w:right="-63"/>
              <w:contextualSpacing w:val="0"/>
              <w:rPr>
                <w:color w:val="auto"/>
              </w:rPr>
            </w:pPr>
            <w:r w:rsidRPr="006A4577">
              <w:rPr>
                <w:color w:val="auto"/>
              </w:rPr>
              <w:t>Department of Biodiversity, Conservation and Attractions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41CB43B" w14:textId="11409998" w:rsidR="003D2AB1" w:rsidRPr="006A4577" w:rsidRDefault="003D2AB1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6A4577">
              <w:rPr>
                <w:color w:val="auto"/>
              </w:rPr>
              <w:t>2,711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3C3B3771" w14:textId="352CACE0" w:rsidR="003D2AB1" w:rsidRPr="006A4577" w:rsidRDefault="003D2AB1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6A4577">
              <w:rPr>
                <w:color w:val="auto"/>
              </w:rPr>
              <w:t>2,342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6CAB521" w14:textId="50B86DA8" w:rsidR="003D2AB1" w:rsidRPr="006A4577" w:rsidRDefault="003D2AB1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6A4577">
              <w:rPr>
                <w:color w:val="auto"/>
              </w:rPr>
              <w:t>136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9938CFA" w14:textId="7B76452B" w:rsidR="003D2AB1" w:rsidRPr="006A4577" w:rsidRDefault="003D2AB1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6A4577">
              <w:rPr>
                <w:color w:val="auto"/>
              </w:rPr>
              <w:t>134</w:t>
            </w:r>
          </w:p>
        </w:tc>
      </w:tr>
      <w:tr w:rsidR="00202E31" w:rsidRPr="000A5FBD" w14:paraId="7F9F80A4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3C5F771C" w14:textId="1B1A6ECF" w:rsidR="003D2AB1" w:rsidRPr="006A4577" w:rsidRDefault="003D2AB1" w:rsidP="006A4577">
            <w:pPr>
              <w:spacing w:beforeLines="20" w:before="48" w:beforeAutospacing="0" w:afterLines="20" w:after="48"/>
              <w:ind w:right="-63"/>
              <w:contextualSpacing w:val="0"/>
              <w:rPr>
                <w:color w:val="auto"/>
              </w:rPr>
            </w:pPr>
            <w:r w:rsidRPr="006A4577">
              <w:rPr>
                <w:color w:val="auto"/>
              </w:rPr>
              <w:t>Department of Primary Industries and Regional Development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35693C26" w14:textId="76511802" w:rsidR="003D2AB1" w:rsidRPr="006A4577" w:rsidRDefault="003D2AB1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6A4577">
              <w:rPr>
                <w:color w:val="auto"/>
              </w:rPr>
              <w:t>2,195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1354284" w14:textId="0DF0CB0B" w:rsidR="003D2AB1" w:rsidRPr="006A4577" w:rsidRDefault="003D2AB1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6A4577">
              <w:rPr>
                <w:color w:val="auto"/>
              </w:rPr>
              <w:t>1,982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13458B16" w14:textId="22E2401C" w:rsidR="003D2AB1" w:rsidRPr="006A4577" w:rsidRDefault="003D2AB1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6A4577">
              <w:rPr>
                <w:color w:val="auto"/>
              </w:rPr>
              <w:t>14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DF58941" w14:textId="20C3509D" w:rsidR="003D2AB1" w:rsidRPr="006A4577" w:rsidRDefault="003D2AB1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6A4577">
              <w:rPr>
                <w:color w:val="auto"/>
              </w:rPr>
              <w:t>28</w:t>
            </w:r>
          </w:p>
        </w:tc>
      </w:tr>
      <w:tr w:rsidR="00202E31" w:rsidRPr="000A5FBD" w14:paraId="41E60B24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5170180" w14:textId="57B02D97" w:rsidR="003D2AB1" w:rsidRPr="006A4577" w:rsidRDefault="003D2AB1" w:rsidP="006A4577">
            <w:pPr>
              <w:spacing w:beforeLines="20" w:before="48" w:beforeAutospacing="0" w:afterLines="20" w:after="48"/>
              <w:ind w:right="-63"/>
              <w:contextualSpacing w:val="0"/>
              <w:rPr>
                <w:color w:val="auto"/>
              </w:rPr>
            </w:pPr>
            <w:r w:rsidRPr="006A4577">
              <w:rPr>
                <w:color w:val="auto"/>
              </w:rPr>
              <w:t>Department of Energy, Mines, Industry Regulation and Safety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EA150F4" w14:textId="201302FC" w:rsidR="003D2AB1" w:rsidRPr="006A4577" w:rsidRDefault="003D2AB1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6A4577">
              <w:rPr>
                <w:color w:val="auto"/>
              </w:rPr>
              <w:t>2,076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0DABAF75" w14:textId="69AA2B47" w:rsidR="003D2AB1" w:rsidRPr="006A4577" w:rsidRDefault="003D2AB1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6A4577">
              <w:rPr>
                <w:color w:val="auto"/>
              </w:rPr>
              <w:t>1,903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0E76D713" w14:textId="600C7366" w:rsidR="003D2AB1" w:rsidRPr="006A4577" w:rsidRDefault="003D2AB1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6A4577">
              <w:rPr>
                <w:color w:val="auto"/>
              </w:rPr>
              <w:t>58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0025B6E4" w14:textId="0B42EF4B" w:rsidR="003D2AB1" w:rsidRPr="006A4577" w:rsidRDefault="003D2AB1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6A4577">
              <w:rPr>
                <w:color w:val="auto"/>
              </w:rPr>
              <w:t>118</w:t>
            </w:r>
          </w:p>
        </w:tc>
      </w:tr>
      <w:tr w:rsidR="00202E31" w:rsidRPr="000A5FBD" w14:paraId="3C0BE4F2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31463467" w14:textId="4A0E592D" w:rsidR="001937BA" w:rsidRPr="006A4577" w:rsidRDefault="001937BA" w:rsidP="006A4577">
            <w:pPr>
              <w:spacing w:beforeLines="20" w:before="48" w:beforeAutospacing="0" w:afterLines="20" w:after="48"/>
              <w:ind w:right="-63"/>
              <w:contextualSpacing w:val="0"/>
              <w:rPr>
                <w:color w:val="auto"/>
              </w:rPr>
            </w:pPr>
            <w:r w:rsidRPr="006A4577">
              <w:rPr>
                <w:color w:val="auto"/>
              </w:rPr>
              <w:t>Department of Transport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D5530DA" w14:textId="181FD62A" w:rsidR="001937BA" w:rsidRPr="006A4577" w:rsidRDefault="001937BA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6A4577">
              <w:rPr>
                <w:color w:val="auto"/>
              </w:rPr>
              <w:t>1,991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8400870" w14:textId="1C924123" w:rsidR="001937BA" w:rsidRPr="006A4577" w:rsidRDefault="001937BA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6A4577">
              <w:rPr>
                <w:color w:val="auto"/>
              </w:rPr>
              <w:t>1,822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B90AA98" w14:textId="43391150" w:rsidR="001937BA" w:rsidRPr="006A4577" w:rsidRDefault="001937BA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6A4577">
              <w:rPr>
                <w:color w:val="auto"/>
              </w:rPr>
              <w:t>123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07ED7771" w14:textId="3DF24875" w:rsidR="001937BA" w:rsidRPr="006A4577" w:rsidRDefault="001937BA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6A4577">
              <w:rPr>
                <w:color w:val="auto"/>
              </w:rPr>
              <w:t>252</w:t>
            </w:r>
          </w:p>
        </w:tc>
      </w:tr>
      <w:tr w:rsidR="00202E31" w:rsidRPr="000A5FBD" w14:paraId="5659F064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1DBDAF13" w14:textId="7EFD0D9F" w:rsidR="001937BA" w:rsidRPr="006A4577" w:rsidRDefault="001937BA" w:rsidP="006A4577">
            <w:pPr>
              <w:spacing w:beforeLines="20" w:before="48" w:beforeAutospacing="0" w:afterLines="20" w:after="48"/>
              <w:ind w:right="-63"/>
              <w:rPr>
                <w:color w:val="auto"/>
              </w:rPr>
            </w:pPr>
            <w:r w:rsidRPr="006A4577">
              <w:rPr>
                <w:color w:val="auto"/>
              </w:rPr>
              <w:t>Department of Fire and Emergency Services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10F22A3F" w14:textId="1867C102" w:rsidR="001937BA" w:rsidRPr="006A4577" w:rsidRDefault="001937BA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6A4577">
              <w:rPr>
                <w:color w:val="auto"/>
              </w:rPr>
              <w:t>1,967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354B6B29" w14:textId="31D9A393" w:rsidR="001937BA" w:rsidRPr="006A4577" w:rsidRDefault="001937BA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6A4577">
              <w:rPr>
                <w:color w:val="auto"/>
              </w:rPr>
              <w:t>1,829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295AC72F" w14:textId="1FB16E59" w:rsidR="001937BA" w:rsidRPr="006A4577" w:rsidRDefault="001937BA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6A4577">
              <w:rPr>
                <w:color w:val="auto"/>
              </w:rPr>
              <w:t>81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1A980DE6" w14:textId="44AD2C2A" w:rsidR="001937BA" w:rsidRPr="006A4577" w:rsidRDefault="001937BA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6A4577">
              <w:rPr>
                <w:color w:val="auto"/>
              </w:rPr>
              <w:t>25</w:t>
            </w:r>
          </w:p>
        </w:tc>
      </w:tr>
      <w:tr w:rsidR="00202E31" w:rsidRPr="000A5FBD" w14:paraId="71286976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F5AE8EA" w14:textId="28ED7453" w:rsidR="001937BA" w:rsidRPr="006A4577" w:rsidRDefault="001937BA" w:rsidP="006A4577">
            <w:pPr>
              <w:spacing w:beforeLines="20" w:before="48" w:beforeAutospacing="0" w:afterLines="20" w:after="48"/>
              <w:ind w:right="-63"/>
              <w:contextualSpacing w:val="0"/>
              <w:rPr>
                <w:color w:val="auto"/>
              </w:rPr>
            </w:pPr>
            <w:r w:rsidRPr="006A4577">
              <w:rPr>
                <w:color w:val="auto"/>
              </w:rPr>
              <w:t>Main Roads Western Australia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DA61A0C" w14:textId="5F642298" w:rsidR="001937BA" w:rsidRPr="006A4577" w:rsidRDefault="001937BA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6A4577">
              <w:rPr>
                <w:color w:val="auto"/>
              </w:rPr>
              <w:t>1,944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8420B4F" w14:textId="0564F94D" w:rsidR="001937BA" w:rsidRPr="006A4577" w:rsidRDefault="001937BA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6A4577">
              <w:rPr>
                <w:color w:val="auto"/>
              </w:rPr>
              <w:t>1,854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18B8C472" w14:textId="207DA43D" w:rsidR="001937BA" w:rsidRPr="006A4577" w:rsidRDefault="001937BA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6A4577">
              <w:rPr>
                <w:color w:val="auto"/>
              </w:rPr>
              <w:t>116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03550EE0" w14:textId="51FFCF25" w:rsidR="001937BA" w:rsidRPr="006A4577" w:rsidRDefault="001937BA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6A4577">
              <w:rPr>
                <w:color w:val="auto"/>
              </w:rPr>
              <w:t>145</w:t>
            </w:r>
          </w:p>
        </w:tc>
      </w:tr>
      <w:tr w:rsidR="00202E31" w:rsidRPr="000A5FBD" w14:paraId="2EF1D96A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CDBDBA5" w14:textId="2E9D79DB" w:rsidR="001937BA" w:rsidRPr="006A4577" w:rsidRDefault="001937BA" w:rsidP="001F4FA6">
            <w:pPr>
              <w:spacing w:beforeLines="20" w:before="48" w:beforeAutospacing="0" w:afterLines="20" w:after="48"/>
              <w:ind w:right="-63"/>
              <w:contextualSpacing w:val="0"/>
              <w:rPr>
                <w:color w:val="auto"/>
              </w:rPr>
            </w:pPr>
            <w:r w:rsidRPr="006A4577">
              <w:rPr>
                <w:color w:val="auto"/>
              </w:rPr>
              <w:t>North Metropolitan TAFE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9863164" w14:textId="1F901C41" w:rsidR="001937BA" w:rsidRPr="006A4577" w:rsidRDefault="001937BA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6A4577">
              <w:rPr>
                <w:color w:val="auto"/>
              </w:rPr>
              <w:t>1,723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3C21AB43" w14:textId="0DBCA99C" w:rsidR="001937BA" w:rsidRPr="006A4577" w:rsidRDefault="001937BA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6A4577">
              <w:rPr>
                <w:color w:val="auto"/>
              </w:rPr>
              <w:t>1,385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2B3EC53" w14:textId="1F255003" w:rsidR="001937BA" w:rsidRPr="006A4577" w:rsidRDefault="001937BA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6A4577">
              <w:rPr>
                <w:color w:val="auto"/>
              </w:rPr>
              <w:t>32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B7E14D3" w14:textId="1727B977" w:rsidR="001937BA" w:rsidRPr="006A4577" w:rsidRDefault="001937BA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6A4577">
              <w:rPr>
                <w:color w:val="auto"/>
              </w:rPr>
              <w:t>52</w:t>
            </w:r>
          </w:p>
        </w:tc>
      </w:tr>
      <w:tr w:rsidR="00202E31" w:rsidRPr="000A5FBD" w14:paraId="5DBACF13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0F2E8D9B" w14:textId="631CF119" w:rsidR="001937BA" w:rsidRPr="001F4FA6" w:rsidRDefault="001937BA" w:rsidP="001F4FA6">
            <w:pPr>
              <w:spacing w:beforeLines="20" w:before="48" w:beforeAutospacing="0" w:afterLines="20" w:after="48"/>
              <w:ind w:right="-63"/>
              <w:contextualSpacing w:val="0"/>
              <w:rPr>
                <w:color w:val="auto"/>
              </w:rPr>
            </w:pPr>
            <w:r w:rsidRPr="001F4FA6">
              <w:rPr>
                <w:color w:val="auto"/>
              </w:rPr>
              <w:t>Department of Local Government, Sport and Cultural Industries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07FB1B79" w14:textId="7698A6D4" w:rsidR="001937BA" w:rsidRPr="001F4FA6" w:rsidRDefault="001937BA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1,565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759B238" w14:textId="19C386B6" w:rsidR="001937BA" w:rsidRPr="001F4FA6" w:rsidRDefault="001937BA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1,297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5716F033" w14:textId="5987BB4F" w:rsidR="001937BA" w:rsidRPr="001F4FA6" w:rsidRDefault="001937BA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139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609B6E9" w14:textId="227B6713" w:rsidR="001937BA" w:rsidRPr="001F4FA6" w:rsidRDefault="001937BA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166</w:t>
            </w:r>
          </w:p>
        </w:tc>
      </w:tr>
      <w:tr w:rsidR="00202E31" w:rsidRPr="000A5FBD" w14:paraId="1F857E5A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2A70236" w14:textId="68B7DA83" w:rsidR="001937BA" w:rsidRPr="001F4FA6" w:rsidRDefault="001937BA" w:rsidP="001F4FA6">
            <w:pPr>
              <w:spacing w:beforeLines="20" w:before="48" w:beforeAutospacing="0" w:afterLines="20" w:after="48"/>
              <w:ind w:right="-63"/>
              <w:contextualSpacing w:val="0"/>
              <w:rPr>
                <w:color w:val="auto"/>
              </w:rPr>
            </w:pPr>
            <w:r w:rsidRPr="001F4FA6">
              <w:rPr>
                <w:color w:val="auto"/>
              </w:rPr>
              <w:t>South Metropolitan TAFE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3C0CCA8D" w14:textId="5944FC37" w:rsidR="001937BA" w:rsidRPr="001F4FA6" w:rsidRDefault="001937BA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1,551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51C36381" w14:textId="7D13C111" w:rsidR="001937BA" w:rsidRPr="001F4FA6" w:rsidRDefault="001937BA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1,317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FCD355D" w14:textId="3DDCDF8B" w:rsidR="001937BA" w:rsidRPr="001F4FA6" w:rsidRDefault="001937BA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26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0E850109" w14:textId="77F07C2A" w:rsidR="001937BA" w:rsidRPr="001F4FA6" w:rsidRDefault="001937BA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52</w:t>
            </w:r>
          </w:p>
        </w:tc>
      </w:tr>
      <w:tr w:rsidR="00202E31" w:rsidRPr="000A5FBD" w14:paraId="014AF661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5F4D127E" w14:textId="656C249E" w:rsidR="001937BA" w:rsidRPr="001F4FA6" w:rsidRDefault="001937BA" w:rsidP="001F4FA6">
            <w:pPr>
              <w:spacing w:beforeLines="20" w:before="48" w:beforeAutospacing="0" w:afterLines="20" w:after="48"/>
              <w:ind w:right="-63"/>
              <w:contextualSpacing w:val="0"/>
              <w:rPr>
                <w:color w:val="auto"/>
              </w:rPr>
            </w:pPr>
            <w:r w:rsidRPr="001F4FA6">
              <w:rPr>
                <w:color w:val="auto"/>
              </w:rPr>
              <w:t>Department of Finance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ACB56C6" w14:textId="468CA4B8" w:rsidR="001937BA" w:rsidRPr="001F4FA6" w:rsidRDefault="001937BA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1,269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55CCAC17" w14:textId="79E297EB" w:rsidR="001937BA" w:rsidRPr="001F4FA6" w:rsidRDefault="001937BA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1,191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7F2D71B" w14:textId="3C63D2CF" w:rsidR="001937BA" w:rsidRPr="001F4FA6" w:rsidRDefault="001937BA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20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A32FE1A" w14:textId="476B3757" w:rsidR="001937BA" w:rsidRPr="001F4FA6" w:rsidRDefault="001937BA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62</w:t>
            </w:r>
          </w:p>
        </w:tc>
      </w:tr>
      <w:tr w:rsidR="00202E31" w:rsidRPr="000A5FBD" w14:paraId="6FA2C9B4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33DA8CEE" w14:textId="3C1FD3F3" w:rsidR="001937BA" w:rsidRPr="001F4FA6" w:rsidRDefault="001937BA" w:rsidP="001F4FA6">
            <w:pPr>
              <w:spacing w:beforeLines="20" w:before="48" w:beforeAutospacing="0" w:afterLines="20" w:after="48"/>
              <w:ind w:right="-63"/>
              <w:contextualSpacing w:val="0"/>
              <w:rPr>
                <w:color w:val="auto"/>
              </w:rPr>
            </w:pPr>
            <w:r w:rsidRPr="001F4FA6">
              <w:rPr>
                <w:color w:val="auto"/>
              </w:rPr>
              <w:t>Department of Water and Environmental Regulation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25D47F3" w14:textId="1C97FF69" w:rsidR="001937BA" w:rsidRPr="001F4FA6" w:rsidRDefault="001937BA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1,218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F9E112E" w14:textId="04EAFE32" w:rsidR="001937BA" w:rsidRPr="001F4FA6" w:rsidRDefault="001937BA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1,109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5E05D00D" w14:textId="1AD739D8" w:rsidR="001937BA" w:rsidRPr="001F4FA6" w:rsidRDefault="001937BA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12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00B615C" w14:textId="2C4EEAC2" w:rsidR="001937BA" w:rsidRPr="001F4FA6" w:rsidRDefault="001937BA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83</w:t>
            </w:r>
          </w:p>
        </w:tc>
      </w:tr>
      <w:tr w:rsidR="00202E31" w:rsidRPr="000A5FBD" w14:paraId="1EFB47AB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532102F0" w14:textId="694663E6" w:rsidR="001937BA" w:rsidRPr="001F4FA6" w:rsidRDefault="001937BA" w:rsidP="001F4FA6">
            <w:pPr>
              <w:spacing w:beforeLines="20" w:before="48" w:beforeAutospacing="0" w:afterLines="20" w:after="48"/>
              <w:ind w:right="-63"/>
              <w:contextualSpacing w:val="0"/>
              <w:rPr>
                <w:color w:val="auto"/>
              </w:rPr>
            </w:pPr>
            <w:r w:rsidRPr="001F4FA6">
              <w:rPr>
                <w:color w:val="auto"/>
              </w:rPr>
              <w:lastRenderedPageBreak/>
              <w:t>Department of Planning, Lands and Heritage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347A9777" w14:textId="0E2E2D73" w:rsidR="001937BA" w:rsidRPr="001F4FA6" w:rsidRDefault="001937BA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1,182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5E1187BF" w14:textId="46268653" w:rsidR="001937BA" w:rsidRPr="001F4FA6" w:rsidRDefault="001937BA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1,059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1918A38" w14:textId="4E669E3C" w:rsidR="001937BA" w:rsidRPr="001F4FA6" w:rsidRDefault="001937BA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25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7706C66" w14:textId="63812486" w:rsidR="001937BA" w:rsidRPr="001F4FA6" w:rsidRDefault="001937BA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53</w:t>
            </w:r>
          </w:p>
        </w:tc>
      </w:tr>
      <w:tr w:rsidR="00202E31" w:rsidRPr="000A5FBD" w14:paraId="09DE8083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8F930F5" w14:textId="01D78C63" w:rsidR="001937BA" w:rsidRPr="001F4FA6" w:rsidRDefault="001937BA" w:rsidP="001F4FA6">
            <w:pPr>
              <w:spacing w:beforeLines="20" w:before="48" w:beforeAutospacing="0" w:afterLines="20" w:after="48"/>
              <w:ind w:right="-63"/>
              <w:contextualSpacing w:val="0"/>
              <w:rPr>
                <w:color w:val="auto"/>
              </w:rPr>
            </w:pPr>
            <w:r w:rsidRPr="001F4FA6">
              <w:rPr>
                <w:color w:val="auto"/>
              </w:rPr>
              <w:t>Department of the Premier and Cabinet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AD7E591" w14:textId="2E83ED0F" w:rsidR="001937BA" w:rsidRPr="001F4FA6" w:rsidRDefault="001937BA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729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78EDF37" w14:textId="67884437" w:rsidR="001937BA" w:rsidRPr="001F4FA6" w:rsidRDefault="001937BA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659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F161E6A" w14:textId="34CFB92F" w:rsidR="001937BA" w:rsidRPr="001F4FA6" w:rsidRDefault="001937BA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-33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1E99B5C1" w14:textId="3E427F71" w:rsidR="001937BA" w:rsidRPr="001F4FA6" w:rsidRDefault="001937BA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-45</w:t>
            </w:r>
          </w:p>
        </w:tc>
      </w:tr>
      <w:tr w:rsidR="00202E31" w:rsidRPr="000A5FBD" w14:paraId="2402C8AA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37F4DB6F" w14:textId="54B8A71C" w:rsidR="00A21C5B" w:rsidRPr="001F4FA6" w:rsidRDefault="00A21C5B" w:rsidP="001F4FA6">
            <w:pPr>
              <w:spacing w:beforeLines="20" w:before="48" w:beforeAutospacing="0" w:afterLines="20" w:after="48"/>
              <w:ind w:right="-63"/>
              <w:contextualSpacing w:val="0"/>
              <w:rPr>
                <w:color w:val="auto"/>
              </w:rPr>
            </w:pPr>
            <w:r w:rsidRPr="001F4FA6">
              <w:rPr>
                <w:color w:val="auto"/>
              </w:rPr>
              <w:t>South Regional TAFE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79313DB" w14:textId="68816A87" w:rsidR="00A21C5B" w:rsidRPr="001F4FA6" w:rsidRDefault="00A21C5B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608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06D8CED" w14:textId="109B7029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458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35C44E2B" w14:textId="1AFA7C73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-8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6F79B04" w14:textId="0A2B75CF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-40</w:t>
            </w:r>
          </w:p>
        </w:tc>
      </w:tr>
      <w:tr w:rsidR="00202E31" w:rsidRPr="000A5FBD" w14:paraId="3566012F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0CCB547E" w14:textId="6BA8649A" w:rsidR="00A21C5B" w:rsidRPr="001F4FA6" w:rsidRDefault="00A21C5B" w:rsidP="001F4FA6">
            <w:pPr>
              <w:spacing w:beforeLines="20" w:before="48" w:beforeAutospacing="0" w:afterLines="20" w:after="48"/>
              <w:ind w:right="-63"/>
              <w:rPr>
                <w:color w:val="auto"/>
              </w:rPr>
            </w:pPr>
            <w:r w:rsidRPr="001F4FA6">
              <w:rPr>
                <w:color w:val="auto"/>
              </w:rPr>
              <w:t>VenuesWest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6F750B89" w14:textId="55F1FB56" w:rsidR="00A21C5B" w:rsidRPr="001F4FA6" w:rsidRDefault="00A21C5B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592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78487596" w14:textId="2B3219E6" w:rsidR="00A21C5B" w:rsidRPr="001F4FA6" w:rsidRDefault="00A21C5B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290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0ED3EE36" w14:textId="0C0C45AC" w:rsidR="00A21C5B" w:rsidRPr="001F4FA6" w:rsidRDefault="00A21C5B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-2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736644B0" w14:textId="2F839C38" w:rsidR="00A21C5B" w:rsidRPr="001F4FA6" w:rsidRDefault="00A21C5B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13</w:t>
            </w:r>
          </w:p>
        </w:tc>
      </w:tr>
      <w:tr w:rsidR="00202E31" w:rsidRPr="000A5FBD" w14:paraId="00CFBEB4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19D8DDEE" w14:textId="43E8F151" w:rsidR="00A21C5B" w:rsidRPr="001F4FA6" w:rsidRDefault="00A21C5B" w:rsidP="001F4FA6">
            <w:pPr>
              <w:spacing w:beforeLines="20" w:before="48" w:beforeAutospacing="0" w:afterLines="20" w:after="48"/>
              <w:ind w:right="-63"/>
              <w:contextualSpacing w:val="0"/>
              <w:rPr>
                <w:color w:val="auto"/>
              </w:rPr>
            </w:pPr>
            <w:r w:rsidRPr="001F4FA6">
              <w:rPr>
                <w:color w:val="auto"/>
              </w:rPr>
              <w:t>Department of Training and Workforce Development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FC6A178" w14:textId="73BD930C" w:rsidR="00A21C5B" w:rsidRPr="001F4FA6" w:rsidRDefault="00A21C5B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577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22D404C" w14:textId="235256B0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516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D089D4B" w14:textId="74863E34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17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5E871F7C" w14:textId="6026D755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21</w:t>
            </w:r>
          </w:p>
        </w:tc>
      </w:tr>
      <w:tr w:rsidR="00202E31" w:rsidRPr="000A5FBD" w14:paraId="6D76562B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31B91DEE" w14:textId="40E1E307" w:rsidR="00A21C5B" w:rsidRPr="001F4FA6" w:rsidRDefault="00A21C5B" w:rsidP="001F4FA6">
            <w:pPr>
              <w:spacing w:beforeLines="20" w:before="48" w:beforeAutospacing="0" w:afterLines="20" w:after="48"/>
              <w:ind w:right="-63"/>
              <w:rPr>
                <w:color w:val="auto"/>
              </w:rPr>
            </w:pPr>
            <w:r w:rsidRPr="001F4FA6">
              <w:rPr>
                <w:color w:val="auto"/>
              </w:rPr>
              <w:t>Legal Aid Commission of Western Australia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25BE0A61" w14:textId="56F12EFC" w:rsidR="00A21C5B" w:rsidRPr="001F4FA6" w:rsidRDefault="00A21C5B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560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06A0F9B1" w14:textId="25E31A56" w:rsidR="00A21C5B" w:rsidRPr="001F4FA6" w:rsidRDefault="00A21C5B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495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6897B598" w14:textId="0FF1443E" w:rsidR="00A21C5B" w:rsidRPr="001F4FA6" w:rsidRDefault="00A21C5B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34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1F1E6E33" w14:textId="1607342C" w:rsidR="00A21C5B" w:rsidRPr="001F4FA6" w:rsidRDefault="00A21C5B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45</w:t>
            </w:r>
          </w:p>
        </w:tc>
      </w:tr>
      <w:tr w:rsidR="00202E31" w:rsidRPr="000A5FBD" w14:paraId="4C4C2C13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3CC6EE19" w14:textId="0F10CEE0" w:rsidR="00A21C5B" w:rsidRPr="001F4FA6" w:rsidRDefault="00A21C5B" w:rsidP="001F4FA6">
            <w:pPr>
              <w:spacing w:beforeLines="20" w:before="48" w:beforeAutospacing="0" w:afterLines="20" w:after="48"/>
              <w:ind w:right="-63"/>
              <w:contextualSpacing w:val="0"/>
              <w:rPr>
                <w:color w:val="auto"/>
              </w:rPr>
            </w:pPr>
            <w:r w:rsidRPr="001F4FA6">
              <w:rPr>
                <w:color w:val="auto"/>
              </w:rPr>
              <w:t>Department of Jobs, Tourism, Science and Innovation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36A90ACD" w14:textId="3BA9E15C" w:rsidR="00A21C5B" w:rsidRPr="001F4FA6" w:rsidRDefault="00A21C5B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531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0E102C86" w14:textId="0C3AE795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478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1D88C030" w14:textId="19C8F4F3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13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241AB0F" w14:textId="6DF8923F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-19</w:t>
            </w:r>
          </w:p>
        </w:tc>
      </w:tr>
      <w:tr w:rsidR="00202E31" w:rsidRPr="000A5FBD" w14:paraId="653C4E5E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143B5A3" w14:textId="4997F522" w:rsidR="00A21C5B" w:rsidRPr="001F4FA6" w:rsidRDefault="00A21C5B" w:rsidP="001F4FA6">
            <w:pPr>
              <w:spacing w:beforeLines="20" w:before="48" w:beforeAutospacing="0" w:afterLines="20" w:after="48"/>
              <w:ind w:right="-63"/>
              <w:contextualSpacing w:val="0"/>
              <w:rPr>
                <w:color w:val="auto"/>
              </w:rPr>
            </w:pPr>
            <w:r w:rsidRPr="001F4FA6">
              <w:rPr>
                <w:color w:val="auto"/>
              </w:rPr>
              <w:t>Central Regional TAFE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3D9BF4CC" w14:textId="105C79D5" w:rsidR="00A21C5B" w:rsidRPr="001F4FA6" w:rsidRDefault="00A21C5B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515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30B13FF" w14:textId="7D629A43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413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B0AE7F6" w14:textId="03DF5DD0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19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C71CFC3" w14:textId="5343AC3E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18</w:t>
            </w:r>
          </w:p>
        </w:tc>
      </w:tr>
      <w:tr w:rsidR="00202E31" w:rsidRPr="000A5FBD" w14:paraId="0629734D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7DBA1E25" w14:textId="5B796A35" w:rsidR="00A21C5B" w:rsidRPr="001F4FA6" w:rsidRDefault="00A21C5B" w:rsidP="001F4FA6">
            <w:pPr>
              <w:spacing w:beforeLines="20" w:before="48" w:beforeAutospacing="0" w:afterLines="20" w:after="48"/>
              <w:ind w:right="-63"/>
              <w:rPr>
                <w:color w:val="auto"/>
              </w:rPr>
            </w:pPr>
            <w:r w:rsidRPr="001F4FA6">
              <w:rPr>
                <w:color w:val="auto"/>
              </w:rPr>
              <w:t>Landgate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6823735D" w14:textId="6667F846" w:rsidR="00A21C5B" w:rsidRPr="001F4FA6" w:rsidRDefault="00A21C5B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507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330DB5CA" w14:textId="1D4943D1" w:rsidR="00A21C5B" w:rsidRPr="001F4FA6" w:rsidRDefault="00A21C5B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453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3003DBA7" w14:textId="157E4576" w:rsidR="00A21C5B" w:rsidRPr="001F4FA6" w:rsidRDefault="00A21C5B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-3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1F0E6445" w14:textId="0F81FD94" w:rsidR="00A21C5B" w:rsidRPr="001F4FA6" w:rsidRDefault="00A21C5B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8</w:t>
            </w:r>
          </w:p>
        </w:tc>
      </w:tr>
      <w:tr w:rsidR="00202E31" w:rsidRPr="000A5FBD" w14:paraId="70868B0F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559766F4" w14:textId="156FEB36" w:rsidR="00A21C5B" w:rsidRPr="001F4FA6" w:rsidRDefault="00A21C5B" w:rsidP="001F4FA6">
            <w:pPr>
              <w:spacing w:beforeLines="20" w:before="48" w:beforeAutospacing="0" w:afterLines="20" w:after="48"/>
              <w:ind w:right="-63"/>
              <w:contextualSpacing w:val="0"/>
              <w:rPr>
                <w:color w:val="auto"/>
              </w:rPr>
            </w:pPr>
            <w:r w:rsidRPr="001F4FA6">
              <w:rPr>
                <w:color w:val="auto"/>
              </w:rPr>
              <w:t>Insurance Commission of Western Australia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C5593AE" w14:textId="0D3F8FD8" w:rsidR="00A21C5B" w:rsidRPr="001F4FA6" w:rsidRDefault="00A21C5B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495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A0F4968" w14:textId="2FEF6552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453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7801AC2" w14:textId="66CCBB04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1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388F679C" w14:textId="5352E0F5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14</w:t>
            </w:r>
          </w:p>
        </w:tc>
      </w:tr>
      <w:tr w:rsidR="00202E31" w:rsidRPr="000A5FBD" w14:paraId="47D1FC08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CF8D693" w14:textId="518C12FC" w:rsidR="00A21C5B" w:rsidRPr="001F4FA6" w:rsidRDefault="00A21C5B" w:rsidP="001F4FA6">
            <w:pPr>
              <w:spacing w:beforeLines="20" w:before="48" w:beforeAutospacing="0" w:afterLines="20" w:after="48"/>
              <w:ind w:right="-63"/>
              <w:contextualSpacing w:val="0"/>
              <w:rPr>
                <w:color w:val="auto"/>
              </w:rPr>
            </w:pPr>
            <w:r w:rsidRPr="001F4FA6">
              <w:rPr>
                <w:color w:val="auto"/>
              </w:rPr>
              <w:t>Office of the Director of Public Prosecutions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14C883D" w14:textId="11D28DB9" w:rsidR="00A21C5B" w:rsidRPr="001F4FA6" w:rsidRDefault="00A21C5B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399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501366E6" w14:textId="1DD1CA88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357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135F5E1F" w14:textId="62941BCC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13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CAA9990" w14:textId="4F64AA33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28</w:t>
            </w:r>
          </w:p>
        </w:tc>
      </w:tr>
      <w:tr w:rsidR="00202E31" w:rsidRPr="000A5FBD" w14:paraId="4ABB2245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5DBEAD20" w14:textId="60BFDF31" w:rsidR="00A21C5B" w:rsidRPr="001F4FA6" w:rsidRDefault="00A21C5B" w:rsidP="001F4FA6">
            <w:pPr>
              <w:spacing w:beforeLines="20" w:before="48" w:beforeAutospacing="0" w:afterLines="20" w:after="48"/>
              <w:ind w:right="-63"/>
              <w:contextualSpacing w:val="0"/>
              <w:rPr>
                <w:color w:val="auto"/>
              </w:rPr>
            </w:pPr>
            <w:r w:rsidRPr="001F4FA6">
              <w:rPr>
                <w:color w:val="auto"/>
              </w:rPr>
              <w:t>Mental Health Commission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70485E1" w14:textId="79115039" w:rsidR="00A21C5B" w:rsidRPr="001F4FA6" w:rsidRDefault="00A21C5B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348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0391001A" w14:textId="2AFB9042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302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CBDA68E" w14:textId="3903971C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-78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2AB8FDE" w14:textId="0B618F1E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-88</w:t>
            </w:r>
          </w:p>
        </w:tc>
      </w:tr>
      <w:tr w:rsidR="00202E31" w:rsidRPr="000A5FBD" w14:paraId="5A66700D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081E9D1E" w14:textId="70A58244" w:rsidR="00A21C5B" w:rsidRPr="001F4FA6" w:rsidRDefault="00A21C5B" w:rsidP="001F4FA6">
            <w:pPr>
              <w:spacing w:beforeLines="20" w:before="48" w:beforeAutospacing="0" w:afterLines="20" w:after="48"/>
              <w:ind w:right="-63"/>
              <w:contextualSpacing w:val="0"/>
              <w:rPr>
                <w:color w:val="auto"/>
              </w:rPr>
            </w:pPr>
            <w:r w:rsidRPr="001F4FA6">
              <w:rPr>
                <w:color w:val="auto"/>
              </w:rPr>
              <w:t>Lotterywest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197E3888" w14:textId="278AA7AD" w:rsidR="00A21C5B" w:rsidRPr="001F4FA6" w:rsidRDefault="00A21C5B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342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1A4B6877" w14:textId="37095551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326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59F35367" w14:textId="2A836E45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17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6D37CC5" w14:textId="5C0FC763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32</w:t>
            </w:r>
          </w:p>
        </w:tc>
      </w:tr>
      <w:tr w:rsidR="00202E31" w:rsidRPr="000A5FBD" w14:paraId="33268EFB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6E57E70" w14:textId="7FFD4DD3" w:rsidR="00A21C5B" w:rsidRPr="001F4FA6" w:rsidRDefault="00A21C5B" w:rsidP="001F4FA6">
            <w:pPr>
              <w:spacing w:beforeLines="20" w:before="48" w:beforeAutospacing="0" w:afterLines="20" w:after="48"/>
              <w:ind w:right="-63"/>
              <w:contextualSpacing w:val="0"/>
              <w:rPr>
                <w:color w:val="auto"/>
              </w:rPr>
            </w:pPr>
            <w:r w:rsidRPr="001F4FA6">
              <w:rPr>
                <w:color w:val="auto"/>
              </w:rPr>
              <w:t>Department of Treasury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D304EC0" w14:textId="79EF6692" w:rsidR="00A21C5B" w:rsidRPr="001F4FA6" w:rsidRDefault="00A21C5B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330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514A0134" w14:textId="3830BD7F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304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1F1CFF7C" w14:textId="4DE92B45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4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3681F87C" w14:textId="47716144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20</w:t>
            </w:r>
          </w:p>
        </w:tc>
      </w:tr>
      <w:tr w:rsidR="00202E31" w:rsidRPr="000A5FBD" w14:paraId="5CDEB518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6947F62B" w14:textId="0BBFA7D3" w:rsidR="00A21C5B" w:rsidRPr="001F4FA6" w:rsidRDefault="00A21C5B" w:rsidP="001F4FA6">
            <w:pPr>
              <w:spacing w:beforeLines="20" w:before="48" w:beforeAutospacing="0" w:afterLines="20" w:after="48"/>
              <w:ind w:right="-63"/>
              <w:contextualSpacing w:val="0"/>
              <w:rPr>
                <w:color w:val="auto"/>
              </w:rPr>
            </w:pPr>
            <w:r w:rsidRPr="001F4FA6">
              <w:rPr>
                <w:color w:val="auto"/>
              </w:rPr>
              <w:t>North Regional TAFE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08BBB84D" w14:textId="0AACA504" w:rsidR="00A21C5B" w:rsidRPr="001F4FA6" w:rsidRDefault="00A21C5B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320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49A0BEF" w14:textId="5A0AAC60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293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4C89EE0" w14:textId="6657D5E4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-10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5F83C30D" w14:textId="187C6F95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-20</w:t>
            </w:r>
          </w:p>
        </w:tc>
      </w:tr>
      <w:tr w:rsidR="00202E31" w:rsidRPr="000A5FBD" w14:paraId="129C6415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11A78297" w14:textId="60393FDB" w:rsidR="00A21C5B" w:rsidRPr="001F4FA6" w:rsidRDefault="00A21C5B" w:rsidP="001F4FA6">
            <w:pPr>
              <w:spacing w:beforeLines="20" w:before="48" w:beforeAutospacing="0" w:afterLines="20" w:after="48"/>
              <w:ind w:right="-63"/>
              <w:rPr>
                <w:color w:val="auto"/>
              </w:rPr>
            </w:pPr>
            <w:r w:rsidRPr="001F4FA6">
              <w:rPr>
                <w:color w:val="auto"/>
              </w:rPr>
              <w:t>Office of the Auditor General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62499333" w14:textId="1522E03D" w:rsidR="00A21C5B" w:rsidRPr="001F4FA6" w:rsidRDefault="00A21C5B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239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3BA0FC25" w14:textId="295E2744" w:rsidR="00A21C5B" w:rsidRPr="001F4FA6" w:rsidRDefault="00A21C5B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218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29F5F182" w14:textId="71F686B9" w:rsidR="00A21C5B" w:rsidRPr="001F4FA6" w:rsidRDefault="00A21C5B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-3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5B3EC870" w14:textId="75406DE9" w:rsidR="00A21C5B" w:rsidRPr="001F4FA6" w:rsidRDefault="00A21C5B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6</w:t>
            </w:r>
          </w:p>
        </w:tc>
      </w:tr>
      <w:tr w:rsidR="00202E31" w:rsidRPr="000A5FBD" w14:paraId="5D3DA573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6D63EB8" w14:textId="1592F952" w:rsidR="00A21C5B" w:rsidRPr="001F4FA6" w:rsidRDefault="00A21C5B" w:rsidP="001F4FA6">
            <w:pPr>
              <w:spacing w:beforeLines="20" w:before="48" w:beforeAutospacing="0" w:afterLines="20" w:after="48"/>
              <w:ind w:right="-63"/>
              <w:contextualSpacing w:val="0"/>
              <w:rPr>
                <w:color w:val="auto"/>
              </w:rPr>
            </w:pPr>
            <w:r w:rsidRPr="001F4FA6">
              <w:rPr>
                <w:color w:val="auto"/>
              </w:rPr>
              <w:t>Metropolitan Cemeteries Board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431135A" w14:textId="0C993F69" w:rsidR="00A21C5B" w:rsidRPr="001F4FA6" w:rsidRDefault="00A21C5B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180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9C03CDD" w14:textId="37637CF1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168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EEBA39B" w14:textId="3215BD93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11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0F0496D" w14:textId="034CE608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26</w:t>
            </w:r>
          </w:p>
        </w:tc>
      </w:tr>
      <w:tr w:rsidR="00202E31" w:rsidRPr="000A5FBD" w14:paraId="3F6E884B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101183A" w14:textId="6515684B" w:rsidR="00A21C5B" w:rsidRPr="001F4FA6" w:rsidRDefault="00A21C5B" w:rsidP="001F4FA6">
            <w:pPr>
              <w:spacing w:beforeLines="20" w:before="48" w:beforeAutospacing="0" w:afterLines="20" w:after="48"/>
              <w:ind w:right="-63"/>
              <w:contextualSpacing w:val="0"/>
              <w:rPr>
                <w:color w:val="auto"/>
              </w:rPr>
            </w:pPr>
            <w:r w:rsidRPr="001F4FA6">
              <w:rPr>
                <w:color w:val="auto"/>
              </w:rPr>
              <w:t>ChemCentre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420B2EAE" w14:textId="76E7E05C" w:rsidR="00A21C5B" w:rsidRPr="001F4FA6" w:rsidRDefault="00A21C5B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172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420A993C" w14:textId="174D71AB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154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2BA56C56" w14:textId="72A79C34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4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0439FB68" w14:textId="2ED08D8A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13</w:t>
            </w:r>
          </w:p>
        </w:tc>
      </w:tr>
      <w:tr w:rsidR="00202E31" w:rsidRPr="000A5FBD" w14:paraId="14F507BF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0E6F71FA" w14:textId="49EAFF80" w:rsidR="00A21C5B" w:rsidRPr="001F4FA6" w:rsidRDefault="00A21C5B" w:rsidP="001F4FA6">
            <w:pPr>
              <w:spacing w:beforeLines="20" w:before="48" w:beforeAutospacing="0" w:afterLines="20" w:after="48"/>
              <w:ind w:right="-63"/>
              <w:contextualSpacing w:val="0"/>
              <w:rPr>
                <w:color w:val="auto"/>
              </w:rPr>
            </w:pPr>
            <w:r w:rsidRPr="001F4FA6">
              <w:rPr>
                <w:color w:val="auto"/>
              </w:rPr>
              <w:t>Public Sector Commission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6474374B" w14:textId="5BDA924B" w:rsidR="00A21C5B" w:rsidRPr="001F4FA6" w:rsidRDefault="00A21C5B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157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597A3048" w14:textId="73055F1D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136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3F9B138C" w14:textId="2B81AC2B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-5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3B49B016" w14:textId="0232238B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-1</w:t>
            </w:r>
          </w:p>
        </w:tc>
      </w:tr>
      <w:tr w:rsidR="00202E31" w:rsidRPr="000A5FBD" w14:paraId="31FF083C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1BC4B557" w14:textId="7FD1A451" w:rsidR="00A21C5B" w:rsidRPr="001F4FA6" w:rsidRDefault="00A21C5B" w:rsidP="001F4FA6">
            <w:pPr>
              <w:spacing w:beforeLines="20" w:before="48" w:beforeAutospacing="0" w:afterLines="20" w:after="48"/>
              <w:ind w:right="-63"/>
              <w:contextualSpacing w:val="0"/>
              <w:rPr>
                <w:color w:val="auto"/>
              </w:rPr>
            </w:pPr>
            <w:r w:rsidRPr="001F4FA6">
              <w:rPr>
                <w:color w:val="auto"/>
              </w:rPr>
              <w:t>Forest Products Commission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646D80E4" w14:textId="47C1A91C" w:rsidR="00A21C5B" w:rsidRPr="001F4FA6" w:rsidRDefault="00A21C5B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156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57F68873" w14:textId="5FBC930E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148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27DD8F3A" w14:textId="387CA6A2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-1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79CC69AD" w14:textId="323B2BB8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-9</w:t>
            </w:r>
          </w:p>
        </w:tc>
      </w:tr>
      <w:tr w:rsidR="00202E31" w:rsidRPr="000A5FBD" w14:paraId="0D890749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1FEBBF57" w14:textId="29D647E1" w:rsidR="00A21C5B" w:rsidRPr="001F4FA6" w:rsidRDefault="00A21C5B" w:rsidP="001F4FA6">
            <w:pPr>
              <w:spacing w:beforeLines="20" w:before="48" w:beforeAutospacing="0" w:afterLines="20" w:after="48"/>
              <w:ind w:right="-63"/>
              <w:contextualSpacing w:val="0"/>
              <w:rPr>
                <w:color w:val="auto"/>
              </w:rPr>
            </w:pPr>
            <w:r w:rsidRPr="001F4FA6">
              <w:rPr>
                <w:color w:val="auto"/>
              </w:rPr>
              <w:t>WorkCover Western Australia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32182268" w14:textId="2B519E6C" w:rsidR="00A21C5B" w:rsidRPr="001F4FA6" w:rsidRDefault="00A21C5B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148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62ECB34A" w14:textId="69374E62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134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2DA710F9" w14:textId="32F1849D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1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7D42FA4B" w14:textId="253BC3C2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3</w:t>
            </w:r>
          </w:p>
        </w:tc>
      </w:tr>
      <w:tr w:rsidR="00202E31" w:rsidRPr="000A5FBD" w14:paraId="1CBF1959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5CE92EB2" w14:textId="653479DD" w:rsidR="00A21C5B" w:rsidRPr="001F4FA6" w:rsidRDefault="00A21C5B" w:rsidP="001F4FA6">
            <w:pPr>
              <w:spacing w:beforeLines="20" w:before="48" w:beforeAutospacing="0" w:afterLines="20" w:after="48"/>
              <w:ind w:right="-63"/>
              <w:contextualSpacing w:val="0"/>
              <w:rPr>
                <w:color w:val="auto"/>
              </w:rPr>
            </w:pPr>
            <w:r w:rsidRPr="001F4FA6">
              <w:rPr>
                <w:color w:val="auto"/>
              </w:rPr>
              <w:t>Corruption and Crime Commission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78B13ED3" w14:textId="094D56F7" w:rsidR="00A21C5B" w:rsidRPr="001F4FA6" w:rsidRDefault="00A21C5B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141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42C40E87" w14:textId="6D960EA6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130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766E1DD7" w14:textId="5AB73D14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0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797BC846" w14:textId="502429A4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3</w:t>
            </w:r>
          </w:p>
        </w:tc>
      </w:tr>
      <w:tr w:rsidR="00202E31" w:rsidRPr="000A5FBD" w14:paraId="5D567EB7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A3C1ECE" w14:textId="4B4A31B2" w:rsidR="00A21C5B" w:rsidRPr="001F4FA6" w:rsidRDefault="00A21C5B" w:rsidP="001F4FA6">
            <w:pPr>
              <w:spacing w:beforeLines="20" w:before="48" w:beforeAutospacing="0" w:afterLines="20" w:after="48"/>
              <w:ind w:right="-63"/>
              <w:contextualSpacing w:val="0"/>
              <w:rPr>
                <w:color w:val="auto"/>
              </w:rPr>
            </w:pPr>
            <w:r w:rsidRPr="001F4FA6">
              <w:rPr>
                <w:color w:val="auto"/>
              </w:rPr>
              <w:t>Economic Regulation Authority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1F76BCE0" w14:textId="3E63E3D3" w:rsidR="00A21C5B" w:rsidRPr="001F4FA6" w:rsidRDefault="00A21C5B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95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29389067" w14:textId="2B04B2FE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86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7A088DA4" w14:textId="13FEF565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7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352EBEB2" w14:textId="521CBA99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10</w:t>
            </w:r>
          </w:p>
        </w:tc>
      </w:tr>
      <w:tr w:rsidR="00202E31" w:rsidRPr="000A5FBD" w14:paraId="6F8A746C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5A481A54" w14:textId="4C2E869C" w:rsidR="00A21C5B" w:rsidRPr="001F4FA6" w:rsidRDefault="00A21C5B" w:rsidP="001F4FA6">
            <w:pPr>
              <w:spacing w:beforeLines="20" w:before="48" w:beforeAutospacing="0" w:afterLines="20" w:after="48"/>
              <w:ind w:right="-63"/>
              <w:contextualSpacing w:val="0"/>
              <w:rPr>
                <w:color w:val="auto"/>
              </w:rPr>
            </w:pPr>
            <w:r w:rsidRPr="001F4FA6">
              <w:rPr>
                <w:color w:val="auto"/>
              </w:rPr>
              <w:t>Ombudsman Western Australia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1B26FF48" w14:textId="3C7A7F67" w:rsidR="00A21C5B" w:rsidRPr="001F4FA6" w:rsidRDefault="00A21C5B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88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421C1CD0" w14:textId="55D8DDFD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78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4B8A1F1E" w14:textId="6EC687B5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1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0CD8ADA6" w14:textId="30125FF6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2</w:t>
            </w:r>
          </w:p>
        </w:tc>
      </w:tr>
      <w:tr w:rsidR="00202E31" w:rsidRPr="000A5FBD" w14:paraId="76E6CE88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DA13923" w14:textId="7960D205" w:rsidR="00A21C5B" w:rsidRPr="001F4FA6" w:rsidRDefault="00A21C5B" w:rsidP="001F4FA6">
            <w:pPr>
              <w:spacing w:beforeLines="20" w:before="48" w:beforeAutospacing="0" w:afterLines="20" w:after="48"/>
              <w:ind w:right="-63"/>
              <w:contextualSpacing w:val="0"/>
              <w:rPr>
                <w:color w:val="auto"/>
              </w:rPr>
            </w:pPr>
            <w:r w:rsidRPr="001F4FA6">
              <w:rPr>
                <w:color w:val="auto"/>
              </w:rPr>
              <w:t>GESB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1D19CEC1" w14:textId="0BA48307" w:rsidR="00A21C5B" w:rsidRPr="001F4FA6" w:rsidRDefault="00A21C5B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80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021D9031" w14:textId="4DB0A089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75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4331659E" w14:textId="2E644745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3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5914329E" w14:textId="5116AE22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4</w:t>
            </w:r>
          </w:p>
        </w:tc>
      </w:tr>
      <w:tr w:rsidR="00202E31" w:rsidRPr="000A5FBD" w14:paraId="6C5F3AF6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0F8E3045" w14:textId="6EFFFA8B" w:rsidR="00A21C5B" w:rsidRPr="001F4FA6" w:rsidRDefault="00A21C5B" w:rsidP="001F4FA6">
            <w:pPr>
              <w:spacing w:beforeLines="20" w:before="48" w:beforeAutospacing="0" w:afterLines="20" w:after="48"/>
              <w:ind w:right="-63"/>
              <w:contextualSpacing w:val="0"/>
              <w:rPr>
                <w:color w:val="auto"/>
              </w:rPr>
            </w:pPr>
            <w:r w:rsidRPr="001F4FA6">
              <w:rPr>
                <w:color w:val="auto"/>
              </w:rPr>
              <w:t>Western Australian Electoral Commission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5CDE7A17" w14:textId="595328BC" w:rsidR="00A21C5B" w:rsidRPr="001F4FA6" w:rsidRDefault="00A21C5B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73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5DFEB8F1" w14:textId="6F8FDC4C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69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1009E7AB" w14:textId="00DACA2E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4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67095719" w14:textId="40B2EBDF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18</w:t>
            </w:r>
          </w:p>
        </w:tc>
      </w:tr>
      <w:tr w:rsidR="00202E31" w:rsidRPr="000A5FBD" w14:paraId="568968CF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1C65EA41" w14:textId="244BD4A4" w:rsidR="00A21C5B" w:rsidRPr="001F4FA6" w:rsidRDefault="00A21C5B" w:rsidP="001F4FA6">
            <w:pPr>
              <w:spacing w:beforeLines="20" w:before="48" w:beforeAutospacing="0" w:afterLines="20" w:after="48"/>
              <w:ind w:right="-63"/>
              <w:contextualSpacing w:val="0"/>
              <w:rPr>
                <w:color w:val="auto"/>
              </w:rPr>
            </w:pPr>
            <w:r w:rsidRPr="001F4FA6">
              <w:rPr>
                <w:color w:val="auto"/>
              </w:rPr>
              <w:t>Small Business Development Corporation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0CD86EE6" w14:textId="132A4711" w:rsidR="00A21C5B" w:rsidRPr="001F4FA6" w:rsidRDefault="00A21C5B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67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66231244" w14:textId="70AEC2EE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61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6A80BB0E" w14:textId="6EE29DB6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-5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6794E7B1" w14:textId="70687766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0</w:t>
            </w:r>
          </w:p>
        </w:tc>
      </w:tr>
      <w:tr w:rsidR="00202E31" w:rsidRPr="000A5FBD" w14:paraId="3BA8AD06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086C289" w14:textId="2AA681ED" w:rsidR="00A21C5B" w:rsidRPr="001F4FA6" w:rsidRDefault="00A21C5B" w:rsidP="001F4FA6">
            <w:pPr>
              <w:spacing w:beforeLines="20" w:before="48" w:beforeAutospacing="0" w:afterLines="20" w:after="48"/>
              <w:ind w:right="-63"/>
              <w:contextualSpacing w:val="0"/>
              <w:rPr>
                <w:color w:val="auto"/>
              </w:rPr>
            </w:pPr>
            <w:r w:rsidRPr="001F4FA6">
              <w:rPr>
                <w:color w:val="auto"/>
              </w:rPr>
              <w:t>National Trust of Australia (W.A.)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CE1ECD7" w14:textId="52BD422B" w:rsidR="00A21C5B" w:rsidRPr="001F4FA6" w:rsidRDefault="00A21C5B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42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0247E3AE" w14:textId="3CAC9081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33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1AF62929" w14:textId="37374887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4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095BE0B" w14:textId="41250280" w:rsidR="00A21C5B" w:rsidRPr="001F4FA6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0</w:t>
            </w:r>
          </w:p>
        </w:tc>
      </w:tr>
      <w:tr w:rsidR="00202E31" w:rsidRPr="000A5FBD" w14:paraId="24E9FEC1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05879242" w14:textId="51F92153" w:rsidR="00A21C5B" w:rsidRPr="001F4FA6" w:rsidRDefault="00A21C5B" w:rsidP="001F4FA6">
            <w:pPr>
              <w:spacing w:beforeLines="20" w:before="48" w:beforeAutospacing="0" w:afterLines="20" w:after="48"/>
              <w:ind w:right="-63"/>
              <w:rPr>
                <w:color w:val="auto"/>
              </w:rPr>
            </w:pPr>
            <w:r w:rsidRPr="001F4FA6">
              <w:rPr>
                <w:color w:val="auto"/>
              </w:rPr>
              <w:t>Legal Practice Board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3D029863" w14:textId="2B02B179" w:rsidR="00A21C5B" w:rsidRPr="001F4FA6" w:rsidRDefault="00A21C5B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39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279CE076" w14:textId="5C0EB318" w:rsidR="00A21C5B" w:rsidRPr="001F4FA6" w:rsidRDefault="00A21C5B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37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485BE82E" w14:textId="136DC9F2" w:rsidR="00A21C5B" w:rsidRPr="001F4FA6" w:rsidRDefault="00A21C5B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4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08E71A56" w14:textId="0940B64F" w:rsidR="00A21C5B" w:rsidRPr="001F4FA6" w:rsidRDefault="00A21C5B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1F4FA6">
              <w:rPr>
                <w:color w:val="auto"/>
              </w:rPr>
              <w:t>-5</w:t>
            </w:r>
          </w:p>
        </w:tc>
      </w:tr>
      <w:tr w:rsidR="00202E31" w:rsidRPr="000A5FBD" w14:paraId="5A2942A1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03FF90E" w14:textId="1F413827" w:rsidR="00A21C5B" w:rsidRPr="00DF1128" w:rsidRDefault="00A21C5B" w:rsidP="00DF1128">
            <w:pPr>
              <w:spacing w:beforeLines="20" w:before="48" w:beforeAutospacing="0" w:afterLines="20" w:after="48"/>
              <w:ind w:right="-63"/>
              <w:contextualSpacing w:val="0"/>
              <w:rPr>
                <w:color w:val="auto"/>
              </w:rPr>
            </w:pPr>
            <w:r w:rsidRPr="00DF1128">
              <w:rPr>
                <w:color w:val="auto"/>
              </w:rPr>
              <w:lastRenderedPageBreak/>
              <w:t>Department of the Registrar, Western Australian Industrial Relations Commission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142521F" w14:textId="6DA08141" w:rsidR="00A21C5B" w:rsidRPr="00DF1128" w:rsidRDefault="00A21C5B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39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185554CB" w14:textId="2437D03E" w:rsidR="00A21C5B" w:rsidRPr="00DF1128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35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1CA2A805" w14:textId="0DE91C18" w:rsidR="00A21C5B" w:rsidRPr="00DF1128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-3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7148B1B" w14:textId="43C195EF" w:rsidR="00A21C5B" w:rsidRPr="00DF1128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-8</w:t>
            </w:r>
          </w:p>
        </w:tc>
      </w:tr>
      <w:tr w:rsidR="00202E31" w:rsidRPr="000A5FBD" w14:paraId="58A8B06D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BEE00B0" w14:textId="2B58B3DF" w:rsidR="00A21C5B" w:rsidRPr="00DF1128" w:rsidRDefault="00A21C5B" w:rsidP="00DF1128">
            <w:pPr>
              <w:spacing w:beforeLines="20" w:before="48" w:beforeAutospacing="0" w:afterLines="20" w:after="48"/>
              <w:ind w:right="-63"/>
              <w:contextualSpacing w:val="0"/>
              <w:rPr>
                <w:color w:val="auto"/>
              </w:rPr>
            </w:pPr>
            <w:r w:rsidRPr="00DF1128">
              <w:rPr>
                <w:color w:val="auto"/>
              </w:rPr>
              <w:t>Construction Training Fund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49D56D9" w14:textId="7C517E79" w:rsidR="00A21C5B" w:rsidRPr="00DF1128" w:rsidRDefault="00A21C5B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36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5319A6DC" w14:textId="5A5F5670" w:rsidR="00A21C5B" w:rsidRPr="00DF1128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32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1A2332A5" w14:textId="5BEA90FB" w:rsidR="00A21C5B" w:rsidRPr="00DF1128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-3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535AACEC" w14:textId="4498BF8C" w:rsidR="00A21C5B" w:rsidRPr="00DF1128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0</w:t>
            </w:r>
          </w:p>
        </w:tc>
      </w:tr>
      <w:tr w:rsidR="00202E31" w:rsidRPr="000A5FBD" w14:paraId="242B7B1E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5A852581" w14:textId="69644CF0" w:rsidR="00A21C5B" w:rsidRPr="00DF1128" w:rsidRDefault="00A21C5B" w:rsidP="00DF1128">
            <w:pPr>
              <w:spacing w:beforeLines="20" w:before="48" w:beforeAutospacing="0" w:afterLines="20" w:after="48"/>
              <w:ind w:right="-63"/>
              <w:contextualSpacing w:val="0"/>
              <w:rPr>
                <w:color w:val="auto"/>
              </w:rPr>
            </w:pPr>
            <w:r w:rsidRPr="00DF1128">
              <w:rPr>
                <w:color w:val="auto"/>
              </w:rPr>
              <w:t>MyLeave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0FCB2E2" w14:textId="1BE95613" w:rsidR="00A21C5B" w:rsidRPr="00DF1128" w:rsidRDefault="00A21C5B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30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39676CF5" w14:textId="1A85F705" w:rsidR="00A21C5B" w:rsidRPr="00DF1128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30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FCBB936" w14:textId="748AC2E7" w:rsidR="00A21C5B" w:rsidRPr="00DF1128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2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558D2E06" w14:textId="3B7A2065" w:rsidR="00A21C5B" w:rsidRPr="00DF1128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3</w:t>
            </w:r>
          </w:p>
        </w:tc>
      </w:tr>
      <w:tr w:rsidR="00202E31" w:rsidRPr="000A5FBD" w14:paraId="0211A93E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331EE6B2" w14:textId="05224562" w:rsidR="00A21C5B" w:rsidRPr="00DF1128" w:rsidRDefault="00A21C5B" w:rsidP="00DF1128">
            <w:pPr>
              <w:spacing w:beforeLines="20" w:before="48" w:beforeAutospacing="0" w:afterLines="20" w:after="48"/>
              <w:ind w:right="-63"/>
              <w:contextualSpacing w:val="0"/>
              <w:rPr>
                <w:color w:val="auto"/>
              </w:rPr>
            </w:pPr>
            <w:r w:rsidRPr="00DF1128">
              <w:rPr>
                <w:color w:val="auto"/>
              </w:rPr>
              <w:t>Infrastructure WA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385085D" w14:textId="5548A0D5" w:rsidR="00A21C5B" w:rsidRPr="00DF1128" w:rsidRDefault="00A21C5B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25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19EBF7C" w14:textId="13E1C556" w:rsidR="00A21C5B" w:rsidRPr="00DF1128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24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224E0E0" w14:textId="08D38855" w:rsidR="00A21C5B" w:rsidRPr="00DF1128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2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BD3A945" w14:textId="4DFCAFA2" w:rsidR="00A21C5B" w:rsidRPr="00DF1128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3</w:t>
            </w:r>
          </w:p>
        </w:tc>
      </w:tr>
      <w:tr w:rsidR="00202E31" w:rsidRPr="000A5FBD" w14:paraId="2445FF01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A9655A9" w14:textId="56B5DC1B" w:rsidR="00A21C5B" w:rsidRPr="00DF1128" w:rsidRDefault="00A21C5B" w:rsidP="00DF1128">
            <w:pPr>
              <w:spacing w:beforeLines="20" w:before="48" w:beforeAutospacing="0" w:afterLines="20" w:after="48"/>
              <w:ind w:right="-63"/>
              <w:contextualSpacing w:val="0"/>
              <w:rPr>
                <w:color w:val="auto"/>
              </w:rPr>
            </w:pPr>
            <w:r w:rsidRPr="00DF1128">
              <w:rPr>
                <w:color w:val="auto"/>
              </w:rPr>
              <w:t>Western Australian Meat Industry Authority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4611FB1" w14:textId="52F10B00" w:rsidR="00A21C5B" w:rsidRPr="00DF1128" w:rsidRDefault="00A21C5B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24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D09BE6A" w14:textId="2051C313" w:rsidR="00A21C5B" w:rsidRPr="00DF1128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18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09DABEC1" w14:textId="790E4DC5" w:rsidR="00A21C5B" w:rsidRPr="00DF1128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1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7D4A837" w14:textId="54DEBACC" w:rsidR="00A21C5B" w:rsidRPr="00DF1128" w:rsidRDefault="00A21C5B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0</w:t>
            </w:r>
          </w:p>
        </w:tc>
      </w:tr>
      <w:tr w:rsidR="00202E31" w:rsidRPr="000A5FBD" w14:paraId="7B200019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C54859B" w14:textId="38FC7E43" w:rsidR="00837297" w:rsidRPr="00DF1128" w:rsidRDefault="00837297" w:rsidP="00DF1128">
            <w:pPr>
              <w:spacing w:beforeLines="20" w:before="48" w:beforeAutospacing="0" w:afterLines="20" w:after="48"/>
              <w:ind w:right="-63"/>
              <w:contextualSpacing w:val="0"/>
              <w:rPr>
                <w:color w:val="auto"/>
              </w:rPr>
            </w:pPr>
            <w:r w:rsidRPr="00DF1128">
              <w:rPr>
                <w:color w:val="auto"/>
              </w:rPr>
              <w:t>Health and Disability Services Complaints Office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19666A5" w14:textId="7E519CBE" w:rsidR="00837297" w:rsidRPr="00DF1128" w:rsidRDefault="00837297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23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1ECB1E4" w14:textId="75221F61" w:rsidR="00837297" w:rsidRPr="00DF1128" w:rsidRDefault="00837297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19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30714B86" w14:textId="55442FA9" w:rsidR="00837297" w:rsidRPr="00DF1128" w:rsidRDefault="00837297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1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056B2967" w14:textId="7DAA2648" w:rsidR="00837297" w:rsidRPr="00DF1128" w:rsidRDefault="00837297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0</w:t>
            </w:r>
          </w:p>
        </w:tc>
      </w:tr>
      <w:tr w:rsidR="00202E31" w:rsidRPr="000A5FBD" w14:paraId="5B2A7C48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15B0BB51" w14:textId="0048267C" w:rsidR="00837297" w:rsidRPr="00DF1128" w:rsidRDefault="00837297" w:rsidP="00DF1128">
            <w:pPr>
              <w:spacing w:beforeLines="20" w:before="48" w:beforeAutospacing="0" w:afterLines="20" w:after="48"/>
              <w:ind w:right="-63"/>
              <w:contextualSpacing w:val="0"/>
              <w:rPr>
                <w:color w:val="auto"/>
              </w:rPr>
            </w:pPr>
            <w:r w:rsidRPr="00DF1128">
              <w:rPr>
                <w:color w:val="auto"/>
              </w:rPr>
              <w:t>Office of the Inspector of Custodial Services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380ECC32" w14:textId="1F749B2C" w:rsidR="00837297" w:rsidRPr="00DF1128" w:rsidRDefault="00837297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22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ABC75BA" w14:textId="3CE90AE9" w:rsidR="00837297" w:rsidRPr="00DF1128" w:rsidRDefault="00837297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19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1AFD3910" w14:textId="65E9EBDE" w:rsidR="00837297" w:rsidRPr="00DF1128" w:rsidRDefault="00837297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0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F82E224" w14:textId="60BC07BA" w:rsidR="00837297" w:rsidRPr="00DF1128" w:rsidRDefault="00837297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0</w:t>
            </w:r>
          </w:p>
        </w:tc>
      </w:tr>
      <w:tr w:rsidR="00202E31" w:rsidRPr="000A5FBD" w14:paraId="7599BEAF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2DD5EA41" w14:textId="6F245865" w:rsidR="00837297" w:rsidRPr="00DF1128" w:rsidRDefault="00837297" w:rsidP="00DF1128">
            <w:pPr>
              <w:spacing w:beforeLines="20" w:before="48" w:beforeAutospacing="0" w:afterLines="20" w:after="48"/>
              <w:ind w:right="-63"/>
              <w:rPr>
                <w:color w:val="auto"/>
              </w:rPr>
            </w:pPr>
            <w:r w:rsidRPr="00DF1128">
              <w:rPr>
                <w:color w:val="auto"/>
              </w:rPr>
              <w:t>Office of the Information Commissioner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02889808" w14:textId="02891D8D" w:rsidR="00837297" w:rsidRPr="00DF1128" w:rsidRDefault="00837297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21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4D3D2B45" w14:textId="5986F058" w:rsidR="00837297" w:rsidRPr="00DF1128" w:rsidRDefault="00837297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17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3EB1D108" w14:textId="4C447E6C" w:rsidR="00837297" w:rsidRPr="00DF1128" w:rsidRDefault="00837297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0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</w:tcPr>
          <w:p w14:paraId="46ACFE04" w14:textId="37B0A9BB" w:rsidR="00837297" w:rsidRPr="00DF1128" w:rsidRDefault="00837297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1</w:t>
            </w:r>
          </w:p>
        </w:tc>
      </w:tr>
      <w:tr w:rsidR="00202E31" w:rsidRPr="000A5FBD" w14:paraId="163A9CE6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07EEC414" w14:textId="620B93E7" w:rsidR="00837297" w:rsidRPr="00DF1128" w:rsidRDefault="00837297" w:rsidP="00DF1128">
            <w:pPr>
              <w:spacing w:beforeLines="20" w:before="48" w:beforeAutospacing="0" w:afterLines="20" w:after="48"/>
              <w:ind w:right="-63"/>
              <w:contextualSpacing w:val="0"/>
              <w:rPr>
                <w:color w:val="auto"/>
              </w:rPr>
            </w:pPr>
            <w:r w:rsidRPr="00DF1128">
              <w:rPr>
                <w:color w:val="auto"/>
              </w:rPr>
              <w:t>Commissioner for Children and Young People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DE4F8A6" w14:textId="4815ABE9" w:rsidR="00837297" w:rsidRPr="00DF1128" w:rsidRDefault="00837297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19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0423D9CA" w14:textId="41550C64" w:rsidR="00837297" w:rsidRPr="00DF1128" w:rsidRDefault="00837297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18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E66D9FF" w14:textId="1D409F33" w:rsidR="00837297" w:rsidRPr="00DF1128" w:rsidRDefault="00837297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4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AC5EDA4" w14:textId="45308092" w:rsidR="00837297" w:rsidRPr="00DF1128" w:rsidRDefault="00837297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5</w:t>
            </w:r>
          </w:p>
        </w:tc>
      </w:tr>
      <w:tr w:rsidR="00202E31" w:rsidRPr="000A5FBD" w14:paraId="030F89F1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1A1E1D2" w14:textId="3C789596" w:rsidR="00837297" w:rsidRPr="00DF1128" w:rsidRDefault="00837297" w:rsidP="00DF1128">
            <w:pPr>
              <w:spacing w:beforeLines="20" w:before="48" w:beforeAutospacing="0" w:afterLines="20" w:after="48"/>
              <w:ind w:right="-63"/>
              <w:contextualSpacing w:val="0"/>
              <w:rPr>
                <w:color w:val="auto"/>
              </w:rPr>
            </w:pPr>
            <w:r w:rsidRPr="00DF1128">
              <w:rPr>
                <w:color w:val="auto"/>
              </w:rPr>
              <w:t>Metropolitan Redevelopment Authority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1A610CF5" w14:textId="3DC934C2" w:rsidR="00837297" w:rsidRPr="00DF1128" w:rsidRDefault="00837297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16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183ADA6A" w14:textId="0CFE81FF" w:rsidR="00837297" w:rsidRPr="00DF1128" w:rsidRDefault="00837297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14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4D9CBF5" w14:textId="65BDD9CA" w:rsidR="00837297" w:rsidRPr="00DF1128" w:rsidRDefault="00837297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3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5272395D" w14:textId="53DA3227" w:rsidR="00837297" w:rsidRPr="00DF1128" w:rsidRDefault="00837297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0</w:t>
            </w:r>
          </w:p>
        </w:tc>
      </w:tr>
      <w:tr w:rsidR="00202E31" w:rsidRPr="000A5FBD" w14:paraId="6C55F9B5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062B9E46" w14:textId="6090D580" w:rsidR="00837297" w:rsidRPr="00DF1128" w:rsidRDefault="00837297" w:rsidP="00DF1128">
            <w:pPr>
              <w:spacing w:beforeLines="20" w:before="48" w:beforeAutospacing="0" w:afterLines="20" w:after="48"/>
              <w:ind w:right="-63"/>
              <w:contextualSpacing w:val="0"/>
              <w:rPr>
                <w:color w:val="auto"/>
              </w:rPr>
            </w:pPr>
            <w:r w:rsidRPr="00DF1128">
              <w:rPr>
                <w:color w:val="auto"/>
              </w:rPr>
              <w:t>Minerals Research Institute of Western Australia (MRIWA)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52638DFE" w14:textId="737BFF04" w:rsidR="00837297" w:rsidRPr="00DF1128" w:rsidRDefault="00837297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14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504B1A56" w14:textId="69C4694C" w:rsidR="00837297" w:rsidRPr="00DF1128" w:rsidRDefault="00837297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14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C3E3453" w14:textId="72B804C9" w:rsidR="00837297" w:rsidRPr="00DF1128" w:rsidRDefault="00837297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4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96A4140" w14:textId="4AEDF643" w:rsidR="00837297" w:rsidRPr="00DF1128" w:rsidRDefault="00837297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4</w:t>
            </w:r>
          </w:p>
        </w:tc>
      </w:tr>
      <w:tr w:rsidR="00202E31" w:rsidRPr="000A5FBD" w14:paraId="5692DA12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55FD3905" w14:textId="607D84EE" w:rsidR="00837297" w:rsidRPr="00DF1128" w:rsidRDefault="00837297" w:rsidP="00DF1128">
            <w:pPr>
              <w:spacing w:beforeLines="20" w:before="48" w:beforeAutospacing="0" w:afterLines="20" w:after="48"/>
              <w:ind w:right="-63"/>
              <w:contextualSpacing w:val="0"/>
              <w:rPr>
                <w:color w:val="auto"/>
              </w:rPr>
            </w:pPr>
            <w:r w:rsidRPr="00DF1128">
              <w:rPr>
                <w:color w:val="auto"/>
              </w:rPr>
              <w:t>Burswood Park Board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E816030" w14:textId="66EA0249" w:rsidR="00837297" w:rsidRPr="00DF1128" w:rsidRDefault="00837297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12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453F670" w14:textId="0B8B9C9B" w:rsidR="00837297" w:rsidRPr="00DF1128" w:rsidRDefault="00837297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12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54222132" w14:textId="510A7E64" w:rsidR="00837297" w:rsidRPr="00DF1128" w:rsidRDefault="00837297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1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3C605467" w14:textId="7B1F6DCB" w:rsidR="00837297" w:rsidRPr="00DF1128" w:rsidRDefault="00837297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1</w:t>
            </w:r>
          </w:p>
        </w:tc>
      </w:tr>
      <w:tr w:rsidR="00202E31" w:rsidRPr="000A5FBD" w14:paraId="59150E1A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5AC4B888" w14:textId="1D3BFB01" w:rsidR="00837297" w:rsidRPr="00DF1128" w:rsidRDefault="00837297" w:rsidP="00DF1128">
            <w:pPr>
              <w:spacing w:beforeLines="20" w:before="48" w:beforeAutospacing="0" w:afterLines="20" w:after="48"/>
              <w:ind w:right="-63"/>
              <w:contextualSpacing w:val="0"/>
              <w:rPr>
                <w:color w:val="auto"/>
              </w:rPr>
            </w:pPr>
            <w:r w:rsidRPr="00DF1128">
              <w:rPr>
                <w:color w:val="auto"/>
              </w:rPr>
              <w:t>Keep Australia Beautiful WA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7E82AFF" w14:textId="1EF304F5" w:rsidR="00837297" w:rsidRPr="00DF1128" w:rsidRDefault="00837297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7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30C66090" w14:textId="0981AD75" w:rsidR="00837297" w:rsidRPr="00DF1128" w:rsidRDefault="00837297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7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5734BAE" w14:textId="36E744F6" w:rsidR="00837297" w:rsidRPr="00DF1128" w:rsidRDefault="00837297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0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32B241B" w14:textId="723EE01D" w:rsidR="00837297" w:rsidRPr="00DF1128" w:rsidRDefault="00837297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-1</w:t>
            </w:r>
          </w:p>
        </w:tc>
      </w:tr>
      <w:tr w:rsidR="00202E31" w:rsidRPr="000A5FBD" w14:paraId="261533B3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17CAE3AC" w14:textId="5818F5EA" w:rsidR="00837297" w:rsidRPr="00DF1128" w:rsidRDefault="00837297" w:rsidP="00DF1128">
            <w:pPr>
              <w:spacing w:beforeLines="20" w:before="48" w:beforeAutospacing="0" w:afterLines="20" w:after="48"/>
              <w:ind w:right="-63"/>
              <w:contextualSpacing w:val="0"/>
              <w:rPr>
                <w:color w:val="auto"/>
              </w:rPr>
            </w:pPr>
            <w:r w:rsidRPr="00DF1128">
              <w:rPr>
                <w:color w:val="auto"/>
              </w:rPr>
              <w:t>Veterinary Practice Board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5D8D0A5C" w14:textId="3F4D1E8D" w:rsidR="00837297" w:rsidRPr="00DF1128" w:rsidRDefault="00837297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7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06D35334" w14:textId="03AA1387" w:rsidR="00837297" w:rsidRPr="00DF1128" w:rsidRDefault="00837297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6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42B94F4" w14:textId="75A7F03F" w:rsidR="00837297" w:rsidRPr="00DF1128" w:rsidRDefault="00837297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1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6FE5524" w14:textId="321A5759" w:rsidR="00837297" w:rsidRPr="00DF1128" w:rsidRDefault="00837297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1</w:t>
            </w:r>
          </w:p>
        </w:tc>
      </w:tr>
      <w:tr w:rsidR="00202E31" w:rsidRPr="000A5FBD" w14:paraId="544F3EF8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166D29E7" w14:textId="7E3D594F" w:rsidR="00837297" w:rsidRPr="00DF1128" w:rsidRDefault="00837297" w:rsidP="00DF1128">
            <w:pPr>
              <w:spacing w:beforeLines="20" w:before="48" w:beforeAutospacing="0" w:afterLines="20" w:after="48"/>
              <w:ind w:right="-63"/>
              <w:contextualSpacing w:val="0"/>
              <w:rPr>
                <w:color w:val="auto"/>
              </w:rPr>
            </w:pPr>
            <w:r w:rsidRPr="00DF1128">
              <w:rPr>
                <w:color w:val="auto"/>
              </w:rPr>
              <w:t>Salaries and Allowances Tribunal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4ED4E85" w14:textId="0697E011" w:rsidR="00837297" w:rsidRPr="00DF1128" w:rsidRDefault="00837297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3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EEA28B8" w14:textId="2323DEC3" w:rsidR="00837297" w:rsidRPr="00DF1128" w:rsidRDefault="00837297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3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082903F9" w14:textId="67D80EAC" w:rsidR="00837297" w:rsidRPr="00DF1128" w:rsidRDefault="00837297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0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288A14DE" w14:textId="32D728EF" w:rsidR="00837297" w:rsidRPr="00DF1128" w:rsidRDefault="00837297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1</w:t>
            </w:r>
          </w:p>
        </w:tc>
      </w:tr>
      <w:tr w:rsidR="00202E31" w:rsidRPr="000A5FBD" w14:paraId="4D707D2F" w14:textId="77777777" w:rsidTr="005374A5">
        <w:trPr>
          <w:trHeight w:val="300"/>
        </w:trPr>
        <w:tc>
          <w:tcPr>
            <w:tcW w:w="368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7F2FA461" w14:textId="7060AB1D" w:rsidR="00837297" w:rsidRPr="00DF1128" w:rsidRDefault="00837297" w:rsidP="00DF1128">
            <w:pPr>
              <w:spacing w:beforeLines="20" w:before="48" w:beforeAutospacing="0" w:afterLines="20" w:after="48"/>
              <w:ind w:right="-63"/>
              <w:contextualSpacing w:val="0"/>
              <w:rPr>
                <w:color w:val="auto"/>
              </w:rPr>
            </w:pPr>
            <w:r w:rsidRPr="00DF1128">
              <w:rPr>
                <w:color w:val="auto"/>
              </w:rPr>
              <w:t>Architects Board of Western Australia</w:t>
            </w:r>
          </w:p>
        </w:tc>
        <w:tc>
          <w:tcPr>
            <w:tcW w:w="141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1C219D8" w14:textId="5061171C" w:rsidR="00837297" w:rsidRPr="00DF1128" w:rsidRDefault="00837297" w:rsidP="00EA2B27">
            <w:pPr>
              <w:spacing w:beforeLines="20" w:before="48" w:beforeAutospacing="0" w:afterLines="20" w:after="48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2</w:t>
            </w:r>
          </w:p>
        </w:tc>
        <w:tc>
          <w:tcPr>
            <w:tcW w:w="1276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E665001" w14:textId="6D730D49" w:rsidR="00837297" w:rsidRPr="00DF1128" w:rsidRDefault="00837297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2</w:t>
            </w:r>
          </w:p>
        </w:tc>
        <w:tc>
          <w:tcPr>
            <w:tcW w:w="1559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66181CB7" w14:textId="110D4B1E" w:rsidR="00837297" w:rsidRPr="00DF1128" w:rsidRDefault="00837297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0</w:t>
            </w:r>
          </w:p>
        </w:tc>
        <w:tc>
          <w:tcPr>
            <w:tcW w:w="1667" w:type="dxa"/>
            <w:tcBorders>
              <w:top w:val="single" w:sz="8" w:space="0" w:color="2B9947"/>
              <w:left w:val="single" w:sz="8" w:space="0" w:color="2B9947"/>
              <w:bottom w:val="single" w:sz="8" w:space="0" w:color="2B9947"/>
              <w:right w:val="single" w:sz="8" w:space="0" w:color="2B9947"/>
            </w:tcBorders>
            <w:noWrap/>
            <w:hideMark/>
          </w:tcPr>
          <w:p w14:paraId="4612771D" w14:textId="25089365" w:rsidR="00837297" w:rsidRPr="00DF1128" w:rsidRDefault="00837297" w:rsidP="00EA2B27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F1128">
              <w:rPr>
                <w:color w:val="auto"/>
              </w:rPr>
              <w:t>0</w:t>
            </w:r>
          </w:p>
        </w:tc>
      </w:tr>
    </w:tbl>
    <w:p w14:paraId="6DE1E2D0" w14:textId="7E75B29E" w:rsidR="006258A2" w:rsidRPr="00142732" w:rsidRDefault="00C66375" w:rsidP="00DF1128">
      <w:pPr>
        <w:pStyle w:val="Heading2"/>
        <w:spacing w:before="360" w:line="240" w:lineRule="auto"/>
      </w:pPr>
      <w:r>
        <w:t>Data quality statement</w:t>
      </w:r>
    </w:p>
    <w:p w14:paraId="3903A897" w14:textId="2F742B95" w:rsidR="00115034" w:rsidRDefault="00115034" w:rsidP="007735B4">
      <w:pPr>
        <w:spacing w:before="120" w:beforeAutospacing="0" w:after="120"/>
      </w:pPr>
      <w:r>
        <w:t>Information is based on an aggregate of agency supplied data collected quarterly through the Human Resource Minimum Obligatory Information Requirement</w:t>
      </w:r>
      <w:r w:rsidR="00235D77">
        <w:t>s</w:t>
      </w:r>
      <w:r>
        <w:t xml:space="preserve"> (HR MOIR). Data is supplied by agencies according to the guidelines set out in </w:t>
      </w:r>
      <w:r w:rsidRPr="00DF1128">
        <w:rPr>
          <w:iCs/>
        </w:rPr>
        <w:t>HR MOIR Data Definitions 1.5.1</w:t>
      </w:r>
      <w:r w:rsidRPr="00124D96">
        <w:rPr>
          <w:iCs/>
        </w:rPr>
        <w:t>.</w:t>
      </w:r>
      <w:r>
        <w:t xml:space="preserve"> </w:t>
      </w:r>
    </w:p>
    <w:p w14:paraId="7B5F7809" w14:textId="77777777" w:rsidR="007735B4" w:rsidRDefault="00115034" w:rsidP="007735B4">
      <w:pPr>
        <w:spacing w:before="120" w:beforeAutospacing="0" w:after="120"/>
      </w:pPr>
      <w:r>
        <w:t>The information provided reflects the Commission’s holdings at the date of release.</w:t>
      </w:r>
    </w:p>
    <w:p w14:paraId="36E49AED" w14:textId="2C539A0A" w:rsidR="00C66375" w:rsidRDefault="00115034" w:rsidP="007735B4">
      <w:pPr>
        <w:spacing w:before="120" w:beforeAutospacing="0" w:after="120"/>
      </w:pPr>
      <w:r>
        <w:t>Workforce data is occasionally revised for quality</w:t>
      </w:r>
      <w:r w:rsidR="00A672C4">
        <w:t>. Any c</w:t>
      </w:r>
      <w:r>
        <w:t xml:space="preserve">orrections applied may result in figures being adjusted over time. </w:t>
      </w:r>
      <w:r w:rsidRPr="00115034">
        <w:t xml:space="preserve">This information relates only to </w:t>
      </w:r>
      <w:r w:rsidR="00A672C4">
        <w:t xml:space="preserve">the </w:t>
      </w:r>
      <w:r w:rsidR="004A3184">
        <w:t>public</w:t>
      </w:r>
      <w:r w:rsidR="004A3184" w:rsidRPr="00115034">
        <w:t xml:space="preserve"> </w:t>
      </w:r>
      <w:r w:rsidR="004A3184">
        <w:t xml:space="preserve">sector </w:t>
      </w:r>
      <w:r w:rsidRPr="00115034">
        <w:t>(</w:t>
      </w:r>
      <w:r w:rsidR="00A672C4">
        <w:t>d</w:t>
      </w:r>
      <w:r w:rsidR="00A672C4" w:rsidRPr="00115034">
        <w:t>epartment</w:t>
      </w:r>
      <w:r w:rsidRPr="00115034">
        <w:t xml:space="preserve">, SES </w:t>
      </w:r>
      <w:r w:rsidR="00A672C4">
        <w:t xml:space="preserve">organisations and </w:t>
      </w:r>
      <w:r w:rsidRPr="00115034">
        <w:t xml:space="preserve">non-SES </w:t>
      </w:r>
      <w:r w:rsidR="00A672C4">
        <w:t>organisations</w:t>
      </w:r>
      <w:r w:rsidRPr="00115034">
        <w:t>) and excludes sworn officers of the WA Police Force, public universities, local governments, government trading enterprises and other authorities.</w:t>
      </w:r>
    </w:p>
    <w:p w14:paraId="3AB7ADED" w14:textId="1E5ACFC8" w:rsidR="00C66375" w:rsidRPr="00C66375" w:rsidRDefault="00C66375" w:rsidP="007735B4">
      <w:pPr>
        <w:spacing w:before="120" w:beforeAutospacing="0" w:after="120"/>
      </w:pPr>
      <w:r w:rsidRPr="00C66375">
        <w:t xml:space="preserve">All data is accurate as reported to </w:t>
      </w:r>
      <w:r w:rsidR="007A27C1">
        <w:t>the Commission</w:t>
      </w:r>
      <w:r w:rsidR="007A27C1" w:rsidRPr="00C66375">
        <w:t xml:space="preserve"> </w:t>
      </w:r>
      <w:r w:rsidRPr="00C66375">
        <w:t>by contributing agencies.</w:t>
      </w:r>
    </w:p>
    <w:p w14:paraId="2515E35B" w14:textId="18780BC4" w:rsidR="0001245B" w:rsidRDefault="00115034" w:rsidP="007735B4">
      <w:pPr>
        <w:spacing w:before="120" w:beforeAutospacing="0" w:after="120"/>
      </w:pPr>
      <w:r w:rsidRPr="00115034">
        <w:t>As some figures have been rounded, discrepancies may occur between sums of the component items and totals.</w:t>
      </w:r>
      <w:r>
        <w:t xml:space="preserve"> </w:t>
      </w:r>
      <w:r w:rsidR="0001245B" w:rsidRPr="0001245B">
        <w:t>Salaries expenditure</w:t>
      </w:r>
      <w:r w:rsidR="0001245B">
        <w:t xml:space="preserve"> data and information </w:t>
      </w:r>
      <w:r w:rsidR="007A27C1">
        <w:t xml:space="preserve">are </w:t>
      </w:r>
      <w:r w:rsidR="0001245B">
        <w:t>provided by the Department of Treasury.</w:t>
      </w:r>
    </w:p>
    <w:p w14:paraId="025CE53D" w14:textId="5E2C14F8" w:rsidR="004C6C85" w:rsidRDefault="000A634C" w:rsidP="007735B4">
      <w:pPr>
        <w:spacing w:before="120" w:beforeAutospacing="0" w:after="120"/>
      </w:pPr>
      <w:r>
        <w:lastRenderedPageBreak/>
        <w:t>The p</w:t>
      </w:r>
      <w:r w:rsidR="004C6C85" w:rsidRPr="004C6C85">
        <w:t>ublication cycle was changed from quarterly to 6 monthly from 1 July 2024. Information now reflects 6 monthly changes.</w:t>
      </w:r>
    </w:p>
    <w:p w14:paraId="2EE0B7FE" w14:textId="609B8F0D" w:rsidR="006258A2" w:rsidRPr="00142732" w:rsidRDefault="006258A2" w:rsidP="006A4577">
      <w:pPr>
        <w:pStyle w:val="Heading2"/>
        <w:spacing w:before="360"/>
      </w:pPr>
      <w:r w:rsidRPr="00142732">
        <w:t>Contact</w:t>
      </w:r>
    </w:p>
    <w:p w14:paraId="5BF6743A" w14:textId="5E9E8963" w:rsidR="00C736B0" w:rsidRPr="00142732" w:rsidRDefault="00124D96" w:rsidP="007735B4">
      <w:pPr>
        <w:spacing w:before="120" w:beforeAutospacing="0"/>
      </w:pPr>
      <w:r>
        <w:t>For</w:t>
      </w:r>
      <w:r w:rsidRPr="00607466">
        <w:t xml:space="preserve"> </w:t>
      </w:r>
      <w:r w:rsidR="006258A2" w:rsidRPr="00607466">
        <w:t xml:space="preserve">enquiries about the Public Sector Commission’s data </w:t>
      </w:r>
      <w:r>
        <w:t>email</w:t>
      </w:r>
      <w:r w:rsidR="006258A2" w:rsidRPr="00607466">
        <w:t xml:space="preserve"> </w:t>
      </w:r>
      <w:hyperlink r:id="rId14" w:history="1">
        <w:r w:rsidR="006258A2" w:rsidRPr="007735B4">
          <w:rPr>
            <w:color w:val="2E74B5" w:themeColor="accent1" w:themeShade="BF"/>
            <w:u w:val="single"/>
          </w:rPr>
          <w:t>stateadministrator@psc.wa.gov.au</w:t>
        </w:r>
      </w:hyperlink>
      <w:r w:rsidR="00E1633D">
        <w:t xml:space="preserve">. </w:t>
      </w:r>
    </w:p>
    <w:sectPr w:rsidR="00C736B0" w:rsidRPr="00142732" w:rsidSect="007735B4">
      <w:footerReference w:type="default" r:id="rId15"/>
      <w:headerReference w:type="first" r:id="rId16"/>
      <w:pgSz w:w="11906" w:h="16838"/>
      <w:pgMar w:top="1440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7736B" w14:textId="77777777" w:rsidR="003A5A39" w:rsidRDefault="003A5A39" w:rsidP="00607466">
      <w:r>
        <w:separator/>
      </w:r>
    </w:p>
  </w:endnote>
  <w:endnote w:type="continuationSeparator" w:id="0">
    <w:p w14:paraId="43495AA6" w14:textId="77777777" w:rsidR="003A5A39" w:rsidRDefault="003A5A39" w:rsidP="0060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1A693" w14:textId="77777777" w:rsidR="00A66027" w:rsidRPr="00DD61C1" w:rsidRDefault="00A66027" w:rsidP="00DD61C1">
    <w:pPr>
      <w:spacing w:before="0" w:beforeAutospacing="0" w:after="120"/>
      <w:rPr>
        <w:rFonts w:eastAsiaTheme="minorHAnsi"/>
        <w:color w:val="auto"/>
        <w:szCs w:val="24"/>
        <w:lang w:eastAsia="en-US"/>
      </w:rPr>
    </w:pPr>
    <w:r w:rsidRPr="00DD61C1">
      <w:rPr>
        <w:rFonts w:ascii="Century Gothic" w:eastAsiaTheme="minorHAnsi" w:hAnsi="Century Gothic"/>
        <w:noProof/>
        <w:color w:val="auto"/>
        <w:sz w:val="18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8ADC5F" wp14:editId="4F39ED61">
              <wp:simplePos x="0" y="0"/>
              <wp:positionH relativeFrom="margin">
                <wp:posOffset>-21265</wp:posOffset>
              </wp:positionH>
              <wp:positionV relativeFrom="paragraph">
                <wp:posOffset>130411</wp:posOffset>
              </wp:positionV>
              <wp:extent cx="5736708" cy="0"/>
              <wp:effectExtent l="0" t="0" r="35560" b="19050"/>
              <wp:wrapNone/>
              <wp:docPr id="72" name="Straight Connector 7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6708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B99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4BB2FD0" id="Straight Connector 72" o:spid="_x0000_s1026" alt="&quot;&quot;" style="position:absolute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.65pt,10.25pt" to="450.0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" strokecolor="#2b9947" strokeweight="1pt">
              <v:stroke joinstyle="miter"/>
              <w10:wrap anchorx="margin"/>
            </v:line>
          </w:pict>
        </mc:Fallback>
      </mc:AlternateContent>
    </w:r>
  </w:p>
  <w:p w14:paraId="5F2705AA" w14:textId="0C6762F3" w:rsidR="00A66027" w:rsidRPr="00DD61C1" w:rsidRDefault="00A66027" w:rsidP="00DD61C1">
    <w:pPr>
      <w:tabs>
        <w:tab w:val="right" w:pos="9026"/>
      </w:tabs>
      <w:spacing w:before="0" w:beforeAutospacing="0" w:after="0"/>
      <w:rPr>
        <w:rFonts w:ascii="Century Gothic" w:eastAsiaTheme="minorHAnsi" w:hAnsi="Century Gothic"/>
        <w:color w:val="auto"/>
        <w:sz w:val="18"/>
        <w:szCs w:val="24"/>
        <w:lang w:eastAsia="en-US"/>
      </w:rPr>
    </w:pPr>
    <w:r>
      <w:rPr>
        <w:rFonts w:ascii="Century Gothic" w:eastAsiaTheme="minorHAnsi" w:hAnsi="Century Gothic"/>
        <w:color w:val="auto"/>
        <w:sz w:val="18"/>
        <w:szCs w:val="24"/>
        <w:lang w:eastAsia="en-US"/>
      </w:rPr>
      <w:t>Western Australian public sector workforce report</w:t>
    </w:r>
    <w:r w:rsidR="0067372B">
      <w:rPr>
        <w:rFonts w:ascii="Century Gothic" w:eastAsiaTheme="minorHAnsi" w:hAnsi="Century Gothic"/>
        <w:color w:val="auto"/>
        <w:sz w:val="18"/>
        <w:szCs w:val="24"/>
        <w:lang w:eastAsia="en-US"/>
      </w:rPr>
      <w:t>:</w:t>
    </w:r>
    <w:r w:rsidRPr="00DD61C1">
      <w:rPr>
        <w:rFonts w:ascii="Century Gothic" w:eastAsiaTheme="minorHAnsi" w:hAnsi="Century Gothic"/>
        <w:color w:val="auto"/>
        <w:sz w:val="18"/>
        <w:szCs w:val="24"/>
        <w:lang w:eastAsia="en-US"/>
      </w:rPr>
      <w:t xml:space="preserve"> </w:t>
    </w:r>
    <w:r w:rsidR="00944809">
      <w:rPr>
        <w:rFonts w:ascii="Century Gothic" w:eastAsiaTheme="minorHAnsi" w:hAnsi="Century Gothic"/>
        <w:color w:val="auto"/>
        <w:sz w:val="18"/>
        <w:szCs w:val="24"/>
        <w:lang w:eastAsia="en-US"/>
      </w:rPr>
      <w:t>March</w:t>
    </w:r>
    <w:r w:rsidR="004E6189">
      <w:rPr>
        <w:rFonts w:ascii="Century Gothic" w:eastAsiaTheme="minorHAnsi" w:hAnsi="Century Gothic"/>
        <w:color w:val="auto"/>
        <w:sz w:val="18"/>
        <w:szCs w:val="24"/>
        <w:lang w:eastAsia="en-US"/>
      </w:rPr>
      <w:t xml:space="preserve"> 202</w:t>
    </w:r>
    <w:r w:rsidR="00944809">
      <w:rPr>
        <w:rFonts w:ascii="Century Gothic" w:eastAsiaTheme="minorHAnsi" w:hAnsi="Century Gothic"/>
        <w:color w:val="auto"/>
        <w:sz w:val="18"/>
        <w:szCs w:val="24"/>
        <w:lang w:eastAsia="en-US"/>
      </w:rPr>
      <w:t>5</w:t>
    </w:r>
    <w:sdt>
      <w:sdtPr>
        <w:rPr>
          <w:rFonts w:ascii="Century Gothic" w:eastAsiaTheme="minorHAnsi" w:hAnsi="Century Gothic" w:cs="Calibri Light"/>
          <w:color w:val="auto"/>
          <w:sz w:val="18"/>
          <w:szCs w:val="24"/>
          <w:lang w:eastAsia="en-US"/>
        </w:rPr>
        <w:id w:val="1279605289"/>
        <w:docPartObj>
          <w:docPartGallery w:val="Page Numbers (Bottom of Page)"/>
          <w:docPartUnique/>
        </w:docPartObj>
      </w:sdtPr>
      <w:sdtEndPr>
        <w:rPr>
          <w:rFonts w:cs="Arial"/>
          <w:noProof/>
        </w:rPr>
      </w:sdtEndPr>
      <w:sdtContent>
        <w:r w:rsidRPr="00DD61C1">
          <w:rPr>
            <w:rFonts w:ascii="Century Gothic" w:eastAsiaTheme="minorHAnsi" w:hAnsi="Century Gothic" w:cs="Calibri Light"/>
            <w:color w:val="auto"/>
            <w:sz w:val="18"/>
            <w:szCs w:val="24"/>
            <w:lang w:eastAsia="en-US"/>
          </w:rPr>
          <w:tab/>
        </w:r>
        <w:r w:rsidRPr="00DD61C1">
          <w:rPr>
            <w:rFonts w:ascii="Century Gothic" w:eastAsiaTheme="minorHAnsi" w:hAnsi="Century Gothic"/>
            <w:color w:val="auto"/>
            <w:sz w:val="18"/>
            <w:szCs w:val="24"/>
            <w:lang w:eastAsia="en-US"/>
          </w:rPr>
          <w:fldChar w:fldCharType="begin"/>
        </w:r>
        <w:r w:rsidRPr="00DD61C1">
          <w:rPr>
            <w:rFonts w:ascii="Century Gothic" w:eastAsiaTheme="minorHAnsi" w:hAnsi="Century Gothic"/>
            <w:color w:val="auto"/>
            <w:sz w:val="18"/>
            <w:szCs w:val="24"/>
            <w:lang w:eastAsia="en-US"/>
          </w:rPr>
          <w:instrText xml:space="preserve"> PAGE   \* MERGEFORMAT </w:instrText>
        </w:r>
        <w:r w:rsidRPr="00DD61C1">
          <w:rPr>
            <w:rFonts w:ascii="Century Gothic" w:eastAsiaTheme="minorHAnsi" w:hAnsi="Century Gothic"/>
            <w:color w:val="auto"/>
            <w:sz w:val="18"/>
            <w:szCs w:val="24"/>
            <w:lang w:eastAsia="en-US"/>
          </w:rPr>
          <w:fldChar w:fldCharType="separate"/>
        </w:r>
        <w:r w:rsidR="00A646DB">
          <w:rPr>
            <w:rFonts w:ascii="Century Gothic" w:eastAsiaTheme="minorHAnsi" w:hAnsi="Century Gothic"/>
            <w:noProof/>
            <w:color w:val="auto"/>
            <w:sz w:val="18"/>
            <w:szCs w:val="24"/>
            <w:lang w:eastAsia="en-US"/>
          </w:rPr>
          <w:t>8</w:t>
        </w:r>
        <w:r w:rsidRPr="00DD61C1">
          <w:rPr>
            <w:rFonts w:ascii="Century Gothic" w:eastAsiaTheme="minorHAnsi" w:hAnsi="Century Gothic"/>
            <w:noProof/>
            <w:color w:val="auto"/>
            <w:sz w:val="18"/>
            <w:szCs w:val="24"/>
            <w:lang w:eastAsia="en-U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3A7EC" w14:textId="77777777" w:rsidR="003A5A39" w:rsidRDefault="003A5A39" w:rsidP="00607466">
      <w:r>
        <w:separator/>
      </w:r>
    </w:p>
  </w:footnote>
  <w:footnote w:type="continuationSeparator" w:id="0">
    <w:p w14:paraId="3205A438" w14:textId="77777777" w:rsidR="003A5A39" w:rsidRDefault="003A5A39" w:rsidP="00607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F79A9" w14:textId="28603EC0" w:rsidR="00A66027" w:rsidRDefault="00A66027" w:rsidP="00607466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F540C57" wp14:editId="7C548777">
          <wp:simplePos x="0" y="0"/>
          <wp:positionH relativeFrom="page">
            <wp:posOffset>15240</wp:posOffset>
          </wp:positionH>
          <wp:positionV relativeFrom="paragraph">
            <wp:posOffset>-457835</wp:posOffset>
          </wp:positionV>
          <wp:extent cx="7548785" cy="10026502"/>
          <wp:effectExtent l="0" t="0" r="0" b="0"/>
          <wp:wrapNone/>
          <wp:docPr id="1541567457" name="Picture 15415674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097"/>
                  <a:stretch/>
                </pic:blipFill>
                <pic:spPr bwMode="auto">
                  <a:xfrm>
                    <a:off x="0" y="0"/>
                    <a:ext cx="7548785" cy="100265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572AA"/>
    <w:multiLevelType w:val="hybridMultilevel"/>
    <w:tmpl w:val="146E4656"/>
    <w:lvl w:ilvl="0" w:tplc="B290C11E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C2ED9"/>
    <w:multiLevelType w:val="hybridMultilevel"/>
    <w:tmpl w:val="043858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73B37"/>
    <w:multiLevelType w:val="hybridMultilevel"/>
    <w:tmpl w:val="E78CA0B2"/>
    <w:lvl w:ilvl="0" w:tplc="53CE59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CB6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42D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6A0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A2A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4E89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544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8A6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101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4341C27"/>
    <w:multiLevelType w:val="hybridMultilevel"/>
    <w:tmpl w:val="505ADB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1089A"/>
    <w:multiLevelType w:val="hybridMultilevel"/>
    <w:tmpl w:val="6A6A04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630F0"/>
    <w:multiLevelType w:val="hybridMultilevel"/>
    <w:tmpl w:val="1286E0B4"/>
    <w:lvl w:ilvl="0" w:tplc="0C0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6" w15:restartNumberingAfterBreak="0">
    <w:nsid w:val="32412EF9"/>
    <w:multiLevelType w:val="hybridMultilevel"/>
    <w:tmpl w:val="7E76029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28A0B79"/>
    <w:multiLevelType w:val="hybridMultilevel"/>
    <w:tmpl w:val="AC6413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04B11"/>
    <w:multiLevelType w:val="hybridMultilevel"/>
    <w:tmpl w:val="E4ECF662"/>
    <w:lvl w:ilvl="0" w:tplc="BD5CEB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04FB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594D9F"/>
    <w:multiLevelType w:val="hybridMultilevel"/>
    <w:tmpl w:val="456223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2531F"/>
    <w:multiLevelType w:val="hybridMultilevel"/>
    <w:tmpl w:val="43F465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3042C"/>
    <w:multiLevelType w:val="hybridMultilevel"/>
    <w:tmpl w:val="7C485D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A0DCE"/>
    <w:multiLevelType w:val="hybridMultilevel"/>
    <w:tmpl w:val="8D5A25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A95A15"/>
    <w:multiLevelType w:val="hybridMultilevel"/>
    <w:tmpl w:val="23885A46"/>
    <w:lvl w:ilvl="0" w:tplc="0C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4" w15:restartNumberingAfterBreak="0">
    <w:nsid w:val="60D77354"/>
    <w:multiLevelType w:val="hybridMultilevel"/>
    <w:tmpl w:val="56464C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578A2"/>
    <w:multiLevelType w:val="hybridMultilevel"/>
    <w:tmpl w:val="62B8B4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F6CFA"/>
    <w:multiLevelType w:val="hybridMultilevel"/>
    <w:tmpl w:val="F3FE0ADA"/>
    <w:lvl w:ilvl="0" w:tplc="83B09AEC">
      <w:start w:val="1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9F0BBA"/>
    <w:multiLevelType w:val="hybridMultilevel"/>
    <w:tmpl w:val="FCB41D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F7308"/>
    <w:multiLevelType w:val="multilevel"/>
    <w:tmpl w:val="960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C26974"/>
    <w:multiLevelType w:val="hybridMultilevel"/>
    <w:tmpl w:val="96385C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604285"/>
    <w:multiLevelType w:val="hybridMultilevel"/>
    <w:tmpl w:val="31D88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274627">
    <w:abstractNumId w:val="18"/>
  </w:num>
  <w:num w:numId="2" w16cid:durableId="205455841">
    <w:abstractNumId w:val="16"/>
  </w:num>
  <w:num w:numId="3" w16cid:durableId="1640527047">
    <w:abstractNumId w:val="6"/>
  </w:num>
  <w:num w:numId="4" w16cid:durableId="1932084160">
    <w:abstractNumId w:val="8"/>
  </w:num>
  <w:num w:numId="5" w16cid:durableId="708188947">
    <w:abstractNumId w:val="11"/>
  </w:num>
  <w:num w:numId="6" w16cid:durableId="1121999163">
    <w:abstractNumId w:val="1"/>
  </w:num>
  <w:num w:numId="7" w16cid:durableId="1009335998">
    <w:abstractNumId w:val="7"/>
  </w:num>
  <w:num w:numId="8" w16cid:durableId="1811751700">
    <w:abstractNumId w:val="12"/>
  </w:num>
  <w:num w:numId="9" w16cid:durableId="1329409340">
    <w:abstractNumId w:val="0"/>
  </w:num>
  <w:num w:numId="10" w16cid:durableId="711004170">
    <w:abstractNumId w:val="19"/>
  </w:num>
  <w:num w:numId="11" w16cid:durableId="1475757976">
    <w:abstractNumId w:val="2"/>
  </w:num>
  <w:num w:numId="12" w16cid:durableId="1256593069">
    <w:abstractNumId w:val="13"/>
  </w:num>
  <w:num w:numId="13" w16cid:durableId="189683929">
    <w:abstractNumId w:val="9"/>
  </w:num>
  <w:num w:numId="14" w16cid:durableId="551119858">
    <w:abstractNumId w:val="3"/>
  </w:num>
  <w:num w:numId="15" w16cid:durableId="1289169612">
    <w:abstractNumId w:val="4"/>
  </w:num>
  <w:num w:numId="16" w16cid:durableId="269357990">
    <w:abstractNumId w:val="15"/>
  </w:num>
  <w:num w:numId="17" w16cid:durableId="921523630">
    <w:abstractNumId w:val="5"/>
  </w:num>
  <w:num w:numId="18" w16cid:durableId="641153176">
    <w:abstractNumId w:val="10"/>
  </w:num>
  <w:num w:numId="19" w16cid:durableId="238517261">
    <w:abstractNumId w:val="14"/>
  </w:num>
  <w:num w:numId="20" w16cid:durableId="1884827410">
    <w:abstractNumId w:val="20"/>
  </w:num>
  <w:num w:numId="21" w16cid:durableId="13319852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0D9"/>
    <w:rsid w:val="000002FD"/>
    <w:rsid w:val="000039AA"/>
    <w:rsid w:val="00007E94"/>
    <w:rsid w:val="0001245B"/>
    <w:rsid w:val="000158AF"/>
    <w:rsid w:val="000163A9"/>
    <w:rsid w:val="00017873"/>
    <w:rsid w:val="00017D66"/>
    <w:rsid w:val="000207C1"/>
    <w:rsid w:val="00022074"/>
    <w:rsid w:val="00024274"/>
    <w:rsid w:val="00027334"/>
    <w:rsid w:val="000277A4"/>
    <w:rsid w:val="0003049E"/>
    <w:rsid w:val="00030603"/>
    <w:rsid w:val="00034091"/>
    <w:rsid w:val="00034220"/>
    <w:rsid w:val="00035D91"/>
    <w:rsid w:val="00036DCA"/>
    <w:rsid w:val="00052DB4"/>
    <w:rsid w:val="00056D16"/>
    <w:rsid w:val="000610C7"/>
    <w:rsid w:val="000633EC"/>
    <w:rsid w:val="00063760"/>
    <w:rsid w:val="00066AAA"/>
    <w:rsid w:val="000670C1"/>
    <w:rsid w:val="00070C4C"/>
    <w:rsid w:val="00071A0B"/>
    <w:rsid w:val="00073448"/>
    <w:rsid w:val="00073FAA"/>
    <w:rsid w:val="00087D31"/>
    <w:rsid w:val="000903CB"/>
    <w:rsid w:val="00090CE8"/>
    <w:rsid w:val="000922E4"/>
    <w:rsid w:val="00093DCC"/>
    <w:rsid w:val="00095BA7"/>
    <w:rsid w:val="00096972"/>
    <w:rsid w:val="00097D13"/>
    <w:rsid w:val="000A3161"/>
    <w:rsid w:val="000A5C90"/>
    <w:rsid w:val="000A5FBD"/>
    <w:rsid w:val="000A634C"/>
    <w:rsid w:val="000A6CFF"/>
    <w:rsid w:val="000B1091"/>
    <w:rsid w:val="000B5B90"/>
    <w:rsid w:val="000B67A1"/>
    <w:rsid w:val="000C4D29"/>
    <w:rsid w:val="000C66F5"/>
    <w:rsid w:val="000C7180"/>
    <w:rsid w:val="000D0B9E"/>
    <w:rsid w:val="000D1422"/>
    <w:rsid w:val="000D297F"/>
    <w:rsid w:val="000D3754"/>
    <w:rsid w:val="000D7AD8"/>
    <w:rsid w:val="000E1883"/>
    <w:rsid w:val="000E1D23"/>
    <w:rsid w:val="000F279C"/>
    <w:rsid w:val="000F6B00"/>
    <w:rsid w:val="00102226"/>
    <w:rsid w:val="00103AF5"/>
    <w:rsid w:val="00104C1B"/>
    <w:rsid w:val="001106D3"/>
    <w:rsid w:val="001118D7"/>
    <w:rsid w:val="00112F25"/>
    <w:rsid w:val="00113B8B"/>
    <w:rsid w:val="00114B34"/>
    <w:rsid w:val="00115034"/>
    <w:rsid w:val="001164A8"/>
    <w:rsid w:val="00124A29"/>
    <w:rsid w:val="00124D96"/>
    <w:rsid w:val="001272D1"/>
    <w:rsid w:val="001308FA"/>
    <w:rsid w:val="0013168B"/>
    <w:rsid w:val="001327BA"/>
    <w:rsid w:val="00137BAC"/>
    <w:rsid w:val="001420AB"/>
    <w:rsid w:val="00142732"/>
    <w:rsid w:val="00144419"/>
    <w:rsid w:val="001533F4"/>
    <w:rsid w:val="00155969"/>
    <w:rsid w:val="00155B99"/>
    <w:rsid w:val="00156AF1"/>
    <w:rsid w:val="0016001B"/>
    <w:rsid w:val="00160270"/>
    <w:rsid w:val="00161957"/>
    <w:rsid w:val="0016263F"/>
    <w:rsid w:val="00163AC1"/>
    <w:rsid w:val="001648F9"/>
    <w:rsid w:val="00165927"/>
    <w:rsid w:val="00166066"/>
    <w:rsid w:val="00166F9C"/>
    <w:rsid w:val="00167A36"/>
    <w:rsid w:val="001720BE"/>
    <w:rsid w:val="00173063"/>
    <w:rsid w:val="00173395"/>
    <w:rsid w:val="00174840"/>
    <w:rsid w:val="00176402"/>
    <w:rsid w:val="001772B6"/>
    <w:rsid w:val="0017783C"/>
    <w:rsid w:val="001819FB"/>
    <w:rsid w:val="00184365"/>
    <w:rsid w:val="00192F72"/>
    <w:rsid w:val="001937BA"/>
    <w:rsid w:val="001943ED"/>
    <w:rsid w:val="0019442D"/>
    <w:rsid w:val="00194E7C"/>
    <w:rsid w:val="00194F4C"/>
    <w:rsid w:val="001966C0"/>
    <w:rsid w:val="001A6438"/>
    <w:rsid w:val="001B1AF4"/>
    <w:rsid w:val="001B1B01"/>
    <w:rsid w:val="001B3D81"/>
    <w:rsid w:val="001B563A"/>
    <w:rsid w:val="001B5B8A"/>
    <w:rsid w:val="001C2218"/>
    <w:rsid w:val="001C2AD2"/>
    <w:rsid w:val="001C5084"/>
    <w:rsid w:val="001C7E5E"/>
    <w:rsid w:val="001D0341"/>
    <w:rsid w:val="001D0F7C"/>
    <w:rsid w:val="001D1367"/>
    <w:rsid w:val="001D1C75"/>
    <w:rsid w:val="001D1D5D"/>
    <w:rsid w:val="001D21F5"/>
    <w:rsid w:val="001D35F8"/>
    <w:rsid w:val="001D5DEC"/>
    <w:rsid w:val="001E1FA3"/>
    <w:rsid w:val="001E2493"/>
    <w:rsid w:val="001E2937"/>
    <w:rsid w:val="001E6B9B"/>
    <w:rsid w:val="001F332C"/>
    <w:rsid w:val="001F3558"/>
    <w:rsid w:val="001F4612"/>
    <w:rsid w:val="001F4FA6"/>
    <w:rsid w:val="001F5036"/>
    <w:rsid w:val="001F6946"/>
    <w:rsid w:val="00200EC9"/>
    <w:rsid w:val="00201696"/>
    <w:rsid w:val="00202E31"/>
    <w:rsid w:val="00205D96"/>
    <w:rsid w:val="002070F3"/>
    <w:rsid w:val="00220804"/>
    <w:rsid w:val="0022190A"/>
    <w:rsid w:val="00225510"/>
    <w:rsid w:val="00235732"/>
    <w:rsid w:val="00235D77"/>
    <w:rsid w:val="00237216"/>
    <w:rsid w:val="00237EB4"/>
    <w:rsid w:val="00240624"/>
    <w:rsid w:val="0024062E"/>
    <w:rsid w:val="002407DF"/>
    <w:rsid w:val="00243430"/>
    <w:rsid w:val="002443EF"/>
    <w:rsid w:val="0024476A"/>
    <w:rsid w:val="0024479E"/>
    <w:rsid w:val="0024639B"/>
    <w:rsid w:val="002470F4"/>
    <w:rsid w:val="002500BA"/>
    <w:rsid w:val="002506AA"/>
    <w:rsid w:val="0025175B"/>
    <w:rsid w:val="00254FD5"/>
    <w:rsid w:val="002561B4"/>
    <w:rsid w:val="00261B99"/>
    <w:rsid w:val="00262956"/>
    <w:rsid w:val="00262E0A"/>
    <w:rsid w:val="00262E86"/>
    <w:rsid w:val="002660F9"/>
    <w:rsid w:val="00266709"/>
    <w:rsid w:val="002677BA"/>
    <w:rsid w:val="00272492"/>
    <w:rsid w:val="00272816"/>
    <w:rsid w:val="00273A8D"/>
    <w:rsid w:val="002741E8"/>
    <w:rsid w:val="0027558C"/>
    <w:rsid w:val="00276D58"/>
    <w:rsid w:val="00277CE4"/>
    <w:rsid w:val="00281C7E"/>
    <w:rsid w:val="0028310A"/>
    <w:rsid w:val="00284476"/>
    <w:rsid w:val="002861A8"/>
    <w:rsid w:val="00290234"/>
    <w:rsid w:val="0029182E"/>
    <w:rsid w:val="002952BA"/>
    <w:rsid w:val="00297FF6"/>
    <w:rsid w:val="002B2291"/>
    <w:rsid w:val="002B599A"/>
    <w:rsid w:val="002C300F"/>
    <w:rsid w:val="002C3EF0"/>
    <w:rsid w:val="002C4629"/>
    <w:rsid w:val="002C49E1"/>
    <w:rsid w:val="002C7728"/>
    <w:rsid w:val="002D2312"/>
    <w:rsid w:val="002D4961"/>
    <w:rsid w:val="002E171B"/>
    <w:rsid w:val="002E25E1"/>
    <w:rsid w:val="002E40BB"/>
    <w:rsid w:val="002E6B2C"/>
    <w:rsid w:val="002F3AD7"/>
    <w:rsid w:val="002F7E7D"/>
    <w:rsid w:val="00300820"/>
    <w:rsid w:val="00301393"/>
    <w:rsid w:val="00301C13"/>
    <w:rsid w:val="00303049"/>
    <w:rsid w:val="00303693"/>
    <w:rsid w:val="00307CD4"/>
    <w:rsid w:val="0031286C"/>
    <w:rsid w:val="003157D6"/>
    <w:rsid w:val="003167AF"/>
    <w:rsid w:val="00323411"/>
    <w:rsid w:val="003239DA"/>
    <w:rsid w:val="00324BC8"/>
    <w:rsid w:val="00327D17"/>
    <w:rsid w:val="00332133"/>
    <w:rsid w:val="00332AB0"/>
    <w:rsid w:val="00333619"/>
    <w:rsid w:val="003336F7"/>
    <w:rsid w:val="003401E6"/>
    <w:rsid w:val="003415E1"/>
    <w:rsid w:val="003444F2"/>
    <w:rsid w:val="00344738"/>
    <w:rsid w:val="0034676E"/>
    <w:rsid w:val="00350690"/>
    <w:rsid w:val="00353B63"/>
    <w:rsid w:val="00355158"/>
    <w:rsid w:val="0035762C"/>
    <w:rsid w:val="00360066"/>
    <w:rsid w:val="00360B0E"/>
    <w:rsid w:val="00361907"/>
    <w:rsid w:val="00362E86"/>
    <w:rsid w:val="00366958"/>
    <w:rsid w:val="00366ECE"/>
    <w:rsid w:val="00370A08"/>
    <w:rsid w:val="00370A3C"/>
    <w:rsid w:val="00372658"/>
    <w:rsid w:val="00373FD9"/>
    <w:rsid w:val="0037417C"/>
    <w:rsid w:val="00380750"/>
    <w:rsid w:val="003810A7"/>
    <w:rsid w:val="003828D6"/>
    <w:rsid w:val="00383E02"/>
    <w:rsid w:val="003901E0"/>
    <w:rsid w:val="00390E39"/>
    <w:rsid w:val="00391A65"/>
    <w:rsid w:val="003934B4"/>
    <w:rsid w:val="00396099"/>
    <w:rsid w:val="003A32F5"/>
    <w:rsid w:val="003A5A39"/>
    <w:rsid w:val="003A6A05"/>
    <w:rsid w:val="003B4CFA"/>
    <w:rsid w:val="003B5090"/>
    <w:rsid w:val="003B67F9"/>
    <w:rsid w:val="003B7136"/>
    <w:rsid w:val="003B73FF"/>
    <w:rsid w:val="003B74DA"/>
    <w:rsid w:val="003D2AB1"/>
    <w:rsid w:val="003D4484"/>
    <w:rsid w:val="003D4C38"/>
    <w:rsid w:val="003D7A16"/>
    <w:rsid w:val="003D7A87"/>
    <w:rsid w:val="003E1971"/>
    <w:rsid w:val="003E1A9C"/>
    <w:rsid w:val="003E2811"/>
    <w:rsid w:val="003E40AB"/>
    <w:rsid w:val="003E5358"/>
    <w:rsid w:val="003E6D70"/>
    <w:rsid w:val="003F0A06"/>
    <w:rsid w:val="003F109B"/>
    <w:rsid w:val="003F1D50"/>
    <w:rsid w:val="003F31B7"/>
    <w:rsid w:val="003F3BE7"/>
    <w:rsid w:val="003F5010"/>
    <w:rsid w:val="003F5682"/>
    <w:rsid w:val="00402C29"/>
    <w:rsid w:val="00403A6B"/>
    <w:rsid w:val="00405CAE"/>
    <w:rsid w:val="00406171"/>
    <w:rsid w:val="00406B35"/>
    <w:rsid w:val="0040733D"/>
    <w:rsid w:val="0040739E"/>
    <w:rsid w:val="0040746E"/>
    <w:rsid w:val="00412ABB"/>
    <w:rsid w:val="00415527"/>
    <w:rsid w:val="0041564A"/>
    <w:rsid w:val="00417961"/>
    <w:rsid w:val="00417AF6"/>
    <w:rsid w:val="00423313"/>
    <w:rsid w:val="00423BBB"/>
    <w:rsid w:val="00425F5A"/>
    <w:rsid w:val="0042671E"/>
    <w:rsid w:val="004309BB"/>
    <w:rsid w:val="004338CC"/>
    <w:rsid w:val="004375DD"/>
    <w:rsid w:val="0044026E"/>
    <w:rsid w:val="0044046D"/>
    <w:rsid w:val="004425F4"/>
    <w:rsid w:val="00442770"/>
    <w:rsid w:val="00443D3E"/>
    <w:rsid w:val="004449CA"/>
    <w:rsid w:val="00446A3F"/>
    <w:rsid w:val="004476E6"/>
    <w:rsid w:val="00450A20"/>
    <w:rsid w:val="00451D50"/>
    <w:rsid w:val="004522BF"/>
    <w:rsid w:val="00455B8B"/>
    <w:rsid w:val="004560E9"/>
    <w:rsid w:val="004611D7"/>
    <w:rsid w:val="004619AD"/>
    <w:rsid w:val="00466C84"/>
    <w:rsid w:val="0046768C"/>
    <w:rsid w:val="00470068"/>
    <w:rsid w:val="004704B6"/>
    <w:rsid w:val="00475B2E"/>
    <w:rsid w:val="00480722"/>
    <w:rsid w:val="00484458"/>
    <w:rsid w:val="00486F20"/>
    <w:rsid w:val="00491065"/>
    <w:rsid w:val="00492949"/>
    <w:rsid w:val="004939BE"/>
    <w:rsid w:val="00495618"/>
    <w:rsid w:val="004970D8"/>
    <w:rsid w:val="0049790C"/>
    <w:rsid w:val="004A3184"/>
    <w:rsid w:val="004B0540"/>
    <w:rsid w:val="004B1A28"/>
    <w:rsid w:val="004B4E73"/>
    <w:rsid w:val="004B5374"/>
    <w:rsid w:val="004B5A06"/>
    <w:rsid w:val="004C1114"/>
    <w:rsid w:val="004C4E83"/>
    <w:rsid w:val="004C6C85"/>
    <w:rsid w:val="004C7EDF"/>
    <w:rsid w:val="004D0D70"/>
    <w:rsid w:val="004D0F80"/>
    <w:rsid w:val="004D1F4A"/>
    <w:rsid w:val="004D2D10"/>
    <w:rsid w:val="004D67BF"/>
    <w:rsid w:val="004E0D93"/>
    <w:rsid w:val="004E0EE5"/>
    <w:rsid w:val="004E52A9"/>
    <w:rsid w:val="004E6189"/>
    <w:rsid w:val="004F2FB3"/>
    <w:rsid w:val="00500F12"/>
    <w:rsid w:val="00504075"/>
    <w:rsid w:val="00504646"/>
    <w:rsid w:val="0050478D"/>
    <w:rsid w:val="00510811"/>
    <w:rsid w:val="005111CC"/>
    <w:rsid w:val="0051632C"/>
    <w:rsid w:val="005164C9"/>
    <w:rsid w:val="00517EC3"/>
    <w:rsid w:val="00517FE7"/>
    <w:rsid w:val="005211EB"/>
    <w:rsid w:val="00523436"/>
    <w:rsid w:val="005236C5"/>
    <w:rsid w:val="0052376E"/>
    <w:rsid w:val="00526D6D"/>
    <w:rsid w:val="00535FD5"/>
    <w:rsid w:val="00536F7A"/>
    <w:rsid w:val="005374A5"/>
    <w:rsid w:val="00537716"/>
    <w:rsid w:val="00540BCC"/>
    <w:rsid w:val="005430B9"/>
    <w:rsid w:val="0055638F"/>
    <w:rsid w:val="00557AF6"/>
    <w:rsid w:val="00557EEB"/>
    <w:rsid w:val="00562226"/>
    <w:rsid w:val="005660CE"/>
    <w:rsid w:val="0056675A"/>
    <w:rsid w:val="00566F6A"/>
    <w:rsid w:val="00570FFE"/>
    <w:rsid w:val="00572E33"/>
    <w:rsid w:val="00576493"/>
    <w:rsid w:val="00576C5C"/>
    <w:rsid w:val="0058055E"/>
    <w:rsid w:val="0058211D"/>
    <w:rsid w:val="00583006"/>
    <w:rsid w:val="00585614"/>
    <w:rsid w:val="00590449"/>
    <w:rsid w:val="005939B5"/>
    <w:rsid w:val="00593DB6"/>
    <w:rsid w:val="0059550D"/>
    <w:rsid w:val="00595EE7"/>
    <w:rsid w:val="005A0512"/>
    <w:rsid w:val="005A2B23"/>
    <w:rsid w:val="005A4AF9"/>
    <w:rsid w:val="005A6E16"/>
    <w:rsid w:val="005B22C8"/>
    <w:rsid w:val="005B7B66"/>
    <w:rsid w:val="005C054C"/>
    <w:rsid w:val="005C4AC3"/>
    <w:rsid w:val="005C5C7B"/>
    <w:rsid w:val="005C79A8"/>
    <w:rsid w:val="005D4604"/>
    <w:rsid w:val="005D7B2A"/>
    <w:rsid w:val="005E0E6E"/>
    <w:rsid w:val="005E2237"/>
    <w:rsid w:val="005E235C"/>
    <w:rsid w:val="005E38F4"/>
    <w:rsid w:val="005E5722"/>
    <w:rsid w:val="005E68B2"/>
    <w:rsid w:val="005E7A49"/>
    <w:rsid w:val="005F0B50"/>
    <w:rsid w:val="005F66C6"/>
    <w:rsid w:val="006021C4"/>
    <w:rsid w:val="0060329E"/>
    <w:rsid w:val="00603666"/>
    <w:rsid w:val="0060392D"/>
    <w:rsid w:val="006062AB"/>
    <w:rsid w:val="0060725F"/>
    <w:rsid w:val="00607466"/>
    <w:rsid w:val="006122AC"/>
    <w:rsid w:val="00613088"/>
    <w:rsid w:val="00615812"/>
    <w:rsid w:val="00616C9B"/>
    <w:rsid w:val="00622D0C"/>
    <w:rsid w:val="00623A1B"/>
    <w:rsid w:val="006258A2"/>
    <w:rsid w:val="00634649"/>
    <w:rsid w:val="00634D95"/>
    <w:rsid w:val="006358B9"/>
    <w:rsid w:val="006369EB"/>
    <w:rsid w:val="00637B41"/>
    <w:rsid w:val="00643901"/>
    <w:rsid w:val="006472D5"/>
    <w:rsid w:val="00647C0A"/>
    <w:rsid w:val="006542A7"/>
    <w:rsid w:val="0065446D"/>
    <w:rsid w:val="0065611E"/>
    <w:rsid w:val="0066429F"/>
    <w:rsid w:val="00664DAC"/>
    <w:rsid w:val="00665491"/>
    <w:rsid w:val="00665B90"/>
    <w:rsid w:val="00671D22"/>
    <w:rsid w:val="00672C01"/>
    <w:rsid w:val="0067372B"/>
    <w:rsid w:val="006747A7"/>
    <w:rsid w:val="00677EE7"/>
    <w:rsid w:val="0068110F"/>
    <w:rsid w:val="0068227C"/>
    <w:rsid w:val="00684AFE"/>
    <w:rsid w:val="006908B0"/>
    <w:rsid w:val="006926A7"/>
    <w:rsid w:val="00694918"/>
    <w:rsid w:val="0069499D"/>
    <w:rsid w:val="006961F2"/>
    <w:rsid w:val="006A2B08"/>
    <w:rsid w:val="006A4577"/>
    <w:rsid w:val="006A5FF7"/>
    <w:rsid w:val="006B0093"/>
    <w:rsid w:val="006B2D39"/>
    <w:rsid w:val="006B3054"/>
    <w:rsid w:val="006B7D56"/>
    <w:rsid w:val="006B7EA1"/>
    <w:rsid w:val="006C2116"/>
    <w:rsid w:val="006C5CBE"/>
    <w:rsid w:val="006D3B95"/>
    <w:rsid w:val="006D4389"/>
    <w:rsid w:val="006D445E"/>
    <w:rsid w:val="006D595F"/>
    <w:rsid w:val="006D614E"/>
    <w:rsid w:val="006E4698"/>
    <w:rsid w:val="006E6D06"/>
    <w:rsid w:val="006F0473"/>
    <w:rsid w:val="006F0A81"/>
    <w:rsid w:val="006F26F0"/>
    <w:rsid w:val="006F3EC6"/>
    <w:rsid w:val="00700974"/>
    <w:rsid w:val="0070136C"/>
    <w:rsid w:val="0070439F"/>
    <w:rsid w:val="0070619F"/>
    <w:rsid w:val="007070EE"/>
    <w:rsid w:val="00720D47"/>
    <w:rsid w:val="00724A8B"/>
    <w:rsid w:val="00726F26"/>
    <w:rsid w:val="0072796E"/>
    <w:rsid w:val="00727EE6"/>
    <w:rsid w:val="00730D07"/>
    <w:rsid w:val="00733085"/>
    <w:rsid w:val="007376EF"/>
    <w:rsid w:val="0074648E"/>
    <w:rsid w:val="007472F0"/>
    <w:rsid w:val="0074786D"/>
    <w:rsid w:val="00747D8A"/>
    <w:rsid w:val="00752048"/>
    <w:rsid w:val="0075296C"/>
    <w:rsid w:val="00757BD6"/>
    <w:rsid w:val="007628A9"/>
    <w:rsid w:val="00763D60"/>
    <w:rsid w:val="00764B0B"/>
    <w:rsid w:val="00766E81"/>
    <w:rsid w:val="00771309"/>
    <w:rsid w:val="00772517"/>
    <w:rsid w:val="007735B4"/>
    <w:rsid w:val="00774810"/>
    <w:rsid w:val="00775186"/>
    <w:rsid w:val="007817B0"/>
    <w:rsid w:val="00782C87"/>
    <w:rsid w:val="007830C5"/>
    <w:rsid w:val="00785C66"/>
    <w:rsid w:val="00785CF3"/>
    <w:rsid w:val="007922A5"/>
    <w:rsid w:val="00792A3A"/>
    <w:rsid w:val="007947EA"/>
    <w:rsid w:val="0079537F"/>
    <w:rsid w:val="00796580"/>
    <w:rsid w:val="007A27C1"/>
    <w:rsid w:val="007A6956"/>
    <w:rsid w:val="007B3317"/>
    <w:rsid w:val="007B372C"/>
    <w:rsid w:val="007B3874"/>
    <w:rsid w:val="007B4FC7"/>
    <w:rsid w:val="007C05E6"/>
    <w:rsid w:val="007C147E"/>
    <w:rsid w:val="007C483D"/>
    <w:rsid w:val="007C5210"/>
    <w:rsid w:val="007D15D8"/>
    <w:rsid w:val="007D31EE"/>
    <w:rsid w:val="007D4DB2"/>
    <w:rsid w:val="007D74F4"/>
    <w:rsid w:val="007E0645"/>
    <w:rsid w:val="007E2B6C"/>
    <w:rsid w:val="007E5220"/>
    <w:rsid w:val="007E6A33"/>
    <w:rsid w:val="007F2DA5"/>
    <w:rsid w:val="007F4DB2"/>
    <w:rsid w:val="007F6B9B"/>
    <w:rsid w:val="008035E6"/>
    <w:rsid w:val="00803B35"/>
    <w:rsid w:val="00807AB4"/>
    <w:rsid w:val="00807C0C"/>
    <w:rsid w:val="008147D5"/>
    <w:rsid w:val="00814D13"/>
    <w:rsid w:val="00820973"/>
    <w:rsid w:val="00822699"/>
    <w:rsid w:val="0082329E"/>
    <w:rsid w:val="00824937"/>
    <w:rsid w:val="00826F9F"/>
    <w:rsid w:val="00835C76"/>
    <w:rsid w:val="00837297"/>
    <w:rsid w:val="008374F7"/>
    <w:rsid w:val="00840FED"/>
    <w:rsid w:val="00841678"/>
    <w:rsid w:val="008451CE"/>
    <w:rsid w:val="00852838"/>
    <w:rsid w:val="00854BAA"/>
    <w:rsid w:val="008559DF"/>
    <w:rsid w:val="00855F16"/>
    <w:rsid w:val="00861693"/>
    <w:rsid w:val="00864BC2"/>
    <w:rsid w:val="00872015"/>
    <w:rsid w:val="00873DF5"/>
    <w:rsid w:val="008741BE"/>
    <w:rsid w:val="008750E6"/>
    <w:rsid w:val="00875F3C"/>
    <w:rsid w:val="0088025B"/>
    <w:rsid w:val="00880F9C"/>
    <w:rsid w:val="0088303B"/>
    <w:rsid w:val="00884B91"/>
    <w:rsid w:val="008934B7"/>
    <w:rsid w:val="00893864"/>
    <w:rsid w:val="008A2746"/>
    <w:rsid w:val="008A3CCD"/>
    <w:rsid w:val="008A4A95"/>
    <w:rsid w:val="008A56E6"/>
    <w:rsid w:val="008A73CD"/>
    <w:rsid w:val="008B0478"/>
    <w:rsid w:val="008B0C87"/>
    <w:rsid w:val="008B2549"/>
    <w:rsid w:val="008B3318"/>
    <w:rsid w:val="008B61E4"/>
    <w:rsid w:val="008B64B5"/>
    <w:rsid w:val="008C345A"/>
    <w:rsid w:val="008D455A"/>
    <w:rsid w:val="008E1087"/>
    <w:rsid w:val="008E2E47"/>
    <w:rsid w:val="008E60DB"/>
    <w:rsid w:val="008E6FDA"/>
    <w:rsid w:val="008E78FE"/>
    <w:rsid w:val="008F0DDE"/>
    <w:rsid w:val="008F67C0"/>
    <w:rsid w:val="008F7AA5"/>
    <w:rsid w:val="0090220D"/>
    <w:rsid w:val="00903FC6"/>
    <w:rsid w:val="00904528"/>
    <w:rsid w:val="00904564"/>
    <w:rsid w:val="00905088"/>
    <w:rsid w:val="00906918"/>
    <w:rsid w:val="00917C55"/>
    <w:rsid w:val="00921487"/>
    <w:rsid w:val="009228C1"/>
    <w:rsid w:val="00923DF8"/>
    <w:rsid w:val="00923F63"/>
    <w:rsid w:val="00925062"/>
    <w:rsid w:val="0092508A"/>
    <w:rsid w:val="00926AAB"/>
    <w:rsid w:val="00931992"/>
    <w:rsid w:val="009348F3"/>
    <w:rsid w:val="00935C3E"/>
    <w:rsid w:val="009365AA"/>
    <w:rsid w:val="00940FA8"/>
    <w:rsid w:val="00943959"/>
    <w:rsid w:val="00944809"/>
    <w:rsid w:val="009453B8"/>
    <w:rsid w:val="009464A3"/>
    <w:rsid w:val="00952CFF"/>
    <w:rsid w:val="00954E21"/>
    <w:rsid w:val="00955AD6"/>
    <w:rsid w:val="00956B01"/>
    <w:rsid w:val="00960F3E"/>
    <w:rsid w:val="00964A99"/>
    <w:rsid w:val="00964B69"/>
    <w:rsid w:val="0096722E"/>
    <w:rsid w:val="00967C58"/>
    <w:rsid w:val="0097100A"/>
    <w:rsid w:val="00972AB7"/>
    <w:rsid w:val="009739CE"/>
    <w:rsid w:val="00974DEC"/>
    <w:rsid w:val="00976459"/>
    <w:rsid w:val="00981050"/>
    <w:rsid w:val="009839E8"/>
    <w:rsid w:val="00983E85"/>
    <w:rsid w:val="00984657"/>
    <w:rsid w:val="009871F6"/>
    <w:rsid w:val="00987BF2"/>
    <w:rsid w:val="00992D51"/>
    <w:rsid w:val="00994760"/>
    <w:rsid w:val="00994D7A"/>
    <w:rsid w:val="0099607C"/>
    <w:rsid w:val="00996DE1"/>
    <w:rsid w:val="00997333"/>
    <w:rsid w:val="009A2073"/>
    <w:rsid w:val="009A3B76"/>
    <w:rsid w:val="009A406D"/>
    <w:rsid w:val="009A60E3"/>
    <w:rsid w:val="009B3DAD"/>
    <w:rsid w:val="009B62B3"/>
    <w:rsid w:val="009B75CD"/>
    <w:rsid w:val="009C012D"/>
    <w:rsid w:val="009C0E44"/>
    <w:rsid w:val="009C28B3"/>
    <w:rsid w:val="009C29F8"/>
    <w:rsid w:val="009C5A05"/>
    <w:rsid w:val="009D1E82"/>
    <w:rsid w:val="009D43F4"/>
    <w:rsid w:val="009D4B14"/>
    <w:rsid w:val="009D4F20"/>
    <w:rsid w:val="009D5A65"/>
    <w:rsid w:val="009D7A62"/>
    <w:rsid w:val="009E59B6"/>
    <w:rsid w:val="009F16DE"/>
    <w:rsid w:val="009F2188"/>
    <w:rsid w:val="009F4EF3"/>
    <w:rsid w:val="009F516F"/>
    <w:rsid w:val="009F5326"/>
    <w:rsid w:val="009F7BC7"/>
    <w:rsid w:val="00A02813"/>
    <w:rsid w:val="00A03D1D"/>
    <w:rsid w:val="00A04729"/>
    <w:rsid w:val="00A057C8"/>
    <w:rsid w:val="00A112D3"/>
    <w:rsid w:val="00A112DD"/>
    <w:rsid w:val="00A14B65"/>
    <w:rsid w:val="00A14F67"/>
    <w:rsid w:val="00A200EC"/>
    <w:rsid w:val="00A21ABE"/>
    <w:rsid w:val="00A21C5B"/>
    <w:rsid w:val="00A22E18"/>
    <w:rsid w:val="00A257CB"/>
    <w:rsid w:val="00A25B0A"/>
    <w:rsid w:val="00A25DC0"/>
    <w:rsid w:val="00A26E99"/>
    <w:rsid w:val="00A3136E"/>
    <w:rsid w:val="00A33D96"/>
    <w:rsid w:val="00A34253"/>
    <w:rsid w:val="00A35F89"/>
    <w:rsid w:val="00A40195"/>
    <w:rsid w:val="00A40C6D"/>
    <w:rsid w:val="00A41CC5"/>
    <w:rsid w:val="00A4444D"/>
    <w:rsid w:val="00A467BB"/>
    <w:rsid w:val="00A50C1C"/>
    <w:rsid w:val="00A5247E"/>
    <w:rsid w:val="00A52697"/>
    <w:rsid w:val="00A55030"/>
    <w:rsid w:val="00A60109"/>
    <w:rsid w:val="00A60D4F"/>
    <w:rsid w:val="00A60D76"/>
    <w:rsid w:val="00A60E5F"/>
    <w:rsid w:val="00A61904"/>
    <w:rsid w:val="00A61D9F"/>
    <w:rsid w:val="00A64506"/>
    <w:rsid w:val="00A646DB"/>
    <w:rsid w:val="00A66027"/>
    <w:rsid w:val="00A67125"/>
    <w:rsid w:val="00A672C4"/>
    <w:rsid w:val="00A70646"/>
    <w:rsid w:val="00A72C02"/>
    <w:rsid w:val="00A73995"/>
    <w:rsid w:val="00A7405B"/>
    <w:rsid w:val="00A7781C"/>
    <w:rsid w:val="00A81B43"/>
    <w:rsid w:val="00A84626"/>
    <w:rsid w:val="00A87B49"/>
    <w:rsid w:val="00A91482"/>
    <w:rsid w:val="00A9236C"/>
    <w:rsid w:val="00A94F1D"/>
    <w:rsid w:val="00A966F1"/>
    <w:rsid w:val="00A969C2"/>
    <w:rsid w:val="00A97B50"/>
    <w:rsid w:val="00AA0B53"/>
    <w:rsid w:val="00AA1998"/>
    <w:rsid w:val="00AA5212"/>
    <w:rsid w:val="00AA56E0"/>
    <w:rsid w:val="00AB1F70"/>
    <w:rsid w:val="00AB5234"/>
    <w:rsid w:val="00AB64E8"/>
    <w:rsid w:val="00AC4B44"/>
    <w:rsid w:val="00AD15F7"/>
    <w:rsid w:val="00AD5243"/>
    <w:rsid w:val="00AD57A5"/>
    <w:rsid w:val="00AD7474"/>
    <w:rsid w:val="00AE0891"/>
    <w:rsid w:val="00AE1CE0"/>
    <w:rsid w:val="00AE23DF"/>
    <w:rsid w:val="00AE35DD"/>
    <w:rsid w:val="00AE5150"/>
    <w:rsid w:val="00AE52D2"/>
    <w:rsid w:val="00AF27DE"/>
    <w:rsid w:val="00AF3B70"/>
    <w:rsid w:val="00AF4110"/>
    <w:rsid w:val="00AF6C37"/>
    <w:rsid w:val="00AF7A0D"/>
    <w:rsid w:val="00AF7ABC"/>
    <w:rsid w:val="00B00D48"/>
    <w:rsid w:val="00B01F9F"/>
    <w:rsid w:val="00B043C4"/>
    <w:rsid w:val="00B05D16"/>
    <w:rsid w:val="00B05E23"/>
    <w:rsid w:val="00B06FAD"/>
    <w:rsid w:val="00B07157"/>
    <w:rsid w:val="00B07B06"/>
    <w:rsid w:val="00B120ED"/>
    <w:rsid w:val="00B12D35"/>
    <w:rsid w:val="00B20ED8"/>
    <w:rsid w:val="00B22A8E"/>
    <w:rsid w:val="00B2495F"/>
    <w:rsid w:val="00B271FA"/>
    <w:rsid w:val="00B302DE"/>
    <w:rsid w:val="00B316D7"/>
    <w:rsid w:val="00B43214"/>
    <w:rsid w:val="00B456EB"/>
    <w:rsid w:val="00B4588C"/>
    <w:rsid w:val="00B547E5"/>
    <w:rsid w:val="00B54C21"/>
    <w:rsid w:val="00B563B1"/>
    <w:rsid w:val="00B57116"/>
    <w:rsid w:val="00B62A5F"/>
    <w:rsid w:val="00B62D66"/>
    <w:rsid w:val="00B728CC"/>
    <w:rsid w:val="00B72D78"/>
    <w:rsid w:val="00B73D1B"/>
    <w:rsid w:val="00B7476C"/>
    <w:rsid w:val="00B75F29"/>
    <w:rsid w:val="00B76B6F"/>
    <w:rsid w:val="00B76FBB"/>
    <w:rsid w:val="00B800D1"/>
    <w:rsid w:val="00B8206F"/>
    <w:rsid w:val="00B83360"/>
    <w:rsid w:val="00B863DA"/>
    <w:rsid w:val="00B91CED"/>
    <w:rsid w:val="00B92A2D"/>
    <w:rsid w:val="00B93932"/>
    <w:rsid w:val="00B945A7"/>
    <w:rsid w:val="00B97653"/>
    <w:rsid w:val="00BA12D6"/>
    <w:rsid w:val="00BA26FE"/>
    <w:rsid w:val="00BA5DD5"/>
    <w:rsid w:val="00BA7228"/>
    <w:rsid w:val="00BB1612"/>
    <w:rsid w:val="00BB3594"/>
    <w:rsid w:val="00BB37A5"/>
    <w:rsid w:val="00BB499B"/>
    <w:rsid w:val="00BB74E6"/>
    <w:rsid w:val="00BC2116"/>
    <w:rsid w:val="00BC2AE8"/>
    <w:rsid w:val="00BC6761"/>
    <w:rsid w:val="00BC6983"/>
    <w:rsid w:val="00BD092D"/>
    <w:rsid w:val="00BD2AF5"/>
    <w:rsid w:val="00BD50F4"/>
    <w:rsid w:val="00BD55E1"/>
    <w:rsid w:val="00BD55F2"/>
    <w:rsid w:val="00BD7270"/>
    <w:rsid w:val="00BE086E"/>
    <w:rsid w:val="00BE1E48"/>
    <w:rsid w:val="00BE223B"/>
    <w:rsid w:val="00BF0398"/>
    <w:rsid w:val="00BF3D4D"/>
    <w:rsid w:val="00BF3EA4"/>
    <w:rsid w:val="00BF4A87"/>
    <w:rsid w:val="00BF5262"/>
    <w:rsid w:val="00BF6314"/>
    <w:rsid w:val="00BF7A90"/>
    <w:rsid w:val="00C04436"/>
    <w:rsid w:val="00C050EB"/>
    <w:rsid w:val="00C05B59"/>
    <w:rsid w:val="00C07157"/>
    <w:rsid w:val="00C13BC1"/>
    <w:rsid w:val="00C14672"/>
    <w:rsid w:val="00C338E1"/>
    <w:rsid w:val="00C34370"/>
    <w:rsid w:val="00C36EDA"/>
    <w:rsid w:val="00C37C7D"/>
    <w:rsid w:val="00C40167"/>
    <w:rsid w:val="00C4027C"/>
    <w:rsid w:val="00C4073F"/>
    <w:rsid w:val="00C41A85"/>
    <w:rsid w:val="00C42CDB"/>
    <w:rsid w:val="00C45397"/>
    <w:rsid w:val="00C45D44"/>
    <w:rsid w:val="00C51C2E"/>
    <w:rsid w:val="00C53454"/>
    <w:rsid w:val="00C540DA"/>
    <w:rsid w:val="00C57D7C"/>
    <w:rsid w:val="00C61FF5"/>
    <w:rsid w:val="00C621AA"/>
    <w:rsid w:val="00C6246C"/>
    <w:rsid w:val="00C63010"/>
    <w:rsid w:val="00C65D11"/>
    <w:rsid w:val="00C66375"/>
    <w:rsid w:val="00C728FE"/>
    <w:rsid w:val="00C736B0"/>
    <w:rsid w:val="00C807A2"/>
    <w:rsid w:val="00C81E22"/>
    <w:rsid w:val="00C8204B"/>
    <w:rsid w:val="00C8299B"/>
    <w:rsid w:val="00C85BC2"/>
    <w:rsid w:val="00C901AA"/>
    <w:rsid w:val="00C910D3"/>
    <w:rsid w:val="00C928CA"/>
    <w:rsid w:val="00C9442D"/>
    <w:rsid w:val="00C96AD0"/>
    <w:rsid w:val="00C96C7E"/>
    <w:rsid w:val="00C970DE"/>
    <w:rsid w:val="00CA126A"/>
    <w:rsid w:val="00CA1856"/>
    <w:rsid w:val="00CA1B50"/>
    <w:rsid w:val="00CA4321"/>
    <w:rsid w:val="00CA540F"/>
    <w:rsid w:val="00CA5A81"/>
    <w:rsid w:val="00CA668A"/>
    <w:rsid w:val="00CA7882"/>
    <w:rsid w:val="00CB15A1"/>
    <w:rsid w:val="00CB1AFA"/>
    <w:rsid w:val="00CB36F5"/>
    <w:rsid w:val="00CB75C1"/>
    <w:rsid w:val="00CC22E0"/>
    <w:rsid w:val="00CC4677"/>
    <w:rsid w:val="00CC73AB"/>
    <w:rsid w:val="00CC74B2"/>
    <w:rsid w:val="00CC76B7"/>
    <w:rsid w:val="00CD0213"/>
    <w:rsid w:val="00CD2F1C"/>
    <w:rsid w:val="00CD7582"/>
    <w:rsid w:val="00CE077F"/>
    <w:rsid w:val="00CE3CCB"/>
    <w:rsid w:val="00CE4FCA"/>
    <w:rsid w:val="00CE617A"/>
    <w:rsid w:val="00CE6F8C"/>
    <w:rsid w:val="00CF389B"/>
    <w:rsid w:val="00CF39DC"/>
    <w:rsid w:val="00CF3CF5"/>
    <w:rsid w:val="00CF487A"/>
    <w:rsid w:val="00D04CAD"/>
    <w:rsid w:val="00D1159E"/>
    <w:rsid w:val="00D2070D"/>
    <w:rsid w:val="00D22474"/>
    <w:rsid w:val="00D23D74"/>
    <w:rsid w:val="00D26919"/>
    <w:rsid w:val="00D27FC8"/>
    <w:rsid w:val="00D30820"/>
    <w:rsid w:val="00D31821"/>
    <w:rsid w:val="00D35FC7"/>
    <w:rsid w:val="00D361C5"/>
    <w:rsid w:val="00D40DF7"/>
    <w:rsid w:val="00D42895"/>
    <w:rsid w:val="00D42F5B"/>
    <w:rsid w:val="00D453C8"/>
    <w:rsid w:val="00D46CC8"/>
    <w:rsid w:val="00D47BA3"/>
    <w:rsid w:val="00D50D8C"/>
    <w:rsid w:val="00D512B4"/>
    <w:rsid w:val="00D55AAF"/>
    <w:rsid w:val="00D65FD3"/>
    <w:rsid w:val="00D700DA"/>
    <w:rsid w:val="00D7121A"/>
    <w:rsid w:val="00D762E2"/>
    <w:rsid w:val="00D772B7"/>
    <w:rsid w:val="00D863C0"/>
    <w:rsid w:val="00D932B6"/>
    <w:rsid w:val="00D94274"/>
    <w:rsid w:val="00DA0033"/>
    <w:rsid w:val="00DA04E0"/>
    <w:rsid w:val="00DA0E34"/>
    <w:rsid w:val="00DA0F3B"/>
    <w:rsid w:val="00DA2C0E"/>
    <w:rsid w:val="00DA35A9"/>
    <w:rsid w:val="00DA5773"/>
    <w:rsid w:val="00DB0BDA"/>
    <w:rsid w:val="00DB33F8"/>
    <w:rsid w:val="00DB7426"/>
    <w:rsid w:val="00DB7D73"/>
    <w:rsid w:val="00DC0A1B"/>
    <w:rsid w:val="00DC18A1"/>
    <w:rsid w:val="00DC3674"/>
    <w:rsid w:val="00DC38B1"/>
    <w:rsid w:val="00DC3E11"/>
    <w:rsid w:val="00DC45F1"/>
    <w:rsid w:val="00DC48D3"/>
    <w:rsid w:val="00DD0B40"/>
    <w:rsid w:val="00DD120E"/>
    <w:rsid w:val="00DD16E2"/>
    <w:rsid w:val="00DD4EFB"/>
    <w:rsid w:val="00DD5F21"/>
    <w:rsid w:val="00DD61C1"/>
    <w:rsid w:val="00DD6729"/>
    <w:rsid w:val="00DE5842"/>
    <w:rsid w:val="00DE6386"/>
    <w:rsid w:val="00DE7481"/>
    <w:rsid w:val="00DE7909"/>
    <w:rsid w:val="00DF1128"/>
    <w:rsid w:val="00E00549"/>
    <w:rsid w:val="00E02769"/>
    <w:rsid w:val="00E04FA9"/>
    <w:rsid w:val="00E106F8"/>
    <w:rsid w:val="00E107F3"/>
    <w:rsid w:val="00E11300"/>
    <w:rsid w:val="00E119AB"/>
    <w:rsid w:val="00E12BC0"/>
    <w:rsid w:val="00E1633D"/>
    <w:rsid w:val="00E16EB5"/>
    <w:rsid w:val="00E171A4"/>
    <w:rsid w:val="00E21BDB"/>
    <w:rsid w:val="00E23D5E"/>
    <w:rsid w:val="00E24AFF"/>
    <w:rsid w:val="00E272E2"/>
    <w:rsid w:val="00E32716"/>
    <w:rsid w:val="00E327C6"/>
    <w:rsid w:val="00E407DE"/>
    <w:rsid w:val="00E4669E"/>
    <w:rsid w:val="00E47372"/>
    <w:rsid w:val="00E47A3C"/>
    <w:rsid w:val="00E51AEF"/>
    <w:rsid w:val="00E62899"/>
    <w:rsid w:val="00E64377"/>
    <w:rsid w:val="00E704AE"/>
    <w:rsid w:val="00E75335"/>
    <w:rsid w:val="00E80C53"/>
    <w:rsid w:val="00E825C0"/>
    <w:rsid w:val="00E82642"/>
    <w:rsid w:val="00E84001"/>
    <w:rsid w:val="00E9003D"/>
    <w:rsid w:val="00E90851"/>
    <w:rsid w:val="00E90BD8"/>
    <w:rsid w:val="00EA0AD3"/>
    <w:rsid w:val="00EA1B09"/>
    <w:rsid w:val="00EA2886"/>
    <w:rsid w:val="00EA2B27"/>
    <w:rsid w:val="00EA677F"/>
    <w:rsid w:val="00EA7FC5"/>
    <w:rsid w:val="00EB0109"/>
    <w:rsid w:val="00EB0619"/>
    <w:rsid w:val="00EB09F0"/>
    <w:rsid w:val="00EB0D97"/>
    <w:rsid w:val="00EB35D8"/>
    <w:rsid w:val="00EB4AC2"/>
    <w:rsid w:val="00EB73B3"/>
    <w:rsid w:val="00EC0437"/>
    <w:rsid w:val="00EC0817"/>
    <w:rsid w:val="00EC252D"/>
    <w:rsid w:val="00EC3C33"/>
    <w:rsid w:val="00ED289B"/>
    <w:rsid w:val="00ED2C27"/>
    <w:rsid w:val="00ED306C"/>
    <w:rsid w:val="00ED54A6"/>
    <w:rsid w:val="00ED5777"/>
    <w:rsid w:val="00ED6D2E"/>
    <w:rsid w:val="00EE1D12"/>
    <w:rsid w:val="00EE31DB"/>
    <w:rsid w:val="00EE3418"/>
    <w:rsid w:val="00EE39C4"/>
    <w:rsid w:val="00EF4166"/>
    <w:rsid w:val="00EF4B0F"/>
    <w:rsid w:val="00EF4DF9"/>
    <w:rsid w:val="00EF4F5E"/>
    <w:rsid w:val="00EF5FD2"/>
    <w:rsid w:val="00EF64F7"/>
    <w:rsid w:val="00EF6C1F"/>
    <w:rsid w:val="00EF71A5"/>
    <w:rsid w:val="00F01D47"/>
    <w:rsid w:val="00F040E8"/>
    <w:rsid w:val="00F041EC"/>
    <w:rsid w:val="00F05586"/>
    <w:rsid w:val="00F1026C"/>
    <w:rsid w:val="00F108EC"/>
    <w:rsid w:val="00F140D9"/>
    <w:rsid w:val="00F22100"/>
    <w:rsid w:val="00F27804"/>
    <w:rsid w:val="00F401FB"/>
    <w:rsid w:val="00F41F79"/>
    <w:rsid w:val="00F4323B"/>
    <w:rsid w:val="00F54D74"/>
    <w:rsid w:val="00F55570"/>
    <w:rsid w:val="00F60192"/>
    <w:rsid w:val="00F73E21"/>
    <w:rsid w:val="00F76406"/>
    <w:rsid w:val="00F76D8B"/>
    <w:rsid w:val="00F77A0C"/>
    <w:rsid w:val="00F80707"/>
    <w:rsid w:val="00F84448"/>
    <w:rsid w:val="00F846F5"/>
    <w:rsid w:val="00F84C7C"/>
    <w:rsid w:val="00F85D21"/>
    <w:rsid w:val="00F86D38"/>
    <w:rsid w:val="00F91416"/>
    <w:rsid w:val="00F92BD1"/>
    <w:rsid w:val="00F955C4"/>
    <w:rsid w:val="00F9683E"/>
    <w:rsid w:val="00F96B14"/>
    <w:rsid w:val="00FA235B"/>
    <w:rsid w:val="00FA5B0E"/>
    <w:rsid w:val="00FB056F"/>
    <w:rsid w:val="00FB0FF1"/>
    <w:rsid w:val="00FB1BA2"/>
    <w:rsid w:val="00FB39F8"/>
    <w:rsid w:val="00FB6D7D"/>
    <w:rsid w:val="00FB6F6B"/>
    <w:rsid w:val="00FC3581"/>
    <w:rsid w:val="00FC380A"/>
    <w:rsid w:val="00FD2B59"/>
    <w:rsid w:val="00FD38AA"/>
    <w:rsid w:val="00FD38D4"/>
    <w:rsid w:val="00FD727C"/>
    <w:rsid w:val="00FD7641"/>
    <w:rsid w:val="00FE17DB"/>
    <w:rsid w:val="00FE5470"/>
    <w:rsid w:val="00FE5A68"/>
    <w:rsid w:val="00FE7DE9"/>
    <w:rsid w:val="00FF1F8E"/>
    <w:rsid w:val="00FF345E"/>
    <w:rsid w:val="00FF482C"/>
    <w:rsid w:val="00FF5E1B"/>
    <w:rsid w:val="00FF66AA"/>
    <w:rsid w:val="00FF6E54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69F3D"/>
  <w15:chartTrackingRefBased/>
  <w15:docId w15:val="{E272EB0D-3016-492D-8538-0E460CA5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466"/>
    <w:pPr>
      <w:spacing w:before="100" w:beforeAutospacing="1" w:after="100"/>
    </w:pPr>
    <w:rPr>
      <w:rFonts w:ascii="Arial" w:eastAsia="Times New Roman" w:hAnsi="Arial" w:cs="Arial"/>
      <w:color w:val="000000"/>
      <w:lang w:eastAsia="en-AU"/>
    </w:rPr>
  </w:style>
  <w:style w:type="paragraph" w:styleId="Heading1">
    <w:name w:val="heading 1"/>
    <w:basedOn w:val="Title"/>
    <w:link w:val="Heading1Char"/>
    <w:uiPriority w:val="9"/>
    <w:qFormat/>
    <w:rsid w:val="004D0F80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55F2"/>
    <w:pPr>
      <w:shd w:val="clear" w:color="auto" w:fill="FFFFFF"/>
      <w:spacing w:before="240" w:beforeAutospacing="0" w:after="120"/>
      <w:outlineLvl w:val="1"/>
    </w:pPr>
    <w:rPr>
      <w:rFonts w:ascii="Century Gothic" w:eastAsiaTheme="majorEastAsia" w:hAnsi="Century Gothic" w:cstheme="majorBidi"/>
      <w:color w:val="000000" w:themeColor="text1"/>
      <w:sz w:val="32"/>
      <w:szCs w:val="32"/>
      <w14:textFill>
        <w14:solidFill>
          <w14:schemeClr w14:val="tx1">
            <w14:lumMod w14:val="85000"/>
            <w14:lumOff w14:val="15000"/>
            <w14:lumMod w14:val="25000"/>
          </w14:schemeClr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35B4"/>
    <w:pPr>
      <w:spacing w:before="120" w:beforeAutospacing="0" w:after="120"/>
      <w:outlineLvl w:val="2"/>
    </w:pPr>
    <w:rPr>
      <w:rFonts w:ascii="Century Gothic" w:eastAsiaTheme="majorEastAsia" w:hAnsi="Century Gothic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140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F80"/>
    <w:rPr>
      <w:rFonts w:ascii="Century Gothic" w:eastAsiaTheme="majorEastAsia" w:hAnsi="Century Gothic" w:cstheme="majorBidi"/>
      <w:color w:val="2B9947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D55F2"/>
    <w:rPr>
      <w:rFonts w:ascii="Century Gothic" w:eastAsiaTheme="majorEastAsia" w:hAnsi="Century Gothic" w:cstheme="majorBidi"/>
      <w:color w:val="000000" w:themeColor="text1"/>
      <w:sz w:val="32"/>
      <w:szCs w:val="32"/>
      <w:shd w:val="clear" w:color="auto" w:fill="FFFFFF"/>
      <w:lang w:eastAsia="en-AU"/>
      <w14:textFill>
        <w14:solidFill>
          <w14:schemeClr w14:val="tx1">
            <w14:lumMod w14:val="85000"/>
            <w14:lumOff w14:val="15000"/>
            <w14:lumMod w14:val="25000"/>
          </w14:scheme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7735B4"/>
    <w:rPr>
      <w:rFonts w:ascii="Century Gothic" w:eastAsiaTheme="majorEastAsia" w:hAnsi="Century Gothic" w:cstheme="majorBidi"/>
      <w:color w:val="404040" w:themeColor="text1" w:themeTint="BF"/>
      <w:sz w:val="26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F140D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aliases w:val="List Paragraph1,Recommendation,List Paragraph11,Content descriptions,Indented Bullet Solid,Dot Point"/>
    <w:basedOn w:val="Normal"/>
    <w:link w:val="ListParagraphChar"/>
    <w:uiPriority w:val="34"/>
    <w:qFormat/>
    <w:rsid w:val="00323411"/>
    <w:pPr>
      <w:ind w:left="720"/>
      <w:contextualSpacing/>
    </w:pPr>
  </w:style>
  <w:style w:type="character" w:styleId="Hyperlink">
    <w:name w:val="Hyperlink"/>
    <w:uiPriority w:val="99"/>
    <w:rsid w:val="006258A2"/>
    <w:rPr>
      <w:color w:val="0000FF"/>
      <w:u w:val="single"/>
    </w:rPr>
  </w:style>
  <w:style w:type="table" w:styleId="TableGrid">
    <w:name w:val="Table Grid"/>
    <w:basedOn w:val="TableNormal"/>
    <w:uiPriority w:val="39"/>
    <w:rsid w:val="00625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7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6B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CC76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76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76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6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6B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CC76B7"/>
    <w:pPr>
      <w:spacing w:after="0" w:line="240" w:lineRule="auto"/>
    </w:pPr>
    <w:rPr>
      <w:rFonts w:eastAsia="Arial Unicode MS" w:cs="Times New Roman"/>
      <w:sz w:val="20"/>
      <w:szCs w:val="20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C76B7"/>
    <w:rPr>
      <w:rFonts w:ascii="Arial" w:eastAsia="Arial Unicode MS" w:hAnsi="Arial" w:cs="Times New Roman"/>
      <w:sz w:val="20"/>
      <w:szCs w:val="20"/>
      <w:lang w:val="en-US" w:eastAsia="zh-CN"/>
    </w:rPr>
  </w:style>
  <w:style w:type="character" w:styleId="FootnoteReference">
    <w:name w:val="footnote reference"/>
    <w:basedOn w:val="DefaultParagraphFont"/>
    <w:uiPriority w:val="99"/>
    <w:rsid w:val="00CC76B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7C147E"/>
    <w:pPr>
      <w:spacing w:before="240" w:after="240" w:line="240" w:lineRule="auto"/>
    </w:pPr>
    <w:rPr>
      <w:rFonts w:eastAsia="Arial Unicode MS" w:cs="Times New Roman"/>
      <w:b/>
      <w:bCs/>
      <w:sz w:val="20"/>
      <w:szCs w:val="20"/>
      <w:lang w:val="en-US" w:eastAsia="zh-CN"/>
    </w:rPr>
  </w:style>
  <w:style w:type="table" w:styleId="TableGridLight">
    <w:name w:val="Grid Table Light"/>
    <w:basedOn w:val="TableNormal"/>
    <w:uiPriority w:val="40"/>
    <w:rsid w:val="007C14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7C147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C147E"/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7C147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B22C8"/>
    <w:rPr>
      <w:color w:val="954F72" w:themeColor="followedHyperlink"/>
      <w:u w:val="single"/>
    </w:rPr>
  </w:style>
  <w:style w:type="paragraph" w:customStyle="1" w:styleId="ListParagraph2">
    <w:name w:val="List Paragraph 2"/>
    <w:basedOn w:val="ListParagraph"/>
    <w:qFormat/>
    <w:rsid w:val="00484458"/>
    <w:pPr>
      <w:spacing w:before="60" w:after="60" w:line="276" w:lineRule="auto"/>
      <w:ind w:left="706" w:hanging="360"/>
      <w:contextualSpacing w:val="0"/>
    </w:pPr>
    <w:rPr>
      <w:sz w:val="23"/>
      <w:szCs w:val="23"/>
    </w:rPr>
  </w:style>
  <w:style w:type="paragraph" w:customStyle="1" w:styleId="TableText">
    <w:name w:val="Table Text"/>
    <w:basedOn w:val="Normal"/>
    <w:qFormat/>
    <w:rsid w:val="000610C7"/>
    <w:pPr>
      <w:spacing w:before="60" w:after="60" w:line="276" w:lineRule="auto"/>
    </w:pPr>
    <w:rPr>
      <w:rFonts w:eastAsia="Arial Unicode MS" w:cs="Times New Roman"/>
      <w:bCs/>
      <w:sz w:val="23"/>
      <w:szCs w:val="20"/>
      <w:lang w:val="en-US" w:eastAsia="zh-CN"/>
    </w:rPr>
  </w:style>
  <w:style w:type="paragraph" w:customStyle="1" w:styleId="BodyText1">
    <w:name w:val="Body Text1"/>
    <w:basedOn w:val="Normal"/>
    <w:rsid w:val="001164A8"/>
    <w:pPr>
      <w:spacing w:after="200" w:line="280" w:lineRule="exact"/>
      <w:jc w:val="both"/>
    </w:pPr>
    <w:rPr>
      <w:rFonts w:ascii="Times New Roman" w:hAnsi="Times New Roman" w:cs="Times New Roman"/>
    </w:rPr>
  </w:style>
  <w:style w:type="table" w:styleId="PlainTable2">
    <w:name w:val="Plain Table 2"/>
    <w:basedOn w:val="TableNormal"/>
    <w:uiPriority w:val="42"/>
    <w:rsid w:val="00EF6C1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194F4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D0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F80"/>
  </w:style>
  <w:style w:type="paragraph" w:styleId="Footer">
    <w:name w:val="footer"/>
    <w:basedOn w:val="Normal"/>
    <w:link w:val="FooterChar"/>
    <w:uiPriority w:val="99"/>
    <w:unhideWhenUsed/>
    <w:rsid w:val="004D0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F80"/>
  </w:style>
  <w:style w:type="paragraph" w:styleId="Title">
    <w:name w:val="Title"/>
    <w:basedOn w:val="Normal"/>
    <w:next w:val="Normal"/>
    <w:link w:val="TitleChar"/>
    <w:autoRedefine/>
    <w:uiPriority w:val="10"/>
    <w:qFormat/>
    <w:rsid w:val="004D0F80"/>
    <w:pPr>
      <w:spacing w:after="0" w:line="240" w:lineRule="auto"/>
      <w:contextualSpacing/>
    </w:pPr>
    <w:rPr>
      <w:rFonts w:ascii="Century Gothic" w:eastAsiaTheme="majorEastAsia" w:hAnsi="Century Gothic" w:cstheme="majorBidi"/>
      <w:color w:val="2B9947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F80"/>
    <w:rPr>
      <w:rFonts w:ascii="Century Gothic" w:eastAsiaTheme="majorEastAsia" w:hAnsi="Century Gothic" w:cstheme="majorBidi"/>
      <w:color w:val="2B9947"/>
      <w:spacing w:val="-10"/>
      <w:kern w:val="28"/>
      <w:sz w:val="56"/>
      <w:szCs w:val="56"/>
    </w:rPr>
  </w:style>
  <w:style w:type="table" w:styleId="ListTable1Light-Accent6">
    <w:name w:val="List Table 1 Light Accent 6"/>
    <w:basedOn w:val="TableNormal"/>
    <w:uiPriority w:val="46"/>
    <w:rsid w:val="004D0F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1Light-Accent6">
    <w:name w:val="Grid Table 1 Light Accent 6"/>
    <w:basedOn w:val="TableNormal"/>
    <w:uiPriority w:val="46"/>
    <w:rsid w:val="004D0F8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6">
    <w:name w:val="List Table 3 Accent 6"/>
    <w:basedOn w:val="TableNormal"/>
    <w:uiPriority w:val="48"/>
    <w:rsid w:val="004D0F8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CommissionTable1">
    <w:name w:val="Commission Table 1"/>
    <w:basedOn w:val="TableNormal"/>
    <w:uiPriority w:val="99"/>
    <w:rsid w:val="004D0F80"/>
    <w:pPr>
      <w:spacing w:before="120" w:after="120" w:line="240" w:lineRule="auto"/>
      <w:contextualSpacing/>
    </w:pPr>
    <w:rPr>
      <w:rFonts w:ascii="Arial" w:hAnsi="Arial"/>
    </w:rPr>
    <w:tblPr>
      <w:tblBorders>
        <w:top w:val="single" w:sz="12" w:space="0" w:color="2B9947"/>
        <w:left w:val="single" w:sz="12" w:space="0" w:color="2B9947"/>
        <w:bottom w:val="single" w:sz="12" w:space="0" w:color="2B9947"/>
        <w:right w:val="single" w:sz="12" w:space="0" w:color="2B9947"/>
        <w:insideH w:val="single" w:sz="12" w:space="0" w:color="2B9947"/>
        <w:insideV w:val="single" w:sz="12" w:space="0" w:color="2B9947"/>
      </w:tblBorders>
    </w:tblPr>
    <w:tcPr>
      <w:vAlign w:val="center"/>
    </w:tc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2B9947"/>
      </w:tcPr>
    </w:tblStylePr>
  </w:style>
  <w:style w:type="table" w:customStyle="1" w:styleId="TableGrid1">
    <w:name w:val="Table Grid1"/>
    <w:basedOn w:val="TableNormal"/>
    <w:next w:val="TableGrid"/>
    <w:semiHidden/>
    <w:rsid w:val="00B271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A2B23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1 Char,Recommendation Char,List Paragraph11 Char,Content descriptions Char,Indented Bullet Solid Char,Dot Point Char"/>
    <w:link w:val="ListParagraph"/>
    <w:uiPriority w:val="34"/>
    <w:locked/>
    <w:rsid w:val="00C45D44"/>
    <w:rPr>
      <w:rFonts w:ascii="Arial" w:eastAsia="Times New Roman" w:hAnsi="Arial" w:cs="Arial"/>
      <w:color w:val="00000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89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wa.gov.au/government/document-collections/quarterly-financial-results-repor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a.gov.au/government/document-collections/quarterly-financial-results-repor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a.gov.au/government/document-collections/quarterly-financial-results-repor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wa.gov.au/government/publications/about-our-workforce-dat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a.gov.au/government/publications/state-of-the-wa-government-sector-workforce-2023-24" TargetMode="External"/><Relationship Id="rId14" Type="http://schemas.openxmlformats.org/officeDocument/2006/relationships/hyperlink" Target="mailto:stateadministrator@psc.wa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58C2D-E358-4F08-AFFF-AB2CC9D04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Jacenko, Luke</dc:creator>
  <cp:keywords/>
  <dc:description/>
  <cp:lastModifiedBy>Taylor-Beecroft, Lydia</cp:lastModifiedBy>
  <cp:revision>2</cp:revision>
  <cp:lastPrinted>2025-06-12T01:29:00Z</cp:lastPrinted>
  <dcterms:created xsi:type="dcterms:W3CDTF">2025-06-18T02:32:00Z</dcterms:created>
  <dcterms:modified xsi:type="dcterms:W3CDTF">2025-06-18T02:32:00Z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ebd643-ebde-44ed-8e8b-40a2ae139fe2_Enabled">
    <vt:lpwstr>true</vt:lpwstr>
  </property>
  <property fmtid="{D5CDD505-2E9C-101B-9397-08002B2CF9AE}" pid="3" name="MSIP_Label_9debd643-ebde-44ed-8e8b-40a2ae139fe2_SetDate">
    <vt:lpwstr>2023-02-17T06:00:00Z</vt:lpwstr>
  </property>
  <property fmtid="{D5CDD505-2E9C-101B-9397-08002B2CF9AE}" pid="4" name="MSIP_Label_9debd643-ebde-44ed-8e8b-40a2ae139fe2_Method">
    <vt:lpwstr>Standard</vt:lpwstr>
  </property>
  <property fmtid="{D5CDD505-2E9C-101B-9397-08002B2CF9AE}" pid="5" name="MSIP_Label_9debd643-ebde-44ed-8e8b-40a2ae139fe2_Name">
    <vt:lpwstr>OFFICIAL PSC.</vt:lpwstr>
  </property>
  <property fmtid="{D5CDD505-2E9C-101B-9397-08002B2CF9AE}" pid="6" name="MSIP_Label_9debd643-ebde-44ed-8e8b-40a2ae139fe2_SiteId">
    <vt:lpwstr>d48144b5-571f-4b68-9721-e41bc0071e17</vt:lpwstr>
  </property>
  <property fmtid="{D5CDD505-2E9C-101B-9397-08002B2CF9AE}" pid="7" name="MSIP_Label_9debd643-ebde-44ed-8e8b-40a2ae139fe2_ActionId">
    <vt:lpwstr>980988ef-f067-46e6-b35c-a57e9dc16841</vt:lpwstr>
  </property>
  <property fmtid="{D5CDD505-2E9C-101B-9397-08002B2CF9AE}" pid="8" name="MSIP_Label_9debd643-ebde-44ed-8e8b-40a2ae139fe2_ContentBits">
    <vt:lpwstr>0</vt:lpwstr>
  </property>
  <property fmtid="{D5CDD505-2E9C-101B-9397-08002B2CF9AE}" pid="9" name="_AdHocReviewCycleID">
    <vt:i4>-736463438</vt:i4>
  </property>
  <property fmtid="{D5CDD505-2E9C-101B-9397-08002B2CF9AE}" pid="10" name="_NewReviewCycle">
    <vt:lpwstr/>
  </property>
  <property fmtid="{D5CDD505-2E9C-101B-9397-08002B2CF9AE}" pid="11" name="_EmailSubject">
    <vt:lpwstr>For review and approval - March 2025 workforce report and CEO Gateway</vt:lpwstr>
  </property>
  <property fmtid="{D5CDD505-2E9C-101B-9397-08002B2CF9AE}" pid="12" name="_AuthorEmail">
    <vt:lpwstr>Wade.Allen@psc.wa.gov.au</vt:lpwstr>
  </property>
  <property fmtid="{D5CDD505-2E9C-101B-9397-08002B2CF9AE}" pid="13" name="_AuthorEmailDisplayName">
    <vt:lpwstr>Allen, Wade</vt:lpwstr>
  </property>
  <property fmtid="{D5CDD505-2E9C-101B-9397-08002B2CF9AE}" pid="14" name="_ReviewingToolsShownOnce">
    <vt:lpwstr/>
  </property>
</Properties>
</file>